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AEA7B4D" w:rsidR="007122AD" w:rsidRDefault="00DD466D" w:rsidP="00936AD0">
      <w:pPr>
        <w:pStyle w:val="Heading1"/>
      </w:pPr>
      <w:r>
        <w:t>1.ИМЕ НА ЛЕКАРСТВЕНИЯ ПРОДУКТ</w:t>
      </w:r>
    </w:p>
    <w:p w14:paraId="5088FB82" w14:textId="32258F75" w:rsidR="00680F5A" w:rsidRDefault="00680F5A" w:rsidP="00680F5A"/>
    <w:p w14:paraId="783C7CE2" w14:textId="77777777" w:rsidR="00680F5A" w:rsidRPr="00680F5A" w:rsidRDefault="00680F5A" w:rsidP="00680F5A">
      <w:pPr>
        <w:rPr>
          <w:sz w:val="24"/>
          <w:szCs w:val="24"/>
          <w:lang w:val="en-US"/>
        </w:rPr>
      </w:pPr>
      <w:r w:rsidRPr="00680F5A">
        <w:rPr>
          <w:lang w:eastAsia="bg-BG"/>
        </w:rPr>
        <w:t xml:space="preserve">Сертикан 0,25 </w:t>
      </w:r>
      <w:r w:rsidRPr="00680F5A">
        <w:rPr>
          <w:lang w:val="en-US"/>
        </w:rPr>
        <w:t xml:space="preserve">mg </w:t>
      </w:r>
      <w:r w:rsidRPr="00680F5A">
        <w:rPr>
          <w:lang w:eastAsia="bg-BG"/>
        </w:rPr>
        <w:t>таблетки</w:t>
      </w:r>
    </w:p>
    <w:p w14:paraId="438FD70C" w14:textId="77777777" w:rsidR="00680F5A" w:rsidRPr="00680F5A" w:rsidRDefault="00680F5A" w:rsidP="00680F5A">
      <w:pPr>
        <w:rPr>
          <w:sz w:val="24"/>
          <w:szCs w:val="24"/>
          <w:lang w:val="en-US"/>
        </w:rPr>
      </w:pPr>
      <w:r w:rsidRPr="00680F5A">
        <w:rPr>
          <w:lang w:val="en-US"/>
        </w:rPr>
        <w:t xml:space="preserve">Certican </w:t>
      </w:r>
      <w:r w:rsidRPr="00680F5A">
        <w:rPr>
          <w:lang w:eastAsia="bg-BG"/>
        </w:rPr>
        <w:t>0</w:t>
      </w:r>
      <w:proofErr w:type="gramStart"/>
      <w:r w:rsidRPr="00680F5A">
        <w:rPr>
          <w:lang w:eastAsia="bg-BG"/>
        </w:rPr>
        <w:t>,25</w:t>
      </w:r>
      <w:proofErr w:type="gramEnd"/>
      <w:r w:rsidRPr="00680F5A">
        <w:rPr>
          <w:lang w:eastAsia="bg-BG"/>
        </w:rPr>
        <w:t xml:space="preserve"> </w:t>
      </w:r>
      <w:r w:rsidRPr="00680F5A">
        <w:rPr>
          <w:lang w:val="en-US"/>
        </w:rPr>
        <w:t>mg tablets</w:t>
      </w:r>
    </w:p>
    <w:p w14:paraId="0039C566" w14:textId="77777777" w:rsidR="00680F5A" w:rsidRPr="00680F5A" w:rsidRDefault="00680F5A" w:rsidP="00680F5A">
      <w:pPr>
        <w:rPr>
          <w:sz w:val="24"/>
          <w:szCs w:val="24"/>
          <w:lang w:val="en-US"/>
        </w:rPr>
      </w:pPr>
      <w:r w:rsidRPr="00680F5A">
        <w:rPr>
          <w:lang w:eastAsia="bg-BG"/>
        </w:rPr>
        <w:t xml:space="preserve">Сертикан 0,5 </w:t>
      </w:r>
      <w:r w:rsidRPr="00680F5A">
        <w:rPr>
          <w:lang w:val="en-US"/>
        </w:rPr>
        <w:t xml:space="preserve">mg </w:t>
      </w:r>
      <w:r w:rsidRPr="00680F5A">
        <w:rPr>
          <w:lang w:eastAsia="bg-BG"/>
        </w:rPr>
        <w:t>таблетки</w:t>
      </w:r>
    </w:p>
    <w:p w14:paraId="43568BF5" w14:textId="77777777" w:rsidR="00680F5A" w:rsidRPr="00680F5A" w:rsidRDefault="00680F5A" w:rsidP="00680F5A">
      <w:pPr>
        <w:rPr>
          <w:sz w:val="24"/>
          <w:szCs w:val="24"/>
          <w:lang w:val="en-US"/>
        </w:rPr>
      </w:pPr>
      <w:r w:rsidRPr="00680F5A">
        <w:rPr>
          <w:lang w:val="en-US"/>
        </w:rPr>
        <w:t xml:space="preserve">Certican </w:t>
      </w:r>
      <w:r w:rsidRPr="00680F5A">
        <w:rPr>
          <w:lang w:eastAsia="bg-BG"/>
        </w:rPr>
        <w:t>0</w:t>
      </w:r>
      <w:proofErr w:type="gramStart"/>
      <w:r w:rsidRPr="00680F5A">
        <w:rPr>
          <w:lang w:eastAsia="bg-BG"/>
        </w:rPr>
        <w:t>,5</w:t>
      </w:r>
      <w:proofErr w:type="gramEnd"/>
      <w:r w:rsidRPr="00680F5A">
        <w:rPr>
          <w:lang w:eastAsia="bg-BG"/>
        </w:rPr>
        <w:t xml:space="preserve"> </w:t>
      </w:r>
      <w:r w:rsidRPr="00680F5A">
        <w:rPr>
          <w:lang w:val="en-US"/>
        </w:rPr>
        <w:t>mg tablets</w:t>
      </w:r>
    </w:p>
    <w:p w14:paraId="6A440ECB" w14:textId="77777777" w:rsidR="00680F5A" w:rsidRPr="00680F5A" w:rsidRDefault="00680F5A" w:rsidP="00680F5A">
      <w:pPr>
        <w:rPr>
          <w:sz w:val="24"/>
          <w:szCs w:val="24"/>
          <w:lang w:val="en-US"/>
        </w:rPr>
      </w:pPr>
      <w:r w:rsidRPr="00680F5A">
        <w:rPr>
          <w:lang w:eastAsia="bg-BG"/>
        </w:rPr>
        <w:t xml:space="preserve">Сертикан </w:t>
      </w:r>
      <w:r w:rsidRPr="00680F5A">
        <w:rPr>
          <w:lang w:val="en-US"/>
        </w:rPr>
        <w:t xml:space="preserve">0,75 mg </w:t>
      </w:r>
      <w:r w:rsidRPr="00680F5A">
        <w:rPr>
          <w:lang w:eastAsia="bg-BG"/>
        </w:rPr>
        <w:t>таблетки</w:t>
      </w:r>
    </w:p>
    <w:p w14:paraId="4FF87356" w14:textId="77777777" w:rsidR="00680F5A" w:rsidRPr="00680F5A" w:rsidRDefault="00680F5A" w:rsidP="00680F5A">
      <w:pPr>
        <w:rPr>
          <w:sz w:val="24"/>
          <w:szCs w:val="24"/>
          <w:lang w:val="en-US"/>
        </w:rPr>
      </w:pPr>
      <w:r w:rsidRPr="00680F5A">
        <w:rPr>
          <w:lang w:val="en-US"/>
        </w:rPr>
        <w:t>Certican 0</w:t>
      </w:r>
      <w:proofErr w:type="gramStart"/>
      <w:r w:rsidRPr="00680F5A">
        <w:rPr>
          <w:lang w:val="en-US"/>
        </w:rPr>
        <w:t>,75</w:t>
      </w:r>
      <w:proofErr w:type="gramEnd"/>
      <w:r w:rsidRPr="00680F5A">
        <w:rPr>
          <w:lang w:val="en-US"/>
        </w:rPr>
        <w:t xml:space="preserve"> mg tablets</w:t>
      </w:r>
    </w:p>
    <w:p w14:paraId="096D922C" w14:textId="77777777" w:rsidR="00680F5A" w:rsidRPr="00680F5A" w:rsidRDefault="00680F5A" w:rsidP="00680F5A">
      <w:pPr>
        <w:rPr>
          <w:sz w:val="24"/>
          <w:szCs w:val="24"/>
          <w:lang w:val="en-US"/>
        </w:rPr>
      </w:pPr>
      <w:r w:rsidRPr="00680F5A">
        <w:rPr>
          <w:lang w:eastAsia="bg-BG"/>
        </w:rPr>
        <w:t xml:space="preserve">Сертикан </w:t>
      </w:r>
      <w:r w:rsidRPr="00680F5A">
        <w:rPr>
          <w:lang w:val="en-US"/>
        </w:rPr>
        <w:t xml:space="preserve">1,0 mg </w:t>
      </w:r>
      <w:r w:rsidRPr="00680F5A">
        <w:rPr>
          <w:lang w:eastAsia="bg-BG"/>
        </w:rPr>
        <w:t>таблетки</w:t>
      </w:r>
    </w:p>
    <w:p w14:paraId="4B8D52FD" w14:textId="77777777" w:rsidR="00680F5A" w:rsidRPr="00680F5A" w:rsidRDefault="00680F5A" w:rsidP="00680F5A">
      <w:pPr>
        <w:rPr>
          <w:sz w:val="24"/>
          <w:szCs w:val="24"/>
          <w:lang w:val="en-US"/>
        </w:rPr>
      </w:pPr>
      <w:r w:rsidRPr="00680F5A">
        <w:rPr>
          <w:lang w:val="en-US"/>
        </w:rPr>
        <w:t>Certican 1</w:t>
      </w:r>
      <w:proofErr w:type="gramStart"/>
      <w:r w:rsidRPr="00680F5A">
        <w:rPr>
          <w:lang w:val="en-US"/>
        </w:rPr>
        <w:t>,0</w:t>
      </w:r>
      <w:proofErr w:type="gramEnd"/>
      <w:r w:rsidRPr="00680F5A">
        <w:rPr>
          <w:lang w:val="en-US"/>
        </w:rPr>
        <w:t xml:space="preserve"> mg tablets</w:t>
      </w:r>
    </w:p>
    <w:p w14:paraId="65FD3E30" w14:textId="77777777" w:rsidR="00680F5A" w:rsidRPr="00680F5A" w:rsidRDefault="00680F5A" w:rsidP="00680F5A"/>
    <w:p w14:paraId="6920A680" w14:textId="07B585CF" w:rsidR="00C40420" w:rsidRDefault="00DD466D" w:rsidP="004A448E">
      <w:pPr>
        <w:pStyle w:val="Heading1"/>
      </w:pPr>
      <w:r>
        <w:t>2. КАЧЕСТВЕН И КОЛИЧЕСТВЕН СЪСТАВ</w:t>
      </w:r>
    </w:p>
    <w:p w14:paraId="59DB1E21" w14:textId="461FC037" w:rsidR="00680F5A" w:rsidRDefault="00680F5A" w:rsidP="00680F5A"/>
    <w:p w14:paraId="2C856B92" w14:textId="77777777" w:rsidR="00680F5A" w:rsidRPr="00680F5A" w:rsidRDefault="00680F5A" w:rsidP="00680F5A">
      <w:pPr>
        <w:rPr>
          <w:sz w:val="24"/>
          <w:szCs w:val="24"/>
        </w:rPr>
      </w:pPr>
      <w:r w:rsidRPr="00680F5A">
        <w:rPr>
          <w:lang w:eastAsia="bg-BG"/>
        </w:rPr>
        <w:t xml:space="preserve">Всяка таблетка съдържа 0,25 /0,5/0,75/1,0 </w:t>
      </w:r>
      <w:r w:rsidRPr="00680F5A">
        <w:rPr>
          <w:lang w:val="en-US"/>
        </w:rPr>
        <w:t>mg</w:t>
      </w:r>
      <w:r w:rsidRPr="00680F5A">
        <w:t xml:space="preserve"> </w:t>
      </w:r>
      <w:r w:rsidRPr="00680F5A">
        <w:rPr>
          <w:lang w:eastAsia="bg-BG"/>
        </w:rPr>
        <w:t xml:space="preserve">еверолимус </w:t>
      </w:r>
      <w:r w:rsidRPr="00680F5A">
        <w:t>(</w:t>
      </w:r>
      <w:r w:rsidRPr="00680F5A">
        <w:rPr>
          <w:lang w:val="en-US"/>
        </w:rPr>
        <w:t>everolimus</w:t>
      </w:r>
      <w:r w:rsidRPr="00680F5A">
        <w:t>).</w:t>
      </w:r>
    </w:p>
    <w:p w14:paraId="71A1AEBA" w14:textId="77777777" w:rsidR="00680F5A" w:rsidRDefault="00680F5A" w:rsidP="00680F5A">
      <w:pPr>
        <w:rPr>
          <w:lang w:eastAsia="bg-BG"/>
        </w:rPr>
      </w:pPr>
    </w:p>
    <w:p w14:paraId="157C8F64" w14:textId="2C8B289C" w:rsidR="00680F5A" w:rsidRPr="00680F5A" w:rsidRDefault="00680F5A" w:rsidP="00680F5A">
      <w:pPr>
        <w:rPr>
          <w:sz w:val="24"/>
          <w:szCs w:val="24"/>
        </w:rPr>
      </w:pPr>
      <w:r w:rsidRPr="00680F5A">
        <w:rPr>
          <w:lang w:eastAsia="bg-BG"/>
        </w:rPr>
        <w:t>Помощни вещества с известно действие:</w:t>
      </w:r>
    </w:p>
    <w:p w14:paraId="6695B084" w14:textId="77777777" w:rsidR="00680F5A" w:rsidRPr="00680F5A" w:rsidRDefault="00680F5A" w:rsidP="00680F5A">
      <w:pPr>
        <w:rPr>
          <w:sz w:val="24"/>
          <w:szCs w:val="24"/>
        </w:rPr>
      </w:pPr>
      <w:r w:rsidRPr="00680F5A">
        <w:rPr>
          <w:lang w:eastAsia="bg-BG"/>
        </w:rPr>
        <w:t xml:space="preserve">Всяка таблетка съдържа 274/7/9 </w:t>
      </w:r>
      <w:r w:rsidRPr="00680F5A">
        <w:rPr>
          <w:lang w:val="en-US"/>
        </w:rPr>
        <w:t>mg</w:t>
      </w:r>
      <w:r w:rsidRPr="00680F5A">
        <w:rPr>
          <w:lang w:val="ru-RU"/>
        </w:rPr>
        <w:t xml:space="preserve"> </w:t>
      </w:r>
      <w:r w:rsidRPr="00680F5A">
        <w:rPr>
          <w:lang w:eastAsia="bg-BG"/>
        </w:rPr>
        <w:t xml:space="preserve">лактоза монохидрат и 51/74/112/149 </w:t>
      </w:r>
      <w:r w:rsidRPr="00680F5A">
        <w:rPr>
          <w:lang w:val="en-US"/>
        </w:rPr>
        <w:t>mg</w:t>
      </w:r>
      <w:r w:rsidRPr="00680F5A">
        <w:rPr>
          <w:lang w:val="ru-RU"/>
        </w:rPr>
        <w:t xml:space="preserve"> </w:t>
      </w:r>
      <w:r w:rsidRPr="00680F5A">
        <w:rPr>
          <w:lang w:eastAsia="bg-BG"/>
        </w:rPr>
        <w:t>лактоза, безводна.</w:t>
      </w:r>
    </w:p>
    <w:p w14:paraId="4B1DCADB" w14:textId="77777777" w:rsidR="00680F5A" w:rsidRPr="00680F5A" w:rsidRDefault="00680F5A" w:rsidP="00680F5A"/>
    <w:p w14:paraId="614984C4" w14:textId="2123B0A7" w:rsidR="008A6AF2" w:rsidRDefault="00DD466D" w:rsidP="002C50EE">
      <w:pPr>
        <w:pStyle w:val="Heading1"/>
      </w:pPr>
      <w:r>
        <w:t>3. ЛЕКАРСТВЕНА ФОРМА</w:t>
      </w:r>
    </w:p>
    <w:p w14:paraId="713CCB8F" w14:textId="445A256F" w:rsidR="00680F5A" w:rsidRDefault="00680F5A" w:rsidP="00680F5A"/>
    <w:p w14:paraId="5CE47A8F" w14:textId="77777777" w:rsidR="00680F5A" w:rsidRPr="00680F5A" w:rsidRDefault="00680F5A" w:rsidP="00680F5A">
      <w:pPr>
        <w:rPr>
          <w:sz w:val="24"/>
          <w:szCs w:val="24"/>
        </w:rPr>
      </w:pPr>
      <w:r w:rsidRPr="00680F5A">
        <w:rPr>
          <w:lang w:eastAsia="bg-BG"/>
        </w:rPr>
        <w:t>Таблетка</w:t>
      </w:r>
    </w:p>
    <w:p w14:paraId="272BB92D" w14:textId="77777777" w:rsidR="00680F5A" w:rsidRDefault="00680F5A" w:rsidP="00680F5A">
      <w:pPr>
        <w:rPr>
          <w:lang w:eastAsia="bg-BG"/>
        </w:rPr>
      </w:pPr>
      <w:r w:rsidRPr="00680F5A">
        <w:rPr>
          <w:lang w:eastAsia="bg-BG"/>
        </w:rPr>
        <w:t xml:space="preserve">Таблетките са бели до жълтеникави, мраморни, овални, плоски, със скосени краища. </w:t>
      </w:r>
    </w:p>
    <w:p w14:paraId="64FCD209" w14:textId="77777777" w:rsidR="00680F5A" w:rsidRDefault="00680F5A" w:rsidP="00680F5A">
      <w:pPr>
        <w:rPr>
          <w:lang w:eastAsia="bg-BG"/>
        </w:rPr>
      </w:pPr>
      <w:r w:rsidRPr="00680F5A">
        <w:rPr>
          <w:lang w:eastAsia="bg-BG"/>
        </w:rPr>
        <w:t xml:space="preserve">0,25 </w:t>
      </w:r>
      <w:r w:rsidRPr="00680F5A">
        <w:rPr>
          <w:lang w:val="en-US"/>
        </w:rPr>
        <w:t>mg</w:t>
      </w:r>
      <w:r w:rsidRPr="00680F5A">
        <w:rPr>
          <w:lang w:val="ru-RU"/>
        </w:rPr>
        <w:t xml:space="preserve"> </w:t>
      </w:r>
      <w:r w:rsidRPr="00680F5A">
        <w:rPr>
          <w:lang w:eastAsia="bg-BG"/>
        </w:rPr>
        <w:t xml:space="preserve">(с диаметър 6 </w:t>
      </w:r>
      <w:r w:rsidRPr="00680F5A">
        <w:rPr>
          <w:lang w:val="en-US"/>
        </w:rPr>
        <w:t>mm</w:t>
      </w:r>
      <w:r w:rsidRPr="00680F5A">
        <w:rPr>
          <w:lang w:val="ru-RU"/>
        </w:rPr>
        <w:t xml:space="preserve">): </w:t>
      </w:r>
      <w:r w:rsidRPr="00680F5A">
        <w:rPr>
          <w:lang w:eastAsia="bg-BG"/>
        </w:rPr>
        <w:t xml:space="preserve">с надпис “С” от едната страна и </w:t>
      </w:r>
      <w:r w:rsidRPr="00680F5A">
        <w:rPr>
          <w:lang w:val="ru-RU"/>
        </w:rPr>
        <w:t>“</w:t>
      </w:r>
      <w:r w:rsidRPr="00680F5A">
        <w:rPr>
          <w:lang w:val="en-US"/>
        </w:rPr>
        <w:t>NVR</w:t>
      </w:r>
      <w:r w:rsidRPr="00680F5A">
        <w:rPr>
          <w:lang w:val="ru-RU"/>
        </w:rPr>
        <w:t xml:space="preserve">” </w:t>
      </w:r>
      <w:r w:rsidRPr="00680F5A">
        <w:rPr>
          <w:lang w:eastAsia="bg-BG"/>
        </w:rPr>
        <w:t xml:space="preserve">от другата. </w:t>
      </w:r>
    </w:p>
    <w:p w14:paraId="443EB031" w14:textId="536BADF1" w:rsidR="00680F5A" w:rsidRPr="00680F5A" w:rsidRDefault="00680F5A" w:rsidP="00680F5A">
      <w:pPr>
        <w:rPr>
          <w:sz w:val="24"/>
          <w:szCs w:val="24"/>
        </w:rPr>
      </w:pPr>
      <w:r w:rsidRPr="00680F5A">
        <w:rPr>
          <w:lang w:eastAsia="bg-BG"/>
        </w:rPr>
        <w:t xml:space="preserve">0,5 </w:t>
      </w:r>
      <w:r w:rsidRPr="00680F5A">
        <w:rPr>
          <w:lang w:val="en-US"/>
        </w:rPr>
        <w:t>mg</w:t>
      </w:r>
      <w:r w:rsidRPr="00680F5A">
        <w:rPr>
          <w:lang w:val="ru-RU"/>
        </w:rPr>
        <w:t xml:space="preserve"> </w:t>
      </w:r>
      <w:r w:rsidRPr="00680F5A">
        <w:rPr>
          <w:lang w:eastAsia="bg-BG"/>
        </w:rPr>
        <w:t xml:space="preserve">(с диаметър 7 </w:t>
      </w:r>
      <w:r w:rsidRPr="00680F5A">
        <w:rPr>
          <w:lang w:val="en-US"/>
        </w:rPr>
        <w:t>mm</w:t>
      </w:r>
      <w:r w:rsidRPr="00680F5A">
        <w:rPr>
          <w:lang w:val="ru-RU"/>
        </w:rPr>
        <w:t xml:space="preserve">): </w:t>
      </w:r>
      <w:r w:rsidRPr="00680F5A">
        <w:rPr>
          <w:lang w:eastAsia="bg-BG"/>
        </w:rPr>
        <w:t xml:space="preserve">с надпис “СН” от едната страна и </w:t>
      </w:r>
      <w:r w:rsidRPr="00680F5A">
        <w:rPr>
          <w:lang w:val="ru-RU"/>
        </w:rPr>
        <w:t>“</w:t>
      </w:r>
      <w:r w:rsidRPr="00680F5A">
        <w:rPr>
          <w:lang w:val="en-US"/>
        </w:rPr>
        <w:t>NVR</w:t>
      </w:r>
      <w:r w:rsidRPr="00680F5A">
        <w:rPr>
          <w:lang w:val="ru-RU"/>
        </w:rPr>
        <w:t xml:space="preserve"> </w:t>
      </w:r>
      <w:r w:rsidRPr="00680F5A">
        <w:rPr>
          <w:lang w:eastAsia="bg-BG"/>
        </w:rPr>
        <w:t>от другата.</w:t>
      </w:r>
    </w:p>
    <w:p w14:paraId="2ED718FC" w14:textId="77777777" w:rsidR="00680F5A" w:rsidRDefault="00680F5A" w:rsidP="00680F5A">
      <w:pPr>
        <w:rPr>
          <w:lang w:eastAsia="bg-BG"/>
        </w:rPr>
      </w:pPr>
      <w:r w:rsidRPr="00680F5A">
        <w:rPr>
          <w:lang w:eastAsia="bg-BG"/>
        </w:rPr>
        <w:t xml:space="preserve">0,75 </w:t>
      </w:r>
      <w:r w:rsidRPr="00680F5A">
        <w:rPr>
          <w:lang w:val="en-US"/>
        </w:rPr>
        <w:t>mg</w:t>
      </w:r>
      <w:r w:rsidRPr="00680F5A">
        <w:rPr>
          <w:lang w:val="ru-RU"/>
        </w:rPr>
        <w:t xml:space="preserve"> </w:t>
      </w:r>
      <w:r w:rsidRPr="00680F5A">
        <w:rPr>
          <w:lang w:eastAsia="bg-BG"/>
        </w:rPr>
        <w:t xml:space="preserve">(с диаметър 8,5 </w:t>
      </w:r>
      <w:r w:rsidRPr="00680F5A">
        <w:rPr>
          <w:lang w:val="en-US"/>
        </w:rPr>
        <w:t>mm</w:t>
      </w:r>
      <w:r w:rsidRPr="00680F5A">
        <w:rPr>
          <w:lang w:val="ru-RU"/>
        </w:rPr>
        <w:t xml:space="preserve">): </w:t>
      </w:r>
      <w:r w:rsidRPr="00680F5A">
        <w:rPr>
          <w:lang w:eastAsia="bg-BG"/>
        </w:rPr>
        <w:t xml:space="preserve">с надпис </w:t>
      </w:r>
      <w:r w:rsidRPr="00680F5A">
        <w:rPr>
          <w:lang w:val="ru-RU"/>
        </w:rPr>
        <w:t>“</w:t>
      </w:r>
      <w:r w:rsidRPr="00680F5A">
        <w:rPr>
          <w:lang w:val="en-US"/>
        </w:rPr>
        <w:t>CL</w:t>
      </w:r>
      <w:r w:rsidRPr="00680F5A">
        <w:rPr>
          <w:lang w:val="ru-RU"/>
        </w:rPr>
        <w:t xml:space="preserve">” </w:t>
      </w:r>
      <w:r w:rsidRPr="00680F5A">
        <w:rPr>
          <w:lang w:eastAsia="bg-BG"/>
        </w:rPr>
        <w:t xml:space="preserve">от едната страна и </w:t>
      </w:r>
      <w:r w:rsidRPr="00680F5A">
        <w:rPr>
          <w:lang w:val="ru-RU"/>
        </w:rPr>
        <w:t>“</w:t>
      </w:r>
      <w:r w:rsidRPr="00680F5A">
        <w:rPr>
          <w:lang w:val="en-US"/>
        </w:rPr>
        <w:t>NVR</w:t>
      </w:r>
      <w:r w:rsidRPr="00680F5A">
        <w:rPr>
          <w:lang w:val="ru-RU"/>
        </w:rPr>
        <w:t xml:space="preserve">” </w:t>
      </w:r>
      <w:r w:rsidRPr="00680F5A">
        <w:rPr>
          <w:lang w:eastAsia="bg-BG"/>
        </w:rPr>
        <w:t xml:space="preserve">от другата. </w:t>
      </w:r>
    </w:p>
    <w:p w14:paraId="33FA2563" w14:textId="52129B27" w:rsidR="00680F5A" w:rsidRPr="00680F5A" w:rsidRDefault="00680F5A" w:rsidP="00680F5A">
      <w:pPr>
        <w:rPr>
          <w:sz w:val="24"/>
          <w:szCs w:val="24"/>
        </w:rPr>
      </w:pPr>
      <w:r w:rsidRPr="00680F5A">
        <w:rPr>
          <w:lang w:eastAsia="bg-BG"/>
        </w:rPr>
        <w:t xml:space="preserve">1,0 </w:t>
      </w:r>
      <w:r w:rsidRPr="00680F5A">
        <w:rPr>
          <w:lang w:val="en-US"/>
        </w:rPr>
        <w:t>mg</w:t>
      </w:r>
      <w:r w:rsidRPr="00680F5A">
        <w:rPr>
          <w:lang w:val="ru-RU"/>
        </w:rPr>
        <w:t xml:space="preserve"> </w:t>
      </w:r>
      <w:r w:rsidRPr="00680F5A">
        <w:rPr>
          <w:lang w:eastAsia="bg-BG"/>
        </w:rPr>
        <w:t xml:space="preserve">(с диаметър 9 </w:t>
      </w:r>
      <w:r w:rsidRPr="00680F5A">
        <w:rPr>
          <w:lang w:val="en-US"/>
        </w:rPr>
        <w:t>mm</w:t>
      </w:r>
      <w:r w:rsidRPr="00680F5A">
        <w:rPr>
          <w:lang w:val="ru-RU"/>
        </w:rPr>
        <w:t xml:space="preserve">): </w:t>
      </w:r>
      <w:r w:rsidRPr="00680F5A">
        <w:rPr>
          <w:lang w:eastAsia="bg-BG"/>
        </w:rPr>
        <w:t xml:space="preserve">с надпис </w:t>
      </w:r>
      <w:r w:rsidRPr="00680F5A">
        <w:rPr>
          <w:lang w:val="ru-RU"/>
        </w:rPr>
        <w:t>“</w:t>
      </w:r>
      <w:r w:rsidRPr="00680F5A">
        <w:rPr>
          <w:lang w:val="en-US"/>
        </w:rPr>
        <w:t>CU</w:t>
      </w:r>
      <w:r w:rsidRPr="00680F5A">
        <w:rPr>
          <w:lang w:val="ru-RU"/>
        </w:rPr>
        <w:t xml:space="preserve">” </w:t>
      </w:r>
      <w:r w:rsidRPr="00680F5A">
        <w:rPr>
          <w:lang w:eastAsia="bg-BG"/>
        </w:rPr>
        <w:t xml:space="preserve">от едната страна и </w:t>
      </w:r>
      <w:r w:rsidRPr="00680F5A">
        <w:rPr>
          <w:lang w:val="ru-RU"/>
        </w:rPr>
        <w:t>“</w:t>
      </w:r>
      <w:r w:rsidRPr="00680F5A">
        <w:rPr>
          <w:lang w:val="en-US"/>
        </w:rPr>
        <w:t>NVR</w:t>
      </w:r>
      <w:r w:rsidRPr="00680F5A">
        <w:rPr>
          <w:lang w:val="ru-RU"/>
        </w:rPr>
        <w:t xml:space="preserve">” </w:t>
      </w:r>
      <w:r w:rsidRPr="00680F5A">
        <w:rPr>
          <w:lang w:eastAsia="bg-BG"/>
        </w:rPr>
        <w:t>от другата.</w:t>
      </w:r>
    </w:p>
    <w:p w14:paraId="515AF029" w14:textId="77777777" w:rsidR="00680F5A" w:rsidRPr="00680F5A" w:rsidRDefault="00680F5A" w:rsidP="00680F5A"/>
    <w:p w14:paraId="490FC2C4" w14:textId="0F4A4A75" w:rsidR="002C50EE" w:rsidRDefault="002C50EE" w:rsidP="002C50EE">
      <w:pPr>
        <w:pStyle w:val="Heading1"/>
      </w:pPr>
      <w:r>
        <w:t>4. КЛИНИЧНИ ДАННИ</w:t>
      </w:r>
    </w:p>
    <w:p w14:paraId="74330405" w14:textId="0CE65204" w:rsidR="007122AD" w:rsidRDefault="002C50EE" w:rsidP="00936AD0">
      <w:pPr>
        <w:pStyle w:val="Heading2"/>
      </w:pPr>
      <w:r>
        <w:t>4.1. Терапевтични показания</w:t>
      </w:r>
    </w:p>
    <w:p w14:paraId="7AE52E74" w14:textId="45341186" w:rsidR="00680F5A" w:rsidRDefault="00680F5A" w:rsidP="00680F5A"/>
    <w:p w14:paraId="5769B8E4"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Бъбречна и сърдечна трансплантация</w:t>
      </w:r>
    </w:p>
    <w:p w14:paraId="0DE6F2B3"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Сертикан е показан за профилактика на отхвърляне на присадки при възрастни пациенти с нисък или умерен имунологичен риск при алогенна трансплантация на бъбрек или сърце. При бъбречна и сърдечна трансплантация Сертикан трябва да се прилага в комбинация с циклоспорин микроемулсия и кортикостероиди.</w:t>
      </w:r>
    </w:p>
    <w:p w14:paraId="6C3179A8" w14:textId="77777777" w:rsidR="00680F5A" w:rsidRPr="00680F5A" w:rsidRDefault="00680F5A" w:rsidP="00680F5A">
      <w:pPr>
        <w:spacing w:line="240" w:lineRule="auto"/>
        <w:rPr>
          <w:rFonts w:eastAsia="Times New Roman" w:cs="Arial"/>
          <w:color w:val="000000"/>
          <w:szCs w:val="20"/>
          <w:u w:val="single"/>
          <w:lang w:eastAsia="bg-BG"/>
        </w:rPr>
      </w:pPr>
    </w:p>
    <w:p w14:paraId="6FF977C5" w14:textId="26AA3EA1"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Чернодробна трансплантация</w:t>
      </w:r>
    </w:p>
    <w:p w14:paraId="5074A9FD"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lastRenderedPageBreak/>
        <w:t>Сертикан е показан за профилактика на отхвърляне на присадката при възрастни пациенти след чернодробна трансплантация. При чернодробна трансплантация Сертикан трябва да се прилага в комбинация с такролимус и кортикостероиди.</w:t>
      </w:r>
    </w:p>
    <w:p w14:paraId="79912568" w14:textId="77777777" w:rsidR="00680F5A" w:rsidRPr="00680F5A" w:rsidRDefault="00680F5A" w:rsidP="00680F5A"/>
    <w:p w14:paraId="53F5B866" w14:textId="4644804D" w:rsidR="007122AD" w:rsidRDefault="002C50EE" w:rsidP="00936AD0">
      <w:pPr>
        <w:pStyle w:val="Heading2"/>
      </w:pPr>
      <w:r>
        <w:t>4.2. Дозировка и начин на приложение</w:t>
      </w:r>
    </w:p>
    <w:p w14:paraId="4CFADA12" w14:textId="4E8CC50C" w:rsidR="00680F5A" w:rsidRDefault="00680F5A" w:rsidP="00680F5A"/>
    <w:p w14:paraId="2C605701"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Лечение със Сертикан трябва да започне и да се провежда, само от лекари с опит в имуносупресивната терапия след трансплантация на органи, имащи възможност да проследяват концентрацията на еверолимус в цяла кръв.</w:t>
      </w:r>
    </w:p>
    <w:p w14:paraId="09703567" w14:textId="06F681A8" w:rsidR="00680F5A" w:rsidRPr="00680F5A" w:rsidRDefault="00680F5A" w:rsidP="00680F5A">
      <w:pPr>
        <w:rPr>
          <w:rFonts w:cs="Arial"/>
          <w:sz w:val="24"/>
        </w:rPr>
      </w:pPr>
    </w:p>
    <w:p w14:paraId="57B7794A" w14:textId="77777777" w:rsidR="00680F5A" w:rsidRPr="00680F5A" w:rsidRDefault="00680F5A" w:rsidP="00680F5A">
      <w:pPr>
        <w:pStyle w:val="Heading3"/>
        <w:rPr>
          <w:rFonts w:eastAsia="Times New Roman"/>
          <w:sz w:val="28"/>
          <w:u w:val="single"/>
        </w:rPr>
      </w:pPr>
      <w:r w:rsidRPr="00680F5A">
        <w:rPr>
          <w:rFonts w:eastAsia="Times New Roman"/>
          <w:u w:val="single"/>
          <w:lang w:eastAsia="bg-BG"/>
        </w:rPr>
        <w:t>Дозировка</w:t>
      </w:r>
    </w:p>
    <w:p w14:paraId="34B4EDD1" w14:textId="77777777"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u w:val="single"/>
          <w:lang w:eastAsia="bg-BG"/>
        </w:rPr>
        <w:t>Възрастни</w:t>
      </w:r>
    </w:p>
    <w:p w14:paraId="1C142DEA"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Начален дозов режим от 0,75 </w:t>
      </w:r>
      <w:r w:rsidRPr="00680F5A">
        <w:rPr>
          <w:rFonts w:eastAsia="Times New Roman" w:cs="Arial"/>
          <w:color w:val="000000"/>
          <w:szCs w:val="20"/>
          <w:lang w:val="en-US"/>
        </w:rPr>
        <w:t>mg</w:t>
      </w:r>
      <w:r w:rsidRPr="00680F5A">
        <w:rPr>
          <w:rFonts w:eastAsia="Times New Roman" w:cs="Arial"/>
          <w:color w:val="000000"/>
          <w:szCs w:val="20"/>
          <w:lang w:val="ru-RU"/>
        </w:rPr>
        <w:t xml:space="preserve"> </w:t>
      </w:r>
      <w:r w:rsidRPr="00680F5A">
        <w:rPr>
          <w:rFonts w:eastAsia="Times New Roman" w:cs="Arial"/>
          <w:color w:val="000000"/>
          <w:szCs w:val="20"/>
          <w:lang w:eastAsia="bg-BG"/>
        </w:rPr>
        <w:t>два пъти дневно при едновременна употреба с циклоспорин се препоръчва за общата популация пациенти с трансплантиран бъбрек или сърце, като се прилага възможно най-скоро след трансплантацията.</w:t>
      </w:r>
    </w:p>
    <w:p w14:paraId="6BD89C69" w14:textId="77777777" w:rsidR="00680F5A" w:rsidRPr="00680F5A" w:rsidRDefault="00680F5A" w:rsidP="00680F5A">
      <w:pPr>
        <w:spacing w:line="240" w:lineRule="auto"/>
        <w:rPr>
          <w:rFonts w:eastAsia="Times New Roman" w:cs="Arial"/>
          <w:color w:val="000000"/>
          <w:szCs w:val="20"/>
          <w:lang w:eastAsia="bg-BG"/>
        </w:rPr>
      </w:pPr>
    </w:p>
    <w:p w14:paraId="4D322C52" w14:textId="5545A505"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пациентите с чернодробна трансплантация се препоръчва доза от 1,0 </w:t>
      </w:r>
      <w:r w:rsidRPr="00680F5A">
        <w:rPr>
          <w:rFonts w:eastAsia="Times New Roman" w:cs="Arial"/>
          <w:color w:val="000000"/>
          <w:szCs w:val="20"/>
          <w:lang w:val="en-US"/>
        </w:rPr>
        <w:t>mg</w:t>
      </w:r>
      <w:r w:rsidRPr="00680F5A">
        <w:rPr>
          <w:rFonts w:eastAsia="Times New Roman" w:cs="Arial"/>
          <w:color w:val="000000"/>
          <w:szCs w:val="20"/>
          <w:lang w:val="ru-RU"/>
        </w:rPr>
        <w:t xml:space="preserve"> </w:t>
      </w:r>
      <w:r w:rsidRPr="00680F5A">
        <w:rPr>
          <w:rFonts w:eastAsia="Times New Roman" w:cs="Arial"/>
          <w:color w:val="000000"/>
          <w:szCs w:val="20"/>
          <w:lang w:eastAsia="bg-BG"/>
        </w:rPr>
        <w:t>два пъти дневно при едновременна употреба с такролимус, като лечението се започва приблизително 4 седмици след трансплантацията.</w:t>
      </w:r>
    </w:p>
    <w:p w14:paraId="43DECC05" w14:textId="77777777" w:rsidR="00680F5A" w:rsidRPr="00680F5A" w:rsidRDefault="00680F5A" w:rsidP="00680F5A">
      <w:pPr>
        <w:spacing w:line="240" w:lineRule="auto"/>
        <w:rPr>
          <w:rFonts w:eastAsia="Times New Roman" w:cs="Arial"/>
          <w:color w:val="000000"/>
          <w:szCs w:val="20"/>
          <w:lang w:eastAsia="bg-BG"/>
        </w:rPr>
      </w:pPr>
    </w:p>
    <w:p w14:paraId="18DB161D" w14:textId="0DE9228A"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Приемащите Сертикан пациенти може да се нуждаят от коригиране на дозата в зависимост от достигнатата концентрация в кръвта, поносимостта, индивидуалния отговор, промяна в съпътстващите лекарства и клиничния статус. Коригиране на дозата може да се прави на интервали от 4-5 дни (вж. ,,</w:t>
      </w:r>
      <w:r w:rsidRPr="00680F5A">
        <w:rPr>
          <w:rFonts w:eastAsia="Times New Roman" w:cs="Arial"/>
          <w:i/>
          <w:iCs/>
          <w:color w:val="000000"/>
          <w:szCs w:val="20"/>
          <w:lang w:eastAsia="bg-BG"/>
        </w:rPr>
        <w:t>Терапевтичен лекарствен мониторинг</w:t>
      </w:r>
      <w:r w:rsidRPr="00680F5A">
        <w:rPr>
          <w:rFonts w:eastAsia="Times New Roman" w:cs="Arial"/>
          <w:i/>
          <w:iCs/>
          <w:color w:val="000000"/>
          <w:szCs w:val="20"/>
          <w:vertAlign w:val="superscript"/>
          <w:lang w:eastAsia="bg-BG"/>
        </w:rPr>
        <w:t>,"</w:t>
      </w:r>
      <w:r w:rsidRPr="00680F5A">
        <w:rPr>
          <w:rFonts w:eastAsia="Times New Roman" w:cs="Arial"/>
          <w:i/>
          <w:iCs/>
          <w:color w:val="000000"/>
          <w:szCs w:val="20"/>
          <w:lang w:eastAsia="bg-BG"/>
        </w:rPr>
        <w:t>).</w:t>
      </w:r>
    </w:p>
    <w:p w14:paraId="3FC1EE8B" w14:textId="77777777" w:rsidR="00680F5A" w:rsidRPr="00680F5A" w:rsidRDefault="00680F5A" w:rsidP="00680F5A">
      <w:pPr>
        <w:spacing w:line="240" w:lineRule="auto"/>
        <w:rPr>
          <w:rFonts w:eastAsia="Times New Roman" w:cs="Arial"/>
          <w:i/>
          <w:iCs/>
          <w:color w:val="000000"/>
          <w:szCs w:val="20"/>
          <w:u w:val="single"/>
          <w:lang w:eastAsia="bg-BG"/>
        </w:rPr>
      </w:pPr>
    </w:p>
    <w:p w14:paraId="27EC2596" w14:textId="2F4D339E"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u w:val="single"/>
          <w:lang w:eastAsia="bg-BG"/>
        </w:rPr>
        <w:t>Специална група пациенти</w:t>
      </w:r>
    </w:p>
    <w:p w14:paraId="296AB72C" w14:textId="77777777"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Афроамериканци</w:t>
      </w:r>
    </w:p>
    <w:p w14:paraId="7E01D7FD"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Честотата на установено с биопсия остро отхвърляне при афроамериканци с бъбречна трансплантация е значително по-висока в сравнение с пациентите от други раси. Има ограничено количество данни, които сочат, че афроамериканците може да се нуждаят от по- големи дози Сертикан, за да се постигне сходна ефикасност с тази при пациентите от други раси (вж. точка 5.2). Понастоящем данните за ефикасност и безопасност са твърде недостатъчни, за да може да бъдат направени специфични препоръки за употреба на еверолимус при афроамериканци.</w:t>
      </w:r>
    </w:p>
    <w:p w14:paraId="33BF7AF1" w14:textId="77777777" w:rsidR="00680F5A" w:rsidRPr="00680F5A" w:rsidRDefault="00680F5A" w:rsidP="00680F5A">
      <w:pPr>
        <w:spacing w:line="240" w:lineRule="auto"/>
        <w:rPr>
          <w:rFonts w:eastAsia="Times New Roman" w:cs="Arial"/>
          <w:i/>
          <w:iCs/>
          <w:color w:val="000000"/>
          <w:szCs w:val="20"/>
          <w:lang w:eastAsia="bg-BG"/>
        </w:rPr>
      </w:pPr>
    </w:p>
    <w:p w14:paraId="27C81047" w14:textId="6FF5620D"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Педиатрична популация:</w:t>
      </w:r>
    </w:p>
    <w:p w14:paraId="412547F0"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педиатрични пациенти с бъбречна и чернодробна трансплантация Сертикан не трябва да се прилага. Безопасността и ефикасността на </w:t>
      </w:r>
      <w:r w:rsidRPr="00680F5A">
        <w:rPr>
          <w:rFonts w:eastAsia="Times New Roman" w:cs="Arial"/>
          <w:color w:val="000000"/>
          <w:szCs w:val="20"/>
          <w:lang w:val="en-US"/>
        </w:rPr>
        <w:t>Certican</w:t>
      </w:r>
      <w:r w:rsidRPr="00680F5A">
        <w:rPr>
          <w:rFonts w:eastAsia="Times New Roman" w:cs="Arial"/>
          <w:color w:val="000000"/>
          <w:szCs w:val="20"/>
          <w:lang w:val="ru-RU"/>
        </w:rPr>
        <w:t xml:space="preserve"> </w:t>
      </w:r>
      <w:r w:rsidRPr="00680F5A">
        <w:rPr>
          <w:rFonts w:eastAsia="Times New Roman" w:cs="Arial"/>
          <w:color w:val="000000"/>
          <w:szCs w:val="20"/>
          <w:lang w:eastAsia="bg-BG"/>
        </w:rPr>
        <w:t>при педиатрични пациенти със сърдечна трансплантация не са установени (вж. точка 5.1).</w:t>
      </w:r>
    </w:p>
    <w:p w14:paraId="4617C611" w14:textId="77777777" w:rsidR="00680F5A" w:rsidRPr="00680F5A" w:rsidRDefault="00680F5A" w:rsidP="00680F5A">
      <w:pPr>
        <w:spacing w:line="240" w:lineRule="auto"/>
        <w:rPr>
          <w:rFonts w:eastAsia="Times New Roman" w:cs="Arial"/>
          <w:i/>
          <w:iCs/>
          <w:color w:val="000000"/>
          <w:szCs w:val="20"/>
          <w:lang w:eastAsia="bg-BG"/>
        </w:rPr>
      </w:pPr>
    </w:p>
    <w:p w14:paraId="4E459B5A" w14:textId="53DC50E2"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Пациенти в старческа възраст (≥65 години):</w:t>
      </w:r>
    </w:p>
    <w:p w14:paraId="5F65AB61"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Клиничният опит при пациенти на възраст &gt;65 години е ограничен. Въпреки че данните са ограничени, няма очевидни разлики във фармакокинетиката на еверолимус при пациенти на възраст ≥65-70 години (вж. точка 5.2).</w:t>
      </w:r>
    </w:p>
    <w:p w14:paraId="0A0C1ED5" w14:textId="77777777" w:rsidR="00680F5A" w:rsidRPr="00680F5A" w:rsidRDefault="00680F5A" w:rsidP="00680F5A">
      <w:pPr>
        <w:spacing w:line="240" w:lineRule="auto"/>
        <w:rPr>
          <w:rFonts w:eastAsia="Times New Roman" w:cs="Arial"/>
          <w:i/>
          <w:iCs/>
          <w:color w:val="000000"/>
          <w:szCs w:val="20"/>
          <w:lang w:eastAsia="bg-BG"/>
        </w:rPr>
      </w:pPr>
    </w:p>
    <w:p w14:paraId="5A6C805A" w14:textId="19165D75"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Пациенти с увредена бъбречна функция:</w:t>
      </w:r>
    </w:p>
    <w:p w14:paraId="0F84EDEA"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Не е необходимо коригиране на дозата (вж. точка 5.2).</w:t>
      </w:r>
    </w:p>
    <w:p w14:paraId="541B793A" w14:textId="77777777" w:rsidR="00680F5A" w:rsidRPr="00680F5A" w:rsidRDefault="00680F5A" w:rsidP="00680F5A">
      <w:pPr>
        <w:spacing w:line="240" w:lineRule="auto"/>
        <w:rPr>
          <w:rFonts w:eastAsia="Times New Roman" w:cs="Arial"/>
          <w:i/>
          <w:iCs/>
          <w:color w:val="000000"/>
          <w:szCs w:val="20"/>
          <w:lang w:eastAsia="bg-BG"/>
        </w:rPr>
      </w:pPr>
    </w:p>
    <w:p w14:paraId="79A7EF17" w14:textId="0E07963E"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Пациенти с увредена чернодробна функция:</w:t>
      </w:r>
    </w:p>
    <w:p w14:paraId="3A8C3154"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lastRenderedPageBreak/>
        <w:t xml:space="preserve">Най-ниските концентрации на еверолимус в кръвта трябва да се следят внимателно при пациентите с увредена чернодробна функция. Дозата трябва да се намали приблизително до две-трети от нормалната при пациенти с леко чернодробно увреждане (клас А по </w:t>
      </w:r>
      <w:r w:rsidRPr="00680F5A">
        <w:rPr>
          <w:rFonts w:eastAsia="Times New Roman" w:cs="Arial"/>
          <w:color w:val="000000"/>
          <w:szCs w:val="20"/>
          <w:lang w:val="en-US"/>
        </w:rPr>
        <w:t>Child</w:t>
      </w:r>
      <w:r w:rsidRPr="00680F5A">
        <w:rPr>
          <w:rFonts w:eastAsia="Times New Roman" w:cs="Arial"/>
          <w:color w:val="000000"/>
          <w:szCs w:val="20"/>
          <w:lang w:val="ru-RU"/>
        </w:rPr>
        <w:t>-</w:t>
      </w:r>
      <w:r w:rsidRPr="00680F5A">
        <w:rPr>
          <w:rFonts w:eastAsia="Times New Roman" w:cs="Arial"/>
          <w:color w:val="000000"/>
          <w:szCs w:val="20"/>
          <w:lang w:val="en-US"/>
        </w:rPr>
        <w:t>Pugh</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до приблизително половината от нормалната доза при пациенти с умерено чернодробно увреждане (клас В по </w:t>
      </w:r>
      <w:r w:rsidRPr="00680F5A">
        <w:rPr>
          <w:rFonts w:eastAsia="Times New Roman" w:cs="Arial"/>
          <w:color w:val="000000"/>
          <w:szCs w:val="20"/>
          <w:lang w:val="en-US"/>
        </w:rPr>
        <w:t>Child</w:t>
      </w:r>
      <w:r w:rsidRPr="00680F5A">
        <w:rPr>
          <w:rFonts w:eastAsia="Times New Roman" w:cs="Arial"/>
          <w:color w:val="000000"/>
          <w:szCs w:val="20"/>
          <w:lang w:val="ru-RU"/>
        </w:rPr>
        <w:t>-</w:t>
      </w:r>
      <w:r w:rsidRPr="00680F5A">
        <w:rPr>
          <w:rFonts w:eastAsia="Times New Roman" w:cs="Arial"/>
          <w:color w:val="000000"/>
          <w:szCs w:val="20"/>
          <w:lang w:val="en-US"/>
        </w:rPr>
        <w:t>Pugh</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и до приблизително една трета от нормалната доза при пациенти с тежко чернодробно увреждане (клас С по </w:t>
      </w:r>
      <w:r w:rsidRPr="00680F5A">
        <w:rPr>
          <w:rFonts w:eastAsia="Times New Roman" w:cs="Arial"/>
          <w:color w:val="000000"/>
          <w:szCs w:val="20"/>
          <w:lang w:val="en-US"/>
        </w:rPr>
        <w:t>Child</w:t>
      </w:r>
      <w:r w:rsidRPr="00680F5A">
        <w:rPr>
          <w:rFonts w:eastAsia="Times New Roman" w:cs="Arial"/>
          <w:color w:val="000000"/>
          <w:szCs w:val="20"/>
          <w:lang w:val="ru-RU"/>
        </w:rPr>
        <w:t>-</w:t>
      </w:r>
      <w:r w:rsidRPr="00680F5A">
        <w:rPr>
          <w:rFonts w:eastAsia="Times New Roman" w:cs="Arial"/>
          <w:color w:val="000000"/>
          <w:szCs w:val="20"/>
          <w:lang w:val="en-US"/>
        </w:rPr>
        <w:t>Plugh</w:t>
      </w:r>
      <w:r w:rsidRPr="00680F5A">
        <w:rPr>
          <w:rFonts w:eastAsia="Times New Roman" w:cs="Arial"/>
          <w:color w:val="000000"/>
          <w:szCs w:val="20"/>
          <w:lang w:val="ru-RU"/>
        </w:rPr>
        <w:t xml:space="preserve">). </w:t>
      </w:r>
      <w:r w:rsidRPr="00680F5A">
        <w:rPr>
          <w:rFonts w:eastAsia="Times New Roman" w:cs="Arial"/>
          <w:color w:val="000000"/>
          <w:szCs w:val="20"/>
          <w:lang w:eastAsia="bg-BG"/>
        </w:rPr>
        <w:t>По-нататъшното титриране на дозата трябва да се основава на терапевтичния лекарствен мониторинг (вж. точка 5.2). Стойностите на редуцираните дози закръглени приблизително до дозата на таблетките са посочени в таблицата по-долу:</w:t>
      </w:r>
    </w:p>
    <w:p w14:paraId="39D8B7AA" w14:textId="3D068275" w:rsidR="00680F5A" w:rsidRPr="00680F5A" w:rsidRDefault="00680F5A" w:rsidP="00680F5A">
      <w:pPr>
        <w:rPr>
          <w:rFonts w:cs="Arial"/>
          <w:sz w:val="24"/>
        </w:rPr>
      </w:pPr>
    </w:p>
    <w:p w14:paraId="3DC79AEB" w14:textId="1581B953" w:rsidR="00680F5A" w:rsidRDefault="00680F5A" w:rsidP="00680F5A">
      <w:pPr>
        <w:rPr>
          <w:rFonts w:cs="Arial"/>
          <w:b/>
          <w:bCs/>
          <w:szCs w:val="20"/>
        </w:rPr>
      </w:pPr>
      <w:r w:rsidRPr="00680F5A">
        <w:rPr>
          <w:rFonts w:cs="Arial"/>
          <w:b/>
          <w:bCs/>
          <w:szCs w:val="20"/>
        </w:rPr>
        <w:t>Таблица 1 Редуциране на дозата на Сертикан при пациенти с чернодробно увреждане</w:t>
      </w:r>
    </w:p>
    <w:tbl>
      <w:tblPr>
        <w:tblStyle w:val="TableGrid"/>
        <w:tblW w:w="0" w:type="auto"/>
        <w:tblLook w:val="04A0" w:firstRow="1" w:lastRow="0" w:firstColumn="1" w:lastColumn="0" w:noHBand="0" w:noVBand="1"/>
      </w:tblPr>
      <w:tblGrid>
        <w:gridCol w:w="1991"/>
        <w:gridCol w:w="1836"/>
        <w:gridCol w:w="1841"/>
        <w:gridCol w:w="1841"/>
        <w:gridCol w:w="1841"/>
      </w:tblGrid>
      <w:tr w:rsidR="00680F5A" w14:paraId="731C8EB1" w14:textId="77777777" w:rsidTr="00680F5A">
        <w:tc>
          <w:tcPr>
            <w:tcW w:w="1915" w:type="dxa"/>
          </w:tcPr>
          <w:p w14:paraId="2D260DA4" w14:textId="77777777" w:rsidR="00680F5A" w:rsidRPr="00680F5A" w:rsidRDefault="00680F5A" w:rsidP="00680F5A"/>
        </w:tc>
        <w:tc>
          <w:tcPr>
            <w:tcW w:w="1915" w:type="dxa"/>
          </w:tcPr>
          <w:p w14:paraId="27E60573" w14:textId="29BFA890" w:rsidR="00680F5A" w:rsidRPr="00680F5A" w:rsidRDefault="00680F5A" w:rsidP="00680F5A">
            <w:r w:rsidRPr="00680F5A">
              <w:rPr>
                <w:b/>
                <w:bCs/>
                <w:szCs w:val="20"/>
              </w:rPr>
              <w:t>Нормална чернодробна функция</w:t>
            </w:r>
          </w:p>
        </w:tc>
        <w:tc>
          <w:tcPr>
            <w:tcW w:w="1915" w:type="dxa"/>
            <w:vAlign w:val="bottom"/>
          </w:tcPr>
          <w:p w14:paraId="3E6BE172" w14:textId="38B27148" w:rsidR="00680F5A" w:rsidRPr="00680F5A" w:rsidRDefault="00680F5A" w:rsidP="00680F5A">
            <w:r w:rsidRPr="00680F5A">
              <w:rPr>
                <w:b/>
                <w:bCs/>
                <w:szCs w:val="20"/>
              </w:rPr>
              <w:t xml:space="preserve">Леко чернодробно увреждане (клас А по </w:t>
            </w:r>
            <w:r w:rsidRPr="00680F5A">
              <w:rPr>
                <w:b/>
                <w:bCs/>
                <w:szCs w:val="20"/>
                <w:lang w:val="en-US"/>
              </w:rPr>
              <w:t>Child</w:t>
            </w:r>
            <w:r w:rsidRPr="00680F5A">
              <w:rPr>
                <w:b/>
                <w:bCs/>
                <w:szCs w:val="20"/>
                <w:lang w:val="ru-RU"/>
              </w:rPr>
              <w:t xml:space="preserve">- </w:t>
            </w:r>
            <w:r w:rsidRPr="00680F5A">
              <w:rPr>
                <w:b/>
                <w:bCs/>
                <w:szCs w:val="20"/>
                <w:lang w:val="en-US"/>
              </w:rPr>
              <w:t>Pugh</w:t>
            </w:r>
            <w:r w:rsidRPr="00680F5A">
              <w:rPr>
                <w:b/>
                <w:bCs/>
                <w:szCs w:val="20"/>
                <w:lang w:val="ru-RU"/>
              </w:rPr>
              <w:t>)</w:t>
            </w:r>
          </w:p>
        </w:tc>
        <w:tc>
          <w:tcPr>
            <w:tcW w:w="1915" w:type="dxa"/>
            <w:vAlign w:val="bottom"/>
          </w:tcPr>
          <w:p w14:paraId="4BB4B5FE" w14:textId="30B0B03F" w:rsidR="00680F5A" w:rsidRPr="00680F5A" w:rsidRDefault="00680F5A" w:rsidP="00680F5A">
            <w:r w:rsidRPr="00680F5A">
              <w:rPr>
                <w:b/>
                <w:bCs/>
                <w:szCs w:val="20"/>
              </w:rPr>
              <w:t xml:space="preserve">Умерено чернодробно увреждане (клас В по </w:t>
            </w:r>
            <w:r w:rsidRPr="00680F5A">
              <w:rPr>
                <w:b/>
                <w:bCs/>
                <w:szCs w:val="20"/>
                <w:lang w:val="en-US"/>
              </w:rPr>
              <w:t>Child</w:t>
            </w:r>
            <w:r w:rsidRPr="00680F5A">
              <w:rPr>
                <w:b/>
                <w:bCs/>
                <w:szCs w:val="20"/>
                <w:lang w:val="ru-RU"/>
              </w:rPr>
              <w:t xml:space="preserve">- </w:t>
            </w:r>
            <w:r w:rsidRPr="00680F5A">
              <w:rPr>
                <w:b/>
                <w:bCs/>
                <w:szCs w:val="20"/>
                <w:lang w:val="en-US"/>
              </w:rPr>
              <w:t>Pugh</w:t>
            </w:r>
            <w:r w:rsidRPr="00680F5A">
              <w:rPr>
                <w:b/>
                <w:bCs/>
                <w:szCs w:val="20"/>
                <w:lang w:val="ru-RU"/>
              </w:rPr>
              <w:t>)</w:t>
            </w:r>
          </w:p>
        </w:tc>
        <w:tc>
          <w:tcPr>
            <w:tcW w:w="1916" w:type="dxa"/>
            <w:vAlign w:val="bottom"/>
          </w:tcPr>
          <w:p w14:paraId="6EB6BA78" w14:textId="0566399B" w:rsidR="00680F5A" w:rsidRPr="00680F5A" w:rsidRDefault="00680F5A" w:rsidP="00680F5A">
            <w:r w:rsidRPr="00680F5A">
              <w:rPr>
                <w:b/>
                <w:bCs/>
                <w:szCs w:val="20"/>
              </w:rPr>
              <w:t xml:space="preserve">Тежко чернодробно увреждане (клас С по </w:t>
            </w:r>
            <w:r w:rsidRPr="00680F5A">
              <w:rPr>
                <w:b/>
                <w:bCs/>
                <w:szCs w:val="20"/>
                <w:lang w:val="en-US"/>
              </w:rPr>
              <w:t>Child</w:t>
            </w:r>
            <w:r w:rsidRPr="00680F5A">
              <w:rPr>
                <w:b/>
                <w:bCs/>
                <w:szCs w:val="20"/>
                <w:lang w:val="ru-RU"/>
              </w:rPr>
              <w:t xml:space="preserve">- </w:t>
            </w:r>
            <w:r w:rsidRPr="00680F5A">
              <w:rPr>
                <w:b/>
                <w:bCs/>
                <w:szCs w:val="20"/>
                <w:lang w:val="en-US"/>
              </w:rPr>
              <w:t>Pugh</w:t>
            </w:r>
            <w:r w:rsidRPr="00680F5A">
              <w:rPr>
                <w:b/>
                <w:bCs/>
                <w:szCs w:val="20"/>
                <w:lang w:val="ru-RU"/>
              </w:rPr>
              <w:t>)</w:t>
            </w:r>
          </w:p>
        </w:tc>
      </w:tr>
      <w:tr w:rsidR="00680F5A" w14:paraId="6BCEBD4B" w14:textId="77777777" w:rsidTr="00680F5A">
        <w:tc>
          <w:tcPr>
            <w:tcW w:w="1915" w:type="dxa"/>
          </w:tcPr>
          <w:p w14:paraId="299B1B4E" w14:textId="3DBCA52F" w:rsidR="00680F5A" w:rsidRPr="00680F5A" w:rsidRDefault="00680F5A" w:rsidP="00680F5A">
            <w:r w:rsidRPr="00680F5A">
              <w:rPr>
                <w:b/>
                <w:bCs/>
                <w:szCs w:val="20"/>
              </w:rPr>
              <w:t>Бъбречна и сърдечна трансплантацня</w:t>
            </w:r>
          </w:p>
        </w:tc>
        <w:tc>
          <w:tcPr>
            <w:tcW w:w="1915" w:type="dxa"/>
          </w:tcPr>
          <w:p w14:paraId="3E7354AE" w14:textId="0919C68E" w:rsidR="00680F5A" w:rsidRPr="00680F5A" w:rsidRDefault="00680F5A" w:rsidP="00680F5A">
            <w:r w:rsidRPr="00680F5A">
              <w:rPr>
                <w:szCs w:val="20"/>
              </w:rPr>
              <w:t xml:space="preserve">0,75 </w:t>
            </w:r>
            <w:r w:rsidRPr="00680F5A">
              <w:rPr>
                <w:szCs w:val="20"/>
                <w:lang w:val="en-US"/>
              </w:rPr>
              <w:t xml:space="preserve">mg </w:t>
            </w:r>
            <w:r w:rsidRPr="00680F5A">
              <w:rPr>
                <w:i/>
                <w:iCs/>
                <w:szCs w:val="20"/>
              </w:rPr>
              <w:t>два пъти дневно</w:t>
            </w:r>
          </w:p>
        </w:tc>
        <w:tc>
          <w:tcPr>
            <w:tcW w:w="1915" w:type="dxa"/>
          </w:tcPr>
          <w:p w14:paraId="69846CC7" w14:textId="3CE2FE31" w:rsidR="00680F5A" w:rsidRPr="00680F5A" w:rsidRDefault="00680F5A" w:rsidP="00680F5A">
            <w:r w:rsidRPr="00680F5A">
              <w:rPr>
                <w:szCs w:val="20"/>
              </w:rPr>
              <w:t xml:space="preserve">0,5 </w:t>
            </w:r>
            <w:r w:rsidRPr="00680F5A">
              <w:rPr>
                <w:szCs w:val="20"/>
                <w:lang w:val="en-US"/>
              </w:rPr>
              <w:t xml:space="preserve">mg </w:t>
            </w:r>
            <w:r w:rsidRPr="00680F5A">
              <w:rPr>
                <w:i/>
                <w:iCs/>
                <w:szCs w:val="20"/>
              </w:rPr>
              <w:t>два пъти дневно</w:t>
            </w:r>
          </w:p>
        </w:tc>
        <w:tc>
          <w:tcPr>
            <w:tcW w:w="1915" w:type="dxa"/>
          </w:tcPr>
          <w:p w14:paraId="184DF8C5" w14:textId="6B3E7803" w:rsidR="00680F5A" w:rsidRPr="00680F5A" w:rsidRDefault="00680F5A" w:rsidP="00680F5A">
            <w:r w:rsidRPr="00680F5A">
              <w:rPr>
                <w:szCs w:val="20"/>
              </w:rPr>
              <w:t xml:space="preserve">0,5 </w:t>
            </w:r>
            <w:r w:rsidRPr="00680F5A">
              <w:rPr>
                <w:szCs w:val="20"/>
                <w:lang w:val="en-US"/>
              </w:rPr>
              <w:t xml:space="preserve">mg </w:t>
            </w:r>
            <w:r w:rsidRPr="00680F5A">
              <w:rPr>
                <w:i/>
                <w:iCs/>
                <w:szCs w:val="20"/>
              </w:rPr>
              <w:t>два пъти дневно</w:t>
            </w:r>
          </w:p>
        </w:tc>
        <w:tc>
          <w:tcPr>
            <w:tcW w:w="1916" w:type="dxa"/>
          </w:tcPr>
          <w:p w14:paraId="024D5551" w14:textId="568EFF9A" w:rsidR="00680F5A" w:rsidRPr="00680F5A" w:rsidRDefault="00680F5A" w:rsidP="00680F5A">
            <w:r w:rsidRPr="00680F5A">
              <w:rPr>
                <w:szCs w:val="20"/>
              </w:rPr>
              <w:t xml:space="preserve">0,25 </w:t>
            </w:r>
            <w:r w:rsidRPr="00680F5A">
              <w:rPr>
                <w:szCs w:val="20"/>
                <w:lang w:val="en-US"/>
              </w:rPr>
              <w:t xml:space="preserve">mg </w:t>
            </w:r>
            <w:r w:rsidRPr="00680F5A">
              <w:rPr>
                <w:i/>
                <w:iCs/>
                <w:szCs w:val="20"/>
              </w:rPr>
              <w:t>два пъти дневно</w:t>
            </w:r>
          </w:p>
        </w:tc>
      </w:tr>
      <w:tr w:rsidR="00680F5A" w14:paraId="621726DA" w14:textId="77777777" w:rsidTr="00680F5A">
        <w:tc>
          <w:tcPr>
            <w:tcW w:w="1915" w:type="dxa"/>
            <w:vAlign w:val="bottom"/>
          </w:tcPr>
          <w:p w14:paraId="7540E147" w14:textId="46F0A22B" w:rsidR="00680F5A" w:rsidRPr="00680F5A" w:rsidRDefault="00680F5A" w:rsidP="00680F5A">
            <w:r w:rsidRPr="00680F5A">
              <w:rPr>
                <w:b/>
                <w:bCs/>
                <w:szCs w:val="20"/>
              </w:rPr>
              <w:t>Чернодробна трансплантацня</w:t>
            </w:r>
          </w:p>
        </w:tc>
        <w:tc>
          <w:tcPr>
            <w:tcW w:w="1915" w:type="dxa"/>
            <w:vAlign w:val="bottom"/>
          </w:tcPr>
          <w:p w14:paraId="550F5B73" w14:textId="188A22B1" w:rsidR="00680F5A" w:rsidRPr="00680F5A" w:rsidRDefault="00680F5A" w:rsidP="00680F5A">
            <w:r w:rsidRPr="00680F5A">
              <w:rPr>
                <w:szCs w:val="20"/>
              </w:rPr>
              <w:t xml:space="preserve">1 </w:t>
            </w:r>
            <w:r w:rsidRPr="00680F5A">
              <w:rPr>
                <w:szCs w:val="20"/>
                <w:lang w:val="en-US"/>
              </w:rPr>
              <w:t xml:space="preserve">mg </w:t>
            </w:r>
            <w:r w:rsidRPr="00680F5A">
              <w:rPr>
                <w:i/>
                <w:iCs/>
                <w:szCs w:val="20"/>
              </w:rPr>
              <w:t>два пъти дневно</w:t>
            </w:r>
          </w:p>
        </w:tc>
        <w:tc>
          <w:tcPr>
            <w:tcW w:w="1915" w:type="dxa"/>
            <w:vAlign w:val="bottom"/>
          </w:tcPr>
          <w:p w14:paraId="493431F4" w14:textId="06619654" w:rsidR="00680F5A" w:rsidRPr="00680F5A" w:rsidRDefault="00680F5A" w:rsidP="00680F5A">
            <w:r w:rsidRPr="00680F5A">
              <w:rPr>
                <w:szCs w:val="20"/>
              </w:rPr>
              <w:t xml:space="preserve">0,75 </w:t>
            </w:r>
            <w:r w:rsidRPr="00680F5A">
              <w:rPr>
                <w:i/>
                <w:iCs/>
                <w:szCs w:val="20"/>
                <w:lang w:val="en-US"/>
              </w:rPr>
              <w:t xml:space="preserve">mg </w:t>
            </w:r>
            <w:r w:rsidRPr="00680F5A">
              <w:rPr>
                <w:i/>
                <w:iCs/>
                <w:szCs w:val="20"/>
              </w:rPr>
              <w:t>два пъти дневно</w:t>
            </w:r>
          </w:p>
        </w:tc>
        <w:tc>
          <w:tcPr>
            <w:tcW w:w="1915" w:type="dxa"/>
            <w:vAlign w:val="bottom"/>
          </w:tcPr>
          <w:p w14:paraId="726D3C0C" w14:textId="68D0C691" w:rsidR="00680F5A" w:rsidRPr="00680F5A" w:rsidRDefault="00680F5A" w:rsidP="00680F5A">
            <w:r w:rsidRPr="00680F5A">
              <w:rPr>
                <w:szCs w:val="20"/>
              </w:rPr>
              <w:t xml:space="preserve">0,5 </w:t>
            </w:r>
            <w:r w:rsidRPr="00680F5A">
              <w:rPr>
                <w:szCs w:val="20"/>
                <w:lang w:val="en-US"/>
              </w:rPr>
              <w:t xml:space="preserve">mg </w:t>
            </w:r>
            <w:r w:rsidRPr="00680F5A">
              <w:rPr>
                <w:i/>
                <w:iCs/>
                <w:szCs w:val="20"/>
              </w:rPr>
              <w:t>два пъти дневно</w:t>
            </w:r>
          </w:p>
        </w:tc>
        <w:tc>
          <w:tcPr>
            <w:tcW w:w="1916" w:type="dxa"/>
            <w:vAlign w:val="bottom"/>
          </w:tcPr>
          <w:p w14:paraId="63A59377" w14:textId="2C5E8F67" w:rsidR="00680F5A" w:rsidRPr="00680F5A" w:rsidRDefault="00680F5A" w:rsidP="00680F5A">
            <w:r w:rsidRPr="00680F5A">
              <w:rPr>
                <w:i/>
                <w:iCs/>
                <w:szCs w:val="20"/>
              </w:rPr>
              <w:t>0,5</w:t>
            </w:r>
            <w:r w:rsidRPr="00680F5A">
              <w:rPr>
                <w:szCs w:val="20"/>
              </w:rPr>
              <w:t xml:space="preserve"> </w:t>
            </w:r>
            <w:r w:rsidRPr="00680F5A">
              <w:rPr>
                <w:szCs w:val="20"/>
                <w:lang w:val="en-US"/>
              </w:rPr>
              <w:t xml:space="preserve">mg </w:t>
            </w:r>
            <w:r w:rsidRPr="00680F5A">
              <w:rPr>
                <w:i/>
                <w:iCs/>
                <w:szCs w:val="20"/>
              </w:rPr>
              <w:t>два пъти дневно</w:t>
            </w:r>
          </w:p>
        </w:tc>
      </w:tr>
    </w:tbl>
    <w:p w14:paraId="20C4C3BB" w14:textId="42B03D62" w:rsidR="00680F5A" w:rsidRDefault="00680F5A" w:rsidP="00680F5A"/>
    <w:p w14:paraId="6D509FBE"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Терапевтичен лекарствен мониторинг:</w:t>
      </w:r>
    </w:p>
    <w:p w14:paraId="490D205A"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Препоръчва се използването на тестове за анализ с подходящи характеристики при таргетиране на ниски концентрации на циклоспорин или такролимус.</w:t>
      </w:r>
    </w:p>
    <w:p w14:paraId="179EFEEE"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Сертикан има тесен терапевтичен индекс, което може да наложи коригиране на дозировката за поддържане на терапевтичния отговор. Препоръчва се редовно проследяване на терапевтичните концентрации на еверолимус в цяла кръв. Въз основа на анализ на връзките експозиция- ефикасност и експозиция-безопасност беше установено, че при пациентите, достигащи най- ниски концентрации на еверолимус в цяла кръв ≥3,0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честотата на доказано с биопсия остро отхвърляне на трансплантиран бъбрек, сърце или черен дроб е по-ниска от тази при пациентите с концентрации в кръвта под 3,0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Препоръчителната горна граница на терапевтичния диапазон е 8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Експозиция над 12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не е проучвана. Тези препоръчителни диапазони за еверолимус се основават на хроматографски анализи.</w:t>
      </w:r>
    </w:p>
    <w:p w14:paraId="3CE97CED" w14:textId="77777777" w:rsidR="00680F5A" w:rsidRPr="00680F5A" w:rsidRDefault="00680F5A" w:rsidP="00680F5A">
      <w:pPr>
        <w:spacing w:line="240" w:lineRule="auto"/>
        <w:rPr>
          <w:rFonts w:eastAsia="Times New Roman" w:cs="Arial"/>
          <w:color w:val="000000"/>
          <w:szCs w:val="20"/>
          <w:lang w:eastAsia="bg-BG"/>
        </w:rPr>
      </w:pPr>
    </w:p>
    <w:p w14:paraId="49A6A8F5" w14:textId="7F6E135B"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От особено значение е да се мониторират концентрации на еверолимус в кръвта при пациентите с увреждане на чернодробната функция по време на едновременно приложение със силни индуктори или инхибитори на </w:t>
      </w:r>
      <w:r w:rsidRPr="00680F5A">
        <w:rPr>
          <w:rFonts w:eastAsia="Times New Roman" w:cs="Arial"/>
          <w:color w:val="000000"/>
          <w:szCs w:val="20"/>
          <w:lang w:val="en-US"/>
        </w:rPr>
        <w:t>CYP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когато се променя фармацевтичната формула и/или ако дозата на циклоспорин се намалява чувствително (вж. точка 4.5). При употреба на диспергиращи се таблетки концентрациите на еверолимус може да са малко по-ниски.</w:t>
      </w:r>
    </w:p>
    <w:p w14:paraId="409F6F3B" w14:textId="77777777" w:rsidR="00680F5A" w:rsidRPr="00680F5A" w:rsidRDefault="00680F5A" w:rsidP="00680F5A">
      <w:pPr>
        <w:spacing w:line="240" w:lineRule="auto"/>
        <w:rPr>
          <w:rFonts w:eastAsia="Times New Roman" w:cs="Arial"/>
          <w:color w:val="000000"/>
          <w:szCs w:val="20"/>
          <w:lang w:eastAsia="bg-BG"/>
        </w:rPr>
      </w:pPr>
    </w:p>
    <w:p w14:paraId="19AC9732" w14:textId="117495B1"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Оптимално коригиране на дозировката на Сертикан трябва да се основава на най-ниски концентрации, получени &gt;4-5 дни след предходната промяна на дозата. Циклоспорин взаимодейства с еверолимус и вследствие на това концентрациите на еверолимус може да спаднат, ако експозицията на циклоспорин чувствително се намали (т.е. най-ниска концентрация &lt;50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6F87AA45" w14:textId="77777777" w:rsidR="00680F5A" w:rsidRPr="00680F5A" w:rsidRDefault="00680F5A" w:rsidP="00680F5A">
      <w:pPr>
        <w:spacing w:line="240" w:lineRule="auto"/>
        <w:rPr>
          <w:rFonts w:eastAsia="Times New Roman" w:cs="Arial"/>
          <w:color w:val="000000"/>
          <w:szCs w:val="20"/>
          <w:lang w:eastAsia="bg-BG"/>
        </w:rPr>
      </w:pPr>
    </w:p>
    <w:p w14:paraId="0D312AFD" w14:textId="3F7B12A9"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lastRenderedPageBreak/>
        <w:t xml:space="preserve">При пациенти с чернодробно увреждане са препоръчителни концентрации в горната граница на терапевтичния диапазон 3-8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75D927F8" w14:textId="77777777" w:rsidR="00680F5A" w:rsidRPr="00680F5A" w:rsidRDefault="00680F5A" w:rsidP="00680F5A">
      <w:pPr>
        <w:spacing w:line="240" w:lineRule="auto"/>
        <w:rPr>
          <w:rFonts w:eastAsia="Times New Roman" w:cs="Arial"/>
          <w:color w:val="000000"/>
          <w:szCs w:val="20"/>
          <w:lang w:eastAsia="bg-BG"/>
        </w:rPr>
      </w:pPr>
    </w:p>
    <w:p w14:paraId="324AECE0" w14:textId="26DF5C91" w:rsidR="00680F5A" w:rsidRPr="00680F5A" w:rsidRDefault="00680F5A" w:rsidP="00680F5A">
      <w:pPr>
        <w:spacing w:line="240" w:lineRule="auto"/>
        <w:rPr>
          <w:rFonts w:eastAsia="Times New Roman" w:cs="Arial"/>
          <w:color w:val="000000"/>
          <w:szCs w:val="20"/>
          <w:lang w:eastAsia="bg-BG"/>
        </w:rPr>
      </w:pPr>
      <w:r w:rsidRPr="00680F5A">
        <w:rPr>
          <w:rFonts w:eastAsia="Times New Roman" w:cs="Arial"/>
          <w:color w:val="000000"/>
          <w:szCs w:val="20"/>
          <w:lang w:eastAsia="bg-BG"/>
        </w:rPr>
        <w:t>След започване на терапията или след коригиране на дозата, мониторирането трябва да се провежда на всеки 4 до 5 дни, докато 2 последователни измервания на най-ниските концентрации покажат стабилни концентрации на еверолимус, тъй като удължените времена на полуелиминиране при пациенти с чернодробни увреждания водят до забавено достигане на на стационарно състояние (вж. точки 4.4 и 5.2). Коригирането на дозата трябва да се базира на стабилните най-ниски концентрации на еверолимус.</w:t>
      </w:r>
    </w:p>
    <w:p w14:paraId="61EEE9BC" w14:textId="2589C0F1" w:rsidR="00680F5A" w:rsidRPr="00680F5A" w:rsidRDefault="00680F5A" w:rsidP="00680F5A">
      <w:pPr>
        <w:spacing w:line="240" w:lineRule="auto"/>
        <w:rPr>
          <w:rFonts w:eastAsia="Times New Roman" w:cs="Arial"/>
          <w:color w:val="000000"/>
          <w:szCs w:val="20"/>
          <w:lang w:eastAsia="bg-BG"/>
        </w:rPr>
      </w:pPr>
    </w:p>
    <w:p w14:paraId="7FC4C4E5"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Препоръки за дозата на циклоспорин при бъбречна трансплантация:</w:t>
      </w:r>
    </w:p>
    <w:p w14:paraId="3AC27E34"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Сертикан не трябва да се употребява за продължителни периоди едновременно с пълни дози циклоспорин. Намалената експозиция на циклоспорин при приемащите Сертикан пациенти с бъбречна трансплантация подобрява бъбречната функция. Въз основа на данните от клинично изпитване А2309, намаляването на експозицията на циклоспорин трябва да започне незабавно след трансплантацията, при следните препоръчителни диапазони на най-ниските концентрации на циклоспорин в цяла кръв:</w:t>
      </w:r>
    </w:p>
    <w:p w14:paraId="541814FF" w14:textId="77777777" w:rsidR="00680F5A" w:rsidRPr="00680F5A" w:rsidRDefault="00680F5A" w:rsidP="00680F5A">
      <w:pPr>
        <w:spacing w:line="240" w:lineRule="auto"/>
        <w:rPr>
          <w:rFonts w:eastAsia="Times New Roman" w:cs="Arial"/>
          <w:b/>
          <w:bCs/>
          <w:color w:val="000000"/>
          <w:szCs w:val="20"/>
          <w:lang w:eastAsia="bg-BG"/>
        </w:rPr>
      </w:pPr>
    </w:p>
    <w:p w14:paraId="527051DA" w14:textId="46446146" w:rsidR="00680F5A" w:rsidRDefault="00680F5A" w:rsidP="00680F5A">
      <w:pPr>
        <w:spacing w:line="240" w:lineRule="auto"/>
        <w:rPr>
          <w:rFonts w:eastAsia="Times New Roman" w:cs="Arial"/>
          <w:b/>
          <w:bCs/>
          <w:color w:val="000000"/>
          <w:szCs w:val="20"/>
          <w:lang w:eastAsia="bg-BG"/>
        </w:rPr>
      </w:pPr>
      <w:r w:rsidRPr="00680F5A">
        <w:rPr>
          <w:rFonts w:eastAsia="Times New Roman" w:cs="Arial"/>
          <w:b/>
          <w:bCs/>
          <w:color w:val="000000"/>
          <w:szCs w:val="20"/>
          <w:lang w:eastAsia="bg-BG"/>
        </w:rPr>
        <w:t>Таблица 2 Бъбречна трансплантация: препоръчителни таргетни диапазони на най- ниски концентрации на циклоспорин в цяла кръв</w:t>
      </w:r>
    </w:p>
    <w:tbl>
      <w:tblPr>
        <w:tblStyle w:val="TableGrid"/>
        <w:tblW w:w="0" w:type="auto"/>
        <w:tblLook w:val="04A0" w:firstRow="1" w:lastRow="0" w:firstColumn="1" w:lastColumn="0" w:noHBand="0" w:noVBand="1"/>
      </w:tblPr>
      <w:tblGrid>
        <w:gridCol w:w="1905"/>
        <w:gridCol w:w="1855"/>
        <w:gridCol w:w="1863"/>
        <w:gridCol w:w="1863"/>
        <w:gridCol w:w="1864"/>
      </w:tblGrid>
      <w:tr w:rsidR="00680F5A" w14:paraId="79C15F56" w14:textId="77777777" w:rsidTr="00680F5A">
        <w:tc>
          <w:tcPr>
            <w:tcW w:w="1915" w:type="dxa"/>
            <w:vAlign w:val="bottom"/>
          </w:tcPr>
          <w:p w14:paraId="4F6EC8EF" w14:textId="12780635"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 xml:space="preserve">Таргетна концентрация циклоспорин </w:t>
            </w:r>
            <w:r w:rsidRPr="00680F5A">
              <w:rPr>
                <w:b/>
                <w:bCs/>
                <w:szCs w:val="20"/>
                <w:lang w:val="en-US"/>
              </w:rPr>
              <w:t>C</w:t>
            </w:r>
            <w:r w:rsidRPr="00680F5A">
              <w:rPr>
                <w:b/>
                <w:bCs/>
                <w:szCs w:val="20"/>
                <w:vertAlign w:val="subscript"/>
                <w:lang w:val="ru-RU"/>
              </w:rPr>
              <w:t>0</w:t>
            </w:r>
            <w:r w:rsidRPr="00680F5A">
              <w:rPr>
                <w:b/>
                <w:bCs/>
                <w:szCs w:val="20"/>
                <w:lang w:val="ru-RU"/>
              </w:rPr>
              <w:t xml:space="preserve"> (</w:t>
            </w:r>
            <w:r w:rsidRPr="00680F5A">
              <w:rPr>
                <w:b/>
                <w:bCs/>
                <w:szCs w:val="20"/>
                <w:lang w:val="en-US"/>
              </w:rPr>
              <w:t>ng</w:t>
            </w:r>
            <w:r w:rsidRPr="00680F5A">
              <w:rPr>
                <w:b/>
                <w:bCs/>
                <w:szCs w:val="20"/>
                <w:lang w:val="ru-RU"/>
              </w:rPr>
              <w:t>/</w:t>
            </w:r>
            <w:r w:rsidRPr="00680F5A">
              <w:rPr>
                <w:b/>
                <w:bCs/>
                <w:szCs w:val="20"/>
                <w:lang w:val="en-US"/>
              </w:rPr>
              <w:t>ml</w:t>
            </w:r>
            <w:r w:rsidRPr="00680F5A">
              <w:rPr>
                <w:b/>
                <w:bCs/>
                <w:szCs w:val="20"/>
                <w:lang w:val="ru-RU"/>
              </w:rPr>
              <w:t>)</w:t>
            </w:r>
          </w:p>
        </w:tc>
        <w:tc>
          <w:tcPr>
            <w:tcW w:w="1915" w:type="dxa"/>
          </w:tcPr>
          <w:p w14:paraId="681F68C4" w14:textId="2192EBE8"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Месец 1</w:t>
            </w:r>
          </w:p>
        </w:tc>
        <w:tc>
          <w:tcPr>
            <w:tcW w:w="1915" w:type="dxa"/>
          </w:tcPr>
          <w:p w14:paraId="18030F48" w14:textId="1C70F628"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 xml:space="preserve">Месеци </w:t>
            </w:r>
            <w:r w:rsidRPr="00680F5A">
              <w:rPr>
                <w:b/>
                <w:bCs/>
                <w:i/>
                <w:iCs/>
                <w:szCs w:val="20"/>
              </w:rPr>
              <w:t>2-3</w:t>
            </w:r>
          </w:p>
        </w:tc>
        <w:tc>
          <w:tcPr>
            <w:tcW w:w="1915" w:type="dxa"/>
          </w:tcPr>
          <w:p w14:paraId="486DFC19" w14:textId="34A00BF6"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 xml:space="preserve">Месеци </w:t>
            </w:r>
            <w:r w:rsidRPr="00680F5A">
              <w:rPr>
                <w:b/>
                <w:bCs/>
                <w:i/>
                <w:iCs/>
                <w:szCs w:val="20"/>
              </w:rPr>
              <w:t>4-5</w:t>
            </w:r>
          </w:p>
        </w:tc>
        <w:tc>
          <w:tcPr>
            <w:tcW w:w="1916" w:type="dxa"/>
          </w:tcPr>
          <w:p w14:paraId="3E6D14BD" w14:textId="7AF7B561"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Месеци 6-12</w:t>
            </w:r>
          </w:p>
        </w:tc>
      </w:tr>
      <w:tr w:rsidR="00680F5A" w14:paraId="1AAFF8BF" w14:textId="77777777" w:rsidTr="00680F5A">
        <w:tc>
          <w:tcPr>
            <w:tcW w:w="1915" w:type="dxa"/>
          </w:tcPr>
          <w:p w14:paraId="0A736DCB" w14:textId="0BF6425A" w:rsidR="00680F5A" w:rsidRPr="00680F5A" w:rsidRDefault="00680F5A" w:rsidP="00680F5A">
            <w:pPr>
              <w:spacing w:line="240" w:lineRule="auto"/>
              <w:rPr>
                <w:rFonts w:ascii="Times New Roman" w:eastAsia="Times New Roman" w:hAnsi="Times New Roman" w:cs="Times New Roman"/>
                <w:szCs w:val="24"/>
              </w:rPr>
            </w:pPr>
            <w:r w:rsidRPr="00680F5A">
              <w:rPr>
                <w:szCs w:val="20"/>
              </w:rPr>
              <w:t>Групи Сертикан</w:t>
            </w:r>
          </w:p>
        </w:tc>
        <w:tc>
          <w:tcPr>
            <w:tcW w:w="1915" w:type="dxa"/>
          </w:tcPr>
          <w:p w14:paraId="0947A87E" w14:textId="015C30C5" w:rsidR="00680F5A" w:rsidRPr="00680F5A" w:rsidRDefault="00680F5A" w:rsidP="00680F5A">
            <w:pPr>
              <w:spacing w:line="240" w:lineRule="auto"/>
              <w:rPr>
                <w:rFonts w:ascii="Times New Roman" w:eastAsia="Times New Roman" w:hAnsi="Times New Roman" w:cs="Times New Roman"/>
                <w:szCs w:val="24"/>
              </w:rPr>
            </w:pPr>
            <w:r w:rsidRPr="00680F5A">
              <w:rPr>
                <w:szCs w:val="20"/>
              </w:rPr>
              <w:t>100-200</w:t>
            </w:r>
          </w:p>
        </w:tc>
        <w:tc>
          <w:tcPr>
            <w:tcW w:w="1915" w:type="dxa"/>
          </w:tcPr>
          <w:p w14:paraId="1D178F8A" w14:textId="48C7A046" w:rsidR="00680F5A" w:rsidRPr="00680F5A" w:rsidRDefault="00680F5A" w:rsidP="00680F5A">
            <w:pPr>
              <w:spacing w:line="240" w:lineRule="auto"/>
              <w:rPr>
                <w:rFonts w:ascii="Times New Roman" w:eastAsia="Times New Roman" w:hAnsi="Times New Roman" w:cs="Times New Roman"/>
                <w:szCs w:val="24"/>
              </w:rPr>
            </w:pPr>
            <w:r w:rsidRPr="00680F5A">
              <w:rPr>
                <w:szCs w:val="20"/>
              </w:rPr>
              <w:t>75-150</w:t>
            </w:r>
          </w:p>
        </w:tc>
        <w:tc>
          <w:tcPr>
            <w:tcW w:w="1915" w:type="dxa"/>
          </w:tcPr>
          <w:p w14:paraId="2BEA6997" w14:textId="2D5C8BCD" w:rsidR="00680F5A" w:rsidRPr="00680F5A" w:rsidRDefault="00680F5A" w:rsidP="00680F5A">
            <w:pPr>
              <w:spacing w:line="240" w:lineRule="auto"/>
              <w:rPr>
                <w:rFonts w:ascii="Times New Roman" w:eastAsia="Times New Roman" w:hAnsi="Times New Roman" w:cs="Times New Roman"/>
                <w:szCs w:val="24"/>
              </w:rPr>
            </w:pPr>
            <w:r w:rsidRPr="00680F5A">
              <w:rPr>
                <w:szCs w:val="20"/>
              </w:rPr>
              <w:t>50-100</w:t>
            </w:r>
          </w:p>
        </w:tc>
        <w:tc>
          <w:tcPr>
            <w:tcW w:w="1916" w:type="dxa"/>
          </w:tcPr>
          <w:p w14:paraId="5AE19222" w14:textId="526C0BC4" w:rsidR="00680F5A" w:rsidRPr="00680F5A" w:rsidRDefault="00680F5A" w:rsidP="00680F5A">
            <w:pPr>
              <w:spacing w:line="240" w:lineRule="auto"/>
              <w:rPr>
                <w:rFonts w:ascii="Times New Roman" w:eastAsia="Times New Roman" w:hAnsi="Times New Roman" w:cs="Times New Roman"/>
                <w:szCs w:val="24"/>
              </w:rPr>
            </w:pPr>
            <w:r w:rsidRPr="00680F5A">
              <w:rPr>
                <w:szCs w:val="20"/>
              </w:rPr>
              <w:t>25-50</w:t>
            </w:r>
          </w:p>
        </w:tc>
      </w:tr>
    </w:tbl>
    <w:p w14:paraId="4854A727" w14:textId="77777777" w:rsidR="00680F5A" w:rsidRPr="00680F5A" w:rsidRDefault="00680F5A" w:rsidP="00680F5A">
      <w:pPr>
        <w:spacing w:line="240" w:lineRule="auto"/>
        <w:rPr>
          <w:rFonts w:ascii="Times New Roman" w:eastAsia="Times New Roman" w:hAnsi="Times New Roman" w:cs="Times New Roman"/>
          <w:sz w:val="24"/>
          <w:szCs w:val="24"/>
        </w:rPr>
      </w:pPr>
    </w:p>
    <w:p w14:paraId="0166EAAB"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(Измерените </w:t>
      </w:r>
      <w:r w:rsidRPr="00680F5A">
        <w:rPr>
          <w:rFonts w:eastAsia="Times New Roman" w:cs="Arial"/>
          <w:color w:val="000000"/>
          <w:szCs w:val="20"/>
          <w:lang w:val="en-US"/>
        </w:rPr>
        <w:t>C</w:t>
      </w:r>
      <w:r w:rsidRPr="00680F5A">
        <w:rPr>
          <w:rFonts w:eastAsia="Times New Roman" w:cs="Arial"/>
          <w:color w:val="000000"/>
          <w:szCs w:val="20"/>
          <w:vertAlign w:val="subscript"/>
          <w:lang w:val="ru-RU"/>
        </w:rPr>
        <w:t>0</w:t>
      </w:r>
      <w:r w:rsidRPr="00680F5A">
        <w:rPr>
          <w:rFonts w:eastAsia="Times New Roman" w:cs="Arial"/>
          <w:color w:val="000000"/>
          <w:szCs w:val="20"/>
          <w:lang w:eastAsia="bg-BG"/>
        </w:rPr>
        <w:t xml:space="preserve"> и С</w:t>
      </w:r>
      <w:r w:rsidRPr="00680F5A">
        <w:rPr>
          <w:rFonts w:eastAsia="Times New Roman" w:cs="Arial"/>
          <w:color w:val="000000"/>
          <w:szCs w:val="20"/>
          <w:vertAlign w:val="subscript"/>
          <w:lang w:eastAsia="bg-BG"/>
        </w:rPr>
        <w:t>2</w:t>
      </w:r>
      <w:r w:rsidRPr="00680F5A">
        <w:rPr>
          <w:rFonts w:eastAsia="Times New Roman" w:cs="Arial"/>
          <w:color w:val="000000"/>
          <w:szCs w:val="20"/>
          <w:lang w:eastAsia="bg-BG"/>
        </w:rPr>
        <w:t>концентрации са посочени в точка 5.1).</w:t>
      </w:r>
    </w:p>
    <w:p w14:paraId="76720367" w14:textId="77777777" w:rsidR="00680F5A" w:rsidRPr="00680F5A" w:rsidRDefault="00680F5A" w:rsidP="00680F5A">
      <w:pPr>
        <w:spacing w:line="240" w:lineRule="auto"/>
        <w:rPr>
          <w:rFonts w:eastAsia="Times New Roman" w:cs="Arial"/>
          <w:color w:val="000000"/>
          <w:szCs w:val="20"/>
          <w:lang w:eastAsia="bg-BG"/>
        </w:rPr>
      </w:pPr>
    </w:p>
    <w:p w14:paraId="644560FC" w14:textId="75E1E744"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Преди намаляване на дозата на циклоспорин, трябва да се осигурят най-ниски концентрации на еверолимус в цяла кръв в стационарно състояние равни или по-високи от 3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6074A4C4" w14:textId="77777777" w:rsidR="00680F5A" w:rsidRPr="00680F5A" w:rsidRDefault="00680F5A" w:rsidP="00680F5A">
      <w:pPr>
        <w:spacing w:line="240" w:lineRule="auto"/>
        <w:rPr>
          <w:rFonts w:eastAsia="Times New Roman" w:cs="Arial"/>
          <w:color w:val="000000"/>
          <w:szCs w:val="20"/>
          <w:lang w:eastAsia="bg-BG"/>
        </w:rPr>
      </w:pPr>
    </w:p>
    <w:p w14:paraId="54A68C99" w14:textId="4403CA4C"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Има ограничени данни за дозирането на Сертикан при най-ниски концентрации на циклоспорин под 50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или С</w:t>
      </w:r>
      <w:r w:rsidRPr="00680F5A">
        <w:rPr>
          <w:rFonts w:eastAsia="Times New Roman" w:cs="Arial"/>
          <w:color w:val="000000"/>
          <w:szCs w:val="20"/>
          <w:vertAlign w:val="subscript"/>
          <w:lang w:eastAsia="bg-BG"/>
        </w:rPr>
        <w:t>2</w:t>
      </w:r>
      <w:r w:rsidRPr="00680F5A">
        <w:rPr>
          <w:rFonts w:eastAsia="Times New Roman" w:cs="Arial"/>
          <w:color w:val="000000"/>
          <w:szCs w:val="20"/>
          <w:lang w:eastAsia="bg-BG"/>
        </w:rPr>
        <w:t xml:space="preserve"> концентрации под 350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по време на поддържащата фаза. Ако пациентът не може да понесе понижената експозиция на циклоспорин, трябва да се преосмисли по-нататъшната употреба на Сертикан.</w:t>
      </w:r>
    </w:p>
    <w:p w14:paraId="613B8901" w14:textId="77777777" w:rsidR="00680F5A" w:rsidRPr="00680F5A" w:rsidRDefault="00680F5A" w:rsidP="00680F5A">
      <w:pPr>
        <w:spacing w:line="240" w:lineRule="auto"/>
        <w:rPr>
          <w:rFonts w:eastAsia="Times New Roman" w:cs="Arial"/>
          <w:color w:val="000000"/>
          <w:szCs w:val="20"/>
          <w:u w:val="single"/>
          <w:lang w:eastAsia="bg-BG"/>
        </w:rPr>
      </w:pPr>
    </w:p>
    <w:p w14:paraId="146CA1DA" w14:textId="59CE7A6D"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 xml:space="preserve">Препоръки за дозата на циклоспорин </w:t>
      </w:r>
      <w:r w:rsidRPr="00680F5A">
        <w:rPr>
          <w:rFonts w:eastAsia="Times New Roman" w:cs="Arial"/>
          <w:i/>
          <w:iCs/>
          <w:color w:val="000000"/>
          <w:szCs w:val="20"/>
          <w:u w:val="single"/>
          <w:lang w:eastAsia="bg-BG"/>
        </w:rPr>
        <w:t>при сърдечна</w:t>
      </w:r>
      <w:r w:rsidRPr="00680F5A">
        <w:rPr>
          <w:rFonts w:eastAsia="Times New Roman" w:cs="Arial"/>
          <w:color w:val="000000"/>
          <w:szCs w:val="20"/>
          <w:u w:val="single"/>
          <w:lang w:eastAsia="bg-BG"/>
        </w:rPr>
        <w:t xml:space="preserve"> трансплантация:</w:t>
      </w:r>
    </w:p>
    <w:p w14:paraId="2689DAA0"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пациенти със сърдечна трансплантация, дозата на циклоспорин по време на поддържащата фаза трябва да се намали според поносимостта, с оглед подобряваме на бъбречната функция. Ако увреждането на бъбречната функция е прогресиращо или ако изчисленият креатининов клирънс е &lt;60 </w:t>
      </w:r>
      <w:r w:rsidRPr="00680F5A">
        <w:rPr>
          <w:rFonts w:eastAsia="Times New Roman" w:cs="Arial"/>
          <w:color w:val="000000"/>
          <w:szCs w:val="20"/>
          <w:lang w:val="en-US"/>
        </w:rPr>
        <w:t>ml</w:t>
      </w:r>
      <w:r w:rsidRPr="00680F5A">
        <w:rPr>
          <w:rFonts w:eastAsia="Times New Roman" w:cs="Arial"/>
          <w:color w:val="000000"/>
          <w:szCs w:val="20"/>
          <w:lang w:val="ru-RU"/>
        </w:rPr>
        <w:t>/</w:t>
      </w:r>
      <w:r w:rsidRPr="00680F5A">
        <w:rPr>
          <w:rFonts w:eastAsia="Times New Roman" w:cs="Arial"/>
          <w:color w:val="000000"/>
          <w:szCs w:val="20"/>
          <w:lang w:val="en-US"/>
        </w:rPr>
        <w:t>min</w:t>
      </w:r>
      <w:r w:rsidRPr="00680F5A">
        <w:rPr>
          <w:rFonts w:eastAsia="Times New Roman" w:cs="Arial"/>
          <w:color w:val="000000"/>
          <w:szCs w:val="20"/>
          <w:lang w:val="ru-RU"/>
        </w:rPr>
        <w:t xml:space="preserve">, </w:t>
      </w:r>
      <w:r w:rsidRPr="00680F5A">
        <w:rPr>
          <w:rFonts w:eastAsia="Times New Roman" w:cs="Arial"/>
          <w:color w:val="000000"/>
          <w:szCs w:val="20"/>
          <w:lang w:eastAsia="bg-BG"/>
        </w:rPr>
        <w:t>терапевтичният режим трябва да се коригира. При пациентите със сърдечна трансплантация, определянето на дозата на циклоспорин може да се основава на най- ниските концентрации на циклоспорин в кръвта. Вижте точка 5.1 за опита с редуцирани кръвни концентрации на циклоспорин.</w:t>
      </w:r>
    </w:p>
    <w:p w14:paraId="224E86A3" w14:textId="77777777" w:rsidR="00680F5A" w:rsidRPr="00680F5A" w:rsidRDefault="00680F5A" w:rsidP="00680F5A">
      <w:pPr>
        <w:spacing w:line="240" w:lineRule="auto"/>
        <w:rPr>
          <w:rFonts w:eastAsia="Times New Roman" w:cs="Arial"/>
          <w:color w:val="000000"/>
          <w:szCs w:val="20"/>
          <w:lang w:eastAsia="bg-BG"/>
        </w:rPr>
      </w:pPr>
    </w:p>
    <w:p w14:paraId="1194E8F8" w14:textId="39DB04A8"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пациенти със сърдечна трансплантация има само ограничени данни за дозата на Сертикан при най-ниски нива на циклоспорин от 50-100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след 12 месеца.</w:t>
      </w:r>
    </w:p>
    <w:p w14:paraId="648ABF55" w14:textId="77777777" w:rsidR="00680F5A" w:rsidRPr="00680F5A" w:rsidRDefault="00680F5A" w:rsidP="00680F5A">
      <w:pPr>
        <w:spacing w:line="240" w:lineRule="auto"/>
        <w:rPr>
          <w:rFonts w:eastAsia="Times New Roman" w:cs="Arial"/>
          <w:color w:val="000000"/>
          <w:szCs w:val="20"/>
          <w:lang w:eastAsia="bg-BG"/>
        </w:rPr>
      </w:pPr>
    </w:p>
    <w:p w14:paraId="18BA3874" w14:textId="75F574B2"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Преди намаляване на дозата на циклоспорин, трябва да се осигурят най-ниски нива на еверолимус в цяла кръв в стационарно състояние равни или по-високи от 3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122D7BDC" w14:textId="77777777" w:rsidR="00680F5A" w:rsidRPr="00680F5A" w:rsidRDefault="00680F5A" w:rsidP="00680F5A">
      <w:pPr>
        <w:spacing w:line="240" w:lineRule="auto"/>
        <w:rPr>
          <w:rFonts w:eastAsia="Times New Roman" w:cs="Arial"/>
          <w:color w:val="000000"/>
          <w:szCs w:val="20"/>
          <w:u w:val="single"/>
          <w:lang w:eastAsia="bg-BG"/>
        </w:rPr>
      </w:pPr>
    </w:p>
    <w:p w14:paraId="3B14831F" w14:textId="0EF96F3F"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Препоръки за дозата на такролимус при чернодробна трансплантация:</w:t>
      </w:r>
    </w:p>
    <w:p w14:paraId="1CF712F5"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Пациентите с чернодробна трансплантация трябва да имат намалена експозиция на такролимус, за да се минимизира калциневрин-свързаната бъбречна токсичност. Дозата на такролимус трябва да започне да се намалява приблизително 3 седмици след започване на едновременното приложение със Сертикан, въз основа на прицелни най-ниски концентрации на такролимус в кръвта </w:t>
      </w:r>
      <w:r w:rsidRPr="00680F5A">
        <w:rPr>
          <w:rFonts w:eastAsia="Times New Roman" w:cs="Arial"/>
          <w:color w:val="000000"/>
          <w:szCs w:val="20"/>
          <w:lang w:val="ru-RU"/>
        </w:rPr>
        <w:t>(</w:t>
      </w:r>
      <w:r w:rsidRPr="00680F5A">
        <w:rPr>
          <w:rFonts w:eastAsia="Times New Roman" w:cs="Arial"/>
          <w:color w:val="000000"/>
          <w:szCs w:val="20"/>
          <w:lang w:val="en-US"/>
        </w:rPr>
        <w:t>C</w:t>
      </w:r>
      <w:r w:rsidRPr="00680F5A">
        <w:rPr>
          <w:rFonts w:eastAsia="Times New Roman" w:cs="Arial"/>
          <w:color w:val="000000"/>
          <w:szCs w:val="20"/>
          <w:vertAlign w:val="subscript"/>
          <w:lang w:val="ru-RU"/>
        </w:rPr>
        <w:t>0</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от 3-5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В контролирани клинични изпитвания, пълното преустановяване на приема на такролимус е било свързано с повишен риск от остро отхвърляне на присадката.</w:t>
      </w:r>
    </w:p>
    <w:p w14:paraId="5EB999CC" w14:textId="77777777" w:rsidR="00680F5A" w:rsidRPr="00680F5A" w:rsidRDefault="00680F5A" w:rsidP="00680F5A">
      <w:pPr>
        <w:spacing w:line="240" w:lineRule="auto"/>
        <w:rPr>
          <w:rFonts w:eastAsia="Times New Roman" w:cs="Arial"/>
          <w:color w:val="000000"/>
          <w:szCs w:val="20"/>
          <w:lang w:eastAsia="bg-BG"/>
        </w:rPr>
      </w:pPr>
    </w:p>
    <w:p w14:paraId="4D9EFA8C" w14:textId="398FDA61"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Комбинирането на Сертикан с пълна доза такролимус не е оценявано в контролирани клинични изпитвания.</w:t>
      </w:r>
    </w:p>
    <w:p w14:paraId="79DA6CAF" w14:textId="77777777" w:rsidR="00680F5A" w:rsidRPr="00680F5A" w:rsidRDefault="00680F5A" w:rsidP="00680F5A">
      <w:pPr>
        <w:spacing w:line="240" w:lineRule="auto"/>
        <w:rPr>
          <w:rFonts w:eastAsia="Times New Roman" w:cs="Arial"/>
          <w:color w:val="000000"/>
          <w:szCs w:val="20"/>
          <w:u w:val="single"/>
          <w:lang w:eastAsia="bg-BG"/>
        </w:rPr>
      </w:pPr>
    </w:p>
    <w:p w14:paraId="66FEB9E1" w14:textId="114E09CB" w:rsidR="00680F5A" w:rsidRPr="00680F5A" w:rsidRDefault="00680F5A" w:rsidP="00680F5A">
      <w:pPr>
        <w:pStyle w:val="Heading3"/>
        <w:rPr>
          <w:rFonts w:eastAsia="Times New Roman"/>
          <w:sz w:val="28"/>
          <w:u w:val="single"/>
        </w:rPr>
      </w:pPr>
      <w:r w:rsidRPr="00680F5A">
        <w:rPr>
          <w:rFonts w:eastAsia="Times New Roman"/>
          <w:u w:val="single"/>
          <w:lang w:eastAsia="bg-BG"/>
        </w:rPr>
        <w:t>Начин на приложение</w:t>
      </w:r>
    </w:p>
    <w:p w14:paraId="552DD197"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Сертикан е предназначен само за перорално приложение</w:t>
      </w:r>
    </w:p>
    <w:p w14:paraId="30BBA9C1" w14:textId="4B8881C4" w:rsidR="00680F5A" w:rsidRPr="00680F5A" w:rsidRDefault="00680F5A" w:rsidP="00680F5A">
      <w:pPr>
        <w:spacing w:line="240" w:lineRule="auto"/>
        <w:rPr>
          <w:rFonts w:eastAsia="Times New Roman" w:cs="Arial"/>
          <w:sz w:val="28"/>
          <w:szCs w:val="24"/>
        </w:rPr>
      </w:pPr>
    </w:p>
    <w:p w14:paraId="16F6ECB7"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Дневната доза Сертикан трябва винаги да се прилага перорално в два отделни приема, със или без храна (вж. точка 5.2), по същото време, когато се приема и циклоспорин микроемулсия или такролимус (вж. </w:t>
      </w:r>
      <w:r w:rsidRPr="00680F5A">
        <w:rPr>
          <w:rFonts w:eastAsia="Times New Roman" w:cs="Arial"/>
          <w:i/>
          <w:iCs/>
          <w:color w:val="000000"/>
          <w:szCs w:val="20"/>
          <w:lang w:eastAsia="bg-BG"/>
        </w:rPr>
        <w:t>„Терапевтичен лекарствен мониторинг").</w:t>
      </w:r>
    </w:p>
    <w:p w14:paraId="1FEF7E40" w14:textId="77777777" w:rsidR="00680F5A" w:rsidRPr="00680F5A" w:rsidRDefault="00680F5A" w:rsidP="00680F5A">
      <w:pPr>
        <w:spacing w:line="240" w:lineRule="auto"/>
        <w:rPr>
          <w:rFonts w:eastAsia="Times New Roman" w:cs="Arial"/>
          <w:color w:val="000000"/>
          <w:szCs w:val="20"/>
          <w:lang w:eastAsia="bg-BG"/>
        </w:rPr>
      </w:pPr>
    </w:p>
    <w:p w14:paraId="19E3F3F0" w14:textId="5911EE4A"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Таблетките Сертикан трябва да се поглъщат цели, с чаша вода и не трябва да се чупят преди употреба. За пациентите, които не могат да поглъщат таблетките цели, са създадени диспергиращи се таблетки Сертикан (вж. „Кратката характеристика на Сертикан диспергиращи се таблетки“).</w:t>
      </w:r>
    </w:p>
    <w:p w14:paraId="7E2F9FB4" w14:textId="0C4D224A" w:rsidR="00680F5A" w:rsidRPr="00680F5A" w:rsidRDefault="00680F5A" w:rsidP="00680F5A"/>
    <w:p w14:paraId="0F253247" w14:textId="5599FAE5" w:rsidR="007122AD" w:rsidRDefault="002C50EE" w:rsidP="00936AD0">
      <w:pPr>
        <w:pStyle w:val="Heading2"/>
      </w:pPr>
      <w:r>
        <w:t>4.3. Противопоказания</w:t>
      </w:r>
    </w:p>
    <w:p w14:paraId="0F3B10D1" w14:textId="6800CB6F" w:rsidR="00680F5A" w:rsidRDefault="00680F5A" w:rsidP="00680F5A"/>
    <w:p w14:paraId="0189534B" w14:textId="03133EB6" w:rsidR="00680F5A" w:rsidRDefault="00680F5A" w:rsidP="00680F5A">
      <w:r>
        <w:t>Сертикан е противопоказан при пациенти с известна свръхчувствителност към еверолимус, сиролимус или някое от помощните вещества.</w:t>
      </w:r>
    </w:p>
    <w:p w14:paraId="1459854A" w14:textId="77777777" w:rsidR="00680F5A" w:rsidRPr="00680F5A" w:rsidRDefault="00680F5A" w:rsidP="00680F5A"/>
    <w:p w14:paraId="0E0BDCC7" w14:textId="7451A008" w:rsidR="007122AD" w:rsidRDefault="002C50EE" w:rsidP="00936AD0">
      <w:pPr>
        <w:pStyle w:val="Heading2"/>
      </w:pPr>
      <w:r>
        <w:t>4.4. Специални предупреждения и предпазни мерки при употреба</w:t>
      </w:r>
    </w:p>
    <w:p w14:paraId="7A755A39" w14:textId="495B3210" w:rsidR="00680F5A" w:rsidRDefault="00680F5A" w:rsidP="00680F5A"/>
    <w:p w14:paraId="4DEC107F"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Провеждане на имуносупресията</w:t>
      </w:r>
    </w:p>
    <w:p w14:paraId="7441BC76"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В условията на клинични изпитвания Сертикан е прилаган успоредно с циклоспорин микроемулсия, базиликсимаб или с такролимус и кортикостероиди. Сертикан не е достатъчно проучен в комбинация с други имуносупресивни средства, различни от споменатите.</w:t>
      </w:r>
    </w:p>
    <w:p w14:paraId="6EFC8CDB" w14:textId="77777777" w:rsidR="00680F5A" w:rsidRPr="00680F5A" w:rsidRDefault="00680F5A" w:rsidP="00680F5A">
      <w:pPr>
        <w:spacing w:line="240" w:lineRule="auto"/>
        <w:rPr>
          <w:rFonts w:eastAsia="Times New Roman" w:cs="Arial"/>
          <w:color w:val="000000"/>
          <w:lang w:eastAsia="bg-BG"/>
        </w:rPr>
      </w:pPr>
    </w:p>
    <w:p w14:paraId="18E80364" w14:textId="0F634937" w:rsidR="00680F5A" w:rsidRPr="00680F5A" w:rsidRDefault="00680F5A" w:rsidP="00680F5A">
      <w:pPr>
        <w:spacing w:line="240" w:lineRule="auto"/>
        <w:rPr>
          <w:rFonts w:eastAsia="Times New Roman" w:cs="Arial"/>
        </w:rPr>
      </w:pPr>
      <w:r w:rsidRPr="00680F5A">
        <w:rPr>
          <w:rFonts w:eastAsia="Times New Roman" w:cs="Arial"/>
          <w:color w:val="000000"/>
          <w:lang w:eastAsia="bg-BG"/>
        </w:rPr>
        <w:t>Сертикан не е достатъчно проучен при пациенти с висок имунологичен риск.</w:t>
      </w:r>
    </w:p>
    <w:p w14:paraId="2F3495CB" w14:textId="77777777" w:rsidR="00680F5A" w:rsidRPr="00680F5A" w:rsidRDefault="00680F5A" w:rsidP="00680F5A">
      <w:pPr>
        <w:spacing w:line="240" w:lineRule="auto"/>
        <w:rPr>
          <w:rFonts w:eastAsia="Times New Roman" w:cs="Arial"/>
          <w:color w:val="000000"/>
          <w:u w:val="single"/>
          <w:lang w:eastAsia="bg-BG"/>
        </w:rPr>
      </w:pPr>
    </w:p>
    <w:p w14:paraId="17D6C502" w14:textId="055F2C56"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Комбинация с тимоглобулинова индукция</w:t>
      </w:r>
    </w:p>
    <w:p w14:paraId="2550A19D"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Необходимо е повишено внимание при съвместно прилагане на тимоглобулинова индукция (заешки антитимоцитен глобулин) и лечение със Сертикан/циклоспорин/кортикостероиди. В клинично изпитване при пациенти със сърдечна трансплантация (изпитване А2310, вж. точка 5.1), е наблюдавана повишена честота на сериозни инфекции, включително фатални инфекции в рамките на първите три месеца след трансплантацията, в подгрупата пациенти, при които е била прилагана индукция със заешки антитимоцитен глобулин.</w:t>
      </w:r>
    </w:p>
    <w:p w14:paraId="540A9D1F" w14:textId="77777777" w:rsidR="00680F5A" w:rsidRPr="00680F5A" w:rsidRDefault="00680F5A" w:rsidP="00680F5A">
      <w:pPr>
        <w:spacing w:line="240" w:lineRule="auto"/>
        <w:rPr>
          <w:rFonts w:eastAsia="Times New Roman" w:cs="Arial"/>
          <w:color w:val="000000"/>
          <w:u w:val="single"/>
          <w:lang w:eastAsia="bg-BG"/>
        </w:rPr>
      </w:pPr>
    </w:p>
    <w:p w14:paraId="2154CD3E" w14:textId="69B4B181"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lastRenderedPageBreak/>
        <w:t>Сериозни и опортюнистични инфекции</w:t>
      </w:r>
    </w:p>
    <w:p w14:paraId="4D5288C2"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Пациентите, приемащи имуносупресивни лекарства, включително Сертикан, са изложени на повишен риск от развитие на опортюнистични инфекции (бактериални, гъбични, вирусни и протозойни). Сред тези опортюнистични заболявания, са ВК вирус-свързаната нефропатия и </w:t>
      </w:r>
      <w:r w:rsidRPr="00680F5A">
        <w:rPr>
          <w:rFonts w:eastAsia="Times New Roman" w:cs="Arial"/>
          <w:color w:val="000000"/>
          <w:lang w:val="en-US"/>
        </w:rPr>
        <w:t>JC</w:t>
      </w:r>
      <w:r w:rsidRPr="00680F5A">
        <w:rPr>
          <w:rFonts w:eastAsia="Times New Roman" w:cs="Arial"/>
          <w:color w:val="000000"/>
          <w:lang w:val="ru-RU"/>
        </w:rPr>
        <w:t xml:space="preserve"> </w:t>
      </w:r>
      <w:r w:rsidRPr="00680F5A">
        <w:rPr>
          <w:rFonts w:eastAsia="Times New Roman" w:cs="Arial"/>
          <w:color w:val="000000"/>
          <w:lang w:eastAsia="bg-BG"/>
        </w:rPr>
        <w:t xml:space="preserve">вирус-свързаната прогресивна множествена левкоенцефалопатия </w:t>
      </w:r>
      <w:r w:rsidRPr="00680F5A">
        <w:rPr>
          <w:rFonts w:eastAsia="Times New Roman" w:cs="Arial"/>
          <w:color w:val="000000"/>
          <w:lang w:val="ru-RU"/>
        </w:rPr>
        <w:t>(</w:t>
      </w:r>
      <w:r w:rsidRPr="00680F5A">
        <w:rPr>
          <w:rFonts w:eastAsia="Times New Roman" w:cs="Arial"/>
          <w:color w:val="000000"/>
          <w:lang w:val="en-US"/>
        </w:rPr>
        <w:t>PML</w:t>
      </w:r>
      <w:r w:rsidRPr="00680F5A">
        <w:rPr>
          <w:rFonts w:eastAsia="Times New Roman" w:cs="Arial"/>
          <w:color w:val="000000"/>
          <w:lang w:val="ru-RU"/>
        </w:rPr>
        <w:t xml:space="preserve">). </w:t>
      </w:r>
      <w:r w:rsidRPr="00680F5A">
        <w:rPr>
          <w:rFonts w:eastAsia="Times New Roman" w:cs="Arial"/>
          <w:color w:val="000000"/>
          <w:lang w:eastAsia="bg-BG"/>
        </w:rPr>
        <w:t>Тези инфекции често са свързани с високо общо имуносупесивно обременяване и могат да доведат до сериозни или фатални състояния, които лекарите трябва да вземат под внимание при диференциална диагноза на имуносупресирани пациенти с влошаваща се бъбречна функция или неврологични симптоми. Има съобщения за инфекции и сепсис с фатален изход при пациенти лекувани със Сертикан (вж. точка 4.8).</w:t>
      </w:r>
    </w:p>
    <w:p w14:paraId="7D5C0C6F" w14:textId="77777777" w:rsidR="00680F5A" w:rsidRPr="00680F5A" w:rsidRDefault="00680F5A" w:rsidP="00680F5A">
      <w:pPr>
        <w:spacing w:line="240" w:lineRule="auto"/>
        <w:rPr>
          <w:rFonts w:eastAsia="Times New Roman" w:cs="Arial"/>
          <w:color w:val="000000"/>
          <w:lang w:eastAsia="bg-BG"/>
        </w:rPr>
      </w:pPr>
    </w:p>
    <w:p w14:paraId="72554E05" w14:textId="363A8062"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В хода на клинични изпитвания със Сертикан е било препоръчано провеждане на антимикробна профилактика срещу </w:t>
      </w:r>
      <w:r w:rsidRPr="00680F5A">
        <w:rPr>
          <w:rFonts w:eastAsia="Times New Roman" w:cs="Arial"/>
          <w:i/>
          <w:iCs/>
          <w:color w:val="000000"/>
          <w:lang w:val="en-US"/>
        </w:rPr>
        <w:t>Pneumocystis</w:t>
      </w:r>
      <w:r w:rsidRPr="00680F5A">
        <w:rPr>
          <w:rFonts w:eastAsia="Times New Roman" w:cs="Arial"/>
          <w:i/>
          <w:iCs/>
          <w:color w:val="000000"/>
          <w:lang w:val="ru-RU"/>
        </w:rPr>
        <w:t xml:space="preserve"> </w:t>
      </w:r>
      <w:r w:rsidRPr="00680F5A">
        <w:rPr>
          <w:rFonts w:eastAsia="Times New Roman" w:cs="Arial"/>
          <w:i/>
          <w:iCs/>
          <w:color w:val="000000"/>
          <w:lang w:val="en-US"/>
        </w:rPr>
        <w:t>jiroveci</w:t>
      </w:r>
      <w:r w:rsidRPr="00680F5A">
        <w:rPr>
          <w:rFonts w:eastAsia="Times New Roman" w:cs="Arial"/>
          <w:i/>
          <w:iCs/>
          <w:color w:val="000000"/>
          <w:lang w:val="ru-RU"/>
        </w:rPr>
        <w:t xml:space="preserve"> (</w:t>
      </w:r>
      <w:r w:rsidRPr="00680F5A">
        <w:rPr>
          <w:rFonts w:eastAsia="Times New Roman" w:cs="Arial"/>
          <w:i/>
          <w:iCs/>
          <w:color w:val="000000"/>
          <w:lang w:val="en-US"/>
        </w:rPr>
        <w:t>carinii</w:t>
      </w:r>
      <w:r w:rsidRPr="00680F5A">
        <w:rPr>
          <w:rFonts w:eastAsia="Times New Roman" w:cs="Arial"/>
          <w:i/>
          <w:iCs/>
          <w:color w:val="000000"/>
          <w:lang w:val="ru-RU"/>
        </w:rPr>
        <w:t>)</w:t>
      </w:r>
      <w:r w:rsidRPr="00680F5A">
        <w:rPr>
          <w:rFonts w:eastAsia="Times New Roman" w:cs="Arial"/>
          <w:color w:val="000000"/>
          <w:lang w:val="ru-RU"/>
        </w:rPr>
        <w:t xml:space="preserve"> </w:t>
      </w:r>
      <w:r w:rsidRPr="00680F5A">
        <w:rPr>
          <w:rFonts w:eastAsia="Times New Roman" w:cs="Arial"/>
          <w:color w:val="000000"/>
          <w:lang w:eastAsia="bg-BG"/>
        </w:rPr>
        <w:t xml:space="preserve">пневмония и цитомегаловирус </w:t>
      </w:r>
      <w:r w:rsidRPr="00680F5A">
        <w:rPr>
          <w:rFonts w:eastAsia="Times New Roman" w:cs="Arial"/>
          <w:color w:val="000000"/>
          <w:lang w:val="ru-RU"/>
        </w:rPr>
        <w:t>(</w:t>
      </w:r>
      <w:r w:rsidRPr="00680F5A">
        <w:rPr>
          <w:rFonts w:eastAsia="Times New Roman" w:cs="Arial"/>
          <w:color w:val="000000"/>
          <w:lang w:val="en-US"/>
        </w:rPr>
        <w:t>CMV</w:t>
      </w:r>
      <w:r w:rsidRPr="00680F5A">
        <w:rPr>
          <w:rFonts w:eastAsia="Times New Roman" w:cs="Arial"/>
          <w:color w:val="000000"/>
          <w:lang w:val="ru-RU"/>
        </w:rPr>
        <w:t xml:space="preserve">) </w:t>
      </w:r>
      <w:r w:rsidRPr="00680F5A">
        <w:rPr>
          <w:rFonts w:eastAsia="Times New Roman" w:cs="Arial"/>
          <w:color w:val="000000"/>
          <w:lang w:eastAsia="bg-BG"/>
        </w:rPr>
        <w:t>след трансплантацията, по-специално при пациентите с повишен риск от развитие на опортюнистични инфекции.</w:t>
      </w:r>
    </w:p>
    <w:p w14:paraId="315FEF60" w14:textId="77777777" w:rsidR="00680F5A" w:rsidRPr="00680F5A" w:rsidRDefault="00680F5A" w:rsidP="00680F5A">
      <w:pPr>
        <w:spacing w:line="240" w:lineRule="auto"/>
        <w:rPr>
          <w:rFonts w:eastAsia="Times New Roman" w:cs="Arial"/>
          <w:color w:val="000000"/>
          <w:u w:val="single"/>
          <w:lang w:eastAsia="bg-BG"/>
        </w:rPr>
      </w:pPr>
    </w:p>
    <w:p w14:paraId="4D9F03F6" w14:textId="4F56008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Увреждане на чернодробната функция</w:t>
      </w:r>
    </w:p>
    <w:p w14:paraId="6867CECE"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Препоръчва се стриктно мониториране на най-ниските концентрации на еверолимус в кръвта </w:t>
      </w:r>
      <w:r w:rsidRPr="00680F5A">
        <w:rPr>
          <w:rFonts w:eastAsia="Times New Roman" w:cs="Arial"/>
          <w:color w:val="000000"/>
          <w:lang w:val="ru-RU"/>
        </w:rPr>
        <w:t>(</w:t>
      </w:r>
      <w:r w:rsidRPr="00680F5A">
        <w:rPr>
          <w:rFonts w:eastAsia="Times New Roman" w:cs="Arial"/>
          <w:color w:val="000000"/>
          <w:lang w:val="en-US"/>
        </w:rPr>
        <w:t>C</w:t>
      </w:r>
      <w:r w:rsidRPr="00680F5A">
        <w:rPr>
          <w:rFonts w:eastAsia="Times New Roman" w:cs="Arial"/>
          <w:color w:val="000000"/>
          <w:vertAlign w:val="subscript"/>
          <w:lang w:val="ru-RU"/>
        </w:rPr>
        <w:t>0</w:t>
      </w:r>
      <w:r w:rsidRPr="00680F5A">
        <w:rPr>
          <w:rFonts w:eastAsia="Times New Roman" w:cs="Arial"/>
          <w:color w:val="000000"/>
          <w:lang w:val="ru-RU"/>
        </w:rPr>
        <w:t xml:space="preserve">) </w:t>
      </w:r>
      <w:r w:rsidRPr="00680F5A">
        <w:rPr>
          <w:rFonts w:eastAsia="Times New Roman" w:cs="Arial"/>
          <w:color w:val="000000"/>
          <w:lang w:eastAsia="bg-BG"/>
        </w:rPr>
        <w:t>и коригиране на дозата на еверолимус при пациенти с увредена чернодробна функция (вж. точка 4.2).</w:t>
      </w:r>
    </w:p>
    <w:p w14:paraId="6DB07932" w14:textId="77777777" w:rsidR="00680F5A" w:rsidRPr="00680F5A" w:rsidRDefault="00680F5A" w:rsidP="00680F5A">
      <w:pPr>
        <w:spacing w:line="240" w:lineRule="auto"/>
        <w:rPr>
          <w:rFonts w:eastAsia="Times New Roman" w:cs="Arial"/>
          <w:color w:val="000000"/>
          <w:lang w:eastAsia="bg-BG"/>
        </w:rPr>
      </w:pPr>
    </w:p>
    <w:p w14:paraId="717597E3" w14:textId="74E0C34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Поради по-дългите времена на полуелиминиране при пациенти с чернодробни увреждания (вж. точка 5.2), терапевтичният мониторинг на </w:t>
      </w:r>
      <w:r w:rsidRPr="00680F5A">
        <w:rPr>
          <w:rFonts w:eastAsia="Times New Roman" w:cs="Arial"/>
          <w:i/>
          <w:iCs/>
          <w:color w:val="000000"/>
          <w:lang w:eastAsia="bg-BG"/>
        </w:rPr>
        <w:t>еверолимус,</w:t>
      </w:r>
      <w:r w:rsidRPr="00680F5A">
        <w:rPr>
          <w:rFonts w:eastAsia="Times New Roman" w:cs="Arial"/>
          <w:color w:val="000000"/>
          <w:lang w:eastAsia="bg-BG"/>
        </w:rPr>
        <w:t xml:space="preserve"> след започване на терапията или след</w:t>
      </w:r>
    </w:p>
    <w:p w14:paraId="4A9C79E9" w14:textId="486EFAA9" w:rsidR="00680F5A" w:rsidRPr="00680F5A" w:rsidRDefault="00680F5A" w:rsidP="00680F5A">
      <w:pPr>
        <w:rPr>
          <w:rFonts w:eastAsia="Times New Roman" w:cs="Arial"/>
          <w:color w:val="000000"/>
          <w:lang w:eastAsia="bg-BG"/>
        </w:rPr>
      </w:pPr>
      <w:r w:rsidRPr="00680F5A">
        <w:rPr>
          <w:rFonts w:eastAsia="Times New Roman" w:cs="Arial"/>
          <w:color w:val="000000"/>
          <w:lang w:eastAsia="bg-BG"/>
        </w:rPr>
        <w:t>коригиране на дозата, трябва да се провежда до достигане на стационарни концентрации.</w:t>
      </w:r>
    </w:p>
    <w:p w14:paraId="6492F57E" w14:textId="26265D7D" w:rsidR="00680F5A" w:rsidRPr="00680F5A" w:rsidRDefault="00680F5A" w:rsidP="00680F5A">
      <w:pPr>
        <w:rPr>
          <w:rFonts w:cs="Arial"/>
        </w:rPr>
      </w:pPr>
    </w:p>
    <w:p w14:paraId="306F16CD"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 xml:space="preserve">Взаимодействие с перорални субстрати на </w:t>
      </w:r>
      <w:r w:rsidRPr="00680F5A">
        <w:rPr>
          <w:rFonts w:eastAsia="Times New Roman" w:cs="Arial"/>
          <w:color w:val="000000"/>
          <w:u w:val="single"/>
          <w:lang w:val="en-US"/>
        </w:rPr>
        <w:t>CYP</w:t>
      </w:r>
      <w:r w:rsidRPr="00680F5A">
        <w:rPr>
          <w:rFonts w:eastAsia="Times New Roman" w:cs="Arial"/>
          <w:color w:val="000000"/>
          <w:u w:val="single"/>
          <w:lang w:val="ru-RU"/>
        </w:rPr>
        <w:t xml:space="preserve">3 </w:t>
      </w:r>
      <w:r w:rsidRPr="00680F5A">
        <w:rPr>
          <w:rFonts w:eastAsia="Times New Roman" w:cs="Arial"/>
          <w:color w:val="000000"/>
          <w:u w:val="single"/>
          <w:lang w:eastAsia="bg-BG"/>
        </w:rPr>
        <w:t>А4</w:t>
      </w:r>
    </w:p>
    <w:p w14:paraId="30CA8C91"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Трябва да се внимава, когато Сертикан се приема в комбинация с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 тесен терапевтичен индекс, поради възможността за лекарствени взаимодействия. Ако Сертикан се прилага с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 тесен терапевтичен индекс (напр. пимозид, терфенадин, астемизол, цизаприд, хинидин или ерго-алкалоид и), пациентът трябва да се наблюдава за нежелани лекарствени реакции, описани в лекарствената информация на съответния перорално прилаган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субстрат (вж. точка 4.5).</w:t>
      </w:r>
    </w:p>
    <w:p w14:paraId="364EEB86" w14:textId="77777777" w:rsidR="00680F5A" w:rsidRPr="00680F5A" w:rsidRDefault="00680F5A" w:rsidP="00680F5A">
      <w:pPr>
        <w:spacing w:line="240" w:lineRule="auto"/>
        <w:rPr>
          <w:rFonts w:eastAsia="Times New Roman" w:cs="Arial"/>
          <w:color w:val="000000"/>
          <w:u w:val="single"/>
          <w:lang w:eastAsia="bg-BG"/>
        </w:rPr>
      </w:pPr>
    </w:p>
    <w:p w14:paraId="7E223D11" w14:textId="77777777" w:rsidR="00680F5A" w:rsidRPr="00680F5A" w:rsidRDefault="00680F5A" w:rsidP="00680F5A">
      <w:pPr>
        <w:spacing w:line="240" w:lineRule="auto"/>
        <w:rPr>
          <w:rFonts w:eastAsia="Times New Roman" w:cs="Arial"/>
          <w:color w:val="000000"/>
          <w:u w:val="single"/>
          <w:lang w:val="ru-RU"/>
        </w:rPr>
      </w:pPr>
      <w:r w:rsidRPr="00680F5A">
        <w:rPr>
          <w:rFonts w:eastAsia="Times New Roman" w:cs="Arial"/>
          <w:color w:val="000000"/>
          <w:u w:val="single"/>
          <w:lang w:eastAsia="bg-BG"/>
        </w:rPr>
        <w:t xml:space="preserve">Взаимодействие със силни инхибитори или индуктори на </w:t>
      </w:r>
      <w:r w:rsidRPr="00680F5A">
        <w:rPr>
          <w:rFonts w:eastAsia="Times New Roman" w:cs="Arial"/>
          <w:color w:val="000000"/>
          <w:u w:val="single"/>
          <w:lang w:val="en-US"/>
        </w:rPr>
        <w:t>CYP</w:t>
      </w:r>
      <w:r w:rsidRPr="00680F5A">
        <w:rPr>
          <w:rFonts w:eastAsia="Times New Roman" w:cs="Arial"/>
          <w:color w:val="000000"/>
          <w:u w:val="single"/>
          <w:lang w:val="ru-RU"/>
        </w:rPr>
        <w:t>3</w:t>
      </w:r>
      <w:r w:rsidRPr="00680F5A">
        <w:rPr>
          <w:rFonts w:eastAsia="Times New Roman" w:cs="Arial"/>
          <w:color w:val="000000"/>
          <w:u w:val="single"/>
          <w:lang w:val="en-US"/>
        </w:rPr>
        <w:t>A</w:t>
      </w:r>
      <w:r w:rsidRPr="00680F5A">
        <w:rPr>
          <w:rFonts w:eastAsia="Times New Roman" w:cs="Arial"/>
          <w:color w:val="000000"/>
          <w:u w:val="single"/>
          <w:lang w:val="ru-RU"/>
        </w:rPr>
        <w:t xml:space="preserve">4 </w:t>
      </w:r>
    </w:p>
    <w:p w14:paraId="657F6533" w14:textId="2BBFF4E2"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Едновременното приложение със силни инхибитори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(напр. кетоконазол, итраконазол, вориконазол, кларитромицин, телитромицин, ритонавир) и индуктори (напр. рифампицин, рифабутин, карбамазепин, фенитоин) не е препоръчително, освен ако евентуалните ползи не превишават риска. Препоръчва се мониториране на най-ниските концентрации на еверолимус в кръвта винаги, когато едновременно с него се прилагат индуктори или инхибитори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и след прекратяване на приема им (вж. точка 4.5).</w:t>
      </w:r>
    </w:p>
    <w:p w14:paraId="12B3490E" w14:textId="77777777" w:rsidR="00680F5A" w:rsidRPr="00680F5A" w:rsidRDefault="00680F5A" w:rsidP="00680F5A">
      <w:pPr>
        <w:spacing w:line="240" w:lineRule="auto"/>
        <w:rPr>
          <w:rFonts w:eastAsia="Times New Roman" w:cs="Arial"/>
          <w:color w:val="000000"/>
          <w:u w:val="single"/>
          <w:lang w:eastAsia="bg-BG"/>
        </w:rPr>
      </w:pPr>
    </w:p>
    <w:p w14:paraId="635A3D27" w14:textId="0CAE3852"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Лимфоми и други злокачествени заболявания</w:t>
      </w:r>
    </w:p>
    <w:p w14:paraId="17E8E307"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Пациентите, приемащи имуносупресивни лекарства, включително Сертикан, са изложени на повишен риск от развитие на лимфоми и други злокачествени заболявания, особено на кожата (вж. точка 4.8). Абсолютният риск изглежда свързан повече с продължителността и интензитета на имуносупресията, отколкото с употребата на специфичен лекарствен продукт. Пациентите трябва да бъдат преглеждани редовно за неоплазми на кожата и да бъдат съветвани да сведат до минимум излагането си на </w:t>
      </w:r>
      <w:r w:rsidRPr="00680F5A">
        <w:rPr>
          <w:rFonts w:eastAsia="Times New Roman" w:cs="Arial"/>
          <w:color w:val="000000"/>
          <w:lang w:eastAsia="bg-BG"/>
        </w:rPr>
        <w:lastRenderedPageBreak/>
        <w:t xml:space="preserve">ултравиолетови лъчи и </w:t>
      </w:r>
      <w:r w:rsidRPr="00680F5A">
        <w:rPr>
          <w:rFonts w:eastAsia="Times New Roman" w:cs="Arial"/>
          <w:i/>
          <w:iCs/>
          <w:color w:val="000000"/>
          <w:lang w:eastAsia="bg-BG"/>
        </w:rPr>
        <w:t>слънчева</w:t>
      </w:r>
      <w:r w:rsidRPr="00680F5A">
        <w:rPr>
          <w:rFonts w:eastAsia="Times New Roman" w:cs="Arial"/>
          <w:color w:val="000000"/>
          <w:lang w:eastAsia="bg-BG"/>
        </w:rPr>
        <w:t xml:space="preserve"> светлина, както и да употребяват подходящи слънцезащитни продукти.</w:t>
      </w:r>
    </w:p>
    <w:p w14:paraId="257C4717" w14:textId="77777777" w:rsidR="00680F5A" w:rsidRPr="00680F5A" w:rsidRDefault="00680F5A" w:rsidP="00680F5A">
      <w:pPr>
        <w:spacing w:line="240" w:lineRule="auto"/>
        <w:rPr>
          <w:rFonts w:eastAsia="Times New Roman" w:cs="Arial"/>
          <w:color w:val="000000"/>
          <w:u w:val="single"/>
          <w:lang w:eastAsia="bg-BG"/>
        </w:rPr>
      </w:pPr>
    </w:p>
    <w:p w14:paraId="5C5A3F8F" w14:textId="03065876"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Хиперлипидемия</w:t>
      </w:r>
    </w:p>
    <w:p w14:paraId="0D453DC0"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Успоредното приложение на Сертикан с циклоспорин микроемулсия или такролимус при пациенти с трансплантации се асоциира с повишение на серумния холестерол и триглицериди, при което може да възникне необходимост от лечение. Приемащите Сертикан пациенти трябва да бъдат мониторирани за хиперлипидемия и при нужда да се прилагат липидопонижаващи лекарства и подходящи корекции на хранителния режим (вж. точка 4.5). Необходима е оценка на съотношението полза/риск при пациенти с установена хиперлипидемия, преди да се започне имуносупресивна терапия включваща Сертикан. По подобен начин трябва да се преоцени съотношението полза/риск за продължаване на лечението със Сертикан при пациенти с тежка рефрактерна хиперлипидемия. Пациенти, на които се прилага инхибитор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редуктаза и/или фибрат, трябва да бъдат мониторирани за рабдомиолиза и други странични ефекти, описани в кратките характеристики на съответните лекарствени продукти (вж. точка 4.5).</w:t>
      </w:r>
    </w:p>
    <w:p w14:paraId="112C3F4C" w14:textId="77777777" w:rsidR="00680F5A" w:rsidRPr="00680F5A" w:rsidRDefault="00680F5A" w:rsidP="00680F5A">
      <w:pPr>
        <w:spacing w:line="240" w:lineRule="auto"/>
        <w:rPr>
          <w:rFonts w:eastAsia="Times New Roman" w:cs="Arial"/>
          <w:color w:val="000000"/>
          <w:u w:val="single"/>
          <w:lang w:eastAsia="bg-BG"/>
        </w:rPr>
      </w:pPr>
    </w:p>
    <w:p w14:paraId="345E9856" w14:textId="028DB382"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Ангиоедем</w:t>
      </w:r>
    </w:p>
    <w:p w14:paraId="2C06EDD1"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Сертикан се свързва с развитие на ангиоедем. В болшинството докладвани случаи, пациентите са получавали АСЕ инхибитори като съпътстващо лечение.</w:t>
      </w:r>
    </w:p>
    <w:p w14:paraId="2DB1A436" w14:textId="77777777" w:rsidR="00680F5A" w:rsidRPr="00680F5A" w:rsidRDefault="00680F5A" w:rsidP="00680F5A">
      <w:pPr>
        <w:spacing w:line="240" w:lineRule="auto"/>
        <w:rPr>
          <w:rFonts w:eastAsia="Times New Roman" w:cs="Arial"/>
          <w:color w:val="000000"/>
          <w:u w:val="single"/>
          <w:lang w:eastAsia="bg-BG"/>
        </w:rPr>
      </w:pPr>
    </w:p>
    <w:p w14:paraId="20DE24D9" w14:textId="6984FB82"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Еверолимус и калциневрин-индуцирана бъбречна дисфункция</w:t>
      </w:r>
    </w:p>
    <w:p w14:paraId="05385BF9"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При пациенти с бъбречна и сърдечна трансплантация, прилагането на Сертикан с пълна доза циклоспорин увеличава риска от бъбречна дисфункция. Необходими са намалени дози на циклоспорин, когато се прилага в комбинация със Сертикан, за да се избегне развитието на бъбречна дисфункция. При пациенти с повишени серумни нива на креатинин трябва да се има предвид подходящо коригиране на имуносупресивния режим, по-специално намаляване на дозата на циклоспорин.</w:t>
      </w:r>
    </w:p>
    <w:p w14:paraId="6E643E50" w14:textId="77777777" w:rsidR="00680F5A" w:rsidRPr="00680F5A" w:rsidRDefault="00680F5A" w:rsidP="00680F5A">
      <w:pPr>
        <w:rPr>
          <w:rFonts w:eastAsia="Times New Roman" w:cs="Arial"/>
          <w:color w:val="000000"/>
          <w:lang w:eastAsia="bg-BG"/>
        </w:rPr>
      </w:pPr>
    </w:p>
    <w:p w14:paraId="72522AE4" w14:textId="77777777" w:rsidR="00680F5A" w:rsidRPr="00680F5A" w:rsidRDefault="00680F5A" w:rsidP="00680F5A">
      <w:pPr>
        <w:rPr>
          <w:rFonts w:eastAsia="Times New Roman" w:cs="Arial"/>
        </w:rPr>
      </w:pPr>
      <w:r w:rsidRPr="00680F5A">
        <w:rPr>
          <w:rFonts w:eastAsia="Times New Roman" w:cs="Arial"/>
          <w:color w:val="000000"/>
          <w:lang w:eastAsia="bg-BG"/>
        </w:rPr>
        <w:t>В клинично изпитване при пациенти с чернодробна трансплантация е установено, че прилагането на Сертикан с намалена експозиция на такролимус не води до влошаване на бъбречната функция, в сравнение с прилагането му със стандартна експозиция на такролимус без Сертикан. При всички пациенти се препоръчва редовно мониториране на бъбречната</w:t>
      </w:r>
      <w:r w:rsidRPr="00680F5A">
        <w:rPr>
          <w:rFonts w:eastAsia="Times New Roman" w:cs="Arial"/>
          <w:color w:val="000000"/>
          <w:lang w:val="ru-RU" w:eastAsia="bg-BG"/>
        </w:rPr>
        <w:t xml:space="preserve"> </w:t>
      </w:r>
      <w:r w:rsidRPr="00680F5A">
        <w:rPr>
          <w:rFonts w:eastAsia="Times New Roman" w:cs="Arial"/>
          <w:color w:val="000000"/>
          <w:lang w:eastAsia="bg-BG"/>
        </w:rPr>
        <w:t>функция. Необходимо е повишено внимание при едновременно прилагане с други лекарствени продукти, за които е известно, че имат неблагоприятен ефект върху бъбречната функция.</w:t>
      </w:r>
    </w:p>
    <w:p w14:paraId="415993DE" w14:textId="77777777" w:rsidR="00680F5A" w:rsidRPr="00680F5A" w:rsidRDefault="00680F5A" w:rsidP="00680F5A">
      <w:pPr>
        <w:spacing w:line="240" w:lineRule="auto"/>
        <w:rPr>
          <w:rFonts w:eastAsia="Times New Roman" w:cs="Arial"/>
          <w:color w:val="000000"/>
          <w:u w:val="single"/>
          <w:lang w:eastAsia="bg-BG"/>
        </w:rPr>
      </w:pPr>
    </w:p>
    <w:p w14:paraId="554459B3" w14:textId="1405E61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Протеинурия</w:t>
      </w:r>
    </w:p>
    <w:p w14:paraId="3A31FF05"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Прилаганто на Сертикан с калциневринови инхибитори при трансплантирани пациенти се свързва с увеличена протеинурия. Рискът се увеличава при по-високи концентрации на еверолимус в кръвта. При бъбречно трансплантирани пациенти с лека протеинурия, по време на поддържаща имуносупресивна терапия, включваща калциневринов инхибитор </w:t>
      </w:r>
      <w:r w:rsidRPr="00680F5A">
        <w:rPr>
          <w:rFonts w:eastAsia="Times New Roman" w:cs="Arial"/>
          <w:color w:val="000000"/>
          <w:lang w:val="ru-RU"/>
        </w:rPr>
        <w:t>(</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се съобщава за влошаване на протеинурията, когато </w:t>
      </w:r>
      <w:r w:rsidRPr="00680F5A">
        <w:rPr>
          <w:rFonts w:eastAsia="Times New Roman" w:cs="Arial"/>
          <w:color w:val="000000"/>
          <w:lang w:val="ru-RU"/>
        </w:rPr>
        <w:t>(</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се замени със Сертикан. Наблюдава се обратимост при прекратяване приема на Сертикан и повторно въвеждане на </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Безопасността и ефикасността на преминаването от </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на Сертикан при такива пациенти не е установена. Пациентите, получаващи Сертикан трябва да се проследяват за протеинурия.</w:t>
      </w:r>
    </w:p>
    <w:p w14:paraId="71CD4409" w14:textId="77777777" w:rsidR="00680F5A" w:rsidRPr="00680F5A" w:rsidRDefault="00680F5A" w:rsidP="00680F5A">
      <w:pPr>
        <w:spacing w:line="240" w:lineRule="auto"/>
        <w:rPr>
          <w:rFonts w:eastAsia="Times New Roman" w:cs="Arial"/>
          <w:color w:val="000000"/>
          <w:u w:val="single"/>
          <w:lang w:eastAsia="bg-BG"/>
        </w:rPr>
      </w:pPr>
    </w:p>
    <w:p w14:paraId="2B11383C" w14:textId="2346E509"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Тромбоза на бъбречната присадка</w:t>
      </w:r>
    </w:p>
    <w:p w14:paraId="4EA73255"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lastRenderedPageBreak/>
        <w:t>Съобщава се за повишен риск от артериална и венозна бъбречна тромбоза, водеща до загуба на присадката, обикновено през първите 30 дни след трансплантация.</w:t>
      </w:r>
    </w:p>
    <w:p w14:paraId="7091C531" w14:textId="77777777" w:rsidR="00680F5A" w:rsidRPr="00680F5A" w:rsidRDefault="00680F5A" w:rsidP="00680F5A">
      <w:pPr>
        <w:spacing w:line="240" w:lineRule="auto"/>
        <w:rPr>
          <w:rFonts w:eastAsia="Times New Roman" w:cs="Arial"/>
          <w:color w:val="000000"/>
          <w:u w:val="single"/>
          <w:lang w:eastAsia="bg-BG"/>
        </w:rPr>
      </w:pPr>
    </w:p>
    <w:p w14:paraId="7F42CD3A" w14:textId="248A815E"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Усложнения при зарастване на рани</w:t>
      </w:r>
    </w:p>
    <w:p w14:paraId="40C82EEB"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Сертикан, както други </w:t>
      </w:r>
      <w:r w:rsidRPr="00680F5A">
        <w:rPr>
          <w:rFonts w:eastAsia="Times New Roman" w:cs="Arial"/>
          <w:color w:val="000000"/>
          <w:lang w:val="en-US"/>
        </w:rPr>
        <w:t>mTOR</w:t>
      </w:r>
      <w:r w:rsidRPr="00680F5A">
        <w:rPr>
          <w:rFonts w:eastAsia="Times New Roman" w:cs="Arial"/>
          <w:color w:val="000000"/>
          <w:lang w:val="ru-RU"/>
        </w:rPr>
        <w:t xml:space="preserve"> </w:t>
      </w:r>
      <w:r w:rsidRPr="00680F5A">
        <w:rPr>
          <w:rFonts w:eastAsia="Times New Roman" w:cs="Arial"/>
          <w:color w:val="000000"/>
          <w:lang w:eastAsia="bg-BG"/>
        </w:rPr>
        <w:t>инхибитори, може да влоши зарастването на оперативната рана, увеличавайки появата на пост-трансплантационни усложнения като дехисценция на раната, натрупване на течности и инфектиране, които могат да наложат последваща хирургична намеса. Лимфоцеле е най-често срещаният такъв случай при бъбречно трансплантирани пациенти, с тенденция за по-висока честота при пациенти с по-висок индекс на телесна маса. Честотата на перикардни и плеврални изливи е повишена при пациенти със сърдечна трансплантация, а честотата на инцизионните хернии е повишена при пациентите с чернодробна трансплантация.</w:t>
      </w:r>
    </w:p>
    <w:p w14:paraId="322BC9CE" w14:textId="77777777" w:rsidR="00680F5A" w:rsidRPr="00680F5A" w:rsidRDefault="00680F5A" w:rsidP="00680F5A">
      <w:pPr>
        <w:spacing w:line="240" w:lineRule="auto"/>
        <w:rPr>
          <w:rFonts w:eastAsia="Times New Roman" w:cs="Arial"/>
          <w:color w:val="000000"/>
          <w:u w:val="single"/>
          <w:lang w:eastAsia="bg-BG"/>
        </w:rPr>
      </w:pPr>
    </w:p>
    <w:p w14:paraId="5ABCC928" w14:textId="6AB80F31"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Тромботична микроангиопатия/Тромботична тромбоцитопенична пурпура/Хемолитично- уремичен синдром</w:t>
      </w:r>
    </w:p>
    <w:p w14:paraId="177DF0EE"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Едновременното прилагане на Сертикан с калциневринов инхибитор </w:t>
      </w:r>
      <w:r w:rsidRPr="00680F5A">
        <w:rPr>
          <w:rFonts w:eastAsia="Times New Roman" w:cs="Arial"/>
          <w:color w:val="000000"/>
          <w:lang w:val="ru-RU"/>
        </w:rPr>
        <w:t>(</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може да повиши риска от </w:t>
      </w:r>
      <w:r w:rsidRPr="00680F5A">
        <w:rPr>
          <w:rFonts w:eastAsia="Times New Roman" w:cs="Arial"/>
          <w:color w:val="000000"/>
          <w:lang w:val="en-US"/>
        </w:rPr>
        <w:t>CNI</w:t>
      </w:r>
      <w:r w:rsidRPr="00680F5A">
        <w:rPr>
          <w:rFonts w:eastAsia="Times New Roman" w:cs="Arial"/>
          <w:color w:val="000000"/>
          <w:lang w:eastAsia="bg-BG"/>
        </w:rPr>
        <w:t>-индуциран хемолитично-уремичен синдром/тромботична тромбоцитопенична пурпура/тромботична микроангиопатия.</w:t>
      </w:r>
    </w:p>
    <w:p w14:paraId="256F0F69" w14:textId="77777777" w:rsidR="00680F5A" w:rsidRPr="00680F5A" w:rsidRDefault="00680F5A" w:rsidP="00680F5A">
      <w:pPr>
        <w:spacing w:line="240" w:lineRule="auto"/>
        <w:rPr>
          <w:rFonts w:eastAsia="Times New Roman" w:cs="Arial"/>
          <w:color w:val="000000"/>
          <w:u w:val="single"/>
          <w:lang w:eastAsia="bg-BG"/>
        </w:rPr>
      </w:pPr>
    </w:p>
    <w:p w14:paraId="5590956E" w14:textId="54E9B91A"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Ваксинация:</w:t>
      </w:r>
    </w:p>
    <w:p w14:paraId="26C174EE"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Имуносупресорите могат да повлияят отговора към ваксинацията. По време на лечение с имуносупресори, в това число еверолимус, ефективността на ваксинацията може да се понижи. Употребата на живи ваксини трябва да се избягва.</w:t>
      </w:r>
    </w:p>
    <w:p w14:paraId="4354FB9C" w14:textId="77777777" w:rsidR="00680F5A" w:rsidRPr="00680F5A" w:rsidRDefault="00680F5A" w:rsidP="00680F5A">
      <w:pPr>
        <w:spacing w:line="240" w:lineRule="auto"/>
        <w:rPr>
          <w:rFonts w:eastAsia="Times New Roman" w:cs="Arial"/>
          <w:color w:val="000000"/>
          <w:u w:val="single"/>
          <w:lang w:eastAsia="bg-BG"/>
        </w:rPr>
      </w:pPr>
    </w:p>
    <w:p w14:paraId="66AF8B60" w14:textId="30AEF760"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Интерстипиално белодробно заболяване/неинфекциозен пневмонит</w:t>
      </w:r>
    </w:p>
    <w:p w14:paraId="7782D590"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Диагноза интерстициално белодробно заболяване (ИБЗ) трябва да се има предвид при пациенти, които имат симптоми на инфекциозна пневмония, но не отговарят на лечението с антибиотици и при които инфекциозни, неопластични и други не лекарствени причини са изключени посредством подходящи изследвания. Случаи на ИБЗ са съобщени при лечение със Сертикан, които като цяло отшумяват след преустановяване на лечението с или без терапия с глюкокортикоиди. Въпреки това са съобщавани и фатални случаи (вж. точка 4.8).</w:t>
      </w:r>
    </w:p>
    <w:p w14:paraId="704F824F" w14:textId="77777777" w:rsidR="00680F5A" w:rsidRPr="00680F5A" w:rsidRDefault="00680F5A" w:rsidP="00680F5A">
      <w:pPr>
        <w:spacing w:line="240" w:lineRule="auto"/>
        <w:rPr>
          <w:rFonts w:eastAsia="Times New Roman" w:cs="Arial"/>
          <w:color w:val="000000"/>
          <w:u w:val="single"/>
          <w:lang w:eastAsia="bg-BG"/>
        </w:rPr>
      </w:pPr>
    </w:p>
    <w:p w14:paraId="7147E088" w14:textId="4EB0D105"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Новооткрит захарен диабет</w:t>
      </w:r>
    </w:p>
    <w:p w14:paraId="6D7DBEE9" w14:textId="231744A2" w:rsidR="00680F5A" w:rsidRPr="00680F5A" w:rsidRDefault="00680F5A" w:rsidP="00680F5A">
      <w:pPr>
        <w:spacing w:line="240" w:lineRule="auto"/>
        <w:rPr>
          <w:rFonts w:eastAsia="Times New Roman" w:cs="Arial"/>
        </w:rPr>
      </w:pPr>
      <w:r w:rsidRPr="00680F5A">
        <w:rPr>
          <w:rFonts w:eastAsia="Times New Roman" w:cs="Arial"/>
          <w:color w:val="000000"/>
          <w:lang w:eastAsia="bg-BG"/>
        </w:rPr>
        <w:t>Установено е, че Сертикан повишава риска от развитие на новооткрит захарен диабет след трансплантация. Нивата на кръвната захар трябва да се проследяват внимателно при пациенти, лекувани със Сертикан.</w:t>
      </w:r>
    </w:p>
    <w:p w14:paraId="3943A8DF" w14:textId="77777777" w:rsidR="00680F5A" w:rsidRPr="00680F5A" w:rsidRDefault="00680F5A" w:rsidP="00680F5A">
      <w:pPr>
        <w:spacing w:line="240" w:lineRule="auto"/>
        <w:rPr>
          <w:rFonts w:eastAsia="Times New Roman" w:cs="Arial"/>
          <w:color w:val="000000"/>
          <w:u w:val="single"/>
          <w:lang w:eastAsia="bg-BG"/>
        </w:rPr>
      </w:pPr>
    </w:p>
    <w:p w14:paraId="0C11D414" w14:textId="2E45726E"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Мъжки стерилитет</w:t>
      </w:r>
    </w:p>
    <w:p w14:paraId="28DD54A9" w14:textId="3546F434" w:rsidR="00680F5A" w:rsidRPr="00680F5A" w:rsidRDefault="00680F5A" w:rsidP="00680F5A">
      <w:pPr>
        <w:rPr>
          <w:rFonts w:eastAsia="Times New Roman" w:cs="Arial"/>
          <w:color w:val="000000"/>
          <w:lang w:eastAsia="bg-BG"/>
        </w:rPr>
      </w:pPr>
      <w:r w:rsidRPr="00680F5A">
        <w:rPr>
          <w:rFonts w:eastAsia="Times New Roman" w:cs="Arial"/>
          <w:color w:val="000000"/>
          <w:lang w:eastAsia="bg-BG"/>
        </w:rPr>
        <w:t xml:space="preserve">Има литературни съобщения за обратима азооспермия и олигоспермия при пациенти, лекувани с </w:t>
      </w:r>
      <w:r w:rsidRPr="00680F5A">
        <w:rPr>
          <w:rFonts w:eastAsia="Times New Roman" w:cs="Arial"/>
          <w:color w:val="000000"/>
          <w:lang w:val="en-US"/>
        </w:rPr>
        <w:t>mTOR</w:t>
      </w:r>
      <w:r w:rsidRPr="00680F5A">
        <w:rPr>
          <w:rFonts w:eastAsia="Times New Roman" w:cs="Arial"/>
          <w:color w:val="000000"/>
          <w:lang w:val="ru-RU"/>
        </w:rPr>
        <w:t xml:space="preserve"> </w:t>
      </w:r>
      <w:r w:rsidRPr="00680F5A">
        <w:rPr>
          <w:rFonts w:eastAsia="Times New Roman" w:cs="Arial"/>
          <w:color w:val="000000"/>
          <w:lang w:eastAsia="bg-BG"/>
        </w:rPr>
        <w:t>инхибитори. Тъй като предклиничните токсикологични изпитвания показват, че еверолимус може да намали сперматогенезата, мъжкият стерилитет трябва да се има предвид като потенциален риск при продължително лечение със Сертикан.</w:t>
      </w:r>
    </w:p>
    <w:p w14:paraId="7E13511E" w14:textId="461BF11F" w:rsidR="00680F5A" w:rsidRPr="00680F5A" w:rsidRDefault="00680F5A" w:rsidP="00680F5A">
      <w:pPr>
        <w:rPr>
          <w:rFonts w:eastAsia="Times New Roman" w:cs="Arial"/>
          <w:color w:val="000000"/>
          <w:lang w:eastAsia="bg-BG"/>
        </w:rPr>
      </w:pPr>
    </w:p>
    <w:p w14:paraId="0A6925C0"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Риск от непоносимост към помощните вещества</w:t>
      </w:r>
    </w:p>
    <w:p w14:paraId="7ED9FE74"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Сертикан таблетки съдържат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093868F" w14:textId="669E0EF6" w:rsidR="00680F5A" w:rsidRPr="00680F5A" w:rsidRDefault="00680F5A" w:rsidP="00680F5A"/>
    <w:p w14:paraId="0734264C" w14:textId="1E630C72" w:rsidR="007122AD" w:rsidRDefault="002C50EE" w:rsidP="00936AD0">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8E129E9" w14:textId="58B0ECAD" w:rsidR="00680F5A" w:rsidRDefault="00680F5A" w:rsidP="00680F5A"/>
    <w:p w14:paraId="32068A96"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Еверолимус се метаболизира предимно от С </w:t>
      </w:r>
      <w:r w:rsidRPr="00680F5A">
        <w:rPr>
          <w:rFonts w:eastAsia="Times New Roman" w:cs="Arial"/>
          <w:color w:val="000000"/>
          <w:szCs w:val="20"/>
          <w:lang w:val="en-US"/>
        </w:rPr>
        <w:t>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 xml:space="preserve">в черния дроб и до известна степен в чревната стена и представлява субстрат на мултилекарствената ефлуксна помпа, Р- гликопротеин </w:t>
      </w:r>
      <w:r w:rsidRPr="00680F5A">
        <w:rPr>
          <w:rFonts w:eastAsia="Times New Roman" w:cs="Arial"/>
          <w:color w:val="000000"/>
          <w:szCs w:val="20"/>
          <w:lang w:val="ru-RU"/>
        </w:rPr>
        <w:t>(</w:t>
      </w:r>
      <w:r w:rsidRPr="00680F5A">
        <w:rPr>
          <w:rFonts w:eastAsia="Times New Roman" w:cs="Arial"/>
          <w:color w:val="000000"/>
          <w:szCs w:val="20"/>
          <w:lang w:val="en-US"/>
        </w:rPr>
        <w:t>PgP</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Поради това, абсорбцията и последващото елиминиране на системно абсорбирания еверолимус може да се повлияят от лекарствени продукти, които инхибират </w:t>
      </w:r>
      <w:r w:rsidRPr="00680F5A">
        <w:rPr>
          <w:rFonts w:eastAsia="Times New Roman" w:cs="Arial"/>
          <w:color w:val="000000"/>
          <w:szCs w:val="20"/>
          <w:lang w:val="en-US"/>
        </w:rPr>
        <w:t>CYP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 xml:space="preserve">и/или Р-гликопротеина. Едновременното приложение на силни инхибитори или индуктори на ЗА4 не е препоръчително. Инхибиторите на Р-гликопротеина може да намалят ефлукса на еверолимус от чревните клетки и да повишат кръвните концентрации на еверолимус. </w:t>
      </w:r>
      <w:r w:rsidRPr="00680F5A">
        <w:rPr>
          <w:rFonts w:eastAsia="Times New Roman" w:cs="Arial"/>
          <w:i/>
          <w:iCs/>
          <w:color w:val="000000"/>
          <w:szCs w:val="20"/>
          <w:lang w:val="en-US"/>
        </w:rPr>
        <w:t>In</w:t>
      </w:r>
      <w:r w:rsidRPr="00680F5A">
        <w:rPr>
          <w:rFonts w:eastAsia="Times New Roman" w:cs="Arial"/>
          <w:i/>
          <w:iCs/>
          <w:color w:val="000000"/>
          <w:szCs w:val="20"/>
          <w:lang w:val="ru-RU"/>
        </w:rPr>
        <w:t xml:space="preserve"> </w:t>
      </w:r>
      <w:r w:rsidRPr="00680F5A">
        <w:rPr>
          <w:rFonts w:eastAsia="Times New Roman" w:cs="Arial"/>
          <w:i/>
          <w:iCs/>
          <w:color w:val="000000"/>
          <w:szCs w:val="20"/>
          <w:lang w:val="en-US"/>
        </w:rPr>
        <w:t>vitro</w:t>
      </w:r>
      <w:r w:rsidRPr="00680F5A">
        <w:rPr>
          <w:rFonts w:eastAsia="Times New Roman" w:cs="Arial"/>
          <w:i/>
          <w:iCs/>
          <w:color w:val="000000"/>
          <w:szCs w:val="20"/>
          <w:lang w:val="ru-RU"/>
        </w:rPr>
        <w:t>,</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еверолимус е конкурентен инхибитор на </w:t>
      </w:r>
      <w:r w:rsidRPr="00680F5A">
        <w:rPr>
          <w:rFonts w:eastAsia="Times New Roman" w:cs="Arial"/>
          <w:color w:val="000000"/>
          <w:szCs w:val="20"/>
          <w:lang w:val="en-US"/>
        </w:rPr>
        <w:t>CYP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 xml:space="preserve">и </w:t>
      </w:r>
      <w:r w:rsidRPr="00680F5A">
        <w:rPr>
          <w:rFonts w:eastAsia="Times New Roman" w:cs="Arial"/>
          <w:color w:val="000000"/>
          <w:szCs w:val="20"/>
          <w:lang w:val="en-US"/>
        </w:rPr>
        <w:t>CYP</w:t>
      </w:r>
      <w:r w:rsidRPr="00680F5A">
        <w:rPr>
          <w:rFonts w:eastAsia="Times New Roman" w:cs="Arial"/>
          <w:color w:val="000000"/>
          <w:szCs w:val="20"/>
          <w:lang w:val="ru-RU"/>
        </w:rPr>
        <w:t>2</w:t>
      </w:r>
      <w:r w:rsidRPr="00680F5A">
        <w:rPr>
          <w:rFonts w:eastAsia="Times New Roman" w:cs="Arial"/>
          <w:color w:val="000000"/>
          <w:szCs w:val="20"/>
          <w:lang w:val="en-US"/>
        </w:rPr>
        <w:t>D</w:t>
      </w:r>
      <w:r w:rsidRPr="00680F5A">
        <w:rPr>
          <w:rFonts w:eastAsia="Times New Roman" w:cs="Arial"/>
          <w:color w:val="000000"/>
          <w:szCs w:val="20"/>
          <w:lang w:val="ru-RU"/>
        </w:rPr>
        <w:t xml:space="preserve">6. </w:t>
      </w:r>
      <w:r w:rsidRPr="00680F5A">
        <w:rPr>
          <w:rFonts w:eastAsia="Times New Roman" w:cs="Arial"/>
          <w:color w:val="000000"/>
          <w:szCs w:val="20"/>
          <w:lang w:eastAsia="bg-BG"/>
        </w:rPr>
        <w:t xml:space="preserve">Всички изпитвания на взаимодействията </w:t>
      </w:r>
      <w:r w:rsidRPr="00680F5A">
        <w:rPr>
          <w:rFonts w:eastAsia="Times New Roman" w:cs="Arial"/>
          <w:i/>
          <w:iCs/>
          <w:color w:val="000000"/>
          <w:szCs w:val="20"/>
          <w:lang w:val="en-US"/>
        </w:rPr>
        <w:t>in</w:t>
      </w:r>
      <w:r w:rsidRPr="00680F5A">
        <w:rPr>
          <w:rFonts w:eastAsia="Times New Roman" w:cs="Arial"/>
          <w:i/>
          <w:iCs/>
          <w:color w:val="000000"/>
          <w:szCs w:val="20"/>
          <w:lang w:val="ru-RU"/>
        </w:rPr>
        <w:t xml:space="preserve"> </w:t>
      </w:r>
      <w:r w:rsidRPr="00680F5A">
        <w:rPr>
          <w:rFonts w:eastAsia="Times New Roman" w:cs="Arial"/>
          <w:i/>
          <w:iCs/>
          <w:color w:val="000000"/>
          <w:szCs w:val="20"/>
          <w:lang w:val="en-US"/>
        </w:rPr>
        <w:t>vivo</w:t>
      </w:r>
      <w:r w:rsidRPr="00680F5A">
        <w:rPr>
          <w:rFonts w:eastAsia="Times New Roman" w:cs="Arial"/>
          <w:color w:val="000000"/>
          <w:szCs w:val="20"/>
          <w:lang w:val="ru-RU"/>
        </w:rPr>
        <w:t xml:space="preserve"> </w:t>
      </w:r>
      <w:r w:rsidRPr="00680F5A">
        <w:rPr>
          <w:rFonts w:eastAsia="Times New Roman" w:cs="Arial"/>
          <w:color w:val="000000"/>
          <w:szCs w:val="20"/>
          <w:lang w:eastAsia="bg-BG"/>
        </w:rPr>
        <w:t>са били проведени без едновременно приложение на циклоспорин.</w:t>
      </w:r>
    </w:p>
    <w:p w14:paraId="4232F206" w14:textId="77777777" w:rsidR="00680F5A" w:rsidRPr="00680F5A" w:rsidRDefault="00680F5A" w:rsidP="00680F5A">
      <w:pPr>
        <w:spacing w:line="240" w:lineRule="auto"/>
        <w:rPr>
          <w:rFonts w:eastAsia="Times New Roman" w:cs="Arial"/>
          <w:b/>
          <w:bCs/>
          <w:color w:val="000000"/>
          <w:szCs w:val="20"/>
          <w:lang w:eastAsia="bg-BG"/>
        </w:rPr>
      </w:pPr>
    </w:p>
    <w:p w14:paraId="3FFF622D" w14:textId="43662F57" w:rsidR="00680F5A" w:rsidRPr="00680F5A" w:rsidRDefault="00680F5A" w:rsidP="00680F5A">
      <w:pPr>
        <w:spacing w:line="240" w:lineRule="auto"/>
        <w:rPr>
          <w:rFonts w:eastAsia="Times New Roman" w:cs="Arial"/>
          <w:sz w:val="28"/>
          <w:szCs w:val="24"/>
        </w:rPr>
      </w:pPr>
      <w:r w:rsidRPr="00680F5A">
        <w:rPr>
          <w:rFonts w:eastAsia="Times New Roman" w:cs="Arial"/>
          <w:b/>
          <w:bCs/>
          <w:color w:val="000000"/>
          <w:szCs w:val="20"/>
          <w:lang w:eastAsia="bg-BG"/>
        </w:rPr>
        <w:t>Таблица 3. Влияние на други активни вещества върху еверолимус</w:t>
      </w:r>
    </w:p>
    <w:tbl>
      <w:tblPr>
        <w:tblStyle w:val="TableGrid"/>
        <w:tblW w:w="0" w:type="auto"/>
        <w:tblLook w:val="04A0" w:firstRow="1" w:lastRow="0" w:firstColumn="1" w:lastColumn="0" w:noHBand="0" w:noVBand="1"/>
      </w:tblPr>
      <w:tblGrid>
        <w:gridCol w:w="3127"/>
        <w:gridCol w:w="3111"/>
        <w:gridCol w:w="3112"/>
      </w:tblGrid>
      <w:tr w:rsidR="00680F5A" w14:paraId="14D2FD98" w14:textId="77777777" w:rsidTr="00680F5A">
        <w:tc>
          <w:tcPr>
            <w:tcW w:w="3192" w:type="dxa"/>
          </w:tcPr>
          <w:p w14:paraId="2480F37C" w14:textId="58ED8EEA" w:rsidR="00680F5A" w:rsidRPr="00680F5A" w:rsidRDefault="00680F5A" w:rsidP="00680F5A">
            <w:pPr>
              <w:rPr>
                <w:rFonts w:cs="Arial"/>
              </w:rPr>
            </w:pPr>
            <w:r w:rsidRPr="00680F5A">
              <w:rPr>
                <w:rFonts w:cs="Arial"/>
                <w:b/>
                <w:bCs/>
              </w:rPr>
              <w:t>Активно вещество при взаимодействието</w:t>
            </w:r>
          </w:p>
        </w:tc>
        <w:tc>
          <w:tcPr>
            <w:tcW w:w="3192" w:type="dxa"/>
          </w:tcPr>
          <w:p w14:paraId="0209B2D1" w14:textId="2C909946" w:rsidR="00680F5A" w:rsidRPr="00680F5A" w:rsidRDefault="00680F5A" w:rsidP="00680F5A">
            <w:pPr>
              <w:rPr>
                <w:rFonts w:cs="Arial"/>
              </w:rPr>
            </w:pPr>
            <w:r w:rsidRPr="00680F5A">
              <w:rPr>
                <w:rFonts w:cs="Arial"/>
                <w:b/>
                <w:bCs/>
              </w:rPr>
              <w:t xml:space="preserve">Взаимодействие —Промяна в </w:t>
            </w:r>
            <w:r w:rsidRPr="00680F5A">
              <w:rPr>
                <w:rFonts w:cs="Arial"/>
                <w:b/>
                <w:bCs/>
                <w:lang w:val="en-US"/>
              </w:rPr>
              <w:t>AUC</w:t>
            </w:r>
            <w:r w:rsidRPr="00680F5A">
              <w:rPr>
                <w:rFonts w:cs="Arial"/>
                <w:b/>
                <w:bCs/>
              </w:rPr>
              <w:t>/С</w:t>
            </w:r>
            <w:r w:rsidRPr="00680F5A">
              <w:rPr>
                <w:rFonts w:cs="Arial"/>
                <w:b/>
                <w:bCs/>
                <w:lang w:val="en-US"/>
              </w:rPr>
              <w:t>max</w:t>
            </w:r>
            <w:r w:rsidRPr="00680F5A">
              <w:rPr>
                <w:rFonts w:cs="Arial"/>
                <w:b/>
                <w:bCs/>
              </w:rPr>
              <w:t xml:space="preserve"> на еверолимус геометрично средно съотношение (наблюдаван интервал)</w:t>
            </w:r>
          </w:p>
        </w:tc>
        <w:tc>
          <w:tcPr>
            <w:tcW w:w="3192" w:type="dxa"/>
          </w:tcPr>
          <w:p w14:paraId="491DBC70" w14:textId="4254EC58" w:rsidR="00680F5A" w:rsidRPr="00680F5A" w:rsidRDefault="00680F5A" w:rsidP="00680F5A">
            <w:pPr>
              <w:rPr>
                <w:rFonts w:cs="Arial"/>
              </w:rPr>
            </w:pPr>
            <w:r w:rsidRPr="00680F5A">
              <w:rPr>
                <w:rFonts w:cs="Arial"/>
                <w:b/>
                <w:bCs/>
              </w:rPr>
              <w:t>Препоръки относно едновременното прилагане</w:t>
            </w:r>
          </w:p>
        </w:tc>
      </w:tr>
      <w:tr w:rsidR="00680F5A" w14:paraId="63B18333" w14:textId="77777777" w:rsidTr="00680F5A">
        <w:tc>
          <w:tcPr>
            <w:tcW w:w="9576" w:type="dxa"/>
            <w:gridSpan w:val="3"/>
          </w:tcPr>
          <w:p w14:paraId="4B465180" w14:textId="011F982B" w:rsidR="00680F5A" w:rsidRPr="00680F5A" w:rsidRDefault="00680F5A" w:rsidP="00680F5A">
            <w:pPr>
              <w:rPr>
                <w:rFonts w:cs="Arial"/>
              </w:rPr>
            </w:pPr>
            <w:r w:rsidRPr="00680F5A">
              <w:rPr>
                <w:rFonts w:eastAsia="Times New Roman" w:cs="Arial"/>
                <w:i/>
                <w:iCs/>
                <w:color w:val="000000"/>
                <w:lang w:eastAsia="bg-BG"/>
              </w:rPr>
              <w:t>Силни</w:t>
            </w:r>
            <w:r w:rsidRPr="00680F5A">
              <w:rPr>
                <w:rFonts w:eastAsia="Times New Roman" w:cs="Arial"/>
                <w:b/>
                <w:bCs/>
                <w:color w:val="000000"/>
                <w:lang w:eastAsia="bg-BG"/>
              </w:rPr>
              <w:t xml:space="preserve"> </w:t>
            </w:r>
            <w:r w:rsidRPr="00680F5A">
              <w:rPr>
                <w:rFonts w:eastAsia="Times New Roman" w:cs="Arial"/>
                <w:b/>
                <w:bCs/>
                <w:color w:val="000000"/>
                <w:lang w:val="en-US"/>
              </w:rPr>
              <w:t xml:space="preserve">CYP3A4/PgP </w:t>
            </w:r>
            <w:r w:rsidRPr="00680F5A">
              <w:rPr>
                <w:rFonts w:eastAsia="Times New Roman" w:cs="Arial"/>
                <w:b/>
                <w:bCs/>
                <w:color w:val="000000"/>
                <w:lang w:eastAsia="bg-BG"/>
              </w:rPr>
              <w:t>инхибитори</w:t>
            </w:r>
          </w:p>
        </w:tc>
      </w:tr>
      <w:tr w:rsidR="00680F5A" w14:paraId="3306BEFE" w14:textId="77777777" w:rsidTr="00680F5A">
        <w:tc>
          <w:tcPr>
            <w:tcW w:w="3192" w:type="dxa"/>
          </w:tcPr>
          <w:p w14:paraId="2C03245B" w14:textId="04C9556F" w:rsidR="00680F5A" w:rsidRPr="00680F5A" w:rsidRDefault="00680F5A" w:rsidP="00680F5A">
            <w:pPr>
              <w:rPr>
                <w:rFonts w:cs="Arial"/>
              </w:rPr>
            </w:pPr>
            <w:r w:rsidRPr="00680F5A">
              <w:rPr>
                <w:rFonts w:cs="Arial"/>
                <w:b/>
                <w:bCs/>
              </w:rPr>
              <w:t>Кетоконазол</w:t>
            </w:r>
          </w:p>
        </w:tc>
        <w:tc>
          <w:tcPr>
            <w:tcW w:w="3192" w:type="dxa"/>
            <w:vAlign w:val="bottom"/>
          </w:tcPr>
          <w:p w14:paraId="0F966EF5" w14:textId="3ADF2B43" w:rsidR="00680F5A" w:rsidRPr="00680F5A" w:rsidRDefault="00680F5A" w:rsidP="00680F5A">
            <w:pPr>
              <w:rPr>
                <w:rFonts w:cs="Arial"/>
              </w:rPr>
            </w:pPr>
            <w:r w:rsidRPr="00680F5A">
              <w:rPr>
                <w:rFonts w:cs="Arial"/>
                <w:lang w:val="en-US"/>
              </w:rPr>
              <w:t>AUC</w:t>
            </w:r>
            <w:r w:rsidRPr="00680F5A">
              <w:rPr>
                <w:rFonts w:cs="Arial"/>
                <w:lang w:val="ru-RU"/>
              </w:rPr>
              <w:t xml:space="preserve"> ↑15,3</w:t>
            </w:r>
            <w:r w:rsidRPr="00680F5A">
              <w:rPr>
                <w:rFonts w:cs="Arial"/>
              </w:rPr>
              <w:t xml:space="preserve"> пъти (интервал 11,2- 22,5) С</w:t>
            </w:r>
            <w:r w:rsidRPr="00680F5A">
              <w:rPr>
                <w:rFonts w:cs="Arial"/>
                <w:vertAlign w:val="subscript"/>
                <w:lang w:val="en-US"/>
              </w:rPr>
              <w:t>max</w:t>
            </w:r>
            <w:r w:rsidRPr="00680F5A">
              <w:rPr>
                <w:rFonts w:cs="Arial"/>
              </w:rPr>
              <w:t xml:space="preserve"> </w:t>
            </w:r>
            <w:r w:rsidRPr="00680F5A">
              <w:rPr>
                <w:rFonts w:cs="Arial"/>
                <w:lang w:val="ru-RU"/>
              </w:rPr>
              <w:t>↑</w:t>
            </w:r>
            <w:r w:rsidRPr="00680F5A">
              <w:rPr>
                <w:rFonts w:cs="Arial"/>
              </w:rPr>
              <w:t>4,1 пъти (интервал 2,6-7,0)</w:t>
            </w:r>
          </w:p>
        </w:tc>
        <w:tc>
          <w:tcPr>
            <w:tcW w:w="3192" w:type="dxa"/>
            <w:vMerge w:val="restart"/>
          </w:tcPr>
          <w:p w14:paraId="192B73D0" w14:textId="3F212C75" w:rsidR="00680F5A" w:rsidRPr="00680F5A" w:rsidRDefault="00680F5A" w:rsidP="00680F5A">
            <w:pPr>
              <w:rPr>
                <w:rFonts w:cs="Arial"/>
              </w:rPr>
            </w:pPr>
            <w:r w:rsidRPr="00680F5A">
              <w:rPr>
                <w:rFonts w:cs="Arial"/>
              </w:rPr>
              <w:t xml:space="preserve">Едновременното приложение със силни </w:t>
            </w:r>
            <w:r w:rsidRPr="00680F5A">
              <w:rPr>
                <w:rFonts w:cs="Arial"/>
                <w:lang w:val="en-US"/>
              </w:rPr>
              <w:t>CYP</w:t>
            </w:r>
            <w:r w:rsidRPr="00680F5A">
              <w:rPr>
                <w:rFonts w:cs="Arial"/>
                <w:lang w:val="ru-RU"/>
              </w:rPr>
              <w:t>3</w:t>
            </w:r>
            <w:r w:rsidRPr="00680F5A">
              <w:rPr>
                <w:rFonts w:cs="Arial"/>
                <w:lang w:val="en-US"/>
              </w:rPr>
              <w:t>A</w:t>
            </w:r>
            <w:r w:rsidRPr="00680F5A">
              <w:rPr>
                <w:rFonts w:cs="Arial"/>
                <w:lang w:val="ru-RU"/>
              </w:rPr>
              <w:t>4/</w:t>
            </w:r>
            <w:r w:rsidRPr="00680F5A">
              <w:rPr>
                <w:rFonts w:cs="Arial"/>
                <w:lang w:val="en-US"/>
              </w:rPr>
              <w:t>PgP</w:t>
            </w:r>
            <w:r w:rsidRPr="00680F5A">
              <w:rPr>
                <w:rFonts w:cs="Arial"/>
                <w:lang w:val="ru-RU"/>
              </w:rPr>
              <w:t xml:space="preserve">- </w:t>
            </w:r>
            <w:r w:rsidRPr="00680F5A">
              <w:rPr>
                <w:rFonts w:cs="Arial"/>
              </w:rPr>
              <w:t>инхибитори не се препоръчва, освен ако ползите не превишват рисковете.</w:t>
            </w:r>
          </w:p>
        </w:tc>
      </w:tr>
      <w:tr w:rsidR="00680F5A" w14:paraId="4B0808BD" w14:textId="77777777" w:rsidTr="00680F5A">
        <w:tc>
          <w:tcPr>
            <w:tcW w:w="3192" w:type="dxa"/>
          </w:tcPr>
          <w:p w14:paraId="24D9D43E" w14:textId="1E8B7C10" w:rsidR="00680F5A" w:rsidRPr="00680F5A" w:rsidRDefault="00680F5A" w:rsidP="00680F5A">
            <w:pPr>
              <w:rPr>
                <w:rFonts w:cs="Arial"/>
                <w:color w:val="FF0000"/>
              </w:rPr>
            </w:pPr>
            <w:r w:rsidRPr="00680F5A">
              <w:rPr>
                <w:rFonts w:cs="Arial"/>
                <w:b/>
                <w:bCs/>
              </w:rPr>
              <w:t>Итраконазол, позаконазол, вориконазол</w:t>
            </w:r>
          </w:p>
        </w:tc>
        <w:tc>
          <w:tcPr>
            <w:tcW w:w="3192" w:type="dxa"/>
            <w:vMerge w:val="restart"/>
          </w:tcPr>
          <w:p w14:paraId="53B00A51" w14:textId="682339AB" w:rsidR="00680F5A" w:rsidRPr="00680F5A" w:rsidRDefault="00680F5A" w:rsidP="00680F5A">
            <w:pPr>
              <w:rPr>
                <w:rFonts w:cs="Arial"/>
                <w:color w:val="FF0000"/>
              </w:rPr>
            </w:pPr>
            <w:r w:rsidRPr="00680F5A">
              <w:rPr>
                <w:rFonts w:cs="Arial"/>
              </w:rPr>
              <w:t>Не е проучен. Очаква се голямо повишаване на концентрацията на еверолимус.</w:t>
            </w:r>
          </w:p>
        </w:tc>
        <w:tc>
          <w:tcPr>
            <w:tcW w:w="3192" w:type="dxa"/>
            <w:vMerge/>
          </w:tcPr>
          <w:p w14:paraId="23889D52" w14:textId="77777777" w:rsidR="00680F5A" w:rsidRPr="00680F5A" w:rsidRDefault="00680F5A" w:rsidP="00680F5A">
            <w:pPr>
              <w:rPr>
                <w:rFonts w:cs="Arial"/>
              </w:rPr>
            </w:pPr>
          </w:p>
        </w:tc>
      </w:tr>
      <w:tr w:rsidR="00680F5A" w14:paraId="41A28B64" w14:textId="77777777" w:rsidTr="00680F5A">
        <w:tc>
          <w:tcPr>
            <w:tcW w:w="3192" w:type="dxa"/>
            <w:vAlign w:val="bottom"/>
          </w:tcPr>
          <w:p w14:paraId="0E440C1C" w14:textId="2A683661" w:rsidR="00680F5A" w:rsidRPr="00680F5A" w:rsidRDefault="00680F5A" w:rsidP="00680F5A">
            <w:pPr>
              <w:rPr>
                <w:rFonts w:cs="Arial"/>
                <w:color w:val="FF0000"/>
              </w:rPr>
            </w:pPr>
            <w:r w:rsidRPr="00680F5A">
              <w:rPr>
                <w:rFonts w:cs="Arial"/>
                <w:b/>
                <w:bCs/>
              </w:rPr>
              <w:t>Телитромицин, кларнтромицин</w:t>
            </w:r>
          </w:p>
        </w:tc>
        <w:tc>
          <w:tcPr>
            <w:tcW w:w="3192" w:type="dxa"/>
            <w:vMerge/>
          </w:tcPr>
          <w:p w14:paraId="639152A8" w14:textId="77777777" w:rsidR="00680F5A" w:rsidRPr="00680F5A" w:rsidRDefault="00680F5A" w:rsidP="00680F5A">
            <w:pPr>
              <w:rPr>
                <w:rFonts w:cs="Arial"/>
                <w:color w:val="FF0000"/>
              </w:rPr>
            </w:pPr>
          </w:p>
        </w:tc>
        <w:tc>
          <w:tcPr>
            <w:tcW w:w="3192" w:type="dxa"/>
            <w:vMerge/>
          </w:tcPr>
          <w:p w14:paraId="591CD19E" w14:textId="77777777" w:rsidR="00680F5A" w:rsidRPr="00680F5A" w:rsidRDefault="00680F5A" w:rsidP="00680F5A">
            <w:pPr>
              <w:rPr>
                <w:rFonts w:cs="Arial"/>
              </w:rPr>
            </w:pPr>
          </w:p>
        </w:tc>
      </w:tr>
      <w:tr w:rsidR="00680F5A" w14:paraId="70FDB484" w14:textId="77777777" w:rsidTr="00680F5A">
        <w:tc>
          <w:tcPr>
            <w:tcW w:w="3192" w:type="dxa"/>
            <w:vAlign w:val="bottom"/>
          </w:tcPr>
          <w:p w14:paraId="13CA51E0" w14:textId="7AFAF83C" w:rsidR="00680F5A" w:rsidRPr="00680F5A" w:rsidRDefault="00680F5A" w:rsidP="00680F5A">
            <w:pPr>
              <w:rPr>
                <w:rFonts w:cs="Arial"/>
                <w:color w:val="FF0000"/>
              </w:rPr>
            </w:pPr>
            <w:r w:rsidRPr="00680F5A">
              <w:rPr>
                <w:rFonts w:cs="Arial"/>
                <w:b/>
                <w:bCs/>
              </w:rPr>
              <w:t>Нефазодон</w:t>
            </w:r>
          </w:p>
        </w:tc>
        <w:tc>
          <w:tcPr>
            <w:tcW w:w="3192" w:type="dxa"/>
            <w:vMerge/>
          </w:tcPr>
          <w:p w14:paraId="53B3A9FB" w14:textId="77777777" w:rsidR="00680F5A" w:rsidRPr="00680F5A" w:rsidRDefault="00680F5A" w:rsidP="00680F5A">
            <w:pPr>
              <w:rPr>
                <w:rFonts w:cs="Arial"/>
                <w:color w:val="FF0000"/>
              </w:rPr>
            </w:pPr>
          </w:p>
        </w:tc>
        <w:tc>
          <w:tcPr>
            <w:tcW w:w="3192" w:type="dxa"/>
            <w:vMerge/>
          </w:tcPr>
          <w:p w14:paraId="2E8CF773" w14:textId="77777777" w:rsidR="00680F5A" w:rsidRPr="00680F5A" w:rsidRDefault="00680F5A" w:rsidP="00680F5A">
            <w:pPr>
              <w:rPr>
                <w:rFonts w:cs="Arial"/>
              </w:rPr>
            </w:pPr>
          </w:p>
        </w:tc>
      </w:tr>
      <w:tr w:rsidR="00680F5A" w14:paraId="69E62034" w14:textId="77777777" w:rsidTr="00680F5A">
        <w:trPr>
          <w:trHeight w:val="367"/>
        </w:trPr>
        <w:tc>
          <w:tcPr>
            <w:tcW w:w="3192" w:type="dxa"/>
          </w:tcPr>
          <w:p w14:paraId="50031F91" w14:textId="0911FD34" w:rsidR="00680F5A" w:rsidRPr="00680F5A" w:rsidRDefault="00680F5A" w:rsidP="00680F5A">
            <w:pPr>
              <w:rPr>
                <w:rFonts w:cs="Arial"/>
                <w:color w:val="FF0000"/>
              </w:rPr>
            </w:pPr>
            <w:r w:rsidRPr="00680F5A">
              <w:rPr>
                <w:rFonts w:cs="Arial"/>
                <w:b/>
                <w:bCs/>
              </w:rPr>
              <w:t>Ритонавир, атазаиавир, саквинавир, дарунавир, нндинавир, нелфинавир</w:t>
            </w:r>
          </w:p>
        </w:tc>
        <w:tc>
          <w:tcPr>
            <w:tcW w:w="3192" w:type="dxa"/>
            <w:vMerge/>
          </w:tcPr>
          <w:p w14:paraId="22DEE202" w14:textId="77777777" w:rsidR="00680F5A" w:rsidRPr="00680F5A" w:rsidRDefault="00680F5A" w:rsidP="00680F5A">
            <w:pPr>
              <w:rPr>
                <w:rFonts w:cs="Arial"/>
                <w:color w:val="FF0000"/>
              </w:rPr>
            </w:pPr>
          </w:p>
        </w:tc>
        <w:tc>
          <w:tcPr>
            <w:tcW w:w="3192" w:type="dxa"/>
            <w:vMerge/>
          </w:tcPr>
          <w:p w14:paraId="5B912285" w14:textId="77777777" w:rsidR="00680F5A" w:rsidRPr="00680F5A" w:rsidRDefault="00680F5A" w:rsidP="00680F5A">
            <w:pPr>
              <w:rPr>
                <w:rFonts w:cs="Arial"/>
              </w:rPr>
            </w:pPr>
          </w:p>
        </w:tc>
      </w:tr>
      <w:tr w:rsidR="00680F5A" w14:paraId="199E69EA" w14:textId="77777777" w:rsidTr="00680F5A">
        <w:tc>
          <w:tcPr>
            <w:tcW w:w="9576" w:type="dxa"/>
            <w:gridSpan w:val="3"/>
          </w:tcPr>
          <w:p w14:paraId="6393011C" w14:textId="36169601" w:rsidR="00680F5A" w:rsidRPr="00680F5A" w:rsidRDefault="00680F5A" w:rsidP="00680F5A">
            <w:pPr>
              <w:rPr>
                <w:rFonts w:cs="Arial"/>
              </w:rPr>
            </w:pPr>
            <w:r w:rsidRPr="00680F5A">
              <w:rPr>
                <w:rFonts w:eastAsia="Times New Roman" w:cs="Arial"/>
                <w:i/>
                <w:iCs/>
                <w:color w:val="000000"/>
                <w:lang w:eastAsia="bg-BG"/>
              </w:rPr>
              <w:t>Умерени</w:t>
            </w:r>
            <w:r w:rsidRPr="00680F5A">
              <w:rPr>
                <w:rFonts w:eastAsia="Times New Roman" w:cs="Arial"/>
                <w:b/>
                <w:bCs/>
                <w:color w:val="000000"/>
                <w:lang w:eastAsia="bg-BG"/>
              </w:rPr>
              <w:t xml:space="preserve"> </w:t>
            </w:r>
            <w:r w:rsidRPr="00680F5A">
              <w:rPr>
                <w:rFonts w:eastAsia="Times New Roman" w:cs="Arial"/>
                <w:b/>
                <w:bCs/>
                <w:color w:val="000000"/>
                <w:lang w:val="en-US"/>
              </w:rPr>
              <w:t xml:space="preserve">CYP3A4/PgP </w:t>
            </w:r>
            <w:r w:rsidRPr="00680F5A">
              <w:rPr>
                <w:rFonts w:eastAsia="Times New Roman" w:cs="Arial"/>
                <w:b/>
                <w:bCs/>
                <w:color w:val="000000"/>
                <w:lang w:eastAsia="bg-BG"/>
              </w:rPr>
              <w:t>инхибитори</w:t>
            </w:r>
          </w:p>
        </w:tc>
      </w:tr>
      <w:tr w:rsidR="00680F5A" w14:paraId="00553786" w14:textId="77777777" w:rsidTr="00680F5A">
        <w:tc>
          <w:tcPr>
            <w:tcW w:w="3192" w:type="dxa"/>
          </w:tcPr>
          <w:p w14:paraId="6D51E835" w14:textId="0864ABDA" w:rsidR="00680F5A" w:rsidRPr="00680F5A" w:rsidRDefault="00680F5A" w:rsidP="00680F5A">
            <w:pPr>
              <w:rPr>
                <w:rFonts w:cs="Arial"/>
              </w:rPr>
            </w:pPr>
            <w:r w:rsidRPr="00680F5A">
              <w:rPr>
                <w:rFonts w:cs="Arial"/>
                <w:b/>
                <w:bCs/>
              </w:rPr>
              <w:t>Ернтромицин</w:t>
            </w:r>
          </w:p>
        </w:tc>
        <w:tc>
          <w:tcPr>
            <w:tcW w:w="3192" w:type="dxa"/>
          </w:tcPr>
          <w:p w14:paraId="7A462DEA" w14:textId="1921889D" w:rsidR="00680F5A" w:rsidRPr="00680F5A" w:rsidRDefault="00680F5A" w:rsidP="00680F5A">
            <w:pPr>
              <w:rPr>
                <w:rFonts w:cs="Arial"/>
              </w:rPr>
            </w:pPr>
            <w:r w:rsidRPr="00680F5A">
              <w:rPr>
                <w:rFonts w:cs="Arial"/>
                <w:lang w:val="en-US"/>
              </w:rPr>
              <w:t>AUC</w:t>
            </w:r>
            <w:r w:rsidRPr="00680F5A">
              <w:rPr>
                <w:rFonts w:cs="Arial"/>
                <w:lang w:val="ru-RU"/>
              </w:rPr>
              <w:t xml:space="preserve"> </w:t>
            </w:r>
            <w:r w:rsidRPr="00680F5A">
              <w:rPr>
                <w:rFonts w:cs="Arial"/>
              </w:rPr>
              <w:t>↑4,4 пъти (интервал 2,0- 12,6) С</w:t>
            </w:r>
            <w:r w:rsidRPr="00680F5A">
              <w:rPr>
                <w:rFonts w:cs="Arial"/>
                <w:vertAlign w:val="subscript"/>
                <w:lang w:val="en-US"/>
              </w:rPr>
              <w:t>max</w:t>
            </w:r>
            <w:r w:rsidRPr="00680F5A">
              <w:rPr>
                <w:rFonts w:cs="Arial"/>
                <w:vertAlign w:val="subscript"/>
              </w:rPr>
              <w:t xml:space="preserve"> </w:t>
            </w:r>
            <w:r w:rsidRPr="00680F5A">
              <w:rPr>
                <w:rFonts w:cs="Arial"/>
                <w:lang w:val="ru-RU"/>
              </w:rPr>
              <w:t>↑</w:t>
            </w:r>
            <w:r w:rsidRPr="00680F5A">
              <w:rPr>
                <w:rFonts w:cs="Arial"/>
              </w:rPr>
              <w:t>2,0-пьти (интервал 0,9-3,5)</w:t>
            </w:r>
          </w:p>
        </w:tc>
        <w:tc>
          <w:tcPr>
            <w:tcW w:w="3192" w:type="dxa"/>
          </w:tcPr>
          <w:p w14:paraId="715C632A" w14:textId="67EAFC14" w:rsidR="00680F5A" w:rsidRPr="00680F5A" w:rsidRDefault="00680F5A" w:rsidP="00680F5A">
            <w:pPr>
              <w:rPr>
                <w:rFonts w:cs="Arial"/>
              </w:rPr>
            </w:pPr>
            <w:r w:rsidRPr="00680F5A">
              <w:rPr>
                <w:rFonts w:cs="Arial"/>
              </w:rPr>
              <w:t xml:space="preserve">Концентрациите на еверолимус в цяла кръв трябва да се следят, когато се прилага едновременно с инхибитори на </w:t>
            </w:r>
            <w:r w:rsidRPr="00680F5A">
              <w:rPr>
                <w:rFonts w:cs="Arial"/>
                <w:lang w:val="en-US"/>
              </w:rPr>
              <w:t>CYP</w:t>
            </w:r>
            <w:r w:rsidRPr="00680F5A">
              <w:rPr>
                <w:rFonts w:cs="Arial"/>
                <w:lang w:val="ru-RU"/>
              </w:rPr>
              <w:t>3</w:t>
            </w:r>
            <w:r w:rsidRPr="00680F5A">
              <w:rPr>
                <w:rFonts w:cs="Arial"/>
                <w:lang w:val="en-US"/>
              </w:rPr>
              <w:t>A</w:t>
            </w:r>
            <w:r w:rsidRPr="00680F5A">
              <w:rPr>
                <w:rFonts w:cs="Arial"/>
                <w:lang w:val="ru-RU"/>
              </w:rPr>
              <w:t>4/</w:t>
            </w:r>
            <w:r w:rsidRPr="00680F5A">
              <w:rPr>
                <w:rFonts w:cs="Arial"/>
                <w:lang w:val="en-US"/>
              </w:rPr>
              <w:t>PgP</w:t>
            </w:r>
            <w:r w:rsidRPr="00680F5A">
              <w:rPr>
                <w:rFonts w:cs="Arial"/>
                <w:lang w:val="ru-RU"/>
              </w:rPr>
              <w:t xml:space="preserve"> </w:t>
            </w:r>
            <w:r w:rsidRPr="00680F5A">
              <w:rPr>
                <w:rFonts w:cs="Arial"/>
              </w:rPr>
              <w:t>и след тяхното преустановяване.</w:t>
            </w:r>
          </w:p>
        </w:tc>
      </w:tr>
      <w:tr w:rsidR="00680F5A" w14:paraId="0B266E89" w14:textId="77777777" w:rsidTr="00680F5A">
        <w:trPr>
          <w:trHeight w:val="967"/>
        </w:trPr>
        <w:tc>
          <w:tcPr>
            <w:tcW w:w="3192" w:type="dxa"/>
          </w:tcPr>
          <w:p w14:paraId="603FCD7E" w14:textId="044CCD91" w:rsidR="00680F5A" w:rsidRPr="00680F5A" w:rsidRDefault="00680F5A" w:rsidP="00680F5A">
            <w:pPr>
              <w:rPr>
                <w:rFonts w:cs="Arial"/>
              </w:rPr>
            </w:pPr>
            <w:r w:rsidRPr="00680F5A">
              <w:rPr>
                <w:rFonts w:cs="Arial"/>
                <w:b/>
                <w:bCs/>
              </w:rPr>
              <w:t>Иматиниб</w:t>
            </w:r>
          </w:p>
        </w:tc>
        <w:tc>
          <w:tcPr>
            <w:tcW w:w="3192" w:type="dxa"/>
          </w:tcPr>
          <w:p w14:paraId="0ABB555C" w14:textId="1176EFFF" w:rsidR="00680F5A" w:rsidRPr="00680F5A" w:rsidRDefault="00680F5A" w:rsidP="00680F5A">
            <w:pPr>
              <w:rPr>
                <w:rFonts w:cs="Arial"/>
              </w:rPr>
            </w:pPr>
            <w:r w:rsidRPr="00680F5A">
              <w:rPr>
                <w:rFonts w:cs="Arial"/>
                <w:lang w:val="en-US"/>
              </w:rPr>
              <w:t>AUC ↑</w:t>
            </w:r>
            <w:r w:rsidRPr="00680F5A">
              <w:rPr>
                <w:rFonts w:cs="Arial"/>
              </w:rPr>
              <w:t>3,7 ПЪТИ С</w:t>
            </w:r>
            <w:r w:rsidRPr="00680F5A">
              <w:rPr>
                <w:rFonts w:cs="Arial"/>
                <w:vertAlign w:val="subscript"/>
                <w:lang w:val="en-US"/>
              </w:rPr>
              <w:t>max</w:t>
            </w:r>
            <w:r w:rsidRPr="00680F5A">
              <w:rPr>
                <w:rFonts w:cs="Arial"/>
              </w:rPr>
              <w:t xml:space="preserve"> </w:t>
            </w:r>
            <w:r w:rsidRPr="00680F5A">
              <w:rPr>
                <w:rFonts w:cs="Arial"/>
                <w:lang w:val="en-US"/>
              </w:rPr>
              <w:t xml:space="preserve">↑2,2 </w:t>
            </w:r>
            <w:r w:rsidRPr="00680F5A">
              <w:rPr>
                <w:rFonts w:cs="Arial"/>
              </w:rPr>
              <w:t>пъти</w:t>
            </w:r>
          </w:p>
        </w:tc>
        <w:tc>
          <w:tcPr>
            <w:tcW w:w="3192" w:type="dxa"/>
            <w:vMerge w:val="restart"/>
          </w:tcPr>
          <w:p w14:paraId="4FC67294" w14:textId="2034997B" w:rsidR="00680F5A" w:rsidRPr="00680F5A" w:rsidRDefault="00680F5A" w:rsidP="00680F5A">
            <w:pPr>
              <w:rPr>
                <w:rFonts w:eastAsia="Times New Roman" w:cs="Arial"/>
              </w:rPr>
            </w:pPr>
            <w:r w:rsidRPr="00680F5A">
              <w:rPr>
                <w:rFonts w:cs="Arial"/>
              </w:rPr>
              <w:t>Необходимо е повишено внимание, когато едновременното приложение на</w:t>
            </w:r>
            <w:r w:rsidRPr="00680F5A">
              <w:rPr>
                <w:rFonts w:cs="Arial"/>
                <w:lang w:val="ru-RU"/>
              </w:rPr>
              <w:t xml:space="preserve"> </w:t>
            </w:r>
            <w:r w:rsidRPr="00680F5A">
              <w:rPr>
                <w:rFonts w:eastAsia="Times New Roman" w:cs="Arial"/>
                <w:color w:val="000000"/>
                <w:lang w:eastAsia="bg-BG"/>
              </w:rPr>
              <w:t xml:space="preserve">умерени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инхибитори или </w:t>
            </w:r>
            <w:r w:rsidRPr="00680F5A">
              <w:rPr>
                <w:rFonts w:eastAsia="Times New Roman" w:cs="Arial"/>
                <w:color w:val="000000"/>
                <w:lang w:val="en-US"/>
              </w:rPr>
              <w:lastRenderedPageBreak/>
              <w:t>PgP</w:t>
            </w:r>
            <w:r w:rsidRPr="00680F5A">
              <w:rPr>
                <w:rFonts w:eastAsia="Times New Roman" w:cs="Arial"/>
                <w:color w:val="000000"/>
                <w:lang w:val="ru-RU"/>
              </w:rPr>
              <w:t xml:space="preserve"> </w:t>
            </w:r>
            <w:r w:rsidRPr="00680F5A">
              <w:rPr>
                <w:rFonts w:eastAsia="Times New Roman" w:cs="Arial"/>
                <w:color w:val="000000"/>
                <w:lang w:eastAsia="bg-BG"/>
              </w:rPr>
              <w:t>инхибитори не може да се избегне.</w:t>
            </w:r>
          </w:p>
        </w:tc>
      </w:tr>
      <w:tr w:rsidR="00680F5A" w14:paraId="2B89ED1D" w14:textId="77777777" w:rsidTr="00680F5A">
        <w:tc>
          <w:tcPr>
            <w:tcW w:w="3192" w:type="dxa"/>
          </w:tcPr>
          <w:p w14:paraId="5C6B3E48" w14:textId="7C56A7D6" w:rsidR="00680F5A" w:rsidRPr="00680F5A" w:rsidRDefault="00680F5A" w:rsidP="00680F5A">
            <w:pPr>
              <w:rPr>
                <w:rFonts w:cs="Arial"/>
              </w:rPr>
            </w:pPr>
            <w:r w:rsidRPr="00680F5A">
              <w:rPr>
                <w:rFonts w:cs="Arial"/>
                <w:b/>
                <w:bCs/>
              </w:rPr>
              <w:t>Верапамил</w:t>
            </w:r>
          </w:p>
        </w:tc>
        <w:tc>
          <w:tcPr>
            <w:tcW w:w="3192" w:type="dxa"/>
          </w:tcPr>
          <w:p w14:paraId="2371B275" w14:textId="77777777" w:rsidR="00680F5A" w:rsidRPr="00680F5A" w:rsidRDefault="00680F5A" w:rsidP="00680F5A">
            <w:pPr>
              <w:rPr>
                <w:rFonts w:cs="Arial"/>
              </w:rPr>
            </w:pPr>
            <w:r w:rsidRPr="00680F5A">
              <w:rPr>
                <w:rFonts w:cs="Arial"/>
                <w:lang w:val="en-US"/>
              </w:rPr>
              <w:t>AUC</w:t>
            </w:r>
            <w:r w:rsidRPr="00680F5A">
              <w:rPr>
                <w:rFonts w:cs="Arial"/>
                <w:lang w:val="ru-RU"/>
              </w:rPr>
              <w:t xml:space="preserve"> ↑</w:t>
            </w:r>
            <w:r w:rsidRPr="00680F5A">
              <w:rPr>
                <w:rFonts w:cs="Arial"/>
              </w:rPr>
              <w:t>3,5 пъти (интервал 2,2-</w:t>
            </w:r>
          </w:p>
          <w:p w14:paraId="5BD7F3C4" w14:textId="77777777" w:rsidR="00680F5A" w:rsidRPr="00680F5A" w:rsidRDefault="00680F5A" w:rsidP="00680F5A">
            <w:pPr>
              <w:rPr>
                <w:rFonts w:cs="Arial"/>
              </w:rPr>
            </w:pPr>
            <w:r w:rsidRPr="00680F5A">
              <w:rPr>
                <w:rFonts w:cs="Arial"/>
              </w:rPr>
              <w:lastRenderedPageBreak/>
              <w:t>6,3) С</w:t>
            </w:r>
            <w:r w:rsidRPr="00680F5A">
              <w:rPr>
                <w:rFonts w:cs="Arial"/>
                <w:lang w:val="en-US"/>
              </w:rPr>
              <w:t>max</w:t>
            </w:r>
            <w:r w:rsidRPr="00680F5A">
              <w:rPr>
                <w:rFonts w:cs="Arial"/>
              </w:rPr>
              <w:t xml:space="preserve"> </w:t>
            </w:r>
            <w:r w:rsidRPr="00680F5A">
              <w:rPr>
                <w:rFonts w:cs="Arial"/>
                <w:lang w:val="ru-RU"/>
              </w:rPr>
              <w:t>↑</w:t>
            </w:r>
            <w:r w:rsidRPr="00680F5A">
              <w:rPr>
                <w:rFonts w:cs="Arial"/>
              </w:rPr>
              <w:t>2,3 пъти (интервал 1,3-</w:t>
            </w:r>
          </w:p>
          <w:p w14:paraId="1941390F" w14:textId="06AF8810" w:rsidR="00680F5A" w:rsidRPr="00680F5A" w:rsidRDefault="00680F5A" w:rsidP="00680F5A">
            <w:pPr>
              <w:rPr>
                <w:rFonts w:cs="Arial"/>
              </w:rPr>
            </w:pPr>
            <w:r w:rsidRPr="00680F5A">
              <w:rPr>
                <w:rFonts w:cs="Arial"/>
              </w:rPr>
              <w:t>3,8)</w:t>
            </w:r>
          </w:p>
        </w:tc>
        <w:tc>
          <w:tcPr>
            <w:tcW w:w="3192" w:type="dxa"/>
            <w:vMerge/>
          </w:tcPr>
          <w:p w14:paraId="7636B350" w14:textId="77777777" w:rsidR="00680F5A" w:rsidRPr="00680F5A" w:rsidRDefault="00680F5A" w:rsidP="00680F5A">
            <w:pPr>
              <w:rPr>
                <w:rFonts w:cs="Arial"/>
              </w:rPr>
            </w:pPr>
          </w:p>
        </w:tc>
      </w:tr>
      <w:tr w:rsidR="00680F5A" w14:paraId="44ADD199" w14:textId="77777777" w:rsidTr="00680F5A">
        <w:tc>
          <w:tcPr>
            <w:tcW w:w="3192" w:type="dxa"/>
          </w:tcPr>
          <w:p w14:paraId="655A3E7C" w14:textId="170389D5" w:rsidR="00680F5A" w:rsidRPr="00680F5A" w:rsidRDefault="00680F5A" w:rsidP="00680F5A">
            <w:pPr>
              <w:rPr>
                <w:rFonts w:cs="Arial"/>
              </w:rPr>
            </w:pPr>
            <w:r w:rsidRPr="00680F5A">
              <w:rPr>
                <w:rFonts w:cs="Arial"/>
                <w:b/>
                <w:bCs/>
              </w:rPr>
              <w:t>Перорален циклоспорин</w:t>
            </w:r>
          </w:p>
        </w:tc>
        <w:tc>
          <w:tcPr>
            <w:tcW w:w="3192" w:type="dxa"/>
          </w:tcPr>
          <w:p w14:paraId="521C09CA" w14:textId="7DCB76CF" w:rsidR="00680F5A" w:rsidRPr="00680F5A" w:rsidRDefault="00680F5A" w:rsidP="00680F5A">
            <w:pPr>
              <w:rPr>
                <w:rFonts w:cs="Arial"/>
              </w:rPr>
            </w:pPr>
            <w:r w:rsidRPr="00680F5A">
              <w:rPr>
                <w:rFonts w:cs="Arial"/>
                <w:lang w:val="en-US"/>
              </w:rPr>
              <w:t>AUC</w:t>
            </w:r>
            <w:r w:rsidRPr="00680F5A">
              <w:rPr>
                <w:rFonts w:cs="Arial"/>
                <w:lang w:val="ru-RU"/>
              </w:rPr>
              <w:t xml:space="preserve"> ↑</w:t>
            </w:r>
            <w:r w:rsidRPr="00680F5A">
              <w:rPr>
                <w:rFonts w:cs="Arial"/>
              </w:rPr>
              <w:t>2,7 пъти (интервал 1.5- 4,7) С</w:t>
            </w:r>
            <w:r w:rsidRPr="00680F5A">
              <w:rPr>
                <w:rFonts w:cs="Arial"/>
                <w:lang w:val="en-US"/>
              </w:rPr>
              <w:t>max</w:t>
            </w:r>
            <w:r w:rsidRPr="00680F5A">
              <w:rPr>
                <w:rFonts w:cs="Arial"/>
              </w:rPr>
              <w:t xml:space="preserve"> </w:t>
            </w:r>
            <w:r w:rsidRPr="00680F5A">
              <w:rPr>
                <w:rFonts w:cs="Arial"/>
                <w:lang w:val="ru-RU"/>
              </w:rPr>
              <w:t>↑</w:t>
            </w:r>
            <w:r w:rsidRPr="00680F5A">
              <w:rPr>
                <w:rFonts w:cs="Arial"/>
              </w:rPr>
              <w:t>1,8 пъти (интервал 1,3- 2,6)</w:t>
            </w:r>
          </w:p>
        </w:tc>
        <w:tc>
          <w:tcPr>
            <w:tcW w:w="3192" w:type="dxa"/>
            <w:vMerge/>
          </w:tcPr>
          <w:p w14:paraId="18B0760F" w14:textId="77777777" w:rsidR="00680F5A" w:rsidRPr="00680F5A" w:rsidRDefault="00680F5A" w:rsidP="00680F5A">
            <w:pPr>
              <w:rPr>
                <w:rFonts w:cs="Arial"/>
              </w:rPr>
            </w:pPr>
          </w:p>
        </w:tc>
      </w:tr>
      <w:tr w:rsidR="00680F5A" w14:paraId="2912CD95" w14:textId="77777777" w:rsidTr="00680F5A">
        <w:tc>
          <w:tcPr>
            <w:tcW w:w="3192" w:type="dxa"/>
          </w:tcPr>
          <w:p w14:paraId="5B4EC49B" w14:textId="0199D984" w:rsidR="00680F5A" w:rsidRPr="00680F5A" w:rsidRDefault="00680F5A" w:rsidP="00680F5A">
            <w:pPr>
              <w:rPr>
                <w:rFonts w:cs="Arial"/>
              </w:rPr>
            </w:pPr>
            <w:r w:rsidRPr="00680F5A">
              <w:rPr>
                <w:rFonts w:cs="Arial"/>
                <w:b/>
                <w:bCs/>
              </w:rPr>
              <w:t>Флуконазол</w:t>
            </w:r>
          </w:p>
        </w:tc>
        <w:tc>
          <w:tcPr>
            <w:tcW w:w="3192" w:type="dxa"/>
            <w:vMerge w:val="restart"/>
          </w:tcPr>
          <w:p w14:paraId="77D948F8" w14:textId="063A493D" w:rsidR="00680F5A" w:rsidRPr="00680F5A" w:rsidRDefault="00680F5A" w:rsidP="00680F5A">
            <w:pPr>
              <w:rPr>
                <w:rFonts w:cs="Arial"/>
              </w:rPr>
            </w:pPr>
            <w:r w:rsidRPr="00680F5A">
              <w:rPr>
                <w:rFonts w:cs="Arial"/>
              </w:rPr>
              <w:t>Не е проучен. Очаква се повишена експозиция.</w:t>
            </w:r>
          </w:p>
        </w:tc>
        <w:tc>
          <w:tcPr>
            <w:tcW w:w="3192" w:type="dxa"/>
            <w:vMerge/>
          </w:tcPr>
          <w:p w14:paraId="65D14A0D" w14:textId="77777777" w:rsidR="00680F5A" w:rsidRPr="00680F5A" w:rsidRDefault="00680F5A" w:rsidP="00680F5A">
            <w:pPr>
              <w:rPr>
                <w:rFonts w:cs="Arial"/>
              </w:rPr>
            </w:pPr>
          </w:p>
        </w:tc>
      </w:tr>
      <w:tr w:rsidR="00680F5A" w14:paraId="7EED0D05" w14:textId="77777777" w:rsidTr="00680F5A">
        <w:tc>
          <w:tcPr>
            <w:tcW w:w="3192" w:type="dxa"/>
          </w:tcPr>
          <w:p w14:paraId="5165A671" w14:textId="05186A0E" w:rsidR="00680F5A" w:rsidRPr="00680F5A" w:rsidRDefault="00680F5A" w:rsidP="00680F5A">
            <w:pPr>
              <w:rPr>
                <w:rFonts w:cs="Arial"/>
              </w:rPr>
            </w:pPr>
            <w:r w:rsidRPr="00680F5A">
              <w:rPr>
                <w:rFonts w:cs="Arial"/>
                <w:b/>
                <w:bCs/>
              </w:rPr>
              <w:t>Днлтиазем, никардипин</w:t>
            </w:r>
          </w:p>
        </w:tc>
        <w:tc>
          <w:tcPr>
            <w:tcW w:w="3192" w:type="dxa"/>
            <w:vMerge/>
          </w:tcPr>
          <w:p w14:paraId="43AF2AAC" w14:textId="77777777" w:rsidR="00680F5A" w:rsidRPr="00680F5A" w:rsidRDefault="00680F5A" w:rsidP="00680F5A">
            <w:pPr>
              <w:rPr>
                <w:rFonts w:cs="Arial"/>
              </w:rPr>
            </w:pPr>
          </w:p>
        </w:tc>
        <w:tc>
          <w:tcPr>
            <w:tcW w:w="3192" w:type="dxa"/>
            <w:vMerge/>
          </w:tcPr>
          <w:p w14:paraId="3204D85C" w14:textId="77777777" w:rsidR="00680F5A" w:rsidRPr="00680F5A" w:rsidRDefault="00680F5A" w:rsidP="00680F5A">
            <w:pPr>
              <w:rPr>
                <w:rFonts w:cs="Arial"/>
              </w:rPr>
            </w:pPr>
          </w:p>
        </w:tc>
      </w:tr>
      <w:tr w:rsidR="00680F5A" w14:paraId="0C5FAD4B" w14:textId="77777777" w:rsidTr="00680F5A">
        <w:tc>
          <w:tcPr>
            <w:tcW w:w="3192" w:type="dxa"/>
          </w:tcPr>
          <w:p w14:paraId="67198395" w14:textId="14A93F3D" w:rsidR="00680F5A" w:rsidRPr="00680F5A" w:rsidRDefault="00680F5A" w:rsidP="00680F5A">
            <w:pPr>
              <w:rPr>
                <w:rFonts w:cs="Arial"/>
              </w:rPr>
            </w:pPr>
            <w:r w:rsidRPr="00680F5A">
              <w:rPr>
                <w:rFonts w:cs="Arial"/>
                <w:b/>
                <w:bCs/>
              </w:rPr>
              <w:t>Дронедарон</w:t>
            </w:r>
          </w:p>
        </w:tc>
        <w:tc>
          <w:tcPr>
            <w:tcW w:w="3192" w:type="dxa"/>
          </w:tcPr>
          <w:p w14:paraId="58D9D441" w14:textId="3BEBB871" w:rsidR="00680F5A" w:rsidRPr="00680F5A" w:rsidRDefault="00680F5A" w:rsidP="00680F5A">
            <w:pPr>
              <w:rPr>
                <w:rFonts w:cs="Arial"/>
              </w:rPr>
            </w:pPr>
            <w:r w:rsidRPr="00680F5A">
              <w:rPr>
                <w:rFonts w:cs="Arial"/>
              </w:rPr>
              <w:t>Не е проучен. Очаква се повишена експозиция.</w:t>
            </w:r>
          </w:p>
        </w:tc>
        <w:tc>
          <w:tcPr>
            <w:tcW w:w="3192" w:type="dxa"/>
            <w:vMerge/>
          </w:tcPr>
          <w:p w14:paraId="37B09562" w14:textId="77777777" w:rsidR="00680F5A" w:rsidRPr="00680F5A" w:rsidRDefault="00680F5A" w:rsidP="00680F5A">
            <w:pPr>
              <w:rPr>
                <w:rFonts w:cs="Arial"/>
              </w:rPr>
            </w:pPr>
          </w:p>
        </w:tc>
      </w:tr>
      <w:tr w:rsidR="00680F5A" w14:paraId="5281E41F" w14:textId="77777777" w:rsidTr="00680F5A">
        <w:tc>
          <w:tcPr>
            <w:tcW w:w="3192" w:type="dxa"/>
          </w:tcPr>
          <w:p w14:paraId="4D87BDCF" w14:textId="5D0F8EAE" w:rsidR="00680F5A" w:rsidRPr="00680F5A" w:rsidRDefault="00680F5A" w:rsidP="00680F5A">
            <w:pPr>
              <w:rPr>
                <w:rFonts w:cs="Arial"/>
              </w:rPr>
            </w:pPr>
            <w:r w:rsidRPr="00680F5A">
              <w:rPr>
                <w:rFonts w:cs="Arial"/>
                <w:b/>
                <w:bCs/>
              </w:rPr>
              <w:t>Ампренавнр, фосампренавир</w:t>
            </w:r>
          </w:p>
        </w:tc>
        <w:tc>
          <w:tcPr>
            <w:tcW w:w="3192" w:type="dxa"/>
          </w:tcPr>
          <w:p w14:paraId="6B898470" w14:textId="38E19BED" w:rsidR="00680F5A" w:rsidRPr="00680F5A" w:rsidRDefault="00680F5A" w:rsidP="00680F5A">
            <w:pPr>
              <w:rPr>
                <w:rFonts w:cs="Arial"/>
              </w:rPr>
            </w:pPr>
            <w:r w:rsidRPr="00680F5A">
              <w:rPr>
                <w:rFonts w:cs="Arial"/>
              </w:rPr>
              <w:t>Не е проучен. Очаква се повишена експозиция.</w:t>
            </w:r>
          </w:p>
        </w:tc>
        <w:tc>
          <w:tcPr>
            <w:tcW w:w="3192" w:type="dxa"/>
            <w:vMerge/>
          </w:tcPr>
          <w:p w14:paraId="15AABF84" w14:textId="77777777" w:rsidR="00680F5A" w:rsidRPr="00680F5A" w:rsidRDefault="00680F5A" w:rsidP="00680F5A">
            <w:pPr>
              <w:rPr>
                <w:rFonts w:cs="Arial"/>
              </w:rPr>
            </w:pPr>
          </w:p>
        </w:tc>
      </w:tr>
      <w:tr w:rsidR="00680F5A" w14:paraId="0959188D" w14:textId="77777777" w:rsidTr="00680F5A">
        <w:tc>
          <w:tcPr>
            <w:tcW w:w="3192" w:type="dxa"/>
          </w:tcPr>
          <w:p w14:paraId="5C1969CD" w14:textId="7D06EE62" w:rsidR="00680F5A" w:rsidRPr="00680F5A" w:rsidRDefault="00680F5A" w:rsidP="00680F5A">
            <w:pPr>
              <w:rPr>
                <w:rFonts w:cs="Arial"/>
              </w:rPr>
            </w:pPr>
            <w:r w:rsidRPr="00680F5A">
              <w:rPr>
                <w:rFonts w:cs="Arial"/>
                <w:b/>
                <w:bCs/>
              </w:rPr>
              <w:t xml:space="preserve">Сок от грейпфрут или други храни, повлияващи </w:t>
            </w:r>
            <w:r w:rsidRPr="00680F5A">
              <w:rPr>
                <w:rFonts w:cs="Arial"/>
                <w:b/>
                <w:bCs/>
                <w:lang w:val="en-US"/>
              </w:rPr>
              <w:t>CYP</w:t>
            </w:r>
            <w:r w:rsidRPr="00680F5A">
              <w:rPr>
                <w:rFonts w:cs="Arial"/>
                <w:b/>
                <w:bCs/>
                <w:lang w:val="ru-RU"/>
              </w:rPr>
              <w:t>3</w:t>
            </w:r>
            <w:r w:rsidRPr="00680F5A">
              <w:rPr>
                <w:rFonts w:cs="Arial"/>
                <w:b/>
                <w:bCs/>
                <w:lang w:val="en-US"/>
              </w:rPr>
              <w:t>A</w:t>
            </w:r>
            <w:r w:rsidRPr="00680F5A">
              <w:rPr>
                <w:rFonts w:cs="Arial"/>
                <w:b/>
                <w:bCs/>
                <w:lang w:val="ru-RU"/>
              </w:rPr>
              <w:t>4/</w:t>
            </w:r>
            <w:r w:rsidRPr="00680F5A">
              <w:rPr>
                <w:rFonts w:cs="Arial"/>
                <w:b/>
                <w:bCs/>
                <w:lang w:val="en-US"/>
              </w:rPr>
              <w:t>PgP</w:t>
            </w:r>
          </w:p>
        </w:tc>
        <w:tc>
          <w:tcPr>
            <w:tcW w:w="3192" w:type="dxa"/>
          </w:tcPr>
          <w:p w14:paraId="55FCD6EE" w14:textId="0DF41433" w:rsidR="00680F5A" w:rsidRPr="00680F5A" w:rsidRDefault="00680F5A" w:rsidP="00680F5A">
            <w:pPr>
              <w:rPr>
                <w:rFonts w:cs="Arial"/>
              </w:rPr>
            </w:pPr>
            <w:r w:rsidRPr="00680F5A">
              <w:rPr>
                <w:rFonts w:cs="Arial"/>
              </w:rPr>
              <w:t>Не е проучен. Очаква се повишена експозиция (ефектът широко варира).</w:t>
            </w:r>
          </w:p>
        </w:tc>
        <w:tc>
          <w:tcPr>
            <w:tcW w:w="3192" w:type="dxa"/>
          </w:tcPr>
          <w:p w14:paraId="5FCE5328" w14:textId="67B79FE6" w:rsidR="00680F5A" w:rsidRPr="00680F5A" w:rsidRDefault="00680F5A" w:rsidP="00680F5A">
            <w:pPr>
              <w:rPr>
                <w:rFonts w:cs="Arial"/>
              </w:rPr>
            </w:pPr>
            <w:r w:rsidRPr="00680F5A">
              <w:rPr>
                <w:rFonts w:cs="Arial"/>
              </w:rPr>
              <w:t>Комбинацията трябва да се избягва.</w:t>
            </w:r>
          </w:p>
        </w:tc>
      </w:tr>
      <w:tr w:rsidR="00680F5A" w14:paraId="4736B03D" w14:textId="77777777" w:rsidTr="00680F5A">
        <w:tc>
          <w:tcPr>
            <w:tcW w:w="9576" w:type="dxa"/>
            <w:gridSpan w:val="3"/>
          </w:tcPr>
          <w:p w14:paraId="4FE2B496" w14:textId="56B60F19" w:rsidR="00680F5A" w:rsidRPr="00680F5A" w:rsidRDefault="00680F5A" w:rsidP="00680F5A">
            <w:pPr>
              <w:rPr>
                <w:rFonts w:cs="Arial"/>
              </w:rPr>
            </w:pPr>
            <w:r w:rsidRPr="00680F5A">
              <w:rPr>
                <w:rFonts w:eastAsia="Times New Roman" w:cs="Arial"/>
                <w:b/>
                <w:bCs/>
                <w:color w:val="000000"/>
                <w:lang w:eastAsia="bg-BG"/>
              </w:rPr>
              <w:t xml:space="preserve">Силни и умерени </w:t>
            </w:r>
            <w:r w:rsidRPr="00680F5A">
              <w:rPr>
                <w:rFonts w:eastAsia="Times New Roman" w:cs="Arial"/>
                <w:b/>
                <w:bCs/>
                <w:color w:val="000000"/>
                <w:lang w:val="en-US"/>
              </w:rPr>
              <w:t>CYP</w:t>
            </w:r>
            <w:r w:rsidRPr="00680F5A">
              <w:rPr>
                <w:rFonts w:eastAsia="Times New Roman" w:cs="Arial"/>
                <w:b/>
                <w:bCs/>
                <w:color w:val="000000"/>
                <w:lang w:val="ru-RU"/>
              </w:rPr>
              <w:t>3</w:t>
            </w:r>
            <w:r w:rsidRPr="00680F5A">
              <w:rPr>
                <w:rFonts w:eastAsia="Times New Roman" w:cs="Arial"/>
                <w:b/>
                <w:bCs/>
                <w:color w:val="000000"/>
                <w:lang w:val="en-US"/>
              </w:rPr>
              <w:t>A</w:t>
            </w:r>
            <w:r w:rsidRPr="00680F5A">
              <w:rPr>
                <w:rFonts w:eastAsia="Times New Roman" w:cs="Arial"/>
                <w:b/>
                <w:bCs/>
                <w:color w:val="000000"/>
                <w:lang w:val="ru-RU"/>
              </w:rPr>
              <w:t xml:space="preserve">4 </w:t>
            </w:r>
            <w:r w:rsidRPr="00680F5A">
              <w:rPr>
                <w:rFonts w:eastAsia="Times New Roman" w:cs="Arial"/>
                <w:b/>
                <w:bCs/>
                <w:color w:val="000000"/>
                <w:lang w:eastAsia="bg-BG"/>
              </w:rPr>
              <w:t>индуктори</w:t>
            </w:r>
          </w:p>
        </w:tc>
      </w:tr>
      <w:tr w:rsidR="00680F5A" w14:paraId="220C1244" w14:textId="77777777" w:rsidTr="00680F5A">
        <w:tc>
          <w:tcPr>
            <w:tcW w:w="3192" w:type="dxa"/>
          </w:tcPr>
          <w:p w14:paraId="1813FFFC" w14:textId="2310766E" w:rsidR="00680F5A" w:rsidRPr="00680F5A" w:rsidRDefault="00680F5A" w:rsidP="00680F5A">
            <w:pPr>
              <w:rPr>
                <w:rFonts w:cs="Arial"/>
              </w:rPr>
            </w:pPr>
            <w:r w:rsidRPr="00680F5A">
              <w:rPr>
                <w:rFonts w:cs="Arial"/>
                <w:b/>
                <w:bCs/>
              </w:rPr>
              <w:t>Рифампицин</w:t>
            </w:r>
          </w:p>
        </w:tc>
        <w:tc>
          <w:tcPr>
            <w:tcW w:w="3192" w:type="dxa"/>
          </w:tcPr>
          <w:p w14:paraId="525028A2" w14:textId="499C268A" w:rsidR="00680F5A" w:rsidRPr="00680F5A" w:rsidRDefault="00680F5A" w:rsidP="00680F5A">
            <w:pPr>
              <w:rPr>
                <w:rFonts w:cs="Arial"/>
              </w:rPr>
            </w:pPr>
            <w:r w:rsidRPr="00680F5A">
              <w:rPr>
                <w:rFonts w:cs="Arial"/>
                <w:lang w:val="en-US"/>
              </w:rPr>
              <w:t>AUC ↓</w:t>
            </w:r>
            <w:r w:rsidRPr="00680F5A">
              <w:rPr>
                <w:rFonts w:cs="Arial"/>
              </w:rPr>
              <w:t>63% (интервал 0-80%) С</w:t>
            </w:r>
            <w:r w:rsidRPr="00680F5A">
              <w:rPr>
                <w:rFonts w:cs="Arial"/>
                <w:lang w:val="en-US"/>
              </w:rPr>
              <w:t>max</w:t>
            </w:r>
            <w:r w:rsidRPr="00680F5A">
              <w:rPr>
                <w:rFonts w:cs="Arial"/>
              </w:rPr>
              <w:t xml:space="preserve"> </w:t>
            </w:r>
            <w:r w:rsidRPr="00680F5A">
              <w:rPr>
                <w:rFonts w:cs="Arial"/>
                <w:lang w:val="en-US"/>
              </w:rPr>
              <w:t>↓</w:t>
            </w:r>
            <w:r w:rsidRPr="00680F5A">
              <w:rPr>
                <w:rFonts w:cs="Arial"/>
              </w:rPr>
              <w:t>58% (интервал 10-70%)</w:t>
            </w:r>
          </w:p>
        </w:tc>
        <w:tc>
          <w:tcPr>
            <w:tcW w:w="3192" w:type="dxa"/>
            <w:vMerge w:val="restart"/>
          </w:tcPr>
          <w:p w14:paraId="6833B0A1" w14:textId="2DF98D0F" w:rsidR="00680F5A" w:rsidRPr="00680F5A" w:rsidRDefault="00680F5A" w:rsidP="00680F5A">
            <w:pPr>
              <w:rPr>
                <w:rFonts w:cs="Arial"/>
              </w:rPr>
            </w:pPr>
            <w:r w:rsidRPr="00680F5A">
              <w:rPr>
                <w:rFonts w:cs="Arial"/>
              </w:rPr>
              <w:t>Едновременното приложение със силни СУРЗА4-индуктори не се препоръчва, освен ако ползите не превишват рисковете.</w:t>
            </w:r>
          </w:p>
        </w:tc>
      </w:tr>
      <w:tr w:rsidR="00680F5A" w14:paraId="58B6D106" w14:textId="77777777" w:rsidTr="00680F5A">
        <w:tc>
          <w:tcPr>
            <w:tcW w:w="3192" w:type="dxa"/>
          </w:tcPr>
          <w:p w14:paraId="44258542" w14:textId="067F480A" w:rsidR="00680F5A" w:rsidRPr="00680F5A" w:rsidRDefault="00680F5A" w:rsidP="00680F5A">
            <w:pPr>
              <w:rPr>
                <w:rFonts w:cs="Arial"/>
              </w:rPr>
            </w:pPr>
            <w:r w:rsidRPr="00680F5A">
              <w:rPr>
                <w:rFonts w:cs="Arial"/>
                <w:b/>
                <w:bCs/>
              </w:rPr>
              <w:t>Рифабутин</w:t>
            </w:r>
          </w:p>
        </w:tc>
        <w:tc>
          <w:tcPr>
            <w:tcW w:w="3192" w:type="dxa"/>
          </w:tcPr>
          <w:p w14:paraId="6E76048C" w14:textId="5BFB5B2F"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40996B51" w14:textId="77777777" w:rsidR="00680F5A" w:rsidRPr="00680F5A" w:rsidRDefault="00680F5A" w:rsidP="00680F5A">
            <w:pPr>
              <w:rPr>
                <w:rFonts w:cs="Arial"/>
              </w:rPr>
            </w:pPr>
          </w:p>
        </w:tc>
      </w:tr>
      <w:tr w:rsidR="00680F5A" w14:paraId="48822CBC" w14:textId="77777777" w:rsidTr="00680F5A">
        <w:tc>
          <w:tcPr>
            <w:tcW w:w="3192" w:type="dxa"/>
          </w:tcPr>
          <w:p w14:paraId="787DC1C5" w14:textId="54E5F2B7" w:rsidR="00680F5A" w:rsidRPr="00680F5A" w:rsidRDefault="00680F5A" w:rsidP="00680F5A">
            <w:pPr>
              <w:rPr>
                <w:rFonts w:cs="Arial"/>
              </w:rPr>
            </w:pPr>
            <w:r w:rsidRPr="00680F5A">
              <w:rPr>
                <w:rFonts w:cs="Arial"/>
                <w:b/>
                <w:bCs/>
              </w:rPr>
              <w:t>Карбамазепин</w:t>
            </w:r>
          </w:p>
        </w:tc>
        <w:tc>
          <w:tcPr>
            <w:tcW w:w="3192" w:type="dxa"/>
          </w:tcPr>
          <w:p w14:paraId="0B7FA6AB" w14:textId="149D2BC0"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3B29AA97" w14:textId="77777777" w:rsidR="00680F5A" w:rsidRPr="00680F5A" w:rsidRDefault="00680F5A" w:rsidP="00680F5A">
            <w:pPr>
              <w:rPr>
                <w:rFonts w:cs="Arial"/>
              </w:rPr>
            </w:pPr>
          </w:p>
        </w:tc>
      </w:tr>
      <w:tr w:rsidR="00680F5A" w14:paraId="5480487F" w14:textId="77777777" w:rsidTr="00680F5A">
        <w:tc>
          <w:tcPr>
            <w:tcW w:w="3192" w:type="dxa"/>
          </w:tcPr>
          <w:p w14:paraId="44FB05E2" w14:textId="6CA43359" w:rsidR="00680F5A" w:rsidRPr="00680F5A" w:rsidRDefault="00680F5A" w:rsidP="00680F5A">
            <w:pPr>
              <w:rPr>
                <w:rFonts w:cs="Arial"/>
              </w:rPr>
            </w:pPr>
            <w:r w:rsidRPr="00680F5A">
              <w:rPr>
                <w:rFonts w:cs="Arial"/>
                <w:b/>
                <w:bCs/>
              </w:rPr>
              <w:t>Фенитоин</w:t>
            </w:r>
          </w:p>
        </w:tc>
        <w:tc>
          <w:tcPr>
            <w:tcW w:w="3192" w:type="dxa"/>
          </w:tcPr>
          <w:p w14:paraId="6D1D83EB" w14:textId="7252CBEC"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205ABFE4" w14:textId="77777777" w:rsidR="00680F5A" w:rsidRPr="00680F5A" w:rsidRDefault="00680F5A" w:rsidP="00680F5A">
            <w:pPr>
              <w:rPr>
                <w:rFonts w:cs="Arial"/>
              </w:rPr>
            </w:pPr>
          </w:p>
        </w:tc>
      </w:tr>
      <w:tr w:rsidR="00680F5A" w14:paraId="5460C4CD" w14:textId="77777777" w:rsidTr="00680F5A">
        <w:tc>
          <w:tcPr>
            <w:tcW w:w="3192" w:type="dxa"/>
          </w:tcPr>
          <w:p w14:paraId="586A1297" w14:textId="6D6620D5" w:rsidR="00680F5A" w:rsidRPr="00680F5A" w:rsidRDefault="00680F5A" w:rsidP="00680F5A">
            <w:pPr>
              <w:rPr>
                <w:rFonts w:cs="Arial"/>
              </w:rPr>
            </w:pPr>
            <w:r w:rsidRPr="00680F5A">
              <w:rPr>
                <w:rFonts w:cs="Arial"/>
                <w:b/>
                <w:bCs/>
              </w:rPr>
              <w:t>Фенобарбитал</w:t>
            </w:r>
          </w:p>
        </w:tc>
        <w:tc>
          <w:tcPr>
            <w:tcW w:w="3192" w:type="dxa"/>
          </w:tcPr>
          <w:p w14:paraId="78581E9E" w14:textId="02066E37"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val="restart"/>
          </w:tcPr>
          <w:p w14:paraId="679B8596" w14:textId="59A5494C" w:rsidR="00680F5A" w:rsidRPr="00680F5A" w:rsidRDefault="00680F5A" w:rsidP="00680F5A">
            <w:pPr>
              <w:rPr>
                <w:rFonts w:cs="Arial"/>
              </w:rPr>
            </w:pPr>
            <w:r w:rsidRPr="00680F5A">
              <w:rPr>
                <w:rFonts w:cs="Arial"/>
              </w:rPr>
              <w:t xml:space="preserve">Концентрациите на еверолимус в цяла кръв трябва да се следят, когато се прилага едновременно с индуктори на </w:t>
            </w:r>
            <w:r w:rsidRPr="00680F5A">
              <w:rPr>
                <w:rFonts w:cs="Arial"/>
                <w:lang w:val="en-US"/>
              </w:rPr>
              <w:t>CYP</w:t>
            </w:r>
            <w:r w:rsidRPr="00680F5A">
              <w:rPr>
                <w:rFonts w:cs="Arial"/>
                <w:lang w:val="ru-RU"/>
              </w:rPr>
              <w:t>3</w:t>
            </w:r>
            <w:r w:rsidRPr="00680F5A">
              <w:rPr>
                <w:rFonts w:cs="Arial"/>
                <w:lang w:val="en-US"/>
              </w:rPr>
              <w:t>A</w:t>
            </w:r>
            <w:r w:rsidRPr="00680F5A">
              <w:rPr>
                <w:rFonts w:cs="Arial"/>
                <w:lang w:val="ru-RU"/>
              </w:rPr>
              <w:t xml:space="preserve">4 </w:t>
            </w:r>
            <w:r w:rsidRPr="00680F5A">
              <w:rPr>
                <w:rFonts w:cs="Arial"/>
              </w:rPr>
              <w:t>и след тяхното преустановяване.</w:t>
            </w:r>
          </w:p>
        </w:tc>
      </w:tr>
      <w:tr w:rsidR="00680F5A" w14:paraId="12C1D313" w14:textId="77777777" w:rsidTr="00680F5A">
        <w:tc>
          <w:tcPr>
            <w:tcW w:w="3192" w:type="dxa"/>
          </w:tcPr>
          <w:p w14:paraId="1F6AC93C" w14:textId="4BBED792" w:rsidR="00680F5A" w:rsidRPr="00680F5A" w:rsidRDefault="00680F5A" w:rsidP="00680F5A">
            <w:pPr>
              <w:rPr>
                <w:rFonts w:cs="Arial"/>
              </w:rPr>
            </w:pPr>
            <w:r w:rsidRPr="00680F5A">
              <w:rPr>
                <w:rFonts w:cs="Arial"/>
                <w:b/>
                <w:bCs/>
              </w:rPr>
              <w:t>Ефавиренц, невирапин</w:t>
            </w:r>
          </w:p>
        </w:tc>
        <w:tc>
          <w:tcPr>
            <w:tcW w:w="3192" w:type="dxa"/>
          </w:tcPr>
          <w:p w14:paraId="5EB6D7B0" w14:textId="7360E098"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277D736D" w14:textId="77777777" w:rsidR="00680F5A" w:rsidRPr="00680F5A" w:rsidRDefault="00680F5A" w:rsidP="00680F5A">
            <w:pPr>
              <w:rPr>
                <w:rFonts w:cs="Arial"/>
              </w:rPr>
            </w:pPr>
          </w:p>
        </w:tc>
      </w:tr>
      <w:tr w:rsidR="00680F5A" w14:paraId="484879F8" w14:textId="77777777" w:rsidTr="00680F5A">
        <w:tc>
          <w:tcPr>
            <w:tcW w:w="3192" w:type="dxa"/>
          </w:tcPr>
          <w:p w14:paraId="30CB3567" w14:textId="66950EEB" w:rsidR="00680F5A" w:rsidRPr="00680F5A" w:rsidRDefault="00680F5A" w:rsidP="00680F5A">
            <w:pPr>
              <w:rPr>
                <w:rFonts w:cs="Arial"/>
              </w:rPr>
            </w:pPr>
            <w:r w:rsidRPr="00680F5A">
              <w:rPr>
                <w:rFonts w:cs="Arial"/>
                <w:b/>
                <w:bCs/>
              </w:rPr>
              <w:t xml:space="preserve">Жълт кантарион </w:t>
            </w:r>
            <w:r w:rsidRPr="00680F5A">
              <w:rPr>
                <w:rFonts w:cs="Arial"/>
                <w:i/>
                <w:iCs/>
                <w:lang w:val="en-US"/>
              </w:rPr>
              <w:t>(Hypericum perforatum)</w:t>
            </w:r>
          </w:p>
        </w:tc>
        <w:tc>
          <w:tcPr>
            <w:tcW w:w="3192" w:type="dxa"/>
          </w:tcPr>
          <w:p w14:paraId="7ECC7E6A" w14:textId="7F6A3631" w:rsidR="00680F5A" w:rsidRPr="00680F5A" w:rsidRDefault="00680F5A" w:rsidP="00680F5A">
            <w:pPr>
              <w:rPr>
                <w:rFonts w:cs="Arial"/>
              </w:rPr>
            </w:pPr>
            <w:r w:rsidRPr="00680F5A">
              <w:rPr>
                <w:rFonts w:cs="Arial"/>
              </w:rPr>
              <w:t>Не е проучен. Очаква се голямо намаление на експозицията.</w:t>
            </w:r>
          </w:p>
        </w:tc>
        <w:tc>
          <w:tcPr>
            <w:tcW w:w="3192" w:type="dxa"/>
          </w:tcPr>
          <w:p w14:paraId="061AAC16" w14:textId="34F9C213" w:rsidR="00680F5A" w:rsidRPr="00680F5A" w:rsidRDefault="00680F5A" w:rsidP="00680F5A">
            <w:pPr>
              <w:rPr>
                <w:rFonts w:cs="Arial"/>
              </w:rPr>
            </w:pPr>
            <w:r w:rsidRPr="00680F5A">
              <w:rPr>
                <w:rFonts w:cs="Arial"/>
              </w:rPr>
              <w:t>Препарати, съдържащи жълт кантарион не трябва да се използват по време на лечението с еверолимус.</w:t>
            </w:r>
          </w:p>
        </w:tc>
      </w:tr>
    </w:tbl>
    <w:p w14:paraId="1674859D" w14:textId="77777777" w:rsidR="00680F5A" w:rsidRDefault="00680F5A" w:rsidP="00680F5A"/>
    <w:p w14:paraId="6C0439E7" w14:textId="77777777" w:rsidR="00680F5A" w:rsidRPr="00680F5A" w:rsidRDefault="00680F5A" w:rsidP="00680F5A">
      <w:pPr>
        <w:spacing w:line="240" w:lineRule="auto"/>
        <w:rPr>
          <w:rFonts w:eastAsia="Times New Roman" w:cs="Arial"/>
        </w:rPr>
      </w:pPr>
      <w:r w:rsidRPr="00680F5A">
        <w:rPr>
          <w:rFonts w:eastAsia="Times New Roman" w:cs="Arial"/>
          <w:b/>
          <w:bCs/>
          <w:color w:val="000000"/>
          <w:u w:val="single"/>
          <w:lang w:eastAsia="bg-BG"/>
        </w:rPr>
        <w:t>Средства, чиито плазмени концентрации могат да бъдат повлияни от еверолимус</w:t>
      </w:r>
      <w:bookmarkStart w:id="1" w:name="bookmark0"/>
      <w:bookmarkEnd w:id="1"/>
    </w:p>
    <w:p w14:paraId="792E3E5D" w14:textId="638982C3" w:rsidR="00680F5A" w:rsidRPr="00680F5A" w:rsidRDefault="00680F5A" w:rsidP="00680F5A">
      <w:pPr>
        <w:spacing w:line="240" w:lineRule="auto"/>
        <w:rPr>
          <w:rFonts w:eastAsia="Times New Roman" w:cs="Arial"/>
        </w:rPr>
      </w:pPr>
    </w:p>
    <w:p w14:paraId="2D6A5F0A" w14:textId="66061C5D" w:rsidR="00680F5A" w:rsidRPr="00680F5A" w:rsidRDefault="00680F5A" w:rsidP="00680F5A">
      <w:pPr>
        <w:spacing w:line="240" w:lineRule="auto"/>
        <w:rPr>
          <w:rFonts w:eastAsia="Times New Roman" w:cs="Arial"/>
          <w:u w:val="single"/>
        </w:rPr>
      </w:pPr>
      <w:r w:rsidRPr="00680F5A">
        <w:rPr>
          <w:rFonts w:eastAsia="Times New Roman" w:cs="Arial"/>
          <w:u w:val="single"/>
        </w:rPr>
        <w:t>Октреоиди</w:t>
      </w:r>
    </w:p>
    <w:p w14:paraId="7E1B61E7"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Едновременното приложение на еверолимус (10 </w:t>
      </w:r>
      <w:r w:rsidRPr="00680F5A">
        <w:rPr>
          <w:rFonts w:eastAsia="Times New Roman" w:cs="Arial"/>
          <w:color w:val="000000"/>
          <w:lang w:val="en-US"/>
        </w:rPr>
        <w:t>mg</w:t>
      </w:r>
      <w:r w:rsidRPr="00680F5A">
        <w:rPr>
          <w:rFonts w:eastAsia="Times New Roman" w:cs="Arial"/>
          <w:color w:val="000000"/>
          <w:lang w:val="ru-RU"/>
        </w:rPr>
        <w:t xml:space="preserve"> </w:t>
      </w:r>
      <w:r w:rsidRPr="00680F5A">
        <w:rPr>
          <w:rFonts w:eastAsia="Times New Roman" w:cs="Arial"/>
          <w:color w:val="000000"/>
          <w:lang w:eastAsia="bg-BG"/>
        </w:rPr>
        <w:t>дневно) с депо форма на октреотид</w:t>
      </w:r>
    </w:p>
    <w:p w14:paraId="2D608E91" w14:textId="137B0A88" w:rsidR="00680F5A" w:rsidRPr="00680F5A" w:rsidRDefault="00680F5A" w:rsidP="00680F5A">
      <w:pPr>
        <w:rPr>
          <w:rFonts w:eastAsia="Times New Roman" w:cs="Arial"/>
          <w:color w:val="000000"/>
          <w:lang w:eastAsia="bg-BG"/>
        </w:rPr>
      </w:pPr>
      <w:r w:rsidRPr="00680F5A">
        <w:rPr>
          <w:rFonts w:eastAsia="Times New Roman" w:cs="Arial"/>
          <w:color w:val="000000"/>
          <w:lang w:eastAsia="bg-BG"/>
        </w:rPr>
        <w:t xml:space="preserve">повишава </w:t>
      </w:r>
      <w:r w:rsidRPr="00680F5A">
        <w:rPr>
          <w:rFonts w:eastAsia="Times New Roman" w:cs="Arial"/>
          <w:color w:val="000000"/>
          <w:lang w:val="en-US"/>
        </w:rPr>
        <w:t>Cmin</w:t>
      </w:r>
      <w:r w:rsidRPr="00680F5A">
        <w:rPr>
          <w:rFonts w:eastAsia="Times New Roman" w:cs="Arial"/>
          <w:color w:val="000000"/>
          <w:lang w:eastAsia="bg-BG"/>
        </w:rPr>
        <w:t xml:space="preserve"> на октреотид в средно геометрично отношение (еверолимус/плацебо) от 1,47</w:t>
      </w:r>
      <w:r w:rsidRPr="00680F5A">
        <w:rPr>
          <w:rFonts w:eastAsia="Times New Roman" w:cs="Arial"/>
          <w:color w:val="000000"/>
          <w:vertAlign w:val="subscript"/>
          <w:lang w:eastAsia="bg-BG"/>
        </w:rPr>
        <w:t xml:space="preserve"> </w:t>
      </w:r>
      <w:r w:rsidRPr="00680F5A">
        <w:rPr>
          <w:rFonts w:eastAsia="Times New Roman" w:cs="Arial"/>
          <w:color w:val="000000"/>
          <w:lang w:eastAsia="bg-BG"/>
        </w:rPr>
        <w:t>пъти.</w:t>
      </w:r>
    </w:p>
    <w:p w14:paraId="724FC8B6" w14:textId="79D3EEFE" w:rsidR="00680F5A" w:rsidRPr="00680F5A" w:rsidRDefault="00680F5A" w:rsidP="00680F5A">
      <w:pPr>
        <w:rPr>
          <w:rFonts w:eastAsia="Times New Roman" w:cs="Arial"/>
          <w:color w:val="000000"/>
          <w:lang w:eastAsia="bg-BG"/>
        </w:rPr>
      </w:pPr>
    </w:p>
    <w:p w14:paraId="2D1CCF5C"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Циклоспорин</w:t>
      </w:r>
    </w:p>
    <w:p w14:paraId="454BD583"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lastRenderedPageBreak/>
        <w:t>Сертикан има минимално клинично влияние върху фармакокинетиката на циклоспорин при пациенти с бъбречна и сърдечна трансплантация, получаващи циклоспорин микроемулсия.</w:t>
      </w:r>
    </w:p>
    <w:p w14:paraId="4D3C5052" w14:textId="77777777" w:rsidR="00680F5A" w:rsidRPr="00680F5A" w:rsidRDefault="00680F5A" w:rsidP="00680F5A">
      <w:pPr>
        <w:spacing w:line="240" w:lineRule="auto"/>
        <w:rPr>
          <w:rFonts w:eastAsia="Times New Roman" w:cs="Arial"/>
          <w:color w:val="000000"/>
          <w:u w:val="single"/>
          <w:lang w:eastAsia="bg-BG"/>
        </w:rPr>
      </w:pPr>
    </w:p>
    <w:p w14:paraId="094ADB4F" w14:textId="1FA6634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 xml:space="preserve">Аторвастатин (субстрат на </w:t>
      </w:r>
      <w:r w:rsidRPr="00680F5A">
        <w:rPr>
          <w:rFonts w:eastAsia="Times New Roman" w:cs="Arial"/>
          <w:color w:val="000000"/>
          <w:u w:val="single"/>
          <w:lang w:val="en-US"/>
        </w:rPr>
        <w:t>CYP</w:t>
      </w:r>
      <w:r w:rsidRPr="00680F5A">
        <w:rPr>
          <w:rFonts w:eastAsia="Times New Roman" w:cs="Arial"/>
          <w:color w:val="000000"/>
          <w:u w:val="single"/>
          <w:lang w:val="ru-RU"/>
        </w:rPr>
        <w:t xml:space="preserve">3 </w:t>
      </w:r>
      <w:r w:rsidRPr="00680F5A">
        <w:rPr>
          <w:rFonts w:eastAsia="Times New Roman" w:cs="Arial"/>
          <w:color w:val="000000"/>
          <w:u w:val="single"/>
          <w:lang w:eastAsia="bg-BG"/>
        </w:rPr>
        <w:t xml:space="preserve">А4) и правастатин (субстрат на </w:t>
      </w:r>
      <w:r w:rsidRPr="00680F5A">
        <w:rPr>
          <w:rFonts w:eastAsia="Times New Roman" w:cs="Arial"/>
          <w:color w:val="000000"/>
          <w:u w:val="single"/>
          <w:lang w:val="en-US"/>
        </w:rPr>
        <w:t>PgP</w:t>
      </w:r>
      <w:r w:rsidRPr="00680F5A">
        <w:rPr>
          <w:rFonts w:eastAsia="Times New Roman" w:cs="Arial"/>
          <w:color w:val="000000"/>
          <w:u w:val="single"/>
          <w:lang w:val="ru-RU"/>
        </w:rPr>
        <w:t>):</w:t>
      </w:r>
    </w:p>
    <w:p w14:paraId="17CC1B93"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Приложението на единични дози Сертикан с аторвастатин или правастатин при здрави доброволци не повлиява фармакокинетиката на аторвастатин, правастатин и еверолимус, както и общата биореактивност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 xml:space="preserve">редуктаза в плазмата в клинично значима степен. Тези резултати обаче не може да бъдат екстраполирани за други инхибитори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редуктазата.</w:t>
      </w:r>
    </w:p>
    <w:p w14:paraId="0C4AA0E2"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Пациентите трябва да бъдат мониторирани за развитие на рабдомиолиза и други нежелани събития, описани в продуктовите кратки характеристики на инхибиторите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редуктазата.</w:t>
      </w:r>
    </w:p>
    <w:p w14:paraId="78D85E4B" w14:textId="77777777" w:rsidR="00680F5A" w:rsidRPr="00680F5A" w:rsidRDefault="00680F5A" w:rsidP="00680F5A">
      <w:pPr>
        <w:spacing w:line="240" w:lineRule="auto"/>
        <w:rPr>
          <w:rFonts w:eastAsia="Times New Roman" w:cs="Arial"/>
          <w:color w:val="000000"/>
          <w:u w:val="single"/>
          <w:lang w:eastAsia="bg-BG"/>
        </w:rPr>
      </w:pPr>
    </w:p>
    <w:p w14:paraId="260AC6B6" w14:textId="017B78D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 xml:space="preserve">Перорални субстрати на </w:t>
      </w:r>
      <w:r w:rsidRPr="00680F5A">
        <w:rPr>
          <w:rFonts w:eastAsia="Times New Roman" w:cs="Arial"/>
          <w:color w:val="000000"/>
          <w:u w:val="single"/>
          <w:lang w:val="en-US"/>
        </w:rPr>
        <w:t>CYP</w:t>
      </w:r>
      <w:r w:rsidRPr="00680F5A">
        <w:rPr>
          <w:rFonts w:eastAsia="Times New Roman" w:cs="Arial"/>
          <w:color w:val="000000"/>
          <w:u w:val="single"/>
          <w:lang w:val="ru-RU"/>
        </w:rPr>
        <w:t>3</w:t>
      </w:r>
      <w:r w:rsidRPr="00680F5A">
        <w:rPr>
          <w:rFonts w:eastAsia="Times New Roman" w:cs="Arial"/>
          <w:color w:val="000000"/>
          <w:u w:val="single"/>
          <w:lang w:val="en-US"/>
        </w:rPr>
        <w:t>A</w:t>
      </w:r>
      <w:r w:rsidRPr="00680F5A">
        <w:rPr>
          <w:rFonts w:eastAsia="Times New Roman" w:cs="Arial"/>
          <w:color w:val="000000"/>
          <w:u w:val="single"/>
          <w:lang w:val="ru-RU"/>
        </w:rPr>
        <w:t>4</w:t>
      </w:r>
      <w:r w:rsidRPr="00680F5A">
        <w:rPr>
          <w:rFonts w:eastAsia="Times New Roman" w:cs="Arial"/>
          <w:color w:val="000000"/>
          <w:u w:val="single"/>
          <w:lang w:val="en-US"/>
        </w:rPr>
        <w:t>A</w:t>
      </w:r>
    </w:p>
    <w:p w14:paraId="0675E7F9"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Въз основа на резултати </w:t>
      </w:r>
      <w:r w:rsidRPr="00680F5A">
        <w:rPr>
          <w:rFonts w:eastAsia="Times New Roman" w:cs="Arial"/>
          <w:i/>
          <w:iCs/>
          <w:color w:val="000000"/>
          <w:lang w:val="en-US"/>
        </w:rPr>
        <w:t>in</w:t>
      </w:r>
      <w:r w:rsidRPr="00680F5A">
        <w:rPr>
          <w:rFonts w:eastAsia="Times New Roman" w:cs="Arial"/>
          <w:i/>
          <w:iCs/>
          <w:color w:val="000000"/>
          <w:lang w:val="ru-RU"/>
        </w:rPr>
        <w:t xml:space="preserve"> </w:t>
      </w:r>
      <w:r w:rsidRPr="00680F5A">
        <w:rPr>
          <w:rFonts w:eastAsia="Times New Roman" w:cs="Arial"/>
          <w:i/>
          <w:iCs/>
          <w:color w:val="000000"/>
          <w:lang w:val="en-US"/>
        </w:rPr>
        <w:t>vitro</w:t>
      </w:r>
      <w:r w:rsidRPr="00680F5A">
        <w:rPr>
          <w:rFonts w:eastAsia="Times New Roman" w:cs="Arial"/>
          <w:i/>
          <w:iCs/>
          <w:color w:val="000000"/>
          <w:lang w:val="ru-RU"/>
        </w:rPr>
        <w:t>,</w:t>
      </w:r>
      <w:r w:rsidRPr="00680F5A">
        <w:rPr>
          <w:rFonts w:eastAsia="Times New Roman" w:cs="Arial"/>
          <w:color w:val="000000"/>
          <w:lang w:val="ru-RU"/>
        </w:rPr>
        <w:t xml:space="preserve"> </w:t>
      </w:r>
      <w:r w:rsidRPr="00680F5A">
        <w:rPr>
          <w:rFonts w:eastAsia="Times New Roman" w:cs="Arial"/>
          <w:color w:val="000000"/>
          <w:lang w:eastAsia="bg-BG"/>
        </w:rPr>
        <w:t xml:space="preserve">системната концентрация, получена след перорална дневна доза от 10 </w:t>
      </w:r>
      <w:r w:rsidRPr="00680F5A">
        <w:rPr>
          <w:rFonts w:eastAsia="Times New Roman" w:cs="Arial"/>
          <w:color w:val="000000"/>
          <w:lang w:val="en-US"/>
        </w:rPr>
        <w:t>mg</w:t>
      </w:r>
      <w:r w:rsidRPr="00680F5A">
        <w:rPr>
          <w:rFonts w:eastAsia="Times New Roman" w:cs="Arial"/>
          <w:color w:val="000000"/>
          <w:lang w:val="ru-RU"/>
        </w:rPr>
        <w:t xml:space="preserve"> </w:t>
      </w:r>
      <w:r w:rsidRPr="00680F5A">
        <w:rPr>
          <w:rFonts w:eastAsia="Times New Roman" w:cs="Arial"/>
          <w:color w:val="000000"/>
          <w:lang w:eastAsia="bg-BG"/>
        </w:rPr>
        <w:t xml:space="preserve">прави инхибирането на </w:t>
      </w:r>
      <w:r w:rsidRPr="00680F5A">
        <w:rPr>
          <w:rFonts w:eastAsia="Times New Roman" w:cs="Arial"/>
          <w:color w:val="000000"/>
          <w:lang w:val="en-US"/>
        </w:rPr>
        <w:t>PgP</w:t>
      </w:r>
      <w:r w:rsidRPr="00680F5A">
        <w:rPr>
          <w:rFonts w:eastAsia="Times New Roman" w:cs="Arial"/>
          <w:color w:val="000000"/>
          <w:lang w:val="ru-RU"/>
        </w:rPr>
        <w:t xml:space="preserve">,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и </w:t>
      </w:r>
      <w:r w:rsidRPr="00680F5A">
        <w:rPr>
          <w:rFonts w:eastAsia="Times New Roman" w:cs="Arial"/>
          <w:color w:val="000000"/>
          <w:lang w:val="en-US"/>
        </w:rPr>
        <w:t>CYP</w:t>
      </w:r>
      <w:r w:rsidRPr="00680F5A">
        <w:rPr>
          <w:rFonts w:eastAsia="Times New Roman" w:cs="Arial"/>
          <w:color w:val="000000"/>
          <w:lang w:val="ru-RU"/>
        </w:rPr>
        <w:t>2</w:t>
      </w:r>
      <w:r w:rsidRPr="00680F5A">
        <w:rPr>
          <w:rFonts w:eastAsia="Times New Roman" w:cs="Arial"/>
          <w:color w:val="000000"/>
          <w:lang w:val="en-US"/>
        </w:rPr>
        <w:t>D</w:t>
      </w:r>
      <w:r w:rsidRPr="00680F5A">
        <w:rPr>
          <w:rFonts w:eastAsia="Times New Roman" w:cs="Arial"/>
          <w:color w:val="000000"/>
          <w:lang w:val="ru-RU"/>
        </w:rPr>
        <w:t xml:space="preserve">6 </w:t>
      </w:r>
      <w:r w:rsidRPr="00680F5A">
        <w:rPr>
          <w:rFonts w:eastAsia="Times New Roman" w:cs="Arial"/>
          <w:color w:val="000000"/>
          <w:lang w:eastAsia="bg-BG"/>
        </w:rPr>
        <w:t xml:space="preserve">малко вероятно. Независимо от това, инхибиране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и </w:t>
      </w:r>
      <w:r w:rsidRPr="00680F5A">
        <w:rPr>
          <w:rFonts w:eastAsia="Times New Roman" w:cs="Arial"/>
          <w:color w:val="000000"/>
          <w:lang w:val="en-US"/>
        </w:rPr>
        <w:t>PgP</w:t>
      </w:r>
      <w:r w:rsidRPr="00680F5A">
        <w:rPr>
          <w:rFonts w:eastAsia="Times New Roman" w:cs="Arial"/>
          <w:color w:val="000000"/>
          <w:lang w:val="ru-RU"/>
        </w:rPr>
        <w:t xml:space="preserve"> </w:t>
      </w:r>
      <w:r w:rsidRPr="00680F5A">
        <w:rPr>
          <w:rFonts w:eastAsia="Times New Roman" w:cs="Arial"/>
          <w:color w:val="000000"/>
          <w:lang w:eastAsia="bg-BG"/>
        </w:rPr>
        <w:t xml:space="preserve">в червата не може да се изключи. Изпитване за лекарствени взаимодействия здрави доброволци показва, че едновременното приложение на перорални дози мидазолам, чувствителен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субстрат, с еверолимус води до 25% повишаване на Спшх и 30% повишаване на </w:t>
      </w:r>
      <w:r w:rsidRPr="00680F5A">
        <w:rPr>
          <w:rFonts w:eastAsia="Times New Roman" w:cs="Arial"/>
          <w:color w:val="000000"/>
          <w:lang w:val="en-US"/>
        </w:rPr>
        <w:t>AUC</w:t>
      </w:r>
      <w:r w:rsidRPr="00680F5A">
        <w:rPr>
          <w:rFonts w:eastAsia="Times New Roman" w:cs="Arial"/>
          <w:color w:val="000000"/>
          <w:lang w:val="ru-RU"/>
        </w:rPr>
        <w:t xml:space="preserve"> </w:t>
      </w:r>
      <w:r w:rsidRPr="00680F5A">
        <w:rPr>
          <w:rFonts w:eastAsia="Times New Roman" w:cs="Arial"/>
          <w:color w:val="000000"/>
          <w:lang w:eastAsia="bg-BG"/>
        </w:rPr>
        <w:t xml:space="preserve">на мидазолам. Ефектът може да се дължи на инхибиране на чревния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от еверолимус. Следователно, еверолимус може да повлияе бионаличността на едновременно прилагани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Въпреки това, клинично значим ефект върху експозицията на системно прилагани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не се очаква. Ако еверолимус се прилага с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 тесен терапевтичен индекс (напр. пимозид, терфенадин, астемизол, цизаприд, хинидин или ерго-алкалоиди), пациентът трябва да се наблюдава за нежелани събития, описани в лекарствената информация на съответния перорален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субстрат.</w:t>
      </w:r>
    </w:p>
    <w:p w14:paraId="5E5517B6" w14:textId="77777777" w:rsidR="00680F5A" w:rsidRPr="00680F5A" w:rsidRDefault="00680F5A" w:rsidP="00680F5A">
      <w:pPr>
        <w:spacing w:line="240" w:lineRule="auto"/>
        <w:rPr>
          <w:rFonts w:eastAsia="Times New Roman" w:cs="Arial"/>
          <w:color w:val="000000"/>
          <w:u w:val="single"/>
          <w:lang w:eastAsia="bg-BG"/>
        </w:rPr>
      </w:pPr>
    </w:p>
    <w:p w14:paraId="7450E33E" w14:textId="6CA70419"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Ваксинации</w:t>
      </w:r>
    </w:p>
    <w:p w14:paraId="5E2AACAB"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Имуносупресорите могат да повлияят отговора към ваксинацията и ваксинирането по време на лечение със Сертикан може да бъде по-малко ефективно. Употребата на живи ваксини трябва да се избягва.</w:t>
      </w:r>
    </w:p>
    <w:p w14:paraId="797A8757" w14:textId="77777777" w:rsidR="00680F5A" w:rsidRPr="00680F5A" w:rsidRDefault="00680F5A" w:rsidP="00680F5A">
      <w:pPr>
        <w:spacing w:line="240" w:lineRule="auto"/>
        <w:rPr>
          <w:rFonts w:eastAsia="Times New Roman" w:cs="Arial"/>
          <w:color w:val="000000"/>
          <w:u w:val="single"/>
          <w:lang w:eastAsia="bg-BG"/>
        </w:rPr>
      </w:pPr>
    </w:p>
    <w:p w14:paraId="262F12BC" w14:textId="36731F0A"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Педиатрична популация</w:t>
      </w:r>
    </w:p>
    <w:p w14:paraId="5284704C" w14:textId="713E59C1" w:rsidR="00680F5A" w:rsidRDefault="00680F5A" w:rsidP="00680F5A">
      <w:pPr>
        <w:rPr>
          <w:rFonts w:eastAsia="Times New Roman" w:cs="Arial"/>
          <w:color w:val="000000"/>
          <w:lang w:eastAsia="bg-BG"/>
        </w:rPr>
      </w:pPr>
      <w:r w:rsidRPr="00680F5A">
        <w:rPr>
          <w:rFonts w:eastAsia="Times New Roman" w:cs="Arial"/>
          <w:color w:val="000000"/>
          <w:lang w:eastAsia="bg-BG"/>
        </w:rPr>
        <w:t>Изпитвания за лекарствени взаимодействия са провеждани само при възрастни.</w:t>
      </w:r>
    </w:p>
    <w:p w14:paraId="00062D2A" w14:textId="77777777" w:rsidR="00680F5A" w:rsidRPr="00680F5A" w:rsidRDefault="00680F5A" w:rsidP="00680F5A">
      <w:pPr>
        <w:rPr>
          <w:rFonts w:eastAsia="Times New Roman" w:cs="Arial"/>
          <w:color w:val="000000"/>
          <w:lang w:eastAsia="bg-BG"/>
        </w:rPr>
      </w:pPr>
    </w:p>
    <w:p w14:paraId="5D9F40EA" w14:textId="4B01A546" w:rsidR="007122AD" w:rsidRDefault="002C50EE" w:rsidP="00936AD0">
      <w:pPr>
        <w:pStyle w:val="Heading2"/>
      </w:pPr>
      <w:r>
        <w:t>4.6. Фертилитет, бременност и кърмене</w:t>
      </w:r>
    </w:p>
    <w:p w14:paraId="192E5ADB" w14:textId="07FF550A" w:rsidR="00680F5A" w:rsidRPr="00680F5A" w:rsidRDefault="00680F5A" w:rsidP="00680F5A">
      <w:pPr>
        <w:pStyle w:val="Heading3"/>
        <w:rPr>
          <w:u w:val="single"/>
        </w:rPr>
      </w:pPr>
    </w:p>
    <w:p w14:paraId="3F75CB33" w14:textId="77777777" w:rsidR="00680F5A" w:rsidRPr="00680F5A" w:rsidRDefault="00680F5A" w:rsidP="00680F5A">
      <w:pPr>
        <w:pStyle w:val="Heading3"/>
        <w:rPr>
          <w:u w:val="single"/>
        </w:rPr>
      </w:pPr>
      <w:r w:rsidRPr="00680F5A">
        <w:rPr>
          <w:u w:val="single"/>
        </w:rPr>
        <w:t>Бременност</w:t>
      </w:r>
    </w:p>
    <w:p w14:paraId="5CDFF644" w14:textId="77777777" w:rsidR="00680F5A" w:rsidRPr="00680F5A" w:rsidRDefault="00680F5A" w:rsidP="00680F5A">
      <w:pPr>
        <w:spacing w:line="240" w:lineRule="auto"/>
        <w:rPr>
          <w:rFonts w:eastAsia="Times New Roman" w:cs="Arial"/>
          <w:color w:val="000000"/>
          <w:szCs w:val="20"/>
          <w:lang w:eastAsia="bg-BG"/>
        </w:rPr>
      </w:pPr>
      <w:r w:rsidRPr="00680F5A">
        <w:rPr>
          <w:rFonts w:eastAsia="Times New Roman" w:cs="Arial"/>
          <w:color w:val="000000"/>
          <w:szCs w:val="20"/>
          <w:lang w:eastAsia="bg-BG"/>
        </w:rPr>
        <w:t>Няма достатъчни данни от употребата на Сертикан при бременни жени. Проучванията при животни показват репродуктивна токсичност, включително ембрио/фетотоксичност (вж. точка 5.3 ). Потенциалният риск за човека не е известен. Сертикан не трябва да се дава на бременни жени, освен ако очакваните ползи не превишават потенциалния риск за плода. Жените с детероден потенциал трябва да бъдат съветвани да използват ефективни методи за контрацепция, докато приемат Сертикан и до 8 седмици след прекратяване на лечението.</w:t>
      </w:r>
    </w:p>
    <w:p w14:paraId="312C97B9" w14:textId="77777777" w:rsidR="00680F5A" w:rsidRPr="00680F5A" w:rsidRDefault="00680F5A" w:rsidP="00680F5A">
      <w:pPr>
        <w:spacing w:line="240" w:lineRule="auto"/>
        <w:rPr>
          <w:rFonts w:eastAsia="Times New Roman" w:cs="Arial"/>
          <w:color w:val="000000"/>
          <w:szCs w:val="20"/>
          <w:lang w:eastAsia="bg-BG"/>
        </w:rPr>
      </w:pPr>
    </w:p>
    <w:p w14:paraId="25013859" w14:textId="2DBFC3AE" w:rsidR="00680F5A" w:rsidRPr="00680F5A" w:rsidRDefault="00680F5A" w:rsidP="00680F5A">
      <w:pPr>
        <w:pStyle w:val="Heading3"/>
        <w:rPr>
          <w:rFonts w:eastAsia="Times New Roman"/>
          <w:sz w:val="28"/>
          <w:u w:val="single"/>
        </w:rPr>
      </w:pPr>
      <w:r w:rsidRPr="00680F5A">
        <w:rPr>
          <w:rFonts w:eastAsia="Times New Roman"/>
          <w:u w:val="single"/>
          <w:lang w:eastAsia="bg-BG"/>
        </w:rPr>
        <w:lastRenderedPageBreak/>
        <w:t>Кърмене</w:t>
      </w:r>
    </w:p>
    <w:p w14:paraId="3ADB797C"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Не е известно дали еверолимус се екскретира в кърмата. В проучвания при животни еверолимус и/или неговите метаболити лесно са преминавали в млякото на лактиращи плъхове. Поради тази причина, приемащите Сертикан жени не трябва да кърмят.</w:t>
      </w:r>
    </w:p>
    <w:p w14:paraId="29B34A4C" w14:textId="77777777" w:rsidR="00680F5A" w:rsidRPr="00680F5A" w:rsidRDefault="00680F5A" w:rsidP="00680F5A">
      <w:pPr>
        <w:spacing w:line="240" w:lineRule="auto"/>
        <w:rPr>
          <w:rFonts w:eastAsia="Times New Roman" w:cs="Arial"/>
          <w:strike/>
          <w:color w:val="000000"/>
          <w:szCs w:val="20"/>
          <w:u w:val="single"/>
          <w:lang w:eastAsia="bg-BG"/>
        </w:rPr>
      </w:pPr>
    </w:p>
    <w:p w14:paraId="10D06B02" w14:textId="44AFDCB8" w:rsidR="00680F5A" w:rsidRPr="00680F5A" w:rsidRDefault="00680F5A" w:rsidP="00680F5A">
      <w:pPr>
        <w:pStyle w:val="Heading3"/>
        <w:rPr>
          <w:rFonts w:eastAsia="Times New Roman"/>
          <w:sz w:val="28"/>
          <w:u w:val="single"/>
        </w:rPr>
      </w:pPr>
      <w:r w:rsidRPr="00680F5A">
        <w:rPr>
          <w:rFonts w:eastAsia="Times New Roman"/>
          <w:u w:val="single"/>
          <w:lang w:eastAsia="bg-BG"/>
        </w:rPr>
        <w:t>Фертилитет</w:t>
      </w:r>
    </w:p>
    <w:p w14:paraId="696E1DA0" w14:textId="5DF1B4CD" w:rsidR="00680F5A" w:rsidRDefault="00680F5A" w:rsidP="00680F5A">
      <w:pPr>
        <w:rPr>
          <w:rFonts w:eastAsia="Times New Roman" w:cs="Arial"/>
          <w:color w:val="000000"/>
          <w:szCs w:val="20"/>
          <w:lang w:eastAsia="bg-BG"/>
        </w:rPr>
      </w:pPr>
      <w:r w:rsidRPr="00680F5A">
        <w:rPr>
          <w:rFonts w:eastAsia="Times New Roman" w:cs="Arial"/>
          <w:color w:val="000000"/>
          <w:szCs w:val="20"/>
          <w:lang w:eastAsia="bg-BG"/>
        </w:rPr>
        <w:t xml:space="preserve">Има литературни данни за обратима азооспермия и олигоспермия при пациенти лекувани с </w:t>
      </w:r>
      <w:r w:rsidRPr="00680F5A">
        <w:rPr>
          <w:rFonts w:eastAsia="Times New Roman" w:cs="Arial"/>
          <w:color w:val="000000"/>
          <w:szCs w:val="20"/>
          <w:lang w:val="en-US"/>
        </w:rPr>
        <w:t>mTOR</w:t>
      </w:r>
      <w:r w:rsidRPr="00680F5A">
        <w:rPr>
          <w:rFonts w:eastAsia="Times New Roman" w:cs="Arial"/>
          <w:color w:val="000000"/>
          <w:szCs w:val="20"/>
          <w:lang w:val="ru-RU"/>
        </w:rPr>
        <w:t xml:space="preserve"> </w:t>
      </w:r>
      <w:r w:rsidRPr="00680F5A">
        <w:rPr>
          <w:rFonts w:eastAsia="Times New Roman" w:cs="Arial"/>
          <w:color w:val="000000"/>
          <w:szCs w:val="20"/>
          <w:lang w:eastAsia="bg-BG"/>
        </w:rPr>
        <w:t>инхибитори (вж. точка 4.4,4.8 и 5.3). Потенциалът на еверолимус да причинява инфертилитет при мъжете и жените е неизвестен, въпреки това са наблюдавани мъжки инфертилитет и вторична аменорея.</w:t>
      </w:r>
    </w:p>
    <w:p w14:paraId="1CB20C91" w14:textId="77777777" w:rsidR="00680F5A" w:rsidRPr="00680F5A" w:rsidRDefault="00680F5A" w:rsidP="00680F5A">
      <w:pPr>
        <w:rPr>
          <w:rFonts w:cs="Arial"/>
          <w:sz w:val="24"/>
        </w:rPr>
      </w:pPr>
    </w:p>
    <w:p w14:paraId="5DD7A76D" w14:textId="7598E652" w:rsidR="007122AD" w:rsidRDefault="002C50EE" w:rsidP="00936AD0">
      <w:pPr>
        <w:pStyle w:val="Heading2"/>
      </w:pPr>
      <w:r>
        <w:t>4.7. Ефекти върху способността за шофиране и работа с машини</w:t>
      </w:r>
    </w:p>
    <w:p w14:paraId="05C8DB38" w14:textId="058E978A" w:rsidR="00680F5A" w:rsidRDefault="00680F5A" w:rsidP="00680F5A"/>
    <w:p w14:paraId="4A583258" w14:textId="46148CD8" w:rsidR="00680F5A" w:rsidRDefault="00680F5A" w:rsidP="00680F5A">
      <w:r>
        <w:t>Ефектите върху способността за шофиране и работа с машини не са проучвани.</w:t>
      </w:r>
    </w:p>
    <w:p w14:paraId="1D6C0639" w14:textId="77777777" w:rsidR="00680F5A" w:rsidRPr="00680F5A" w:rsidRDefault="00680F5A" w:rsidP="00680F5A"/>
    <w:p w14:paraId="44CE30A3" w14:textId="543784AF" w:rsidR="007122AD" w:rsidRDefault="002C50EE" w:rsidP="00936AD0">
      <w:pPr>
        <w:pStyle w:val="Heading2"/>
      </w:pPr>
      <w:r>
        <w:t>4.8. Нежелани лекарствени реакции</w:t>
      </w:r>
    </w:p>
    <w:p w14:paraId="70EA0E74" w14:textId="5E397306" w:rsidR="00680F5A" w:rsidRDefault="00680F5A" w:rsidP="00680F5A"/>
    <w:p w14:paraId="566A0CA0" w14:textId="3A9594AF"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u w:val="single"/>
          <w:lang w:eastAsia="bg-BG"/>
        </w:rPr>
        <w:t>а) Обобщено представяне на профила на безопасност</w:t>
      </w:r>
    </w:p>
    <w:p w14:paraId="3D732F97" w14:textId="7777777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 xml:space="preserve">Честотата на изброените по-долу нежелани реакции произхожда от анализа на 12-месечната честота на нежелани събития, докладвани в хода на многоцентрови, рандомизирани, контролирани изпитвания, изследващи Сертикан в комбинация с калциневринови инхибитори </w:t>
      </w:r>
      <w:r w:rsidRPr="00DE57B6">
        <w:rPr>
          <w:rFonts w:eastAsia="Times New Roman" w:cs="Arial"/>
          <w:color w:val="000000"/>
          <w:szCs w:val="20"/>
          <w:lang w:val="ru-RU"/>
        </w:rPr>
        <w:t>(</w:t>
      </w:r>
      <w:r w:rsidRPr="00DE57B6">
        <w:rPr>
          <w:rFonts w:eastAsia="Times New Roman" w:cs="Arial"/>
          <w:color w:val="000000"/>
          <w:szCs w:val="20"/>
          <w:lang w:val="en-US"/>
        </w:rPr>
        <w:t>CNI</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и кортикостероиди при възрастни трансплантирани реципиенти. Всички изпитвания с изключение на две (при бъбречна трансплантация) включват </w:t>
      </w:r>
      <w:r w:rsidRPr="00DE57B6">
        <w:rPr>
          <w:rFonts w:eastAsia="Times New Roman" w:cs="Arial"/>
          <w:color w:val="000000"/>
          <w:szCs w:val="20"/>
          <w:lang w:val="en-US"/>
        </w:rPr>
        <w:t>CNI</w:t>
      </w:r>
      <w:r w:rsidRPr="00DE57B6">
        <w:rPr>
          <w:rFonts w:eastAsia="Times New Roman" w:cs="Arial"/>
          <w:color w:val="000000"/>
          <w:szCs w:val="20"/>
          <w:lang w:eastAsia="bg-BG"/>
        </w:rPr>
        <w:t xml:space="preserve">-базирани стандартни терапевтични рамена без Сертикан. Сертикан, прилаган в комбинация с циклоспорин е проучен в пет изпитвания при бъбречно трансплантирани реципиенти, обхващащи общо 2 497 пациенти (включително две изпитвания без контролна група пациенти, които не приематСертикан) и три изпитвания при сърдечно трансплантирани реципиенти, обхващащи общо 1531 пациенти </w:t>
      </w:r>
      <w:r w:rsidRPr="00DE57B6">
        <w:rPr>
          <w:rFonts w:eastAsia="Times New Roman" w:cs="Arial"/>
          <w:color w:val="000000"/>
          <w:szCs w:val="20"/>
          <w:lang w:val="ru-RU"/>
        </w:rPr>
        <w:t>(</w:t>
      </w:r>
      <w:r w:rsidRPr="00DE57B6">
        <w:rPr>
          <w:rFonts w:eastAsia="Times New Roman" w:cs="Arial"/>
          <w:color w:val="000000"/>
          <w:szCs w:val="20"/>
          <w:lang w:val="en-US"/>
        </w:rPr>
        <w:t>Intent</w:t>
      </w:r>
      <w:r w:rsidRPr="00DE57B6">
        <w:rPr>
          <w:rFonts w:eastAsia="Times New Roman" w:cs="Arial"/>
          <w:color w:val="000000"/>
          <w:szCs w:val="20"/>
          <w:lang w:val="ru-RU"/>
        </w:rPr>
        <w:t xml:space="preserve"> </w:t>
      </w:r>
      <w:r w:rsidRPr="00DE57B6">
        <w:rPr>
          <w:rFonts w:eastAsia="Times New Roman" w:cs="Arial"/>
          <w:color w:val="000000"/>
          <w:szCs w:val="20"/>
          <w:lang w:val="en-US"/>
        </w:rPr>
        <w:t>to</w:t>
      </w:r>
      <w:r w:rsidRPr="00DE57B6">
        <w:rPr>
          <w:rFonts w:eastAsia="Times New Roman" w:cs="Arial"/>
          <w:color w:val="000000"/>
          <w:szCs w:val="20"/>
          <w:lang w:val="ru-RU"/>
        </w:rPr>
        <w:t xml:space="preserve"> </w:t>
      </w:r>
      <w:r w:rsidRPr="00DE57B6">
        <w:rPr>
          <w:rFonts w:eastAsia="Times New Roman" w:cs="Arial"/>
          <w:color w:val="000000"/>
          <w:szCs w:val="20"/>
          <w:lang w:val="en-US"/>
        </w:rPr>
        <w:t>treat</w:t>
      </w:r>
      <w:r w:rsidRPr="00DE57B6">
        <w:rPr>
          <w:rFonts w:eastAsia="Times New Roman" w:cs="Arial"/>
          <w:color w:val="000000"/>
          <w:szCs w:val="20"/>
          <w:lang w:val="ru-RU"/>
        </w:rPr>
        <w:t xml:space="preserve"> </w:t>
      </w:r>
      <w:r w:rsidRPr="00DE57B6">
        <w:rPr>
          <w:rFonts w:eastAsia="Times New Roman" w:cs="Arial"/>
          <w:color w:val="000000"/>
          <w:szCs w:val="20"/>
          <w:lang w:eastAsia="bg-BG"/>
        </w:rPr>
        <w:t>(</w:t>
      </w:r>
      <w:r w:rsidRPr="00DE57B6">
        <w:rPr>
          <w:rFonts w:eastAsia="Times New Roman" w:cs="Arial"/>
          <w:color w:val="000000"/>
          <w:szCs w:val="20"/>
          <w:lang w:val="en-US"/>
        </w:rPr>
        <w:t>II</w:t>
      </w:r>
      <w:r w:rsidRPr="00DE57B6">
        <w:rPr>
          <w:rFonts w:eastAsia="Times New Roman" w:cs="Arial"/>
          <w:color w:val="000000"/>
          <w:szCs w:val="20"/>
          <w:lang w:eastAsia="bg-BG"/>
        </w:rPr>
        <w:t>Т) популация, вж. точка 5.1).</w:t>
      </w:r>
    </w:p>
    <w:p w14:paraId="6002D9C6" w14:textId="77777777" w:rsidR="00680F5A" w:rsidRPr="00DE57B6" w:rsidRDefault="00680F5A" w:rsidP="00680F5A">
      <w:pPr>
        <w:spacing w:line="240" w:lineRule="auto"/>
        <w:rPr>
          <w:rFonts w:eastAsia="Times New Roman" w:cs="Arial"/>
          <w:color w:val="000000"/>
          <w:szCs w:val="20"/>
          <w:lang w:eastAsia="bg-BG"/>
        </w:rPr>
      </w:pPr>
    </w:p>
    <w:p w14:paraId="06F5890E" w14:textId="0361F50E"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 xml:space="preserve">Комбинацията на Сертикан с такролимус е изучавана в едно изпитване, включващо 719 пациенти с чернодробнатрансплантация </w:t>
      </w:r>
      <w:r w:rsidRPr="00DE57B6">
        <w:rPr>
          <w:rFonts w:eastAsia="Times New Roman" w:cs="Arial"/>
          <w:color w:val="000000"/>
          <w:szCs w:val="20"/>
          <w:lang w:val="ru-RU"/>
        </w:rPr>
        <w:t>(</w:t>
      </w:r>
      <w:r w:rsidRPr="00DE57B6">
        <w:rPr>
          <w:rFonts w:eastAsia="Times New Roman" w:cs="Arial"/>
          <w:color w:val="000000"/>
          <w:szCs w:val="20"/>
          <w:lang w:val="en-US"/>
        </w:rPr>
        <w:t>ITT</w:t>
      </w:r>
      <w:r w:rsidRPr="00DE57B6">
        <w:rPr>
          <w:rFonts w:eastAsia="Times New Roman" w:cs="Arial"/>
          <w:color w:val="000000"/>
          <w:szCs w:val="20"/>
          <w:lang w:val="ru-RU"/>
        </w:rPr>
        <w:t xml:space="preserve"> </w:t>
      </w:r>
      <w:r w:rsidRPr="00DE57B6">
        <w:rPr>
          <w:rFonts w:eastAsia="Times New Roman" w:cs="Arial"/>
          <w:color w:val="000000"/>
          <w:szCs w:val="20"/>
          <w:lang w:eastAsia="bg-BG"/>
        </w:rPr>
        <w:t>популация, вж. точка 5.1).</w:t>
      </w:r>
    </w:p>
    <w:p w14:paraId="2F10AF1E" w14:textId="77777777" w:rsidR="00680F5A" w:rsidRPr="00DE57B6" w:rsidRDefault="00680F5A" w:rsidP="00680F5A">
      <w:pPr>
        <w:spacing w:line="240" w:lineRule="auto"/>
        <w:rPr>
          <w:rFonts w:eastAsia="Times New Roman" w:cs="Arial"/>
          <w:color w:val="000000"/>
          <w:szCs w:val="20"/>
          <w:lang w:eastAsia="bg-BG"/>
        </w:rPr>
      </w:pPr>
    </w:p>
    <w:p w14:paraId="14977F5B" w14:textId="686969E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Най-честите събития са: инфекции, анемия, хиперлипидемия, новооткрит захарен диабет, безсъние, главоболие, хипертония, кашлица, запек, гадене, периферен оток, влошено заздравяване на оперативната рана (включително плеврален и перикарден излив).</w:t>
      </w:r>
    </w:p>
    <w:p w14:paraId="55BC3268" w14:textId="77777777" w:rsidR="00680F5A" w:rsidRPr="00DE57B6" w:rsidRDefault="00680F5A" w:rsidP="00680F5A">
      <w:pPr>
        <w:spacing w:line="240" w:lineRule="auto"/>
        <w:rPr>
          <w:rFonts w:eastAsia="Times New Roman" w:cs="Arial"/>
          <w:color w:val="000000"/>
          <w:szCs w:val="20"/>
          <w:lang w:eastAsia="bg-BG"/>
        </w:rPr>
      </w:pPr>
    </w:p>
    <w:p w14:paraId="12FD926A" w14:textId="2E1AD07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Появата на нежелани събития може да зависи от имуносупресивната схема (т.е. степен и продължителност). В изпитвания, комбиниращи Сертикан с циклоспорин, повишени нива на серумен креатинин се наблюдават по-често при пациенти, приемали Сертикан в комбинация с пълна доза циклоспорин микроемулсия, отколкото в контролните групи. Общата честота на нежелани събития е по-ниска при пациенти, приемащи намалена доза циклоспорин микроемулсия (вж. точка 5.1).</w:t>
      </w:r>
    </w:p>
    <w:p w14:paraId="1FAD657C" w14:textId="77777777" w:rsidR="00680F5A" w:rsidRPr="00DE57B6" w:rsidRDefault="00680F5A" w:rsidP="00680F5A">
      <w:pPr>
        <w:spacing w:line="240" w:lineRule="auto"/>
        <w:rPr>
          <w:rFonts w:eastAsia="Times New Roman" w:cs="Arial"/>
          <w:color w:val="000000"/>
          <w:szCs w:val="20"/>
          <w:lang w:eastAsia="bg-BG"/>
        </w:rPr>
      </w:pPr>
    </w:p>
    <w:p w14:paraId="24E6A382" w14:textId="1775DD09"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Профилът на безопасност на Сертикан, прилаган с редуцирана доза циклоспорин е бил подобен на този, описан в 3-те основни изпитвания, при които е била прилагана пълна доза циклоспорин, с изключение на това, че по-рядко е било наблюдавано повишаване на серумния креатинин и средните стойности на серумния креатинин са били по-ниски, отколкото при фаза III изпитванията.</w:t>
      </w:r>
    </w:p>
    <w:p w14:paraId="26817D2F" w14:textId="77777777" w:rsidR="00680F5A" w:rsidRPr="00DE57B6" w:rsidRDefault="00680F5A" w:rsidP="00680F5A">
      <w:pPr>
        <w:spacing w:line="240" w:lineRule="auto"/>
        <w:rPr>
          <w:rFonts w:eastAsia="Times New Roman" w:cs="Arial"/>
          <w:color w:val="000000"/>
          <w:szCs w:val="20"/>
          <w:u w:val="single"/>
          <w:lang w:eastAsia="bg-BG"/>
        </w:rPr>
      </w:pPr>
    </w:p>
    <w:p w14:paraId="3F1B7224" w14:textId="29A7D41F"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u w:val="single"/>
          <w:lang w:eastAsia="bg-BG"/>
        </w:rPr>
        <w:t>б) Таблично обобщение на нежеланите реакции</w:t>
      </w:r>
    </w:p>
    <w:p w14:paraId="1AF6A699" w14:textId="7777777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 xml:space="preserve">Таблица 4 съдържа нежеланите лекарствени реакции (НЛР), възможно или вероятно свързани със Сертикан и наблюдавани в клинични изпитвания фаза III. Освен ако не е отбелязано друго, тези нарушения са били установени в резултат на повишената им честота по време на фаза </w:t>
      </w:r>
      <w:r w:rsidRPr="00DE57B6">
        <w:rPr>
          <w:rFonts w:eastAsia="Times New Roman" w:cs="Arial"/>
          <w:color w:val="000000"/>
          <w:szCs w:val="20"/>
          <w:lang w:val="en-US"/>
        </w:rPr>
        <w:t>III</w:t>
      </w:r>
      <w:r w:rsidRPr="00DE57B6">
        <w:rPr>
          <w:rFonts w:eastAsia="Times New Roman" w:cs="Arial"/>
          <w:color w:val="000000"/>
          <w:szCs w:val="20"/>
          <w:lang w:eastAsia="bg-BG"/>
        </w:rPr>
        <w:t xml:space="preserve"> изпитвания, сравняващи пациенти на лечение със Сертикан с такива, които не са на терапия със Сертикан, при стандартен терапевтичен режим, или в резултат на еднаква честота в случай, че събитието е известна НЛР на МРА, използван за сравнение, при изпитвания с бъбречно и сърдечно трансплантирани пациенти (вж. точка 5.1). С изключение на местата, където е отбелязано друго, профилът на нежеланите реакции е относително постоянен при всички терапевтични показания. Таблицата е съставена съобразно стандартните системо-органни класове по </w:t>
      </w:r>
      <w:r w:rsidRPr="00DE57B6">
        <w:rPr>
          <w:rFonts w:eastAsia="Times New Roman" w:cs="Arial"/>
          <w:color w:val="000000"/>
          <w:szCs w:val="20"/>
          <w:lang w:val="en-US"/>
        </w:rPr>
        <w:t>MedDRA</w:t>
      </w:r>
      <w:r w:rsidRPr="00DE57B6">
        <w:rPr>
          <w:rFonts w:eastAsia="Times New Roman" w:cs="Arial"/>
          <w:color w:val="000000"/>
          <w:szCs w:val="20"/>
          <w:lang w:val="ru-RU"/>
        </w:rPr>
        <w:t>:</w:t>
      </w:r>
    </w:p>
    <w:p w14:paraId="4162BCFB" w14:textId="7306F485" w:rsidR="00680F5A" w:rsidRPr="00DE57B6" w:rsidRDefault="00680F5A" w:rsidP="00680F5A">
      <w:pPr>
        <w:spacing w:line="240" w:lineRule="auto"/>
        <w:rPr>
          <w:rFonts w:eastAsia="Times New Roman" w:cs="Arial"/>
          <w:sz w:val="28"/>
          <w:szCs w:val="24"/>
        </w:rPr>
      </w:pPr>
      <w:r w:rsidRPr="00DE57B6">
        <w:rPr>
          <w:rFonts w:eastAsia="Times New Roman" w:cs="Arial"/>
          <w:i/>
          <w:iCs/>
          <w:color w:val="000000"/>
          <w:szCs w:val="20"/>
          <w:lang w:eastAsia="bg-BG"/>
        </w:rPr>
        <w:t>Нежеланите реакции са изброени</w:t>
      </w:r>
      <w:r w:rsidRPr="00DE57B6">
        <w:rPr>
          <w:rFonts w:eastAsia="Times New Roman" w:cs="Arial"/>
          <w:color w:val="000000"/>
          <w:szCs w:val="20"/>
          <w:lang w:eastAsia="bg-BG"/>
        </w:rPr>
        <w:t xml:space="preserve"> е </w:t>
      </w:r>
      <w:r w:rsidRPr="00DE57B6">
        <w:rPr>
          <w:rFonts w:eastAsia="Times New Roman" w:cs="Arial"/>
          <w:i/>
          <w:iCs/>
          <w:color w:val="000000"/>
          <w:szCs w:val="20"/>
          <w:lang w:eastAsia="bg-BG"/>
        </w:rPr>
        <w:t>зависимост от честотата им, като се използва следното определение: много чести (≥ 1/10), чести (≥ 1/100 до &lt;1/10), нечести (≥ 1/1 000 до &lt;1/100),редки (≥ 1/10 000 до &lt;1/1 000), много редки (&lt;1/10 000).</w:t>
      </w:r>
    </w:p>
    <w:p w14:paraId="41CC3B34" w14:textId="77777777" w:rsidR="00680F5A" w:rsidRPr="00DE57B6" w:rsidRDefault="00680F5A" w:rsidP="00680F5A">
      <w:pPr>
        <w:spacing w:line="240" w:lineRule="auto"/>
        <w:rPr>
          <w:rFonts w:eastAsia="Times New Roman" w:cs="Arial"/>
          <w:b/>
          <w:bCs/>
          <w:color w:val="000000"/>
          <w:szCs w:val="20"/>
          <w:lang w:eastAsia="bg-BG"/>
        </w:rPr>
      </w:pPr>
    </w:p>
    <w:p w14:paraId="03F8B7A3" w14:textId="77A9A282" w:rsidR="00680F5A" w:rsidRPr="00DE57B6" w:rsidRDefault="00680F5A" w:rsidP="00680F5A">
      <w:pPr>
        <w:spacing w:line="240" w:lineRule="auto"/>
        <w:rPr>
          <w:rFonts w:eastAsia="Times New Roman" w:cs="Arial"/>
          <w:sz w:val="28"/>
          <w:szCs w:val="24"/>
        </w:rPr>
      </w:pPr>
      <w:r w:rsidRPr="00DE57B6">
        <w:rPr>
          <w:rFonts w:eastAsia="Times New Roman" w:cs="Arial"/>
          <w:b/>
          <w:bCs/>
          <w:color w:val="000000"/>
          <w:szCs w:val="20"/>
          <w:lang w:eastAsia="bg-BG"/>
        </w:rPr>
        <w:t>Таблица 4: Нежелани лекарствени реакции възможно или вероятно свързани със Сертикан</w:t>
      </w:r>
    </w:p>
    <w:p w14:paraId="79FA00EC" w14:textId="29589D54" w:rsidR="00680F5A" w:rsidRDefault="00680F5A" w:rsidP="00680F5A"/>
    <w:tbl>
      <w:tblPr>
        <w:tblStyle w:val="TableGrid"/>
        <w:tblW w:w="0" w:type="auto"/>
        <w:tblLook w:val="04A0" w:firstRow="1" w:lastRow="0" w:firstColumn="1" w:lastColumn="0" w:noHBand="0" w:noVBand="1"/>
      </w:tblPr>
      <w:tblGrid>
        <w:gridCol w:w="3143"/>
        <w:gridCol w:w="3049"/>
        <w:gridCol w:w="3158"/>
      </w:tblGrid>
      <w:tr w:rsidR="00DE57B6" w14:paraId="28083428" w14:textId="77777777" w:rsidTr="00DD3595">
        <w:tc>
          <w:tcPr>
            <w:tcW w:w="3192" w:type="dxa"/>
            <w:vAlign w:val="bottom"/>
          </w:tcPr>
          <w:p w14:paraId="11A44475" w14:textId="2488B5CC" w:rsidR="00DE57B6" w:rsidRPr="00DE57B6" w:rsidRDefault="00DE57B6" w:rsidP="00DE57B6">
            <w:pPr>
              <w:rPr>
                <w:rFonts w:cs="Arial"/>
              </w:rPr>
            </w:pPr>
            <w:r w:rsidRPr="00DE57B6">
              <w:rPr>
                <w:rFonts w:cs="Arial"/>
                <w:b/>
                <w:bCs/>
              </w:rPr>
              <w:t>Системо-органен клас</w:t>
            </w:r>
          </w:p>
        </w:tc>
        <w:tc>
          <w:tcPr>
            <w:tcW w:w="3192" w:type="dxa"/>
            <w:vAlign w:val="bottom"/>
          </w:tcPr>
          <w:p w14:paraId="65E2F3F3" w14:textId="2BB31652" w:rsidR="00DE57B6" w:rsidRPr="00DE57B6" w:rsidRDefault="00DE57B6" w:rsidP="00DE57B6">
            <w:pPr>
              <w:rPr>
                <w:rFonts w:cs="Arial"/>
              </w:rPr>
            </w:pPr>
            <w:r w:rsidRPr="00DE57B6">
              <w:rPr>
                <w:rFonts w:cs="Arial"/>
                <w:b/>
                <w:bCs/>
              </w:rPr>
              <w:t>Честота</w:t>
            </w:r>
          </w:p>
        </w:tc>
        <w:tc>
          <w:tcPr>
            <w:tcW w:w="3192" w:type="dxa"/>
            <w:vAlign w:val="bottom"/>
          </w:tcPr>
          <w:p w14:paraId="4EB59B00" w14:textId="106C1F02" w:rsidR="00DE57B6" w:rsidRPr="00DE57B6" w:rsidRDefault="00DE57B6" w:rsidP="00DE57B6">
            <w:pPr>
              <w:rPr>
                <w:rFonts w:cs="Arial"/>
              </w:rPr>
            </w:pPr>
            <w:r w:rsidRPr="00DE57B6">
              <w:rPr>
                <w:rFonts w:cs="Arial"/>
                <w:b/>
                <w:bCs/>
              </w:rPr>
              <w:t>Нежелана реакция</w:t>
            </w:r>
          </w:p>
        </w:tc>
      </w:tr>
      <w:tr w:rsidR="00DE57B6" w14:paraId="2EAB2FF2" w14:textId="77777777" w:rsidTr="00DD3595">
        <w:tc>
          <w:tcPr>
            <w:tcW w:w="3192" w:type="dxa"/>
            <w:vMerge w:val="restart"/>
          </w:tcPr>
          <w:p w14:paraId="5DC59E3F" w14:textId="1EEE53B0" w:rsidR="00DE57B6" w:rsidRPr="00DE57B6" w:rsidRDefault="00DE57B6" w:rsidP="00DE57B6">
            <w:pPr>
              <w:rPr>
                <w:rFonts w:cs="Arial"/>
              </w:rPr>
            </w:pPr>
            <w:r w:rsidRPr="00DE57B6">
              <w:rPr>
                <w:rFonts w:cs="Arial"/>
              </w:rPr>
              <w:t>Инфекции и инфестации</w:t>
            </w:r>
          </w:p>
        </w:tc>
        <w:tc>
          <w:tcPr>
            <w:tcW w:w="3192" w:type="dxa"/>
          </w:tcPr>
          <w:p w14:paraId="0154CE2D" w14:textId="380D571D" w:rsidR="00DE57B6" w:rsidRPr="00DE57B6" w:rsidRDefault="00DE57B6" w:rsidP="00DE57B6">
            <w:pPr>
              <w:rPr>
                <w:rFonts w:cs="Arial"/>
              </w:rPr>
            </w:pPr>
            <w:r w:rsidRPr="00DE57B6">
              <w:rPr>
                <w:rFonts w:cs="Arial"/>
              </w:rPr>
              <w:t>Много чести</w:t>
            </w:r>
          </w:p>
        </w:tc>
        <w:tc>
          <w:tcPr>
            <w:tcW w:w="3192" w:type="dxa"/>
            <w:vAlign w:val="bottom"/>
          </w:tcPr>
          <w:p w14:paraId="2D764E6B" w14:textId="72D3B4A5" w:rsidR="00DE57B6" w:rsidRPr="00DE57B6" w:rsidRDefault="00DE57B6" w:rsidP="00DE57B6">
            <w:pPr>
              <w:rPr>
                <w:rFonts w:cs="Arial"/>
              </w:rPr>
            </w:pPr>
            <w:r w:rsidRPr="00DE57B6">
              <w:rPr>
                <w:rFonts w:cs="Arial"/>
              </w:rPr>
              <w:t>Инфекции (вирусни, бактериални, гъбични), инфекции на горни дихателни пътища, инфекции на долни дихателни пътища и белодробни инфекции (включително пневмония)</w:t>
            </w:r>
            <w:r w:rsidRPr="00DE57B6">
              <w:rPr>
                <w:rFonts w:cs="Arial"/>
                <w:vertAlign w:val="superscript"/>
              </w:rPr>
              <w:t>1</w:t>
            </w:r>
            <w:r w:rsidRPr="00DE57B6">
              <w:rPr>
                <w:rFonts w:cs="Arial"/>
              </w:rPr>
              <w:t>, инфекции на пикочни пътища</w:t>
            </w:r>
            <w:r w:rsidRPr="00DE57B6">
              <w:rPr>
                <w:rFonts w:cs="Arial"/>
                <w:vertAlign w:val="superscript"/>
              </w:rPr>
              <w:t>2</w:t>
            </w:r>
          </w:p>
        </w:tc>
      </w:tr>
      <w:tr w:rsidR="00DE57B6" w14:paraId="526FEE2C" w14:textId="77777777" w:rsidTr="00DD3595">
        <w:tc>
          <w:tcPr>
            <w:tcW w:w="3192" w:type="dxa"/>
            <w:vMerge/>
          </w:tcPr>
          <w:p w14:paraId="785B2A6B" w14:textId="77777777" w:rsidR="00DE57B6" w:rsidRPr="00DE57B6" w:rsidRDefault="00DE57B6" w:rsidP="00DE57B6">
            <w:pPr>
              <w:rPr>
                <w:rFonts w:cs="Arial"/>
              </w:rPr>
            </w:pPr>
          </w:p>
        </w:tc>
        <w:tc>
          <w:tcPr>
            <w:tcW w:w="3192" w:type="dxa"/>
            <w:vAlign w:val="bottom"/>
          </w:tcPr>
          <w:p w14:paraId="5C7748B6" w14:textId="3EC6183A" w:rsidR="00DE57B6" w:rsidRPr="00DE57B6" w:rsidRDefault="00DE57B6" w:rsidP="00DE57B6">
            <w:pPr>
              <w:rPr>
                <w:rFonts w:cs="Arial"/>
              </w:rPr>
            </w:pPr>
            <w:r w:rsidRPr="00DE57B6">
              <w:rPr>
                <w:rFonts w:cs="Arial"/>
              </w:rPr>
              <w:t>Чести</w:t>
            </w:r>
          </w:p>
        </w:tc>
        <w:tc>
          <w:tcPr>
            <w:tcW w:w="3192" w:type="dxa"/>
            <w:vAlign w:val="bottom"/>
          </w:tcPr>
          <w:p w14:paraId="672D5DAF" w14:textId="509C2D54" w:rsidR="00DE57B6" w:rsidRPr="00DE57B6" w:rsidRDefault="00DE57B6" w:rsidP="00DE57B6">
            <w:pPr>
              <w:rPr>
                <w:rFonts w:cs="Arial"/>
              </w:rPr>
            </w:pPr>
            <w:r w:rsidRPr="00DE57B6">
              <w:rPr>
                <w:rFonts w:cs="Arial"/>
              </w:rPr>
              <w:t>Сепсис, ранева инфекция</w:t>
            </w:r>
          </w:p>
        </w:tc>
      </w:tr>
      <w:tr w:rsidR="00DE57B6" w14:paraId="447D49B0" w14:textId="77777777" w:rsidTr="00DD3595">
        <w:tc>
          <w:tcPr>
            <w:tcW w:w="3192" w:type="dxa"/>
            <w:vAlign w:val="bottom"/>
          </w:tcPr>
          <w:p w14:paraId="2B10E188" w14:textId="1283DB91" w:rsidR="00DE57B6" w:rsidRPr="00DE57B6" w:rsidRDefault="00DE57B6" w:rsidP="00DE57B6">
            <w:pPr>
              <w:rPr>
                <w:rFonts w:cs="Arial"/>
              </w:rPr>
            </w:pPr>
            <w:r w:rsidRPr="00DE57B6">
              <w:rPr>
                <w:rFonts w:cs="Arial"/>
              </w:rPr>
              <w:t>Неоплазми - доброкачествени, злокачествени и неопределени</w:t>
            </w:r>
          </w:p>
        </w:tc>
        <w:tc>
          <w:tcPr>
            <w:tcW w:w="3192" w:type="dxa"/>
          </w:tcPr>
          <w:p w14:paraId="41A8E630" w14:textId="678AFA4D" w:rsidR="00DE57B6" w:rsidRPr="00DE57B6" w:rsidRDefault="00DE57B6" w:rsidP="00DE57B6">
            <w:pPr>
              <w:rPr>
                <w:rFonts w:cs="Arial"/>
              </w:rPr>
            </w:pPr>
            <w:r w:rsidRPr="00DE57B6">
              <w:rPr>
                <w:rFonts w:cs="Arial"/>
              </w:rPr>
              <w:t>Чести</w:t>
            </w:r>
          </w:p>
        </w:tc>
        <w:tc>
          <w:tcPr>
            <w:tcW w:w="3192" w:type="dxa"/>
          </w:tcPr>
          <w:p w14:paraId="079399BB" w14:textId="59B157C1" w:rsidR="00DE57B6" w:rsidRPr="00DE57B6" w:rsidRDefault="00DE57B6" w:rsidP="00DE57B6">
            <w:pPr>
              <w:rPr>
                <w:rFonts w:cs="Arial"/>
              </w:rPr>
            </w:pPr>
            <w:r w:rsidRPr="00DE57B6">
              <w:rPr>
                <w:rFonts w:cs="Arial"/>
              </w:rPr>
              <w:t>Злокачествени или неопределени тумори, кожни неоплазми, злокачествени и неопределени</w:t>
            </w:r>
          </w:p>
        </w:tc>
      </w:tr>
      <w:tr w:rsidR="00DE57B6" w14:paraId="2D38912D" w14:textId="77777777" w:rsidTr="00DD3595">
        <w:tc>
          <w:tcPr>
            <w:tcW w:w="3192" w:type="dxa"/>
          </w:tcPr>
          <w:p w14:paraId="1580CBF8" w14:textId="77777777" w:rsidR="00DE57B6" w:rsidRPr="00DE57B6" w:rsidRDefault="00DE57B6" w:rsidP="00DE57B6">
            <w:pPr>
              <w:rPr>
                <w:rFonts w:cs="Arial"/>
              </w:rPr>
            </w:pPr>
          </w:p>
        </w:tc>
        <w:tc>
          <w:tcPr>
            <w:tcW w:w="3192" w:type="dxa"/>
          </w:tcPr>
          <w:p w14:paraId="091D9335" w14:textId="038063A7" w:rsidR="00DE57B6" w:rsidRPr="00DE57B6" w:rsidRDefault="00DE57B6" w:rsidP="00DE57B6">
            <w:pPr>
              <w:rPr>
                <w:rFonts w:cs="Arial"/>
              </w:rPr>
            </w:pPr>
            <w:r w:rsidRPr="00DE57B6">
              <w:rPr>
                <w:rFonts w:cs="Arial"/>
              </w:rPr>
              <w:t>Нечести</w:t>
            </w:r>
          </w:p>
        </w:tc>
        <w:tc>
          <w:tcPr>
            <w:tcW w:w="3192" w:type="dxa"/>
            <w:vAlign w:val="bottom"/>
          </w:tcPr>
          <w:p w14:paraId="4EA50EE0" w14:textId="6F7BBDA7" w:rsidR="00DE57B6" w:rsidRPr="00DE57B6" w:rsidRDefault="00DE57B6" w:rsidP="00DE57B6">
            <w:pPr>
              <w:rPr>
                <w:rFonts w:cs="Arial"/>
              </w:rPr>
            </w:pPr>
            <w:r w:rsidRPr="00DE57B6">
              <w:rPr>
                <w:rFonts w:cs="Arial"/>
              </w:rPr>
              <w:t xml:space="preserve">Лимфоми / посттрансплантационни лимфопролиферативни нарушения </w:t>
            </w:r>
            <w:r w:rsidRPr="00DE57B6">
              <w:rPr>
                <w:rFonts w:cs="Arial"/>
                <w:lang w:val="ru-RU"/>
              </w:rPr>
              <w:t>(</w:t>
            </w:r>
            <w:r w:rsidRPr="00DE57B6">
              <w:rPr>
                <w:rFonts w:cs="Arial"/>
                <w:lang w:val="en-US"/>
              </w:rPr>
              <w:t>PTLD</w:t>
            </w:r>
            <w:r w:rsidRPr="00DE57B6">
              <w:rPr>
                <w:rFonts w:cs="Arial"/>
                <w:lang w:val="ru-RU"/>
              </w:rPr>
              <w:t>)</w:t>
            </w:r>
          </w:p>
        </w:tc>
      </w:tr>
      <w:tr w:rsidR="00DE57B6" w14:paraId="35ABDEF0" w14:textId="77777777" w:rsidTr="00DD3595">
        <w:tc>
          <w:tcPr>
            <w:tcW w:w="3192" w:type="dxa"/>
            <w:vMerge w:val="restart"/>
            <w:vAlign w:val="bottom"/>
          </w:tcPr>
          <w:p w14:paraId="6E26311A" w14:textId="4752A48B" w:rsidR="00DE57B6" w:rsidRPr="00DE57B6" w:rsidRDefault="00DE57B6" w:rsidP="00DE57B6">
            <w:pPr>
              <w:rPr>
                <w:rFonts w:cs="Arial"/>
              </w:rPr>
            </w:pPr>
            <w:r w:rsidRPr="00DE57B6">
              <w:rPr>
                <w:rFonts w:cs="Arial"/>
              </w:rPr>
              <w:t>Нарушения на кръвта и лимфната система</w:t>
            </w:r>
          </w:p>
        </w:tc>
        <w:tc>
          <w:tcPr>
            <w:tcW w:w="3192" w:type="dxa"/>
          </w:tcPr>
          <w:p w14:paraId="4A36B6C5" w14:textId="487F536B" w:rsidR="00DE57B6" w:rsidRPr="00DE57B6" w:rsidRDefault="00DE57B6" w:rsidP="00DE57B6">
            <w:pPr>
              <w:rPr>
                <w:rFonts w:cs="Arial"/>
              </w:rPr>
            </w:pPr>
            <w:r w:rsidRPr="00DE57B6">
              <w:rPr>
                <w:rFonts w:cs="Arial"/>
              </w:rPr>
              <w:t>Много чести</w:t>
            </w:r>
          </w:p>
        </w:tc>
        <w:tc>
          <w:tcPr>
            <w:tcW w:w="3192" w:type="dxa"/>
            <w:vAlign w:val="bottom"/>
          </w:tcPr>
          <w:p w14:paraId="300E7504" w14:textId="57B0116D" w:rsidR="00DE57B6" w:rsidRPr="00DE57B6" w:rsidRDefault="00DE57B6" w:rsidP="00DE57B6">
            <w:pPr>
              <w:rPr>
                <w:rFonts w:cs="Arial"/>
              </w:rPr>
            </w:pPr>
            <w:r w:rsidRPr="00DE57B6">
              <w:rPr>
                <w:rFonts w:cs="Arial"/>
              </w:rPr>
              <w:t>Левкопения, анемия/еритропения, тромбоцитопения</w:t>
            </w:r>
            <w:r w:rsidRPr="00DE57B6">
              <w:rPr>
                <w:rFonts w:cs="Arial"/>
                <w:vertAlign w:val="superscript"/>
              </w:rPr>
              <w:t>1</w:t>
            </w:r>
          </w:p>
        </w:tc>
      </w:tr>
      <w:tr w:rsidR="00DE57B6" w14:paraId="76D128C3" w14:textId="77777777" w:rsidTr="00DD3595">
        <w:tc>
          <w:tcPr>
            <w:tcW w:w="3192" w:type="dxa"/>
            <w:vMerge/>
          </w:tcPr>
          <w:p w14:paraId="1D9477C7" w14:textId="77777777" w:rsidR="00DE57B6" w:rsidRPr="00DE57B6" w:rsidRDefault="00DE57B6" w:rsidP="00DE57B6">
            <w:pPr>
              <w:rPr>
                <w:rFonts w:cs="Arial"/>
              </w:rPr>
            </w:pPr>
          </w:p>
        </w:tc>
        <w:tc>
          <w:tcPr>
            <w:tcW w:w="3192" w:type="dxa"/>
          </w:tcPr>
          <w:p w14:paraId="63C3D7EB" w14:textId="18996F79" w:rsidR="00DE57B6" w:rsidRPr="00DE57B6" w:rsidRDefault="00DE57B6" w:rsidP="00DE57B6">
            <w:pPr>
              <w:rPr>
                <w:rFonts w:cs="Arial"/>
              </w:rPr>
            </w:pPr>
            <w:r w:rsidRPr="00DE57B6">
              <w:rPr>
                <w:rFonts w:cs="Arial"/>
              </w:rPr>
              <w:t>Чести</w:t>
            </w:r>
          </w:p>
        </w:tc>
        <w:tc>
          <w:tcPr>
            <w:tcW w:w="3192" w:type="dxa"/>
            <w:vAlign w:val="bottom"/>
          </w:tcPr>
          <w:p w14:paraId="6B3F4F46" w14:textId="51562583" w:rsidR="00DE57B6" w:rsidRPr="00DE57B6" w:rsidRDefault="00DE57B6" w:rsidP="00DE57B6">
            <w:pPr>
              <w:rPr>
                <w:rFonts w:cs="Arial"/>
              </w:rPr>
            </w:pPr>
            <w:r w:rsidRPr="00DE57B6">
              <w:rPr>
                <w:rFonts w:cs="Arial"/>
              </w:rPr>
              <w:t xml:space="preserve">Панцитопения, тромботични микроангиопатии (включително тромботична тромбоцитопенична </w:t>
            </w:r>
            <w:r w:rsidRPr="00DE57B6">
              <w:rPr>
                <w:rFonts w:cs="Arial"/>
              </w:rPr>
              <w:lastRenderedPageBreak/>
              <w:t>пурпура/хемолитично-уремичен синдром)</w:t>
            </w:r>
          </w:p>
        </w:tc>
      </w:tr>
      <w:tr w:rsidR="00DE57B6" w14:paraId="1DD4E582" w14:textId="77777777" w:rsidTr="00DD3595">
        <w:tc>
          <w:tcPr>
            <w:tcW w:w="3192" w:type="dxa"/>
          </w:tcPr>
          <w:p w14:paraId="5115B640" w14:textId="70E9E109" w:rsidR="00DE57B6" w:rsidRPr="00DE57B6" w:rsidRDefault="00DE57B6" w:rsidP="00DE57B6">
            <w:pPr>
              <w:rPr>
                <w:rFonts w:cs="Arial"/>
              </w:rPr>
            </w:pPr>
            <w:r w:rsidRPr="00DE57B6">
              <w:rPr>
                <w:rFonts w:cs="Arial"/>
              </w:rPr>
              <w:lastRenderedPageBreak/>
              <w:t>Ендокринни нарушения</w:t>
            </w:r>
          </w:p>
        </w:tc>
        <w:tc>
          <w:tcPr>
            <w:tcW w:w="3192" w:type="dxa"/>
          </w:tcPr>
          <w:p w14:paraId="48FDA75E" w14:textId="576B1D4A" w:rsidR="00DE57B6" w:rsidRPr="00DE57B6" w:rsidRDefault="00DE57B6" w:rsidP="00DE57B6">
            <w:pPr>
              <w:rPr>
                <w:rFonts w:cs="Arial"/>
              </w:rPr>
            </w:pPr>
            <w:r w:rsidRPr="00DE57B6">
              <w:rPr>
                <w:rFonts w:cs="Arial"/>
              </w:rPr>
              <w:t>Нечести</w:t>
            </w:r>
          </w:p>
        </w:tc>
        <w:tc>
          <w:tcPr>
            <w:tcW w:w="3192" w:type="dxa"/>
            <w:vAlign w:val="bottom"/>
          </w:tcPr>
          <w:p w14:paraId="460A8D20" w14:textId="434F8603" w:rsidR="00DE57B6" w:rsidRPr="00DE57B6" w:rsidRDefault="00DE57B6" w:rsidP="00DE57B6">
            <w:pPr>
              <w:rPr>
                <w:rFonts w:cs="Arial"/>
              </w:rPr>
            </w:pPr>
            <w:r w:rsidRPr="00DE57B6">
              <w:rPr>
                <w:rFonts w:cs="Arial"/>
              </w:rPr>
              <w:t xml:space="preserve">Хипогонадизъм при мъже (понижен </w:t>
            </w:r>
            <w:r w:rsidRPr="00DE57B6">
              <w:rPr>
                <w:rFonts w:cs="Arial"/>
                <w:u w:val="single"/>
              </w:rPr>
              <w:t>тестостерон, повише</w:t>
            </w:r>
            <w:r w:rsidRPr="00DE57B6">
              <w:rPr>
                <w:rFonts w:cs="Arial"/>
              </w:rPr>
              <w:t xml:space="preserve">н </w:t>
            </w:r>
            <w:r w:rsidRPr="00DE57B6">
              <w:rPr>
                <w:rFonts w:cs="Arial"/>
                <w:lang w:val="en-US"/>
              </w:rPr>
              <w:t>FSH</w:t>
            </w:r>
            <w:r w:rsidRPr="00DE57B6">
              <w:rPr>
                <w:rFonts w:cs="Arial"/>
                <w:lang w:val="ru-RU"/>
              </w:rPr>
              <w:t xml:space="preserve"> </w:t>
            </w:r>
            <w:r w:rsidRPr="00DE57B6">
              <w:rPr>
                <w:rFonts w:cs="Arial"/>
              </w:rPr>
              <w:t xml:space="preserve">и </w:t>
            </w:r>
            <w:r w:rsidRPr="00DE57B6">
              <w:rPr>
                <w:rFonts w:cs="Arial"/>
                <w:lang w:val="en-US"/>
              </w:rPr>
              <w:t>LH</w:t>
            </w:r>
            <w:r w:rsidRPr="00DE57B6">
              <w:rPr>
                <w:rFonts w:cs="Arial"/>
                <w:lang w:val="ru-RU"/>
              </w:rPr>
              <w:t>)</w:t>
            </w:r>
          </w:p>
        </w:tc>
      </w:tr>
      <w:tr w:rsidR="00DE57B6" w14:paraId="420EE389" w14:textId="77777777" w:rsidTr="00DD3595">
        <w:tc>
          <w:tcPr>
            <w:tcW w:w="3192" w:type="dxa"/>
          </w:tcPr>
          <w:p w14:paraId="0B7580C0" w14:textId="5CD4EAAB" w:rsidR="00DE57B6" w:rsidRPr="00DE57B6" w:rsidRDefault="00DE57B6" w:rsidP="00DE57B6">
            <w:pPr>
              <w:rPr>
                <w:rFonts w:cs="Arial"/>
              </w:rPr>
            </w:pPr>
            <w:r w:rsidRPr="00DE57B6">
              <w:rPr>
                <w:rFonts w:cs="Arial"/>
              </w:rPr>
              <w:t>Нарушения на метаболизма и храненето</w:t>
            </w:r>
          </w:p>
        </w:tc>
        <w:tc>
          <w:tcPr>
            <w:tcW w:w="3192" w:type="dxa"/>
          </w:tcPr>
          <w:p w14:paraId="35D8F508" w14:textId="6F3B8A32" w:rsidR="00DE57B6" w:rsidRPr="00DE57B6" w:rsidRDefault="00DE57B6" w:rsidP="00DE57B6">
            <w:pPr>
              <w:rPr>
                <w:rFonts w:cs="Arial"/>
              </w:rPr>
            </w:pPr>
            <w:r w:rsidRPr="00DE57B6">
              <w:rPr>
                <w:rFonts w:cs="Arial"/>
              </w:rPr>
              <w:t>Много чести</w:t>
            </w:r>
          </w:p>
        </w:tc>
        <w:tc>
          <w:tcPr>
            <w:tcW w:w="3192" w:type="dxa"/>
            <w:vAlign w:val="bottom"/>
          </w:tcPr>
          <w:p w14:paraId="5F3CFEFC" w14:textId="5A318577" w:rsidR="00DE57B6" w:rsidRPr="00DE57B6" w:rsidRDefault="00DE57B6" w:rsidP="00DE57B6">
            <w:pPr>
              <w:rPr>
                <w:rFonts w:cs="Arial"/>
              </w:rPr>
            </w:pPr>
            <w:r w:rsidRPr="00DE57B6">
              <w:rPr>
                <w:rFonts w:cs="Arial"/>
              </w:rPr>
              <w:t>Хиперлипидемия (холестерол и триглицериди), новооткрит захарен диабет, хипокалемия</w:t>
            </w:r>
          </w:p>
        </w:tc>
      </w:tr>
      <w:tr w:rsidR="00DE57B6" w14:paraId="7F1A7642" w14:textId="77777777" w:rsidTr="00DE57B6">
        <w:tc>
          <w:tcPr>
            <w:tcW w:w="3192" w:type="dxa"/>
          </w:tcPr>
          <w:p w14:paraId="503BDE61" w14:textId="38DA1640" w:rsidR="00DE57B6" w:rsidRPr="00DE57B6" w:rsidRDefault="00DE57B6" w:rsidP="00DE57B6">
            <w:pPr>
              <w:rPr>
                <w:rFonts w:cs="Arial"/>
              </w:rPr>
            </w:pPr>
            <w:r w:rsidRPr="00DE57B6">
              <w:rPr>
                <w:rFonts w:cs="Arial"/>
              </w:rPr>
              <w:t>Психични нарушения</w:t>
            </w:r>
          </w:p>
        </w:tc>
        <w:tc>
          <w:tcPr>
            <w:tcW w:w="3192" w:type="dxa"/>
          </w:tcPr>
          <w:p w14:paraId="23CF0063" w14:textId="21945DEF" w:rsidR="00DE57B6" w:rsidRPr="00DE57B6" w:rsidRDefault="00DE57B6" w:rsidP="00DE57B6">
            <w:pPr>
              <w:rPr>
                <w:rFonts w:cs="Arial"/>
              </w:rPr>
            </w:pPr>
            <w:r w:rsidRPr="00DE57B6">
              <w:rPr>
                <w:rFonts w:cs="Arial"/>
              </w:rPr>
              <w:t>Много чести</w:t>
            </w:r>
          </w:p>
        </w:tc>
        <w:tc>
          <w:tcPr>
            <w:tcW w:w="3192" w:type="dxa"/>
          </w:tcPr>
          <w:p w14:paraId="574EA4F0" w14:textId="53E454A4" w:rsidR="00DE57B6" w:rsidRPr="00DE57B6" w:rsidRDefault="00DE57B6" w:rsidP="00DE57B6">
            <w:pPr>
              <w:rPr>
                <w:rFonts w:cs="Arial"/>
              </w:rPr>
            </w:pPr>
            <w:r w:rsidRPr="00DE57B6">
              <w:rPr>
                <w:rFonts w:cs="Arial"/>
              </w:rPr>
              <w:t>Безсъние, тревожност</w:t>
            </w:r>
          </w:p>
        </w:tc>
      </w:tr>
      <w:tr w:rsidR="00DE57B6" w14:paraId="44681948" w14:textId="77777777" w:rsidTr="00DE57B6">
        <w:tc>
          <w:tcPr>
            <w:tcW w:w="3192" w:type="dxa"/>
          </w:tcPr>
          <w:p w14:paraId="3537B179" w14:textId="799007F8" w:rsidR="00DE57B6" w:rsidRPr="00DE57B6" w:rsidRDefault="00DE57B6" w:rsidP="00DE57B6">
            <w:pPr>
              <w:rPr>
                <w:rFonts w:cs="Arial"/>
              </w:rPr>
            </w:pPr>
            <w:r w:rsidRPr="00DE57B6">
              <w:rPr>
                <w:rFonts w:cs="Arial"/>
              </w:rPr>
              <w:t>Нарушения на нервната система</w:t>
            </w:r>
          </w:p>
        </w:tc>
        <w:tc>
          <w:tcPr>
            <w:tcW w:w="3192" w:type="dxa"/>
          </w:tcPr>
          <w:p w14:paraId="34A02D39" w14:textId="258EA09E" w:rsidR="00DE57B6" w:rsidRPr="00DE57B6" w:rsidRDefault="00DE57B6" w:rsidP="00DE57B6">
            <w:pPr>
              <w:rPr>
                <w:rFonts w:cs="Arial"/>
              </w:rPr>
            </w:pPr>
            <w:r w:rsidRPr="00DE57B6">
              <w:rPr>
                <w:rFonts w:cs="Arial"/>
              </w:rPr>
              <w:t>Много чести</w:t>
            </w:r>
          </w:p>
        </w:tc>
        <w:tc>
          <w:tcPr>
            <w:tcW w:w="3192" w:type="dxa"/>
          </w:tcPr>
          <w:p w14:paraId="7FF3BB5F" w14:textId="6BB49A0C" w:rsidR="00DE57B6" w:rsidRPr="00DE57B6" w:rsidRDefault="00DE57B6" w:rsidP="00DE57B6">
            <w:pPr>
              <w:rPr>
                <w:rFonts w:cs="Arial"/>
              </w:rPr>
            </w:pPr>
            <w:r w:rsidRPr="00DE57B6">
              <w:rPr>
                <w:rFonts w:cs="Arial"/>
              </w:rPr>
              <w:t>Главоболие</w:t>
            </w:r>
          </w:p>
        </w:tc>
      </w:tr>
      <w:tr w:rsidR="00DE57B6" w14:paraId="0213FB89" w14:textId="77777777" w:rsidTr="00DE57B6">
        <w:tc>
          <w:tcPr>
            <w:tcW w:w="3192" w:type="dxa"/>
            <w:vMerge w:val="restart"/>
          </w:tcPr>
          <w:p w14:paraId="689EBD0A" w14:textId="0A86B799" w:rsidR="00DE57B6" w:rsidRPr="00DE57B6" w:rsidRDefault="00DE57B6" w:rsidP="00DE57B6">
            <w:pPr>
              <w:rPr>
                <w:rFonts w:cs="Arial"/>
              </w:rPr>
            </w:pPr>
            <w:r w:rsidRPr="00DE57B6">
              <w:rPr>
                <w:rFonts w:cs="Arial"/>
              </w:rPr>
              <w:t>Сърдечни нарушения</w:t>
            </w:r>
          </w:p>
        </w:tc>
        <w:tc>
          <w:tcPr>
            <w:tcW w:w="3192" w:type="dxa"/>
          </w:tcPr>
          <w:p w14:paraId="2CC71954" w14:textId="6D3E1829" w:rsidR="00DE57B6" w:rsidRPr="00DE57B6" w:rsidRDefault="00DE57B6" w:rsidP="00DE57B6">
            <w:pPr>
              <w:rPr>
                <w:rFonts w:cs="Arial"/>
              </w:rPr>
            </w:pPr>
            <w:r w:rsidRPr="00DE57B6">
              <w:rPr>
                <w:rFonts w:cs="Arial"/>
              </w:rPr>
              <w:t>Много чести</w:t>
            </w:r>
          </w:p>
        </w:tc>
        <w:tc>
          <w:tcPr>
            <w:tcW w:w="3192" w:type="dxa"/>
          </w:tcPr>
          <w:p w14:paraId="6D23662F" w14:textId="0231C3DA" w:rsidR="00DE57B6" w:rsidRPr="00DE57B6" w:rsidRDefault="00DE57B6" w:rsidP="00DE57B6">
            <w:pPr>
              <w:rPr>
                <w:rFonts w:cs="Arial"/>
              </w:rPr>
            </w:pPr>
            <w:r w:rsidRPr="00DE57B6">
              <w:rPr>
                <w:rFonts w:cs="Arial"/>
              </w:rPr>
              <w:t>Перикарден излив</w:t>
            </w:r>
            <w:r w:rsidRPr="00DE57B6">
              <w:rPr>
                <w:rFonts w:cs="Arial"/>
                <w:vertAlign w:val="superscript"/>
              </w:rPr>
              <w:t>3</w:t>
            </w:r>
          </w:p>
        </w:tc>
      </w:tr>
      <w:tr w:rsidR="00DE57B6" w14:paraId="1FE59DE0" w14:textId="77777777" w:rsidTr="00DD3595">
        <w:tc>
          <w:tcPr>
            <w:tcW w:w="3192" w:type="dxa"/>
            <w:vMerge/>
          </w:tcPr>
          <w:p w14:paraId="53A55DF5" w14:textId="77777777" w:rsidR="00DE57B6" w:rsidRPr="00DE57B6" w:rsidRDefault="00DE57B6" w:rsidP="00DE57B6">
            <w:pPr>
              <w:rPr>
                <w:rFonts w:cs="Arial"/>
              </w:rPr>
            </w:pPr>
          </w:p>
        </w:tc>
        <w:tc>
          <w:tcPr>
            <w:tcW w:w="3192" w:type="dxa"/>
            <w:vAlign w:val="bottom"/>
          </w:tcPr>
          <w:p w14:paraId="0A1259C6" w14:textId="4A33257C" w:rsidR="00DE57B6" w:rsidRPr="00DE57B6" w:rsidRDefault="00DE57B6" w:rsidP="00DE57B6">
            <w:pPr>
              <w:rPr>
                <w:rFonts w:cs="Arial"/>
              </w:rPr>
            </w:pPr>
            <w:r w:rsidRPr="00DE57B6">
              <w:rPr>
                <w:rFonts w:cs="Arial"/>
              </w:rPr>
              <w:t>Чести</w:t>
            </w:r>
          </w:p>
        </w:tc>
        <w:tc>
          <w:tcPr>
            <w:tcW w:w="3192" w:type="dxa"/>
            <w:vAlign w:val="bottom"/>
          </w:tcPr>
          <w:p w14:paraId="7D0ABC45" w14:textId="2731F518" w:rsidR="00DE57B6" w:rsidRPr="00DE57B6" w:rsidRDefault="00DE57B6" w:rsidP="00DE57B6">
            <w:pPr>
              <w:rPr>
                <w:rFonts w:cs="Arial"/>
              </w:rPr>
            </w:pPr>
            <w:r w:rsidRPr="00DE57B6">
              <w:rPr>
                <w:rFonts w:cs="Arial"/>
              </w:rPr>
              <w:t>Тахикардия</w:t>
            </w:r>
          </w:p>
        </w:tc>
      </w:tr>
      <w:tr w:rsidR="00DE57B6" w14:paraId="38AF1AAA" w14:textId="77777777" w:rsidTr="00DD3595">
        <w:tc>
          <w:tcPr>
            <w:tcW w:w="3192" w:type="dxa"/>
            <w:vMerge w:val="restart"/>
          </w:tcPr>
          <w:p w14:paraId="46E66920" w14:textId="42946B8A" w:rsidR="00DE57B6" w:rsidRPr="00DE57B6" w:rsidRDefault="00DE57B6" w:rsidP="00DE57B6">
            <w:pPr>
              <w:rPr>
                <w:rFonts w:cs="Arial"/>
              </w:rPr>
            </w:pPr>
            <w:r w:rsidRPr="00DE57B6">
              <w:rPr>
                <w:rFonts w:cs="Arial"/>
              </w:rPr>
              <w:t>Съдови нарушения</w:t>
            </w:r>
          </w:p>
        </w:tc>
        <w:tc>
          <w:tcPr>
            <w:tcW w:w="3192" w:type="dxa"/>
          </w:tcPr>
          <w:p w14:paraId="105BC6CC" w14:textId="52EE7475" w:rsidR="00DE57B6" w:rsidRPr="00DE57B6" w:rsidRDefault="00DE57B6" w:rsidP="00DE57B6">
            <w:pPr>
              <w:rPr>
                <w:rFonts w:cs="Arial"/>
              </w:rPr>
            </w:pPr>
            <w:r w:rsidRPr="00DE57B6">
              <w:rPr>
                <w:rFonts w:cs="Arial"/>
              </w:rPr>
              <w:t>Много чести</w:t>
            </w:r>
          </w:p>
        </w:tc>
        <w:tc>
          <w:tcPr>
            <w:tcW w:w="3192" w:type="dxa"/>
            <w:vAlign w:val="bottom"/>
          </w:tcPr>
          <w:p w14:paraId="2BE62F3E" w14:textId="20F698DA" w:rsidR="00DE57B6" w:rsidRPr="00DE57B6" w:rsidRDefault="00DE57B6" w:rsidP="00DE57B6">
            <w:pPr>
              <w:rPr>
                <w:rFonts w:cs="Arial"/>
              </w:rPr>
            </w:pPr>
            <w:r w:rsidRPr="00DE57B6">
              <w:rPr>
                <w:rFonts w:cs="Arial"/>
              </w:rPr>
              <w:t>Хипертония, венозни тромбоемболични събития</w:t>
            </w:r>
          </w:p>
        </w:tc>
      </w:tr>
      <w:tr w:rsidR="00DE57B6" w14:paraId="4E24B64C" w14:textId="77777777" w:rsidTr="00DD3595">
        <w:tc>
          <w:tcPr>
            <w:tcW w:w="3192" w:type="dxa"/>
            <w:vMerge/>
          </w:tcPr>
          <w:p w14:paraId="309ECDFD" w14:textId="77777777" w:rsidR="00DE57B6" w:rsidRPr="00DE57B6" w:rsidRDefault="00DE57B6" w:rsidP="00DE57B6">
            <w:pPr>
              <w:rPr>
                <w:rFonts w:cs="Arial"/>
              </w:rPr>
            </w:pPr>
          </w:p>
        </w:tc>
        <w:tc>
          <w:tcPr>
            <w:tcW w:w="3192" w:type="dxa"/>
          </w:tcPr>
          <w:p w14:paraId="575141C5" w14:textId="2F52AFB3" w:rsidR="00DE57B6" w:rsidRPr="00DE57B6" w:rsidRDefault="00DE57B6" w:rsidP="00DE57B6">
            <w:pPr>
              <w:rPr>
                <w:rFonts w:cs="Arial"/>
              </w:rPr>
            </w:pPr>
            <w:r w:rsidRPr="00DE57B6">
              <w:rPr>
                <w:rFonts w:cs="Arial"/>
              </w:rPr>
              <w:t>Чести</w:t>
            </w:r>
          </w:p>
        </w:tc>
        <w:tc>
          <w:tcPr>
            <w:tcW w:w="3192" w:type="dxa"/>
            <w:vAlign w:val="bottom"/>
          </w:tcPr>
          <w:p w14:paraId="6354FAC1" w14:textId="122B2AF7" w:rsidR="00DE57B6" w:rsidRPr="00DE57B6" w:rsidRDefault="00DE57B6" w:rsidP="00DE57B6">
            <w:pPr>
              <w:rPr>
                <w:rFonts w:cs="Arial"/>
              </w:rPr>
            </w:pPr>
            <w:r w:rsidRPr="00DE57B6">
              <w:rPr>
                <w:rFonts w:cs="Arial"/>
              </w:rPr>
              <w:t>Лимфоцеле</w:t>
            </w:r>
            <w:r w:rsidRPr="00DE57B6">
              <w:rPr>
                <w:rFonts w:cs="Arial"/>
                <w:vertAlign w:val="superscript"/>
              </w:rPr>
              <w:t>4</w:t>
            </w:r>
            <w:r w:rsidRPr="00DE57B6">
              <w:rPr>
                <w:rFonts w:cs="Arial"/>
              </w:rPr>
              <w:t>, епистаксис, бъбречна тромбоза на присадката</w:t>
            </w:r>
          </w:p>
        </w:tc>
      </w:tr>
      <w:tr w:rsidR="00DE57B6" w14:paraId="7A520115" w14:textId="77777777" w:rsidTr="00DE57B6">
        <w:tc>
          <w:tcPr>
            <w:tcW w:w="3192" w:type="dxa"/>
            <w:vMerge w:val="restart"/>
          </w:tcPr>
          <w:p w14:paraId="717268EF" w14:textId="1D1BFD68" w:rsidR="00DE57B6" w:rsidRPr="00DE57B6" w:rsidRDefault="00DE57B6" w:rsidP="00DE57B6">
            <w:pPr>
              <w:rPr>
                <w:rFonts w:cs="Arial"/>
              </w:rPr>
            </w:pPr>
            <w:r w:rsidRPr="00DE57B6">
              <w:rPr>
                <w:rFonts w:cs="Arial"/>
              </w:rPr>
              <w:t>Респираторни, гръдни и медиастинални нарушения</w:t>
            </w:r>
          </w:p>
        </w:tc>
        <w:tc>
          <w:tcPr>
            <w:tcW w:w="3192" w:type="dxa"/>
          </w:tcPr>
          <w:p w14:paraId="4D30852C" w14:textId="55D530AF" w:rsidR="00DE57B6" w:rsidRPr="00DE57B6" w:rsidRDefault="00DE57B6" w:rsidP="00DE57B6">
            <w:pPr>
              <w:rPr>
                <w:rFonts w:cs="Arial"/>
              </w:rPr>
            </w:pPr>
            <w:r w:rsidRPr="00DE57B6">
              <w:rPr>
                <w:rFonts w:cs="Arial"/>
              </w:rPr>
              <w:t>Много чести</w:t>
            </w:r>
          </w:p>
        </w:tc>
        <w:tc>
          <w:tcPr>
            <w:tcW w:w="3192" w:type="dxa"/>
          </w:tcPr>
          <w:p w14:paraId="5971B5A3" w14:textId="6EB9825D" w:rsidR="00DE57B6" w:rsidRPr="00DE57B6" w:rsidRDefault="00DE57B6" w:rsidP="00DE57B6">
            <w:pPr>
              <w:rPr>
                <w:rFonts w:cs="Arial"/>
              </w:rPr>
            </w:pPr>
            <w:r w:rsidRPr="00DE57B6">
              <w:rPr>
                <w:rFonts w:cs="Arial"/>
              </w:rPr>
              <w:t>Плеврален излив</w:t>
            </w:r>
            <w:r w:rsidRPr="00DE57B6">
              <w:rPr>
                <w:rFonts w:cs="Arial"/>
                <w:vertAlign w:val="superscript"/>
              </w:rPr>
              <w:t>1</w:t>
            </w:r>
            <w:r w:rsidRPr="00DE57B6">
              <w:rPr>
                <w:rFonts w:cs="Arial"/>
              </w:rPr>
              <w:t>, кашлица</w:t>
            </w:r>
            <w:r w:rsidRPr="00DE57B6">
              <w:rPr>
                <w:rFonts w:cs="Arial"/>
                <w:vertAlign w:val="superscript"/>
              </w:rPr>
              <w:t>1</w:t>
            </w:r>
            <w:r w:rsidRPr="00DE57B6">
              <w:rPr>
                <w:rFonts w:cs="Arial"/>
              </w:rPr>
              <w:t>, диспнея</w:t>
            </w:r>
            <w:r w:rsidRPr="00DE57B6">
              <w:rPr>
                <w:rFonts w:cs="Arial"/>
                <w:vertAlign w:val="superscript"/>
              </w:rPr>
              <w:t>1</w:t>
            </w:r>
          </w:p>
        </w:tc>
      </w:tr>
      <w:tr w:rsidR="00DE57B6" w14:paraId="5D22B0B3" w14:textId="77777777" w:rsidTr="00DE57B6">
        <w:tc>
          <w:tcPr>
            <w:tcW w:w="3192" w:type="dxa"/>
            <w:vMerge/>
          </w:tcPr>
          <w:p w14:paraId="37007EC9" w14:textId="77777777" w:rsidR="00DE57B6" w:rsidRPr="00DE57B6" w:rsidRDefault="00DE57B6" w:rsidP="00DE57B6">
            <w:pPr>
              <w:rPr>
                <w:rFonts w:cs="Arial"/>
              </w:rPr>
            </w:pPr>
          </w:p>
        </w:tc>
        <w:tc>
          <w:tcPr>
            <w:tcW w:w="3192" w:type="dxa"/>
          </w:tcPr>
          <w:p w14:paraId="290CBE1C" w14:textId="2B546B8E" w:rsidR="00DE57B6" w:rsidRPr="00DE57B6" w:rsidRDefault="00DE57B6" w:rsidP="00DE57B6">
            <w:pPr>
              <w:rPr>
                <w:rFonts w:cs="Arial"/>
              </w:rPr>
            </w:pPr>
            <w:r w:rsidRPr="00DE57B6">
              <w:rPr>
                <w:rFonts w:cs="Arial"/>
              </w:rPr>
              <w:t>Нечести</w:t>
            </w:r>
          </w:p>
        </w:tc>
        <w:tc>
          <w:tcPr>
            <w:tcW w:w="3192" w:type="dxa"/>
          </w:tcPr>
          <w:p w14:paraId="68E610E3" w14:textId="60AEFDF3" w:rsidR="00DE57B6" w:rsidRPr="00DE57B6" w:rsidRDefault="00DE57B6" w:rsidP="00DE57B6">
            <w:pPr>
              <w:rPr>
                <w:rFonts w:cs="Arial"/>
              </w:rPr>
            </w:pPr>
            <w:r w:rsidRPr="00DE57B6">
              <w:rPr>
                <w:rFonts w:cs="Arial"/>
              </w:rPr>
              <w:t>Интерстициално белодробно заболяване</w:t>
            </w:r>
            <w:r w:rsidRPr="00DE57B6">
              <w:rPr>
                <w:rFonts w:cs="Arial"/>
                <w:vertAlign w:val="superscript"/>
              </w:rPr>
              <w:t>5</w:t>
            </w:r>
          </w:p>
        </w:tc>
      </w:tr>
      <w:tr w:rsidR="00DE57B6" w14:paraId="32A0EA30" w14:textId="77777777" w:rsidTr="00DE57B6">
        <w:trPr>
          <w:trHeight w:val="557"/>
        </w:trPr>
        <w:tc>
          <w:tcPr>
            <w:tcW w:w="3192" w:type="dxa"/>
            <w:vMerge w:val="restart"/>
          </w:tcPr>
          <w:p w14:paraId="16E1B3DF" w14:textId="34514B8A" w:rsidR="00DE57B6" w:rsidRPr="00DE57B6" w:rsidRDefault="00DE57B6" w:rsidP="00DE57B6">
            <w:pPr>
              <w:rPr>
                <w:rFonts w:cs="Arial"/>
              </w:rPr>
            </w:pPr>
            <w:r w:rsidRPr="00DE57B6">
              <w:rPr>
                <w:rFonts w:cs="Arial"/>
              </w:rPr>
              <w:t>Стомашно-чревни нарушения</w:t>
            </w:r>
          </w:p>
        </w:tc>
        <w:tc>
          <w:tcPr>
            <w:tcW w:w="3192" w:type="dxa"/>
          </w:tcPr>
          <w:p w14:paraId="2DCBB511" w14:textId="77777777" w:rsidR="00DE57B6" w:rsidRPr="00DE57B6" w:rsidRDefault="00DE57B6" w:rsidP="00DE57B6">
            <w:pPr>
              <w:rPr>
                <w:rFonts w:cs="Arial"/>
              </w:rPr>
            </w:pPr>
            <w:r w:rsidRPr="00DE57B6">
              <w:rPr>
                <w:rFonts w:cs="Arial"/>
              </w:rPr>
              <w:t>Много чести</w:t>
            </w:r>
          </w:p>
          <w:p w14:paraId="6BBE3A9D" w14:textId="1580B2F2" w:rsidR="00DE57B6" w:rsidRPr="00DE57B6" w:rsidRDefault="00DE57B6" w:rsidP="00DE57B6">
            <w:pPr>
              <w:rPr>
                <w:rFonts w:cs="Arial"/>
              </w:rPr>
            </w:pPr>
          </w:p>
        </w:tc>
        <w:tc>
          <w:tcPr>
            <w:tcW w:w="3192" w:type="dxa"/>
            <w:vAlign w:val="bottom"/>
          </w:tcPr>
          <w:p w14:paraId="7BDB999C" w14:textId="24EFC032" w:rsidR="00DE57B6" w:rsidRPr="00DE57B6" w:rsidRDefault="00DE57B6" w:rsidP="00DE57B6">
            <w:pPr>
              <w:rPr>
                <w:rFonts w:cs="Arial"/>
              </w:rPr>
            </w:pPr>
            <w:r w:rsidRPr="00DE57B6">
              <w:rPr>
                <w:rFonts w:cs="Arial"/>
              </w:rPr>
              <w:t xml:space="preserve">Коремна болка, диария, гадене, повръщане, </w:t>
            </w:r>
          </w:p>
        </w:tc>
      </w:tr>
      <w:tr w:rsidR="00DE57B6" w14:paraId="17D6F56C" w14:textId="77777777" w:rsidTr="00DD3595">
        <w:trPr>
          <w:trHeight w:val="557"/>
        </w:trPr>
        <w:tc>
          <w:tcPr>
            <w:tcW w:w="3192" w:type="dxa"/>
            <w:vMerge/>
          </w:tcPr>
          <w:p w14:paraId="696D3369" w14:textId="77777777" w:rsidR="00DE57B6" w:rsidRPr="00DE57B6" w:rsidRDefault="00DE57B6" w:rsidP="00DE57B6">
            <w:pPr>
              <w:rPr>
                <w:rFonts w:cs="Arial"/>
              </w:rPr>
            </w:pPr>
          </w:p>
        </w:tc>
        <w:tc>
          <w:tcPr>
            <w:tcW w:w="3192" w:type="dxa"/>
          </w:tcPr>
          <w:p w14:paraId="1D5A3530" w14:textId="7DB4A090" w:rsidR="00DE57B6" w:rsidRPr="00DE57B6" w:rsidRDefault="00DE57B6" w:rsidP="00DE57B6">
            <w:pPr>
              <w:rPr>
                <w:rFonts w:cs="Arial"/>
              </w:rPr>
            </w:pPr>
            <w:r w:rsidRPr="00DE57B6">
              <w:rPr>
                <w:rFonts w:cs="Arial"/>
              </w:rPr>
              <w:t>Чести</w:t>
            </w:r>
          </w:p>
        </w:tc>
        <w:tc>
          <w:tcPr>
            <w:tcW w:w="3192" w:type="dxa"/>
            <w:vAlign w:val="bottom"/>
          </w:tcPr>
          <w:p w14:paraId="28B73773" w14:textId="5ECE21B3" w:rsidR="00DE57B6" w:rsidRPr="00DE57B6" w:rsidRDefault="00DE57B6" w:rsidP="00DE57B6">
            <w:pPr>
              <w:rPr>
                <w:rFonts w:cs="Arial"/>
              </w:rPr>
            </w:pPr>
            <w:r w:rsidRPr="00DE57B6">
              <w:rPr>
                <w:rFonts w:cs="Arial"/>
              </w:rPr>
              <w:t>Панкреатит, стоматит/улцерации в устата, орофарингеална болка</w:t>
            </w:r>
          </w:p>
        </w:tc>
      </w:tr>
      <w:tr w:rsidR="00DE57B6" w14:paraId="5DF33D36" w14:textId="77777777" w:rsidTr="00DD3595">
        <w:tc>
          <w:tcPr>
            <w:tcW w:w="3192" w:type="dxa"/>
            <w:vAlign w:val="bottom"/>
          </w:tcPr>
          <w:p w14:paraId="6244F84B" w14:textId="0596C628" w:rsidR="00DE57B6" w:rsidRPr="00DE57B6" w:rsidRDefault="00DE57B6" w:rsidP="00DE57B6">
            <w:pPr>
              <w:rPr>
                <w:rFonts w:cs="Arial"/>
              </w:rPr>
            </w:pPr>
            <w:r w:rsidRPr="00DE57B6">
              <w:rPr>
                <w:rFonts w:cs="Arial"/>
              </w:rPr>
              <w:t>Хепатобилиарни нарушения</w:t>
            </w:r>
          </w:p>
        </w:tc>
        <w:tc>
          <w:tcPr>
            <w:tcW w:w="3192" w:type="dxa"/>
          </w:tcPr>
          <w:p w14:paraId="0AF652AE" w14:textId="043C9D8A" w:rsidR="00DE57B6" w:rsidRPr="00DE57B6" w:rsidRDefault="00DE57B6" w:rsidP="00DE57B6">
            <w:pPr>
              <w:rPr>
                <w:rFonts w:cs="Arial"/>
              </w:rPr>
            </w:pPr>
            <w:r w:rsidRPr="00DE57B6">
              <w:rPr>
                <w:rFonts w:cs="Arial"/>
              </w:rPr>
              <w:t>Чести</w:t>
            </w:r>
          </w:p>
        </w:tc>
        <w:tc>
          <w:tcPr>
            <w:tcW w:w="3192" w:type="dxa"/>
          </w:tcPr>
          <w:p w14:paraId="26CE933C" w14:textId="247462AB" w:rsidR="00DE57B6" w:rsidRPr="00DE57B6" w:rsidRDefault="00DE57B6" w:rsidP="00DE57B6">
            <w:pPr>
              <w:rPr>
                <w:rFonts w:cs="Arial"/>
              </w:rPr>
            </w:pPr>
            <w:r w:rsidRPr="00DE57B6">
              <w:rPr>
                <w:rFonts w:cs="Arial"/>
              </w:rPr>
              <w:t>Не-инфекциозен хепатит, жълтеница</w:t>
            </w:r>
          </w:p>
        </w:tc>
      </w:tr>
      <w:tr w:rsidR="00DE57B6" w14:paraId="220E0AC3" w14:textId="77777777" w:rsidTr="00DD3595">
        <w:tc>
          <w:tcPr>
            <w:tcW w:w="3192" w:type="dxa"/>
            <w:vAlign w:val="bottom"/>
          </w:tcPr>
          <w:p w14:paraId="57802758" w14:textId="1FFA020E" w:rsidR="00DE57B6" w:rsidRPr="00DE57B6" w:rsidRDefault="00DE57B6" w:rsidP="00DE57B6">
            <w:pPr>
              <w:rPr>
                <w:rFonts w:cs="Arial"/>
              </w:rPr>
            </w:pPr>
            <w:r w:rsidRPr="00DE57B6">
              <w:rPr>
                <w:rFonts w:cs="Arial"/>
              </w:rPr>
              <w:t>Нарушения на кожата и подкожната тъкан</w:t>
            </w:r>
          </w:p>
        </w:tc>
        <w:tc>
          <w:tcPr>
            <w:tcW w:w="3192" w:type="dxa"/>
          </w:tcPr>
          <w:p w14:paraId="6A7235EE" w14:textId="552D94F2" w:rsidR="00DE57B6" w:rsidRPr="00DE57B6" w:rsidRDefault="00DE57B6" w:rsidP="00DE57B6">
            <w:pPr>
              <w:rPr>
                <w:rFonts w:cs="Arial"/>
              </w:rPr>
            </w:pPr>
            <w:r w:rsidRPr="00DE57B6">
              <w:rPr>
                <w:rFonts w:cs="Arial"/>
              </w:rPr>
              <w:t>Чести</w:t>
            </w:r>
          </w:p>
        </w:tc>
        <w:tc>
          <w:tcPr>
            <w:tcW w:w="3192" w:type="dxa"/>
          </w:tcPr>
          <w:p w14:paraId="3A8BD8EF" w14:textId="50B7FB27" w:rsidR="00DE57B6" w:rsidRPr="00DE57B6" w:rsidRDefault="00DE57B6" w:rsidP="00DE57B6">
            <w:pPr>
              <w:rPr>
                <w:rFonts w:cs="Arial"/>
              </w:rPr>
            </w:pPr>
            <w:r w:rsidRPr="00DE57B6">
              <w:rPr>
                <w:rFonts w:cs="Arial"/>
              </w:rPr>
              <w:t>Ангиоедем</w:t>
            </w:r>
            <w:r w:rsidRPr="00DE57B6">
              <w:rPr>
                <w:rFonts w:cs="Arial"/>
                <w:vertAlign w:val="superscript"/>
              </w:rPr>
              <w:t>6</w:t>
            </w:r>
            <w:r w:rsidRPr="00DE57B6">
              <w:rPr>
                <w:rFonts w:cs="Arial"/>
              </w:rPr>
              <w:t>, акне, обрив</w:t>
            </w:r>
          </w:p>
        </w:tc>
      </w:tr>
      <w:tr w:rsidR="00DE57B6" w14:paraId="75A4A2C6" w14:textId="77777777" w:rsidTr="00DD3595">
        <w:tc>
          <w:tcPr>
            <w:tcW w:w="3192" w:type="dxa"/>
            <w:vAlign w:val="bottom"/>
          </w:tcPr>
          <w:p w14:paraId="0FBFAEB0" w14:textId="3D2AEEF2" w:rsidR="00DE57B6" w:rsidRPr="00DE57B6" w:rsidRDefault="00DE57B6" w:rsidP="00DE57B6">
            <w:pPr>
              <w:rPr>
                <w:rFonts w:cs="Arial"/>
              </w:rPr>
            </w:pPr>
            <w:r w:rsidRPr="00DE57B6">
              <w:rPr>
                <w:rFonts w:cs="Arial"/>
              </w:rPr>
              <w:t>Нарушения на мускулно- скелетната система и съединителната тъкан</w:t>
            </w:r>
          </w:p>
        </w:tc>
        <w:tc>
          <w:tcPr>
            <w:tcW w:w="3192" w:type="dxa"/>
          </w:tcPr>
          <w:p w14:paraId="479D533B" w14:textId="331D8358" w:rsidR="00DE57B6" w:rsidRPr="00DE57B6" w:rsidRDefault="00DE57B6" w:rsidP="00DE57B6">
            <w:pPr>
              <w:rPr>
                <w:rFonts w:cs="Arial"/>
              </w:rPr>
            </w:pPr>
            <w:r w:rsidRPr="00DE57B6">
              <w:rPr>
                <w:rFonts w:cs="Arial"/>
              </w:rPr>
              <w:t>Чести</w:t>
            </w:r>
          </w:p>
        </w:tc>
        <w:tc>
          <w:tcPr>
            <w:tcW w:w="3192" w:type="dxa"/>
          </w:tcPr>
          <w:p w14:paraId="798EC83C" w14:textId="0E44A11C" w:rsidR="00DE57B6" w:rsidRPr="00DE57B6" w:rsidRDefault="00DE57B6" w:rsidP="00DE57B6">
            <w:pPr>
              <w:rPr>
                <w:rFonts w:cs="Arial"/>
              </w:rPr>
            </w:pPr>
            <w:r w:rsidRPr="00DE57B6">
              <w:rPr>
                <w:rFonts w:cs="Arial"/>
              </w:rPr>
              <w:t>Миалгия, артралгия</w:t>
            </w:r>
          </w:p>
        </w:tc>
      </w:tr>
      <w:tr w:rsidR="00DE57B6" w14:paraId="7BCC11B8" w14:textId="77777777" w:rsidTr="00DD3595">
        <w:tc>
          <w:tcPr>
            <w:tcW w:w="3192" w:type="dxa"/>
            <w:vAlign w:val="bottom"/>
          </w:tcPr>
          <w:p w14:paraId="4805853C" w14:textId="79E5765A" w:rsidR="00DE57B6" w:rsidRPr="00DE57B6" w:rsidRDefault="00DE57B6" w:rsidP="00DE57B6">
            <w:pPr>
              <w:rPr>
                <w:rFonts w:cs="Arial"/>
              </w:rPr>
            </w:pPr>
            <w:r w:rsidRPr="00DE57B6">
              <w:rPr>
                <w:rFonts w:cs="Arial"/>
              </w:rPr>
              <w:t>Нарушения на бъбреците и пикочните пътища</w:t>
            </w:r>
          </w:p>
        </w:tc>
        <w:tc>
          <w:tcPr>
            <w:tcW w:w="3192" w:type="dxa"/>
          </w:tcPr>
          <w:p w14:paraId="16D519A7" w14:textId="72FA49F6" w:rsidR="00DE57B6" w:rsidRPr="00DE57B6" w:rsidRDefault="00DE57B6" w:rsidP="00DE57B6">
            <w:pPr>
              <w:rPr>
                <w:rFonts w:cs="Arial"/>
              </w:rPr>
            </w:pPr>
            <w:r w:rsidRPr="00DE57B6">
              <w:rPr>
                <w:rFonts w:cs="Arial"/>
              </w:rPr>
              <w:t>Чести</w:t>
            </w:r>
          </w:p>
        </w:tc>
        <w:tc>
          <w:tcPr>
            <w:tcW w:w="3192" w:type="dxa"/>
            <w:vAlign w:val="bottom"/>
          </w:tcPr>
          <w:p w14:paraId="0845E0C1" w14:textId="06F45888" w:rsidR="00DE57B6" w:rsidRPr="00DE57B6" w:rsidRDefault="00DE57B6" w:rsidP="00DE57B6">
            <w:pPr>
              <w:rPr>
                <w:rFonts w:cs="Arial"/>
              </w:rPr>
            </w:pPr>
            <w:r w:rsidRPr="00DE57B6">
              <w:rPr>
                <w:rFonts w:cs="Arial"/>
              </w:rPr>
              <w:t>Протеинурия</w:t>
            </w:r>
            <w:r w:rsidRPr="00DE57B6">
              <w:rPr>
                <w:rFonts w:cs="Arial"/>
                <w:vertAlign w:val="superscript"/>
              </w:rPr>
              <w:t>2</w:t>
            </w:r>
            <w:r w:rsidRPr="00DE57B6">
              <w:rPr>
                <w:rFonts w:cs="Arial"/>
              </w:rPr>
              <w:t>, тубуларна некроза на бъбрека</w:t>
            </w:r>
            <w:r w:rsidRPr="00DE57B6">
              <w:rPr>
                <w:rFonts w:cs="Arial"/>
                <w:vertAlign w:val="superscript"/>
              </w:rPr>
              <w:t>7</w:t>
            </w:r>
          </w:p>
        </w:tc>
      </w:tr>
      <w:tr w:rsidR="00DE57B6" w14:paraId="70215145" w14:textId="77777777" w:rsidTr="00DE57B6">
        <w:tc>
          <w:tcPr>
            <w:tcW w:w="3192" w:type="dxa"/>
            <w:vMerge w:val="restart"/>
          </w:tcPr>
          <w:p w14:paraId="5ED0B63B" w14:textId="66F51E1D" w:rsidR="00DE57B6" w:rsidRPr="00DE57B6" w:rsidRDefault="00DE57B6" w:rsidP="00DE57B6">
            <w:pPr>
              <w:rPr>
                <w:rFonts w:cs="Arial"/>
              </w:rPr>
            </w:pPr>
            <w:r w:rsidRPr="00DE57B6">
              <w:rPr>
                <w:rFonts w:cs="Arial"/>
              </w:rPr>
              <w:t>Нарушения на възпроизводителната система и гърдата</w:t>
            </w:r>
          </w:p>
        </w:tc>
        <w:tc>
          <w:tcPr>
            <w:tcW w:w="3192" w:type="dxa"/>
          </w:tcPr>
          <w:p w14:paraId="07EBCEFA" w14:textId="64912E07" w:rsidR="00DE57B6" w:rsidRPr="00DE57B6" w:rsidRDefault="00DE57B6" w:rsidP="00DE57B6">
            <w:pPr>
              <w:rPr>
                <w:rFonts w:cs="Arial"/>
              </w:rPr>
            </w:pPr>
            <w:r w:rsidRPr="00DE57B6">
              <w:rPr>
                <w:rFonts w:cs="Arial"/>
              </w:rPr>
              <w:t>Чести</w:t>
            </w:r>
          </w:p>
        </w:tc>
        <w:tc>
          <w:tcPr>
            <w:tcW w:w="3192" w:type="dxa"/>
          </w:tcPr>
          <w:p w14:paraId="7C70029E" w14:textId="309FA72C" w:rsidR="00DE57B6" w:rsidRPr="00DE57B6" w:rsidRDefault="00DE57B6" w:rsidP="00DE57B6">
            <w:pPr>
              <w:rPr>
                <w:rFonts w:cs="Arial"/>
              </w:rPr>
            </w:pPr>
            <w:r w:rsidRPr="00DE57B6">
              <w:rPr>
                <w:rFonts w:cs="Arial"/>
              </w:rPr>
              <w:t>Еректилна дисфункция, менструални нарушения (включително аменорея и менорагия)</w:t>
            </w:r>
          </w:p>
        </w:tc>
      </w:tr>
      <w:tr w:rsidR="00DE57B6" w14:paraId="06E0DF90" w14:textId="77777777" w:rsidTr="00DD3595">
        <w:tc>
          <w:tcPr>
            <w:tcW w:w="3192" w:type="dxa"/>
            <w:vMerge/>
          </w:tcPr>
          <w:p w14:paraId="4937B73B" w14:textId="77777777" w:rsidR="00DE57B6" w:rsidRPr="00DE57B6" w:rsidRDefault="00DE57B6" w:rsidP="00DE57B6">
            <w:pPr>
              <w:rPr>
                <w:rFonts w:cs="Arial"/>
              </w:rPr>
            </w:pPr>
          </w:p>
        </w:tc>
        <w:tc>
          <w:tcPr>
            <w:tcW w:w="3192" w:type="dxa"/>
            <w:vAlign w:val="bottom"/>
          </w:tcPr>
          <w:p w14:paraId="797D3350" w14:textId="77DD1AA6" w:rsidR="00DE57B6" w:rsidRPr="00DE57B6" w:rsidRDefault="00DE57B6" w:rsidP="00DE57B6">
            <w:pPr>
              <w:rPr>
                <w:rFonts w:cs="Arial"/>
              </w:rPr>
            </w:pPr>
            <w:r w:rsidRPr="00DE57B6">
              <w:rPr>
                <w:rFonts w:cs="Arial"/>
              </w:rPr>
              <w:t>Нечести</w:t>
            </w:r>
          </w:p>
        </w:tc>
        <w:tc>
          <w:tcPr>
            <w:tcW w:w="3192" w:type="dxa"/>
            <w:vAlign w:val="bottom"/>
          </w:tcPr>
          <w:p w14:paraId="53267EF2" w14:textId="78544012" w:rsidR="00DE57B6" w:rsidRPr="00DE57B6" w:rsidRDefault="00DE57B6" w:rsidP="00DE57B6">
            <w:pPr>
              <w:rPr>
                <w:rFonts w:cs="Arial"/>
              </w:rPr>
            </w:pPr>
            <w:r w:rsidRPr="00DE57B6">
              <w:rPr>
                <w:rFonts w:cs="Arial"/>
              </w:rPr>
              <w:t>Киста на яйчника</w:t>
            </w:r>
          </w:p>
        </w:tc>
      </w:tr>
      <w:tr w:rsidR="00DE57B6" w14:paraId="3704A979" w14:textId="77777777" w:rsidTr="00DE57B6">
        <w:trPr>
          <w:trHeight w:val="333"/>
        </w:trPr>
        <w:tc>
          <w:tcPr>
            <w:tcW w:w="3192" w:type="dxa"/>
            <w:vMerge w:val="restart"/>
          </w:tcPr>
          <w:p w14:paraId="7BED3C06" w14:textId="532AF6C9" w:rsidR="00DE57B6" w:rsidRPr="00DE57B6" w:rsidRDefault="00DE57B6" w:rsidP="00DE57B6">
            <w:pPr>
              <w:rPr>
                <w:rFonts w:cs="Arial"/>
              </w:rPr>
            </w:pPr>
            <w:r w:rsidRPr="00DE57B6">
              <w:rPr>
                <w:rFonts w:cs="Arial"/>
              </w:rPr>
              <w:t>Общи нарушения и ефекти на мястото на приложение</w:t>
            </w:r>
          </w:p>
        </w:tc>
        <w:tc>
          <w:tcPr>
            <w:tcW w:w="3192" w:type="dxa"/>
            <w:vAlign w:val="bottom"/>
          </w:tcPr>
          <w:p w14:paraId="5724B288" w14:textId="5BB245EF" w:rsidR="00DE57B6" w:rsidRPr="00DE57B6" w:rsidRDefault="00DE57B6" w:rsidP="00DE57B6">
            <w:pPr>
              <w:rPr>
                <w:rFonts w:cs="Arial"/>
              </w:rPr>
            </w:pPr>
            <w:r w:rsidRPr="00DE57B6">
              <w:rPr>
                <w:rFonts w:cs="Arial"/>
              </w:rPr>
              <w:t>Много чести</w:t>
            </w:r>
          </w:p>
        </w:tc>
        <w:tc>
          <w:tcPr>
            <w:tcW w:w="3192" w:type="dxa"/>
            <w:vAlign w:val="bottom"/>
          </w:tcPr>
          <w:p w14:paraId="35E1EB17" w14:textId="5FEDFD4E" w:rsidR="00DE57B6" w:rsidRPr="00DE57B6" w:rsidRDefault="00DE57B6" w:rsidP="00DE57B6">
            <w:pPr>
              <w:rPr>
                <w:rFonts w:cs="Arial"/>
              </w:rPr>
            </w:pPr>
            <w:r w:rsidRPr="00DE57B6">
              <w:rPr>
                <w:rFonts w:cs="Arial"/>
              </w:rPr>
              <w:t>Периферни отоци, болка, забавено заздравяване, треска</w:t>
            </w:r>
          </w:p>
        </w:tc>
      </w:tr>
      <w:tr w:rsidR="00DE57B6" w14:paraId="55FBC363" w14:textId="77777777" w:rsidTr="00DD3595">
        <w:trPr>
          <w:trHeight w:val="333"/>
        </w:trPr>
        <w:tc>
          <w:tcPr>
            <w:tcW w:w="3192" w:type="dxa"/>
            <w:vMerge/>
          </w:tcPr>
          <w:p w14:paraId="2C6968F2" w14:textId="77777777" w:rsidR="00DE57B6" w:rsidRPr="00DE57B6" w:rsidRDefault="00DE57B6" w:rsidP="00DE57B6">
            <w:pPr>
              <w:rPr>
                <w:rFonts w:cs="Arial"/>
              </w:rPr>
            </w:pPr>
          </w:p>
        </w:tc>
        <w:tc>
          <w:tcPr>
            <w:tcW w:w="3192" w:type="dxa"/>
            <w:vAlign w:val="bottom"/>
          </w:tcPr>
          <w:p w14:paraId="62EBDB7C" w14:textId="55D2C562" w:rsidR="00DE57B6" w:rsidRPr="00DE57B6" w:rsidRDefault="00DE57B6" w:rsidP="00DE57B6">
            <w:pPr>
              <w:rPr>
                <w:rFonts w:cs="Arial"/>
              </w:rPr>
            </w:pPr>
            <w:r w:rsidRPr="00DE57B6">
              <w:rPr>
                <w:rFonts w:cs="Arial"/>
              </w:rPr>
              <w:t>Чести</w:t>
            </w:r>
          </w:p>
        </w:tc>
        <w:tc>
          <w:tcPr>
            <w:tcW w:w="3192" w:type="dxa"/>
            <w:vAlign w:val="bottom"/>
          </w:tcPr>
          <w:p w14:paraId="0D502082" w14:textId="481B8070" w:rsidR="00DE57B6" w:rsidRPr="00DE57B6" w:rsidRDefault="00DE57B6" w:rsidP="00DE57B6">
            <w:pPr>
              <w:rPr>
                <w:rFonts w:cs="Arial"/>
              </w:rPr>
            </w:pPr>
            <w:r w:rsidRPr="00DE57B6">
              <w:rPr>
                <w:rFonts w:cs="Arial"/>
              </w:rPr>
              <w:t>Инцизионна херния</w:t>
            </w:r>
          </w:p>
        </w:tc>
      </w:tr>
      <w:tr w:rsidR="00DE57B6" w14:paraId="02D1D709" w14:textId="77777777" w:rsidTr="00DD3595">
        <w:tc>
          <w:tcPr>
            <w:tcW w:w="3192" w:type="dxa"/>
          </w:tcPr>
          <w:p w14:paraId="48E651CF" w14:textId="6DBC0B17" w:rsidR="00DE57B6" w:rsidRPr="00DE57B6" w:rsidRDefault="00DE57B6" w:rsidP="00DE57B6">
            <w:pPr>
              <w:rPr>
                <w:rFonts w:cs="Arial"/>
              </w:rPr>
            </w:pPr>
            <w:r w:rsidRPr="00DE57B6">
              <w:rPr>
                <w:rFonts w:cs="Arial"/>
              </w:rPr>
              <w:t>Изследвания</w:t>
            </w:r>
          </w:p>
        </w:tc>
        <w:tc>
          <w:tcPr>
            <w:tcW w:w="3192" w:type="dxa"/>
          </w:tcPr>
          <w:p w14:paraId="46DD5DA5" w14:textId="620251F0" w:rsidR="00DE57B6" w:rsidRPr="00DE57B6" w:rsidRDefault="00DE57B6" w:rsidP="00DE57B6">
            <w:pPr>
              <w:rPr>
                <w:rFonts w:cs="Arial"/>
              </w:rPr>
            </w:pPr>
            <w:r w:rsidRPr="00DE57B6">
              <w:rPr>
                <w:rFonts w:cs="Arial"/>
              </w:rPr>
              <w:t>Чести</w:t>
            </w:r>
          </w:p>
        </w:tc>
        <w:tc>
          <w:tcPr>
            <w:tcW w:w="3192" w:type="dxa"/>
            <w:vAlign w:val="bottom"/>
          </w:tcPr>
          <w:p w14:paraId="355E6EEA" w14:textId="0E0E4346" w:rsidR="00DE57B6" w:rsidRPr="00DE57B6" w:rsidRDefault="00DE57B6" w:rsidP="00DE57B6">
            <w:pPr>
              <w:rPr>
                <w:rFonts w:cs="Arial"/>
              </w:rPr>
            </w:pPr>
            <w:r w:rsidRPr="00DE57B6">
              <w:rPr>
                <w:rFonts w:cs="Arial"/>
              </w:rPr>
              <w:t>Необичайни стойности на чернодробните ензими</w:t>
            </w:r>
            <w:r w:rsidRPr="00DE57B6">
              <w:rPr>
                <w:rFonts w:cs="Arial"/>
                <w:vertAlign w:val="superscript"/>
              </w:rPr>
              <w:t>8</w:t>
            </w:r>
          </w:p>
        </w:tc>
      </w:tr>
    </w:tbl>
    <w:p w14:paraId="55AD13D6" w14:textId="62596062"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val="ru-RU" w:eastAsia="bg-BG"/>
        </w:rPr>
        <w:t>1</w:t>
      </w:r>
      <w:r w:rsidRPr="00DE57B6">
        <w:rPr>
          <w:rFonts w:eastAsia="Times New Roman" w:cs="Arial"/>
          <w:color w:val="000000"/>
          <w:szCs w:val="20"/>
          <w:lang w:eastAsia="bg-BG"/>
        </w:rPr>
        <w:t>Често при бъбречна и чернодробна трансплантация</w:t>
      </w:r>
    </w:p>
    <w:p w14:paraId="6BDEDE1E" w14:textId="19D377AE"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val="ru-RU" w:eastAsia="bg-BG"/>
        </w:rPr>
        <w:t>2</w:t>
      </w:r>
      <w:r w:rsidRPr="00DE57B6">
        <w:rPr>
          <w:rFonts w:eastAsia="Times New Roman" w:cs="Arial"/>
          <w:color w:val="000000"/>
          <w:szCs w:val="20"/>
          <w:lang w:eastAsia="bg-BG"/>
        </w:rPr>
        <w:t>Често при сърдечна и чернодробна трансплантация</w:t>
      </w:r>
    </w:p>
    <w:p w14:paraId="5FFC1BE2"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З</w:t>
      </w:r>
      <w:r w:rsidRPr="00DE57B6">
        <w:rPr>
          <w:rFonts w:eastAsia="Times New Roman" w:cs="Arial"/>
          <w:color w:val="000000"/>
          <w:szCs w:val="20"/>
          <w:lang w:eastAsia="bg-BG"/>
        </w:rPr>
        <w:t>при сърдечна трансплантация</w:t>
      </w:r>
    </w:p>
    <w:p w14:paraId="65C69806"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4</w:t>
      </w:r>
      <w:r w:rsidRPr="00DE57B6">
        <w:rPr>
          <w:rFonts w:eastAsia="Times New Roman" w:cs="Arial"/>
          <w:color w:val="000000"/>
          <w:szCs w:val="20"/>
          <w:lang w:eastAsia="bg-BG"/>
        </w:rPr>
        <w:t>при сърдечна и бъбречна трансплантация</w:t>
      </w:r>
    </w:p>
    <w:p w14:paraId="0EC2FFBD"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val="ru-RU"/>
        </w:rPr>
        <w:t>5</w:t>
      </w:r>
      <w:r w:rsidRPr="00DE57B6">
        <w:rPr>
          <w:rFonts w:eastAsia="Times New Roman" w:cs="Arial"/>
          <w:color w:val="000000"/>
          <w:szCs w:val="20"/>
          <w:lang w:val="en-US"/>
        </w:rPr>
        <w:t>SMQ</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базирано търсене за </w:t>
      </w:r>
      <w:r w:rsidRPr="00DE57B6">
        <w:rPr>
          <w:rFonts w:eastAsia="Times New Roman" w:cs="Arial"/>
          <w:color w:val="000000"/>
          <w:szCs w:val="20"/>
          <w:lang w:val="en-US"/>
        </w:rPr>
        <w:t>ILD</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показва честотата на </w:t>
      </w:r>
      <w:r w:rsidRPr="00DE57B6">
        <w:rPr>
          <w:rFonts w:eastAsia="Times New Roman" w:cs="Arial"/>
          <w:color w:val="000000"/>
          <w:szCs w:val="20"/>
          <w:lang w:val="en-US"/>
        </w:rPr>
        <w:t>ILD</w:t>
      </w:r>
      <w:r w:rsidRPr="00DE57B6">
        <w:rPr>
          <w:rFonts w:eastAsia="Times New Roman" w:cs="Arial"/>
          <w:color w:val="000000"/>
          <w:szCs w:val="20"/>
          <w:lang w:val="ru-RU"/>
        </w:rPr>
        <w:t xml:space="preserve"> </w:t>
      </w:r>
      <w:r w:rsidRPr="00DE57B6">
        <w:rPr>
          <w:rFonts w:eastAsia="Times New Roman" w:cs="Arial"/>
          <w:color w:val="000000"/>
          <w:szCs w:val="20"/>
          <w:lang w:eastAsia="bg-BG"/>
        </w:rPr>
        <w:t>в клиничните изпитвания. Това разширено търсене включва също случаи причинени от свързани събития, например от инфекции. Представената тук честотата се получава от медицински преглед на известните случаи</w:t>
      </w:r>
    </w:p>
    <w:p w14:paraId="69D9BC2A"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б</w:t>
      </w:r>
      <w:r w:rsidRPr="00DE57B6">
        <w:rPr>
          <w:rFonts w:eastAsia="Times New Roman" w:cs="Arial"/>
          <w:color w:val="000000"/>
          <w:szCs w:val="20"/>
          <w:lang w:eastAsia="bg-BG"/>
        </w:rPr>
        <w:t>предимно при пациенти, получаващи едновременно АСЕ-инхибитори</w:t>
      </w:r>
    </w:p>
    <w:p w14:paraId="61149489"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7</w:t>
      </w:r>
      <w:r w:rsidRPr="00DE57B6">
        <w:rPr>
          <w:rFonts w:eastAsia="Times New Roman" w:cs="Arial"/>
          <w:color w:val="000000"/>
          <w:szCs w:val="20"/>
          <w:lang w:eastAsia="bg-BG"/>
        </w:rPr>
        <w:t>при бъбречна трансплантация</w:t>
      </w:r>
    </w:p>
    <w:p w14:paraId="6D934095"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8</w:t>
      </w:r>
      <w:r w:rsidRPr="00DE57B6">
        <w:rPr>
          <w:rFonts w:eastAsia="Times New Roman" w:cs="Arial"/>
          <w:color w:val="000000"/>
          <w:szCs w:val="20"/>
          <w:lang w:eastAsia="bg-BG"/>
        </w:rPr>
        <w:t xml:space="preserve"> повишени γ</w:t>
      </w:r>
      <w:r w:rsidRPr="00DE57B6">
        <w:rPr>
          <w:rFonts w:eastAsia="Times New Roman" w:cs="Arial"/>
          <w:color w:val="000000"/>
          <w:szCs w:val="20"/>
          <w:lang w:val="ru-RU"/>
        </w:rPr>
        <w:t>-</w:t>
      </w:r>
      <w:r w:rsidRPr="00DE57B6">
        <w:rPr>
          <w:rFonts w:eastAsia="Times New Roman" w:cs="Arial"/>
          <w:color w:val="000000"/>
          <w:szCs w:val="20"/>
          <w:lang w:val="en-US"/>
        </w:rPr>
        <w:t>GT</w:t>
      </w:r>
      <w:r w:rsidRPr="00DE57B6">
        <w:rPr>
          <w:rFonts w:eastAsia="Times New Roman" w:cs="Arial"/>
          <w:color w:val="000000"/>
          <w:szCs w:val="20"/>
          <w:lang w:val="ru-RU"/>
        </w:rPr>
        <w:t xml:space="preserve">, </w:t>
      </w:r>
      <w:r w:rsidRPr="00DE57B6">
        <w:rPr>
          <w:rFonts w:eastAsia="Times New Roman" w:cs="Arial"/>
          <w:color w:val="000000"/>
          <w:szCs w:val="20"/>
          <w:lang w:val="en-US"/>
        </w:rPr>
        <w:t>AST</w:t>
      </w:r>
      <w:r w:rsidRPr="00DE57B6">
        <w:rPr>
          <w:rFonts w:eastAsia="Times New Roman" w:cs="Arial"/>
          <w:color w:val="000000"/>
          <w:szCs w:val="20"/>
          <w:lang w:val="ru-RU"/>
        </w:rPr>
        <w:t xml:space="preserve">, </w:t>
      </w:r>
      <w:r w:rsidRPr="00DE57B6">
        <w:rPr>
          <w:rFonts w:eastAsia="Times New Roman" w:cs="Arial"/>
          <w:color w:val="000000"/>
          <w:szCs w:val="20"/>
          <w:lang w:val="en-US"/>
        </w:rPr>
        <w:t>ALT</w:t>
      </w:r>
    </w:p>
    <w:p w14:paraId="6A3C5AD2" w14:textId="77777777" w:rsidR="00DE57B6" w:rsidRPr="00DE57B6" w:rsidRDefault="00DE57B6" w:rsidP="00DE57B6">
      <w:pPr>
        <w:spacing w:line="240" w:lineRule="auto"/>
        <w:rPr>
          <w:rFonts w:eastAsia="Times New Roman" w:cs="Arial"/>
          <w:color w:val="000000"/>
          <w:szCs w:val="20"/>
          <w:u w:val="single"/>
          <w:lang w:eastAsia="bg-BG"/>
        </w:rPr>
      </w:pPr>
    </w:p>
    <w:p w14:paraId="452174C9" w14:textId="60A30D26"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в) Описание на избрани нежелани реакции</w:t>
      </w:r>
    </w:p>
    <w:p w14:paraId="47986A98" w14:textId="28751956" w:rsidR="00DE57B6" w:rsidRPr="00DE57B6" w:rsidRDefault="00DE57B6" w:rsidP="00DE57B6">
      <w:pPr>
        <w:rPr>
          <w:rFonts w:eastAsia="Times New Roman" w:cs="Arial"/>
          <w:color w:val="000000"/>
          <w:szCs w:val="20"/>
          <w:lang w:eastAsia="bg-BG"/>
        </w:rPr>
      </w:pPr>
      <w:r w:rsidRPr="00DE57B6">
        <w:rPr>
          <w:rFonts w:eastAsia="Times New Roman" w:cs="Arial"/>
          <w:color w:val="000000"/>
          <w:szCs w:val="20"/>
          <w:lang w:eastAsia="bg-BG"/>
        </w:rPr>
        <w:t xml:space="preserve">Предклиничните токсикологични изпитвания показват, че еверолимус може да намали сперматогенезата, поради което мъжкият стерилитет трябва да се има предвид като потенциален риск при продължително лечение със Сертикан. Има литературни съобщения за обратима азооспермия и олигоспермия при пациенти, лекувани с </w:t>
      </w:r>
      <w:r w:rsidRPr="00DE57B6">
        <w:rPr>
          <w:rFonts w:eastAsia="Times New Roman" w:cs="Arial"/>
          <w:color w:val="000000"/>
          <w:szCs w:val="20"/>
          <w:lang w:val="en-US"/>
        </w:rPr>
        <w:t>mTOR</w:t>
      </w:r>
      <w:r w:rsidRPr="00DE57B6">
        <w:rPr>
          <w:rFonts w:eastAsia="Times New Roman" w:cs="Arial"/>
          <w:color w:val="000000"/>
          <w:szCs w:val="20"/>
          <w:lang w:val="ru-RU"/>
        </w:rPr>
        <w:t xml:space="preserve"> </w:t>
      </w:r>
      <w:r w:rsidRPr="00DE57B6">
        <w:rPr>
          <w:rFonts w:eastAsia="Times New Roman" w:cs="Arial"/>
          <w:color w:val="000000"/>
          <w:szCs w:val="20"/>
          <w:lang w:eastAsia="bg-BG"/>
        </w:rPr>
        <w:t>инхибитори.</w:t>
      </w:r>
    </w:p>
    <w:p w14:paraId="2F59B310" w14:textId="1F3736D8" w:rsidR="00DE57B6" w:rsidRPr="00DE57B6" w:rsidRDefault="00DE57B6" w:rsidP="00DE57B6">
      <w:pPr>
        <w:rPr>
          <w:rFonts w:eastAsia="Times New Roman" w:cs="Arial"/>
          <w:color w:val="000000"/>
          <w:szCs w:val="20"/>
          <w:lang w:eastAsia="bg-BG"/>
        </w:rPr>
      </w:pPr>
    </w:p>
    <w:p w14:paraId="1968A7D0"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В контролирани клинични изпитвания, при които общо 3 256 пациенти, приемащи Сертикан в комбинация с други имуносупресори са били проследявани в продължение на поне 1 година, общо 3,1% развиват злокачествени заболявания, като 1,0% развиват кожни злокачествени заболявания, а 0,60% развиват лимфом или лимфопролиферативни нарушения.</w:t>
      </w:r>
    </w:p>
    <w:p w14:paraId="2ECCFBE2" w14:textId="77777777" w:rsidR="00DE57B6" w:rsidRPr="00DE57B6" w:rsidRDefault="00DE57B6" w:rsidP="00DE57B6">
      <w:pPr>
        <w:spacing w:line="240" w:lineRule="auto"/>
        <w:rPr>
          <w:rFonts w:eastAsia="Times New Roman" w:cs="Arial"/>
          <w:color w:val="000000"/>
          <w:szCs w:val="20"/>
          <w:lang w:eastAsia="bg-BG"/>
        </w:rPr>
      </w:pPr>
    </w:p>
    <w:p w14:paraId="5EFAA131" w14:textId="26448C74"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Случаи на интерстициално белодробно заболяване, включващи интрапаренхимно белодробно възпаление (пневмонит) и/или фиброза с неинфекциозна етиология, някои от които с фатален изход, настъпват при пациенти, които получават рапамицин и производни, включително Сертикан. Като цяло, състоянието отшумява след преустановяване на лечението със Сертикан и/или при добавяне на глюкокортикоиди. Въпреки това са докладвани и фатални случаи.</w:t>
      </w:r>
    </w:p>
    <w:p w14:paraId="41B092F3" w14:textId="77777777" w:rsidR="00DE57B6" w:rsidRPr="00DE57B6" w:rsidRDefault="00DE57B6" w:rsidP="00DE57B6">
      <w:pPr>
        <w:spacing w:line="240" w:lineRule="auto"/>
        <w:rPr>
          <w:rFonts w:eastAsia="Times New Roman" w:cs="Arial"/>
          <w:color w:val="000000"/>
          <w:szCs w:val="20"/>
          <w:u w:val="single"/>
          <w:lang w:eastAsia="bg-BG"/>
        </w:rPr>
      </w:pPr>
    </w:p>
    <w:p w14:paraId="5006AB58" w14:textId="08E7DA5B"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 xml:space="preserve">г) Нежелани лекарствени реакции от спонтанни съобщения в следрегистрационния период </w:t>
      </w:r>
      <w:r w:rsidRPr="00DE57B6">
        <w:rPr>
          <w:rFonts w:eastAsia="Times New Roman" w:cs="Arial"/>
          <w:color w:val="000000"/>
          <w:szCs w:val="20"/>
          <w:lang w:eastAsia="bg-BG"/>
        </w:rPr>
        <w:t xml:space="preserve">Следните нежелани лекарствени реакции са получени от </w:t>
      </w:r>
      <w:r w:rsidRPr="00DE57B6">
        <w:rPr>
          <w:rFonts w:eastAsia="Times New Roman" w:cs="Arial"/>
          <w:color w:val="000000"/>
          <w:szCs w:val="20"/>
          <w:u w:val="single"/>
          <w:lang w:eastAsia="bg-BG"/>
        </w:rPr>
        <w:t>следрегистрационния</w:t>
      </w:r>
      <w:r w:rsidRPr="00DE57B6">
        <w:rPr>
          <w:rFonts w:eastAsia="Times New Roman" w:cs="Arial"/>
          <w:color w:val="000000"/>
          <w:szCs w:val="20"/>
          <w:lang w:eastAsia="bg-BG"/>
        </w:rPr>
        <w:t xml:space="preserve"> със Сертикан чрез спонтанни съобщения и литературни случаи. Тъй като тези реакции са съобщавани доброволно от популация с неопределена големина, не е възможно да се направи надеждна оценка на тяхната честота, в резултат на което са категоризирани като „с неизвестна честота“. Нежеланите лекарствени реакции са изброени по системо-органни класове съгласно </w:t>
      </w:r>
      <w:r w:rsidRPr="00DE57B6">
        <w:rPr>
          <w:rFonts w:eastAsia="Times New Roman" w:cs="Arial"/>
          <w:color w:val="000000"/>
          <w:szCs w:val="20"/>
          <w:lang w:val="en-US"/>
        </w:rPr>
        <w:t>MedDRA</w:t>
      </w:r>
      <w:r w:rsidRPr="00DE57B6">
        <w:rPr>
          <w:rFonts w:eastAsia="Times New Roman" w:cs="Arial"/>
          <w:color w:val="000000"/>
          <w:szCs w:val="20"/>
          <w:lang w:val="ru-RU"/>
        </w:rPr>
        <w:t xml:space="preserve">. </w:t>
      </w:r>
      <w:r w:rsidRPr="00DE57B6">
        <w:rPr>
          <w:rFonts w:eastAsia="Times New Roman" w:cs="Arial"/>
          <w:color w:val="000000"/>
          <w:szCs w:val="20"/>
          <w:lang w:eastAsia="bg-BG"/>
        </w:rPr>
        <w:t>В рамките на всеки системо-органен клас, нежеланите лекарствени реакции се изброяват в низходящ ред по отношение на тежестта им.</w:t>
      </w:r>
    </w:p>
    <w:p w14:paraId="29AF643E" w14:textId="77777777" w:rsidR="00DE57B6" w:rsidRPr="00DE57B6" w:rsidRDefault="00DE57B6" w:rsidP="00DE57B6">
      <w:pPr>
        <w:spacing w:line="240" w:lineRule="auto"/>
        <w:rPr>
          <w:rFonts w:eastAsia="Times New Roman" w:cs="Arial"/>
          <w:b/>
          <w:bCs/>
          <w:color w:val="000000"/>
          <w:szCs w:val="20"/>
          <w:lang w:eastAsia="bg-BG"/>
        </w:rPr>
      </w:pPr>
    </w:p>
    <w:p w14:paraId="2AE820F1" w14:textId="2E024F77" w:rsidR="00DE57B6" w:rsidRPr="00DE57B6" w:rsidRDefault="00DE57B6" w:rsidP="00DE57B6">
      <w:pPr>
        <w:spacing w:line="240" w:lineRule="auto"/>
        <w:rPr>
          <w:rFonts w:eastAsia="Times New Roman" w:cs="Arial"/>
          <w:sz w:val="28"/>
          <w:szCs w:val="24"/>
        </w:rPr>
      </w:pPr>
      <w:r w:rsidRPr="00DE57B6">
        <w:rPr>
          <w:rFonts w:eastAsia="Times New Roman" w:cs="Arial"/>
          <w:b/>
          <w:bCs/>
          <w:color w:val="000000"/>
          <w:szCs w:val="20"/>
          <w:lang w:eastAsia="bg-BG"/>
        </w:rPr>
        <w:t>Таблица 5 Нежелани лекарствени реакции от спонтанни доклади и литературни случаи (с неизвестна честота)</w:t>
      </w:r>
    </w:p>
    <w:tbl>
      <w:tblPr>
        <w:tblStyle w:val="TableGrid"/>
        <w:tblW w:w="0" w:type="auto"/>
        <w:tblLook w:val="04A0" w:firstRow="1" w:lastRow="0" w:firstColumn="1" w:lastColumn="0" w:noHBand="0" w:noVBand="1"/>
      </w:tblPr>
      <w:tblGrid>
        <w:gridCol w:w="3115"/>
        <w:gridCol w:w="3091"/>
        <w:gridCol w:w="3144"/>
      </w:tblGrid>
      <w:tr w:rsidR="00DE57B6" w14:paraId="3C046F1B" w14:textId="77777777" w:rsidTr="00DE57B6">
        <w:tc>
          <w:tcPr>
            <w:tcW w:w="3192" w:type="dxa"/>
          </w:tcPr>
          <w:p w14:paraId="3F87E6CB" w14:textId="2C893A73" w:rsidR="00DE57B6" w:rsidRPr="00DE57B6" w:rsidRDefault="00DE57B6" w:rsidP="00DE57B6">
            <w:r w:rsidRPr="00DE57B6">
              <w:rPr>
                <w:b/>
                <w:bCs/>
                <w:szCs w:val="20"/>
              </w:rPr>
              <w:t>Системо-органен клас</w:t>
            </w:r>
          </w:p>
        </w:tc>
        <w:tc>
          <w:tcPr>
            <w:tcW w:w="3192" w:type="dxa"/>
          </w:tcPr>
          <w:p w14:paraId="5BADDD8D" w14:textId="27940F57" w:rsidR="00DE57B6" w:rsidRPr="00DE57B6" w:rsidRDefault="00DE57B6" w:rsidP="00DE57B6">
            <w:r w:rsidRPr="00DE57B6">
              <w:rPr>
                <w:b/>
                <w:bCs/>
                <w:szCs w:val="20"/>
              </w:rPr>
              <w:t>Честота</w:t>
            </w:r>
          </w:p>
        </w:tc>
        <w:tc>
          <w:tcPr>
            <w:tcW w:w="3192" w:type="dxa"/>
          </w:tcPr>
          <w:p w14:paraId="381941F7" w14:textId="761D53F8" w:rsidR="00DE57B6" w:rsidRPr="00DE57B6" w:rsidRDefault="00DE57B6" w:rsidP="00DE57B6">
            <w:r w:rsidRPr="00DE57B6">
              <w:rPr>
                <w:b/>
                <w:bCs/>
                <w:szCs w:val="20"/>
              </w:rPr>
              <w:t>Нежелана реакция</w:t>
            </w:r>
          </w:p>
        </w:tc>
      </w:tr>
      <w:tr w:rsidR="00DE57B6" w14:paraId="426C6670" w14:textId="77777777" w:rsidTr="00DE57B6">
        <w:tc>
          <w:tcPr>
            <w:tcW w:w="3192" w:type="dxa"/>
          </w:tcPr>
          <w:p w14:paraId="11273880" w14:textId="5E2B495A" w:rsidR="00DE57B6" w:rsidRPr="00DE57B6" w:rsidRDefault="00DE57B6" w:rsidP="00DE57B6">
            <w:r w:rsidRPr="00DE57B6">
              <w:rPr>
                <w:szCs w:val="20"/>
              </w:rPr>
              <w:lastRenderedPageBreak/>
              <w:t>Нарушения на метаболизма и храненето</w:t>
            </w:r>
          </w:p>
        </w:tc>
        <w:tc>
          <w:tcPr>
            <w:tcW w:w="3192" w:type="dxa"/>
          </w:tcPr>
          <w:p w14:paraId="28AF4A3D" w14:textId="3DA9F011" w:rsidR="00DE57B6" w:rsidRPr="00DE57B6" w:rsidRDefault="00DE57B6" w:rsidP="00DE57B6">
            <w:r w:rsidRPr="00DE57B6">
              <w:rPr>
                <w:szCs w:val="20"/>
              </w:rPr>
              <w:t>С неизвестна честота</w:t>
            </w:r>
          </w:p>
        </w:tc>
        <w:tc>
          <w:tcPr>
            <w:tcW w:w="3192" w:type="dxa"/>
          </w:tcPr>
          <w:p w14:paraId="67BFC16D" w14:textId="3B6B8502" w:rsidR="00DE57B6" w:rsidRPr="00DE57B6" w:rsidRDefault="00DE57B6" w:rsidP="00DE57B6">
            <w:r w:rsidRPr="00DE57B6">
              <w:rPr>
                <w:szCs w:val="20"/>
              </w:rPr>
              <w:t>Железен дефицит</w:t>
            </w:r>
          </w:p>
        </w:tc>
      </w:tr>
      <w:tr w:rsidR="00DE57B6" w14:paraId="2F83B32E" w14:textId="77777777" w:rsidTr="00DE57B6">
        <w:tc>
          <w:tcPr>
            <w:tcW w:w="3192" w:type="dxa"/>
          </w:tcPr>
          <w:p w14:paraId="53A2A97B" w14:textId="26DA667C" w:rsidR="00DE57B6" w:rsidRPr="00DE57B6" w:rsidRDefault="00DE57B6" w:rsidP="00DE57B6">
            <w:r w:rsidRPr="00DE57B6">
              <w:rPr>
                <w:szCs w:val="20"/>
              </w:rPr>
              <w:t>Съдови нарушения</w:t>
            </w:r>
          </w:p>
        </w:tc>
        <w:tc>
          <w:tcPr>
            <w:tcW w:w="3192" w:type="dxa"/>
          </w:tcPr>
          <w:p w14:paraId="224CC8E0" w14:textId="239A64D6" w:rsidR="00DE57B6" w:rsidRPr="00DE57B6" w:rsidRDefault="00DE57B6" w:rsidP="00DE57B6">
            <w:r w:rsidRPr="00DE57B6">
              <w:rPr>
                <w:szCs w:val="20"/>
              </w:rPr>
              <w:t>С неизвестна честота</w:t>
            </w:r>
          </w:p>
        </w:tc>
        <w:tc>
          <w:tcPr>
            <w:tcW w:w="3192" w:type="dxa"/>
          </w:tcPr>
          <w:p w14:paraId="76C2F025" w14:textId="751B2BA6" w:rsidR="00DE57B6" w:rsidRPr="00DE57B6" w:rsidRDefault="00DE57B6" w:rsidP="00DE57B6">
            <w:r w:rsidRPr="00DE57B6">
              <w:rPr>
                <w:szCs w:val="20"/>
              </w:rPr>
              <w:t>Левкоцитокластичен васкулит, лимфедем</w:t>
            </w:r>
          </w:p>
        </w:tc>
      </w:tr>
      <w:tr w:rsidR="00DE57B6" w14:paraId="44197330" w14:textId="77777777" w:rsidTr="00DE57B6">
        <w:tc>
          <w:tcPr>
            <w:tcW w:w="3192" w:type="dxa"/>
          </w:tcPr>
          <w:p w14:paraId="6A7DA960" w14:textId="2E666B34" w:rsidR="00DE57B6" w:rsidRPr="00DE57B6" w:rsidRDefault="00DE57B6" w:rsidP="00DE57B6">
            <w:r w:rsidRPr="00DE57B6">
              <w:rPr>
                <w:szCs w:val="20"/>
              </w:rPr>
              <w:t>Респираторни, гръдни и медиастенални нарушения</w:t>
            </w:r>
          </w:p>
        </w:tc>
        <w:tc>
          <w:tcPr>
            <w:tcW w:w="3192" w:type="dxa"/>
          </w:tcPr>
          <w:p w14:paraId="71D7B485" w14:textId="2A2B72F3" w:rsidR="00DE57B6" w:rsidRPr="00DE57B6" w:rsidRDefault="00DE57B6" w:rsidP="00DE57B6">
            <w:r w:rsidRPr="00DE57B6">
              <w:rPr>
                <w:szCs w:val="20"/>
              </w:rPr>
              <w:t>С неизвестна честота</w:t>
            </w:r>
          </w:p>
        </w:tc>
        <w:tc>
          <w:tcPr>
            <w:tcW w:w="3192" w:type="dxa"/>
          </w:tcPr>
          <w:p w14:paraId="7B353AB0" w14:textId="5FE58B93" w:rsidR="00DE57B6" w:rsidRPr="00DE57B6" w:rsidRDefault="00DE57B6" w:rsidP="00DE57B6">
            <w:r w:rsidRPr="00DE57B6">
              <w:rPr>
                <w:szCs w:val="20"/>
              </w:rPr>
              <w:t>Пулмонална алвеоларна протеиноза</w:t>
            </w:r>
          </w:p>
        </w:tc>
      </w:tr>
      <w:tr w:rsidR="00DE57B6" w14:paraId="0C9F1189" w14:textId="77777777" w:rsidTr="00DE57B6">
        <w:tc>
          <w:tcPr>
            <w:tcW w:w="3192" w:type="dxa"/>
          </w:tcPr>
          <w:p w14:paraId="1F64DF04" w14:textId="04286232" w:rsidR="00DE57B6" w:rsidRPr="00DE57B6" w:rsidRDefault="00DE57B6" w:rsidP="00DE57B6">
            <w:r w:rsidRPr="00DE57B6">
              <w:rPr>
                <w:szCs w:val="20"/>
              </w:rPr>
              <w:t>Нарушения на кожата и подкожната тъкан</w:t>
            </w:r>
          </w:p>
        </w:tc>
        <w:tc>
          <w:tcPr>
            <w:tcW w:w="3192" w:type="dxa"/>
          </w:tcPr>
          <w:p w14:paraId="7BCC697A" w14:textId="1C4BB8D6" w:rsidR="00DE57B6" w:rsidRPr="00DE57B6" w:rsidRDefault="00DE57B6" w:rsidP="00DE57B6">
            <w:r w:rsidRPr="00DE57B6">
              <w:rPr>
                <w:szCs w:val="20"/>
              </w:rPr>
              <w:t>С неизвестна честота</w:t>
            </w:r>
          </w:p>
        </w:tc>
        <w:tc>
          <w:tcPr>
            <w:tcW w:w="3192" w:type="dxa"/>
          </w:tcPr>
          <w:p w14:paraId="6BF76308" w14:textId="1FFEA4B7" w:rsidR="00DE57B6" w:rsidRPr="00DE57B6" w:rsidRDefault="00DE57B6" w:rsidP="00DE57B6">
            <w:r w:rsidRPr="00DE57B6">
              <w:rPr>
                <w:szCs w:val="20"/>
              </w:rPr>
              <w:t>Еритродермия</w:t>
            </w:r>
          </w:p>
        </w:tc>
      </w:tr>
    </w:tbl>
    <w:p w14:paraId="7A56008E" w14:textId="0701B216" w:rsidR="00DE57B6" w:rsidRDefault="00DE57B6" w:rsidP="00DE57B6"/>
    <w:p w14:paraId="6C1E9CD2" w14:textId="77777777" w:rsidR="00DE57B6" w:rsidRPr="00DE57B6" w:rsidRDefault="00DE57B6" w:rsidP="00DE57B6">
      <w:pPr>
        <w:spacing w:line="240" w:lineRule="auto"/>
        <w:rPr>
          <w:rFonts w:eastAsia="Times New Roman" w:cs="Arial"/>
        </w:rPr>
      </w:pPr>
      <w:r w:rsidRPr="00DE57B6">
        <w:rPr>
          <w:rFonts w:eastAsia="Times New Roman" w:cs="Arial"/>
          <w:color w:val="000000"/>
          <w:u w:val="single"/>
          <w:lang w:eastAsia="bg-BG"/>
        </w:rPr>
        <w:t>Педиатрична популация</w:t>
      </w:r>
    </w:p>
    <w:p w14:paraId="6D730C36" w14:textId="77777777" w:rsidR="00DE57B6" w:rsidRPr="00DE57B6" w:rsidRDefault="00DE57B6" w:rsidP="00DE57B6">
      <w:pPr>
        <w:spacing w:line="240" w:lineRule="auto"/>
        <w:rPr>
          <w:rFonts w:eastAsia="Times New Roman" w:cs="Arial"/>
        </w:rPr>
      </w:pPr>
      <w:r w:rsidRPr="00DE57B6">
        <w:rPr>
          <w:rFonts w:eastAsia="Times New Roman" w:cs="Arial"/>
          <w:color w:val="000000"/>
          <w:lang w:eastAsia="bg-BG"/>
        </w:rPr>
        <w:t>Информацията за безопасност при деца и юноши се основава на данни от 36-месечни проучвания при педиатрични пациенти с бъбречна трансплантация и 24-месечни проучвания при педиатрични пациенти с чернодробна трансплантация (вж. точка 5.1)</w:t>
      </w:r>
    </w:p>
    <w:p w14:paraId="48173A7C" w14:textId="77777777" w:rsidR="00DE57B6" w:rsidRPr="00DE57B6" w:rsidRDefault="00DE57B6" w:rsidP="00DE57B6">
      <w:pPr>
        <w:spacing w:line="240" w:lineRule="auto"/>
        <w:rPr>
          <w:rFonts w:eastAsia="Times New Roman" w:cs="Arial"/>
          <w:color w:val="000000"/>
          <w:u w:val="single"/>
          <w:lang w:eastAsia="bg-BG"/>
        </w:rPr>
      </w:pPr>
    </w:p>
    <w:p w14:paraId="71A8716B" w14:textId="618F0DF4" w:rsidR="00DE57B6" w:rsidRPr="00DE57B6" w:rsidRDefault="00DE57B6" w:rsidP="00DE57B6">
      <w:pPr>
        <w:spacing w:line="240" w:lineRule="auto"/>
        <w:rPr>
          <w:rFonts w:eastAsia="Times New Roman" w:cs="Arial"/>
        </w:rPr>
      </w:pPr>
      <w:r w:rsidRPr="00DE57B6">
        <w:rPr>
          <w:rFonts w:eastAsia="Times New Roman" w:cs="Arial"/>
          <w:color w:val="000000"/>
          <w:u w:val="single"/>
          <w:lang w:eastAsia="bg-BG"/>
        </w:rPr>
        <w:t>Съобщаване на подозирани нежелани реакции</w:t>
      </w:r>
    </w:p>
    <w:p w14:paraId="6614152C" w14:textId="3A3D6D18" w:rsidR="00DE57B6" w:rsidRPr="00DE57B6" w:rsidRDefault="00DE57B6" w:rsidP="00DE57B6">
      <w:pPr>
        <w:spacing w:line="240" w:lineRule="auto"/>
        <w:rPr>
          <w:rFonts w:eastAsia="Times New Roman" w:cs="Arial"/>
        </w:rPr>
      </w:pPr>
      <w:r w:rsidRPr="00DE57B6">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националния регулаторен орган на адрес:</w:t>
      </w:r>
    </w:p>
    <w:p w14:paraId="13ECECF6" w14:textId="77777777" w:rsidR="00DE57B6" w:rsidRPr="00DE57B6" w:rsidRDefault="00DE57B6" w:rsidP="00DE57B6">
      <w:pPr>
        <w:spacing w:line="240" w:lineRule="auto"/>
        <w:rPr>
          <w:rFonts w:eastAsia="Times New Roman" w:cs="Arial"/>
          <w:b/>
          <w:bCs/>
          <w:color w:val="000000"/>
          <w:lang w:eastAsia="bg-BG"/>
        </w:rPr>
      </w:pPr>
    </w:p>
    <w:p w14:paraId="2B7D2A34" w14:textId="533E310F" w:rsidR="00DE57B6" w:rsidRPr="00DE57B6" w:rsidRDefault="00DE57B6" w:rsidP="00DE57B6">
      <w:pPr>
        <w:spacing w:line="240" w:lineRule="auto"/>
        <w:rPr>
          <w:rFonts w:eastAsia="Times New Roman" w:cs="Arial"/>
        </w:rPr>
      </w:pPr>
      <w:r w:rsidRPr="00DE57B6">
        <w:rPr>
          <w:rFonts w:eastAsia="Times New Roman" w:cs="Arial"/>
          <w:b/>
          <w:bCs/>
          <w:color w:val="000000"/>
          <w:lang w:eastAsia="bg-BG"/>
        </w:rPr>
        <w:t>България</w:t>
      </w:r>
    </w:p>
    <w:p w14:paraId="236733E2" w14:textId="77777777" w:rsidR="00DE57B6" w:rsidRPr="00DE57B6" w:rsidRDefault="00DE57B6" w:rsidP="00DE57B6">
      <w:pPr>
        <w:spacing w:line="240" w:lineRule="auto"/>
        <w:rPr>
          <w:rFonts w:eastAsia="Times New Roman" w:cs="Arial"/>
          <w:color w:val="000000"/>
          <w:lang w:eastAsia="bg-BG"/>
        </w:rPr>
      </w:pPr>
      <w:r w:rsidRPr="00DE57B6">
        <w:rPr>
          <w:rFonts w:eastAsia="Times New Roman" w:cs="Arial"/>
          <w:color w:val="000000"/>
          <w:lang w:eastAsia="bg-BG"/>
        </w:rPr>
        <w:t xml:space="preserve">Изпълнителна агенция по лекарствата </w:t>
      </w:r>
    </w:p>
    <w:p w14:paraId="72410965" w14:textId="77777777" w:rsidR="00DE57B6" w:rsidRPr="00DE57B6" w:rsidRDefault="00DE57B6" w:rsidP="00DE57B6">
      <w:pPr>
        <w:spacing w:line="240" w:lineRule="auto"/>
        <w:rPr>
          <w:rFonts w:eastAsia="Times New Roman" w:cs="Arial"/>
          <w:color w:val="000000"/>
          <w:lang w:eastAsia="bg-BG"/>
        </w:rPr>
      </w:pPr>
      <w:r w:rsidRPr="00DE57B6">
        <w:rPr>
          <w:rFonts w:eastAsia="Times New Roman" w:cs="Arial"/>
          <w:color w:val="000000"/>
          <w:lang w:eastAsia="bg-BG"/>
        </w:rPr>
        <w:t xml:space="preserve">ул.,Дамян Груев” № 8 </w:t>
      </w:r>
    </w:p>
    <w:p w14:paraId="7BC8D1F9" w14:textId="493E3340" w:rsidR="00DE57B6" w:rsidRPr="00DE57B6" w:rsidRDefault="00DE57B6" w:rsidP="00DE57B6">
      <w:pPr>
        <w:spacing w:line="240" w:lineRule="auto"/>
        <w:rPr>
          <w:rFonts w:eastAsia="Times New Roman" w:cs="Arial"/>
        </w:rPr>
      </w:pPr>
      <w:r w:rsidRPr="00DE57B6">
        <w:rPr>
          <w:rFonts w:eastAsia="Times New Roman" w:cs="Arial"/>
          <w:color w:val="000000"/>
          <w:lang w:eastAsia="bg-BG"/>
        </w:rPr>
        <w:t>1303 София</w:t>
      </w:r>
    </w:p>
    <w:p w14:paraId="0FB2DEC1" w14:textId="77777777" w:rsidR="00DE57B6" w:rsidRPr="00DE57B6" w:rsidRDefault="00DE57B6" w:rsidP="00DE57B6">
      <w:pPr>
        <w:spacing w:line="240" w:lineRule="auto"/>
        <w:rPr>
          <w:rFonts w:eastAsia="Times New Roman" w:cs="Arial"/>
          <w:color w:val="000000"/>
          <w:lang w:eastAsia="bg-BG"/>
        </w:rPr>
      </w:pPr>
      <w:r w:rsidRPr="00DE57B6">
        <w:rPr>
          <w:rFonts w:eastAsia="Times New Roman" w:cs="Arial"/>
          <w:color w:val="000000"/>
          <w:lang w:eastAsia="bg-BG"/>
        </w:rPr>
        <w:t xml:space="preserve">Тел.:+359 2 8903417 </w:t>
      </w:r>
    </w:p>
    <w:p w14:paraId="622C296D" w14:textId="44125E27" w:rsidR="00DE57B6" w:rsidRPr="00DE57B6" w:rsidRDefault="00DE57B6" w:rsidP="00DE57B6">
      <w:pPr>
        <w:spacing w:line="240" w:lineRule="auto"/>
        <w:rPr>
          <w:rFonts w:eastAsia="Times New Roman" w:cs="Arial"/>
        </w:rPr>
      </w:pPr>
      <w:r w:rsidRPr="00DE57B6">
        <w:rPr>
          <w:rFonts w:eastAsia="Times New Roman" w:cs="Arial"/>
          <w:color w:val="000000"/>
          <w:lang w:eastAsia="bg-BG"/>
        </w:rPr>
        <w:t xml:space="preserve">уебсайт: </w:t>
      </w:r>
      <w:hyperlink r:id="rId5" w:history="1">
        <w:r w:rsidRPr="00DE57B6">
          <w:rPr>
            <w:rFonts w:eastAsia="Times New Roman" w:cs="Arial"/>
            <w:color w:val="000000"/>
            <w:u w:val="single"/>
            <w:lang w:val="en-US"/>
          </w:rPr>
          <w:t>www</w:t>
        </w:r>
        <w:r w:rsidRPr="00DE57B6">
          <w:rPr>
            <w:rFonts w:eastAsia="Times New Roman" w:cs="Arial"/>
            <w:color w:val="000000"/>
            <w:u w:val="single"/>
            <w:lang w:val="ru-RU"/>
          </w:rPr>
          <w:t>.</w:t>
        </w:r>
        <w:r w:rsidRPr="00DE57B6">
          <w:rPr>
            <w:rFonts w:eastAsia="Times New Roman" w:cs="Arial"/>
            <w:color w:val="000000"/>
            <w:u w:val="single"/>
            <w:lang w:val="en-US"/>
          </w:rPr>
          <w:t>bda</w:t>
        </w:r>
        <w:r w:rsidRPr="00DE57B6">
          <w:rPr>
            <w:rFonts w:eastAsia="Times New Roman" w:cs="Arial"/>
            <w:color w:val="000000"/>
            <w:u w:val="single"/>
            <w:lang w:val="ru-RU"/>
          </w:rPr>
          <w:t>.</w:t>
        </w:r>
        <w:r w:rsidRPr="00DE57B6">
          <w:rPr>
            <w:rFonts w:eastAsia="Times New Roman" w:cs="Arial"/>
            <w:color w:val="000000"/>
            <w:u w:val="single"/>
            <w:lang w:val="en-US"/>
          </w:rPr>
          <w:t>bg</w:t>
        </w:r>
      </w:hyperlink>
    </w:p>
    <w:p w14:paraId="6719B2E8" w14:textId="77777777" w:rsidR="00DE57B6" w:rsidRPr="00680F5A" w:rsidRDefault="00DE57B6" w:rsidP="00DE57B6"/>
    <w:p w14:paraId="5A87DBA3" w14:textId="5F8EE070" w:rsidR="007122AD" w:rsidRDefault="002C50EE" w:rsidP="00936AD0">
      <w:pPr>
        <w:pStyle w:val="Heading2"/>
      </w:pPr>
      <w:r>
        <w:t>4.9. Предозиране</w:t>
      </w:r>
    </w:p>
    <w:p w14:paraId="07451437" w14:textId="00252833" w:rsidR="00DE57B6" w:rsidRDefault="00DE57B6" w:rsidP="00DE57B6"/>
    <w:p w14:paraId="073DC87D" w14:textId="77777777" w:rsidR="00DE57B6" w:rsidRPr="00DE57B6" w:rsidRDefault="00DE57B6" w:rsidP="00DE57B6">
      <w:pPr>
        <w:rPr>
          <w:sz w:val="24"/>
          <w:szCs w:val="24"/>
        </w:rPr>
      </w:pPr>
      <w:r w:rsidRPr="00DE57B6">
        <w:rPr>
          <w:lang w:eastAsia="bg-BG"/>
        </w:rPr>
        <w:t xml:space="preserve">В изпитвания при животни еверолимус показва нисък потенциал за остра токсичност. След приложение на единични перорални дози от 2000 </w:t>
      </w:r>
      <w:r w:rsidRPr="00DE57B6">
        <w:rPr>
          <w:lang w:val="en-US"/>
        </w:rPr>
        <w:t>mg</w:t>
      </w:r>
      <w:r w:rsidRPr="00DE57B6">
        <w:rPr>
          <w:lang w:val="ru-RU"/>
        </w:rPr>
        <w:t>/</w:t>
      </w:r>
      <w:r w:rsidRPr="00DE57B6">
        <w:rPr>
          <w:lang w:val="en-US"/>
        </w:rPr>
        <w:t>kg</w:t>
      </w:r>
      <w:r w:rsidRPr="00DE57B6">
        <w:rPr>
          <w:lang w:val="ru-RU"/>
        </w:rPr>
        <w:t xml:space="preserve"> </w:t>
      </w:r>
      <w:r w:rsidRPr="00DE57B6">
        <w:rPr>
          <w:lang w:eastAsia="bg-BG"/>
        </w:rPr>
        <w:t>(ограничено изследване), не са наблюдавани смъртни случаи или тежка токсичност нито при мишки, нито при плъхове.</w:t>
      </w:r>
    </w:p>
    <w:p w14:paraId="1A2A7BF4" w14:textId="77777777" w:rsidR="00DE57B6" w:rsidRDefault="00DE57B6" w:rsidP="00DE57B6">
      <w:pPr>
        <w:rPr>
          <w:lang w:eastAsia="bg-BG"/>
        </w:rPr>
      </w:pPr>
    </w:p>
    <w:p w14:paraId="684112D6" w14:textId="1D9FE540" w:rsidR="00DE57B6" w:rsidRPr="00DE57B6" w:rsidRDefault="00DE57B6" w:rsidP="00DE57B6">
      <w:pPr>
        <w:rPr>
          <w:sz w:val="24"/>
          <w:szCs w:val="24"/>
        </w:rPr>
      </w:pPr>
      <w:r w:rsidRPr="00DE57B6">
        <w:rPr>
          <w:lang w:eastAsia="bg-BG"/>
        </w:rPr>
        <w:t xml:space="preserve">Докладваният опит с предозиране при хора е много ограничен: има един единствен случай на случайно поглъщане на 1,5 </w:t>
      </w:r>
      <w:r w:rsidRPr="00DE57B6">
        <w:rPr>
          <w:lang w:val="en-US"/>
        </w:rPr>
        <w:t>mg</w:t>
      </w:r>
      <w:r w:rsidRPr="00DE57B6">
        <w:rPr>
          <w:lang w:val="ru-RU"/>
        </w:rPr>
        <w:t xml:space="preserve"> </w:t>
      </w:r>
      <w:r w:rsidRPr="00DE57B6">
        <w:rPr>
          <w:lang w:eastAsia="bg-BG"/>
        </w:rPr>
        <w:t xml:space="preserve">еверолимус от 2-годишно дете, при който не са наблюдавани нежелани реакции. Единични дози до 25 </w:t>
      </w:r>
      <w:r w:rsidRPr="00DE57B6">
        <w:rPr>
          <w:lang w:val="en-US"/>
        </w:rPr>
        <w:t>mg</w:t>
      </w:r>
      <w:r w:rsidRPr="00DE57B6">
        <w:rPr>
          <w:lang w:val="ru-RU"/>
        </w:rPr>
        <w:t xml:space="preserve"> </w:t>
      </w:r>
      <w:r w:rsidRPr="00DE57B6">
        <w:rPr>
          <w:lang w:eastAsia="bg-BG"/>
        </w:rPr>
        <w:t>са прилагани на пациенти след трансплантация с приемлива остра поносимост.</w:t>
      </w:r>
    </w:p>
    <w:p w14:paraId="08541B17" w14:textId="77777777" w:rsidR="00DE57B6" w:rsidRDefault="00DE57B6" w:rsidP="00DE57B6">
      <w:pPr>
        <w:rPr>
          <w:lang w:eastAsia="bg-BG"/>
        </w:rPr>
      </w:pPr>
    </w:p>
    <w:p w14:paraId="2C83D211" w14:textId="7E57C601" w:rsidR="00DE57B6" w:rsidRPr="00DE57B6" w:rsidRDefault="00DE57B6" w:rsidP="00DE57B6">
      <w:r w:rsidRPr="00DE57B6">
        <w:rPr>
          <w:lang w:eastAsia="bg-BG"/>
        </w:rPr>
        <w:t>Във всички случаи на предозиране трябва да се предприемат общи поддържащи мерки.</w:t>
      </w:r>
    </w:p>
    <w:p w14:paraId="02081B24" w14:textId="1F46E296" w:rsidR="00395555" w:rsidRPr="00395555" w:rsidRDefault="002C50EE" w:rsidP="008A6AF2">
      <w:pPr>
        <w:pStyle w:val="Heading1"/>
      </w:pPr>
      <w:r>
        <w:t>5. ФАРМАКОЛОГИЧНИ СВОЙСТВА</w:t>
      </w:r>
    </w:p>
    <w:p w14:paraId="7DE36AC8" w14:textId="6AE1FFDA" w:rsidR="00B6672E" w:rsidRDefault="002C50EE" w:rsidP="00936AD0">
      <w:pPr>
        <w:pStyle w:val="Heading2"/>
      </w:pPr>
      <w:r>
        <w:t>5.1. Фармакодинамични свойства</w:t>
      </w:r>
    </w:p>
    <w:p w14:paraId="7B214195" w14:textId="45DDE6D7" w:rsidR="00DE57B6" w:rsidRDefault="00DE57B6" w:rsidP="00DE57B6"/>
    <w:p w14:paraId="7E01CBB8"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Фармакотерапевтична група: селективни имуносупресори. АТС код: </w:t>
      </w:r>
      <w:r w:rsidRPr="00DE57B6">
        <w:rPr>
          <w:rFonts w:eastAsia="Times New Roman" w:cs="Arial"/>
          <w:color w:val="000000"/>
          <w:szCs w:val="20"/>
          <w:lang w:val="en-US"/>
        </w:rPr>
        <w:t>L</w:t>
      </w:r>
      <w:r w:rsidRPr="00DE57B6">
        <w:rPr>
          <w:rFonts w:eastAsia="Times New Roman" w:cs="Arial"/>
          <w:color w:val="000000"/>
          <w:szCs w:val="20"/>
          <w:lang w:val="ru-RU"/>
        </w:rPr>
        <w:t>04</w:t>
      </w:r>
      <w:r w:rsidRPr="00DE57B6">
        <w:rPr>
          <w:rFonts w:eastAsia="Times New Roman" w:cs="Arial"/>
          <w:color w:val="000000"/>
          <w:szCs w:val="20"/>
          <w:lang w:val="en-US"/>
        </w:rPr>
        <w:t>AA</w:t>
      </w:r>
      <w:r w:rsidRPr="00DE57B6">
        <w:rPr>
          <w:rFonts w:eastAsia="Times New Roman" w:cs="Arial"/>
          <w:color w:val="000000"/>
          <w:szCs w:val="20"/>
          <w:lang w:val="ru-RU"/>
        </w:rPr>
        <w:t>18.</w:t>
      </w:r>
    </w:p>
    <w:p w14:paraId="71C04DC6" w14:textId="77777777" w:rsidR="00DE57B6" w:rsidRPr="00DE57B6" w:rsidRDefault="00DE57B6" w:rsidP="00DE57B6">
      <w:pPr>
        <w:spacing w:line="240" w:lineRule="auto"/>
        <w:rPr>
          <w:rFonts w:eastAsia="Times New Roman" w:cs="Arial"/>
          <w:color w:val="000000"/>
          <w:szCs w:val="20"/>
          <w:u w:val="single"/>
          <w:lang w:eastAsia="bg-BG"/>
        </w:rPr>
      </w:pPr>
    </w:p>
    <w:p w14:paraId="25F13CD8" w14:textId="738934ED"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Механизъм на действие</w:t>
      </w:r>
    </w:p>
    <w:p w14:paraId="32B7ECA2"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lastRenderedPageBreak/>
        <w:t xml:space="preserve">Еверолимус, инхибитор на пролиферативните сигнали, предотвратява отхвърлянето на присадения орган у гризачи и нечовекоподобни примати след алотрансплантация. Продуктът осъществява имуносупресивното си действие чрез инхибиране на пролиферацията и оттам на клоналната експанзия на антигенно активирани Т-клетки, която се предизвиква от Т-клетьчно специфични интерлевкини, например интерлевкин-2 и интерлевкин-15. Еверолимус инхибира вътреклетъчните сигнални пътища, които се отключват при свързването на тези растежни фактори на Т-клетките със съответните им рецептори, нормално това води до клетъчна пролиферация. Блокирането на този сигнал от еверолимус води до стоп на клетките в стадий </w:t>
      </w:r>
      <w:r w:rsidRPr="00DE57B6">
        <w:rPr>
          <w:rFonts w:eastAsia="Times New Roman" w:cs="Arial"/>
          <w:color w:val="000000"/>
          <w:szCs w:val="20"/>
          <w:lang w:val="en-US"/>
        </w:rPr>
        <w:t>G</w:t>
      </w:r>
      <w:r w:rsidRPr="00DE57B6">
        <w:rPr>
          <w:rFonts w:eastAsia="Times New Roman" w:cs="Arial"/>
          <w:color w:val="000000"/>
          <w:szCs w:val="20"/>
          <w:vertAlign w:val="subscript"/>
          <w:lang w:val="ru-RU"/>
        </w:rPr>
        <w:t>1</w:t>
      </w:r>
      <w:r w:rsidRPr="00DE57B6">
        <w:rPr>
          <w:rFonts w:eastAsia="Times New Roman" w:cs="Arial"/>
          <w:color w:val="000000"/>
          <w:szCs w:val="20"/>
          <w:lang w:val="ru-RU"/>
        </w:rPr>
        <w:t xml:space="preserve"> </w:t>
      </w:r>
      <w:r w:rsidRPr="00DE57B6">
        <w:rPr>
          <w:rFonts w:eastAsia="Times New Roman" w:cs="Arial"/>
          <w:color w:val="000000"/>
          <w:szCs w:val="20"/>
          <w:lang w:eastAsia="bg-BG"/>
        </w:rPr>
        <w:t>от клетъчния цикъл.</w:t>
      </w:r>
    </w:p>
    <w:p w14:paraId="07FEBCFC" w14:textId="77777777" w:rsidR="00DE57B6" w:rsidRPr="00DE57B6" w:rsidRDefault="00DE57B6" w:rsidP="00DE57B6">
      <w:pPr>
        <w:spacing w:line="240" w:lineRule="auto"/>
        <w:rPr>
          <w:rFonts w:eastAsia="Times New Roman" w:cs="Arial"/>
          <w:color w:val="000000"/>
          <w:szCs w:val="20"/>
          <w:lang w:eastAsia="bg-BG"/>
        </w:rPr>
      </w:pPr>
    </w:p>
    <w:p w14:paraId="54FDC53D" w14:textId="7974917F"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На молекулярно ниво еверолимус образува комплекс с цитоплазмения протеин </w:t>
      </w:r>
      <w:r w:rsidRPr="00DE57B6">
        <w:rPr>
          <w:rFonts w:eastAsia="Times New Roman" w:cs="Arial"/>
          <w:color w:val="000000"/>
          <w:szCs w:val="20"/>
          <w:lang w:val="en-US"/>
        </w:rPr>
        <w:t>FKBP</w:t>
      </w:r>
      <w:r w:rsidRPr="00DE57B6">
        <w:rPr>
          <w:rFonts w:eastAsia="Times New Roman" w:cs="Arial"/>
          <w:color w:val="000000"/>
          <w:szCs w:val="20"/>
          <w:lang w:val="ru-RU"/>
        </w:rPr>
        <w:t xml:space="preserve">-12. </w:t>
      </w:r>
      <w:r w:rsidRPr="00DE57B6">
        <w:rPr>
          <w:rFonts w:eastAsia="Times New Roman" w:cs="Arial"/>
          <w:color w:val="000000"/>
          <w:szCs w:val="20"/>
          <w:lang w:eastAsia="bg-BG"/>
        </w:rPr>
        <w:t xml:space="preserve">В присъствието на еверолимус, стимулираното от растежен фактор фосфорилиране на р70 </w:t>
      </w:r>
      <w:r w:rsidRPr="00DE57B6">
        <w:rPr>
          <w:rFonts w:eastAsia="Times New Roman" w:cs="Arial"/>
          <w:color w:val="000000"/>
          <w:szCs w:val="20"/>
          <w:lang w:val="en-US"/>
        </w:rPr>
        <w:t>S</w:t>
      </w:r>
      <w:r w:rsidRPr="00DE57B6">
        <w:rPr>
          <w:rFonts w:eastAsia="Times New Roman" w:cs="Arial"/>
          <w:color w:val="000000"/>
          <w:szCs w:val="20"/>
          <w:lang w:val="ru-RU"/>
        </w:rPr>
        <w:t xml:space="preserve">6 </w:t>
      </w:r>
      <w:r w:rsidRPr="00DE57B6">
        <w:rPr>
          <w:rFonts w:eastAsia="Times New Roman" w:cs="Arial"/>
          <w:color w:val="000000"/>
          <w:szCs w:val="20"/>
          <w:lang w:eastAsia="bg-BG"/>
        </w:rPr>
        <w:t xml:space="preserve">киназата се инхибира. Тъй като фосфорилирането на р70 </w:t>
      </w:r>
      <w:r w:rsidRPr="00DE57B6">
        <w:rPr>
          <w:rFonts w:eastAsia="Times New Roman" w:cs="Arial"/>
          <w:color w:val="000000"/>
          <w:szCs w:val="20"/>
          <w:lang w:val="en-US"/>
        </w:rPr>
        <w:t>S</w:t>
      </w:r>
      <w:r w:rsidRPr="00DE57B6">
        <w:rPr>
          <w:rFonts w:eastAsia="Times New Roman" w:cs="Arial"/>
          <w:color w:val="000000"/>
          <w:szCs w:val="20"/>
          <w:lang w:val="ru-RU"/>
        </w:rPr>
        <w:t xml:space="preserve">6 </w:t>
      </w:r>
      <w:r w:rsidRPr="00DE57B6">
        <w:rPr>
          <w:rFonts w:eastAsia="Times New Roman" w:cs="Arial"/>
          <w:color w:val="000000"/>
          <w:szCs w:val="20"/>
          <w:lang w:eastAsia="bg-BG"/>
        </w:rPr>
        <w:t xml:space="preserve">киназата се осъществява под контрола на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(наричан също </w:t>
      </w:r>
      <w:r w:rsidRPr="00DE57B6">
        <w:rPr>
          <w:rFonts w:eastAsia="Times New Roman" w:cs="Arial"/>
          <w:color w:val="000000"/>
          <w:szCs w:val="20"/>
          <w:lang w:val="en-US"/>
        </w:rPr>
        <w:t>mTOR</w:t>
      </w:r>
      <w:r w:rsidRPr="00DE57B6">
        <w:rPr>
          <w:rFonts w:eastAsia="Times New Roman" w:cs="Arial"/>
          <w:color w:val="000000"/>
          <w:szCs w:val="20"/>
          <w:lang w:val="ru-RU"/>
        </w:rPr>
        <w:t xml:space="preserve">), </w:t>
      </w:r>
      <w:r w:rsidRPr="00DE57B6">
        <w:rPr>
          <w:rFonts w:eastAsia="Times New Roman" w:cs="Arial"/>
          <w:color w:val="000000"/>
          <w:szCs w:val="20"/>
          <w:lang w:eastAsia="bg-BG"/>
        </w:rPr>
        <w:t>тази находка навежда на мисълта, че комплексът еверолимус</w:t>
      </w:r>
      <w:r w:rsidRPr="00DE57B6">
        <w:rPr>
          <w:rFonts w:eastAsia="Times New Roman" w:cs="Arial"/>
          <w:color w:val="000000"/>
          <w:szCs w:val="20"/>
          <w:lang w:val="ru-RU"/>
        </w:rPr>
        <w:t>-</w:t>
      </w:r>
      <w:r w:rsidRPr="00DE57B6">
        <w:rPr>
          <w:rFonts w:eastAsia="Times New Roman" w:cs="Arial"/>
          <w:color w:val="000000"/>
          <w:szCs w:val="20"/>
          <w:lang w:val="en-US"/>
        </w:rPr>
        <w:t>FKBP</w:t>
      </w:r>
      <w:r w:rsidRPr="00DE57B6">
        <w:rPr>
          <w:rFonts w:eastAsia="Times New Roman" w:cs="Arial"/>
          <w:color w:val="000000"/>
          <w:szCs w:val="20"/>
          <w:lang w:val="ru-RU"/>
        </w:rPr>
        <w:t>-</w:t>
      </w:r>
      <w:r w:rsidRPr="00DE57B6">
        <w:rPr>
          <w:rFonts w:eastAsia="Times New Roman" w:cs="Arial"/>
          <w:color w:val="000000"/>
          <w:szCs w:val="20"/>
          <w:lang w:val="en-US"/>
        </w:rPr>
        <w:t>l</w:t>
      </w:r>
      <w:r w:rsidRPr="00DE57B6">
        <w:rPr>
          <w:rFonts w:eastAsia="Times New Roman" w:cs="Arial"/>
          <w:color w:val="000000"/>
          <w:szCs w:val="20"/>
          <w:lang w:eastAsia="bg-BG"/>
        </w:rPr>
        <w:t xml:space="preserve">2 се свързва към него и по този начин повлиява функцията на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е ключов регулиращ протеин, който управлява метаболизма, растежа и пролиферацията на клетките; потискането на функцията на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eastAsia="bg-BG"/>
        </w:rPr>
        <w:t>обяснява спирането на клетъчния цикъл, предизвикано от еверолимус.</w:t>
      </w:r>
    </w:p>
    <w:p w14:paraId="17AC39E7" w14:textId="77777777" w:rsidR="00DE57B6" w:rsidRPr="00DE57B6" w:rsidRDefault="00DE57B6" w:rsidP="00DE57B6">
      <w:pPr>
        <w:spacing w:line="240" w:lineRule="auto"/>
        <w:rPr>
          <w:rFonts w:eastAsia="Times New Roman" w:cs="Arial"/>
          <w:color w:val="000000"/>
          <w:szCs w:val="20"/>
          <w:lang w:eastAsia="bg-BG"/>
        </w:rPr>
      </w:pPr>
    </w:p>
    <w:p w14:paraId="26848C74" w14:textId="52A4CF29"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Следователно еверолимус има различен механизъм на действие от този на циклоспорин. В предклинични модели на алотрансплантация, комбинацията на еверолимус и циклоспорин е по- ефикасна от монотерапията с двата продукта поотделно.</w:t>
      </w:r>
    </w:p>
    <w:p w14:paraId="5E15E672" w14:textId="77777777" w:rsidR="00DE57B6" w:rsidRPr="00DE57B6" w:rsidRDefault="00DE57B6" w:rsidP="00DE57B6">
      <w:pPr>
        <w:spacing w:line="240" w:lineRule="auto"/>
        <w:rPr>
          <w:rFonts w:eastAsia="Times New Roman" w:cs="Arial"/>
          <w:color w:val="000000"/>
          <w:szCs w:val="20"/>
          <w:lang w:eastAsia="bg-BG"/>
        </w:rPr>
      </w:pPr>
    </w:p>
    <w:p w14:paraId="460D0912" w14:textId="728E7470"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Ефектът на еверолимус не се ограничава само до Т-клетките. Той инхибира стимулираната от растежен фактор пролиферация на хематопоетични и нехематопоетични клетки като цяло, като например клетките на гладката мускулатура на съдовете. Стимулираната от растежен фактор пролиферация на съдовата гладка мускулатура, която се отключва при нараняване на ендотелни клетки и води до образуване на неоинтима, играе ключова роля в патогенезата на хроничното отхвърляне. Предклинични изпитвания с еверолимус показват инхибиране на образуването на неоингима в алотрансплантационен модел при аорта на плъх.</w:t>
      </w:r>
    </w:p>
    <w:p w14:paraId="199E8CDB" w14:textId="77777777" w:rsidR="00DE57B6" w:rsidRPr="00DE57B6" w:rsidRDefault="00DE57B6" w:rsidP="00DE57B6">
      <w:pPr>
        <w:spacing w:line="240" w:lineRule="auto"/>
        <w:rPr>
          <w:rFonts w:eastAsia="Times New Roman" w:cs="Arial"/>
          <w:color w:val="000000"/>
          <w:szCs w:val="20"/>
          <w:u w:val="single"/>
          <w:lang w:eastAsia="bg-BG"/>
        </w:rPr>
      </w:pPr>
    </w:p>
    <w:p w14:paraId="7D21C396" w14:textId="43E7406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Клинична ефикасност и безопасност</w:t>
      </w:r>
    </w:p>
    <w:p w14:paraId="0B672D2B" w14:textId="77777777" w:rsidR="00DE57B6" w:rsidRPr="00DE57B6" w:rsidRDefault="00DE57B6" w:rsidP="00DE57B6">
      <w:pPr>
        <w:spacing w:line="240" w:lineRule="auto"/>
        <w:rPr>
          <w:rFonts w:eastAsia="Times New Roman" w:cs="Arial"/>
          <w:i/>
          <w:iCs/>
          <w:color w:val="000000"/>
          <w:szCs w:val="20"/>
          <w:lang w:eastAsia="bg-BG"/>
        </w:rPr>
      </w:pPr>
    </w:p>
    <w:p w14:paraId="13595FB6" w14:textId="093683B3" w:rsidR="00DE57B6" w:rsidRPr="00DE57B6" w:rsidRDefault="00DE57B6" w:rsidP="00DE57B6">
      <w:pPr>
        <w:spacing w:line="240" w:lineRule="auto"/>
        <w:rPr>
          <w:rFonts w:eastAsia="Times New Roman" w:cs="Arial"/>
          <w:sz w:val="28"/>
          <w:szCs w:val="24"/>
        </w:rPr>
      </w:pPr>
      <w:r w:rsidRPr="00DE57B6">
        <w:rPr>
          <w:rFonts w:eastAsia="Times New Roman" w:cs="Arial"/>
          <w:i/>
          <w:iCs/>
          <w:color w:val="000000"/>
          <w:szCs w:val="20"/>
          <w:lang w:eastAsia="bg-BG"/>
        </w:rPr>
        <w:t>Бъбречна трансплантация</w:t>
      </w:r>
    </w:p>
    <w:p w14:paraId="60CF5E18" w14:textId="77777777" w:rsidR="00DE57B6" w:rsidRPr="00DE57B6" w:rsidRDefault="00DE57B6" w:rsidP="00DE57B6">
      <w:pPr>
        <w:rPr>
          <w:rFonts w:eastAsia="Times New Roman" w:cs="Arial"/>
          <w:sz w:val="28"/>
          <w:szCs w:val="24"/>
        </w:rPr>
      </w:pPr>
      <w:r w:rsidRPr="00DE57B6">
        <w:rPr>
          <w:rFonts w:eastAsia="Times New Roman" w:cs="Arial"/>
          <w:color w:val="000000"/>
          <w:szCs w:val="20"/>
          <w:lang w:eastAsia="bg-BG"/>
        </w:rPr>
        <w:t xml:space="preserve">Сертикан във фиксирани дози от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и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в комбинация със стандартни дози циклоспорин микроемулсия и кортикостероиди, е изследван в хода на две клинични изпитвания фаза III при </w:t>
      </w:r>
      <w:r w:rsidRPr="00DE57B6">
        <w:rPr>
          <w:rFonts w:eastAsia="Times New Roman" w:cs="Arial"/>
          <w:i/>
          <w:iCs/>
          <w:color w:val="000000"/>
          <w:szCs w:val="20"/>
          <w:lang w:val="en-US"/>
        </w:rPr>
        <w:t>de</w:t>
      </w:r>
      <w:r w:rsidRPr="00DE57B6">
        <w:rPr>
          <w:rFonts w:eastAsia="Times New Roman" w:cs="Arial"/>
          <w:i/>
          <w:iCs/>
          <w:color w:val="000000"/>
          <w:szCs w:val="20"/>
          <w:lang w:val="ru-RU"/>
        </w:rPr>
        <w:t xml:space="preserve"> </w:t>
      </w:r>
      <w:r w:rsidRPr="00DE57B6">
        <w:rPr>
          <w:rFonts w:eastAsia="Times New Roman" w:cs="Arial"/>
          <w:i/>
          <w:iCs/>
          <w:color w:val="000000"/>
          <w:szCs w:val="20"/>
          <w:lang w:val="en-US"/>
        </w:rPr>
        <w:t>novo</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бъбречна трансплантация при възрастни (В201 и </w:t>
      </w:r>
      <w:r w:rsidRPr="00DE57B6">
        <w:rPr>
          <w:rFonts w:eastAsia="Times New Roman" w:cs="Arial"/>
          <w:color w:val="000000"/>
          <w:szCs w:val="20"/>
          <w:lang w:val="en-US"/>
        </w:rPr>
        <w:t>B</w:t>
      </w:r>
      <w:r w:rsidRPr="00DE57B6">
        <w:rPr>
          <w:rFonts w:eastAsia="Times New Roman" w:cs="Arial"/>
          <w:color w:val="000000"/>
          <w:szCs w:val="20"/>
          <w:lang w:val="ru-RU"/>
        </w:rPr>
        <w:t xml:space="preserve">251). </w:t>
      </w:r>
      <w:r w:rsidRPr="00DE57B6">
        <w:rPr>
          <w:rFonts w:eastAsia="Times New Roman" w:cs="Arial"/>
          <w:color w:val="000000"/>
          <w:szCs w:val="20"/>
          <w:lang w:eastAsia="bg-BG"/>
        </w:rPr>
        <w:t>Кати</w:t>
      </w:r>
      <w:r w:rsidRPr="00DE57B6">
        <w:rPr>
          <w:rFonts w:eastAsia="Times New Roman" w:cs="Arial"/>
          <w:color w:val="000000"/>
          <w:szCs w:val="20"/>
          <w:lang w:val="ru-RU" w:eastAsia="bg-BG"/>
        </w:rPr>
        <w:t xml:space="preserve"> </w:t>
      </w:r>
      <w:r w:rsidRPr="00DE57B6">
        <w:rPr>
          <w:rFonts w:eastAsia="Times New Roman" w:cs="Arial"/>
          <w:color w:val="000000"/>
          <w:szCs w:val="20"/>
          <w:lang w:eastAsia="bg-BG"/>
        </w:rPr>
        <w:t xml:space="preserve">референтен продукт е използван микофенолат мофетил </w:t>
      </w:r>
      <w:r w:rsidRPr="00DE57B6">
        <w:rPr>
          <w:rFonts w:eastAsia="Times New Roman" w:cs="Arial"/>
          <w:color w:val="000000"/>
          <w:szCs w:val="20"/>
          <w:lang w:val="ru-RU"/>
        </w:rPr>
        <w:t>(</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1 </w:t>
      </w:r>
      <w:r w:rsidRPr="00DE57B6">
        <w:rPr>
          <w:rFonts w:eastAsia="Times New Roman" w:cs="Arial"/>
          <w:color w:val="000000"/>
          <w:szCs w:val="20"/>
          <w:lang w:val="en-US"/>
        </w:rPr>
        <w:t>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два пъти дневно. Комбинираните първични крайни точки са липса на ефикасност (доказано с биопсия остро отхвърляне, загуба на присадката, смъртен изход или загуба на пациента от проследяване) на шестия месец и загуба на присадката, смърт или загуба на пациента от проследяване на 12-тия месец. Като цяло, в тези клинични проучвания Сертикан е не по-малко ефикасен от </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Честотата на доказаното с биопсия остро отхвърляне на присадката на месец 6 в изпитването В201 е съответно 21,6%, 18,2%, и 23,5% за групите на Сертикан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Сертикан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и </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В изпитването В251 честотите са 17,1%, 20,1% и 23,5% съответно за групите на Сертикан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Сертикан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и </w:t>
      </w:r>
      <w:r w:rsidRPr="00DE57B6">
        <w:rPr>
          <w:rFonts w:eastAsia="Times New Roman" w:cs="Arial"/>
          <w:color w:val="000000"/>
          <w:szCs w:val="20"/>
          <w:lang w:val="en-US"/>
        </w:rPr>
        <w:t>MMF</w:t>
      </w:r>
      <w:r w:rsidRPr="00DE57B6">
        <w:rPr>
          <w:rFonts w:eastAsia="Times New Roman" w:cs="Arial"/>
          <w:color w:val="000000"/>
          <w:szCs w:val="20"/>
          <w:lang w:val="ru-RU"/>
        </w:rPr>
        <w:t>.</w:t>
      </w:r>
    </w:p>
    <w:p w14:paraId="1263C5F5" w14:textId="77777777" w:rsidR="00DE57B6" w:rsidRPr="00DE57B6" w:rsidRDefault="00DE57B6" w:rsidP="00DE57B6">
      <w:pPr>
        <w:spacing w:line="240" w:lineRule="auto"/>
        <w:rPr>
          <w:rFonts w:eastAsia="Times New Roman" w:cs="Arial"/>
          <w:color w:val="000000"/>
          <w:szCs w:val="20"/>
          <w:lang w:eastAsia="bg-BG"/>
        </w:rPr>
      </w:pPr>
    </w:p>
    <w:p w14:paraId="0E599B1C" w14:textId="71061BC2"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lastRenderedPageBreak/>
        <w:t xml:space="preserve">Редуцирана функция на присадката с повишени серумни нива на креатинина се наблюдава по- често сред пациентите на Сертикан в комбинация с пълна доза циклоспорин микроемулсия в сравнение с пациентите на </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Този ефект предполага, че Сертикан повишава нефротоксичността на циклоспорин. Анализът на зависимостта лекарствена концентрация- фармакодинамика показва, че бъбречната функция не се уврежда при намалена експозиция на циклоспорин, при запазване на ефикасността до тогава, докато се поддържат най-ниски плазмени нива на еверолимус над 3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Тази концепция е потвърдена последователно в хода на две по-нататъшни фаза </w:t>
      </w:r>
      <w:r w:rsidRPr="00DE57B6">
        <w:rPr>
          <w:rFonts w:eastAsia="Times New Roman" w:cs="Arial"/>
          <w:color w:val="000000"/>
          <w:szCs w:val="20"/>
          <w:lang w:val="en-US"/>
        </w:rPr>
        <w:t>III</w:t>
      </w:r>
      <w:r w:rsidRPr="00DE57B6">
        <w:rPr>
          <w:rFonts w:eastAsia="Times New Roman" w:cs="Arial"/>
          <w:color w:val="000000"/>
          <w:szCs w:val="20"/>
          <w:lang w:eastAsia="bg-BG"/>
        </w:rPr>
        <w:t xml:space="preserve"> изпитвания (А2306 и А2307, включващи съответно 237 и 256 пациенти), които оценяват ефикасността и безопасността на Сертикан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и Сертикан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(начална доза, последващото дозиране се определя въз основа на прицелни най-ниски плазмени нива </w:t>
      </w:r>
      <w:r w:rsidRPr="00DE57B6">
        <w:rPr>
          <w:rFonts w:eastAsia="Times New Roman" w:cs="Arial"/>
          <w:color w:val="000000"/>
          <w:szCs w:val="20"/>
          <w:lang w:val="ru-RU"/>
        </w:rPr>
        <w:t>(</w:t>
      </w:r>
      <w:r w:rsidRPr="00DE57B6">
        <w:rPr>
          <w:rFonts w:eastAsia="Times New Roman" w:cs="Arial"/>
          <w:color w:val="000000"/>
          <w:szCs w:val="20"/>
          <w:lang w:val="en-US"/>
        </w:rPr>
        <w:t>C</w:t>
      </w:r>
      <w:r w:rsidRPr="00DE57B6">
        <w:rPr>
          <w:rFonts w:eastAsia="Times New Roman" w:cs="Arial"/>
          <w:color w:val="000000"/>
          <w:szCs w:val="20"/>
          <w:vertAlign w:val="subscript"/>
          <w:lang w:val="ru-RU"/>
        </w:rPr>
        <w:t>0</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≥3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в комбинация с намалена експозиция на циклоспорин. В двете изпитвания бъбречната функция се запазва без да се компрометира ефикасността. В тези изпитвания обаче не е имало </w:t>
      </w:r>
      <w:r w:rsidRPr="00DE57B6">
        <w:rPr>
          <w:rFonts w:eastAsia="Times New Roman" w:cs="Arial"/>
          <w:color w:val="000000"/>
          <w:szCs w:val="20"/>
          <w:vertAlign w:val="subscript"/>
          <w:lang w:eastAsia="bg-BG"/>
        </w:rPr>
        <w:t>сравнително</w:t>
      </w:r>
      <w:r w:rsidRPr="00DE57B6">
        <w:rPr>
          <w:rFonts w:eastAsia="Times New Roman" w:cs="Arial"/>
          <w:color w:val="000000"/>
          <w:szCs w:val="20"/>
          <w:lang w:eastAsia="bg-BG"/>
        </w:rPr>
        <w:t xml:space="preserve"> рамо без Сертикан. В едно завършило фаза Ш, многоцентрово, рандомизирано, открито, контролирано изпитване (А2309), 833 </w:t>
      </w:r>
      <w:r w:rsidRPr="00DE57B6">
        <w:rPr>
          <w:rFonts w:eastAsia="Times New Roman" w:cs="Arial"/>
          <w:i/>
          <w:iCs/>
          <w:color w:val="000000"/>
          <w:szCs w:val="20"/>
          <w:lang w:val="en-US"/>
        </w:rPr>
        <w:t>de</w:t>
      </w:r>
      <w:r w:rsidRPr="00DE57B6">
        <w:rPr>
          <w:rFonts w:eastAsia="Times New Roman" w:cs="Arial"/>
          <w:i/>
          <w:iCs/>
          <w:color w:val="000000"/>
          <w:szCs w:val="20"/>
          <w:lang w:val="ru-RU"/>
        </w:rPr>
        <w:t>-</w:t>
      </w:r>
      <w:r w:rsidRPr="00DE57B6">
        <w:rPr>
          <w:rFonts w:eastAsia="Times New Roman" w:cs="Arial"/>
          <w:i/>
          <w:iCs/>
          <w:color w:val="000000"/>
          <w:szCs w:val="20"/>
          <w:lang w:val="en-US"/>
        </w:rPr>
        <w:t>novo</w:t>
      </w:r>
      <w:r w:rsidRPr="00DE57B6">
        <w:rPr>
          <w:rFonts w:eastAsia="Times New Roman" w:cs="Arial"/>
          <w:i/>
          <w:iCs/>
          <w:color w:val="000000"/>
          <w:szCs w:val="20"/>
          <w:lang w:val="ru-RU"/>
        </w:rPr>
        <w:t xml:space="preserve"> </w:t>
      </w:r>
      <w:r w:rsidRPr="00DE57B6">
        <w:rPr>
          <w:rFonts w:eastAsia="Times New Roman" w:cs="Arial"/>
          <w:color w:val="000000"/>
          <w:szCs w:val="20"/>
          <w:lang w:eastAsia="bg-BG"/>
        </w:rPr>
        <w:t>бъбречно трансплантирани реципиенти са били рандомизирани на един от двата терапевтични режима със Сертикан, различаващи се по дозата, в комбинация с редуцирана доза циклоспорин или стандартен терапевтичен режим с натриев микофенолат (МРА) + циклоспорин и са били лекувани в продължение на 12 месеца. При всички пациенти е прилагана индукционна терапия с базиликсимаб преди трансплантацията и на 4-ия ден след трансплантацията.</w:t>
      </w:r>
    </w:p>
    <w:p w14:paraId="1EA0333A"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Кортикостероиди са били давани при необходимост в периода след трансплантацията.</w:t>
      </w:r>
    </w:p>
    <w:p w14:paraId="1F41996E" w14:textId="77777777" w:rsidR="00DE57B6" w:rsidRPr="00DE57B6" w:rsidRDefault="00DE57B6" w:rsidP="00DE57B6">
      <w:pPr>
        <w:spacing w:line="240" w:lineRule="auto"/>
        <w:rPr>
          <w:rFonts w:eastAsia="Times New Roman" w:cs="Arial"/>
          <w:color w:val="000000"/>
          <w:szCs w:val="20"/>
          <w:lang w:eastAsia="bg-BG"/>
        </w:rPr>
      </w:pPr>
    </w:p>
    <w:p w14:paraId="02D9F870" w14:textId="0ED512DE"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Началните дози в двете групи на Сертикан са били 1,5 </w:t>
      </w:r>
      <w:r w:rsidRPr="00DE57B6">
        <w:rPr>
          <w:rFonts w:eastAsia="Times New Roman" w:cs="Arial"/>
          <w:color w:val="000000"/>
          <w:szCs w:val="20"/>
          <w:lang w:val="en-US"/>
        </w:rPr>
        <w:t>mg</w:t>
      </w:r>
      <w:r w:rsidRPr="00DE57B6">
        <w:rPr>
          <w:rFonts w:eastAsia="Times New Roman" w:cs="Arial"/>
          <w:color w:val="000000"/>
          <w:szCs w:val="20"/>
          <w:lang w:eastAsia="bg-BG"/>
        </w:rPr>
        <w:t xml:space="preserve">/ден и 3 </w:t>
      </w:r>
      <w:r w:rsidRPr="00DE57B6">
        <w:rPr>
          <w:rFonts w:eastAsia="Times New Roman" w:cs="Arial"/>
          <w:color w:val="000000"/>
          <w:szCs w:val="20"/>
          <w:lang w:val="en-US"/>
        </w:rPr>
        <w:t>mg</w:t>
      </w:r>
      <w:r w:rsidRPr="00DE57B6">
        <w:rPr>
          <w:rFonts w:eastAsia="Times New Roman" w:cs="Arial"/>
          <w:color w:val="000000"/>
          <w:szCs w:val="20"/>
          <w:lang w:eastAsia="bg-BG"/>
        </w:rPr>
        <w:t xml:space="preserve">/ден, прилагани два пъти дневно, впоследствие след 5-ия ден са били променени така, че да се поддържат прицелни най- ниски концентрации на еверолимус в кръвта съответно 3-8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и 6-12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Дозата на натриевия микофенолат е била 1,44 </w:t>
      </w:r>
      <w:r w:rsidRPr="00DE57B6">
        <w:rPr>
          <w:rFonts w:eastAsia="Times New Roman" w:cs="Arial"/>
          <w:color w:val="000000"/>
          <w:szCs w:val="20"/>
          <w:lang w:val="en-US"/>
        </w:rPr>
        <w:t>g</w:t>
      </w:r>
      <w:r w:rsidRPr="00DE57B6">
        <w:rPr>
          <w:rFonts w:eastAsia="Times New Roman" w:cs="Arial"/>
          <w:color w:val="000000"/>
          <w:szCs w:val="20"/>
          <w:lang w:eastAsia="bg-BG"/>
        </w:rPr>
        <w:t xml:space="preserve">/ден. Дозите на циклоспорин са били адаптирани така, че да се поддържа съответния целеви интервал на най-ниски концентрации в кръвта, така както е показано в Таблица 6. Актуалните стойности на измерените в кръвта концентрации на еверолимус и циклоспорин </w:t>
      </w:r>
      <w:r w:rsidRPr="00DE57B6">
        <w:rPr>
          <w:rFonts w:eastAsia="Times New Roman" w:cs="Arial"/>
          <w:color w:val="000000"/>
          <w:szCs w:val="20"/>
          <w:lang w:val="ru-RU"/>
        </w:rPr>
        <w:t>(</w:t>
      </w:r>
      <w:r w:rsidRPr="00DE57B6">
        <w:rPr>
          <w:rFonts w:eastAsia="Times New Roman" w:cs="Arial"/>
          <w:color w:val="000000"/>
          <w:szCs w:val="20"/>
          <w:lang w:val="en-US"/>
        </w:rPr>
        <w:t>C</w:t>
      </w:r>
      <w:r w:rsidRPr="00DE57B6">
        <w:rPr>
          <w:rFonts w:eastAsia="Times New Roman" w:cs="Arial"/>
          <w:color w:val="000000"/>
          <w:szCs w:val="20"/>
          <w:vertAlign w:val="subscript"/>
          <w:lang w:val="ru-RU"/>
        </w:rPr>
        <w:t>0</w:t>
      </w:r>
      <w:r w:rsidRPr="00DE57B6">
        <w:rPr>
          <w:rFonts w:eastAsia="Times New Roman" w:cs="Arial"/>
          <w:color w:val="000000"/>
          <w:szCs w:val="20"/>
          <w:lang w:val="ru-RU"/>
        </w:rPr>
        <w:t xml:space="preserve"> </w:t>
      </w:r>
      <w:r w:rsidRPr="00DE57B6">
        <w:rPr>
          <w:rFonts w:eastAsia="Times New Roman" w:cs="Arial"/>
          <w:color w:val="000000"/>
          <w:szCs w:val="20"/>
          <w:lang w:eastAsia="bg-BG"/>
        </w:rPr>
        <w:t>и С</w:t>
      </w:r>
      <w:r w:rsidRPr="00DE57B6">
        <w:rPr>
          <w:rFonts w:eastAsia="Times New Roman" w:cs="Arial"/>
          <w:color w:val="000000"/>
          <w:szCs w:val="20"/>
          <w:vertAlign w:val="subscript"/>
          <w:lang w:eastAsia="bg-BG"/>
        </w:rPr>
        <w:t>2</w:t>
      </w:r>
      <w:r w:rsidRPr="00DE57B6">
        <w:rPr>
          <w:rFonts w:eastAsia="Times New Roman" w:cs="Arial"/>
          <w:color w:val="000000"/>
          <w:szCs w:val="20"/>
          <w:lang w:eastAsia="bg-BG"/>
        </w:rPr>
        <w:t>) са показани в Таблица 7.</w:t>
      </w:r>
    </w:p>
    <w:p w14:paraId="7F1C9549"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Въпреки че терапевтичният режим с по-висока доза Сертикан е бил също толкова ефективен, както този с по-ниска доза, като цяло безопасността му е била по-лоша и поради тази причина терапевтичният режим с по-висока доза не се препоръчва.</w:t>
      </w:r>
    </w:p>
    <w:p w14:paraId="0697FEFF"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Препоръчва се терапевтичния режим с по-ниска доза на Сертикан (вж. точка 4.2).</w:t>
      </w:r>
    </w:p>
    <w:p w14:paraId="68EE08D0" w14:textId="77777777" w:rsidR="00DE57B6" w:rsidRPr="00DE57B6" w:rsidRDefault="00DE57B6" w:rsidP="00DE57B6">
      <w:pPr>
        <w:spacing w:line="240" w:lineRule="auto"/>
        <w:rPr>
          <w:rFonts w:eastAsia="Times New Roman" w:cs="Arial"/>
          <w:b/>
          <w:bCs/>
          <w:color w:val="000000"/>
          <w:szCs w:val="20"/>
          <w:lang w:eastAsia="bg-BG"/>
        </w:rPr>
      </w:pPr>
    </w:p>
    <w:p w14:paraId="101E2F37" w14:textId="62333549" w:rsidR="00DE57B6" w:rsidRDefault="00DE57B6" w:rsidP="00DE57B6">
      <w:pPr>
        <w:spacing w:line="240" w:lineRule="auto"/>
        <w:rPr>
          <w:rFonts w:eastAsia="Times New Roman" w:cs="Arial"/>
          <w:b/>
          <w:bCs/>
          <w:color w:val="000000"/>
          <w:szCs w:val="20"/>
          <w:lang w:eastAsia="bg-BG"/>
        </w:rPr>
      </w:pPr>
      <w:r w:rsidRPr="00DE57B6">
        <w:rPr>
          <w:rFonts w:eastAsia="Times New Roman" w:cs="Arial"/>
          <w:b/>
          <w:bCs/>
          <w:color w:val="000000"/>
          <w:szCs w:val="20"/>
          <w:lang w:eastAsia="bg-BG"/>
        </w:rPr>
        <w:t>Таблица 6 Изпитване А2309: Прицелни интервали на най-ниските концентрации на циклоспорин в кръвта</w:t>
      </w:r>
    </w:p>
    <w:tbl>
      <w:tblPr>
        <w:tblStyle w:val="TableGrid"/>
        <w:tblW w:w="0" w:type="auto"/>
        <w:tblLook w:val="04A0" w:firstRow="1" w:lastRow="0" w:firstColumn="1" w:lastColumn="0" w:noHBand="0" w:noVBand="1"/>
      </w:tblPr>
      <w:tblGrid>
        <w:gridCol w:w="1905"/>
        <w:gridCol w:w="1861"/>
        <w:gridCol w:w="1861"/>
        <w:gridCol w:w="1861"/>
        <w:gridCol w:w="1862"/>
      </w:tblGrid>
      <w:tr w:rsidR="00DE57B6" w14:paraId="4A8E9003" w14:textId="77777777" w:rsidTr="00DE57B6">
        <w:tc>
          <w:tcPr>
            <w:tcW w:w="1915" w:type="dxa"/>
          </w:tcPr>
          <w:p w14:paraId="3AB1A9C7" w14:textId="4333118F" w:rsidR="00DE57B6" w:rsidRPr="00DE57B6" w:rsidRDefault="00DE57B6" w:rsidP="00DE57B6">
            <w:pPr>
              <w:spacing w:line="240" w:lineRule="auto"/>
              <w:rPr>
                <w:rFonts w:eastAsia="Times New Roman" w:cs="Arial"/>
                <w:szCs w:val="24"/>
              </w:rPr>
            </w:pPr>
            <w:r w:rsidRPr="00DE57B6">
              <w:rPr>
                <w:b/>
                <w:bCs/>
                <w:szCs w:val="20"/>
              </w:rPr>
              <w:t xml:space="preserve">Прицелна концентрация на циклоспорин </w:t>
            </w:r>
            <w:r w:rsidRPr="00DE57B6">
              <w:rPr>
                <w:b/>
                <w:bCs/>
                <w:szCs w:val="20"/>
                <w:lang w:val="en-US"/>
              </w:rPr>
              <w:t>C</w:t>
            </w:r>
            <w:r w:rsidRPr="00DE57B6">
              <w:rPr>
                <w:b/>
                <w:bCs/>
                <w:szCs w:val="20"/>
                <w:vertAlign w:val="subscript"/>
                <w:lang w:val="ru-RU"/>
              </w:rPr>
              <w:t>0</w:t>
            </w:r>
            <w:r w:rsidRPr="00DE57B6">
              <w:rPr>
                <w:b/>
                <w:bCs/>
                <w:szCs w:val="20"/>
                <w:lang w:val="ru-RU"/>
              </w:rPr>
              <w:t xml:space="preserve"> (</w:t>
            </w:r>
            <w:r w:rsidRPr="00DE57B6">
              <w:rPr>
                <w:b/>
                <w:bCs/>
                <w:szCs w:val="20"/>
                <w:lang w:val="en-US"/>
              </w:rPr>
              <w:t>ng</w:t>
            </w:r>
            <w:r w:rsidRPr="00DE57B6">
              <w:rPr>
                <w:b/>
                <w:bCs/>
                <w:szCs w:val="20"/>
                <w:lang w:val="ru-RU"/>
              </w:rPr>
              <w:t>/</w:t>
            </w:r>
            <w:r w:rsidRPr="00DE57B6">
              <w:rPr>
                <w:b/>
                <w:bCs/>
                <w:szCs w:val="20"/>
                <w:lang w:val="en-US"/>
              </w:rPr>
              <w:t>ml</w:t>
            </w:r>
            <w:r w:rsidRPr="00DE57B6">
              <w:rPr>
                <w:b/>
                <w:bCs/>
                <w:szCs w:val="20"/>
                <w:lang w:val="ru-RU"/>
              </w:rPr>
              <w:t>)</w:t>
            </w:r>
          </w:p>
        </w:tc>
        <w:tc>
          <w:tcPr>
            <w:tcW w:w="1915" w:type="dxa"/>
          </w:tcPr>
          <w:p w14:paraId="4CCB151A" w14:textId="19356E7F" w:rsidR="00DE57B6" w:rsidRPr="00DE57B6" w:rsidRDefault="00DE57B6" w:rsidP="00DE57B6">
            <w:pPr>
              <w:spacing w:line="240" w:lineRule="auto"/>
              <w:rPr>
                <w:rFonts w:eastAsia="Times New Roman" w:cs="Arial"/>
                <w:szCs w:val="24"/>
              </w:rPr>
            </w:pPr>
            <w:r w:rsidRPr="00DE57B6">
              <w:rPr>
                <w:b/>
                <w:bCs/>
                <w:szCs w:val="20"/>
              </w:rPr>
              <w:t>Месец 1</w:t>
            </w:r>
          </w:p>
        </w:tc>
        <w:tc>
          <w:tcPr>
            <w:tcW w:w="1915" w:type="dxa"/>
          </w:tcPr>
          <w:p w14:paraId="25F5702C" w14:textId="31DCC5EB" w:rsidR="00DE57B6" w:rsidRPr="00DE57B6" w:rsidRDefault="00DE57B6" w:rsidP="00DE57B6">
            <w:pPr>
              <w:spacing w:line="240" w:lineRule="auto"/>
              <w:rPr>
                <w:rFonts w:eastAsia="Times New Roman" w:cs="Arial"/>
                <w:szCs w:val="24"/>
              </w:rPr>
            </w:pPr>
            <w:r w:rsidRPr="00DE57B6">
              <w:rPr>
                <w:b/>
                <w:bCs/>
                <w:szCs w:val="20"/>
              </w:rPr>
              <w:t>Месец 2-3</w:t>
            </w:r>
          </w:p>
        </w:tc>
        <w:tc>
          <w:tcPr>
            <w:tcW w:w="1915" w:type="dxa"/>
          </w:tcPr>
          <w:p w14:paraId="53DD06C6" w14:textId="7DA1A2A8" w:rsidR="00DE57B6" w:rsidRPr="00DE57B6" w:rsidRDefault="00DE57B6" w:rsidP="00DE57B6">
            <w:pPr>
              <w:spacing w:line="240" w:lineRule="auto"/>
              <w:rPr>
                <w:rFonts w:eastAsia="Times New Roman" w:cs="Arial"/>
                <w:szCs w:val="24"/>
              </w:rPr>
            </w:pPr>
            <w:r w:rsidRPr="00DE57B6">
              <w:rPr>
                <w:b/>
                <w:bCs/>
                <w:szCs w:val="20"/>
              </w:rPr>
              <w:t>Месец 4-5</w:t>
            </w:r>
          </w:p>
        </w:tc>
        <w:tc>
          <w:tcPr>
            <w:tcW w:w="1916" w:type="dxa"/>
          </w:tcPr>
          <w:p w14:paraId="6159BC02" w14:textId="3CEA0283" w:rsidR="00DE57B6" w:rsidRPr="00DE57B6" w:rsidRDefault="00DE57B6" w:rsidP="00DE57B6">
            <w:pPr>
              <w:spacing w:line="240" w:lineRule="auto"/>
              <w:rPr>
                <w:rFonts w:eastAsia="Times New Roman" w:cs="Arial"/>
                <w:szCs w:val="24"/>
              </w:rPr>
            </w:pPr>
            <w:r w:rsidRPr="00DE57B6">
              <w:rPr>
                <w:b/>
                <w:bCs/>
                <w:szCs w:val="20"/>
              </w:rPr>
              <w:t>Месец 6-12</w:t>
            </w:r>
          </w:p>
        </w:tc>
      </w:tr>
      <w:tr w:rsidR="00DE57B6" w14:paraId="3502051C" w14:textId="77777777" w:rsidTr="00DE57B6">
        <w:tc>
          <w:tcPr>
            <w:tcW w:w="1915" w:type="dxa"/>
          </w:tcPr>
          <w:p w14:paraId="5A37A385" w14:textId="786F429D" w:rsidR="00DE57B6" w:rsidRPr="00DE57B6" w:rsidRDefault="00DE57B6" w:rsidP="00DE57B6">
            <w:pPr>
              <w:spacing w:line="240" w:lineRule="auto"/>
              <w:rPr>
                <w:rFonts w:eastAsia="Times New Roman" w:cs="Arial"/>
                <w:szCs w:val="24"/>
              </w:rPr>
            </w:pPr>
            <w:r w:rsidRPr="00DE57B6">
              <w:rPr>
                <w:szCs w:val="20"/>
              </w:rPr>
              <w:t>Групи на Сертикан</w:t>
            </w:r>
          </w:p>
        </w:tc>
        <w:tc>
          <w:tcPr>
            <w:tcW w:w="1915" w:type="dxa"/>
          </w:tcPr>
          <w:p w14:paraId="23891CC1" w14:textId="5F5B77DF" w:rsidR="00DE57B6" w:rsidRPr="00DE57B6" w:rsidRDefault="00DE57B6" w:rsidP="00DE57B6">
            <w:pPr>
              <w:spacing w:line="240" w:lineRule="auto"/>
              <w:rPr>
                <w:rFonts w:eastAsia="Times New Roman" w:cs="Arial"/>
                <w:szCs w:val="24"/>
              </w:rPr>
            </w:pPr>
            <w:r w:rsidRPr="00DE57B6">
              <w:rPr>
                <w:szCs w:val="20"/>
              </w:rPr>
              <w:t>100-200</w:t>
            </w:r>
          </w:p>
        </w:tc>
        <w:tc>
          <w:tcPr>
            <w:tcW w:w="1915" w:type="dxa"/>
          </w:tcPr>
          <w:p w14:paraId="5E20E01E" w14:textId="53128326" w:rsidR="00DE57B6" w:rsidRPr="00DE57B6" w:rsidRDefault="00DE57B6" w:rsidP="00DE57B6">
            <w:pPr>
              <w:spacing w:line="240" w:lineRule="auto"/>
              <w:rPr>
                <w:rFonts w:eastAsia="Times New Roman" w:cs="Arial"/>
                <w:szCs w:val="24"/>
              </w:rPr>
            </w:pPr>
            <w:r w:rsidRPr="00DE57B6">
              <w:rPr>
                <w:szCs w:val="20"/>
              </w:rPr>
              <w:t>75-150</w:t>
            </w:r>
          </w:p>
        </w:tc>
        <w:tc>
          <w:tcPr>
            <w:tcW w:w="1915" w:type="dxa"/>
          </w:tcPr>
          <w:p w14:paraId="2E42CE18" w14:textId="083E1A2E" w:rsidR="00DE57B6" w:rsidRPr="00DE57B6" w:rsidRDefault="00DE57B6" w:rsidP="00DE57B6">
            <w:pPr>
              <w:spacing w:line="240" w:lineRule="auto"/>
              <w:rPr>
                <w:rFonts w:eastAsia="Times New Roman" w:cs="Arial"/>
                <w:szCs w:val="24"/>
              </w:rPr>
            </w:pPr>
            <w:r w:rsidRPr="00DE57B6">
              <w:rPr>
                <w:szCs w:val="20"/>
              </w:rPr>
              <w:t>50-100</w:t>
            </w:r>
          </w:p>
        </w:tc>
        <w:tc>
          <w:tcPr>
            <w:tcW w:w="1916" w:type="dxa"/>
          </w:tcPr>
          <w:p w14:paraId="53E93779" w14:textId="517F143A" w:rsidR="00DE57B6" w:rsidRPr="00DE57B6" w:rsidRDefault="00DE57B6" w:rsidP="00DE57B6">
            <w:pPr>
              <w:spacing w:line="240" w:lineRule="auto"/>
              <w:rPr>
                <w:rFonts w:eastAsia="Times New Roman" w:cs="Arial"/>
                <w:szCs w:val="24"/>
              </w:rPr>
            </w:pPr>
            <w:r w:rsidRPr="00DE57B6">
              <w:rPr>
                <w:szCs w:val="20"/>
              </w:rPr>
              <w:t>25-50</w:t>
            </w:r>
          </w:p>
        </w:tc>
      </w:tr>
      <w:tr w:rsidR="00DE57B6" w14:paraId="0E013FAD" w14:textId="77777777" w:rsidTr="00DE57B6">
        <w:tc>
          <w:tcPr>
            <w:tcW w:w="1915" w:type="dxa"/>
          </w:tcPr>
          <w:p w14:paraId="298AC915" w14:textId="1337D3C8" w:rsidR="00DE57B6" w:rsidRPr="00DE57B6" w:rsidRDefault="00DE57B6" w:rsidP="00DE57B6">
            <w:pPr>
              <w:spacing w:line="240" w:lineRule="auto"/>
              <w:rPr>
                <w:rFonts w:eastAsia="Times New Roman" w:cs="Arial"/>
                <w:szCs w:val="24"/>
              </w:rPr>
            </w:pPr>
            <w:r w:rsidRPr="00DE57B6">
              <w:rPr>
                <w:szCs w:val="20"/>
              </w:rPr>
              <w:t>Група на МРА</w:t>
            </w:r>
          </w:p>
        </w:tc>
        <w:tc>
          <w:tcPr>
            <w:tcW w:w="1915" w:type="dxa"/>
          </w:tcPr>
          <w:p w14:paraId="4C50F029" w14:textId="5FC469E9" w:rsidR="00DE57B6" w:rsidRPr="00DE57B6" w:rsidRDefault="00DE57B6" w:rsidP="00DE57B6">
            <w:pPr>
              <w:spacing w:line="240" w:lineRule="auto"/>
              <w:rPr>
                <w:rFonts w:eastAsia="Times New Roman" w:cs="Arial"/>
                <w:szCs w:val="24"/>
              </w:rPr>
            </w:pPr>
            <w:r w:rsidRPr="00DE57B6">
              <w:rPr>
                <w:szCs w:val="20"/>
              </w:rPr>
              <w:t>200-300</w:t>
            </w:r>
          </w:p>
        </w:tc>
        <w:tc>
          <w:tcPr>
            <w:tcW w:w="1915" w:type="dxa"/>
          </w:tcPr>
          <w:p w14:paraId="581A4450" w14:textId="0D1FE9B6" w:rsidR="00DE57B6" w:rsidRPr="00DE57B6" w:rsidRDefault="00DE57B6" w:rsidP="00DE57B6">
            <w:pPr>
              <w:spacing w:line="240" w:lineRule="auto"/>
              <w:rPr>
                <w:rFonts w:eastAsia="Times New Roman" w:cs="Arial"/>
                <w:szCs w:val="24"/>
              </w:rPr>
            </w:pPr>
            <w:r w:rsidRPr="00DE57B6">
              <w:rPr>
                <w:szCs w:val="20"/>
              </w:rPr>
              <w:t>100-250</w:t>
            </w:r>
          </w:p>
        </w:tc>
        <w:tc>
          <w:tcPr>
            <w:tcW w:w="1915" w:type="dxa"/>
          </w:tcPr>
          <w:p w14:paraId="02BB8EBA" w14:textId="1C55AB55" w:rsidR="00DE57B6" w:rsidRPr="00DE57B6" w:rsidRDefault="00DE57B6" w:rsidP="00DE57B6">
            <w:pPr>
              <w:spacing w:line="240" w:lineRule="auto"/>
              <w:rPr>
                <w:rFonts w:eastAsia="Times New Roman" w:cs="Arial"/>
                <w:szCs w:val="24"/>
              </w:rPr>
            </w:pPr>
            <w:r w:rsidRPr="00DE57B6">
              <w:rPr>
                <w:szCs w:val="20"/>
              </w:rPr>
              <w:t>100-250</w:t>
            </w:r>
          </w:p>
        </w:tc>
        <w:tc>
          <w:tcPr>
            <w:tcW w:w="1916" w:type="dxa"/>
          </w:tcPr>
          <w:p w14:paraId="705F2AFE" w14:textId="1D9AA8E8" w:rsidR="00DE57B6" w:rsidRPr="00DE57B6" w:rsidRDefault="00DE57B6" w:rsidP="00DE57B6">
            <w:pPr>
              <w:spacing w:line="240" w:lineRule="auto"/>
              <w:rPr>
                <w:rFonts w:eastAsia="Times New Roman" w:cs="Arial"/>
                <w:szCs w:val="24"/>
              </w:rPr>
            </w:pPr>
            <w:r w:rsidRPr="00DE57B6">
              <w:rPr>
                <w:szCs w:val="20"/>
              </w:rPr>
              <w:t>100-250</w:t>
            </w:r>
          </w:p>
        </w:tc>
      </w:tr>
    </w:tbl>
    <w:p w14:paraId="13C82D69" w14:textId="0182CD1F" w:rsidR="00DE57B6" w:rsidRPr="00DE57B6" w:rsidRDefault="00DE57B6" w:rsidP="00DE57B6">
      <w:pPr>
        <w:spacing w:line="240" w:lineRule="auto"/>
        <w:rPr>
          <w:rFonts w:eastAsia="Times New Roman" w:cs="Arial"/>
          <w:sz w:val="28"/>
          <w:szCs w:val="24"/>
        </w:rPr>
      </w:pPr>
    </w:p>
    <w:p w14:paraId="3F74E655" w14:textId="77777777" w:rsidR="00DE57B6" w:rsidRPr="00DE57B6" w:rsidRDefault="00DE57B6" w:rsidP="00DE57B6">
      <w:pPr>
        <w:rPr>
          <w:b/>
          <w:sz w:val="24"/>
          <w:szCs w:val="24"/>
        </w:rPr>
      </w:pPr>
      <w:r w:rsidRPr="00DE57B6">
        <w:rPr>
          <w:b/>
          <w:lang w:eastAsia="bg-BG"/>
        </w:rPr>
        <w:t>Таблица 7 Изпитване А2309: Измерени най-ниски концентрации на циклоспорин и еверолимус в кръвта</w:t>
      </w:r>
    </w:p>
    <w:tbl>
      <w:tblPr>
        <w:tblStyle w:val="TableGrid"/>
        <w:tblW w:w="0" w:type="auto"/>
        <w:tblLook w:val="04A0" w:firstRow="1" w:lastRow="0" w:firstColumn="1" w:lastColumn="0" w:noHBand="0" w:noVBand="1"/>
      </w:tblPr>
      <w:tblGrid>
        <w:gridCol w:w="1755"/>
        <w:gridCol w:w="1244"/>
        <w:gridCol w:w="1274"/>
        <w:gridCol w:w="1238"/>
        <w:gridCol w:w="1270"/>
        <w:gridCol w:w="1311"/>
        <w:gridCol w:w="1258"/>
      </w:tblGrid>
      <w:tr w:rsidR="00DE57B6" w14:paraId="5F8D3E9B" w14:textId="77777777" w:rsidTr="00DE57B6">
        <w:tc>
          <w:tcPr>
            <w:tcW w:w="1755" w:type="dxa"/>
          </w:tcPr>
          <w:p w14:paraId="465F0F63" w14:textId="3F24F402" w:rsidR="00DE57B6" w:rsidRPr="00DE57B6" w:rsidRDefault="00DE57B6" w:rsidP="00DE57B6">
            <w:pPr>
              <w:rPr>
                <w:rFonts w:cs="Arial"/>
              </w:rPr>
            </w:pPr>
            <w:r w:rsidRPr="00DE57B6">
              <w:rPr>
                <w:rFonts w:cs="Arial"/>
                <w:b/>
                <w:bCs/>
              </w:rPr>
              <w:lastRenderedPageBreak/>
              <w:t xml:space="preserve">Най-ниски концентрации </w:t>
            </w:r>
            <w:r w:rsidRPr="00DE57B6">
              <w:rPr>
                <w:rFonts w:cs="Arial"/>
                <w:b/>
                <w:bCs/>
                <w:lang w:val="ru-RU"/>
              </w:rPr>
              <w:t>(</w:t>
            </w:r>
            <w:r w:rsidRPr="00DE57B6">
              <w:rPr>
                <w:rFonts w:cs="Arial"/>
                <w:b/>
                <w:bCs/>
                <w:lang w:val="en-US"/>
              </w:rPr>
              <w:t>ng</w:t>
            </w:r>
            <w:r w:rsidRPr="00DE57B6">
              <w:rPr>
                <w:rFonts w:cs="Arial"/>
                <w:b/>
                <w:bCs/>
                <w:lang w:val="ru-RU"/>
              </w:rPr>
              <w:t>/</w:t>
            </w:r>
            <w:r w:rsidRPr="00DE57B6">
              <w:rPr>
                <w:rFonts w:cs="Arial"/>
                <w:b/>
                <w:bCs/>
                <w:lang w:val="en-US"/>
              </w:rPr>
              <w:t>ml</w:t>
            </w:r>
            <w:r w:rsidRPr="00DE57B6">
              <w:rPr>
                <w:rFonts w:cs="Arial"/>
                <w:b/>
                <w:bCs/>
                <w:lang w:val="ru-RU"/>
              </w:rPr>
              <w:t>)</w:t>
            </w:r>
          </w:p>
        </w:tc>
        <w:tc>
          <w:tcPr>
            <w:tcW w:w="5173" w:type="dxa"/>
            <w:gridSpan w:val="4"/>
          </w:tcPr>
          <w:p w14:paraId="5016E4F1" w14:textId="07B1BB0F" w:rsidR="00DE57B6" w:rsidRPr="00DE57B6" w:rsidRDefault="00DE57B6" w:rsidP="00DE57B6">
            <w:pPr>
              <w:rPr>
                <w:rFonts w:cs="Arial"/>
              </w:rPr>
            </w:pPr>
            <w:r w:rsidRPr="00DE57B6">
              <w:rPr>
                <w:rFonts w:cs="Arial"/>
                <w:b/>
                <w:bCs/>
              </w:rPr>
              <w:t xml:space="preserve">Групи на Сертикан </w:t>
            </w:r>
            <w:r w:rsidRPr="00DE57B6">
              <w:rPr>
                <w:rFonts w:cs="Arial"/>
              </w:rPr>
              <w:t>(ниска доза на циклоспорин)</w:t>
            </w:r>
          </w:p>
        </w:tc>
        <w:tc>
          <w:tcPr>
            <w:tcW w:w="2648" w:type="dxa"/>
            <w:gridSpan w:val="2"/>
          </w:tcPr>
          <w:p w14:paraId="24D6CD43" w14:textId="4861E91E" w:rsidR="00DE57B6" w:rsidRPr="00DE57B6" w:rsidRDefault="00DE57B6" w:rsidP="00DE57B6">
            <w:pPr>
              <w:rPr>
                <w:rFonts w:cs="Arial"/>
              </w:rPr>
            </w:pPr>
            <w:r w:rsidRPr="00DE57B6">
              <w:rPr>
                <w:rFonts w:cs="Arial"/>
                <w:b/>
                <w:bCs/>
              </w:rPr>
              <w:t xml:space="preserve">МРА </w:t>
            </w:r>
            <w:r w:rsidRPr="00DE57B6">
              <w:rPr>
                <w:rFonts w:cs="Arial"/>
              </w:rPr>
              <w:t>(стандартна доза на циклоспорин)</w:t>
            </w:r>
          </w:p>
        </w:tc>
      </w:tr>
      <w:tr w:rsidR="00DE57B6" w14:paraId="4C0DC49F" w14:textId="77777777" w:rsidTr="00DD3595">
        <w:tc>
          <w:tcPr>
            <w:tcW w:w="1755" w:type="dxa"/>
          </w:tcPr>
          <w:p w14:paraId="48A7B426" w14:textId="77777777" w:rsidR="00DE57B6" w:rsidRPr="00DE57B6" w:rsidRDefault="00DE57B6" w:rsidP="00DE57B6">
            <w:pPr>
              <w:rPr>
                <w:rFonts w:cs="Arial"/>
              </w:rPr>
            </w:pPr>
          </w:p>
        </w:tc>
        <w:tc>
          <w:tcPr>
            <w:tcW w:w="2592" w:type="dxa"/>
            <w:gridSpan w:val="2"/>
          </w:tcPr>
          <w:p w14:paraId="58062AC5" w14:textId="53087371" w:rsidR="00DE57B6" w:rsidRPr="00DE57B6" w:rsidRDefault="00DE57B6" w:rsidP="00DE57B6">
            <w:pPr>
              <w:rPr>
                <w:rFonts w:cs="Arial"/>
              </w:rPr>
            </w:pPr>
            <w:r w:rsidRPr="00DE57B6">
              <w:rPr>
                <w:rFonts w:cs="Arial"/>
                <w:b/>
                <w:bCs/>
              </w:rPr>
              <w:t xml:space="preserve">Сертикан 1,5 </w:t>
            </w:r>
            <w:r w:rsidRPr="00DE57B6">
              <w:rPr>
                <w:rFonts w:cs="Arial"/>
                <w:b/>
                <w:bCs/>
                <w:lang w:val="en-US"/>
              </w:rPr>
              <w:t>mg</w:t>
            </w:r>
          </w:p>
        </w:tc>
        <w:tc>
          <w:tcPr>
            <w:tcW w:w="2581" w:type="dxa"/>
            <w:gridSpan w:val="2"/>
          </w:tcPr>
          <w:p w14:paraId="43F25EC3" w14:textId="06418B40" w:rsidR="00DE57B6" w:rsidRPr="00DE57B6" w:rsidRDefault="00DE57B6" w:rsidP="00DE57B6">
            <w:pPr>
              <w:rPr>
                <w:rFonts w:cs="Arial"/>
              </w:rPr>
            </w:pPr>
            <w:r w:rsidRPr="00DE57B6">
              <w:rPr>
                <w:rFonts w:cs="Arial"/>
                <w:b/>
                <w:bCs/>
              </w:rPr>
              <w:t xml:space="preserve">Сертикан 3,0 </w:t>
            </w:r>
            <w:r w:rsidRPr="00DE57B6">
              <w:rPr>
                <w:rFonts w:cs="Arial"/>
                <w:b/>
                <w:bCs/>
                <w:lang w:val="en-US"/>
              </w:rPr>
              <w:t>mg</w:t>
            </w:r>
          </w:p>
        </w:tc>
        <w:tc>
          <w:tcPr>
            <w:tcW w:w="2648" w:type="dxa"/>
            <w:gridSpan w:val="2"/>
          </w:tcPr>
          <w:p w14:paraId="24542B4C" w14:textId="1B87B785" w:rsidR="00DE57B6" w:rsidRPr="00DE57B6" w:rsidRDefault="00DE57B6" w:rsidP="00DE57B6">
            <w:pPr>
              <w:rPr>
                <w:rFonts w:cs="Arial"/>
              </w:rPr>
            </w:pPr>
            <w:r w:rsidRPr="00DE57B6">
              <w:rPr>
                <w:rFonts w:cs="Arial"/>
                <w:b/>
                <w:bCs/>
                <w:lang w:val="en-US"/>
              </w:rPr>
              <w:t xml:space="preserve">Myfortic </w:t>
            </w:r>
            <w:r w:rsidRPr="00DE57B6">
              <w:rPr>
                <w:rFonts w:cs="Arial"/>
                <w:b/>
                <w:bCs/>
              </w:rPr>
              <w:t xml:space="preserve">1,44 </w:t>
            </w:r>
            <w:r w:rsidRPr="00DE57B6">
              <w:rPr>
                <w:rFonts w:cs="Arial"/>
                <w:b/>
                <w:bCs/>
                <w:lang w:val="en-US"/>
              </w:rPr>
              <w:t>g</w:t>
            </w:r>
          </w:p>
        </w:tc>
      </w:tr>
      <w:tr w:rsidR="00DE57B6" w14:paraId="4258FD0A" w14:textId="77777777" w:rsidTr="00DE57B6">
        <w:tc>
          <w:tcPr>
            <w:tcW w:w="1755" w:type="dxa"/>
          </w:tcPr>
          <w:p w14:paraId="473CE293" w14:textId="5E1128B6" w:rsidR="00DE57B6" w:rsidRPr="00DE57B6" w:rsidRDefault="00DE57B6" w:rsidP="00DE57B6">
            <w:pPr>
              <w:rPr>
                <w:rFonts w:cs="Arial"/>
              </w:rPr>
            </w:pPr>
            <w:r w:rsidRPr="00DE57B6">
              <w:rPr>
                <w:rFonts w:cs="Arial"/>
                <w:b/>
                <w:bCs/>
              </w:rPr>
              <w:t>Циклоспорин</w:t>
            </w:r>
          </w:p>
        </w:tc>
        <w:tc>
          <w:tcPr>
            <w:tcW w:w="1298" w:type="dxa"/>
          </w:tcPr>
          <w:p w14:paraId="05CD00F1" w14:textId="5353C27B" w:rsidR="00DE57B6" w:rsidRPr="00DE57B6" w:rsidRDefault="00DE57B6" w:rsidP="00DE57B6">
            <w:pPr>
              <w:rPr>
                <w:rFonts w:cs="Arial"/>
              </w:rPr>
            </w:pPr>
            <w:r w:rsidRPr="00DE57B6">
              <w:rPr>
                <w:rFonts w:cs="Arial"/>
                <w:i/>
                <w:iCs/>
              </w:rPr>
              <w:t>С</w:t>
            </w:r>
            <w:r w:rsidRPr="00DE57B6">
              <w:rPr>
                <w:rFonts w:cs="Arial"/>
                <w:i/>
                <w:iCs/>
                <w:vertAlign w:val="subscript"/>
              </w:rPr>
              <w:t>о</w:t>
            </w:r>
          </w:p>
        </w:tc>
        <w:tc>
          <w:tcPr>
            <w:tcW w:w="1294" w:type="dxa"/>
          </w:tcPr>
          <w:p w14:paraId="24A9C15E" w14:textId="4F58C5E5" w:rsidR="00DE57B6" w:rsidRPr="00DE57B6" w:rsidRDefault="00DE57B6" w:rsidP="00DE57B6">
            <w:pPr>
              <w:rPr>
                <w:rFonts w:cs="Arial"/>
              </w:rPr>
            </w:pPr>
            <w:r w:rsidRPr="00DE57B6">
              <w:rPr>
                <w:rFonts w:cs="Arial"/>
                <w:i/>
                <w:iCs/>
              </w:rPr>
              <w:t>С2</w:t>
            </w:r>
          </w:p>
        </w:tc>
        <w:tc>
          <w:tcPr>
            <w:tcW w:w="1291" w:type="dxa"/>
          </w:tcPr>
          <w:p w14:paraId="1F6C063F" w14:textId="1BACBA89" w:rsidR="00DE57B6" w:rsidRPr="00DE57B6" w:rsidRDefault="00DE57B6" w:rsidP="00DE57B6">
            <w:pPr>
              <w:rPr>
                <w:rFonts w:cs="Arial"/>
              </w:rPr>
            </w:pPr>
            <w:r w:rsidRPr="00DE57B6">
              <w:rPr>
                <w:rFonts w:cs="Arial"/>
                <w:i/>
                <w:iCs/>
              </w:rPr>
              <w:t>С</w:t>
            </w:r>
            <w:r w:rsidRPr="00DE57B6">
              <w:rPr>
                <w:rFonts w:cs="Arial"/>
                <w:i/>
                <w:iCs/>
                <w:vertAlign w:val="subscript"/>
              </w:rPr>
              <w:t>о</w:t>
            </w:r>
          </w:p>
        </w:tc>
        <w:tc>
          <w:tcPr>
            <w:tcW w:w="1290" w:type="dxa"/>
          </w:tcPr>
          <w:p w14:paraId="0E38633A" w14:textId="4C7CD32A" w:rsidR="00DE57B6" w:rsidRPr="00DE57B6" w:rsidRDefault="00DE57B6" w:rsidP="00DE57B6">
            <w:pPr>
              <w:rPr>
                <w:rFonts w:cs="Arial"/>
              </w:rPr>
            </w:pPr>
            <w:r w:rsidRPr="00DE57B6">
              <w:rPr>
                <w:rFonts w:cs="Arial"/>
                <w:i/>
                <w:iCs/>
              </w:rPr>
              <w:t>С2</w:t>
            </w:r>
          </w:p>
        </w:tc>
        <w:tc>
          <w:tcPr>
            <w:tcW w:w="1335" w:type="dxa"/>
          </w:tcPr>
          <w:p w14:paraId="24434E5C" w14:textId="6BBDD157" w:rsidR="00DE57B6" w:rsidRPr="00DE57B6" w:rsidRDefault="00DE57B6" w:rsidP="00DE57B6">
            <w:pPr>
              <w:rPr>
                <w:rFonts w:cs="Arial"/>
              </w:rPr>
            </w:pPr>
            <w:r w:rsidRPr="00DE57B6">
              <w:rPr>
                <w:rFonts w:cs="Arial"/>
                <w:i/>
                <w:iCs/>
                <w:lang w:val="en-US"/>
              </w:rPr>
              <w:t>Co</w:t>
            </w:r>
          </w:p>
        </w:tc>
        <w:tc>
          <w:tcPr>
            <w:tcW w:w="1313" w:type="dxa"/>
          </w:tcPr>
          <w:p w14:paraId="4521F24B" w14:textId="6C14E3B3" w:rsidR="00DE57B6" w:rsidRPr="00DE57B6" w:rsidRDefault="00DE57B6" w:rsidP="00DE57B6">
            <w:pPr>
              <w:rPr>
                <w:rFonts w:cs="Arial"/>
              </w:rPr>
            </w:pPr>
            <w:r w:rsidRPr="00DE57B6">
              <w:rPr>
                <w:rFonts w:cs="Arial"/>
                <w:i/>
                <w:iCs/>
              </w:rPr>
              <w:t>С2</w:t>
            </w:r>
          </w:p>
        </w:tc>
      </w:tr>
      <w:tr w:rsidR="00DE57B6" w14:paraId="5EA936F9" w14:textId="77777777" w:rsidTr="00DE57B6">
        <w:tc>
          <w:tcPr>
            <w:tcW w:w="1755" w:type="dxa"/>
          </w:tcPr>
          <w:p w14:paraId="6AF041A5" w14:textId="787035D9" w:rsidR="00DE57B6" w:rsidRPr="00DE57B6" w:rsidRDefault="00DE57B6" w:rsidP="00DE57B6">
            <w:pPr>
              <w:rPr>
                <w:rFonts w:cs="Arial"/>
              </w:rPr>
            </w:pPr>
            <w:r w:rsidRPr="00DE57B6">
              <w:rPr>
                <w:rFonts w:cs="Arial"/>
                <w:b/>
                <w:bCs/>
              </w:rPr>
              <w:t>Ден 7</w:t>
            </w:r>
          </w:p>
        </w:tc>
        <w:tc>
          <w:tcPr>
            <w:tcW w:w="1298" w:type="dxa"/>
          </w:tcPr>
          <w:p w14:paraId="1E134F0E" w14:textId="03CEAE5C" w:rsidR="00DE57B6" w:rsidRPr="00DE57B6" w:rsidRDefault="00DE57B6" w:rsidP="00DE57B6">
            <w:pPr>
              <w:rPr>
                <w:rFonts w:cs="Arial"/>
              </w:rPr>
            </w:pPr>
            <w:r w:rsidRPr="00DE57B6">
              <w:rPr>
                <w:rFonts w:cs="Arial"/>
              </w:rPr>
              <w:t>195 ±106</w:t>
            </w:r>
          </w:p>
        </w:tc>
        <w:tc>
          <w:tcPr>
            <w:tcW w:w="1294" w:type="dxa"/>
          </w:tcPr>
          <w:p w14:paraId="65CC8627" w14:textId="2B03C1E3" w:rsidR="00DE57B6" w:rsidRPr="00DE57B6" w:rsidRDefault="00DE57B6" w:rsidP="00DE57B6">
            <w:pPr>
              <w:rPr>
                <w:rFonts w:cs="Arial"/>
              </w:rPr>
            </w:pPr>
            <w:r w:rsidRPr="00DE57B6">
              <w:rPr>
                <w:rFonts w:cs="Arial"/>
              </w:rPr>
              <w:t>847 ± 412</w:t>
            </w:r>
          </w:p>
        </w:tc>
        <w:tc>
          <w:tcPr>
            <w:tcW w:w="1291" w:type="dxa"/>
          </w:tcPr>
          <w:p w14:paraId="72437D9A" w14:textId="4A31D95C" w:rsidR="00DE57B6" w:rsidRPr="00DE57B6" w:rsidRDefault="00DE57B6" w:rsidP="00DE57B6">
            <w:pPr>
              <w:rPr>
                <w:rFonts w:cs="Arial"/>
              </w:rPr>
            </w:pPr>
            <w:r w:rsidRPr="00DE57B6">
              <w:rPr>
                <w:rFonts w:cs="Arial"/>
              </w:rPr>
              <w:t>192 ±104</w:t>
            </w:r>
          </w:p>
        </w:tc>
        <w:tc>
          <w:tcPr>
            <w:tcW w:w="1290" w:type="dxa"/>
          </w:tcPr>
          <w:p w14:paraId="22366B51" w14:textId="756C8B97" w:rsidR="00DE57B6" w:rsidRPr="00DE57B6" w:rsidRDefault="00DE57B6" w:rsidP="00DE57B6">
            <w:pPr>
              <w:rPr>
                <w:rFonts w:cs="Arial"/>
              </w:rPr>
            </w:pPr>
            <w:r w:rsidRPr="00DE57B6">
              <w:rPr>
                <w:rFonts w:cs="Arial"/>
              </w:rPr>
              <w:t>718±319</w:t>
            </w:r>
          </w:p>
        </w:tc>
        <w:tc>
          <w:tcPr>
            <w:tcW w:w="1335" w:type="dxa"/>
          </w:tcPr>
          <w:p w14:paraId="1CBFCB55" w14:textId="603412A5" w:rsidR="00DE57B6" w:rsidRPr="00DE57B6" w:rsidRDefault="00DE57B6" w:rsidP="00DE57B6">
            <w:pPr>
              <w:rPr>
                <w:rFonts w:cs="Arial"/>
              </w:rPr>
            </w:pPr>
            <w:r w:rsidRPr="00DE57B6">
              <w:rPr>
                <w:rFonts w:cs="Arial"/>
              </w:rPr>
              <w:t>239 ±130</w:t>
            </w:r>
          </w:p>
        </w:tc>
        <w:tc>
          <w:tcPr>
            <w:tcW w:w="1313" w:type="dxa"/>
          </w:tcPr>
          <w:p w14:paraId="04E84B9B" w14:textId="48BC2845" w:rsidR="00DE57B6" w:rsidRPr="00DE57B6" w:rsidRDefault="00DE57B6" w:rsidP="00DE57B6">
            <w:pPr>
              <w:rPr>
                <w:rFonts w:cs="Arial"/>
              </w:rPr>
            </w:pPr>
            <w:r w:rsidRPr="00DE57B6">
              <w:rPr>
                <w:rFonts w:cs="Arial"/>
              </w:rPr>
              <w:t>934 ±438</w:t>
            </w:r>
          </w:p>
        </w:tc>
      </w:tr>
      <w:tr w:rsidR="00DE57B6" w14:paraId="11C0EB8C" w14:textId="77777777" w:rsidTr="00DE57B6">
        <w:tc>
          <w:tcPr>
            <w:tcW w:w="1755" w:type="dxa"/>
          </w:tcPr>
          <w:p w14:paraId="1CAEDB1B" w14:textId="7561C138" w:rsidR="00DE57B6" w:rsidRPr="00DE57B6" w:rsidRDefault="00DE57B6" w:rsidP="00DE57B6">
            <w:pPr>
              <w:rPr>
                <w:rFonts w:cs="Arial"/>
              </w:rPr>
            </w:pPr>
            <w:r w:rsidRPr="00DE57B6">
              <w:rPr>
                <w:rFonts w:cs="Arial"/>
                <w:b/>
                <w:bCs/>
              </w:rPr>
              <w:t>Месец 1</w:t>
            </w:r>
          </w:p>
        </w:tc>
        <w:tc>
          <w:tcPr>
            <w:tcW w:w="1298" w:type="dxa"/>
          </w:tcPr>
          <w:p w14:paraId="7B185CD1" w14:textId="423E7F99" w:rsidR="00DE57B6" w:rsidRPr="00DE57B6" w:rsidRDefault="00DE57B6" w:rsidP="00DE57B6">
            <w:pPr>
              <w:rPr>
                <w:rFonts w:cs="Arial"/>
              </w:rPr>
            </w:pPr>
            <w:r w:rsidRPr="00DE57B6">
              <w:rPr>
                <w:rFonts w:cs="Arial"/>
              </w:rPr>
              <w:t>173 ± 84</w:t>
            </w:r>
          </w:p>
        </w:tc>
        <w:tc>
          <w:tcPr>
            <w:tcW w:w="1294" w:type="dxa"/>
          </w:tcPr>
          <w:p w14:paraId="70ADBF19" w14:textId="72B1ECF7" w:rsidR="00DE57B6" w:rsidRPr="00DE57B6" w:rsidRDefault="00DE57B6" w:rsidP="00DE57B6">
            <w:pPr>
              <w:rPr>
                <w:rFonts w:cs="Arial"/>
              </w:rPr>
            </w:pPr>
            <w:r w:rsidRPr="00DE57B6">
              <w:rPr>
                <w:rFonts w:cs="Arial"/>
              </w:rPr>
              <w:t>770 ±364</w:t>
            </w:r>
          </w:p>
        </w:tc>
        <w:tc>
          <w:tcPr>
            <w:tcW w:w="1291" w:type="dxa"/>
          </w:tcPr>
          <w:p w14:paraId="548927FA" w14:textId="2EDCBE83" w:rsidR="00DE57B6" w:rsidRPr="00DE57B6" w:rsidRDefault="00DE57B6" w:rsidP="00DE57B6">
            <w:pPr>
              <w:rPr>
                <w:rFonts w:cs="Arial"/>
              </w:rPr>
            </w:pPr>
            <w:r w:rsidRPr="00DE57B6">
              <w:rPr>
                <w:rFonts w:cs="Arial"/>
              </w:rPr>
              <w:t>177 ±99</w:t>
            </w:r>
          </w:p>
        </w:tc>
        <w:tc>
          <w:tcPr>
            <w:tcW w:w="1290" w:type="dxa"/>
          </w:tcPr>
          <w:p w14:paraId="2CCF9270" w14:textId="658567F4" w:rsidR="00DE57B6" w:rsidRPr="00DE57B6" w:rsidRDefault="00DE57B6" w:rsidP="00DE57B6">
            <w:pPr>
              <w:rPr>
                <w:rFonts w:cs="Arial"/>
              </w:rPr>
            </w:pPr>
            <w:r w:rsidRPr="00DE57B6">
              <w:rPr>
                <w:rFonts w:cs="Arial"/>
              </w:rPr>
              <w:t>762 ±378</w:t>
            </w:r>
          </w:p>
        </w:tc>
        <w:tc>
          <w:tcPr>
            <w:tcW w:w="1335" w:type="dxa"/>
          </w:tcPr>
          <w:p w14:paraId="3231ACC1" w14:textId="49F1D69A" w:rsidR="00DE57B6" w:rsidRPr="00DE57B6" w:rsidRDefault="00DE57B6" w:rsidP="00DE57B6">
            <w:pPr>
              <w:rPr>
                <w:rFonts w:cs="Arial"/>
              </w:rPr>
            </w:pPr>
            <w:r w:rsidRPr="00DE57B6">
              <w:rPr>
                <w:rFonts w:cs="Arial"/>
              </w:rPr>
              <w:t>250±119</w:t>
            </w:r>
          </w:p>
        </w:tc>
        <w:tc>
          <w:tcPr>
            <w:tcW w:w="1313" w:type="dxa"/>
          </w:tcPr>
          <w:p w14:paraId="36BD2854" w14:textId="5DC2BF6A" w:rsidR="00DE57B6" w:rsidRPr="00DE57B6" w:rsidRDefault="00DE57B6" w:rsidP="00DE57B6">
            <w:pPr>
              <w:rPr>
                <w:rFonts w:cs="Arial"/>
              </w:rPr>
            </w:pPr>
            <w:r w:rsidRPr="00DE57B6">
              <w:rPr>
                <w:rFonts w:cs="Arial"/>
              </w:rPr>
              <w:t>992 ± 482</w:t>
            </w:r>
          </w:p>
        </w:tc>
      </w:tr>
      <w:tr w:rsidR="00DE57B6" w14:paraId="00893E3B" w14:textId="77777777" w:rsidTr="00DE57B6">
        <w:tc>
          <w:tcPr>
            <w:tcW w:w="1755" w:type="dxa"/>
          </w:tcPr>
          <w:p w14:paraId="311902D9" w14:textId="13362DD0" w:rsidR="00DE57B6" w:rsidRPr="00DE57B6" w:rsidRDefault="00DE57B6" w:rsidP="00DE57B6">
            <w:pPr>
              <w:rPr>
                <w:rFonts w:cs="Arial"/>
              </w:rPr>
            </w:pPr>
            <w:r w:rsidRPr="00DE57B6">
              <w:rPr>
                <w:rFonts w:cs="Arial"/>
                <w:b/>
                <w:bCs/>
              </w:rPr>
              <w:t>Месец 3</w:t>
            </w:r>
          </w:p>
        </w:tc>
        <w:tc>
          <w:tcPr>
            <w:tcW w:w="1298" w:type="dxa"/>
          </w:tcPr>
          <w:p w14:paraId="278F0005" w14:textId="2088320C" w:rsidR="00DE57B6" w:rsidRPr="00DE57B6" w:rsidRDefault="00DE57B6" w:rsidP="00DE57B6">
            <w:pPr>
              <w:rPr>
                <w:rFonts w:cs="Arial"/>
              </w:rPr>
            </w:pPr>
            <w:r w:rsidRPr="00DE57B6">
              <w:rPr>
                <w:rFonts w:cs="Arial"/>
              </w:rPr>
              <w:t>122 ± 53</w:t>
            </w:r>
          </w:p>
        </w:tc>
        <w:tc>
          <w:tcPr>
            <w:tcW w:w="1294" w:type="dxa"/>
          </w:tcPr>
          <w:p w14:paraId="34009AB5" w14:textId="23F4B3A7" w:rsidR="00DE57B6" w:rsidRPr="00DE57B6" w:rsidRDefault="00DE57B6" w:rsidP="00DE57B6">
            <w:pPr>
              <w:rPr>
                <w:rFonts w:cs="Arial"/>
              </w:rPr>
            </w:pPr>
            <w:r w:rsidRPr="00DE57B6">
              <w:rPr>
                <w:rFonts w:cs="Arial"/>
              </w:rPr>
              <w:t>580 ±322</w:t>
            </w:r>
          </w:p>
        </w:tc>
        <w:tc>
          <w:tcPr>
            <w:tcW w:w="1291" w:type="dxa"/>
          </w:tcPr>
          <w:p w14:paraId="163BD1E5" w14:textId="7D9CD778" w:rsidR="00DE57B6" w:rsidRPr="00DE57B6" w:rsidRDefault="00DE57B6" w:rsidP="00DE57B6">
            <w:pPr>
              <w:rPr>
                <w:rFonts w:cs="Arial"/>
              </w:rPr>
            </w:pPr>
            <w:r w:rsidRPr="00DE57B6">
              <w:rPr>
                <w:rFonts w:cs="Arial"/>
              </w:rPr>
              <w:t>123 ± 75</w:t>
            </w:r>
          </w:p>
        </w:tc>
        <w:tc>
          <w:tcPr>
            <w:tcW w:w="1290" w:type="dxa"/>
          </w:tcPr>
          <w:p w14:paraId="0FF00441" w14:textId="05031394" w:rsidR="00DE57B6" w:rsidRPr="00DE57B6" w:rsidRDefault="00DE57B6" w:rsidP="00DE57B6">
            <w:pPr>
              <w:rPr>
                <w:rFonts w:cs="Arial"/>
              </w:rPr>
            </w:pPr>
            <w:r w:rsidRPr="00DE57B6">
              <w:rPr>
                <w:rFonts w:cs="Arial"/>
              </w:rPr>
              <w:t>548 ± 272</w:t>
            </w:r>
          </w:p>
        </w:tc>
        <w:tc>
          <w:tcPr>
            <w:tcW w:w="1335" w:type="dxa"/>
          </w:tcPr>
          <w:p w14:paraId="05DFDEB9" w14:textId="6212C757" w:rsidR="00DE57B6" w:rsidRPr="00DE57B6" w:rsidRDefault="00DE57B6" w:rsidP="00DE57B6">
            <w:pPr>
              <w:rPr>
                <w:rFonts w:cs="Arial"/>
              </w:rPr>
            </w:pPr>
            <w:r w:rsidRPr="00DE57B6">
              <w:rPr>
                <w:rFonts w:cs="Arial"/>
              </w:rPr>
              <w:t>182 ±65</w:t>
            </w:r>
          </w:p>
        </w:tc>
        <w:tc>
          <w:tcPr>
            <w:tcW w:w="1313" w:type="dxa"/>
          </w:tcPr>
          <w:p w14:paraId="78702004" w14:textId="057645C0" w:rsidR="00DE57B6" w:rsidRPr="00DE57B6" w:rsidRDefault="00DE57B6" w:rsidP="00DE57B6">
            <w:pPr>
              <w:rPr>
                <w:rFonts w:cs="Arial"/>
              </w:rPr>
            </w:pPr>
            <w:r w:rsidRPr="00DE57B6">
              <w:rPr>
                <w:rFonts w:cs="Arial"/>
              </w:rPr>
              <w:t>821 ±273</w:t>
            </w:r>
          </w:p>
        </w:tc>
      </w:tr>
      <w:tr w:rsidR="00DE57B6" w14:paraId="66337EC9" w14:textId="77777777" w:rsidTr="00DE57B6">
        <w:tc>
          <w:tcPr>
            <w:tcW w:w="1755" w:type="dxa"/>
          </w:tcPr>
          <w:p w14:paraId="2C250BD1" w14:textId="255E94DE" w:rsidR="00DE57B6" w:rsidRPr="00DE57B6" w:rsidRDefault="00DE57B6" w:rsidP="00DE57B6">
            <w:pPr>
              <w:rPr>
                <w:rFonts w:cs="Arial"/>
              </w:rPr>
            </w:pPr>
            <w:r w:rsidRPr="00DE57B6">
              <w:rPr>
                <w:rFonts w:cs="Arial"/>
                <w:b/>
                <w:bCs/>
              </w:rPr>
              <w:t>Месец 6</w:t>
            </w:r>
          </w:p>
        </w:tc>
        <w:tc>
          <w:tcPr>
            <w:tcW w:w="1298" w:type="dxa"/>
          </w:tcPr>
          <w:p w14:paraId="2443151D" w14:textId="3881D261" w:rsidR="00DE57B6" w:rsidRPr="00DE57B6" w:rsidRDefault="00DE57B6" w:rsidP="00DE57B6">
            <w:pPr>
              <w:rPr>
                <w:rFonts w:cs="Arial"/>
              </w:rPr>
            </w:pPr>
            <w:r w:rsidRPr="00DE57B6">
              <w:rPr>
                <w:rFonts w:cs="Arial"/>
              </w:rPr>
              <w:t>88 ±55</w:t>
            </w:r>
          </w:p>
        </w:tc>
        <w:tc>
          <w:tcPr>
            <w:tcW w:w="1294" w:type="dxa"/>
          </w:tcPr>
          <w:p w14:paraId="3C8DC3C1" w14:textId="6770A2E3" w:rsidR="00DE57B6" w:rsidRPr="00DE57B6" w:rsidRDefault="00DE57B6" w:rsidP="00DE57B6">
            <w:pPr>
              <w:rPr>
                <w:rFonts w:cs="Arial"/>
              </w:rPr>
            </w:pPr>
            <w:r w:rsidRPr="00DE57B6">
              <w:rPr>
                <w:rFonts w:cs="Arial"/>
              </w:rPr>
              <w:t>408 ±226</w:t>
            </w:r>
          </w:p>
        </w:tc>
        <w:tc>
          <w:tcPr>
            <w:tcW w:w="1291" w:type="dxa"/>
          </w:tcPr>
          <w:p w14:paraId="259B8683" w14:textId="6725BB86" w:rsidR="00DE57B6" w:rsidRPr="00DE57B6" w:rsidRDefault="00DE57B6" w:rsidP="00DE57B6">
            <w:pPr>
              <w:rPr>
                <w:rFonts w:cs="Arial"/>
              </w:rPr>
            </w:pPr>
            <w:r w:rsidRPr="00DE57B6">
              <w:rPr>
                <w:rFonts w:cs="Arial"/>
              </w:rPr>
              <w:t>80 ±40</w:t>
            </w:r>
          </w:p>
        </w:tc>
        <w:tc>
          <w:tcPr>
            <w:tcW w:w="1290" w:type="dxa"/>
          </w:tcPr>
          <w:p w14:paraId="5A842502" w14:textId="2D97F473" w:rsidR="00DE57B6" w:rsidRPr="00DE57B6" w:rsidRDefault="00DE57B6" w:rsidP="00DE57B6">
            <w:pPr>
              <w:rPr>
                <w:rFonts w:cs="Arial"/>
              </w:rPr>
            </w:pPr>
            <w:r w:rsidRPr="00DE57B6">
              <w:rPr>
                <w:rFonts w:cs="Arial"/>
              </w:rPr>
              <w:t>426 ±225</w:t>
            </w:r>
          </w:p>
        </w:tc>
        <w:tc>
          <w:tcPr>
            <w:tcW w:w="1335" w:type="dxa"/>
          </w:tcPr>
          <w:p w14:paraId="1A8C9A44" w14:textId="3989A16A" w:rsidR="00DE57B6" w:rsidRPr="00DE57B6" w:rsidRDefault="00DE57B6" w:rsidP="00DE57B6">
            <w:pPr>
              <w:rPr>
                <w:rFonts w:cs="Arial"/>
              </w:rPr>
            </w:pPr>
            <w:r w:rsidRPr="00DE57B6">
              <w:rPr>
                <w:rFonts w:cs="Arial"/>
              </w:rPr>
              <w:t>163 ±103</w:t>
            </w:r>
          </w:p>
        </w:tc>
        <w:tc>
          <w:tcPr>
            <w:tcW w:w="1313" w:type="dxa"/>
          </w:tcPr>
          <w:p w14:paraId="1F06E2B2" w14:textId="70023DD7" w:rsidR="00DE57B6" w:rsidRPr="00DE57B6" w:rsidRDefault="00DE57B6" w:rsidP="00DE57B6">
            <w:pPr>
              <w:rPr>
                <w:rFonts w:cs="Arial"/>
              </w:rPr>
            </w:pPr>
            <w:r w:rsidRPr="00DE57B6">
              <w:rPr>
                <w:rFonts w:cs="Arial"/>
              </w:rPr>
              <w:t>751 ±269</w:t>
            </w:r>
          </w:p>
        </w:tc>
      </w:tr>
      <w:tr w:rsidR="00DE57B6" w14:paraId="5C7F7C79" w14:textId="77777777" w:rsidTr="00DE57B6">
        <w:tc>
          <w:tcPr>
            <w:tcW w:w="1755" w:type="dxa"/>
          </w:tcPr>
          <w:p w14:paraId="6093C0BB" w14:textId="210B553F" w:rsidR="00DE57B6" w:rsidRPr="00DE57B6" w:rsidRDefault="00DE57B6" w:rsidP="00DE57B6">
            <w:pPr>
              <w:rPr>
                <w:rFonts w:cs="Arial"/>
              </w:rPr>
            </w:pPr>
            <w:r w:rsidRPr="00DE57B6">
              <w:rPr>
                <w:rFonts w:cs="Arial"/>
                <w:b/>
                <w:bCs/>
              </w:rPr>
              <w:t>Месец 9</w:t>
            </w:r>
          </w:p>
        </w:tc>
        <w:tc>
          <w:tcPr>
            <w:tcW w:w="1298" w:type="dxa"/>
          </w:tcPr>
          <w:p w14:paraId="1F55AC5D" w14:textId="4AD21A58" w:rsidR="00DE57B6" w:rsidRPr="00DE57B6" w:rsidRDefault="00DE57B6" w:rsidP="00DE57B6">
            <w:pPr>
              <w:rPr>
                <w:rFonts w:cs="Arial"/>
              </w:rPr>
            </w:pPr>
            <w:r w:rsidRPr="00DE57B6">
              <w:rPr>
                <w:rFonts w:cs="Arial"/>
              </w:rPr>
              <w:t>55 ±24</w:t>
            </w:r>
          </w:p>
        </w:tc>
        <w:tc>
          <w:tcPr>
            <w:tcW w:w="1294" w:type="dxa"/>
          </w:tcPr>
          <w:p w14:paraId="34C22AE0" w14:textId="79496E3E" w:rsidR="00DE57B6" w:rsidRPr="00DE57B6" w:rsidRDefault="00DE57B6" w:rsidP="00DE57B6">
            <w:pPr>
              <w:rPr>
                <w:rFonts w:cs="Arial"/>
              </w:rPr>
            </w:pPr>
            <w:r w:rsidRPr="00DE57B6">
              <w:rPr>
                <w:rFonts w:cs="Arial"/>
              </w:rPr>
              <w:t>319±172</w:t>
            </w:r>
          </w:p>
        </w:tc>
        <w:tc>
          <w:tcPr>
            <w:tcW w:w="1291" w:type="dxa"/>
          </w:tcPr>
          <w:p w14:paraId="17F3AAF8" w14:textId="11173D48" w:rsidR="00DE57B6" w:rsidRPr="00DE57B6" w:rsidRDefault="00DE57B6" w:rsidP="00DE57B6">
            <w:pPr>
              <w:rPr>
                <w:rFonts w:cs="Arial"/>
              </w:rPr>
            </w:pPr>
            <w:r w:rsidRPr="00DE57B6">
              <w:rPr>
                <w:rFonts w:cs="Arial"/>
              </w:rPr>
              <w:t>51 ±30</w:t>
            </w:r>
          </w:p>
        </w:tc>
        <w:tc>
          <w:tcPr>
            <w:tcW w:w="1290" w:type="dxa"/>
          </w:tcPr>
          <w:p w14:paraId="79F2AC87" w14:textId="4396B744" w:rsidR="00DE57B6" w:rsidRPr="00DE57B6" w:rsidRDefault="00DE57B6" w:rsidP="00DE57B6">
            <w:pPr>
              <w:rPr>
                <w:rFonts w:cs="Arial"/>
              </w:rPr>
            </w:pPr>
            <w:r w:rsidRPr="00DE57B6">
              <w:rPr>
                <w:rFonts w:cs="Arial"/>
              </w:rPr>
              <w:t>296±183</w:t>
            </w:r>
          </w:p>
        </w:tc>
        <w:tc>
          <w:tcPr>
            <w:tcW w:w="1335" w:type="dxa"/>
          </w:tcPr>
          <w:p w14:paraId="6DD1BF56" w14:textId="080189D1" w:rsidR="00DE57B6" w:rsidRPr="00DE57B6" w:rsidRDefault="00DE57B6" w:rsidP="00DE57B6">
            <w:pPr>
              <w:rPr>
                <w:rFonts w:cs="Arial"/>
              </w:rPr>
            </w:pPr>
            <w:r w:rsidRPr="00DE57B6">
              <w:rPr>
                <w:rFonts w:cs="Arial"/>
              </w:rPr>
              <w:t>149 ±69</w:t>
            </w:r>
          </w:p>
        </w:tc>
        <w:tc>
          <w:tcPr>
            <w:tcW w:w="1313" w:type="dxa"/>
          </w:tcPr>
          <w:p w14:paraId="22A62FAB" w14:textId="3E10CFCC" w:rsidR="00DE57B6" w:rsidRPr="00DE57B6" w:rsidRDefault="00DE57B6" w:rsidP="00DE57B6">
            <w:pPr>
              <w:rPr>
                <w:rFonts w:cs="Arial"/>
              </w:rPr>
            </w:pPr>
            <w:r w:rsidRPr="00DE57B6">
              <w:rPr>
                <w:rFonts w:cs="Arial"/>
              </w:rPr>
              <w:t>648 ± 265</w:t>
            </w:r>
          </w:p>
        </w:tc>
      </w:tr>
      <w:tr w:rsidR="00DE57B6" w14:paraId="716F5364" w14:textId="77777777" w:rsidTr="00DE57B6">
        <w:tc>
          <w:tcPr>
            <w:tcW w:w="1755" w:type="dxa"/>
          </w:tcPr>
          <w:p w14:paraId="21D7277E" w14:textId="260099C8" w:rsidR="00DE57B6" w:rsidRPr="00DE57B6" w:rsidRDefault="00DE57B6" w:rsidP="00DE57B6">
            <w:pPr>
              <w:rPr>
                <w:rFonts w:cs="Arial"/>
              </w:rPr>
            </w:pPr>
            <w:r w:rsidRPr="00DE57B6">
              <w:rPr>
                <w:rFonts w:cs="Arial"/>
                <w:b/>
                <w:bCs/>
              </w:rPr>
              <w:t>Месец 12</w:t>
            </w:r>
          </w:p>
        </w:tc>
        <w:tc>
          <w:tcPr>
            <w:tcW w:w="1298" w:type="dxa"/>
          </w:tcPr>
          <w:p w14:paraId="5612D813" w14:textId="00184AE0" w:rsidR="00DE57B6" w:rsidRPr="00DE57B6" w:rsidRDefault="00DE57B6" w:rsidP="00DE57B6">
            <w:pPr>
              <w:rPr>
                <w:rFonts w:cs="Arial"/>
              </w:rPr>
            </w:pPr>
            <w:r w:rsidRPr="00DE57B6">
              <w:rPr>
                <w:rFonts w:cs="Arial"/>
              </w:rPr>
              <w:t>55 ±38</w:t>
            </w:r>
          </w:p>
        </w:tc>
        <w:tc>
          <w:tcPr>
            <w:tcW w:w="1294" w:type="dxa"/>
          </w:tcPr>
          <w:p w14:paraId="2BF83FCC" w14:textId="3EFD3636" w:rsidR="00DE57B6" w:rsidRPr="00DE57B6" w:rsidRDefault="00DE57B6" w:rsidP="00DE57B6">
            <w:pPr>
              <w:rPr>
                <w:rFonts w:cs="Arial"/>
              </w:rPr>
            </w:pPr>
            <w:r w:rsidRPr="00DE57B6">
              <w:rPr>
                <w:rFonts w:cs="Arial"/>
              </w:rPr>
              <w:t>291±155</w:t>
            </w:r>
          </w:p>
        </w:tc>
        <w:tc>
          <w:tcPr>
            <w:tcW w:w="1291" w:type="dxa"/>
          </w:tcPr>
          <w:p w14:paraId="6DB4485A" w14:textId="1315905C" w:rsidR="00DE57B6" w:rsidRPr="00DE57B6" w:rsidRDefault="00DE57B6" w:rsidP="00DE57B6">
            <w:pPr>
              <w:rPr>
                <w:rFonts w:cs="Arial"/>
              </w:rPr>
            </w:pPr>
            <w:r w:rsidRPr="00DE57B6">
              <w:rPr>
                <w:rFonts w:cs="Arial"/>
              </w:rPr>
              <w:t>49 ±27</w:t>
            </w:r>
          </w:p>
        </w:tc>
        <w:tc>
          <w:tcPr>
            <w:tcW w:w="1290" w:type="dxa"/>
          </w:tcPr>
          <w:p w14:paraId="38489D55" w14:textId="3D4FD943" w:rsidR="00DE57B6" w:rsidRPr="00DE57B6" w:rsidRDefault="00DE57B6" w:rsidP="00DE57B6">
            <w:pPr>
              <w:rPr>
                <w:rFonts w:cs="Arial"/>
              </w:rPr>
            </w:pPr>
            <w:r w:rsidRPr="00DE57B6">
              <w:rPr>
                <w:rFonts w:cs="Arial"/>
              </w:rPr>
              <w:t>281±198</w:t>
            </w:r>
          </w:p>
        </w:tc>
        <w:tc>
          <w:tcPr>
            <w:tcW w:w="1335" w:type="dxa"/>
          </w:tcPr>
          <w:p w14:paraId="54C88A70" w14:textId="3B4EAFE3" w:rsidR="00DE57B6" w:rsidRPr="00DE57B6" w:rsidRDefault="00DE57B6" w:rsidP="00DE57B6">
            <w:pPr>
              <w:rPr>
                <w:rFonts w:cs="Arial"/>
              </w:rPr>
            </w:pPr>
            <w:r w:rsidRPr="00DE57B6">
              <w:rPr>
                <w:rFonts w:cs="Arial"/>
              </w:rPr>
              <w:t>137± 55</w:t>
            </w:r>
          </w:p>
        </w:tc>
        <w:tc>
          <w:tcPr>
            <w:tcW w:w="1313" w:type="dxa"/>
          </w:tcPr>
          <w:p w14:paraId="2C73CC3F" w14:textId="54BE7B6B" w:rsidR="00DE57B6" w:rsidRPr="00DE57B6" w:rsidRDefault="00DE57B6" w:rsidP="00DE57B6">
            <w:pPr>
              <w:rPr>
                <w:rFonts w:cs="Arial"/>
              </w:rPr>
            </w:pPr>
            <w:r w:rsidRPr="00DE57B6">
              <w:rPr>
                <w:rFonts w:cs="Arial"/>
              </w:rPr>
              <w:t>587± 241</w:t>
            </w:r>
          </w:p>
        </w:tc>
      </w:tr>
      <w:tr w:rsidR="00DE57B6" w14:paraId="72D1B78F" w14:textId="77777777" w:rsidTr="00DD3595">
        <w:tc>
          <w:tcPr>
            <w:tcW w:w="1755" w:type="dxa"/>
          </w:tcPr>
          <w:p w14:paraId="56DF209B" w14:textId="35F40A6C" w:rsidR="00DE57B6" w:rsidRPr="00DE57B6" w:rsidRDefault="00DE57B6" w:rsidP="00DE57B6">
            <w:pPr>
              <w:rPr>
                <w:rFonts w:cs="Arial"/>
              </w:rPr>
            </w:pPr>
            <w:r w:rsidRPr="00DE57B6">
              <w:rPr>
                <w:rFonts w:cs="Arial"/>
                <w:b/>
                <w:bCs/>
              </w:rPr>
              <w:t>Еверолимус</w:t>
            </w:r>
          </w:p>
        </w:tc>
        <w:tc>
          <w:tcPr>
            <w:tcW w:w="2592" w:type="dxa"/>
            <w:gridSpan w:val="2"/>
          </w:tcPr>
          <w:p w14:paraId="2600B8EC" w14:textId="6E408FB9" w:rsidR="00DE57B6" w:rsidRPr="00DE57B6" w:rsidRDefault="00DE57B6" w:rsidP="00DE57B6">
            <w:pPr>
              <w:rPr>
                <w:rFonts w:cs="Arial"/>
              </w:rPr>
            </w:pPr>
            <w:r w:rsidRPr="00DE57B6">
              <w:rPr>
                <w:rFonts w:cs="Arial"/>
              </w:rPr>
              <w:t>(Прицелни Со 3-8)</w:t>
            </w:r>
          </w:p>
        </w:tc>
        <w:tc>
          <w:tcPr>
            <w:tcW w:w="2581" w:type="dxa"/>
            <w:gridSpan w:val="2"/>
          </w:tcPr>
          <w:p w14:paraId="464B3957" w14:textId="3DD698C7" w:rsidR="00DE57B6" w:rsidRPr="00DE57B6" w:rsidRDefault="00DE57B6" w:rsidP="00DE57B6">
            <w:pPr>
              <w:rPr>
                <w:rFonts w:cs="Arial"/>
              </w:rPr>
            </w:pPr>
            <w:r w:rsidRPr="00DE57B6">
              <w:rPr>
                <w:rFonts w:cs="Arial"/>
              </w:rPr>
              <w:t>(Прицелни Со 6-12)</w:t>
            </w:r>
          </w:p>
        </w:tc>
        <w:tc>
          <w:tcPr>
            <w:tcW w:w="2648" w:type="dxa"/>
            <w:gridSpan w:val="2"/>
          </w:tcPr>
          <w:p w14:paraId="09FABA82" w14:textId="77777777" w:rsidR="00DE57B6" w:rsidRPr="00DE57B6" w:rsidRDefault="00DE57B6" w:rsidP="00DE57B6">
            <w:pPr>
              <w:rPr>
                <w:rFonts w:cs="Arial"/>
              </w:rPr>
            </w:pPr>
          </w:p>
        </w:tc>
      </w:tr>
      <w:tr w:rsidR="00DE57B6" w14:paraId="15419534" w14:textId="77777777" w:rsidTr="00DD3595">
        <w:tc>
          <w:tcPr>
            <w:tcW w:w="1755" w:type="dxa"/>
          </w:tcPr>
          <w:p w14:paraId="727BDAD6" w14:textId="6CAFEBC6" w:rsidR="00DE57B6" w:rsidRPr="00DE57B6" w:rsidRDefault="00DE57B6" w:rsidP="00DE57B6">
            <w:pPr>
              <w:rPr>
                <w:rFonts w:cs="Arial"/>
              </w:rPr>
            </w:pPr>
            <w:r w:rsidRPr="00DE57B6">
              <w:rPr>
                <w:rFonts w:cs="Arial"/>
              </w:rPr>
              <w:t>Ден 7</w:t>
            </w:r>
          </w:p>
        </w:tc>
        <w:tc>
          <w:tcPr>
            <w:tcW w:w="2592" w:type="dxa"/>
            <w:gridSpan w:val="2"/>
          </w:tcPr>
          <w:p w14:paraId="24D06675" w14:textId="33F4F0D5" w:rsidR="00DE57B6" w:rsidRPr="00DE57B6" w:rsidRDefault="00DE57B6" w:rsidP="00DE57B6">
            <w:pPr>
              <w:rPr>
                <w:rFonts w:cs="Arial"/>
              </w:rPr>
            </w:pPr>
            <w:r w:rsidRPr="00DE57B6">
              <w:rPr>
                <w:rFonts w:cs="Arial"/>
              </w:rPr>
              <w:t>4,5 ±2,3</w:t>
            </w:r>
          </w:p>
        </w:tc>
        <w:tc>
          <w:tcPr>
            <w:tcW w:w="2581" w:type="dxa"/>
            <w:gridSpan w:val="2"/>
          </w:tcPr>
          <w:p w14:paraId="4EF212F3" w14:textId="56C7F66A" w:rsidR="00DE57B6" w:rsidRPr="00DE57B6" w:rsidRDefault="00DE57B6" w:rsidP="00DE57B6">
            <w:pPr>
              <w:rPr>
                <w:rFonts w:cs="Arial"/>
              </w:rPr>
            </w:pPr>
            <w:r w:rsidRPr="00DE57B6">
              <w:rPr>
                <w:rFonts w:cs="Arial"/>
              </w:rPr>
              <w:t>8,3 ± 4,8</w:t>
            </w:r>
          </w:p>
        </w:tc>
        <w:tc>
          <w:tcPr>
            <w:tcW w:w="2648" w:type="dxa"/>
            <w:gridSpan w:val="2"/>
          </w:tcPr>
          <w:p w14:paraId="6EC4F6EB" w14:textId="2A20AD5A" w:rsidR="00DE57B6" w:rsidRPr="00DE57B6" w:rsidRDefault="00DE57B6" w:rsidP="00DE57B6">
            <w:pPr>
              <w:rPr>
                <w:rFonts w:cs="Arial"/>
              </w:rPr>
            </w:pPr>
            <w:r w:rsidRPr="00DE57B6">
              <w:rPr>
                <w:rFonts w:cs="Arial"/>
                <w:b/>
                <w:bCs/>
              </w:rPr>
              <w:t>-</w:t>
            </w:r>
          </w:p>
        </w:tc>
      </w:tr>
      <w:tr w:rsidR="00DE57B6" w14:paraId="0BE7BABC" w14:textId="77777777" w:rsidTr="00DD3595">
        <w:tc>
          <w:tcPr>
            <w:tcW w:w="1755" w:type="dxa"/>
          </w:tcPr>
          <w:p w14:paraId="10059AE0" w14:textId="504534F2" w:rsidR="00DE57B6" w:rsidRPr="00DE57B6" w:rsidRDefault="00DE57B6" w:rsidP="00DE57B6">
            <w:pPr>
              <w:rPr>
                <w:rFonts w:cs="Arial"/>
              </w:rPr>
            </w:pPr>
            <w:r w:rsidRPr="00DE57B6">
              <w:rPr>
                <w:rFonts w:cs="Arial"/>
              </w:rPr>
              <w:t>Месец 1</w:t>
            </w:r>
          </w:p>
        </w:tc>
        <w:tc>
          <w:tcPr>
            <w:tcW w:w="2592" w:type="dxa"/>
            <w:gridSpan w:val="2"/>
          </w:tcPr>
          <w:p w14:paraId="7588423C" w14:textId="0A0D0C19" w:rsidR="00DE57B6" w:rsidRPr="00DE57B6" w:rsidRDefault="00DE57B6" w:rsidP="00DE57B6">
            <w:pPr>
              <w:rPr>
                <w:rFonts w:cs="Arial"/>
              </w:rPr>
            </w:pPr>
            <w:r w:rsidRPr="00DE57B6">
              <w:rPr>
                <w:rFonts w:cs="Arial"/>
              </w:rPr>
              <w:t>5,3 ±2,2</w:t>
            </w:r>
          </w:p>
        </w:tc>
        <w:tc>
          <w:tcPr>
            <w:tcW w:w="2581" w:type="dxa"/>
            <w:gridSpan w:val="2"/>
          </w:tcPr>
          <w:p w14:paraId="5517C24D" w14:textId="3195C8F0" w:rsidR="00DE57B6" w:rsidRPr="00DE57B6" w:rsidRDefault="00DE57B6" w:rsidP="00DE57B6">
            <w:pPr>
              <w:rPr>
                <w:rFonts w:cs="Arial"/>
              </w:rPr>
            </w:pPr>
            <w:r w:rsidRPr="00DE57B6">
              <w:rPr>
                <w:rFonts w:cs="Arial"/>
              </w:rPr>
              <w:t>8,6 ±3,9</w:t>
            </w:r>
          </w:p>
        </w:tc>
        <w:tc>
          <w:tcPr>
            <w:tcW w:w="2648" w:type="dxa"/>
            <w:gridSpan w:val="2"/>
          </w:tcPr>
          <w:p w14:paraId="28D4EF29" w14:textId="42A72DD0" w:rsidR="00DE57B6" w:rsidRPr="00DE57B6" w:rsidRDefault="00DE57B6" w:rsidP="00DE57B6">
            <w:pPr>
              <w:rPr>
                <w:rFonts w:cs="Arial"/>
              </w:rPr>
            </w:pPr>
            <w:r w:rsidRPr="00DE57B6">
              <w:rPr>
                <w:rFonts w:cs="Arial"/>
                <w:b/>
                <w:bCs/>
              </w:rPr>
              <w:t>-</w:t>
            </w:r>
          </w:p>
        </w:tc>
      </w:tr>
      <w:tr w:rsidR="00DE57B6" w14:paraId="7AC0B7B9" w14:textId="77777777" w:rsidTr="00DD3595">
        <w:tc>
          <w:tcPr>
            <w:tcW w:w="1755" w:type="dxa"/>
          </w:tcPr>
          <w:p w14:paraId="53F372AC" w14:textId="5A4A7F52" w:rsidR="00DE57B6" w:rsidRPr="00DE57B6" w:rsidRDefault="00DE57B6" w:rsidP="00DE57B6">
            <w:pPr>
              <w:rPr>
                <w:rFonts w:cs="Arial"/>
              </w:rPr>
            </w:pPr>
            <w:r w:rsidRPr="00DE57B6">
              <w:rPr>
                <w:rFonts w:cs="Arial"/>
              </w:rPr>
              <w:t>Месец 3</w:t>
            </w:r>
          </w:p>
        </w:tc>
        <w:tc>
          <w:tcPr>
            <w:tcW w:w="2592" w:type="dxa"/>
            <w:gridSpan w:val="2"/>
          </w:tcPr>
          <w:p w14:paraId="66FF0605" w14:textId="77034859" w:rsidR="00DE57B6" w:rsidRPr="00DE57B6" w:rsidRDefault="00DE57B6" w:rsidP="00DE57B6">
            <w:pPr>
              <w:rPr>
                <w:rFonts w:cs="Arial"/>
              </w:rPr>
            </w:pPr>
            <w:r w:rsidRPr="00DE57B6">
              <w:rPr>
                <w:rFonts w:cs="Arial"/>
              </w:rPr>
              <w:t>6,0 ± 2,7</w:t>
            </w:r>
          </w:p>
        </w:tc>
        <w:tc>
          <w:tcPr>
            <w:tcW w:w="2581" w:type="dxa"/>
            <w:gridSpan w:val="2"/>
          </w:tcPr>
          <w:p w14:paraId="1824F3C7" w14:textId="53FB7D2F" w:rsidR="00DE57B6" w:rsidRPr="00DE57B6" w:rsidRDefault="00DE57B6" w:rsidP="00DE57B6">
            <w:pPr>
              <w:rPr>
                <w:rFonts w:cs="Arial"/>
              </w:rPr>
            </w:pPr>
            <w:r w:rsidRPr="00DE57B6">
              <w:rPr>
                <w:rFonts w:cs="Arial"/>
              </w:rPr>
              <w:t>8,8 ± 3,6</w:t>
            </w:r>
          </w:p>
        </w:tc>
        <w:tc>
          <w:tcPr>
            <w:tcW w:w="2648" w:type="dxa"/>
            <w:gridSpan w:val="2"/>
          </w:tcPr>
          <w:p w14:paraId="53E1066F" w14:textId="22954F6B" w:rsidR="00DE57B6" w:rsidRPr="00DE57B6" w:rsidRDefault="00DE57B6" w:rsidP="00DE57B6">
            <w:pPr>
              <w:rPr>
                <w:rFonts w:cs="Arial"/>
              </w:rPr>
            </w:pPr>
            <w:r w:rsidRPr="00DE57B6">
              <w:rPr>
                <w:rFonts w:cs="Arial"/>
                <w:b/>
                <w:bCs/>
              </w:rPr>
              <w:t>-</w:t>
            </w:r>
          </w:p>
        </w:tc>
      </w:tr>
      <w:tr w:rsidR="00DE57B6" w14:paraId="24267267" w14:textId="77777777" w:rsidTr="00DD3595">
        <w:tc>
          <w:tcPr>
            <w:tcW w:w="1755" w:type="dxa"/>
          </w:tcPr>
          <w:p w14:paraId="4E552785" w14:textId="71FE61D7" w:rsidR="00DE57B6" w:rsidRPr="00DE57B6" w:rsidRDefault="00DE57B6" w:rsidP="00DE57B6">
            <w:pPr>
              <w:rPr>
                <w:rFonts w:cs="Arial"/>
              </w:rPr>
            </w:pPr>
            <w:r w:rsidRPr="00DE57B6">
              <w:rPr>
                <w:rFonts w:cs="Arial"/>
              </w:rPr>
              <w:t xml:space="preserve">Месец </w:t>
            </w:r>
            <w:r w:rsidRPr="00DE57B6">
              <w:rPr>
                <w:rFonts w:cs="Arial"/>
                <w:b/>
                <w:bCs/>
              </w:rPr>
              <w:t>6</w:t>
            </w:r>
          </w:p>
        </w:tc>
        <w:tc>
          <w:tcPr>
            <w:tcW w:w="2592" w:type="dxa"/>
            <w:gridSpan w:val="2"/>
          </w:tcPr>
          <w:p w14:paraId="4E76F2FE" w14:textId="46FC7947" w:rsidR="00DE57B6" w:rsidRPr="00DE57B6" w:rsidRDefault="00DE57B6" w:rsidP="00DE57B6">
            <w:pPr>
              <w:rPr>
                <w:rFonts w:cs="Arial"/>
              </w:rPr>
            </w:pPr>
            <w:r w:rsidRPr="00DE57B6">
              <w:rPr>
                <w:rFonts w:cs="Arial"/>
              </w:rPr>
              <w:t>5,3 ±1,9</w:t>
            </w:r>
          </w:p>
        </w:tc>
        <w:tc>
          <w:tcPr>
            <w:tcW w:w="2581" w:type="dxa"/>
            <w:gridSpan w:val="2"/>
          </w:tcPr>
          <w:p w14:paraId="04D5F429" w14:textId="5EC58284" w:rsidR="00DE57B6" w:rsidRPr="00DE57B6" w:rsidRDefault="00DE57B6" w:rsidP="00DE57B6">
            <w:pPr>
              <w:rPr>
                <w:rFonts w:cs="Arial"/>
              </w:rPr>
            </w:pPr>
            <w:r w:rsidRPr="00DE57B6">
              <w:rPr>
                <w:rFonts w:cs="Arial"/>
              </w:rPr>
              <w:t>8,0 ±3,1</w:t>
            </w:r>
          </w:p>
        </w:tc>
        <w:tc>
          <w:tcPr>
            <w:tcW w:w="2648" w:type="dxa"/>
            <w:gridSpan w:val="2"/>
          </w:tcPr>
          <w:p w14:paraId="09BC9ED8" w14:textId="551480F4" w:rsidR="00DE57B6" w:rsidRPr="00DE57B6" w:rsidRDefault="00DE57B6" w:rsidP="00DE57B6">
            <w:pPr>
              <w:rPr>
                <w:rFonts w:cs="Arial"/>
              </w:rPr>
            </w:pPr>
            <w:r w:rsidRPr="00DE57B6">
              <w:rPr>
                <w:rFonts w:cs="Arial"/>
                <w:b/>
                <w:bCs/>
              </w:rPr>
              <w:t>-</w:t>
            </w:r>
          </w:p>
        </w:tc>
      </w:tr>
      <w:tr w:rsidR="00DE57B6" w14:paraId="64BF10DB" w14:textId="77777777" w:rsidTr="00DD3595">
        <w:tc>
          <w:tcPr>
            <w:tcW w:w="1755" w:type="dxa"/>
          </w:tcPr>
          <w:p w14:paraId="71FF9A27" w14:textId="5A2CE71B" w:rsidR="00DE57B6" w:rsidRPr="00DE57B6" w:rsidRDefault="00DE57B6" w:rsidP="00DE57B6">
            <w:pPr>
              <w:rPr>
                <w:rFonts w:cs="Arial"/>
              </w:rPr>
            </w:pPr>
            <w:r w:rsidRPr="00DE57B6">
              <w:rPr>
                <w:rFonts w:cs="Arial"/>
              </w:rPr>
              <w:t>Месец 9</w:t>
            </w:r>
          </w:p>
        </w:tc>
        <w:tc>
          <w:tcPr>
            <w:tcW w:w="2592" w:type="dxa"/>
            <w:gridSpan w:val="2"/>
          </w:tcPr>
          <w:p w14:paraId="59097465" w14:textId="07AAD8E5" w:rsidR="00DE57B6" w:rsidRPr="00DE57B6" w:rsidRDefault="00DE57B6" w:rsidP="00DE57B6">
            <w:pPr>
              <w:rPr>
                <w:rFonts w:cs="Arial"/>
              </w:rPr>
            </w:pPr>
            <w:r w:rsidRPr="00DE57B6">
              <w:rPr>
                <w:rFonts w:cs="Arial"/>
              </w:rPr>
              <w:t>5,3 ± 1,9</w:t>
            </w:r>
          </w:p>
        </w:tc>
        <w:tc>
          <w:tcPr>
            <w:tcW w:w="2581" w:type="dxa"/>
            <w:gridSpan w:val="2"/>
          </w:tcPr>
          <w:p w14:paraId="0E44AABB" w14:textId="404F73C0" w:rsidR="00DE57B6" w:rsidRPr="00DE57B6" w:rsidRDefault="00DE57B6" w:rsidP="00DE57B6">
            <w:pPr>
              <w:rPr>
                <w:rFonts w:cs="Arial"/>
              </w:rPr>
            </w:pPr>
            <w:r w:rsidRPr="00DE57B6">
              <w:rPr>
                <w:rFonts w:cs="Arial"/>
              </w:rPr>
              <w:t>7,7 ±2,6</w:t>
            </w:r>
          </w:p>
        </w:tc>
        <w:tc>
          <w:tcPr>
            <w:tcW w:w="2648" w:type="dxa"/>
            <w:gridSpan w:val="2"/>
          </w:tcPr>
          <w:p w14:paraId="4280DD85" w14:textId="0EA3FC9E" w:rsidR="00DE57B6" w:rsidRPr="00DE57B6" w:rsidRDefault="00DE57B6" w:rsidP="00DE57B6">
            <w:pPr>
              <w:rPr>
                <w:rFonts w:cs="Arial"/>
              </w:rPr>
            </w:pPr>
            <w:r w:rsidRPr="00DE57B6">
              <w:rPr>
                <w:rFonts w:cs="Arial"/>
                <w:b/>
                <w:bCs/>
              </w:rPr>
              <w:t>-</w:t>
            </w:r>
          </w:p>
        </w:tc>
      </w:tr>
      <w:tr w:rsidR="00DE57B6" w14:paraId="6E22B763" w14:textId="77777777" w:rsidTr="00DD3595">
        <w:tc>
          <w:tcPr>
            <w:tcW w:w="1755" w:type="dxa"/>
          </w:tcPr>
          <w:p w14:paraId="10F67DB9" w14:textId="43186D2F" w:rsidR="00DE57B6" w:rsidRPr="00DE57B6" w:rsidRDefault="00DE57B6" w:rsidP="00DE57B6">
            <w:pPr>
              <w:rPr>
                <w:rFonts w:cs="Arial"/>
              </w:rPr>
            </w:pPr>
            <w:r w:rsidRPr="00DE57B6">
              <w:rPr>
                <w:rFonts w:cs="Arial"/>
              </w:rPr>
              <w:t>Месец 12</w:t>
            </w:r>
          </w:p>
        </w:tc>
        <w:tc>
          <w:tcPr>
            <w:tcW w:w="2592" w:type="dxa"/>
            <w:gridSpan w:val="2"/>
          </w:tcPr>
          <w:p w14:paraId="0A169093" w14:textId="1B217526" w:rsidR="00DE57B6" w:rsidRPr="00DE57B6" w:rsidRDefault="00DE57B6" w:rsidP="00DE57B6">
            <w:pPr>
              <w:rPr>
                <w:rFonts w:cs="Arial"/>
              </w:rPr>
            </w:pPr>
            <w:r w:rsidRPr="00DE57B6">
              <w:rPr>
                <w:rFonts w:cs="Arial"/>
              </w:rPr>
              <w:t>5,3 ±2,3</w:t>
            </w:r>
          </w:p>
        </w:tc>
        <w:tc>
          <w:tcPr>
            <w:tcW w:w="2581" w:type="dxa"/>
            <w:gridSpan w:val="2"/>
          </w:tcPr>
          <w:p w14:paraId="226F2B6A" w14:textId="6D97FACF" w:rsidR="00DE57B6" w:rsidRPr="00DE57B6" w:rsidRDefault="00DE57B6" w:rsidP="00DE57B6">
            <w:pPr>
              <w:rPr>
                <w:rFonts w:cs="Arial"/>
              </w:rPr>
            </w:pPr>
            <w:r w:rsidRPr="00DE57B6">
              <w:rPr>
                <w:rFonts w:cs="Arial"/>
              </w:rPr>
              <w:t>7,9 ± 3,5</w:t>
            </w:r>
          </w:p>
        </w:tc>
        <w:tc>
          <w:tcPr>
            <w:tcW w:w="2648" w:type="dxa"/>
            <w:gridSpan w:val="2"/>
          </w:tcPr>
          <w:p w14:paraId="63A939FE" w14:textId="441EE30F" w:rsidR="00DE57B6" w:rsidRPr="00DE57B6" w:rsidRDefault="00DE57B6" w:rsidP="00DE57B6">
            <w:pPr>
              <w:rPr>
                <w:rFonts w:cs="Arial"/>
              </w:rPr>
            </w:pPr>
            <w:r w:rsidRPr="00DE57B6">
              <w:rPr>
                <w:rFonts w:cs="Arial"/>
                <w:b/>
                <w:bCs/>
              </w:rPr>
              <w:t>-</w:t>
            </w:r>
          </w:p>
        </w:tc>
      </w:tr>
    </w:tbl>
    <w:p w14:paraId="6CEDADBB" w14:textId="6069D190" w:rsidR="00DE57B6" w:rsidRDefault="00DE57B6" w:rsidP="00DE57B6"/>
    <w:p w14:paraId="7BC5C2D2"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Стойностите са средни ± </w:t>
      </w:r>
      <w:r w:rsidRPr="00DE57B6">
        <w:rPr>
          <w:rFonts w:eastAsia="Times New Roman" w:cs="Arial"/>
          <w:color w:val="000000"/>
          <w:szCs w:val="20"/>
          <w:lang w:val="en-US"/>
        </w:rPr>
        <w:t>SD</w:t>
      </w:r>
      <w:r w:rsidRPr="00DE57B6">
        <w:rPr>
          <w:rFonts w:eastAsia="Times New Roman" w:cs="Arial"/>
          <w:color w:val="000000"/>
          <w:szCs w:val="20"/>
          <w:lang w:val="ru-RU"/>
        </w:rPr>
        <w:t xml:space="preserve"> </w:t>
      </w:r>
      <w:r w:rsidRPr="00DE57B6">
        <w:rPr>
          <w:rFonts w:eastAsia="Times New Roman" w:cs="Arial"/>
          <w:color w:val="000000"/>
          <w:szCs w:val="20"/>
          <w:lang w:eastAsia="bg-BG"/>
        </w:rPr>
        <w:t>на измерените стойности при С</w:t>
      </w:r>
      <w:r w:rsidRPr="00DE57B6">
        <w:rPr>
          <w:rFonts w:eastAsia="Times New Roman" w:cs="Arial"/>
          <w:color w:val="000000"/>
          <w:szCs w:val="20"/>
          <w:vertAlign w:val="subscript"/>
          <w:lang w:eastAsia="bg-BG"/>
        </w:rPr>
        <w:t>о</w:t>
      </w:r>
      <w:r w:rsidRPr="00DE57B6">
        <w:rPr>
          <w:rFonts w:eastAsia="Times New Roman" w:cs="Arial"/>
          <w:color w:val="000000"/>
          <w:szCs w:val="20"/>
          <w:lang w:eastAsia="bg-BG"/>
        </w:rPr>
        <w:t xml:space="preserve"> ~ най-ниски плазмени концентрации, С2 = стойността 2 часа след прилагане на дозата.</w:t>
      </w:r>
    </w:p>
    <w:p w14:paraId="64AA193D" w14:textId="77777777" w:rsidR="00DE57B6" w:rsidRPr="00DE57B6" w:rsidRDefault="00DE57B6" w:rsidP="00DE57B6">
      <w:pPr>
        <w:spacing w:line="240" w:lineRule="auto"/>
        <w:rPr>
          <w:rFonts w:eastAsia="Times New Roman" w:cs="Arial"/>
          <w:color w:val="000000"/>
          <w:szCs w:val="20"/>
          <w:lang w:eastAsia="bg-BG"/>
        </w:rPr>
      </w:pPr>
    </w:p>
    <w:p w14:paraId="6CCFE8E6" w14:textId="2093E44D"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Първичната крайна точка за ефикасност е била съставена от няколко променливи за неуспех на лечението (доказано с биопсия остро отхвърляне, загуба на присадката, смърт или загуба на пациента от проследяване). Крайните резултати са показани в Таблица 8.</w:t>
      </w:r>
    </w:p>
    <w:p w14:paraId="79AA97F1" w14:textId="77777777" w:rsidR="00DE57B6" w:rsidRPr="00DE57B6" w:rsidRDefault="00DE57B6" w:rsidP="00DE57B6">
      <w:pPr>
        <w:spacing w:line="240" w:lineRule="auto"/>
        <w:rPr>
          <w:rFonts w:eastAsia="Times New Roman" w:cs="Arial"/>
          <w:b/>
          <w:bCs/>
          <w:color w:val="000000"/>
          <w:szCs w:val="20"/>
          <w:lang w:eastAsia="bg-BG"/>
        </w:rPr>
      </w:pPr>
    </w:p>
    <w:p w14:paraId="7F26AE12" w14:textId="5A9D0880" w:rsidR="00DE57B6" w:rsidRDefault="00DE57B6" w:rsidP="00DE57B6">
      <w:pPr>
        <w:spacing w:line="240" w:lineRule="auto"/>
        <w:rPr>
          <w:rFonts w:eastAsia="Times New Roman" w:cs="Arial"/>
          <w:b/>
          <w:bCs/>
          <w:color w:val="000000"/>
          <w:szCs w:val="20"/>
          <w:lang w:eastAsia="bg-BG"/>
        </w:rPr>
      </w:pPr>
      <w:r w:rsidRPr="00DE57B6">
        <w:rPr>
          <w:rFonts w:eastAsia="Times New Roman" w:cs="Arial"/>
          <w:b/>
          <w:bCs/>
          <w:color w:val="000000"/>
          <w:szCs w:val="20"/>
          <w:lang w:eastAsia="bg-BG"/>
        </w:rPr>
        <w:t xml:space="preserve">Таблица 8 Изпитване А2309: Съставна и индивидуални крайни точки за ефикасност на 6-ти и 12-тн месец (честота в </w:t>
      </w:r>
      <w:r w:rsidRPr="00DE57B6">
        <w:rPr>
          <w:rFonts w:eastAsia="Times New Roman" w:cs="Arial"/>
          <w:b/>
          <w:bCs/>
          <w:color w:val="000000"/>
          <w:szCs w:val="20"/>
          <w:lang w:val="en-US"/>
        </w:rPr>
        <w:t>ITT</w:t>
      </w:r>
      <w:r w:rsidRPr="00DE57B6">
        <w:rPr>
          <w:rFonts w:eastAsia="Times New Roman" w:cs="Arial"/>
          <w:b/>
          <w:bCs/>
          <w:color w:val="000000"/>
          <w:szCs w:val="20"/>
          <w:lang w:val="ru-RU"/>
        </w:rPr>
        <w:t xml:space="preserve"> </w:t>
      </w:r>
      <w:r w:rsidRPr="00DE57B6">
        <w:rPr>
          <w:rFonts w:eastAsia="Times New Roman" w:cs="Arial"/>
          <w:b/>
          <w:bCs/>
          <w:color w:val="000000"/>
          <w:szCs w:val="20"/>
          <w:lang w:eastAsia="bg-BG"/>
        </w:rPr>
        <w:t>популация)</w:t>
      </w:r>
    </w:p>
    <w:tbl>
      <w:tblPr>
        <w:tblStyle w:val="TableGrid"/>
        <w:tblW w:w="0" w:type="auto"/>
        <w:tblLayout w:type="fixed"/>
        <w:tblLook w:val="04A0" w:firstRow="1" w:lastRow="0" w:firstColumn="1" w:lastColumn="0" w:noHBand="0" w:noVBand="1"/>
      </w:tblPr>
      <w:tblGrid>
        <w:gridCol w:w="2660"/>
        <w:gridCol w:w="992"/>
        <w:gridCol w:w="1418"/>
        <w:gridCol w:w="840"/>
        <w:gridCol w:w="1569"/>
        <w:gridCol w:w="859"/>
        <w:gridCol w:w="1238"/>
      </w:tblGrid>
      <w:tr w:rsidR="00DE57B6" w14:paraId="5E510F8C" w14:textId="77777777" w:rsidTr="00DD3595">
        <w:tc>
          <w:tcPr>
            <w:tcW w:w="2660" w:type="dxa"/>
          </w:tcPr>
          <w:p w14:paraId="0D68ECF9" w14:textId="77777777" w:rsidR="00DE57B6" w:rsidRDefault="00DE57B6" w:rsidP="00DE57B6">
            <w:pPr>
              <w:spacing w:line="240" w:lineRule="auto"/>
              <w:rPr>
                <w:rFonts w:eastAsia="Times New Roman" w:cs="Arial"/>
                <w:sz w:val="28"/>
                <w:szCs w:val="24"/>
              </w:rPr>
            </w:pPr>
          </w:p>
        </w:tc>
        <w:tc>
          <w:tcPr>
            <w:tcW w:w="2410" w:type="dxa"/>
            <w:gridSpan w:val="2"/>
            <w:vAlign w:val="bottom"/>
          </w:tcPr>
          <w:p w14:paraId="79E3EB92" w14:textId="0A095F58" w:rsidR="00DE57B6" w:rsidRPr="00DE57B6" w:rsidRDefault="00DE57B6" w:rsidP="00DE57B6">
            <w:pPr>
              <w:spacing w:line="240" w:lineRule="auto"/>
              <w:rPr>
                <w:rFonts w:eastAsia="Times New Roman" w:cs="Arial"/>
              </w:rPr>
            </w:pPr>
            <w:r w:rsidRPr="00DE57B6">
              <w:t xml:space="preserve">Сертикан 1,5 </w:t>
            </w:r>
            <w:r w:rsidRPr="00DE57B6">
              <w:rPr>
                <w:lang w:val="en-US"/>
              </w:rPr>
              <w:t xml:space="preserve">mg N=277 </w:t>
            </w:r>
            <w:r w:rsidRPr="00DE57B6">
              <w:t xml:space="preserve">% </w:t>
            </w:r>
            <w:r w:rsidRPr="00DE57B6">
              <w:rPr>
                <w:lang w:val="en-US"/>
              </w:rPr>
              <w:t>(n)</w:t>
            </w:r>
          </w:p>
        </w:tc>
        <w:tc>
          <w:tcPr>
            <w:tcW w:w="2409" w:type="dxa"/>
            <w:gridSpan w:val="2"/>
            <w:vAlign w:val="bottom"/>
          </w:tcPr>
          <w:p w14:paraId="71D0F9E3" w14:textId="249B5CC8" w:rsidR="00DE57B6" w:rsidRPr="00DE57B6" w:rsidRDefault="00DE57B6" w:rsidP="00DE57B6">
            <w:pPr>
              <w:spacing w:line="240" w:lineRule="auto"/>
              <w:rPr>
                <w:rFonts w:eastAsia="Times New Roman" w:cs="Arial"/>
              </w:rPr>
            </w:pPr>
            <w:r w:rsidRPr="00DE57B6">
              <w:t xml:space="preserve">Сертикан 3,0 </w:t>
            </w:r>
            <w:r w:rsidRPr="00DE57B6">
              <w:rPr>
                <w:lang w:val="en-US"/>
              </w:rPr>
              <w:t xml:space="preserve">mg N=279 </w:t>
            </w:r>
            <w:r w:rsidRPr="00DE57B6">
              <w:t>% (</w:t>
            </w:r>
            <w:r w:rsidRPr="00DE57B6">
              <w:rPr>
                <w:lang w:val="en-US"/>
              </w:rPr>
              <w:t>n</w:t>
            </w:r>
            <w:r w:rsidRPr="00DE57B6">
              <w:t>)</w:t>
            </w:r>
          </w:p>
        </w:tc>
        <w:tc>
          <w:tcPr>
            <w:tcW w:w="2097" w:type="dxa"/>
            <w:gridSpan w:val="2"/>
            <w:vAlign w:val="bottom"/>
          </w:tcPr>
          <w:p w14:paraId="5DC4B498" w14:textId="774325C4" w:rsidR="00DE57B6" w:rsidRPr="00DE57B6" w:rsidRDefault="00DE57B6" w:rsidP="00DE57B6">
            <w:pPr>
              <w:spacing w:line="240" w:lineRule="auto"/>
              <w:rPr>
                <w:rFonts w:eastAsia="Times New Roman" w:cs="Arial"/>
              </w:rPr>
            </w:pPr>
            <w:r w:rsidRPr="00DE57B6">
              <w:t xml:space="preserve">МФК 1,44 </w:t>
            </w:r>
            <w:r w:rsidRPr="00DE57B6">
              <w:rPr>
                <w:lang w:val="en-US"/>
              </w:rPr>
              <w:t xml:space="preserve">g N=277 </w:t>
            </w:r>
            <w:r w:rsidRPr="00DE57B6">
              <w:t xml:space="preserve">% </w:t>
            </w:r>
            <w:r w:rsidRPr="00DE57B6">
              <w:rPr>
                <w:lang w:val="en-US"/>
              </w:rPr>
              <w:t>(n)</w:t>
            </w:r>
          </w:p>
        </w:tc>
      </w:tr>
      <w:tr w:rsidR="00DE57B6" w14:paraId="5DD51A55" w14:textId="77777777" w:rsidTr="00DD3595">
        <w:tc>
          <w:tcPr>
            <w:tcW w:w="2660" w:type="dxa"/>
          </w:tcPr>
          <w:p w14:paraId="66CE5003" w14:textId="77777777" w:rsidR="00DE57B6" w:rsidRDefault="00DE57B6" w:rsidP="00DE57B6">
            <w:pPr>
              <w:spacing w:line="240" w:lineRule="auto"/>
              <w:rPr>
                <w:rFonts w:eastAsia="Times New Roman" w:cs="Arial"/>
                <w:sz w:val="28"/>
                <w:szCs w:val="24"/>
              </w:rPr>
            </w:pPr>
          </w:p>
        </w:tc>
        <w:tc>
          <w:tcPr>
            <w:tcW w:w="992" w:type="dxa"/>
            <w:vAlign w:val="bottom"/>
          </w:tcPr>
          <w:p w14:paraId="13E08159" w14:textId="241FEE2E" w:rsidR="00DE57B6" w:rsidRPr="00DE57B6" w:rsidRDefault="00DE57B6" w:rsidP="00DE57B6">
            <w:pPr>
              <w:spacing w:line="240" w:lineRule="auto"/>
              <w:rPr>
                <w:rFonts w:eastAsia="Times New Roman" w:cs="Arial"/>
              </w:rPr>
            </w:pPr>
            <w:r w:rsidRPr="00DE57B6">
              <w:t>6 мес</w:t>
            </w:r>
          </w:p>
        </w:tc>
        <w:tc>
          <w:tcPr>
            <w:tcW w:w="1418" w:type="dxa"/>
            <w:vAlign w:val="bottom"/>
          </w:tcPr>
          <w:p w14:paraId="26CEE948" w14:textId="78011E71" w:rsidR="00DE57B6" w:rsidRPr="00DE57B6" w:rsidRDefault="00DE57B6" w:rsidP="00DE57B6">
            <w:pPr>
              <w:spacing w:line="240" w:lineRule="auto"/>
              <w:rPr>
                <w:rFonts w:eastAsia="Times New Roman" w:cs="Arial"/>
              </w:rPr>
            </w:pPr>
            <w:r w:rsidRPr="00DE57B6">
              <w:t>12 мес</w:t>
            </w:r>
          </w:p>
        </w:tc>
        <w:tc>
          <w:tcPr>
            <w:tcW w:w="840" w:type="dxa"/>
            <w:vAlign w:val="bottom"/>
          </w:tcPr>
          <w:p w14:paraId="6AD8409A" w14:textId="5DF9DD0B" w:rsidR="00DE57B6" w:rsidRPr="00DE57B6" w:rsidRDefault="00DE57B6" w:rsidP="00DE57B6">
            <w:pPr>
              <w:spacing w:line="240" w:lineRule="auto"/>
              <w:rPr>
                <w:rFonts w:eastAsia="Times New Roman" w:cs="Arial"/>
              </w:rPr>
            </w:pPr>
            <w:r w:rsidRPr="00DE57B6">
              <w:t>6 мес</w:t>
            </w:r>
          </w:p>
        </w:tc>
        <w:tc>
          <w:tcPr>
            <w:tcW w:w="1569" w:type="dxa"/>
            <w:vAlign w:val="bottom"/>
          </w:tcPr>
          <w:p w14:paraId="05333ECC" w14:textId="55A1E2E9" w:rsidR="00DE57B6" w:rsidRPr="00DE57B6" w:rsidRDefault="00DE57B6" w:rsidP="00DE57B6">
            <w:pPr>
              <w:spacing w:line="240" w:lineRule="auto"/>
              <w:rPr>
                <w:rFonts w:eastAsia="Times New Roman" w:cs="Arial"/>
              </w:rPr>
            </w:pPr>
            <w:r w:rsidRPr="00DE57B6">
              <w:t>12 мес</w:t>
            </w:r>
          </w:p>
        </w:tc>
        <w:tc>
          <w:tcPr>
            <w:tcW w:w="859" w:type="dxa"/>
            <w:vAlign w:val="bottom"/>
          </w:tcPr>
          <w:p w14:paraId="19FCCC7D" w14:textId="3E8ADE69" w:rsidR="00DE57B6" w:rsidRPr="00DE57B6" w:rsidRDefault="00DE57B6" w:rsidP="00DE57B6">
            <w:pPr>
              <w:spacing w:line="240" w:lineRule="auto"/>
              <w:rPr>
                <w:rFonts w:eastAsia="Times New Roman" w:cs="Arial"/>
              </w:rPr>
            </w:pPr>
            <w:r w:rsidRPr="00DE57B6">
              <w:t>6 мес</w:t>
            </w:r>
          </w:p>
        </w:tc>
        <w:tc>
          <w:tcPr>
            <w:tcW w:w="1238" w:type="dxa"/>
            <w:vAlign w:val="bottom"/>
          </w:tcPr>
          <w:p w14:paraId="123D899E" w14:textId="70832CD8" w:rsidR="00DE57B6" w:rsidRPr="00DE57B6" w:rsidRDefault="00DE57B6" w:rsidP="00DE57B6">
            <w:pPr>
              <w:spacing w:line="240" w:lineRule="auto"/>
              <w:rPr>
                <w:rFonts w:eastAsia="Times New Roman" w:cs="Arial"/>
              </w:rPr>
            </w:pPr>
            <w:r w:rsidRPr="00DE57B6">
              <w:t>12 мес</w:t>
            </w:r>
          </w:p>
        </w:tc>
      </w:tr>
      <w:tr w:rsidR="00DE57B6" w14:paraId="6F56A9A2" w14:textId="77777777" w:rsidTr="00DD3595">
        <w:tc>
          <w:tcPr>
            <w:tcW w:w="2660" w:type="dxa"/>
            <w:vAlign w:val="bottom"/>
          </w:tcPr>
          <w:p w14:paraId="536027F6" w14:textId="3767E7D0" w:rsidR="00DE57B6" w:rsidRPr="00DE57B6" w:rsidRDefault="00DE57B6" w:rsidP="00DE57B6">
            <w:pPr>
              <w:spacing w:line="240" w:lineRule="auto"/>
              <w:rPr>
                <w:rFonts w:eastAsia="Times New Roman" w:cs="Arial"/>
                <w:szCs w:val="24"/>
              </w:rPr>
            </w:pPr>
            <w:r w:rsidRPr="00DD3595">
              <w:rPr>
                <w:b/>
                <w:szCs w:val="20"/>
              </w:rPr>
              <w:t>Съставна крайна точка</w:t>
            </w:r>
            <w:r w:rsidRPr="00DE57B6">
              <w:rPr>
                <w:szCs w:val="20"/>
              </w:rPr>
              <w:t xml:space="preserve"> (1° критерий)</w:t>
            </w:r>
          </w:p>
        </w:tc>
        <w:tc>
          <w:tcPr>
            <w:tcW w:w="992" w:type="dxa"/>
          </w:tcPr>
          <w:p w14:paraId="2AE9F697" w14:textId="2834F99F" w:rsidR="00DE57B6" w:rsidRPr="00DE57B6" w:rsidRDefault="00DE57B6" w:rsidP="00DE57B6">
            <w:pPr>
              <w:spacing w:line="240" w:lineRule="auto"/>
              <w:rPr>
                <w:rFonts w:eastAsia="Times New Roman" w:cs="Arial"/>
                <w:szCs w:val="24"/>
              </w:rPr>
            </w:pPr>
            <w:r w:rsidRPr="00DE57B6">
              <w:rPr>
                <w:szCs w:val="20"/>
              </w:rPr>
              <w:t>19,1 (53)</w:t>
            </w:r>
          </w:p>
        </w:tc>
        <w:tc>
          <w:tcPr>
            <w:tcW w:w="1418" w:type="dxa"/>
          </w:tcPr>
          <w:p w14:paraId="6CA5B9BF" w14:textId="13590130" w:rsidR="00DE57B6" w:rsidRPr="00DE57B6" w:rsidRDefault="00DE57B6" w:rsidP="00DE57B6">
            <w:pPr>
              <w:spacing w:line="240" w:lineRule="auto"/>
              <w:rPr>
                <w:rFonts w:eastAsia="Times New Roman" w:cs="Arial"/>
                <w:szCs w:val="24"/>
              </w:rPr>
            </w:pPr>
            <w:r w:rsidRPr="00DE57B6">
              <w:rPr>
                <w:szCs w:val="20"/>
              </w:rPr>
              <w:t>254 (70)</w:t>
            </w:r>
          </w:p>
        </w:tc>
        <w:tc>
          <w:tcPr>
            <w:tcW w:w="840" w:type="dxa"/>
          </w:tcPr>
          <w:p w14:paraId="2CD3CBC0" w14:textId="588F394C" w:rsidR="00DE57B6" w:rsidRPr="00DE57B6" w:rsidRDefault="00DE57B6" w:rsidP="00DE57B6">
            <w:pPr>
              <w:spacing w:line="240" w:lineRule="auto"/>
              <w:rPr>
                <w:rFonts w:eastAsia="Times New Roman" w:cs="Arial"/>
                <w:szCs w:val="24"/>
              </w:rPr>
            </w:pPr>
            <w:r w:rsidRPr="00DE57B6">
              <w:rPr>
                <w:szCs w:val="20"/>
              </w:rPr>
              <w:t>16,8 (47)</w:t>
            </w:r>
          </w:p>
        </w:tc>
        <w:tc>
          <w:tcPr>
            <w:tcW w:w="1569" w:type="dxa"/>
          </w:tcPr>
          <w:p w14:paraId="543C45DD" w14:textId="0995EE8E" w:rsidR="00DE57B6" w:rsidRPr="00DE57B6" w:rsidRDefault="00DE57B6" w:rsidP="00DE57B6">
            <w:pPr>
              <w:spacing w:line="240" w:lineRule="auto"/>
              <w:rPr>
                <w:rFonts w:eastAsia="Times New Roman" w:cs="Arial"/>
                <w:szCs w:val="24"/>
              </w:rPr>
            </w:pPr>
            <w:r w:rsidRPr="00DE57B6">
              <w:rPr>
                <w:szCs w:val="20"/>
              </w:rPr>
              <w:t>21,5 (60)</w:t>
            </w:r>
          </w:p>
        </w:tc>
        <w:tc>
          <w:tcPr>
            <w:tcW w:w="859" w:type="dxa"/>
          </w:tcPr>
          <w:p w14:paraId="27510335" w14:textId="57ED7E2C" w:rsidR="00DE57B6" w:rsidRPr="00DE57B6" w:rsidRDefault="00DE57B6" w:rsidP="00DE57B6">
            <w:pPr>
              <w:spacing w:line="240" w:lineRule="auto"/>
              <w:rPr>
                <w:rFonts w:eastAsia="Times New Roman" w:cs="Arial"/>
                <w:szCs w:val="24"/>
              </w:rPr>
            </w:pPr>
            <w:r w:rsidRPr="00DE57B6">
              <w:rPr>
                <w:szCs w:val="20"/>
              </w:rPr>
              <w:t>18,8(52)</w:t>
            </w:r>
          </w:p>
        </w:tc>
        <w:tc>
          <w:tcPr>
            <w:tcW w:w="1238" w:type="dxa"/>
          </w:tcPr>
          <w:p w14:paraId="69F4CC83" w14:textId="4D0E4DDA" w:rsidR="00DE57B6" w:rsidRPr="00DE57B6" w:rsidRDefault="00DE57B6" w:rsidP="00DE57B6">
            <w:pPr>
              <w:spacing w:line="240" w:lineRule="auto"/>
              <w:rPr>
                <w:rFonts w:eastAsia="Times New Roman" w:cs="Arial"/>
                <w:szCs w:val="24"/>
              </w:rPr>
            </w:pPr>
            <w:r w:rsidRPr="00DE57B6">
              <w:rPr>
                <w:szCs w:val="20"/>
              </w:rPr>
              <w:t>244 (67)</w:t>
            </w:r>
          </w:p>
        </w:tc>
      </w:tr>
      <w:tr w:rsidR="00DE57B6" w14:paraId="15C5B1A2" w14:textId="77777777" w:rsidTr="00DD3595">
        <w:tc>
          <w:tcPr>
            <w:tcW w:w="2660" w:type="dxa"/>
            <w:vAlign w:val="center"/>
          </w:tcPr>
          <w:p w14:paraId="6AB6A934" w14:textId="38CD854E" w:rsidR="00DE57B6" w:rsidRPr="00DE57B6" w:rsidRDefault="00DE57B6" w:rsidP="00DE57B6">
            <w:pPr>
              <w:spacing w:line="240" w:lineRule="auto"/>
              <w:rPr>
                <w:rFonts w:eastAsia="Times New Roman" w:cs="Arial"/>
                <w:szCs w:val="24"/>
              </w:rPr>
            </w:pPr>
            <w:r w:rsidRPr="00DE57B6">
              <w:rPr>
                <w:szCs w:val="20"/>
              </w:rPr>
              <w:t xml:space="preserve">Разлика % </w:t>
            </w:r>
            <w:r w:rsidRPr="00DE57B6">
              <w:rPr>
                <w:i/>
                <w:iCs/>
                <w:szCs w:val="20"/>
              </w:rPr>
              <w:t xml:space="preserve">(Сертикан - МРА) </w:t>
            </w:r>
            <w:r w:rsidRPr="00DE57B6">
              <w:rPr>
                <w:szCs w:val="20"/>
              </w:rPr>
              <w:t xml:space="preserve">95% </w:t>
            </w:r>
            <w:r w:rsidRPr="00DE57B6">
              <w:rPr>
                <w:szCs w:val="20"/>
                <w:lang w:val="en-US"/>
              </w:rPr>
              <w:t>CI</w:t>
            </w:r>
          </w:p>
        </w:tc>
        <w:tc>
          <w:tcPr>
            <w:tcW w:w="992" w:type="dxa"/>
            <w:vAlign w:val="bottom"/>
          </w:tcPr>
          <w:p w14:paraId="7C862BBE" w14:textId="3F7FC466" w:rsidR="00DE57B6" w:rsidRPr="00DE57B6" w:rsidRDefault="00DE57B6" w:rsidP="00DE57B6">
            <w:pPr>
              <w:spacing w:line="240" w:lineRule="auto"/>
              <w:rPr>
                <w:rFonts w:eastAsia="Times New Roman" w:cs="Arial"/>
                <w:szCs w:val="24"/>
              </w:rPr>
            </w:pPr>
            <w:r w:rsidRPr="00DE57B6">
              <w:rPr>
                <w:szCs w:val="20"/>
              </w:rPr>
              <w:t>0,4% (-6,2, 6,9)</w:t>
            </w:r>
          </w:p>
        </w:tc>
        <w:tc>
          <w:tcPr>
            <w:tcW w:w="1418" w:type="dxa"/>
            <w:vAlign w:val="bottom"/>
          </w:tcPr>
          <w:p w14:paraId="424921E4" w14:textId="239E4656" w:rsidR="00DE57B6" w:rsidRPr="00DE57B6" w:rsidRDefault="00DE57B6" w:rsidP="00DE57B6">
            <w:pPr>
              <w:spacing w:line="240" w:lineRule="auto"/>
              <w:rPr>
                <w:rFonts w:eastAsia="Times New Roman" w:cs="Arial"/>
                <w:szCs w:val="24"/>
              </w:rPr>
            </w:pPr>
            <w:r w:rsidRPr="00DE57B6">
              <w:rPr>
                <w:szCs w:val="20"/>
              </w:rPr>
              <w:t>1,1% (-6,1, 8,3)</w:t>
            </w:r>
          </w:p>
        </w:tc>
        <w:tc>
          <w:tcPr>
            <w:tcW w:w="840" w:type="dxa"/>
            <w:vAlign w:val="bottom"/>
          </w:tcPr>
          <w:p w14:paraId="0AA60A10" w14:textId="09FD1D73" w:rsidR="00DE57B6" w:rsidRPr="00DE57B6" w:rsidRDefault="00DE57B6" w:rsidP="00DE57B6">
            <w:pPr>
              <w:spacing w:line="240" w:lineRule="auto"/>
              <w:rPr>
                <w:rFonts w:eastAsia="Times New Roman" w:cs="Arial"/>
                <w:szCs w:val="24"/>
              </w:rPr>
            </w:pPr>
            <w:r w:rsidRPr="00DE57B6">
              <w:rPr>
                <w:szCs w:val="20"/>
              </w:rPr>
              <w:t>-1,9% (-8,3, 4,4)</w:t>
            </w:r>
          </w:p>
        </w:tc>
        <w:tc>
          <w:tcPr>
            <w:tcW w:w="1569" w:type="dxa"/>
            <w:vAlign w:val="center"/>
          </w:tcPr>
          <w:p w14:paraId="1EDCC050" w14:textId="4E5F6DD6" w:rsidR="00DE57B6" w:rsidRPr="00DE57B6" w:rsidRDefault="00DE57B6" w:rsidP="00DE57B6">
            <w:pPr>
              <w:spacing w:line="240" w:lineRule="auto"/>
              <w:rPr>
                <w:rFonts w:eastAsia="Times New Roman" w:cs="Arial"/>
                <w:szCs w:val="24"/>
              </w:rPr>
            </w:pPr>
            <w:r w:rsidRPr="00DE57B6">
              <w:rPr>
                <w:szCs w:val="20"/>
              </w:rPr>
              <w:t>-2,7% (-9,7, 4,3)</w:t>
            </w:r>
          </w:p>
        </w:tc>
        <w:tc>
          <w:tcPr>
            <w:tcW w:w="859" w:type="dxa"/>
          </w:tcPr>
          <w:p w14:paraId="15CA6EE5" w14:textId="3E059943" w:rsidR="00DE57B6" w:rsidRPr="00DE57B6" w:rsidRDefault="00DE57B6" w:rsidP="00DE57B6">
            <w:pPr>
              <w:spacing w:line="240" w:lineRule="auto"/>
              <w:rPr>
                <w:rFonts w:eastAsia="Times New Roman" w:cs="Arial"/>
                <w:szCs w:val="24"/>
              </w:rPr>
            </w:pPr>
            <w:r w:rsidRPr="00DE57B6">
              <w:rPr>
                <w:szCs w:val="20"/>
              </w:rPr>
              <w:t>-</w:t>
            </w:r>
          </w:p>
        </w:tc>
        <w:tc>
          <w:tcPr>
            <w:tcW w:w="1238" w:type="dxa"/>
          </w:tcPr>
          <w:p w14:paraId="120CF2A7" w14:textId="77D5761B" w:rsidR="00DE57B6" w:rsidRPr="00DE57B6" w:rsidRDefault="00DE57B6" w:rsidP="00DE57B6">
            <w:pPr>
              <w:spacing w:line="240" w:lineRule="auto"/>
              <w:rPr>
                <w:rFonts w:eastAsia="Times New Roman" w:cs="Arial"/>
                <w:szCs w:val="24"/>
              </w:rPr>
            </w:pPr>
            <w:r w:rsidRPr="00DE57B6">
              <w:rPr>
                <w:szCs w:val="20"/>
              </w:rPr>
              <w:t>-</w:t>
            </w:r>
          </w:p>
        </w:tc>
      </w:tr>
      <w:tr w:rsidR="00DE57B6" w14:paraId="0F04CB4E" w14:textId="77777777" w:rsidTr="00DD3595">
        <w:tc>
          <w:tcPr>
            <w:tcW w:w="2660" w:type="dxa"/>
            <w:vAlign w:val="bottom"/>
          </w:tcPr>
          <w:p w14:paraId="5320D0AF" w14:textId="77777777" w:rsidR="00DE57B6" w:rsidRPr="00DE57B6" w:rsidRDefault="00DE57B6" w:rsidP="00DE57B6">
            <w:r w:rsidRPr="00DD3595">
              <w:rPr>
                <w:b/>
                <w:szCs w:val="20"/>
              </w:rPr>
              <w:t>Индивидуални крайни точки</w:t>
            </w:r>
            <w:r w:rsidRPr="00DE57B6">
              <w:rPr>
                <w:szCs w:val="20"/>
              </w:rPr>
              <w:t xml:space="preserve"> (2° критерии)</w:t>
            </w:r>
          </w:p>
          <w:p w14:paraId="5C3C59D5" w14:textId="2CF2B28D" w:rsidR="00DE57B6" w:rsidRPr="00DE57B6" w:rsidRDefault="00DE57B6" w:rsidP="00DE57B6">
            <w:pPr>
              <w:spacing w:line="240" w:lineRule="auto"/>
              <w:rPr>
                <w:rFonts w:eastAsia="Times New Roman" w:cs="Arial"/>
                <w:szCs w:val="24"/>
              </w:rPr>
            </w:pPr>
            <w:r w:rsidRPr="00DE57B6">
              <w:rPr>
                <w:szCs w:val="20"/>
              </w:rPr>
              <w:t xml:space="preserve">Лекувано доказано с биопсия остро отхвърляне </w:t>
            </w:r>
            <w:r w:rsidRPr="00DE57B6">
              <w:rPr>
                <w:szCs w:val="20"/>
                <w:lang w:val="ru-RU"/>
              </w:rPr>
              <w:t>(</w:t>
            </w:r>
            <w:r w:rsidRPr="00DE57B6">
              <w:rPr>
                <w:szCs w:val="20"/>
                <w:lang w:val="en-US"/>
              </w:rPr>
              <w:t>BPAR</w:t>
            </w:r>
            <w:r w:rsidRPr="00DE57B6">
              <w:rPr>
                <w:szCs w:val="20"/>
                <w:lang w:val="ru-RU"/>
              </w:rPr>
              <w:t>)</w:t>
            </w:r>
          </w:p>
        </w:tc>
        <w:tc>
          <w:tcPr>
            <w:tcW w:w="992" w:type="dxa"/>
            <w:vAlign w:val="bottom"/>
          </w:tcPr>
          <w:p w14:paraId="124F333F" w14:textId="75B8910E" w:rsidR="00DE57B6" w:rsidRPr="00DE57B6" w:rsidRDefault="00DE57B6" w:rsidP="00DE57B6">
            <w:pPr>
              <w:spacing w:line="240" w:lineRule="auto"/>
              <w:rPr>
                <w:rFonts w:eastAsia="Times New Roman" w:cs="Arial"/>
                <w:szCs w:val="24"/>
              </w:rPr>
            </w:pPr>
            <w:r w:rsidRPr="00DE57B6">
              <w:rPr>
                <w:szCs w:val="20"/>
              </w:rPr>
              <w:t>10,8(30)</w:t>
            </w:r>
          </w:p>
        </w:tc>
        <w:tc>
          <w:tcPr>
            <w:tcW w:w="1418" w:type="dxa"/>
            <w:vAlign w:val="bottom"/>
          </w:tcPr>
          <w:p w14:paraId="036DBCD3" w14:textId="44A1AB04" w:rsidR="00DE57B6" w:rsidRPr="00DE57B6" w:rsidRDefault="00DE57B6" w:rsidP="00DE57B6">
            <w:pPr>
              <w:spacing w:line="240" w:lineRule="auto"/>
              <w:rPr>
                <w:rFonts w:eastAsia="Times New Roman" w:cs="Arial"/>
                <w:szCs w:val="24"/>
              </w:rPr>
            </w:pPr>
            <w:r w:rsidRPr="00DE57B6">
              <w:rPr>
                <w:szCs w:val="20"/>
              </w:rPr>
              <w:t>164 (45)</w:t>
            </w:r>
          </w:p>
        </w:tc>
        <w:tc>
          <w:tcPr>
            <w:tcW w:w="840" w:type="dxa"/>
            <w:vAlign w:val="bottom"/>
          </w:tcPr>
          <w:p w14:paraId="23F1A253" w14:textId="092A85B5" w:rsidR="00DE57B6" w:rsidRPr="00DE57B6" w:rsidRDefault="00DE57B6" w:rsidP="00DE57B6">
            <w:pPr>
              <w:spacing w:line="240" w:lineRule="auto"/>
              <w:rPr>
                <w:rFonts w:eastAsia="Times New Roman" w:cs="Arial"/>
                <w:szCs w:val="24"/>
              </w:rPr>
            </w:pPr>
            <w:r w:rsidRPr="00DE57B6">
              <w:rPr>
                <w:szCs w:val="20"/>
              </w:rPr>
              <w:t>10,0 (28)</w:t>
            </w:r>
          </w:p>
        </w:tc>
        <w:tc>
          <w:tcPr>
            <w:tcW w:w="1569" w:type="dxa"/>
            <w:vAlign w:val="bottom"/>
          </w:tcPr>
          <w:p w14:paraId="07ED226C" w14:textId="3F582EA5" w:rsidR="00DE57B6" w:rsidRPr="00DE57B6" w:rsidRDefault="00DE57B6" w:rsidP="00DE57B6">
            <w:pPr>
              <w:spacing w:line="240" w:lineRule="auto"/>
              <w:rPr>
                <w:rFonts w:eastAsia="Times New Roman" w:cs="Arial"/>
                <w:szCs w:val="24"/>
              </w:rPr>
            </w:pPr>
            <w:r w:rsidRPr="00DE57B6">
              <w:rPr>
                <w:szCs w:val="20"/>
              </w:rPr>
              <w:t>134 (37)</w:t>
            </w:r>
          </w:p>
        </w:tc>
        <w:tc>
          <w:tcPr>
            <w:tcW w:w="859" w:type="dxa"/>
            <w:vAlign w:val="bottom"/>
          </w:tcPr>
          <w:p w14:paraId="2F4E3BAA" w14:textId="35024B21" w:rsidR="00DE57B6" w:rsidRPr="00DE57B6" w:rsidRDefault="00DE57B6" w:rsidP="00DE57B6">
            <w:pPr>
              <w:spacing w:line="240" w:lineRule="auto"/>
              <w:rPr>
                <w:rFonts w:eastAsia="Times New Roman" w:cs="Arial"/>
                <w:szCs w:val="24"/>
              </w:rPr>
            </w:pPr>
            <w:r w:rsidRPr="00DE57B6">
              <w:rPr>
                <w:szCs w:val="20"/>
              </w:rPr>
              <w:t>13,7 (38)</w:t>
            </w:r>
          </w:p>
        </w:tc>
        <w:tc>
          <w:tcPr>
            <w:tcW w:w="1238" w:type="dxa"/>
            <w:vAlign w:val="bottom"/>
          </w:tcPr>
          <w:p w14:paraId="6753A599" w14:textId="34090D00" w:rsidR="00DE57B6" w:rsidRPr="00DE57B6" w:rsidRDefault="00DE57B6" w:rsidP="00DE57B6">
            <w:pPr>
              <w:spacing w:line="240" w:lineRule="auto"/>
              <w:rPr>
                <w:rFonts w:eastAsia="Times New Roman" w:cs="Arial"/>
                <w:szCs w:val="24"/>
              </w:rPr>
            </w:pPr>
            <w:r w:rsidRPr="00DE57B6">
              <w:rPr>
                <w:szCs w:val="20"/>
              </w:rPr>
              <w:t>17,0(47)</w:t>
            </w:r>
          </w:p>
        </w:tc>
      </w:tr>
      <w:tr w:rsidR="00DE57B6" w14:paraId="089C1567" w14:textId="77777777" w:rsidTr="00DD3595">
        <w:tc>
          <w:tcPr>
            <w:tcW w:w="2660" w:type="dxa"/>
            <w:vAlign w:val="bottom"/>
          </w:tcPr>
          <w:p w14:paraId="45F83851" w14:textId="5A4494F0" w:rsidR="00DE57B6" w:rsidRPr="00DE57B6" w:rsidRDefault="00DE57B6" w:rsidP="00DE57B6">
            <w:pPr>
              <w:spacing w:line="240" w:lineRule="auto"/>
              <w:rPr>
                <w:rFonts w:eastAsia="Times New Roman" w:cs="Arial"/>
                <w:szCs w:val="24"/>
              </w:rPr>
            </w:pPr>
            <w:r w:rsidRPr="00DE57B6">
              <w:rPr>
                <w:szCs w:val="20"/>
              </w:rPr>
              <w:t>Загуба на присадката</w:t>
            </w:r>
          </w:p>
        </w:tc>
        <w:tc>
          <w:tcPr>
            <w:tcW w:w="992" w:type="dxa"/>
            <w:vAlign w:val="bottom"/>
          </w:tcPr>
          <w:p w14:paraId="5E95521E" w14:textId="14129029" w:rsidR="00DE57B6" w:rsidRPr="00DE57B6" w:rsidRDefault="00DE57B6" w:rsidP="00DE57B6">
            <w:pPr>
              <w:spacing w:line="240" w:lineRule="auto"/>
              <w:rPr>
                <w:rFonts w:eastAsia="Times New Roman" w:cs="Arial"/>
                <w:szCs w:val="24"/>
              </w:rPr>
            </w:pPr>
            <w:r w:rsidRPr="00DE57B6">
              <w:rPr>
                <w:szCs w:val="20"/>
              </w:rPr>
              <w:t>4,0(11)</w:t>
            </w:r>
          </w:p>
        </w:tc>
        <w:tc>
          <w:tcPr>
            <w:tcW w:w="1418" w:type="dxa"/>
            <w:vAlign w:val="bottom"/>
          </w:tcPr>
          <w:p w14:paraId="217C28CF" w14:textId="2731279F" w:rsidR="00DE57B6" w:rsidRPr="00DE57B6" w:rsidRDefault="00DE57B6" w:rsidP="00DE57B6">
            <w:pPr>
              <w:spacing w:line="240" w:lineRule="auto"/>
              <w:rPr>
                <w:rFonts w:eastAsia="Times New Roman" w:cs="Arial"/>
                <w:szCs w:val="24"/>
              </w:rPr>
            </w:pPr>
            <w:r w:rsidRPr="00DE57B6">
              <w:rPr>
                <w:szCs w:val="20"/>
              </w:rPr>
              <w:t>44(12)</w:t>
            </w:r>
          </w:p>
        </w:tc>
        <w:tc>
          <w:tcPr>
            <w:tcW w:w="840" w:type="dxa"/>
            <w:vAlign w:val="bottom"/>
          </w:tcPr>
          <w:p w14:paraId="333653DC" w14:textId="23C9D77B" w:rsidR="00DE57B6" w:rsidRPr="00DE57B6" w:rsidRDefault="00DE57B6" w:rsidP="00DE57B6">
            <w:pPr>
              <w:spacing w:line="240" w:lineRule="auto"/>
              <w:rPr>
                <w:rFonts w:eastAsia="Times New Roman" w:cs="Arial"/>
                <w:szCs w:val="24"/>
              </w:rPr>
            </w:pPr>
            <w:r w:rsidRPr="00DE57B6">
              <w:rPr>
                <w:szCs w:val="20"/>
              </w:rPr>
              <w:t>3,9(11)</w:t>
            </w:r>
          </w:p>
        </w:tc>
        <w:tc>
          <w:tcPr>
            <w:tcW w:w="1569" w:type="dxa"/>
            <w:vAlign w:val="bottom"/>
          </w:tcPr>
          <w:p w14:paraId="463BDD69" w14:textId="115C3F8F" w:rsidR="00DE57B6" w:rsidRPr="00DE57B6" w:rsidRDefault="00DE57B6" w:rsidP="00DE57B6">
            <w:pPr>
              <w:spacing w:line="240" w:lineRule="auto"/>
              <w:rPr>
                <w:rFonts w:eastAsia="Times New Roman" w:cs="Arial"/>
                <w:szCs w:val="24"/>
              </w:rPr>
            </w:pPr>
            <w:r w:rsidRPr="00DE57B6">
              <w:rPr>
                <w:szCs w:val="20"/>
              </w:rPr>
              <w:t>4,7(13)</w:t>
            </w:r>
          </w:p>
        </w:tc>
        <w:tc>
          <w:tcPr>
            <w:tcW w:w="859" w:type="dxa"/>
            <w:vAlign w:val="bottom"/>
          </w:tcPr>
          <w:p w14:paraId="01A9F1B8" w14:textId="1AFF1B6E" w:rsidR="00DE57B6" w:rsidRPr="00DE57B6" w:rsidRDefault="00DE57B6" w:rsidP="00DE57B6">
            <w:pPr>
              <w:spacing w:line="240" w:lineRule="auto"/>
              <w:rPr>
                <w:rFonts w:eastAsia="Times New Roman" w:cs="Arial"/>
                <w:szCs w:val="24"/>
              </w:rPr>
            </w:pPr>
            <w:r w:rsidRPr="00DE57B6">
              <w:rPr>
                <w:szCs w:val="20"/>
              </w:rPr>
              <w:t>2,9 (8)</w:t>
            </w:r>
          </w:p>
        </w:tc>
        <w:tc>
          <w:tcPr>
            <w:tcW w:w="1238" w:type="dxa"/>
            <w:vAlign w:val="bottom"/>
          </w:tcPr>
          <w:p w14:paraId="6FAADAE2" w14:textId="47CC1391" w:rsidR="00DE57B6" w:rsidRPr="00DE57B6" w:rsidRDefault="00DE57B6" w:rsidP="00DE57B6">
            <w:pPr>
              <w:spacing w:line="240" w:lineRule="auto"/>
              <w:rPr>
                <w:rFonts w:eastAsia="Times New Roman" w:cs="Arial"/>
                <w:szCs w:val="24"/>
              </w:rPr>
            </w:pPr>
            <w:r w:rsidRPr="00DE57B6">
              <w:rPr>
                <w:szCs w:val="20"/>
              </w:rPr>
              <w:t>3,2 (9)</w:t>
            </w:r>
          </w:p>
        </w:tc>
      </w:tr>
      <w:tr w:rsidR="00DE57B6" w14:paraId="0E3B92E4" w14:textId="77777777" w:rsidTr="00DD3595">
        <w:tc>
          <w:tcPr>
            <w:tcW w:w="2660" w:type="dxa"/>
            <w:vAlign w:val="bottom"/>
          </w:tcPr>
          <w:p w14:paraId="66EDD4D3" w14:textId="7B177BE3" w:rsidR="00DE57B6" w:rsidRPr="00DE57B6" w:rsidRDefault="00DE57B6" w:rsidP="00DE57B6">
            <w:pPr>
              <w:spacing w:line="240" w:lineRule="auto"/>
              <w:rPr>
                <w:rFonts w:eastAsia="Times New Roman" w:cs="Arial"/>
                <w:szCs w:val="24"/>
              </w:rPr>
            </w:pPr>
            <w:r w:rsidRPr="00DE57B6">
              <w:rPr>
                <w:szCs w:val="20"/>
              </w:rPr>
              <w:t>Смърт</w:t>
            </w:r>
          </w:p>
        </w:tc>
        <w:tc>
          <w:tcPr>
            <w:tcW w:w="992" w:type="dxa"/>
            <w:vAlign w:val="bottom"/>
          </w:tcPr>
          <w:p w14:paraId="4D0A9CA3" w14:textId="4EF8A7FA" w:rsidR="00DE57B6" w:rsidRPr="00DE57B6" w:rsidRDefault="00DE57B6" w:rsidP="00DE57B6">
            <w:pPr>
              <w:spacing w:line="240" w:lineRule="auto"/>
              <w:rPr>
                <w:rFonts w:eastAsia="Times New Roman" w:cs="Arial"/>
                <w:szCs w:val="24"/>
              </w:rPr>
            </w:pPr>
            <w:r w:rsidRPr="00DE57B6">
              <w:rPr>
                <w:szCs w:val="20"/>
              </w:rPr>
              <w:t>24 (6)</w:t>
            </w:r>
          </w:p>
        </w:tc>
        <w:tc>
          <w:tcPr>
            <w:tcW w:w="1418" w:type="dxa"/>
            <w:vAlign w:val="bottom"/>
          </w:tcPr>
          <w:p w14:paraId="2B27E7F7" w14:textId="34510D0B" w:rsidR="00DE57B6" w:rsidRPr="00DE57B6" w:rsidRDefault="00DE57B6" w:rsidP="00DE57B6">
            <w:pPr>
              <w:spacing w:line="240" w:lineRule="auto"/>
              <w:rPr>
                <w:rFonts w:eastAsia="Times New Roman" w:cs="Arial"/>
                <w:szCs w:val="24"/>
              </w:rPr>
            </w:pPr>
            <w:r w:rsidRPr="00DE57B6">
              <w:rPr>
                <w:szCs w:val="20"/>
              </w:rPr>
              <w:t>2,5(7)</w:t>
            </w:r>
          </w:p>
        </w:tc>
        <w:tc>
          <w:tcPr>
            <w:tcW w:w="840" w:type="dxa"/>
            <w:vAlign w:val="bottom"/>
          </w:tcPr>
          <w:p w14:paraId="34FAC4E6" w14:textId="246E3611" w:rsidR="00DE57B6" w:rsidRPr="00DE57B6" w:rsidRDefault="00DE57B6" w:rsidP="00DE57B6">
            <w:pPr>
              <w:spacing w:line="240" w:lineRule="auto"/>
              <w:rPr>
                <w:rFonts w:eastAsia="Times New Roman" w:cs="Arial"/>
                <w:szCs w:val="24"/>
              </w:rPr>
            </w:pPr>
            <w:r w:rsidRPr="00DE57B6">
              <w:rPr>
                <w:szCs w:val="20"/>
              </w:rPr>
              <w:t>1,8(5)</w:t>
            </w:r>
          </w:p>
        </w:tc>
        <w:tc>
          <w:tcPr>
            <w:tcW w:w="1569" w:type="dxa"/>
            <w:vAlign w:val="bottom"/>
          </w:tcPr>
          <w:p w14:paraId="1360810D" w14:textId="331CE033" w:rsidR="00DE57B6" w:rsidRPr="00DE57B6" w:rsidRDefault="00DE57B6" w:rsidP="00DE57B6">
            <w:pPr>
              <w:spacing w:line="240" w:lineRule="auto"/>
              <w:rPr>
                <w:rFonts w:eastAsia="Times New Roman" w:cs="Arial"/>
                <w:szCs w:val="24"/>
              </w:rPr>
            </w:pPr>
            <w:r w:rsidRPr="00DE57B6">
              <w:rPr>
                <w:szCs w:val="20"/>
              </w:rPr>
              <w:t>3,2(9)</w:t>
            </w:r>
          </w:p>
        </w:tc>
        <w:tc>
          <w:tcPr>
            <w:tcW w:w="859" w:type="dxa"/>
            <w:vAlign w:val="bottom"/>
          </w:tcPr>
          <w:p w14:paraId="78438CDC" w14:textId="75D1DCF1" w:rsidR="00DE57B6" w:rsidRPr="00DE57B6" w:rsidRDefault="00DE57B6" w:rsidP="00DE57B6">
            <w:pPr>
              <w:spacing w:line="240" w:lineRule="auto"/>
              <w:rPr>
                <w:rFonts w:eastAsia="Times New Roman" w:cs="Arial"/>
                <w:szCs w:val="24"/>
              </w:rPr>
            </w:pPr>
            <w:r w:rsidRPr="00DE57B6">
              <w:rPr>
                <w:szCs w:val="20"/>
              </w:rPr>
              <w:t>1,1 (3)</w:t>
            </w:r>
          </w:p>
        </w:tc>
        <w:tc>
          <w:tcPr>
            <w:tcW w:w="1238" w:type="dxa"/>
            <w:vAlign w:val="bottom"/>
          </w:tcPr>
          <w:p w14:paraId="527FDC84" w14:textId="0F15F048" w:rsidR="00DE57B6" w:rsidRPr="00DE57B6" w:rsidRDefault="00DE57B6" w:rsidP="00DE57B6">
            <w:pPr>
              <w:spacing w:line="240" w:lineRule="auto"/>
              <w:rPr>
                <w:rFonts w:eastAsia="Times New Roman" w:cs="Arial"/>
                <w:szCs w:val="24"/>
              </w:rPr>
            </w:pPr>
            <w:r w:rsidRPr="00DE57B6">
              <w:rPr>
                <w:szCs w:val="20"/>
              </w:rPr>
              <w:t>2,2(6)</w:t>
            </w:r>
          </w:p>
        </w:tc>
      </w:tr>
      <w:tr w:rsidR="00DE57B6" w14:paraId="7A652336" w14:textId="77777777" w:rsidTr="00DD3595">
        <w:tc>
          <w:tcPr>
            <w:tcW w:w="2660" w:type="dxa"/>
            <w:vAlign w:val="bottom"/>
          </w:tcPr>
          <w:p w14:paraId="1E7EEDA0" w14:textId="57AFAED4" w:rsidR="00DE57B6" w:rsidRPr="00DE57B6" w:rsidRDefault="00DE57B6" w:rsidP="00DE57B6">
            <w:pPr>
              <w:spacing w:line="240" w:lineRule="auto"/>
              <w:rPr>
                <w:rFonts w:eastAsia="Times New Roman" w:cs="Arial"/>
                <w:szCs w:val="24"/>
              </w:rPr>
            </w:pPr>
            <w:r w:rsidRPr="00DE57B6">
              <w:rPr>
                <w:szCs w:val="20"/>
              </w:rPr>
              <w:t>Загуба на пациента от проследяване</w:t>
            </w:r>
          </w:p>
        </w:tc>
        <w:tc>
          <w:tcPr>
            <w:tcW w:w="992" w:type="dxa"/>
          </w:tcPr>
          <w:p w14:paraId="066EE0D4" w14:textId="09D2EF75" w:rsidR="00DE57B6" w:rsidRPr="00DE57B6" w:rsidRDefault="00DE57B6" w:rsidP="00DE57B6">
            <w:pPr>
              <w:spacing w:line="240" w:lineRule="auto"/>
              <w:rPr>
                <w:rFonts w:eastAsia="Times New Roman" w:cs="Arial"/>
                <w:szCs w:val="24"/>
              </w:rPr>
            </w:pPr>
            <w:r w:rsidRPr="00DE57B6">
              <w:rPr>
                <w:szCs w:val="20"/>
              </w:rPr>
              <w:t>3,6 (10)</w:t>
            </w:r>
          </w:p>
        </w:tc>
        <w:tc>
          <w:tcPr>
            <w:tcW w:w="1418" w:type="dxa"/>
          </w:tcPr>
          <w:p w14:paraId="66B3E65A" w14:textId="7C391951" w:rsidR="00DE57B6" w:rsidRPr="00DE57B6" w:rsidRDefault="00DE57B6" w:rsidP="00DE57B6">
            <w:pPr>
              <w:spacing w:line="240" w:lineRule="auto"/>
              <w:rPr>
                <w:rFonts w:eastAsia="Times New Roman" w:cs="Arial"/>
                <w:szCs w:val="24"/>
              </w:rPr>
            </w:pPr>
            <w:r w:rsidRPr="00DE57B6">
              <w:rPr>
                <w:szCs w:val="20"/>
              </w:rPr>
              <w:t>4,3(12)</w:t>
            </w:r>
          </w:p>
        </w:tc>
        <w:tc>
          <w:tcPr>
            <w:tcW w:w="840" w:type="dxa"/>
          </w:tcPr>
          <w:p w14:paraId="1E98F386" w14:textId="358D3302" w:rsidR="00DE57B6" w:rsidRPr="00DE57B6" w:rsidRDefault="00DE57B6" w:rsidP="00DE57B6">
            <w:pPr>
              <w:spacing w:line="240" w:lineRule="auto"/>
              <w:rPr>
                <w:rFonts w:eastAsia="Times New Roman" w:cs="Arial"/>
                <w:szCs w:val="24"/>
              </w:rPr>
            </w:pPr>
            <w:r w:rsidRPr="00DE57B6">
              <w:rPr>
                <w:szCs w:val="20"/>
              </w:rPr>
              <w:t>2,5(7)</w:t>
            </w:r>
          </w:p>
        </w:tc>
        <w:tc>
          <w:tcPr>
            <w:tcW w:w="1569" w:type="dxa"/>
          </w:tcPr>
          <w:p w14:paraId="6CC31393" w14:textId="04EAB3DD" w:rsidR="00DE57B6" w:rsidRPr="00DE57B6" w:rsidRDefault="00DE57B6" w:rsidP="00DE57B6">
            <w:pPr>
              <w:spacing w:line="240" w:lineRule="auto"/>
              <w:rPr>
                <w:rFonts w:eastAsia="Times New Roman" w:cs="Arial"/>
                <w:szCs w:val="24"/>
              </w:rPr>
            </w:pPr>
            <w:r w:rsidRPr="00DE57B6">
              <w:rPr>
                <w:szCs w:val="20"/>
              </w:rPr>
              <w:t>2,5(7)</w:t>
            </w:r>
          </w:p>
        </w:tc>
        <w:tc>
          <w:tcPr>
            <w:tcW w:w="859" w:type="dxa"/>
          </w:tcPr>
          <w:p w14:paraId="12D2DB93" w14:textId="3B02DA7C" w:rsidR="00DE57B6" w:rsidRPr="00DE57B6" w:rsidRDefault="00DE57B6" w:rsidP="00DE57B6">
            <w:pPr>
              <w:spacing w:line="240" w:lineRule="auto"/>
              <w:rPr>
                <w:rFonts w:eastAsia="Times New Roman" w:cs="Arial"/>
                <w:szCs w:val="24"/>
              </w:rPr>
            </w:pPr>
            <w:r w:rsidRPr="00DE57B6">
              <w:rPr>
                <w:szCs w:val="20"/>
              </w:rPr>
              <w:t>1,8(5)</w:t>
            </w:r>
          </w:p>
        </w:tc>
        <w:tc>
          <w:tcPr>
            <w:tcW w:w="1238" w:type="dxa"/>
          </w:tcPr>
          <w:p w14:paraId="3E3E62E8" w14:textId="77849F89" w:rsidR="00DE57B6" w:rsidRPr="00DE57B6" w:rsidRDefault="00DE57B6" w:rsidP="00DE57B6">
            <w:pPr>
              <w:spacing w:line="240" w:lineRule="auto"/>
              <w:rPr>
                <w:rFonts w:eastAsia="Times New Roman" w:cs="Arial"/>
                <w:szCs w:val="24"/>
              </w:rPr>
            </w:pPr>
            <w:r w:rsidRPr="00DE57B6">
              <w:rPr>
                <w:szCs w:val="20"/>
              </w:rPr>
              <w:t>3,2(9)</w:t>
            </w:r>
          </w:p>
        </w:tc>
      </w:tr>
      <w:tr w:rsidR="00DD3595" w14:paraId="7F7EEF75" w14:textId="77777777" w:rsidTr="00DD3595">
        <w:tc>
          <w:tcPr>
            <w:tcW w:w="2660" w:type="dxa"/>
          </w:tcPr>
          <w:p w14:paraId="0A64FACC" w14:textId="77777777" w:rsidR="00DD3595" w:rsidRPr="00DD3595" w:rsidRDefault="00DD3595" w:rsidP="00DD3595">
            <w:r w:rsidRPr="00DD3595">
              <w:rPr>
                <w:b/>
                <w:bCs/>
                <w:szCs w:val="20"/>
              </w:rPr>
              <w:lastRenderedPageBreak/>
              <w:t>Комбинирани крайни точки</w:t>
            </w:r>
          </w:p>
          <w:p w14:paraId="5EF627B1" w14:textId="77777777" w:rsidR="00DD3595" w:rsidRPr="00DD3595" w:rsidRDefault="00DD3595" w:rsidP="00DD3595">
            <w:r w:rsidRPr="00DD3595">
              <w:rPr>
                <w:szCs w:val="20"/>
              </w:rPr>
              <w:t>(2° критерии)</w:t>
            </w:r>
          </w:p>
          <w:p w14:paraId="1504D305" w14:textId="245DAB5C" w:rsidR="00DD3595" w:rsidRPr="00DD3595" w:rsidRDefault="00DD3595" w:rsidP="00DD3595">
            <w:pPr>
              <w:spacing w:line="240" w:lineRule="auto"/>
              <w:rPr>
                <w:rFonts w:eastAsia="Times New Roman" w:cs="Arial"/>
                <w:szCs w:val="24"/>
              </w:rPr>
            </w:pPr>
            <w:r w:rsidRPr="00DD3595">
              <w:rPr>
                <w:szCs w:val="20"/>
              </w:rPr>
              <w:t>Загуба на присадката/смърт</w:t>
            </w:r>
          </w:p>
        </w:tc>
        <w:tc>
          <w:tcPr>
            <w:tcW w:w="992" w:type="dxa"/>
          </w:tcPr>
          <w:p w14:paraId="752018CA" w14:textId="3883BE24" w:rsidR="00DD3595" w:rsidRPr="00DD3595" w:rsidRDefault="00DD3595" w:rsidP="00DD3595">
            <w:pPr>
              <w:spacing w:line="240" w:lineRule="auto"/>
              <w:rPr>
                <w:rFonts w:eastAsia="Times New Roman" w:cs="Arial"/>
                <w:szCs w:val="24"/>
              </w:rPr>
            </w:pPr>
            <w:r w:rsidRPr="00DD3595">
              <w:rPr>
                <w:szCs w:val="20"/>
              </w:rPr>
              <w:t>5,8(16)</w:t>
            </w:r>
          </w:p>
        </w:tc>
        <w:tc>
          <w:tcPr>
            <w:tcW w:w="1418" w:type="dxa"/>
          </w:tcPr>
          <w:p w14:paraId="6B640381" w14:textId="31223D20" w:rsidR="00DD3595" w:rsidRPr="00DD3595" w:rsidRDefault="00DD3595" w:rsidP="00DD3595">
            <w:pPr>
              <w:spacing w:line="240" w:lineRule="auto"/>
              <w:rPr>
                <w:rFonts w:eastAsia="Times New Roman" w:cs="Arial"/>
                <w:szCs w:val="24"/>
              </w:rPr>
            </w:pPr>
            <w:r w:rsidRPr="00DD3595">
              <w:rPr>
                <w:szCs w:val="20"/>
              </w:rPr>
              <w:t>6,5(18)</w:t>
            </w:r>
          </w:p>
        </w:tc>
        <w:tc>
          <w:tcPr>
            <w:tcW w:w="840" w:type="dxa"/>
          </w:tcPr>
          <w:p w14:paraId="76E74B18" w14:textId="098FCA7F" w:rsidR="00DD3595" w:rsidRPr="00DD3595" w:rsidRDefault="00DD3595" w:rsidP="00DD3595">
            <w:pPr>
              <w:spacing w:line="240" w:lineRule="auto"/>
              <w:rPr>
                <w:rFonts w:eastAsia="Times New Roman" w:cs="Arial"/>
                <w:szCs w:val="24"/>
              </w:rPr>
            </w:pPr>
            <w:r w:rsidRPr="00DD3595">
              <w:rPr>
                <w:szCs w:val="20"/>
              </w:rPr>
              <w:t>5,7(16)</w:t>
            </w:r>
          </w:p>
        </w:tc>
        <w:tc>
          <w:tcPr>
            <w:tcW w:w="1569" w:type="dxa"/>
          </w:tcPr>
          <w:p w14:paraId="2238D2D4" w14:textId="6C5823C1" w:rsidR="00DD3595" w:rsidRPr="00DD3595" w:rsidRDefault="00DD3595" w:rsidP="00DD3595">
            <w:pPr>
              <w:spacing w:line="240" w:lineRule="auto"/>
              <w:rPr>
                <w:rFonts w:eastAsia="Times New Roman" w:cs="Arial"/>
                <w:szCs w:val="24"/>
              </w:rPr>
            </w:pPr>
            <w:r w:rsidRPr="00DD3595">
              <w:rPr>
                <w:szCs w:val="20"/>
              </w:rPr>
              <w:t>7,5(21)</w:t>
            </w:r>
          </w:p>
        </w:tc>
        <w:tc>
          <w:tcPr>
            <w:tcW w:w="859" w:type="dxa"/>
          </w:tcPr>
          <w:p w14:paraId="78FCD346" w14:textId="0C60971B" w:rsidR="00DD3595" w:rsidRPr="00DD3595" w:rsidRDefault="00DD3595" w:rsidP="00DD3595">
            <w:pPr>
              <w:spacing w:line="240" w:lineRule="auto"/>
              <w:rPr>
                <w:rFonts w:eastAsia="Times New Roman" w:cs="Arial"/>
                <w:szCs w:val="24"/>
              </w:rPr>
            </w:pPr>
            <w:r w:rsidRPr="00DD3595">
              <w:rPr>
                <w:szCs w:val="20"/>
              </w:rPr>
              <w:t>4,0(11)</w:t>
            </w:r>
          </w:p>
        </w:tc>
        <w:tc>
          <w:tcPr>
            <w:tcW w:w="1238" w:type="dxa"/>
          </w:tcPr>
          <w:p w14:paraId="1642107B" w14:textId="7091A12D" w:rsidR="00DD3595" w:rsidRPr="00DD3595" w:rsidRDefault="00DD3595" w:rsidP="00DD3595">
            <w:pPr>
              <w:spacing w:line="240" w:lineRule="auto"/>
              <w:rPr>
                <w:rFonts w:eastAsia="Times New Roman" w:cs="Arial"/>
                <w:szCs w:val="24"/>
              </w:rPr>
            </w:pPr>
            <w:r w:rsidRPr="00DD3595">
              <w:rPr>
                <w:szCs w:val="20"/>
              </w:rPr>
              <w:t>5,4(15)</w:t>
            </w:r>
          </w:p>
        </w:tc>
      </w:tr>
      <w:tr w:rsidR="00DD3595" w14:paraId="6990B7BD" w14:textId="77777777" w:rsidTr="00DD3595">
        <w:tc>
          <w:tcPr>
            <w:tcW w:w="2660" w:type="dxa"/>
          </w:tcPr>
          <w:p w14:paraId="1DE1284C" w14:textId="77777777" w:rsidR="00DD3595" w:rsidRPr="00DD3595" w:rsidRDefault="00DD3595" w:rsidP="00DD3595">
            <w:r w:rsidRPr="00DD3595">
              <w:rPr>
                <w:szCs w:val="20"/>
              </w:rPr>
              <w:t>Загуба на</w:t>
            </w:r>
          </w:p>
          <w:p w14:paraId="43B56539" w14:textId="61D3A348" w:rsidR="00DD3595" w:rsidRPr="00DD3595" w:rsidRDefault="00DD3595" w:rsidP="00DD3595">
            <w:pPr>
              <w:spacing w:line="240" w:lineRule="auto"/>
              <w:rPr>
                <w:rFonts w:eastAsia="Times New Roman" w:cs="Arial"/>
                <w:szCs w:val="24"/>
              </w:rPr>
            </w:pPr>
            <w:r w:rsidRPr="00DD3595">
              <w:rPr>
                <w:szCs w:val="20"/>
              </w:rPr>
              <w:t>присадката/смърт/загуба на пациента от проследяване</w:t>
            </w:r>
          </w:p>
        </w:tc>
        <w:tc>
          <w:tcPr>
            <w:tcW w:w="992" w:type="dxa"/>
          </w:tcPr>
          <w:p w14:paraId="20F91027" w14:textId="0F2BD96D" w:rsidR="00DD3595" w:rsidRPr="00DD3595" w:rsidRDefault="00DD3595" w:rsidP="00DD3595">
            <w:pPr>
              <w:spacing w:line="240" w:lineRule="auto"/>
              <w:rPr>
                <w:rFonts w:eastAsia="Times New Roman" w:cs="Arial"/>
                <w:szCs w:val="24"/>
              </w:rPr>
            </w:pPr>
            <w:r w:rsidRPr="00DD3595">
              <w:rPr>
                <w:szCs w:val="20"/>
              </w:rPr>
              <w:t>9,4(26)</w:t>
            </w:r>
          </w:p>
        </w:tc>
        <w:tc>
          <w:tcPr>
            <w:tcW w:w="1418" w:type="dxa"/>
          </w:tcPr>
          <w:p w14:paraId="0DED76D9" w14:textId="2040DD07" w:rsidR="00DD3595" w:rsidRPr="00DD3595" w:rsidRDefault="00DD3595" w:rsidP="00DD3595">
            <w:pPr>
              <w:spacing w:line="240" w:lineRule="auto"/>
              <w:rPr>
                <w:rFonts w:eastAsia="Times New Roman" w:cs="Arial"/>
                <w:szCs w:val="24"/>
              </w:rPr>
            </w:pPr>
            <w:r w:rsidRPr="00DD3595">
              <w:rPr>
                <w:b/>
                <w:bCs/>
                <w:szCs w:val="20"/>
              </w:rPr>
              <w:t xml:space="preserve">10,8 </w:t>
            </w:r>
            <w:r w:rsidRPr="00DD3595">
              <w:rPr>
                <w:szCs w:val="20"/>
              </w:rPr>
              <w:t>(30)</w:t>
            </w:r>
          </w:p>
        </w:tc>
        <w:tc>
          <w:tcPr>
            <w:tcW w:w="840" w:type="dxa"/>
          </w:tcPr>
          <w:p w14:paraId="69F50BAA" w14:textId="736C1262" w:rsidR="00DD3595" w:rsidRPr="00DD3595" w:rsidRDefault="00DD3595" w:rsidP="00DD3595">
            <w:pPr>
              <w:spacing w:line="240" w:lineRule="auto"/>
              <w:rPr>
                <w:rFonts w:eastAsia="Times New Roman" w:cs="Arial"/>
                <w:szCs w:val="24"/>
              </w:rPr>
            </w:pPr>
            <w:r w:rsidRPr="00DD3595">
              <w:rPr>
                <w:szCs w:val="20"/>
              </w:rPr>
              <w:t>8,2 (23)</w:t>
            </w:r>
          </w:p>
        </w:tc>
        <w:tc>
          <w:tcPr>
            <w:tcW w:w="1569" w:type="dxa"/>
          </w:tcPr>
          <w:p w14:paraId="78CD78BB" w14:textId="140A2653" w:rsidR="00DD3595" w:rsidRPr="00DD3595" w:rsidRDefault="00DD3595" w:rsidP="00DD3595">
            <w:pPr>
              <w:spacing w:line="240" w:lineRule="auto"/>
              <w:rPr>
                <w:rFonts w:eastAsia="Times New Roman" w:cs="Arial"/>
                <w:szCs w:val="24"/>
              </w:rPr>
            </w:pPr>
            <w:r w:rsidRPr="00DD3595">
              <w:rPr>
                <w:b/>
                <w:bCs/>
                <w:szCs w:val="20"/>
              </w:rPr>
              <w:t xml:space="preserve">10,0 </w:t>
            </w:r>
            <w:r w:rsidRPr="00DD3595">
              <w:rPr>
                <w:szCs w:val="20"/>
              </w:rPr>
              <w:t>(28)</w:t>
            </w:r>
          </w:p>
        </w:tc>
        <w:tc>
          <w:tcPr>
            <w:tcW w:w="859" w:type="dxa"/>
          </w:tcPr>
          <w:p w14:paraId="7D9DA76C" w14:textId="646D0735" w:rsidR="00DD3595" w:rsidRPr="00DD3595" w:rsidRDefault="00DD3595" w:rsidP="00DD3595">
            <w:pPr>
              <w:spacing w:line="240" w:lineRule="auto"/>
              <w:rPr>
                <w:rFonts w:eastAsia="Times New Roman" w:cs="Arial"/>
                <w:szCs w:val="24"/>
              </w:rPr>
            </w:pPr>
            <w:r w:rsidRPr="00DD3595">
              <w:rPr>
                <w:szCs w:val="20"/>
              </w:rPr>
              <w:t>5,8(16)</w:t>
            </w:r>
          </w:p>
        </w:tc>
        <w:tc>
          <w:tcPr>
            <w:tcW w:w="1238" w:type="dxa"/>
          </w:tcPr>
          <w:p w14:paraId="242CE66D" w14:textId="45BA59EA" w:rsidR="00DD3595" w:rsidRPr="00DD3595" w:rsidRDefault="00DD3595" w:rsidP="00DD3595">
            <w:pPr>
              <w:spacing w:line="240" w:lineRule="auto"/>
              <w:rPr>
                <w:rFonts w:eastAsia="Times New Roman" w:cs="Arial"/>
                <w:szCs w:val="24"/>
              </w:rPr>
            </w:pPr>
            <w:r w:rsidRPr="00DD3595">
              <w:rPr>
                <w:szCs w:val="20"/>
              </w:rPr>
              <w:t>8,7(24)</w:t>
            </w:r>
          </w:p>
        </w:tc>
      </w:tr>
    </w:tbl>
    <w:p w14:paraId="555BF6A2" w14:textId="191841CC" w:rsidR="00DE57B6" w:rsidRDefault="00DE57B6" w:rsidP="00DE57B6">
      <w:pPr>
        <w:spacing w:line="240" w:lineRule="auto"/>
        <w:rPr>
          <w:rFonts w:eastAsia="Times New Roman" w:cs="Arial"/>
          <w:sz w:val="28"/>
          <w:szCs w:val="24"/>
        </w:rPr>
      </w:pPr>
    </w:p>
    <w:p w14:paraId="609C2C55"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мес=месец, 1</w:t>
      </w:r>
      <w:r w:rsidRPr="00DD3595">
        <w:rPr>
          <w:rFonts w:eastAsia="Times New Roman" w:cs="Arial"/>
          <w:color w:val="000000"/>
          <w:szCs w:val="20"/>
          <w:vertAlign w:val="superscript"/>
          <w:lang w:eastAsia="bg-BG"/>
        </w:rPr>
        <w:t>0</w:t>
      </w:r>
      <w:r w:rsidRPr="00DD3595">
        <w:rPr>
          <w:rFonts w:eastAsia="Times New Roman" w:cs="Arial"/>
          <w:color w:val="000000"/>
          <w:szCs w:val="20"/>
          <w:lang w:eastAsia="bg-BG"/>
        </w:rPr>
        <w:t xml:space="preserve"> = първичен, 2° = вторичен, </w:t>
      </w:r>
      <w:r w:rsidRPr="00DD3595">
        <w:rPr>
          <w:rFonts w:eastAsia="Times New Roman" w:cs="Arial"/>
          <w:color w:val="000000"/>
          <w:szCs w:val="20"/>
          <w:lang w:val="en-US"/>
        </w:rPr>
        <w:t>CI</w:t>
      </w:r>
      <w:r w:rsidRPr="00DD3595">
        <w:rPr>
          <w:rFonts w:eastAsia="Times New Roman" w:cs="Arial"/>
          <w:color w:val="000000"/>
          <w:szCs w:val="20"/>
          <w:lang w:val="ru-RU"/>
        </w:rPr>
        <w:t xml:space="preserve"> </w:t>
      </w:r>
      <w:r w:rsidRPr="00DD3595">
        <w:rPr>
          <w:rFonts w:eastAsia="Times New Roman" w:cs="Arial"/>
          <w:color w:val="000000"/>
          <w:szCs w:val="20"/>
          <w:lang w:eastAsia="bg-BG"/>
        </w:rPr>
        <w:t>- доверителен интервал, границата за неинфериорност е била 10%</w:t>
      </w:r>
    </w:p>
    <w:p w14:paraId="625DAE5D"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Съставна крайна точка: лекувано доказано с биопсия остро отхвърляне </w:t>
      </w:r>
      <w:r w:rsidRPr="00DD3595">
        <w:rPr>
          <w:rFonts w:eastAsia="Times New Roman" w:cs="Arial"/>
          <w:color w:val="000000"/>
          <w:szCs w:val="20"/>
          <w:lang w:val="ru-RU"/>
        </w:rPr>
        <w:t>(</w:t>
      </w:r>
      <w:r w:rsidRPr="00DD3595">
        <w:rPr>
          <w:rFonts w:eastAsia="Times New Roman" w:cs="Arial"/>
          <w:color w:val="000000"/>
          <w:szCs w:val="20"/>
          <w:lang w:val="en-US"/>
        </w:rPr>
        <w:t>BPAR</w:t>
      </w:r>
      <w:r w:rsidRPr="00DD3595">
        <w:rPr>
          <w:rFonts w:eastAsia="Times New Roman" w:cs="Arial"/>
          <w:color w:val="000000"/>
          <w:szCs w:val="20"/>
          <w:lang w:val="ru-RU"/>
        </w:rPr>
        <w:t xml:space="preserve">), </w:t>
      </w:r>
      <w:r w:rsidRPr="00DD3595">
        <w:rPr>
          <w:rFonts w:eastAsia="Times New Roman" w:cs="Arial"/>
          <w:color w:val="000000"/>
          <w:szCs w:val="20"/>
          <w:lang w:eastAsia="bg-BG"/>
        </w:rPr>
        <w:t>загуба на присадката, смърт или загуба на пациента от проследяване</w:t>
      </w:r>
    </w:p>
    <w:p w14:paraId="517C3F46" w14:textId="77777777" w:rsidR="00DD3595" w:rsidRPr="00DD3595" w:rsidRDefault="00DD3595" w:rsidP="00DD3595">
      <w:pPr>
        <w:spacing w:line="240" w:lineRule="auto"/>
        <w:rPr>
          <w:rFonts w:eastAsia="Times New Roman" w:cs="Arial"/>
          <w:color w:val="000000"/>
          <w:szCs w:val="20"/>
          <w:lang w:eastAsia="bg-BG"/>
        </w:rPr>
      </w:pPr>
    </w:p>
    <w:p w14:paraId="3EF71ECB" w14:textId="10ACD536"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Промените в бъбречната функция, демонстрирани чрез определяне на скоростта на гломерулна филтрация </w:t>
      </w:r>
      <w:r w:rsidRPr="00DD3595">
        <w:rPr>
          <w:rFonts w:eastAsia="Times New Roman" w:cs="Arial"/>
          <w:color w:val="000000"/>
          <w:szCs w:val="20"/>
          <w:lang w:val="ru-RU"/>
        </w:rPr>
        <w:t>(</w:t>
      </w:r>
      <w:r w:rsidRPr="00DD3595">
        <w:rPr>
          <w:rFonts w:eastAsia="Times New Roman" w:cs="Arial"/>
          <w:color w:val="000000"/>
          <w:szCs w:val="20"/>
          <w:lang w:val="en-US"/>
        </w:rPr>
        <w:t>GFR</w:t>
      </w:r>
      <w:r w:rsidRPr="00DD3595">
        <w:rPr>
          <w:rFonts w:eastAsia="Times New Roman" w:cs="Arial"/>
          <w:color w:val="000000"/>
          <w:szCs w:val="20"/>
          <w:lang w:val="ru-RU"/>
        </w:rPr>
        <w:t xml:space="preserve">) </w:t>
      </w:r>
      <w:r w:rsidRPr="00DD3595">
        <w:rPr>
          <w:rFonts w:eastAsia="Times New Roman" w:cs="Arial"/>
          <w:color w:val="000000"/>
          <w:szCs w:val="20"/>
          <w:lang w:eastAsia="bg-BG"/>
        </w:rPr>
        <w:t xml:space="preserve">с помощта на </w:t>
      </w:r>
      <w:r w:rsidRPr="00DD3595">
        <w:rPr>
          <w:rFonts w:eastAsia="Times New Roman" w:cs="Arial"/>
          <w:color w:val="000000"/>
          <w:szCs w:val="20"/>
          <w:lang w:val="en-US"/>
        </w:rPr>
        <w:t>MDRD</w:t>
      </w:r>
      <w:r w:rsidRPr="00DD3595">
        <w:rPr>
          <w:rFonts w:eastAsia="Times New Roman" w:cs="Arial"/>
          <w:color w:val="000000"/>
          <w:szCs w:val="20"/>
          <w:lang w:val="ru-RU"/>
        </w:rPr>
        <w:t xml:space="preserve"> </w:t>
      </w:r>
      <w:r w:rsidRPr="00DD3595">
        <w:rPr>
          <w:rFonts w:eastAsia="Times New Roman" w:cs="Arial"/>
          <w:color w:val="000000"/>
          <w:szCs w:val="20"/>
          <w:lang w:eastAsia="bg-BG"/>
        </w:rPr>
        <w:t>формулата, са представени по-долу в Таблица 9.</w:t>
      </w:r>
    </w:p>
    <w:p w14:paraId="2132C7BB" w14:textId="77777777" w:rsidR="00DD3595" w:rsidRPr="00DD3595" w:rsidRDefault="00DD3595" w:rsidP="00DD3595">
      <w:pPr>
        <w:spacing w:line="240" w:lineRule="auto"/>
        <w:rPr>
          <w:rFonts w:eastAsia="Times New Roman" w:cs="Arial"/>
          <w:color w:val="000000"/>
          <w:szCs w:val="20"/>
          <w:lang w:eastAsia="bg-BG"/>
        </w:rPr>
      </w:pPr>
    </w:p>
    <w:p w14:paraId="29653900" w14:textId="74454F45"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Протеинурията е била оценена в рамките на насрочени визити с помощта на бърз тест за определяне на съотношението протеин/креатинин в урината (вж. Таблица 10). Установено е влияние на концентрацията, като степента на протеинурия е свързнана с най-ниските концентрации на еверолимус в кръвта, особено при стойности на </w:t>
      </w:r>
      <w:r w:rsidRPr="00DD3595">
        <w:rPr>
          <w:rFonts w:eastAsia="Times New Roman" w:cs="Arial"/>
          <w:color w:val="000000"/>
          <w:szCs w:val="20"/>
          <w:lang w:val="en-US"/>
        </w:rPr>
        <w:t>Cmin</w:t>
      </w:r>
      <w:r w:rsidRPr="00DD3595">
        <w:rPr>
          <w:rFonts w:eastAsia="Times New Roman" w:cs="Arial"/>
          <w:color w:val="000000"/>
          <w:szCs w:val="20"/>
          <w:lang w:val="ru-RU"/>
        </w:rPr>
        <w:t xml:space="preserve"> </w:t>
      </w:r>
      <w:r w:rsidRPr="00DD3595">
        <w:rPr>
          <w:rFonts w:eastAsia="Times New Roman" w:cs="Arial"/>
          <w:color w:val="000000"/>
          <w:szCs w:val="20"/>
          <w:lang w:eastAsia="bg-BG"/>
        </w:rPr>
        <w:t xml:space="preserve">над 8 </w:t>
      </w:r>
      <w:r w:rsidRPr="00DD3595">
        <w:rPr>
          <w:rFonts w:eastAsia="Times New Roman" w:cs="Arial"/>
          <w:color w:val="000000"/>
          <w:szCs w:val="20"/>
          <w:lang w:val="en-US"/>
        </w:rPr>
        <w:t>ng</w:t>
      </w:r>
      <w:r w:rsidRPr="00DD3595">
        <w:rPr>
          <w:rFonts w:eastAsia="Times New Roman" w:cs="Arial"/>
          <w:color w:val="000000"/>
          <w:szCs w:val="20"/>
          <w:lang w:val="ru-RU"/>
        </w:rPr>
        <w:t>/</w:t>
      </w:r>
      <w:r w:rsidRPr="00DD3595">
        <w:rPr>
          <w:rFonts w:eastAsia="Times New Roman" w:cs="Arial"/>
          <w:color w:val="000000"/>
          <w:szCs w:val="20"/>
          <w:lang w:val="en-US"/>
        </w:rPr>
        <w:t>ml</w:t>
      </w:r>
      <w:r w:rsidRPr="00DD3595">
        <w:rPr>
          <w:rFonts w:eastAsia="Times New Roman" w:cs="Arial"/>
          <w:color w:val="000000"/>
          <w:szCs w:val="20"/>
          <w:lang w:val="ru-RU"/>
        </w:rPr>
        <w:t>.</w:t>
      </w:r>
    </w:p>
    <w:p w14:paraId="4E681FC3" w14:textId="77777777" w:rsidR="00DD3595" w:rsidRPr="00DD3595" w:rsidRDefault="00DD3595" w:rsidP="00DD3595">
      <w:pPr>
        <w:spacing w:line="240" w:lineRule="auto"/>
        <w:rPr>
          <w:rFonts w:eastAsia="Times New Roman" w:cs="Arial"/>
          <w:color w:val="000000"/>
          <w:szCs w:val="20"/>
          <w:lang w:eastAsia="bg-BG"/>
        </w:rPr>
      </w:pPr>
    </w:p>
    <w:p w14:paraId="2B487404" w14:textId="21FEFE22"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Нежелани събития, съобщавани по-често при прилагане на препоръчителния (нискодозов) режим на Сертикан, отколкото при контролната група на МРА са включени по-горе (Таблица 4).</w:t>
      </w:r>
    </w:p>
    <w:p w14:paraId="15978E14"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Съобщава се за по-ниска честота на вирусни инфекции при пациентите на лечение със Сертикан, произхождаща принципно от по-ниската честота на докладвани </w:t>
      </w:r>
      <w:r w:rsidRPr="00DD3595">
        <w:rPr>
          <w:rFonts w:eastAsia="Times New Roman" w:cs="Arial"/>
          <w:color w:val="000000"/>
          <w:szCs w:val="20"/>
          <w:lang w:val="en-US"/>
        </w:rPr>
        <w:t>CMV</w:t>
      </w:r>
      <w:r w:rsidRPr="00DD3595">
        <w:rPr>
          <w:rFonts w:eastAsia="Times New Roman" w:cs="Arial"/>
          <w:color w:val="000000"/>
          <w:szCs w:val="20"/>
          <w:lang w:val="ru-RU"/>
        </w:rPr>
        <w:t xml:space="preserve"> </w:t>
      </w:r>
      <w:r w:rsidRPr="00DD3595">
        <w:rPr>
          <w:rFonts w:eastAsia="Times New Roman" w:cs="Arial"/>
          <w:color w:val="000000"/>
          <w:szCs w:val="20"/>
          <w:lang w:eastAsia="bg-BG"/>
        </w:rPr>
        <w:t>инфекции (0,7% спрямо 5,95%) и ВК вирусни инфекции (1,5% спрямо 4,8%).</w:t>
      </w:r>
    </w:p>
    <w:p w14:paraId="4B08FFFD" w14:textId="77777777" w:rsidR="00DD3595" w:rsidRPr="00DD3595" w:rsidRDefault="00DD3595" w:rsidP="00DD3595">
      <w:pPr>
        <w:spacing w:line="240" w:lineRule="auto"/>
        <w:rPr>
          <w:rFonts w:eastAsia="Times New Roman" w:cs="Arial"/>
          <w:b/>
          <w:bCs/>
          <w:color w:val="000000"/>
          <w:szCs w:val="20"/>
          <w:lang w:eastAsia="bg-BG"/>
        </w:rPr>
      </w:pPr>
    </w:p>
    <w:p w14:paraId="723259D3" w14:textId="0B976BA3" w:rsidR="00DD3595" w:rsidRPr="00DD3595" w:rsidRDefault="00DD3595" w:rsidP="00DD3595">
      <w:pPr>
        <w:spacing w:line="240" w:lineRule="auto"/>
        <w:rPr>
          <w:rFonts w:eastAsia="Times New Roman" w:cs="Arial"/>
          <w:sz w:val="28"/>
          <w:szCs w:val="24"/>
        </w:rPr>
      </w:pPr>
      <w:r w:rsidRPr="00DD3595">
        <w:rPr>
          <w:rFonts w:eastAsia="Times New Roman" w:cs="Arial"/>
          <w:b/>
          <w:bCs/>
          <w:color w:val="000000"/>
          <w:szCs w:val="20"/>
          <w:lang w:eastAsia="bg-BG"/>
        </w:rPr>
        <w:t xml:space="preserve">Таблица 9 Изпитване А2309: Бъбречна функция </w:t>
      </w:r>
      <w:r w:rsidRPr="00DD3595">
        <w:rPr>
          <w:rFonts w:eastAsia="Times New Roman" w:cs="Arial"/>
          <w:b/>
          <w:bCs/>
          <w:color w:val="000000"/>
          <w:szCs w:val="20"/>
          <w:lang w:val="ru-RU"/>
        </w:rPr>
        <w:t>(</w:t>
      </w:r>
      <w:r w:rsidRPr="00DD3595">
        <w:rPr>
          <w:rFonts w:eastAsia="Times New Roman" w:cs="Arial"/>
          <w:b/>
          <w:bCs/>
          <w:color w:val="000000"/>
          <w:szCs w:val="20"/>
          <w:lang w:val="en-US"/>
        </w:rPr>
        <w:t>GFR</w:t>
      </w:r>
      <w:r w:rsidRPr="00DD3595">
        <w:rPr>
          <w:rFonts w:eastAsia="Times New Roman" w:cs="Arial"/>
          <w:b/>
          <w:bCs/>
          <w:color w:val="000000"/>
          <w:szCs w:val="20"/>
          <w:lang w:val="ru-RU"/>
        </w:rPr>
        <w:t xml:space="preserve"> </w:t>
      </w:r>
      <w:r w:rsidRPr="00DD3595">
        <w:rPr>
          <w:rFonts w:eastAsia="Times New Roman" w:cs="Arial"/>
          <w:b/>
          <w:bCs/>
          <w:color w:val="000000"/>
          <w:szCs w:val="20"/>
          <w:lang w:eastAsia="bg-BG"/>
        </w:rPr>
        <w:t xml:space="preserve">изчислена по формулата </w:t>
      </w:r>
      <w:r w:rsidRPr="00DD3595">
        <w:rPr>
          <w:rFonts w:eastAsia="Times New Roman" w:cs="Arial"/>
          <w:b/>
          <w:bCs/>
          <w:color w:val="000000"/>
          <w:szCs w:val="20"/>
          <w:lang w:val="en-US"/>
        </w:rPr>
        <w:t>MDRD</w:t>
      </w:r>
      <w:r w:rsidRPr="00DD3595">
        <w:rPr>
          <w:rFonts w:eastAsia="Times New Roman" w:cs="Arial"/>
          <w:b/>
          <w:bCs/>
          <w:color w:val="000000"/>
          <w:szCs w:val="20"/>
          <w:lang w:val="ru-RU"/>
        </w:rPr>
        <w:t xml:space="preserve">) </w:t>
      </w:r>
      <w:r w:rsidRPr="00DD3595">
        <w:rPr>
          <w:rFonts w:eastAsia="Times New Roman" w:cs="Arial"/>
          <w:b/>
          <w:bCs/>
          <w:color w:val="000000"/>
          <w:szCs w:val="20"/>
          <w:lang w:eastAsia="bg-BG"/>
        </w:rPr>
        <w:t>на 12 месец (ПТ популация)</w:t>
      </w:r>
    </w:p>
    <w:tbl>
      <w:tblPr>
        <w:tblStyle w:val="TableGrid"/>
        <w:tblW w:w="0" w:type="auto"/>
        <w:tblLook w:val="04A0" w:firstRow="1" w:lastRow="0" w:firstColumn="1" w:lastColumn="0" w:noHBand="0" w:noVBand="1"/>
      </w:tblPr>
      <w:tblGrid>
        <w:gridCol w:w="2352"/>
        <w:gridCol w:w="2339"/>
        <w:gridCol w:w="2339"/>
        <w:gridCol w:w="2320"/>
      </w:tblGrid>
      <w:tr w:rsidR="00DD3595" w14:paraId="6626B7F8" w14:textId="77777777" w:rsidTr="00DD3595">
        <w:tc>
          <w:tcPr>
            <w:tcW w:w="2394" w:type="dxa"/>
          </w:tcPr>
          <w:p w14:paraId="3259FDA8" w14:textId="77777777" w:rsidR="00DD3595" w:rsidRPr="00DD3595" w:rsidRDefault="00DD3595" w:rsidP="00DD3595">
            <w:pPr>
              <w:spacing w:line="240" w:lineRule="auto"/>
              <w:rPr>
                <w:rFonts w:eastAsia="Times New Roman" w:cs="Arial"/>
                <w:szCs w:val="24"/>
              </w:rPr>
            </w:pPr>
          </w:p>
        </w:tc>
        <w:tc>
          <w:tcPr>
            <w:tcW w:w="2394" w:type="dxa"/>
          </w:tcPr>
          <w:p w14:paraId="4164DFFC" w14:textId="33F48867" w:rsidR="00DD3595" w:rsidRPr="00DD3595" w:rsidRDefault="00DD3595" w:rsidP="00DD3595">
            <w:pPr>
              <w:spacing w:line="240" w:lineRule="auto"/>
              <w:rPr>
                <w:rFonts w:eastAsia="Times New Roman" w:cs="Arial"/>
                <w:szCs w:val="24"/>
              </w:rPr>
            </w:pPr>
            <w:r w:rsidRPr="00DD3595">
              <w:rPr>
                <w:b/>
                <w:bCs/>
                <w:szCs w:val="20"/>
              </w:rPr>
              <w:t xml:space="preserve">Сертикан 1,5 </w:t>
            </w:r>
            <w:r w:rsidRPr="00DD3595">
              <w:rPr>
                <w:b/>
                <w:bCs/>
                <w:szCs w:val="20"/>
                <w:lang w:val="en-US"/>
              </w:rPr>
              <w:t xml:space="preserve">mg </w:t>
            </w:r>
            <w:r w:rsidRPr="00DD3595">
              <w:rPr>
                <w:b/>
                <w:bCs/>
                <w:szCs w:val="20"/>
              </w:rPr>
              <w:t>№277</w:t>
            </w:r>
          </w:p>
        </w:tc>
        <w:tc>
          <w:tcPr>
            <w:tcW w:w="2394" w:type="dxa"/>
          </w:tcPr>
          <w:p w14:paraId="55F1AB1A" w14:textId="47219B87" w:rsidR="00DD3595" w:rsidRPr="00DD3595" w:rsidRDefault="00DD3595" w:rsidP="00DD3595">
            <w:pPr>
              <w:spacing w:line="240" w:lineRule="auto"/>
              <w:rPr>
                <w:rFonts w:eastAsia="Times New Roman" w:cs="Arial"/>
                <w:szCs w:val="24"/>
              </w:rPr>
            </w:pPr>
            <w:r w:rsidRPr="00DD3595">
              <w:rPr>
                <w:b/>
                <w:bCs/>
                <w:szCs w:val="20"/>
              </w:rPr>
              <w:t xml:space="preserve">Сертикан 3,0 </w:t>
            </w:r>
            <w:r w:rsidRPr="00DD3595">
              <w:rPr>
                <w:b/>
                <w:bCs/>
                <w:szCs w:val="20"/>
                <w:lang w:val="en-US"/>
              </w:rPr>
              <w:t xml:space="preserve">mg </w:t>
            </w:r>
            <w:r w:rsidRPr="00DD3595">
              <w:rPr>
                <w:b/>
                <w:bCs/>
                <w:szCs w:val="20"/>
              </w:rPr>
              <w:t>№279</w:t>
            </w:r>
          </w:p>
        </w:tc>
        <w:tc>
          <w:tcPr>
            <w:tcW w:w="2394" w:type="dxa"/>
          </w:tcPr>
          <w:p w14:paraId="333DD525" w14:textId="6F586826" w:rsidR="00DD3595" w:rsidRPr="00DD3595" w:rsidRDefault="00DD3595" w:rsidP="00DD3595">
            <w:pPr>
              <w:spacing w:line="240" w:lineRule="auto"/>
              <w:rPr>
                <w:rFonts w:eastAsia="Times New Roman" w:cs="Arial"/>
                <w:szCs w:val="24"/>
              </w:rPr>
            </w:pPr>
            <w:r w:rsidRPr="00DD3595">
              <w:rPr>
                <w:b/>
                <w:bCs/>
                <w:szCs w:val="20"/>
              </w:rPr>
              <w:t xml:space="preserve">МРА 1,44 </w:t>
            </w:r>
            <w:r w:rsidRPr="00DD3595">
              <w:rPr>
                <w:b/>
                <w:bCs/>
                <w:szCs w:val="20"/>
                <w:lang w:val="en-US"/>
              </w:rPr>
              <w:t xml:space="preserve">g </w:t>
            </w:r>
            <w:r w:rsidRPr="00DD3595">
              <w:rPr>
                <w:b/>
                <w:bCs/>
                <w:szCs w:val="20"/>
              </w:rPr>
              <w:t>№277</w:t>
            </w:r>
          </w:p>
        </w:tc>
      </w:tr>
      <w:tr w:rsidR="00DD3595" w14:paraId="4E0F4E76" w14:textId="77777777" w:rsidTr="00DD3595">
        <w:tc>
          <w:tcPr>
            <w:tcW w:w="2394" w:type="dxa"/>
          </w:tcPr>
          <w:p w14:paraId="766C8287" w14:textId="2DA07F67" w:rsidR="00DD3595" w:rsidRPr="00DD3595" w:rsidRDefault="00DD3595" w:rsidP="00DD3595">
            <w:pPr>
              <w:spacing w:line="240" w:lineRule="auto"/>
              <w:rPr>
                <w:rFonts w:eastAsia="Times New Roman" w:cs="Arial"/>
                <w:szCs w:val="24"/>
              </w:rPr>
            </w:pPr>
            <w:r w:rsidRPr="00DD3595">
              <w:rPr>
                <w:szCs w:val="20"/>
              </w:rPr>
              <w:t xml:space="preserve">Средна </w:t>
            </w:r>
            <w:r w:rsidRPr="00DD3595">
              <w:rPr>
                <w:szCs w:val="20"/>
                <w:lang w:val="en-US"/>
              </w:rPr>
              <w:t>GFR</w:t>
            </w:r>
            <w:r w:rsidRPr="00DD3595">
              <w:rPr>
                <w:szCs w:val="20"/>
                <w:lang w:val="ru-RU"/>
              </w:rPr>
              <w:t xml:space="preserve"> (</w:t>
            </w:r>
            <w:r w:rsidRPr="00DD3595">
              <w:rPr>
                <w:szCs w:val="20"/>
                <w:lang w:val="en-US"/>
              </w:rPr>
              <w:t>ml</w:t>
            </w:r>
            <w:r w:rsidRPr="00DD3595">
              <w:rPr>
                <w:szCs w:val="20"/>
                <w:lang w:val="ru-RU"/>
              </w:rPr>
              <w:t>/</w:t>
            </w:r>
            <w:r w:rsidRPr="00DD3595">
              <w:rPr>
                <w:szCs w:val="20"/>
                <w:lang w:val="en-US"/>
              </w:rPr>
              <w:t>min</w:t>
            </w:r>
            <w:r w:rsidRPr="00DD3595">
              <w:rPr>
                <w:szCs w:val="20"/>
                <w:lang w:val="ru-RU"/>
              </w:rPr>
              <w:t>/1</w:t>
            </w:r>
            <w:r w:rsidRPr="00DD3595">
              <w:rPr>
                <w:szCs w:val="20"/>
              </w:rPr>
              <w:t xml:space="preserve">.73 </w:t>
            </w:r>
            <w:r w:rsidRPr="00DD3595">
              <w:rPr>
                <w:szCs w:val="20"/>
                <w:lang w:val="en-US"/>
              </w:rPr>
              <w:t>m</w:t>
            </w:r>
            <w:r w:rsidRPr="00DD3595">
              <w:rPr>
                <w:szCs w:val="20"/>
                <w:vertAlign w:val="superscript"/>
                <w:lang w:val="ru-RU"/>
              </w:rPr>
              <w:t>2</w:t>
            </w:r>
            <w:r w:rsidRPr="00DD3595">
              <w:rPr>
                <w:szCs w:val="20"/>
                <w:lang w:val="ru-RU"/>
              </w:rPr>
              <w:t xml:space="preserve">) </w:t>
            </w:r>
            <w:r w:rsidRPr="00DD3595">
              <w:rPr>
                <w:szCs w:val="20"/>
              </w:rPr>
              <w:t>на 12-ия месец</w:t>
            </w:r>
          </w:p>
        </w:tc>
        <w:tc>
          <w:tcPr>
            <w:tcW w:w="2394" w:type="dxa"/>
          </w:tcPr>
          <w:p w14:paraId="3BD8624A" w14:textId="0144672B" w:rsidR="00DD3595" w:rsidRPr="00DD3595" w:rsidRDefault="00DD3595" w:rsidP="00DD3595">
            <w:pPr>
              <w:spacing w:line="240" w:lineRule="auto"/>
              <w:rPr>
                <w:rFonts w:eastAsia="Times New Roman" w:cs="Arial"/>
                <w:szCs w:val="24"/>
              </w:rPr>
            </w:pPr>
            <w:r w:rsidRPr="00DD3595">
              <w:rPr>
                <w:szCs w:val="20"/>
              </w:rPr>
              <w:t>54,6</w:t>
            </w:r>
          </w:p>
        </w:tc>
        <w:tc>
          <w:tcPr>
            <w:tcW w:w="2394" w:type="dxa"/>
          </w:tcPr>
          <w:p w14:paraId="773F846D" w14:textId="38367A72" w:rsidR="00DD3595" w:rsidRPr="00DD3595" w:rsidRDefault="00DD3595" w:rsidP="00DD3595">
            <w:pPr>
              <w:spacing w:line="240" w:lineRule="auto"/>
              <w:rPr>
                <w:rFonts w:eastAsia="Times New Roman" w:cs="Arial"/>
                <w:szCs w:val="24"/>
              </w:rPr>
            </w:pPr>
            <w:r w:rsidRPr="00DD3595">
              <w:rPr>
                <w:szCs w:val="20"/>
              </w:rPr>
              <w:t>51,3</w:t>
            </w:r>
          </w:p>
        </w:tc>
        <w:tc>
          <w:tcPr>
            <w:tcW w:w="2394" w:type="dxa"/>
          </w:tcPr>
          <w:p w14:paraId="5AC837BE" w14:textId="1D042622" w:rsidR="00DD3595" w:rsidRPr="00DD3595" w:rsidRDefault="00DD3595" w:rsidP="00DD3595">
            <w:pPr>
              <w:spacing w:line="240" w:lineRule="auto"/>
              <w:rPr>
                <w:rFonts w:eastAsia="Times New Roman" w:cs="Arial"/>
                <w:szCs w:val="24"/>
              </w:rPr>
            </w:pPr>
            <w:r w:rsidRPr="00DD3595">
              <w:rPr>
                <w:szCs w:val="20"/>
              </w:rPr>
              <w:t>52,2</w:t>
            </w:r>
          </w:p>
        </w:tc>
      </w:tr>
      <w:tr w:rsidR="00DD3595" w14:paraId="2B1D6DEE" w14:textId="77777777" w:rsidTr="00DD3595">
        <w:tc>
          <w:tcPr>
            <w:tcW w:w="2394" w:type="dxa"/>
          </w:tcPr>
          <w:p w14:paraId="3C41E7EC" w14:textId="4337A691" w:rsidR="00DD3595" w:rsidRPr="00DD3595" w:rsidRDefault="00DD3595" w:rsidP="00DD3595">
            <w:pPr>
              <w:spacing w:line="240" w:lineRule="auto"/>
              <w:rPr>
                <w:rFonts w:eastAsia="Times New Roman" w:cs="Arial"/>
                <w:szCs w:val="24"/>
              </w:rPr>
            </w:pPr>
            <w:r w:rsidRPr="00DD3595">
              <w:rPr>
                <w:szCs w:val="20"/>
              </w:rPr>
              <w:t>Средна разлика (еверолимус - МРА)</w:t>
            </w:r>
          </w:p>
        </w:tc>
        <w:tc>
          <w:tcPr>
            <w:tcW w:w="2394" w:type="dxa"/>
          </w:tcPr>
          <w:p w14:paraId="476B2785" w14:textId="48FDD5B4" w:rsidR="00DD3595" w:rsidRPr="00DD3595" w:rsidRDefault="00DD3595" w:rsidP="00DD3595">
            <w:pPr>
              <w:spacing w:line="240" w:lineRule="auto"/>
              <w:rPr>
                <w:rFonts w:eastAsia="Times New Roman" w:cs="Arial"/>
                <w:szCs w:val="24"/>
              </w:rPr>
            </w:pPr>
            <w:r w:rsidRPr="00DD3595">
              <w:rPr>
                <w:szCs w:val="20"/>
              </w:rPr>
              <w:t>2,37</w:t>
            </w:r>
          </w:p>
        </w:tc>
        <w:tc>
          <w:tcPr>
            <w:tcW w:w="2394" w:type="dxa"/>
          </w:tcPr>
          <w:p w14:paraId="74D7EA89" w14:textId="4CFC29BD" w:rsidR="00DD3595" w:rsidRPr="00DD3595" w:rsidRDefault="00DD3595" w:rsidP="00DD3595">
            <w:pPr>
              <w:spacing w:line="240" w:lineRule="auto"/>
              <w:rPr>
                <w:rFonts w:eastAsia="Times New Roman" w:cs="Arial"/>
                <w:szCs w:val="24"/>
              </w:rPr>
            </w:pPr>
            <w:r w:rsidRPr="00DD3595">
              <w:rPr>
                <w:szCs w:val="20"/>
              </w:rPr>
              <w:t>-0,89</w:t>
            </w:r>
          </w:p>
        </w:tc>
        <w:tc>
          <w:tcPr>
            <w:tcW w:w="2394" w:type="dxa"/>
          </w:tcPr>
          <w:p w14:paraId="1A4D8614" w14:textId="00DA1F37" w:rsidR="00DD3595" w:rsidRPr="00DD3595" w:rsidRDefault="00DD3595" w:rsidP="00DD3595">
            <w:pPr>
              <w:spacing w:line="240" w:lineRule="auto"/>
              <w:rPr>
                <w:rFonts w:eastAsia="Times New Roman" w:cs="Arial"/>
                <w:szCs w:val="24"/>
              </w:rPr>
            </w:pPr>
            <w:r w:rsidRPr="00DD3595">
              <w:rPr>
                <w:szCs w:val="20"/>
              </w:rPr>
              <w:t>-</w:t>
            </w:r>
          </w:p>
        </w:tc>
      </w:tr>
      <w:tr w:rsidR="00DD3595" w14:paraId="200C0C70" w14:textId="77777777" w:rsidTr="00DD3595">
        <w:tc>
          <w:tcPr>
            <w:tcW w:w="2394" w:type="dxa"/>
          </w:tcPr>
          <w:p w14:paraId="230F13F0" w14:textId="4AEC3581" w:rsidR="00DD3595" w:rsidRPr="00DD3595" w:rsidRDefault="00DD3595" w:rsidP="00DD3595">
            <w:pPr>
              <w:spacing w:line="240" w:lineRule="auto"/>
              <w:rPr>
                <w:rFonts w:eastAsia="Times New Roman" w:cs="Arial"/>
                <w:szCs w:val="24"/>
              </w:rPr>
            </w:pPr>
            <w:r w:rsidRPr="00DD3595">
              <w:rPr>
                <w:szCs w:val="20"/>
              </w:rPr>
              <w:t xml:space="preserve">95% </w:t>
            </w:r>
            <w:r w:rsidRPr="00DD3595">
              <w:rPr>
                <w:szCs w:val="20"/>
                <w:lang w:val="en-US"/>
              </w:rPr>
              <w:t>CI</w:t>
            </w:r>
          </w:p>
        </w:tc>
        <w:tc>
          <w:tcPr>
            <w:tcW w:w="2394" w:type="dxa"/>
          </w:tcPr>
          <w:p w14:paraId="147C94D0" w14:textId="62CD7C5D" w:rsidR="00DD3595" w:rsidRPr="00DD3595" w:rsidRDefault="00DD3595" w:rsidP="00DD3595">
            <w:pPr>
              <w:spacing w:line="240" w:lineRule="auto"/>
              <w:rPr>
                <w:rFonts w:eastAsia="Times New Roman" w:cs="Arial"/>
                <w:szCs w:val="24"/>
              </w:rPr>
            </w:pPr>
            <w:r w:rsidRPr="00DD3595">
              <w:rPr>
                <w:szCs w:val="20"/>
              </w:rPr>
              <w:t>(-1,7, 6,4)</w:t>
            </w:r>
          </w:p>
        </w:tc>
        <w:tc>
          <w:tcPr>
            <w:tcW w:w="2394" w:type="dxa"/>
          </w:tcPr>
          <w:p w14:paraId="0A65B300" w14:textId="0028F3AD" w:rsidR="00DD3595" w:rsidRPr="00DD3595" w:rsidRDefault="00DD3595" w:rsidP="00DD3595">
            <w:pPr>
              <w:spacing w:line="240" w:lineRule="auto"/>
              <w:rPr>
                <w:rFonts w:eastAsia="Times New Roman" w:cs="Arial"/>
                <w:szCs w:val="24"/>
              </w:rPr>
            </w:pPr>
            <w:r w:rsidRPr="00DD3595">
              <w:rPr>
                <w:szCs w:val="20"/>
              </w:rPr>
              <w:t>(-5,0, 3,2)</w:t>
            </w:r>
          </w:p>
        </w:tc>
        <w:tc>
          <w:tcPr>
            <w:tcW w:w="2394" w:type="dxa"/>
          </w:tcPr>
          <w:p w14:paraId="7A90CCC1" w14:textId="3E18D8F0" w:rsidR="00DD3595" w:rsidRPr="00DD3595" w:rsidRDefault="00DD3595" w:rsidP="00DD3595">
            <w:pPr>
              <w:spacing w:line="240" w:lineRule="auto"/>
              <w:rPr>
                <w:rFonts w:eastAsia="Times New Roman" w:cs="Arial"/>
                <w:szCs w:val="24"/>
              </w:rPr>
            </w:pPr>
            <w:r w:rsidRPr="00DD3595">
              <w:rPr>
                <w:szCs w:val="20"/>
              </w:rPr>
              <w:t>-</w:t>
            </w:r>
          </w:p>
        </w:tc>
      </w:tr>
    </w:tbl>
    <w:p w14:paraId="52A0F624" w14:textId="77777777" w:rsidR="00DD3595" w:rsidRPr="00DE57B6" w:rsidRDefault="00DD3595" w:rsidP="00DE57B6">
      <w:pPr>
        <w:spacing w:line="240" w:lineRule="auto"/>
        <w:rPr>
          <w:rFonts w:eastAsia="Times New Roman" w:cs="Arial"/>
          <w:sz w:val="28"/>
          <w:szCs w:val="24"/>
        </w:rPr>
      </w:pPr>
    </w:p>
    <w:p w14:paraId="4DDE3901"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val="en-US"/>
        </w:rPr>
        <w:t>GFR</w:t>
      </w:r>
      <w:r w:rsidRPr="00DD3595">
        <w:rPr>
          <w:rFonts w:eastAsia="Times New Roman" w:cs="Arial"/>
          <w:color w:val="000000"/>
          <w:szCs w:val="20"/>
          <w:lang w:val="ru-RU"/>
        </w:rPr>
        <w:t xml:space="preserve"> </w:t>
      </w:r>
      <w:r w:rsidRPr="00DD3595">
        <w:rPr>
          <w:rFonts w:eastAsia="Times New Roman" w:cs="Arial"/>
          <w:color w:val="000000"/>
          <w:szCs w:val="20"/>
          <w:lang w:eastAsia="bg-BG"/>
        </w:rPr>
        <w:t xml:space="preserve">на 12-ия месец заместване на липсващи данни: загуба на присадката = </w:t>
      </w:r>
      <w:proofErr w:type="gramStart"/>
      <w:r w:rsidRPr="00DD3595">
        <w:rPr>
          <w:rFonts w:eastAsia="Times New Roman" w:cs="Arial"/>
          <w:color w:val="000000"/>
          <w:szCs w:val="20"/>
          <w:lang w:eastAsia="bg-BG"/>
        </w:rPr>
        <w:t>0</w:t>
      </w:r>
      <w:proofErr w:type="gramEnd"/>
      <w:r w:rsidRPr="00DD3595">
        <w:rPr>
          <w:rFonts w:eastAsia="Times New Roman" w:cs="Arial"/>
          <w:color w:val="000000"/>
          <w:szCs w:val="20"/>
          <w:lang w:eastAsia="bg-BG"/>
        </w:rPr>
        <w:t xml:space="preserve">; смърт или загуба на пациента за проследяване на бъбречна функция = </w:t>
      </w:r>
      <w:r w:rsidRPr="00DD3595">
        <w:rPr>
          <w:rFonts w:eastAsia="Times New Roman" w:cs="Arial"/>
          <w:color w:val="000000"/>
          <w:szCs w:val="20"/>
          <w:lang w:val="en-US"/>
        </w:rPr>
        <w:t>LOCF</w:t>
      </w:r>
      <w:r w:rsidRPr="00DD3595">
        <w:rPr>
          <w:rFonts w:eastAsia="Times New Roman" w:cs="Arial"/>
          <w:color w:val="000000"/>
          <w:szCs w:val="20"/>
          <w:lang w:val="ru-RU"/>
        </w:rPr>
        <w:t xml:space="preserve">1 </w:t>
      </w:r>
      <w:r w:rsidRPr="00DD3595">
        <w:rPr>
          <w:rFonts w:eastAsia="Times New Roman" w:cs="Arial"/>
          <w:color w:val="000000"/>
          <w:szCs w:val="20"/>
          <w:lang w:eastAsia="bg-BG"/>
        </w:rPr>
        <w:t>(подход последно наблюдение пренесено напред 1: Край на лечението (до 12-ия месец)).</w:t>
      </w:r>
    </w:p>
    <w:p w14:paraId="613DA7F0"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val="en-US"/>
        </w:rPr>
        <w:t>MDRD</w:t>
      </w:r>
      <w:r w:rsidRPr="00DD3595">
        <w:rPr>
          <w:rFonts w:eastAsia="Times New Roman" w:cs="Arial"/>
          <w:color w:val="000000"/>
          <w:szCs w:val="20"/>
          <w:lang w:val="ru-RU"/>
        </w:rPr>
        <w:t xml:space="preserve">: </w:t>
      </w:r>
      <w:r w:rsidRPr="00DD3595">
        <w:rPr>
          <w:rFonts w:eastAsia="Times New Roman" w:cs="Arial"/>
          <w:color w:val="000000"/>
          <w:szCs w:val="20"/>
          <w:lang w:eastAsia="bg-BG"/>
        </w:rPr>
        <w:t>промяна в диетата при бъбречно заболяване</w:t>
      </w:r>
    </w:p>
    <w:p w14:paraId="740AF1B9" w14:textId="77777777" w:rsidR="00DD3595" w:rsidRPr="00DD3595" w:rsidRDefault="00DD3595" w:rsidP="00DD3595">
      <w:pPr>
        <w:rPr>
          <w:rFonts w:eastAsia="Times New Roman" w:cs="Arial"/>
          <w:b/>
          <w:bCs/>
          <w:color w:val="000000"/>
          <w:szCs w:val="20"/>
          <w:lang w:eastAsia="bg-BG"/>
        </w:rPr>
      </w:pPr>
    </w:p>
    <w:p w14:paraId="56995BFA" w14:textId="498FF153" w:rsidR="00DE57B6" w:rsidRDefault="00DD3595" w:rsidP="00DD3595">
      <w:pPr>
        <w:rPr>
          <w:rFonts w:eastAsia="Times New Roman" w:cs="Arial"/>
          <w:b/>
          <w:bCs/>
          <w:color w:val="000000"/>
          <w:szCs w:val="20"/>
          <w:lang w:eastAsia="bg-BG"/>
        </w:rPr>
      </w:pPr>
      <w:r w:rsidRPr="00DD3595">
        <w:rPr>
          <w:rFonts w:eastAsia="Times New Roman" w:cs="Arial"/>
          <w:b/>
          <w:bCs/>
          <w:color w:val="000000"/>
          <w:szCs w:val="20"/>
          <w:lang w:eastAsia="bg-BG"/>
        </w:rPr>
        <w:t>Габлица 10 Изпитване А2309: Съотношение протеин/креатинин в урината</w:t>
      </w:r>
    </w:p>
    <w:tbl>
      <w:tblPr>
        <w:tblStyle w:val="TableGrid"/>
        <w:tblW w:w="0" w:type="auto"/>
        <w:tblLook w:val="04A0" w:firstRow="1" w:lastRow="0" w:firstColumn="1" w:lastColumn="0" w:noHBand="0" w:noVBand="1"/>
      </w:tblPr>
      <w:tblGrid>
        <w:gridCol w:w="1383"/>
        <w:gridCol w:w="1473"/>
        <w:gridCol w:w="1507"/>
        <w:gridCol w:w="1465"/>
        <w:gridCol w:w="1937"/>
        <w:gridCol w:w="1585"/>
      </w:tblGrid>
      <w:tr w:rsidR="002F56CD" w14:paraId="1889147F" w14:textId="77777777" w:rsidTr="002F56CD">
        <w:tc>
          <w:tcPr>
            <w:tcW w:w="1469" w:type="dxa"/>
          </w:tcPr>
          <w:p w14:paraId="0EB6E511" w14:textId="77777777" w:rsidR="002F56CD" w:rsidRDefault="002F56CD" w:rsidP="00DD3595">
            <w:pPr>
              <w:rPr>
                <w:rFonts w:cs="Arial"/>
                <w:sz w:val="24"/>
              </w:rPr>
            </w:pPr>
          </w:p>
        </w:tc>
        <w:tc>
          <w:tcPr>
            <w:tcW w:w="1522" w:type="dxa"/>
          </w:tcPr>
          <w:p w14:paraId="197E80C4" w14:textId="77777777" w:rsidR="002F56CD" w:rsidRPr="002F56CD" w:rsidRDefault="002F56CD" w:rsidP="00DD3595">
            <w:pPr>
              <w:rPr>
                <w:rFonts w:cs="Arial"/>
              </w:rPr>
            </w:pPr>
          </w:p>
        </w:tc>
        <w:tc>
          <w:tcPr>
            <w:tcW w:w="6585" w:type="dxa"/>
            <w:gridSpan w:val="4"/>
          </w:tcPr>
          <w:p w14:paraId="7156585E" w14:textId="77A41A28" w:rsidR="002F56CD" w:rsidRPr="002F56CD" w:rsidRDefault="002F56CD" w:rsidP="00DD3595">
            <w:pPr>
              <w:rPr>
                <w:rFonts w:cs="Arial"/>
                <w:lang w:val="ru-RU"/>
              </w:rPr>
            </w:pPr>
            <w:r w:rsidRPr="002F56CD">
              <w:rPr>
                <w:b/>
                <w:bCs/>
                <w:szCs w:val="20"/>
              </w:rPr>
              <w:t xml:space="preserve">Категории на протеинурия </w:t>
            </w:r>
            <w:r w:rsidRPr="002F56CD">
              <w:rPr>
                <w:b/>
                <w:bCs/>
                <w:szCs w:val="20"/>
                <w:lang w:val="ru-RU"/>
              </w:rPr>
              <w:t>(</w:t>
            </w:r>
            <w:r w:rsidRPr="002F56CD">
              <w:rPr>
                <w:b/>
                <w:bCs/>
                <w:szCs w:val="20"/>
                <w:lang w:val="en-US"/>
              </w:rPr>
              <w:t>mg</w:t>
            </w:r>
            <w:r w:rsidRPr="002F56CD">
              <w:rPr>
                <w:b/>
                <w:bCs/>
                <w:szCs w:val="20"/>
                <w:lang w:val="ru-RU"/>
              </w:rPr>
              <w:t>/</w:t>
            </w:r>
            <w:r w:rsidRPr="002F56CD">
              <w:rPr>
                <w:b/>
                <w:bCs/>
                <w:szCs w:val="20"/>
                <w:lang w:val="en-US"/>
              </w:rPr>
              <w:t>mmol</w:t>
            </w:r>
            <w:r w:rsidRPr="002F56CD">
              <w:rPr>
                <w:b/>
                <w:bCs/>
                <w:szCs w:val="20"/>
                <w:lang w:val="ru-RU"/>
              </w:rPr>
              <w:t>)</w:t>
            </w:r>
          </w:p>
        </w:tc>
      </w:tr>
      <w:tr w:rsidR="002F56CD" w14:paraId="2243186C" w14:textId="77777777" w:rsidTr="002F56CD">
        <w:tc>
          <w:tcPr>
            <w:tcW w:w="1469" w:type="dxa"/>
          </w:tcPr>
          <w:p w14:paraId="5DE419D6" w14:textId="77777777" w:rsidR="002F56CD" w:rsidRPr="002F56CD" w:rsidRDefault="002F56CD" w:rsidP="002F56CD">
            <w:pPr>
              <w:rPr>
                <w:rFonts w:cs="Arial"/>
              </w:rPr>
            </w:pPr>
          </w:p>
        </w:tc>
        <w:tc>
          <w:tcPr>
            <w:tcW w:w="1522" w:type="dxa"/>
          </w:tcPr>
          <w:p w14:paraId="12C00E72" w14:textId="2E3BC65C" w:rsidR="002F56CD" w:rsidRPr="002F56CD" w:rsidRDefault="002F56CD" w:rsidP="002F56CD">
            <w:pPr>
              <w:rPr>
                <w:rFonts w:cs="Arial"/>
              </w:rPr>
            </w:pPr>
            <w:r w:rsidRPr="002F56CD">
              <w:rPr>
                <w:b/>
                <w:bCs/>
                <w:szCs w:val="20"/>
              </w:rPr>
              <w:t>Лечение</w:t>
            </w:r>
          </w:p>
        </w:tc>
        <w:tc>
          <w:tcPr>
            <w:tcW w:w="1542" w:type="dxa"/>
          </w:tcPr>
          <w:p w14:paraId="6CF6EDDF" w14:textId="46358AAB" w:rsidR="002F56CD" w:rsidRPr="002F56CD" w:rsidRDefault="002F56CD" w:rsidP="002F56CD">
            <w:pPr>
              <w:rPr>
                <w:rFonts w:cs="Arial"/>
              </w:rPr>
            </w:pPr>
            <w:r w:rsidRPr="002F56CD">
              <w:rPr>
                <w:b/>
                <w:bCs/>
                <w:szCs w:val="20"/>
              </w:rPr>
              <w:t xml:space="preserve">нормална </w:t>
            </w:r>
            <w:r w:rsidRPr="002F56CD">
              <w:rPr>
                <w:szCs w:val="20"/>
              </w:rPr>
              <w:t>%(п) (0,39)</w:t>
            </w:r>
          </w:p>
        </w:tc>
        <w:tc>
          <w:tcPr>
            <w:tcW w:w="1517" w:type="dxa"/>
          </w:tcPr>
          <w:p w14:paraId="0F159465" w14:textId="77777777" w:rsidR="002F56CD" w:rsidRPr="002F56CD" w:rsidRDefault="002F56CD" w:rsidP="002F56CD">
            <w:r w:rsidRPr="002F56CD">
              <w:rPr>
                <w:b/>
                <w:bCs/>
                <w:szCs w:val="20"/>
              </w:rPr>
              <w:t>лека %(п)</w:t>
            </w:r>
          </w:p>
          <w:p w14:paraId="581088A2" w14:textId="49EAAB1A" w:rsidR="002F56CD" w:rsidRPr="002F56CD" w:rsidRDefault="002F56CD" w:rsidP="002F56CD">
            <w:pPr>
              <w:rPr>
                <w:rFonts w:cs="Arial"/>
              </w:rPr>
            </w:pPr>
            <w:r w:rsidRPr="002F56CD">
              <w:rPr>
                <w:szCs w:val="20"/>
              </w:rPr>
              <w:t>(3,39-&lt;33,9)</w:t>
            </w:r>
          </w:p>
        </w:tc>
        <w:tc>
          <w:tcPr>
            <w:tcW w:w="1937" w:type="dxa"/>
          </w:tcPr>
          <w:p w14:paraId="4AB2D811" w14:textId="77777777" w:rsidR="002F56CD" w:rsidRPr="002F56CD" w:rsidRDefault="002F56CD" w:rsidP="002F56CD">
            <w:r w:rsidRPr="002F56CD">
              <w:rPr>
                <w:b/>
                <w:bCs/>
                <w:szCs w:val="20"/>
              </w:rPr>
              <w:t>субнефротнчна %(п)</w:t>
            </w:r>
          </w:p>
          <w:p w14:paraId="0D569C2D" w14:textId="4A17D2ED" w:rsidR="002F56CD" w:rsidRPr="002F56CD" w:rsidRDefault="002F56CD" w:rsidP="002F56CD">
            <w:pPr>
              <w:rPr>
                <w:rFonts w:cs="Arial"/>
              </w:rPr>
            </w:pPr>
            <w:r w:rsidRPr="002F56CD">
              <w:rPr>
                <w:szCs w:val="20"/>
              </w:rPr>
              <w:t>(33,9-&lt;339)</w:t>
            </w:r>
          </w:p>
        </w:tc>
        <w:tc>
          <w:tcPr>
            <w:tcW w:w="1589" w:type="dxa"/>
          </w:tcPr>
          <w:p w14:paraId="4EB21E59" w14:textId="0F03A445" w:rsidR="002F56CD" w:rsidRPr="002F56CD" w:rsidRDefault="002F56CD" w:rsidP="002F56CD">
            <w:pPr>
              <w:rPr>
                <w:rFonts w:cs="Arial"/>
              </w:rPr>
            </w:pPr>
            <w:r w:rsidRPr="002F56CD">
              <w:rPr>
                <w:b/>
                <w:bCs/>
                <w:szCs w:val="20"/>
              </w:rPr>
              <w:t xml:space="preserve">нефротична </w:t>
            </w:r>
            <w:r w:rsidRPr="002F56CD">
              <w:rPr>
                <w:szCs w:val="20"/>
              </w:rPr>
              <w:t>%(п)(&gt;339)</w:t>
            </w:r>
          </w:p>
        </w:tc>
      </w:tr>
      <w:tr w:rsidR="002F56CD" w14:paraId="3FA304F5" w14:textId="77777777" w:rsidTr="002F56CD">
        <w:tc>
          <w:tcPr>
            <w:tcW w:w="1469" w:type="dxa"/>
            <w:vMerge w:val="restart"/>
          </w:tcPr>
          <w:p w14:paraId="030CA3C8" w14:textId="19C19A33" w:rsidR="002F56CD" w:rsidRPr="002F56CD" w:rsidRDefault="002F56CD" w:rsidP="002F56CD">
            <w:pPr>
              <w:rPr>
                <w:rFonts w:cs="Arial"/>
              </w:rPr>
            </w:pPr>
            <w:r w:rsidRPr="002F56CD">
              <w:rPr>
                <w:b/>
                <w:bCs/>
                <w:szCs w:val="20"/>
              </w:rPr>
              <w:t>12-ти месец (КЛ)</w:t>
            </w:r>
          </w:p>
        </w:tc>
        <w:tc>
          <w:tcPr>
            <w:tcW w:w="1522" w:type="dxa"/>
          </w:tcPr>
          <w:p w14:paraId="16F3DA25" w14:textId="334553AC" w:rsidR="002F56CD" w:rsidRPr="002F56CD" w:rsidRDefault="002F56CD" w:rsidP="002F56CD">
            <w:pPr>
              <w:rPr>
                <w:rFonts w:cs="Arial"/>
              </w:rPr>
            </w:pPr>
            <w:r w:rsidRPr="002F56CD">
              <w:rPr>
                <w:szCs w:val="20"/>
              </w:rPr>
              <w:t xml:space="preserve">Сертикан 1,5 </w:t>
            </w:r>
            <w:r w:rsidRPr="002F56CD">
              <w:rPr>
                <w:szCs w:val="20"/>
                <w:lang w:val="en-US"/>
              </w:rPr>
              <w:t>mg</w:t>
            </w:r>
          </w:p>
        </w:tc>
        <w:tc>
          <w:tcPr>
            <w:tcW w:w="1542" w:type="dxa"/>
          </w:tcPr>
          <w:p w14:paraId="2404708C" w14:textId="05A7A95B" w:rsidR="002F56CD" w:rsidRPr="002F56CD" w:rsidRDefault="002F56CD" w:rsidP="002F56CD">
            <w:pPr>
              <w:rPr>
                <w:rFonts w:cs="Arial"/>
              </w:rPr>
            </w:pPr>
            <w:r w:rsidRPr="002F56CD">
              <w:rPr>
                <w:b/>
                <w:bCs/>
                <w:szCs w:val="20"/>
              </w:rPr>
              <w:t>0,4(1)</w:t>
            </w:r>
          </w:p>
        </w:tc>
        <w:tc>
          <w:tcPr>
            <w:tcW w:w="1517" w:type="dxa"/>
          </w:tcPr>
          <w:p w14:paraId="595E70B1" w14:textId="0C18C08F" w:rsidR="002F56CD" w:rsidRPr="002F56CD" w:rsidRDefault="002F56CD" w:rsidP="002F56CD">
            <w:pPr>
              <w:rPr>
                <w:rFonts w:cs="Arial"/>
              </w:rPr>
            </w:pPr>
            <w:r w:rsidRPr="002F56CD">
              <w:rPr>
                <w:b/>
                <w:bCs/>
                <w:szCs w:val="20"/>
              </w:rPr>
              <w:t>64,2 (174)</w:t>
            </w:r>
          </w:p>
        </w:tc>
        <w:tc>
          <w:tcPr>
            <w:tcW w:w="1937" w:type="dxa"/>
          </w:tcPr>
          <w:p w14:paraId="17161B3B" w14:textId="2C9FDFC7" w:rsidR="002F56CD" w:rsidRPr="002F56CD" w:rsidRDefault="002F56CD" w:rsidP="002F56CD">
            <w:pPr>
              <w:rPr>
                <w:rFonts w:cs="Arial"/>
              </w:rPr>
            </w:pPr>
            <w:r w:rsidRPr="002F56CD">
              <w:rPr>
                <w:b/>
                <w:bCs/>
                <w:szCs w:val="20"/>
              </w:rPr>
              <w:t>32,5 (88)</w:t>
            </w:r>
          </w:p>
        </w:tc>
        <w:tc>
          <w:tcPr>
            <w:tcW w:w="1589" w:type="dxa"/>
          </w:tcPr>
          <w:p w14:paraId="461F739C" w14:textId="0C58A71E" w:rsidR="002F56CD" w:rsidRPr="002F56CD" w:rsidRDefault="002F56CD" w:rsidP="002F56CD">
            <w:pPr>
              <w:rPr>
                <w:rFonts w:cs="Arial"/>
              </w:rPr>
            </w:pPr>
            <w:r w:rsidRPr="002F56CD">
              <w:rPr>
                <w:b/>
                <w:bCs/>
                <w:szCs w:val="20"/>
              </w:rPr>
              <w:t>3,0(8)</w:t>
            </w:r>
          </w:p>
        </w:tc>
      </w:tr>
      <w:tr w:rsidR="002F56CD" w14:paraId="1FB8A3FC" w14:textId="77777777" w:rsidTr="002F56CD">
        <w:tc>
          <w:tcPr>
            <w:tcW w:w="1469" w:type="dxa"/>
            <w:vMerge/>
          </w:tcPr>
          <w:p w14:paraId="6C020A4F" w14:textId="77777777" w:rsidR="002F56CD" w:rsidRPr="002F56CD" w:rsidRDefault="002F56CD" w:rsidP="002F56CD">
            <w:pPr>
              <w:rPr>
                <w:rFonts w:cs="Arial"/>
              </w:rPr>
            </w:pPr>
          </w:p>
        </w:tc>
        <w:tc>
          <w:tcPr>
            <w:tcW w:w="1522" w:type="dxa"/>
          </w:tcPr>
          <w:p w14:paraId="25527AB4" w14:textId="400FEADD" w:rsidR="002F56CD" w:rsidRPr="002F56CD" w:rsidRDefault="002F56CD" w:rsidP="002F56CD">
            <w:pPr>
              <w:rPr>
                <w:rFonts w:cs="Arial"/>
              </w:rPr>
            </w:pPr>
            <w:r w:rsidRPr="002F56CD">
              <w:rPr>
                <w:szCs w:val="20"/>
              </w:rPr>
              <w:t xml:space="preserve">Сертикан 3 </w:t>
            </w:r>
            <w:r w:rsidRPr="002F56CD">
              <w:rPr>
                <w:szCs w:val="20"/>
                <w:lang w:val="en-US"/>
              </w:rPr>
              <w:t>mg</w:t>
            </w:r>
          </w:p>
        </w:tc>
        <w:tc>
          <w:tcPr>
            <w:tcW w:w="1542" w:type="dxa"/>
          </w:tcPr>
          <w:p w14:paraId="683A048F" w14:textId="3DB1E645" w:rsidR="002F56CD" w:rsidRPr="002F56CD" w:rsidRDefault="002F56CD" w:rsidP="002F56CD">
            <w:pPr>
              <w:rPr>
                <w:rFonts w:cs="Arial"/>
              </w:rPr>
            </w:pPr>
            <w:r w:rsidRPr="002F56CD">
              <w:rPr>
                <w:b/>
                <w:bCs/>
                <w:szCs w:val="20"/>
              </w:rPr>
              <w:t>0,7(2)</w:t>
            </w:r>
          </w:p>
        </w:tc>
        <w:tc>
          <w:tcPr>
            <w:tcW w:w="1517" w:type="dxa"/>
          </w:tcPr>
          <w:p w14:paraId="14CDD27F" w14:textId="6CDBB191" w:rsidR="002F56CD" w:rsidRPr="002F56CD" w:rsidRDefault="002F56CD" w:rsidP="002F56CD">
            <w:pPr>
              <w:rPr>
                <w:rFonts w:cs="Arial"/>
              </w:rPr>
            </w:pPr>
            <w:r w:rsidRPr="002F56CD">
              <w:rPr>
                <w:b/>
                <w:bCs/>
                <w:szCs w:val="20"/>
              </w:rPr>
              <w:t>59,2 (164)</w:t>
            </w:r>
          </w:p>
        </w:tc>
        <w:tc>
          <w:tcPr>
            <w:tcW w:w="1937" w:type="dxa"/>
          </w:tcPr>
          <w:p w14:paraId="3710FEDF" w14:textId="4337F2F9" w:rsidR="002F56CD" w:rsidRPr="002F56CD" w:rsidRDefault="002F56CD" w:rsidP="002F56CD">
            <w:pPr>
              <w:rPr>
                <w:rFonts w:cs="Arial"/>
              </w:rPr>
            </w:pPr>
            <w:r w:rsidRPr="002F56CD">
              <w:rPr>
                <w:b/>
                <w:bCs/>
                <w:szCs w:val="20"/>
              </w:rPr>
              <w:t>33,9 (94)</w:t>
            </w:r>
          </w:p>
        </w:tc>
        <w:tc>
          <w:tcPr>
            <w:tcW w:w="1589" w:type="dxa"/>
          </w:tcPr>
          <w:p w14:paraId="220E7559" w14:textId="5471187E" w:rsidR="002F56CD" w:rsidRPr="002F56CD" w:rsidRDefault="002F56CD" w:rsidP="002F56CD">
            <w:pPr>
              <w:rPr>
                <w:rFonts w:cs="Arial"/>
              </w:rPr>
            </w:pPr>
            <w:r w:rsidRPr="002F56CD">
              <w:rPr>
                <w:szCs w:val="20"/>
              </w:rPr>
              <w:t>5,8(16)</w:t>
            </w:r>
          </w:p>
        </w:tc>
      </w:tr>
      <w:tr w:rsidR="002F56CD" w14:paraId="79FC678C" w14:textId="77777777" w:rsidTr="002F56CD">
        <w:tc>
          <w:tcPr>
            <w:tcW w:w="1469" w:type="dxa"/>
            <w:vMerge/>
          </w:tcPr>
          <w:p w14:paraId="0977CD6C" w14:textId="77777777" w:rsidR="002F56CD" w:rsidRPr="002F56CD" w:rsidRDefault="002F56CD" w:rsidP="002F56CD">
            <w:pPr>
              <w:rPr>
                <w:rFonts w:cs="Arial"/>
              </w:rPr>
            </w:pPr>
          </w:p>
        </w:tc>
        <w:tc>
          <w:tcPr>
            <w:tcW w:w="1522" w:type="dxa"/>
          </w:tcPr>
          <w:p w14:paraId="541057AA" w14:textId="11C5720B" w:rsidR="002F56CD" w:rsidRPr="002F56CD" w:rsidRDefault="002F56CD" w:rsidP="002F56CD">
            <w:pPr>
              <w:rPr>
                <w:rFonts w:cs="Arial"/>
              </w:rPr>
            </w:pPr>
            <w:r w:rsidRPr="002F56CD">
              <w:rPr>
                <w:szCs w:val="20"/>
              </w:rPr>
              <w:t xml:space="preserve">МРА 1,44 </w:t>
            </w:r>
            <w:r w:rsidRPr="002F56CD">
              <w:rPr>
                <w:szCs w:val="20"/>
                <w:lang w:val="en-US"/>
              </w:rPr>
              <w:t>g</w:t>
            </w:r>
          </w:p>
        </w:tc>
        <w:tc>
          <w:tcPr>
            <w:tcW w:w="1542" w:type="dxa"/>
          </w:tcPr>
          <w:p w14:paraId="11FFEDC7" w14:textId="5EB4C26C" w:rsidR="002F56CD" w:rsidRPr="002F56CD" w:rsidRDefault="002F56CD" w:rsidP="002F56CD">
            <w:pPr>
              <w:rPr>
                <w:rFonts w:cs="Arial"/>
              </w:rPr>
            </w:pPr>
            <w:r w:rsidRPr="002F56CD">
              <w:rPr>
                <w:b/>
                <w:bCs/>
                <w:szCs w:val="20"/>
              </w:rPr>
              <w:t>1,8(5)</w:t>
            </w:r>
          </w:p>
        </w:tc>
        <w:tc>
          <w:tcPr>
            <w:tcW w:w="1517" w:type="dxa"/>
          </w:tcPr>
          <w:p w14:paraId="225196AE" w14:textId="57938C70" w:rsidR="002F56CD" w:rsidRPr="002F56CD" w:rsidRDefault="002F56CD" w:rsidP="002F56CD">
            <w:pPr>
              <w:rPr>
                <w:rFonts w:cs="Arial"/>
              </w:rPr>
            </w:pPr>
            <w:r w:rsidRPr="002F56CD">
              <w:rPr>
                <w:b/>
                <w:bCs/>
                <w:szCs w:val="20"/>
              </w:rPr>
              <w:t>73,1(198)</w:t>
            </w:r>
          </w:p>
        </w:tc>
        <w:tc>
          <w:tcPr>
            <w:tcW w:w="1937" w:type="dxa"/>
          </w:tcPr>
          <w:p w14:paraId="2F0E4B35" w14:textId="527F9168" w:rsidR="002F56CD" w:rsidRPr="002F56CD" w:rsidRDefault="002F56CD" w:rsidP="002F56CD">
            <w:pPr>
              <w:rPr>
                <w:rFonts w:cs="Arial"/>
              </w:rPr>
            </w:pPr>
            <w:r w:rsidRPr="002F56CD">
              <w:rPr>
                <w:b/>
                <w:bCs/>
                <w:szCs w:val="20"/>
              </w:rPr>
              <w:t>20,7 (56)</w:t>
            </w:r>
          </w:p>
        </w:tc>
        <w:tc>
          <w:tcPr>
            <w:tcW w:w="1589" w:type="dxa"/>
          </w:tcPr>
          <w:p w14:paraId="5267FA5B" w14:textId="02FA3221" w:rsidR="002F56CD" w:rsidRPr="002F56CD" w:rsidRDefault="002F56CD" w:rsidP="002F56CD">
            <w:pPr>
              <w:rPr>
                <w:rFonts w:cs="Arial"/>
              </w:rPr>
            </w:pPr>
            <w:r w:rsidRPr="002F56CD">
              <w:rPr>
                <w:b/>
                <w:bCs/>
                <w:szCs w:val="20"/>
                <w:lang w:val="en-US"/>
              </w:rPr>
              <w:t>4,1 (11)</w:t>
            </w:r>
          </w:p>
        </w:tc>
      </w:tr>
    </w:tbl>
    <w:p w14:paraId="0BB2436B"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1 </w:t>
      </w:r>
      <w:r w:rsidRPr="002F56CD">
        <w:rPr>
          <w:rFonts w:eastAsia="Times New Roman" w:cs="Arial"/>
          <w:color w:val="000000"/>
          <w:szCs w:val="20"/>
          <w:lang w:val="en-US"/>
        </w:rPr>
        <w:t xml:space="preserve">mg/mmol </w:t>
      </w:r>
      <w:r w:rsidRPr="002F56CD">
        <w:rPr>
          <w:rFonts w:eastAsia="Times New Roman" w:cs="Arial"/>
          <w:color w:val="000000"/>
          <w:szCs w:val="20"/>
          <w:lang w:eastAsia="bg-BG"/>
        </w:rPr>
        <w:t xml:space="preserve">= 8,84 </w:t>
      </w:r>
      <w:r w:rsidRPr="002F56CD">
        <w:rPr>
          <w:rFonts w:eastAsia="Times New Roman" w:cs="Arial"/>
          <w:color w:val="000000"/>
          <w:szCs w:val="20"/>
          <w:lang w:val="en-US"/>
        </w:rPr>
        <w:t>mg/g</w:t>
      </w:r>
    </w:p>
    <w:p w14:paraId="3229D545" w14:textId="7F0598D4" w:rsidR="002F56CD" w:rsidRPr="002F56CD" w:rsidRDefault="002F56CD" w:rsidP="002F56CD">
      <w:pPr>
        <w:rPr>
          <w:rFonts w:eastAsia="Times New Roman" w:cs="Arial"/>
          <w:color w:val="000000"/>
          <w:szCs w:val="20"/>
          <w:lang w:eastAsia="bg-BG"/>
        </w:rPr>
      </w:pPr>
      <w:r w:rsidRPr="002F56CD">
        <w:rPr>
          <w:rFonts w:eastAsia="Times New Roman" w:cs="Arial"/>
          <w:color w:val="000000"/>
          <w:szCs w:val="20"/>
          <w:lang w:eastAsia="bg-BG"/>
        </w:rPr>
        <w:t>КЛ: Край на лечението (стойност на 12-ия месец или при последното наблюдение пренесено напред)</w:t>
      </w:r>
    </w:p>
    <w:p w14:paraId="14C50311" w14:textId="65135500" w:rsidR="002F56CD" w:rsidRPr="002F56CD" w:rsidRDefault="002F56CD" w:rsidP="002F56CD">
      <w:pPr>
        <w:rPr>
          <w:rFonts w:eastAsia="Times New Roman" w:cs="Arial"/>
          <w:color w:val="000000"/>
          <w:szCs w:val="20"/>
          <w:lang w:eastAsia="bg-BG"/>
        </w:rPr>
      </w:pPr>
    </w:p>
    <w:p w14:paraId="20AE3512" w14:textId="77777777" w:rsidR="002F56CD" w:rsidRPr="002F56CD" w:rsidRDefault="002F56CD" w:rsidP="002F56CD">
      <w:pPr>
        <w:spacing w:line="240" w:lineRule="auto"/>
        <w:rPr>
          <w:rFonts w:eastAsia="Times New Roman" w:cs="Arial"/>
          <w:sz w:val="28"/>
          <w:szCs w:val="24"/>
        </w:rPr>
      </w:pPr>
      <w:r w:rsidRPr="002F56CD">
        <w:rPr>
          <w:rFonts w:eastAsia="Times New Roman" w:cs="Arial"/>
          <w:i/>
          <w:iCs/>
          <w:color w:val="000000"/>
          <w:szCs w:val="20"/>
          <w:lang w:eastAsia="bg-BG"/>
        </w:rPr>
        <w:t>Сърдечна трансплантация</w:t>
      </w:r>
    </w:p>
    <w:p w14:paraId="5636BC5E"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В клинично изпитване фаза </w:t>
      </w:r>
      <w:r w:rsidRPr="002F56CD">
        <w:rPr>
          <w:rFonts w:eastAsia="Times New Roman" w:cs="Arial"/>
          <w:color w:val="000000"/>
          <w:szCs w:val="20"/>
          <w:lang w:val="en-US"/>
        </w:rPr>
        <w:t>III</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(В253), двата режима на Сертикан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и 3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в комбинация със стандартни дози циклоспорин микроемулсия и кортикостероиди, са изследвани спрямо азатиоприн </w:t>
      </w:r>
      <w:r w:rsidRPr="002F56CD">
        <w:rPr>
          <w:rFonts w:eastAsia="Times New Roman" w:cs="Arial"/>
          <w:color w:val="000000"/>
          <w:szCs w:val="20"/>
          <w:lang w:val="ru-RU"/>
        </w:rPr>
        <w:t>(</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1 -3 </w:t>
      </w:r>
      <w:r w:rsidRPr="002F56CD">
        <w:rPr>
          <w:rFonts w:eastAsia="Times New Roman" w:cs="Arial"/>
          <w:color w:val="000000"/>
          <w:szCs w:val="20"/>
          <w:lang w:val="en-US"/>
        </w:rPr>
        <w:t>mg</w:t>
      </w:r>
      <w:r w:rsidRPr="002F56CD">
        <w:rPr>
          <w:rFonts w:eastAsia="Times New Roman" w:cs="Arial"/>
          <w:color w:val="000000"/>
          <w:szCs w:val="20"/>
          <w:lang w:val="ru-RU"/>
        </w:rPr>
        <w:t>/</w:t>
      </w:r>
      <w:r w:rsidRPr="002F56CD">
        <w:rPr>
          <w:rFonts w:eastAsia="Times New Roman" w:cs="Arial"/>
          <w:color w:val="000000"/>
          <w:szCs w:val="20"/>
          <w:lang w:val="en-US"/>
        </w:rPr>
        <w:t>kg</w:t>
      </w:r>
      <w:r w:rsidRPr="002F56CD">
        <w:rPr>
          <w:rFonts w:eastAsia="Times New Roman" w:cs="Arial"/>
          <w:color w:val="000000"/>
          <w:szCs w:val="20"/>
          <w:lang w:eastAsia="bg-BG"/>
        </w:rPr>
        <w:t xml:space="preserve">/ден. Първичната крайна точка е съставна от честота на остро отхвърляне </w:t>
      </w:r>
      <w:r w:rsidRPr="002F56CD">
        <w:rPr>
          <w:rFonts w:eastAsia="Times New Roman" w:cs="Arial"/>
          <w:color w:val="000000"/>
          <w:szCs w:val="20"/>
          <w:lang w:val="ru-RU"/>
        </w:rPr>
        <w:t>&gt;</w:t>
      </w:r>
      <w:r w:rsidRPr="002F56CD">
        <w:rPr>
          <w:rFonts w:eastAsia="Times New Roman" w:cs="Arial"/>
          <w:color w:val="000000"/>
          <w:szCs w:val="20"/>
          <w:lang w:val="en-US"/>
        </w:rPr>
        <w:t>ISHLT</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степен ЗА, остро отхвърляне, асоциирано с компрометиране на хемодинамиката, загуба на присадката, смърт или неявяване на пациента за проследяване на месеци 6,12 и 24. И двете дозировки на Сертикан превъзхождат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на месец 6, 12 и 24. Честотата на доказаното с биопсия остро отхвърляне </w:t>
      </w:r>
      <w:r w:rsidRPr="002F56CD">
        <w:rPr>
          <w:rFonts w:eastAsia="Times New Roman" w:cs="Arial"/>
          <w:color w:val="000000"/>
          <w:szCs w:val="20"/>
          <w:lang w:val="ru-RU"/>
        </w:rPr>
        <w:t>&gt;</w:t>
      </w:r>
      <w:r w:rsidRPr="002F56CD">
        <w:rPr>
          <w:rFonts w:eastAsia="Times New Roman" w:cs="Arial"/>
          <w:color w:val="000000"/>
          <w:szCs w:val="20"/>
          <w:lang w:val="en-US"/>
        </w:rPr>
        <w:t>ISHLT</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степен ЗА на месец 6 е 27,8 % в групата с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19% в групата с 3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и 41,6% в групата на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(р = 0,003 за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спрямо контролната група, &lt; 0,001 за 3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спрямо контролната група).</w:t>
      </w:r>
    </w:p>
    <w:p w14:paraId="7A0A83A7" w14:textId="77777777" w:rsidR="002F56CD" w:rsidRPr="002F56CD" w:rsidRDefault="002F56CD" w:rsidP="002F56CD">
      <w:pPr>
        <w:spacing w:line="240" w:lineRule="auto"/>
        <w:rPr>
          <w:rFonts w:eastAsia="Times New Roman" w:cs="Arial"/>
          <w:color w:val="000000"/>
          <w:szCs w:val="20"/>
          <w:lang w:eastAsia="bg-BG"/>
        </w:rPr>
      </w:pPr>
    </w:p>
    <w:p w14:paraId="0CE55145" w14:textId="732C000A"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Въз основа на данни от изследване с интракоронарен ултразвук, получени от подгрупа пациенти в изследваната популация, двете дозировки на Сертикан са статистически значимо по-ефективни от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по отношение предотвратяване вазопатия на присадката (дефинирана като увеличение на максималната дебелина на интимата в сравнение с изходните данни с ^0,5 </w:t>
      </w:r>
      <w:r w:rsidRPr="002F56CD">
        <w:rPr>
          <w:rFonts w:eastAsia="Times New Roman" w:cs="Arial"/>
          <w:color w:val="000000"/>
          <w:szCs w:val="20"/>
          <w:lang w:val="en-US"/>
        </w:rPr>
        <w:t>mm</w:t>
      </w:r>
      <w:r w:rsidRPr="002F56CD">
        <w:rPr>
          <w:rFonts w:eastAsia="Times New Roman" w:cs="Arial"/>
          <w:color w:val="000000"/>
          <w:szCs w:val="20"/>
          <w:lang w:val="ru-RU"/>
        </w:rPr>
        <w:t xml:space="preserve"> </w:t>
      </w:r>
      <w:r w:rsidRPr="002F56CD">
        <w:rPr>
          <w:rFonts w:eastAsia="Times New Roman" w:cs="Arial"/>
          <w:color w:val="000000"/>
          <w:szCs w:val="20"/>
          <w:lang w:eastAsia="bg-BG"/>
        </w:rPr>
        <w:t>в най-малко един от поредицата срезове при автоматично изтегляне), един важен рисков фактор за загуба на присадката в дългосрочен план.</w:t>
      </w:r>
    </w:p>
    <w:p w14:paraId="6F2AC223" w14:textId="77777777" w:rsidR="002F56CD" w:rsidRPr="002F56CD" w:rsidRDefault="002F56CD" w:rsidP="002F56CD">
      <w:pPr>
        <w:spacing w:line="240" w:lineRule="auto"/>
        <w:rPr>
          <w:rFonts w:eastAsia="Times New Roman" w:cs="Arial"/>
          <w:color w:val="000000"/>
          <w:szCs w:val="20"/>
          <w:lang w:eastAsia="bg-BG"/>
        </w:rPr>
      </w:pPr>
    </w:p>
    <w:p w14:paraId="546B85DA" w14:textId="00699FF9"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Повишен серумен креатинин се наблюдава по-често сред пациентите на Сертикан в комбинация с пълна доза циклоспорин микроемулсия, отколкото при пациентите на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Тези резултати показват, че Сертикан увеличава индуцираната от циклоспорин нефротоксичност.</w:t>
      </w:r>
    </w:p>
    <w:p w14:paraId="38FFC6E9" w14:textId="77777777" w:rsidR="002F56CD" w:rsidRPr="002F56CD" w:rsidRDefault="002F56CD" w:rsidP="002F56CD">
      <w:pPr>
        <w:spacing w:line="240" w:lineRule="auto"/>
        <w:rPr>
          <w:rFonts w:eastAsia="Times New Roman" w:cs="Arial"/>
          <w:color w:val="000000"/>
          <w:szCs w:val="20"/>
          <w:lang w:eastAsia="bg-BG"/>
        </w:rPr>
      </w:pPr>
    </w:p>
    <w:p w14:paraId="3BFAE878" w14:textId="566698C6"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А2411 е рандомизирано, 12 месечно, открито изпитване, сравняващо Сертикан в комбинация с намалена доза циклоспорин микроемулсия и кортикостероиди с микофенолат мофетил </w:t>
      </w:r>
      <w:r w:rsidRPr="002F56CD">
        <w:rPr>
          <w:rFonts w:eastAsia="Times New Roman" w:cs="Arial"/>
          <w:color w:val="000000"/>
          <w:szCs w:val="20"/>
          <w:lang w:val="ru-RU"/>
        </w:rPr>
        <w:t>(</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в комбинация със стандартна доза циклоспорин микроемулсия и кортикостероиди при </w:t>
      </w:r>
      <w:r w:rsidRPr="002F56CD">
        <w:rPr>
          <w:rFonts w:eastAsia="Times New Roman" w:cs="Arial"/>
          <w:i/>
          <w:iCs/>
          <w:color w:val="000000"/>
          <w:szCs w:val="20"/>
          <w:lang w:val="en-US"/>
        </w:rPr>
        <w:t>de</w:t>
      </w:r>
      <w:r w:rsidRPr="002F56CD">
        <w:rPr>
          <w:rFonts w:eastAsia="Times New Roman" w:cs="Arial"/>
          <w:i/>
          <w:iCs/>
          <w:color w:val="000000"/>
          <w:szCs w:val="20"/>
          <w:lang w:val="ru-RU"/>
        </w:rPr>
        <w:t xml:space="preserve"> </w:t>
      </w:r>
      <w:r w:rsidRPr="002F56CD">
        <w:rPr>
          <w:rFonts w:eastAsia="Times New Roman" w:cs="Arial"/>
          <w:i/>
          <w:iCs/>
          <w:color w:val="000000"/>
          <w:szCs w:val="20"/>
          <w:lang w:val="en-US"/>
        </w:rPr>
        <w:t>novo</w:t>
      </w:r>
      <w:r w:rsidRPr="002F56CD">
        <w:rPr>
          <w:rFonts w:eastAsia="Times New Roman" w:cs="Arial"/>
          <w:i/>
          <w:iCs/>
          <w:color w:val="000000"/>
          <w:szCs w:val="20"/>
          <w:lang w:val="ru-RU"/>
        </w:rPr>
        <w:t xml:space="preserve"> </w:t>
      </w:r>
      <w:r w:rsidRPr="002F56CD">
        <w:rPr>
          <w:rFonts w:eastAsia="Times New Roman" w:cs="Arial"/>
          <w:color w:val="000000"/>
          <w:szCs w:val="20"/>
          <w:lang w:eastAsia="bg-BG"/>
        </w:rPr>
        <w:t xml:space="preserve">сърдечно трансплантирани пациенти. Сертикан е прилаган в доза от 1,5 </w:t>
      </w:r>
      <w:r w:rsidRPr="002F56CD">
        <w:rPr>
          <w:rFonts w:eastAsia="Times New Roman" w:cs="Arial"/>
          <w:color w:val="000000"/>
          <w:szCs w:val="20"/>
          <w:lang w:val="en-US"/>
        </w:rPr>
        <w:t>mg</w:t>
      </w:r>
      <w:r w:rsidRPr="002F56CD">
        <w:rPr>
          <w:rFonts w:eastAsia="Times New Roman" w:cs="Arial"/>
          <w:color w:val="000000"/>
          <w:szCs w:val="20"/>
          <w:lang w:eastAsia="bg-BG"/>
        </w:rPr>
        <w:t xml:space="preserve">/ден, която е коригирана така, че да се поддържат прицелни най-ниски плазмени концентрации на еверолимус между 3-8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е прилаган в доза от 1500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два пъти дневно. Дозите на циклоспорин микроемулсия са коригирани така че да се постигнат следните прицелни най- ниски плазмени концентрации </w:t>
      </w:r>
      <w:r w:rsidRPr="002F56CD">
        <w:rPr>
          <w:rFonts w:eastAsia="Times New Roman" w:cs="Arial"/>
          <w:color w:val="000000"/>
          <w:szCs w:val="20"/>
          <w:lang w:val="ru-RU"/>
        </w:rPr>
        <w:t>(</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w:t>
      </w:r>
    </w:p>
    <w:p w14:paraId="62447435" w14:textId="77777777" w:rsidR="002F56CD" w:rsidRPr="002F56CD" w:rsidRDefault="002F56CD" w:rsidP="002F56CD">
      <w:pPr>
        <w:spacing w:line="240" w:lineRule="auto"/>
        <w:rPr>
          <w:rFonts w:eastAsia="Times New Roman" w:cs="Arial"/>
          <w:b/>
          <w:bCs/>
          <w:color w:val="000000"/>
          <w:szCs w:val="20"/>
          <w:lang w:eastAsia="bg-BG"/>
        </w:rPr>
      </w:pPr>
    </w:p>
    <w:p w14:paraId="23B50921" w14:textId="477EB076"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Таблица 11 Прицелни най-ниски концентрации на циклоспорин по месеци</w:t>
      </w:r>
    </w:p>
    <w:tbl>
      <w:tblPr>
        <w:tblStyle w:val="TableGrid"/>
        <w:tblW w:w="0" w:type="auto"/>
        <w:tblLook w:val="04A0" w:firstRow="1" w:lastRow="0" w:firstColumn="1" w:lastColumn="0" w:noHBand="0" w:noVBand="1"/>
      </w:tblPr>
      <w:tblGrid>
        <w:gridCol w:w="1586"/>
        <w:gridCol w:w="1552"/>
        <w:gridCol w:w="1553"/>
        <w:gridCol w:w="1553"/>
        <w:gridCol w:w="1553"/>
        <w:gridCol w:w="1553"/>
      </w:tblGrid>
      <w:tr w:rsidR="002F56CD" w14:paraId="0BA0DEA1" w14:textId="77777777" w:rsidTr="002F56CD">
        <w:tc>
          <w:tcPr>
            <w:tcW w:w="1596" w:type="dxa"/>
          </w:tcPr>
          <w:p w14:paraId="12F84691" w14:textId="64CC70FC" w:rsidR="002F56CD" w:rsidRPr="002F56CD" w:rsidRDefault="002F56CD" w:rsidP="002F56CD">
            <w:pPr>
              <w:rPr>
                <w:rFonts w:cs="Arial"/>
              </w:rPr>
            </w:pPr>
            <w:r w:rsidRPr="002F56CD">
              <w:rPr>
                <w:b/>
                <w:bCs/>
                <w:szCs w:val="20"/>
              </w:rPr>
              <w:lastRenderedPageBreak/>
              <w:t xml:space="preserve">Прицелнни нива на </w:t>
            </w:r>
            <w:r w:rsidRPr="002F56CD">
              <w:rPr>
                <w:b/>
                <w:bCs/>
                <w:szCs w:val="20"/>
                <w:lang w:val="en-US"/>
              </w:rPr>
              <w:t>ciclosporin</w:t>
            </w:r>
            <w:r w:rsidRPr="002F56CD">
              <w:rPr>
                <w:b/>
                <w:bCs/>
                <w:szCs w:val="20"/>
                <w:lang w:val="ru-RU"/>
              </w:rPr>
              <w:t xml:space="preserve"> </w:t>
            </w:r>
            <w:r w:rsidRPr="002F56CD">
              <w:rPr>
                <w:b/>
                <w:bCs/>
                <w:szCs w:val="20"/>
                <w:lang w:val="en-US"/>
              </w:rPr>
              <w:t>Co</w:t>
            </w:r>
          </w:p>
        </w:tc>
        <w:tc>
          <w:tcPr>
            <w:tcW w:w="1596" w:type="dxa"/>
          </w:tcPr>
          <w:p w14:paraId="59B7DC73" w14:textId="12174F43" w:rsidR="002F56CD" w:rsidRPr="002F56CD" w:rsidRDefault="002F56CD" w:rsidP="002F56CD">
            <w:pPr>
              <w:rPr>
                <w:rFonts w:cs="Arial"/>
              </w:rPr>
            </w:pPr>
            <w:r w:rsidRPr="002F56CD">
              <w:rPr>
                <w:szCs w:val="20"/>
              </w:rPr>
              <w:t>Месец 1</w:t>
            </w:r>
          </w:p>
        </w:tc>
        <w:tc>
          <w:tcPr>
            <w:tcW w:w="1596" w:type="dxa"/>
          </w:tcPr>
          <w:p w14:paraId="7D911552" w14:textId="23487D68" w:rsidR="002F56CD" w:rsidRPr="002F56CD" w:rsidRDefault="002F56CD" w:rsidP="002F56CD">
            <w:pPr>
              <w:rPr>
                <w:rFonts w:cs="Arial"/>
              </w:rPr>
            </w:pPr>
            <w:r w:rsidRPr="002F56CD">
              <w:rPr>
                <w:szCs w:val="20"/>
              </w:rPr>
              <w:t>Месец 2</w:t>
            </w:r>
          </w:p>
        </w:tc>
        <w:tc>
          <w:tcPr>
            <w:tcW w:w="1596" w:type="dxa"/>
          </w:tcPr>
          <w:p w14:paraId="41EBDA0F" w14:textId="2EFFBDDF" w:rsidR="002F56CD" w:rsidRPr="002F56CD" w:rsidRDefault="002F56CD" w:rsidP="002F56CD">
            <w:pPr>
              <w:rPr>
                <w:rFonts w:cs="Arial"/>
              </w:rPr>
            </w:pPr>
            <w:r w:rsidRPr="002F56CD">
              <w:rPr>
                <w:szCs w:val="20"/>
              </w:rPr>
              <w:t>Месец 3-4</w:t>
            </w:r>
          </w:p>
        </w:tc>
        <w:tc>
          <w:tcPr>
            <w:tcW w:w="1596" w:type="dxa"/>
          </w:tcPr>
          <w:p w14:paraId="10194140" w14:textId="2423EB9B" w:rsidR="002F56CD" w:rsidRPr="002F56CD" w:rsidRDefault="002F56CD" w:rsidP="002F56CD">
            <w:pPr>
              <w:rPr>
                <w:rFonts w:cs="Arial"/>
              </w:rPr>
            </w:pPr>
            <w:r w:rsidRPr="002F56CD">
              <w:rPr>
                <w:szCs w:val="20"/>
              </w:rPr>
              <w:t>Месец 5-6</w:t>
            </w:r>
          </w:p>
        </w:tc>
        <w:tc>
          <w:tcPr>
            <w:tcW w:w="1596" w:type="dxa"/>
          </w:tcPr>
          <w:p w14:paraId="33E8F8E3" w14:textId="111259C0" w:rsidR="002F56CD" w:rsidRPr="002F56CD" w:rsidRDefault="002F56CD" w:rsidP="002F56CD">
            <w:pPr>
              <w:rPr>
                <w:rFonts w:cs="Arial"/>
              </w:rPr>
            </w:pPr>
            <w:r w:rsidRPr="002F56CD">
              <w:rPr>
                <w:szCs w:val="20"/>
              </w:rPr>
              <w:t>Месец 7- 12</w:t>
            </w:r>
          </w:p>
        </w:tc>
      </w:tr>
      <w:tr w:rsidR="002F56CD" w14:paraId="77D2BFD8" w14:textId="77777777" w:rsidTr="002F56CD">
        <w:tc>
          <w:tcPr>
            <w:tcW w:w="1596" w:type="dxa"/>
          </w:tcPr>
          <w:p w14:paraId="358988E0" w14:textId="0809D652" w:rsidR="002F56CD" w:rsidRPr="002F56CD" w:rsidRDefault="002F56CD" w:rsidP="002F56CD">
            <w:pPr>
              <w:rPr>
                <w:rFonts w:cs="Arial"/>
              </w:rPr>
            </w:pPr>
            <w:r w:rsidRPr="002F56CD">
              <w:rPr>
                <w:b/>
                <w:bCs/>
                <w:szCs w:val="20"/>
              </w:rPr>
              <w:t>Сертикан група</w:t>
            </w:r>
          </w:p>
        </w:tc>
        <w:tc>
          <w:tcPr>
            <w:tcW w:w="1596" w:type="dxa"/>
          </w:tcPr>
          <w:p w14:paraId="7854D0AA" w14:textId="7C6FCAC6" w:rsidR="002F56CD" w:rsidRPr="002F56CD" w:rsidRDefault="002F56CD" w:rsidP="002F56CD">
            <w:pPr>
              <w:rPr>
                <w:rFonts w:cs="Arial"/>
              </w:rPr>
            </w:pPr>
            <w:r w:rsidRPr="002F56CD">
              <w:rPr>
                <w:b/>
                <w:bCs/>
                <w:szCs w:val="20"/>
              </w:rPr>
              <w:t>200-350</w:t>
            </w:r>
          </w:p>
        </w:tc>
        <w:tc>
          <w:tcPr>
            <w:tcW w:w="1596" w:type="dxa"/>
          </w:tcPr>
          <w:p w14:paraId="68D5FB0C" w14:textId="67C2F69A" w:rsidR="002F56CD" w:rsidRPr="002F56CD" w:rsidRDefault="002F56CD" w:rsidP="002F56CD">
            <w:pPr>
              <w:rPr>
                <w:rFonts w:cs="Arial"/>
              </w:rPr>
            </w:pPr>
            <w:r w:rsidRPr="002F56CD">
              <w:rPr>
                <w:b/>
                <w:bCs/>
                <w:szCs w:val="20"/>
              </w:rPr>
              <w:t>150-250</w:t>
            </w:r>
          </w:p>
        </w:tc>
        <w:tc>
          <w:tcPr>
            <w:tcW w:w="1596" w:type="dxa"/>
          </w:tcPr>
          <w:p w14:paraId="740CEDC6" w14:textId="3D7B68B5" w:rsidR="002F56CD" w:rsidRPr="002F56CD" w:rsidRDefault="002F56CD" w:rsidP="002F56CD">
            <w:pPr>
              <w:rPr>
                <w:rFonts w:cs="Arial"/>
              </w:rPr>
            </w:pPr>
            <w:r w:rsidRPr="002F56CD">
              <w:rPr>
                <w:b/>
                <w:bCs/>
                <w:szCs w:val="20"/>
              </w:rPr>
              <w:t>100-200</w:t>
            </w:r>
          </w:p>
        </w:tc>
        <w:tc>
          <w:tcPr>
            <w:tcW w:w="1596" w:type="dxa"/>
          </w:tcPr>
          <w:p w14:paraId="2F0AACC8" w14:textId="426CBDC6" w:rsidR="002F56CD" w:rsidRPr="002F56CD" w:rsidRDefault="002F56CD" w:rsidP="002F56CD">
            <w:pPr>
              <w:rPr>
                <w:rFonts w:cs="Arial"/>
              </w:rPr>
            </w:pPr>
            <w:r w:rsidRPr="002F56CD">
              <w:rPr>
                <w:b/>
                <w:bCs/>
                <w:szCs w:val="20"/>
              </w:rPr>
              <w:t>75-150</w:t>
            </w:r>
          </w:p>
        </w:tc>
        <w:tc>
          <w:tcPr>
            <w:tcW w:w="1596" w:type="dxa"/>
          </w:tcPr>
          <w:p w14:paraId="47934534" w14:textId="60B91C7C" w:rsidR="002F56CD" w:rsidRPr="002F56CD" w:rsidRDefault="002F56CD" w:rsidP="002F56CD">
            <w:pPr>
              <w:rPr>
                <w:rFonts w:cs="Arial"/>
              </w:rPr>
            </w:pPr>
            <w:r w:rsidRPr="002F56CD">
              <w:rPr>
                <w:b/>
                <w:bCs/>
                <w:szCs w:val="20"/>
              </w:rPr>
              <w:t>50-100</w:t>
            </w:r>
          </w:p>
        </w:tc>
      </w:tr>
      <w:tr w:rsidR="002F56CD" w14:paraId="691915A3" w14:textId="77777777" w:rsidTr="002F56CD">
        <w:tc>
          <w:tcPr>
            <w:tcW w:w="1596" w:type="dxa"/>
          </w:tcPr>
          <w:p w14:paraId="6B16A725" w14:textId="3886ACCB" w:rsidR="002F56CD" w:rsidRPr="002F56CD" w:rsidRDefault="002F56CD" w:rsidP="002F56CD">
            <w:pPr>
              <w:rPr>
                <w:rFonts w:cs="Arial"/>
              </w:rPr>
            </w:pPr>
            <w:r w:rsidRPr="002F56CD">
              <w:rPr>
                <w:b/>
                <w:bCs/>
                <w:szCs w:val="20"/>
                <w:lang w:val="en-US"/>
              </w:rPr>
              <w:t xml:space="preserve">MMF </w:t>
            </w:r>
            <w:r w:rsidRPr="002F56CD">
              <w:rPr>
                <w:b/>
                <w:bCs/>
                <w:szCs w:val="20"/>
              </w:rPr>
              <w:t>група</w:t>
            </w:r>
          </w:p>
        </w:tc>
        <w:tc>
          <w:tcPr>
            <w:tcW w:w="1596" w:type="dxa"/>
          </w:tcPr>
          <w:p w14:paraId="5F172303" w14:textId="219FC93B" w:rsidR="002F56CD" w:rsidRPr="002F56CD" w:rsidRDefault="002F56CD" w:rsidP="002F56CD">
            <w:pPr>
              <w:rPr>
                <w:rFonts w:cs="Arial"/>
              </w:rPr>
            </w:pPr>
            <w:r w:rsidRPr="002F56CD">
              <w:rPr>
                <w:szCs w:val="20"/>
              </w:rPr>
              <w:t>200-350</w:t>
            </w:r>
          </w:p>
        </w:tc>
        <w:tc>
          <w:tcPr>
            <w:tcW w:w="1596" w:type="dxa"/>
          </w:tcPr>
          <w:p w14:paraId="15A70B93" w14:textId="09F79BFA" w:rsidR="002F56CD" w:rsidRPr="002F56CD" w:rsidRDefault="002F56CD" w:rsidP="002F56CD">
            <w:pPr>
              <w:rPr>
                <w:rFonts w:cs="Arial"/>
              </w:rPr>
            </w:pPr>
            <w:r w:rsidRPr="002F56CD">
              <w:rPr>
                <w:szCs w:val="20"/>
              </w:rPr>
              <w:t>200-350</w:t>
            </w:r>
          </w:p>
        </w:tc>
        <w:tc>
          <w:tcPr>
            <w:tcW w:w="1596" w:type="dxa"/>
          </w:tcPr>
          <w:p w14:paraId="4473C5F1" w14:textId="7B277A7E" w:rsidR="002F56CD" w:rsidRPr="002F56CD" w:rsidRDefault="002F56CD" w:rsidP="002F56CD">
            <w:pPr>
              <w:rPr>
                <w:rFonts w:cs="Arial"/>
              </w:rPr>
            </w:pPr>
            <w:r w:rsidRPr="002F56CD">
              <w:rPr>
                <w:szCs w:val="20"/>
              </w:rPr>
              <w:t>200-300</w:t>
            </w:r>
          </w:p>
        </w:tc>
        <w:tc>
          <w:tcPr>
            <w:tcW w:w="1596" w:type="dxa"/>
          </w:tcPr>
          <w:p w14:paraId="287D8997" w14:textId="34932837" w:rsidR="002F56CD" w:rsidRPr="002F56CD" w:rsidRDefault="002F56CD" w:rsidP="002F56CD">
            <w:pPr>
              <w:rPr>
                <w:rFonts w:cs="Arial"/>
              </w:rPr>
            </w:pPr>
            <w:r w:rsidRPr="002F56CD">
              <w:rPr>
                <w:szCs w:val="20"/>
              </w:rPr>
              <w:t>150-250</w:t>
            </w:r>
          </w:p>
        </w:tc>
        <w:tc>
          <w:tcPr>
            <w:tcW w:w="1596" w:type="dxa"/>
          </w:tcPr>
          <w:p w14:paraId="731433EE" w14:textId="0C7A83F3" w:rsidR="002F56CD" w:rsidRPr="002F56CD" w:rsidRDefault="002F56CD" w:rsidP="002F56CD">
            <w:pPr>
              <w:rPr>
                <w:rFonts w:cs="Arial"/>
              </w:rPr>
            </w:pPr>
            <w:r w:rsidRPr="002F56CD">
              <w:rPr>
                <w:szCs w:val="20"/>
              </w:rPr>
              <w:t>100-250</w:t>
            </w:r>
          </w:p>
        </w:tc>
      </w:tr>
    </w:tbl>
    <w:p w14:paraId="31B0D930" w14:textId="5324BD12" w:rsidR="002F56CD" w:rsidRDefault="002F56CD" w:rsidP="002F56CD">
      <w:pPr>
        <w:rPr>
          <w:rFonts w:cs="Arial"/>
          <w:sz w:val="24"/>
        </w:rPr>
      </w:pPr>
    </w:p>
    <w:p w14:paraId="77FC24D5"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Измерените в действителност кръвни концентрации са показани в Таблица 12.</w:t>
      </w:r>
    </w:p>
    <w:p w14:paraId="79806B32" w14:textId="77777777" w:rsidR="002F56CD" w:rsidRPr="002F56CD" w:rsidRDefault="002F56CD" w:rsidP="002F56CD">
      <w:pPr>
        <w:spacing w:line="240" w:lineRule="auto"/>
        <w:rPr>
          <w:rFonts w:eastAsia="Times New Roman" w:cs="Arial"/>
          <w:b/>
          <w:bCs/>
          <w:color w:val="000000"/>
          <w:szCs w:val="20"/>
          <w:lang w:val="en-US"/>
        </w:rPr>
      </w:pPr>
    </w:p>
    <w:p w14:paraId="1F1DFBD6" w14:textId="5C530F57" w:rsidR="002F56CD" w:rsidRPr="002F56CD" w:rsidRDefault="002F56CD" w:rsidP="002F56CD">
      <w:pPr>
        <w:spacing w:line="240" w:lineRule="auto"/>
        <w:rPr>
          <w:rFonts w:ascii="Times New Roman" w:eastAsia="Times New Roman" w:hAnsi="Times New Roman" w:cs="Times New Roman"/>
          <w:sz w:val="24"/>
          <w:szCs w:val="24"/>
        </w:rPr>
      </w:pPr>
      <w:r w:rsidRPr="002F56CD">
        <w:rPr>
          <w:rFonts w:eastAsia="Times New Roman" w:cs="Arial"/>
          <w:b/>
          <w:bCs/>
          <w:color w:val="000000"/>
          <w:szCs w:val="20"/>
          <w:lang w:val="en-US"/>
        </w:rPr>
        <w:t>Table</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12 Проучване А2411: Обобщени данни за най-ниските кръвни концентрации </w:t>
      </w:r>
      <w:r w:rsidRPr="002F56CD">
        <w:rPr>
          <w:rFonts w:eastAsia="Times New Roman" w:cs="Arial"/>
          <w:b/>
          <w:bCs/>
          <w:color w:val="000000"/>
          <w:szCs w:val="20"/>
          <w:lang w:val="ru-RU"/>
        </w:rPr>
        <w:t>(</w:t>
      </w:r>
      <w:r w:rsidRPr="002F56CD">
        <w:rPr>
          <w:rFonts w:eastAsia="Times New Roman" w:cs="Arial"/>
          <w:b/>
          <w:bCs/>
          <w:color w:val="000000"/>
          <w:szCs w:val="20"/>
          <w:lang w:val="en-US"/>
        </w:rPr>
        <w:t>CsA</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(средно отклонение ± </w:t>
      </w:r>
      <w:r w:rsidRPr="002F56CD">
        <w:rPr>
          <w:rFonts w:eastAsia="Times New Roman" w:cs="Arial"/>
          <w:b/>
          <w:bCs/>
          <w:color w:val="000000"/>
          <w:szCs w:val="20"/>
          <w:lang w:val="en-US"/>
        </w:rPr>
        <w:t>SD</w:t>
      </w:r>
      <w:r w:rsidRPr="002F56CD">
        <w:rPr>
          <w:rFonts w:eastAsia="Times New Roman" w:cs="Arial"/>
          <w:b/>
          <w:bCs/>
          <w:color w:val="000000"/>
          <w:szCs w:val="20"/>
          <w:lang w:val="ru-RU"/>
        </w:rPr>
        <w:t>)</w:t>
      </w:r>
    </w:p>
    <w:tbl>
      <w:tblPr>
        <w:tblStyle w:val="TableGrid"/>
        <w:tblW w:w="0" w:type="auto"/>
        <w:tblLook w:val="04A0" w:firstRow="1" w:lastRow="0" w:firstColumn="1" w:lastColumn="0" w:noHBand="0" w:noVBand="1"/>
      </w:tblPr>
      <w:tblGrid>
        <w:gridCol w:w="3114"/>
        <w:gridCol w:w="3123"/>
        <w:gridCol w:w="3113"/>
      </w:tblGrid>
      <w:tr w:rsidR="002F56CD" w14:paraId="26C58554" w14:textId="77777777" w:rsidTr="002F56CD">
        <w:tc>
          <w:tcPr>
            <w:tcW w:w="3192" w:type="dxa"/>
          </w:tcPr>
          <w:p w14:paraId="5BB60DBD" w14:textId="77777777" w:rsidR="002F56CD" w:rsidRPr="002F56CD" w:rsidRDefault="002F56CD" w:rsidP="002F56CD">
            <w:pPr>
              <w:rPr>
                <w:rFonts w:cs="Arial"/>
              </w:rPr>
            </w:pPr>
          </w:p>
        </w:tc>
        <w:tc>
          <w:tcPr>
            <w:tcW w:w="3192" w:type="dxa"/>
          </w:tcPr>
          <w:p w14:paraId="723A05CA" w14:textId="7A4F035B" w:rsidR="002F56CD" w:rsidRPr="002F56CD" w:rsidRDefault="002F56CD" w:rsidP="002F56CD">
            <w:pPr>
              <w:rPr>
                <w:rFonts w:cs="Arial"/>
              </w:rPr>
            </w:pPr>
            <w:r w:rsidRPr="002F56CD">
              <w:rPr>
                <w:rFonts w:cs="Arial"/>
                <w:b/>
                <w:bCs/>
                <w:szCs w:val="20"/>
              </w:rPr>
              <w:t xml:space="preserve">Група на Сертикан </w:t>
            </w:r>
            <w:r w:rsidRPr="002F56CD">
              <w:rPr>
                <w:rFonts w:cs="Arial"/>
                <w:b/>
                <w:bCs/>
                <w:szCs w:val="20"/>
                <w:lang w:val="en-US"/>
              </w:rPr>
              <w:t>(N=91)</w:t>
            </w:r>
          </w:p>
        </w:tc>
        <w:tc>
          <w:tcPr>
            <w:tcW w:w="3192" w:type="dxa"/>
          </w:tcPr>
          <w:p w14:paraId="36FD196F" w14:textId="4440A907" w:rsidR="002F56CD" w:rsidRPr="002F56CD" w:rsidRDefault="002F56CD" w:rsidP="002F56CD">
            <w:pPr>
              <w:rPr>
                <w:rFonts w:cs="Arial"/>
              </w:rPr>
            </w:pPr>
            <w:r w:rsidRPr="002F56CD">
              <w:rPr>
                <w:rFonts w:cs="Arial"/>
                <w:b/>
                <w:bCs/>
                <w:szCs w:val="20"/>
                <w:lang w:val="en-US"/>
              </w:rPr>
              <w:t xml:space="preserve">MMF </w:t>
            </w:r>
            <w:r w:rsidRPr="002F56CD">
              <w:rPr>
                <w:rFonts w:cs="Arial"/>
                <w:b/>
                <w:bCs/>
                <w:szCs w:val="20"/>
              </w:rPr>
              <w:t xml:space="preserve">група </w:t>
            </w:r>
            <w:r w:rsidRPr="002F56CD">
              <w:rPr>
                <w:rFonts w:cs="Arial"/>
                <w:b/>
                <w:bCs/>
                <w:szCs w:val="20"/>
                <w:lang w:val="en-US"/>
              </w:rPr>
              <w:t>(N=83)</w:t>
            </w:r>
          </w:p>
        </w:tc>
      </w:tr>
      <w:tr w:rsidR="002F56CD" w14:paraId="5802E2B0" w14:textId="77777777" w:rsidTr="002F56CD">
        <w:tc>
          <w:tcPr>
            <w:tcW w:w="3192" w:type="dxa"/>
          </w:tcPr>
          <w:p w14:paraId="02989E5E" w14:textId="7FA14BD4" w:rsidR="002F56CD" w:rsidRPr="002F56CD" w:rsidRDefault="002F56CD" w:rsidP="002F56CD">
            <w:pPr>
              <w:rPr>
                <w:rFonts w:cs="Arial"/>
              </w:rPr>
            </w:pPr>
            <w:r w:rsidRPr="002F56CD">
              <w:rPr>
                <w:rFonts w:cs="Arial"/>
                <w:b/>
                <w:bCs/>
                <w:szCs w:val="20"/>
              </w:rPr>
              <w:t>Визити</w:t>
            </w:r>
          </w:p>
        </w:tc>
        <w:tc>
          <w:tcPr>
            <w:tcW w:w="3192" w:type="dxa"/>
          </w:tcPr>
          <w:p w14:paraId="34002E20" w14:textId="69E6FF7F" w:rsidR="002F56CD" w:rsidRPr="002F56CD" w:rsidRDefault="002F56CD" w:rsidP="002F56CD">
            <w:pPr>
              <w:rPr>
                <w:rFonts w:cs="Arial"/>
              </w:rPr>
            </w:pPr>
            <w:r w:rsidRPr="002F56CD">
              <w:rPr>
                <w:rFonts w:cs="Arial"/>
                <w:szCs w:val="20"/>
                <w:lang w:val="en-US"/>
              </w:rPr>
              <w:t>C</w:t>
            </w:r>
            <w:r w:rsidRPr="002F56CD">
              <w:rPr>
                <w:rFonts w:cs="Arial"/>
                <w:szCs w:val="20"/>
                <w:vertAlign w:val="subscript"/>
                <w:lang w:val="en-US"/>
              </w:rPr>
              <w:t>0</w:t>
            </w:r>
          </w:p>
        </w:tc>
        <w:tc>
          <w:tcPr>
            <w:tcW w:w="3192" w:type="dxa"/>
          </w:tcPr>
          <w:p w14:paraId="05F66164" w14:textId="5DE49229" w:rsidR="002F56CD" w:rsidRPr="002F56CD" w:rsidRDefault="002F56CD" w:rsidP="002F56CD">
            <w:pPr>
              <w:rPr>
                <w:rFonts w:cs="Arial"/>
              </w:rPr>
            </w:pPr>
            <w:r w:rsidRPr="002F56CD">
              <w:rPr>
                <w:rFonts w:cs="Arial"/>
                <w:szCs w:val="20"/>
                <w:lang w:val="en-US"/>
              </w:rPr>
              <w:t>C</w:t>
            </w:r>
            <w:r w:rsidRPr="002F56CD">
              <w:rPr>
                <w:rFonts w:cs="Arial"/>
                <w:szCs w:val="20"/>
                <w:vertAlign w:val="subscript"/>
                <w:lang w:val="en-US"/>
              </w:rPr>
              <w:t>0</w:t>
            </w:r>
          </w:p>
        </w:tc>
      </w:tr>
      <w:tr w:rsidR="002F56CD" w14:paraId="79ED0910" w14:textId="77777777" w:rsidTr="002F56CD">
        <w:tc>
          <w:tcPr>
            <w:tcW w:w="3192" w:type="dxa"/>
          </w:tcPr>
          <w:p w14:paraId="01BF5DF9" w14:textId="24C825BC" w:rsidR="002F56CD" w:rsidRPr="002F56CD" w:rsidRDefault="002F56CD" w:rsidP="002F56CD">
            <w:pPr>
              <w:rPr>
                <w:rFonts w:cs="Arial"/>
              </w:rPr>
            </w:pPr>
            <w:r w:rsidRPr="002F56CD">
              <w:rPr>
                <w:rFonts w:cs="Arial"/>
                <w:b/>
                <w:bCs/>
                <w:szCs w:val="20"/>
              </w:rPr>
              <w:t>Ден 4</w:t>
            </w:r>
          </w:p>
        </w:tc>
        <w:tc>
          <w:tcPr>
            <w:tcW w:w="3192" w:type="dxa"/>
          </w:tcPr>
          <w:p w14:paraId="2584B961" w14:textId="2D5C53EC" w:rsidR="002F56CD" w:rsidRPr="002F56CD" w:rsidRDefault="002F56CD" w:rsidP="002F56CD">
            <w:pPr>
              <w:rPr>
                <w:rFonts w:cs="Arial"/>
              </w:rPr>
            </w:pPr>
            <w:r w:rsidRPr="002F56CD">
              <w:rPr>
                <w:rFonts w:cs="Arial"/>
                <w:szCs w:val="20"/>
              </w:rPr>
              <w:t xml:space="preserve">154 ± 71 </w:t>
            </w:r>
            <w:r w:rsidRPr="002F56CD">
              <w:rPr>
                <w:rFonts w:cs="Arial"/>
                <w:szCs w:val="20"/>
                <w:lang w:val="en-US"/>
              </w:rPr>
              <w:t>n</w:t>
            </w:r>
            <w:r w:rsidRPr="002F56CD">
              <w:rPr>
                <w:rFonts w:cs="Arial"/>
                <w:szCs w:val="20"/>
              </w:rPr>
              <w:t>=79</w:t>
            </w:r>
          </w:p>
        </w:tc>
        <w:tc>
          <w:tcPr>
            <w:tcW w:w="3192" w:type="dxa"/>
          </w:tcPr>
          <w:p w14:paraId="6FC88040" w14:textId="4A0C482B" w:rsidR="002F56CD" w:rsidRPr="002F56CD" w:rsidRDefault="002F56CD" w:rsidP="002F56CD">
            <w:pPr>
              <w:rPr>
                <w:rFonts w:cs="Arial"/>
              </w:rPr>
            </w:pPr>
            <w:r w:rsidRPr="002F56CD">
              <w:rPr>
                <w:rFonts w:cs="Arial"/>
                <w:szCs w:val="20"/>
              </w:rPr>
              <w:t xml:space="preserve">155 ±96 </w:t>
            </w:r>
            <w:r w:rsidRPr="002F56CD">
              <w:rPr>
                <w:rFonts w:cs="Arial"/>
                <w:szCs w:val="20"/>
                <w:lang w:val="en-US"/>
              </w:rPr>
              <w:t>n=74</w:t>
            </w:r>
          </w:p>
        </w:tc>
      </w:tr>
      <w:tr w:rsidR="002F56CD" w14:paraId="10C553A7" w14:textId="77777777" w:rsidTr="002F56CD">
        <w:tc>
          <w:tcPr>
            <w:tcW w:w="3192" w:type="dxa"/>
          </w:tcPr>
          <w:p w14:paraId="1581A7B9" w14:textId="543985BE" w:rsidR="002F56CD" w:rsidRPr="002F56CD" w:rsidRDefault="002F56CD" w:rsidP="002F56CD">
            <w:pPr>
              <w:rPr>
                <w:rFonts w:cs="Arial"/>
              </w:rPr>
            </w:pPr>
            <w:r w:rsidRPr="002F56CD">
              <w:rPr>
                <w:rFonts w:cs="Arial"/>
                <w:b/>
                <w:bCs/>
                <w:szCs w:val="20"/>
              </w:rPr>
              <w:t>Месец 1</w:t>
            </w:r>
          </w:p>
        </w:tc>
        <w:tc>
          <w:tcPr>
            <w:tcW w:w="3192" w:type="dxa"/>
          </w:tcPr>
          <w:p w14:paraId="2A0C0FE4" w14:textId="3DCCA7FC" w:rsidR="002F56CD" w:rsidRPr="002F56CD" w:rsidRDefault="002F56CD" w:rsidP="002F56CD">
            <w:pPr>
              <w:rPr>
                <w:rFonts w:cs="Arial"/>
              </w:rPr>
            </w:pPr>
            <w:r w:rsidRPr="002F56CD">
              <w:rPr>
                <w:rFonts w:cs="Arial"/>
                <w:szCs w:val="20"/>
              </w:rPr>
              <w:t xml:space="preserve">245 ± 99 </w:t>
            </w:r>
            <w:r w:rsidRPr="002F56CD">
              <w:rPr>
                <w:rFonts w:cs="Arial"/>
                <w:szCs w:val="20"/>
                <w:lang w:val="en-US"/>
              </w:rPr>
              <w:t>n</w:t>
            </w:r>
            <w:r w:rsidRPr="002F56CD">
              <w:rPr>
                <w:rFonts w:cs="Arial"/>
                <w:szCs w:val="20"/>
              </w:rPr>
              <w:t>=76</w:t>
            </w:r>
          </w:p>
        </w:tc>
        <w:tc>
          <w:tcPr>
            <w:tcW w:w="3192" w:type="dxa"/>
          </w:tcPr>
          <w:p w14:paraId="2BCA73B3" w14:textId="6F553FD7" w:rsidR="002F56CD" w:rsidRPr="002F56CD" w:rsidRDefault="002F56CD" w:rsidP="002F56CD">
            <w:pPr>
              <w:rPr>
                <w:rFonts w:cs="Arial"/>
              </w:rPr>
            </w:pPr>
            <w:r w:rsidRPr="002F56CD">
              <w:rPr>
                <w:rFonts w:cs="Arial"/>
                <w:szCs w:val="20"/>
              </w:rPr>
              <w:t xml:space="preserve">308 ±96 </w:t>
            </w:r>
            <w:r w:rsidRPr="002F56CD">
              <w:rPr>
                <w:rFonts w:cs="Arial"/>
                <w:szCs w:val="20"/>
                <w:lang w:val="en-US"/>
              </w:rPr>
              <w:t>n=71</w:t>
            </w:r>
          </w:p>
        </w:tc>
      </w:tr>
      <w:tr w:rsidR="002F56CD" w14:paraId="5BBF5824" w14:textId="77777777" w:rsidTr="002F56CD">
        <w:tc>
          <w:tcPr>
            <w:tcW w:w="3192" w:type="dxa"/>
          </w:tcPr>
          <w:p w14:paraId="7D26D4ED" w14:textId="347F1E62" w:rsidR="002F56CD" w:rsidRPr="002F56CD" w:rsidRDefault="002F56CD" w:rsidP="002F56CD">
            <w:pPr>
              <w:rPr>
                <w:rFonts w:cs="Arial"/>
              </w:rPr>
            </w:pPr>
            <w:r w:rsidRPr="002F56CD">
              <w:rPr>
                <w:rFonts w:cs="Arial"/>
                <w:b/>
                <w:bCs/>
                <w:szCs w:val="20"/>
              </w:rPr>
              <w:t>Месец 3</w:t>
            </w:r>
          </w:p>
        </w:tc>
        <w:tc>
          <w:tcPr>
            <w:tcW w:w="3192" w:type="dxa"/>
          </w:tcPr>
          <w:p w14:paraId="55C38F31" w14:textId="6B0A5586" w:rsidR="002F56CD" w:rsidRPr="002F56CD" w:rsidRDefault="002F56CD" w:rsidP="002F56CD">
            <w:pPr>
              <w:rPr>
                <w:rFonts w:cs="Arial"/>
              </w:rPr>
            </w:pPr>
            <w:r w:rsidRPr="002F56CD">
              <w:rPr>
                <w:rFonts w:cs="Arial"/>
                <w:szCs w:val="20"/>
              </w:rPr>
              <w:t>199 ±96 n=70</w:t>
            </w:r>
          </w:p>
        </w:tc>
        <w:tc>
          <w:tcPr>
            <w:tcW w:w="3192" w:type="dxa"/>
          </w:tcPr>
          <w:p w14:paraId="4A5937D2" w14:textId="7902466A" w:rsidR="002F56CD" w:rsidRPr="002F56CD" w:rsidRDefault="002F56CD" w:rsidP="002F56CD">
            <w:pPr>
              <w:rPr>
                <w:rFonts w:cs="Arial"/>
              </w:rPr>
            </w:pPr>
            <w:r w:rsidRPr="002F56CD">
              <w:rPr>
                <w:rFonts w:cs="Arial"/>
                <w:szCs w:val="20"/>
                <w:lang w:val="en-US"/>
              </w:rPr>
              <w:t>256 ±73 n=70</w:t>
            </w:r>
          </w:p>
        </w:tc>
      </w:tr>
      <w:tr w:rsidR="002F56CD" w14:paraId="1A8638E2" w14:textId="77777777" w:rsidTr="002F56CD">
        <w:tc>
          <w:tcPr>
            <w:tcW w:w="3192" w:type="dxa"/>
          </w:tcPr>
          <w:p w14:paraId="56A549A6" w14:textId="67545474" w:rsidR="002F56CD" w:rsidRPr="002F56CD" w:rsidRDefault="002F56CD" w:rsidP="002F56CD">
            <w:pPr>
              <w:rPr>
                <w:rFonts w:cs="Arial"/>
              </w:rPr>
            </w:pPr>
            <w:r w:rsidRPr="002F56CD">
              <w:rPr>
                <w:rFonts w:cs="Arial"/>
                <w:b/>
                <w:bCs/>
                <w:szCs w:val="20"/>
              </w:rPr>
              <w:t>Месец 6</w:t>
            </w:r>
          </w:p>
        </w:tc>
        <w:tc>
          <w:tcPr>
            <w:tcW w:w="3192" w:type="dxa"/>
          </w:tcPr>
          <w:p w14:paraId="1E0746B7" w14:textId="2938E166" w:rsidR="002F56CD" w:rsidRPr="002F56CD" w:rsidRDefault="002F56CD" w:rsidP="002F56CD">
            <w:pPr>
              <w:rPr>
                <w:rFonts w:cs="Arial"/>
              </w:rPr>
            </w:pPr>
            <w:r w:rsidRPr="002F56CD">
              <w:rPr>
                <w:rFonts w:cs="Arial"/>
                <w:szCs w:val="20"/>
              </w:rPr>
              <w:t xml:space="preserve">157 ± 61 </w:t>
            </w:r>
            <w:r w:rsidRPr="002F56CD">
              <w:rPr>
                <w:rFonts w:cs="Arial"/>
                <w:szCs w:val="20"/>
                <w:lang w:val="en-US"/>
              </w:rPr>
              <w:t>n</w:t>
            </w:r>
            <w:r w:rsidRPr="002F56CD">
              <w:rPr>
                <w:rFonts w:cs="Arial"/>
                <w:szCs w:val="20"/>
              </w:rPr>
              <w:t>=73</w:t>
            </w:r>
          </w:p>
        </w:tc>
        <w:tc>
          <w:tcPr>
            <w:tcW w:w="3192" w:type="dxa"/>
          </w:tcPr>
          <w:p w14:paraId="1830930E" w14:textId="062BD82E" w:rsidR="002F56CD" w:rsidRPr="002F56CD" w:rsidRDefault="002F56CD" w:rsidP="002F56CD">
            <w:pPr>
              <w:rPr>
                <w:rFonts w:cs="Arial"/>
              </w:rPr>
            </w:pPr>
            <w:r w:rsidRPr="002F56CD">
              <w:rPr>
                <w:rFonts w:cs="Arial"/>
                <w:szCs w:val="20"/>
                <w:lang w:val="en-US"/>
              </w:rPr>
              <w:t>219 ± 83 n=67</w:t>
            </w:r>
          </w:p>
        </w:tc>
      </w:tr>
      <w:tr w:rsidR="002F56CD" w14:paraId="573F1275" w14:textId="77777777" w:rsidTr="002F56CD">
        <w:tc>
          <w:tcPr>
            <w:tcW w:w="3192" w:type="dxa"/>
          </w:tcPr>
          <w:p w14:paraId="2A4103CE" w14:textId="5B11132F" w:rsidR="002F56CD" w:rsidRPr="002F56CD" w:rsidRDefault="002F56CD" w:rsidP="002F56CD">
            <w:pPr>
              <w:rPr>
                <w:rFonts w:cs="Arial"/>
              </w:rPr>
            </w:pPr>
            <w:r w:rsidRPr="002F56CD">
              <w:rPr>
                <w:rFonts w:cs="Arial"/>
                <w:b/>
                <w:bCs/>
                <w:szCs w:val="20"/>
              </w:rPr>
              <w:t>Месец 9</w:t>
            </w:r>
          </w:p>
        </w:tc>
        <w:tc>
          <w:tcPr>
            <w:tcW w:w="3192" w:type="dxa"/>
          </w:tcPr>
          <w:p w14:paraId="1B3BB72D" w14:textId="7280F30B" w:rsidR="002F56CD" w:rsidRPr="002F56CD" w:rsidRDefault="002F56CD" w:rsidP="002F56CD">
            <w:pPr>
              <w:rPr>
                <w:rFonts w:eastAsia="Times New Roman" w:cs="Arial"/>
                <w:szCs w:val="24"/>
              </w:rPr>
            </w:pPr>
            <w:r w:rsidRPr="002F56CD">
              <w:rPr>
                <w:rFonts w:cs="Arial"/>
                <w:szCs w:val="20"/>
              </w:rPr>
              <w:t>133 ±67</w:t>
            </w:r>
            <w:r w:rsidRPr="002F56CD">
              <w:rPr>
                <w:rFonts w:cs="Arial"/>
                <w:szCs w:val="20"/>
                <w:lang w:val="en-US"/>
              </w:rPr>
              <w:t xml:space="preserve"> </w:t>
            </w:r>
            <w:r w:rsidRPr="002F56CD">
              <w:rPr>
                <w:rFonts w:eastAsia="Times New Roman" w:cs="Arial"/>
                <w:color w:val="000000"/>
                <w:szCs w:val="20"/>
                <w:lang w:eastAsia="bg-BG"/>
              </w:rPr>
              <w:t>n=72</w:t>
            </w:r>
          </w:p>
        </w:tc>
        <w:tc>
          <w:tcPr>
            <w:tcW w:w="3192" w:type="dxa"/>
          </w:tcPr>
          <w:p w14:paraId="5CEEFBCF" w14:textId="25A3BBAE" w:rsidR="002F56CD" w:rsidRPr="002F56CD" w:rsidRDefault="002F56CD" w:rsidP="002F56CD">
            <w:pPr>
              <w:rPr>
                <w:rFonts w:eastAsia="Times New Roman" w:cs="Arial"/>
                <w:szCs w:val="24"/>
              </w:rPr>
            </w:pPr>
            <w:r w:rsidRPr="002F56CD">
              <w:rPr>
                <w:rFonts w:cs="Arial"/>
                <w:szCs w:val="20"/>
                <w:lang w:val="en-US"/>
              </w:rPr>
              <w:t xml:space="preserve">187±58 </w:t>
            </w:r>
            <w:r w:rsidRPr="002F56CD">
              <w:rPr>
                <w:rFonts w:eastAsia="Times New Roman" w:cs="Arial"/>
                <w:color w:val="000000"/>
                <w:szCs w:val="20"/>
                <w:lang w:eastAsia="bg-BG"/>
              </w:rPr>
              <w:t>n=64</w:t>
            </w:r>
          </w:p>
        </w:tc>
      </w:tr>
      <w:tr w:rsidR="002F56CD" w14:paraId="76C66DB4" w14:textId="77777777" w:rsidTr="002F56CD">
        <w:tc>
          <w:tcPr>
            <w:tcW w:w="3192" w:type="dxa"/>
          </w:tcPr>
          <w:p w14:paraId="29B3FFAD" w14:textId="45589358" w:rsidR="002F56CD" w:rsidRPr="002F56CD" w:rsidRDefault="002F56CD" w:rsidP="002F56CD">
            <w:pPr>
              <w:rPr>
                <w:rFonts w:cs="Arial"/>
              </w:rPr>
            </w:pPr>
            <w:r w:rsidRPr="002F56CD">
              <w:rPr>
                <w:rFonts w:cs="Arial"/>
                <w:b/>
                <w:bCs/>
                <w:szCs w:val="20"/>
              </w:rPr>
              <w:t>Месец 12</w:t>
            </w:r>
          </w:p>
        </w:tc>
        <w:tc>
          <w:tcPr>
            <w:tcW w:w="3192" w:type="dxa"/>
          </w:tcPr>
          <w:p w14:paraId="79645C45" w14:textId="72197E4B" w:rsidR="002F56CD" w:rsidRPr="002F56CD" w:rsidRDefault="002F56CD" w:rsidP="002F56CD">
            <w:pPr>
              <w:rPr>
                <w:rFonts w:cs="Arial"/>
              </w:rPr>
            </w:pPr>
            <w:r w:rsidRPr="002F56CD">
              <w:rPr>
                <w:rFonts w:cs="Arial"/>
                <w:szCs w:val="20"/>
              </w:rPr>
              <w:t xml:space="preserve">110 ± 50 </w:t>
            </w:r>
            <w:r w:rsidRPr="002F56CD">
              <w:rPr>
                <w:rFonts w:cs="Arial"/>
                <w:szCs w:val="20"/>
                <w:lang w:val="en-US"/>
              </w:rPr>
              <w:t>n</w:t>
            </w:r>
            <w:r w:rsidRPr="002F56CD">
              <w:rPr>
                <w:rFonts w:cs="Arial"/>
                <w:szCs w:val="20"/>
              </w:rPr>
              <w:t>=68</w:t>
            </w:r>
          </w:p>
        </w:tc>
        <w:tc>
          <w:tcPr>
            <w:tcW w:w="3192" w:type="dxa"/>
          </w:tcPr>
          <w:p w14:paraId="1A34CDC3" w14:textId="570EEF97" w:rsidR="002F56CD" w:rsidRPr="002F56CD" w:rsidRDefault="002F56CD" w:rsidP="002F56CD">
            <w:pPr>
              <w:rPr>
                <w:rFonts w:cs="Arial"/>
              </w:rPr>
            </w:pPr>
            <w:r w:rsidRPr="002F56CD">
              <w:rPr>
                <w:rFonts w:cs="Arial"/>
                <w:szCs w:val="20"/>
              </w:rPr>
              <w:t xml:space="preserve">180 ±55 </w:t>
            </w:r>
            <w:r w:rsidRPr="002F56CD">
              <w:rPr>
                <w:rFonts w:cs="Arial"/>
                <w:szCs w:val="20"/>
                <w:lang w:val="en-US"/>
              </w:rPr>
              <w:t>n</w:t>
            </w:r>
            <w:r w:rsidRPr="002F56CD">
              <w:rPr>
                <w:rFonts w:cs="Arial"/>
                <w:szCs w:val="20"/>
              </w:rPr>
              <w:t>=64</w:t>
            </w:r>
          </w:p>
        </w:tc>
      </w:tr>
    </w:tbl>
    <w:p w14:paraId="52CB66A6"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 концентрация в цяла кръв </w:t>
      </w:r>
      <w:r w:rsidRPr="002F56CD">
        <w:rPr>
          <w:rFonts w:eastAsia="Times New Roman" w:cs="Arial"/>
          <w:color w:val="000000"/>
          <w:szCs w:val="20"/>
          <w:lang w:val="ru-RU"/>
        </w:rPr>
        <w:t>(</w:t>
      </w:r>
      <w:r w:rsidRPr="002F56CD">
        <w:rPr>
          <w:rFonts w:eastAsia="Times New Roman" w:cs="Arial"/>
          <w:color w:val="000000"/>
          <w:szCs w:val="20"/>
          <w:lang w:val="en-US"/>
        </w:rPr>
        <w:t>Co</w:t>
      </w:r>
      <w:r w:rsidRPr="002F56CD">
        <w:rPr>
          <w:rFonts w:eastAsia="Times New Roman" w:cs="Arial"/>
          <w:color w:val="000000"/>
          <w:szCs w:val="20"/>
          <w:lang w:val="ru-RU"/>
        </w:rPr>
        <w:t>)</w:t>
      </w:r>
    </w:p>
    <w:p w14:paraId="6C62F961" w14:textId="77777777" w:rsidR="002F56CD" w:rsidRPr="002F56CD" w:rsidRDefault="002F56CD" w:rsidP="002F56CD">
      <w:pPr>
        <w:spacing w:line="240" w:lineRule="auto"/>
        <w:rPr>
          <w:rFonts w:eastAsia="Times New Roman" w:cs="Arial"/>
          <w:color w:val="000000"/>
          <w:szCs w:val="20"/>
          <w:lang w:eastAsia="bg-BG"/>
        </w:rPr>
      </w:pPr>
    </w:p>
    <w:p w14:paraId="602DD40E" w14:textId="3E415B93"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Промените в бъбречната функция са представени в таблица 13. Ефикасноста е представена в таблица 14.</w:t>
      </w:r>
    </w:p>
    <w:p w14:paraId="3A53DC90" w14:textId="77777777" w:rsidR="002F56CD" w:rsidRPr="002F56CD" w:rsidRDefault="002F56CD" w:rsidP="002F56CD">
      <w:pPr>
        <w:spacing w:line="240" w:lineRule="auto"/>
        <w:rPr>
          <w:rFonts w:eastAsia="Times New Roman" w:cs="Arial"/>
          <w:b/>
          <w:bCs/>
          <w:color w:val="000000"/>
          <w:szCs w:val="20"/>
          <w:lang w:val="en-US"/>
        </w:rPr>
      </w:pPr>
    </w:p>
    <w:p w14:paraId="592D108D" w14:textId="30E0C78B"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val="en-US"/>
        </w:rPr>
        <w:t>Table</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13 Проучване А2411: Промени в креатнниновня клирънс по време на изпитването (двойки пациенти с еднакви стойности)</w:t>
      </w:r>
    </w:p>
    <w:tbl>
      <w:tblPr>
        <w:tblStyle w:val="TableGrid"/>
        <w:tblW w:w="0" w:type="auto"/>
        <w:tblLook w:val="04A0" w:firstRow="1" w:lastRow="0" w:firstColumn="1" w:lastColumn="0" w:noHBand="0" w:noVBand="1"/>
      </w:tblPr>
      <w:tblGrid>
        <w:gridCol w:w="1851"/>
        <w:gridCol w:w="1867"/>
        <w:gridCol w:w="1864"/>
        <w:gridCol w:w="1891"/>
        <w:gridCol w:w="1877"/>
      </w:tblGrid>
      <w:tr w:rsidR="002F56CD" w14:paraId="7BC1FC6A" w14:textId="77777777" w:rsidTr="00723B1E">
        <w:tc>
          <w:tcPr>
            <w:tcW w:w="1915" w:type="dxa"/>
          </w:tcPr>
          <w:p w14:paraId="2E0C9851" w14:textId="77777777" w:rsidR="002F56CD" w:rsidRDefault="002F56CD" w:rsidP="002F56CD">
            <w:pPr>
              <w:rPr>
                <w:rFonts w:cs="Arial"/>
                <w:sz w:val="24"/>
              </w:rPr>
            </w:pPr>
          </w:p>
        </w:tc>
        <w:tc>
          <w:tcPr>
            <w:tcW w:w="1915" w:type="dxa"/>
          </w:tcPr>
          <w:p w14:paraId="343C2648" w14:textId="77777777" w:rsidR="002F56CD" w:rsidRDefault="002F56CD" w:rsidP="002F56CD">
            <w:pPr>
              <w:rPr>
                <w:rFonts w:cs="Arial"/>
                <w:sz w:val="24"/>
              </w:rPr>
            </w:pPr>
          </w:p>
        </w:tc>
        <w:tc>
          <w:tcPr>
            <w:tcW w:w="5746" w:type="dxa"/>
            <w:gridSpan w:val="3"/>
          </w:tcPr>
          <w:p w14:paraId="6864BD60" w14:textId="5E841C34" w:rsidR="002F56CD" w:rsidRPr="002F56CD" w:rsidRDefault="002F56CD" w:rsidP="002F56CD">
            <w:pPr>
              <w:spacing w:line="240" w:lineRule="auto"/>
              <w:rPr>
                <w:rFonts w:eastAsia="Times New Roman" w:cs="Arial"/>
                <w:szCs w:val="24"/>
              </w:rPr>
            </w:pPr>
            <w:r w:rsidRPr="002F56CD">
              <w:rPr>
                <w:rFonts w:eastAsia="Times New Roman" w:cs="Arial"/>
                <w:b/>
                <w:bCs/>
                <w:color w:val="000000"/>
                <w:szCs w:val="20"/>
                <w:lang w:eastAsia="bg-BG"/>
              </w:rPr>
              <w:t xml:space="preserve">Изчислен креатинннов клирънс </w:t>
            </w:r>
            <w:r w:rsidRPr="002F56CD">
              <w:rPr>
                <w:rFonts w:eastAsia="Times New Roman" w:cs="Arial"/>
                <w:b/>
                <w:bCs/>
                <w:color w:val="000000"/>
                <w:szCs w:val="20"/>
              </w:rPr>
              <w:t>(</w:t>
            </w:r>
            <w:r w:rsidRPr="002F56CD">
              <w:rPr>
                <w:rFonts w:eastAsia="Times New Roman" w:cs="Arial"/>
                <w:b/>
                <w:bCs/>
                <w:color w:val="000000"/>
                <w:szCs w:val="20"/>
                <w:lang w:val="en-US"/>
              </w:rPr>
              <w:t>Cockcroft</w:t>
            </w:r>
            <w:r w:rsidRPr="002F56CD">
              <w:rPr>
                <w:rFonts w:eastAsia="Times New Roman" w:cs="Arial"/>
                <w:b/>
                <w:bCs/>
                <w:color w:val="000000"/>
                <w:szCs w:val="20"/>
              </w:rPr>
              <w:t>-</w:t>
            </w:r>
            <w:r w:rsidRPr="002F56CD">
              <w:rPr>
                <w:rFonts w:eastAsia="Times New Roman" w:cs="Arial"/>
                <w:b/>
                <w:bCs/>
                <w:color w:val="000000"/>
                <w:szCs w:val="20"/>
                <w:lang w:val="en-US"/>
              </w:rPr>
              <w:t>Gault</w:t>
            </w:r>
            <w:r w:rsidRPr="002F56CD">
              <w:rPr>
                <w:rFonts w:eastAsia="Times New Roman" w:cs="Arial"/>
                <w:b/>
                <w:bCs/>
                <w:color w:val="000000"/>
                <w:szCs w:val="20"/>
              </w:rPr>
              <w:t xml:space="preserve">)* </w:t>
            </w:r>
            <w:r w:rsidRPr="002F56CD">
              <w:rPr>
                <w:rFonts w:eastAsia="Times New Roman" w:cs="Arial"/>
                <w:b/>
                <w:bCs/>
                <w:color w:val="000000"/>
                <w:szCs w:val="20"/>
                <w:lang w:val="en-US"/>
              </w:rPr>
              <w:t>ml</w:t>
            </w:r>
            <w:r w:rsidRPr="002F56CD">
              <w:rPr>
                <w:rFonts w:eastAsia="Times New Roman" w:cs="Arial"/>
                <w:b/>
                <w:bCs/>
                <w:color w:val="000000"/>
                <w:szCs w:val="20"/>
              </w:rPr>
              <w:t>/</w:t>
            </w:r>
            <w:r w:rsidRPr="002F56CD">
              <w:rPr>
                <w:rFonts w:eastAsia="Times New Roman" w:cs="Arial"/>
                <w:b/>
                <w:bCs/>
                <w:color w:val="000000"/>
                <w:szCs w:val="20"/>
                <w:lang w:val="en-US"/>
              </w:rPr>
              <w:t>mn</w:t>
            </w:r>
          </w:p>
        </w:tc>
      </w:tr>
      <w:tr w:rsidR="002F56CD" w14:paraId="2CAA6D4A" w14:textId="77777777" w:rsidTr="002F56CD">
        <w:tc>
          <w:tcPr>
            <w:tcW w:w="1915" w:type="dxa"/>
          </w:tcPr>
          <w:p w14:paraId="5BFD67F7" w14:textId="77777777" w:rsidR="002F56CD" w:rsidRDefault="002F56CD" w:rsidP="002F56CD">
            <w:pPr>
              <w:rPr>
                <w:rFonts w:cs="Arial"/>
                <w:sz w:val="24"/>
              </w:rPr>
            </w:pPr>
          </w:p>
        </w:tc>
        <w:tc>
          <w:tcPr>
            <w:tcW w:w="1915" w:type="dxa"/>
          </w:tcPr>
          <w:p w14:paraId="238A5981" w14:textId="77777777" w:rsidR="002F56CD" w:rsidRDefault="002F56CD" w:rsidP="002F56CD">
            <w:pPr>
              <w:rPr>
                <w:rFonts w:cs="Arial"/>
                <w:sz w:val="24"/>
              </w:rPr>
            </w:pPr>
          </w:p>
        </w:tc>
        <w:tc>
          <w:tcPr>
            <w:tcW w:w="1915" w:type="dxa"/>
          </w:tcPr>
          <w:p w14:paraId="0D987D7D" w14:textId="4C795840" w:rsidR="002F56CD" w:rsidRDefault="002F56CD" w:rsidP="002F56CD">
            <w:pPr>
              <w:rPr>
                <w:rFonts w:cs="Arial"/>
                <w:sz w:val="24"/>
              </w:rPr>
            </w:pPr>
            <w:r>
              <w:rPr>
                <w:b/>
                <w:bCs/>
                <w:sz w:val="20"/>
                <w:szCs w:val="20"/>
              </w:rPr>
              <w:t xml:space="preserve">Средни изходни нива </w:t>
            </w:r>
            <w:r>
              <w:rPr>
                <w:b/>
                <w:bCs/>
                <w:sz w:val="20"/>
                <w:szCs w:val="20"/>
                <w:lang w:val="en-US"/>
              </w:rPr>
              <w:t>(±SD)</w:t>
            </w:r>
          </w:p>
        </w:tc>
        <w:tc>
          <w:tcPr>
            <w:tcW w:w="1915" w:type="dxa"/>
          </w:tcPr>
          <w:p w14:paraId="2E12CCCC" w14:textId="663B7D05" w:rsidR="002F56CD" w:rsidRDefault="002F56CD" w:rsidP="002F56CD">
            <w:pPr>
              <w:rPr>
                <w:rFonts w:cs="Arial"/>
                <w:sz w:val="24"/>
              </w:rPr>
            </w:pPr>
            <w:r>
              <w:rPr>
                <w:b/>
                <w:bCs/>
                <w:sz w:val="20"/>
                <w:szCs w:val="20"/>
              </w:rPr>
              <w:t xml:space="preserve">Средни стойност по време на измерването (± </w:t>
            </w:r>
            <w:r>
              <w:rPr>
                <w:b/>
                <w:bCs/>
                <w:sz w:val="20"/>
                <w:szCs w:val="20"/>
                <w:lang w:val="en-US"/>
              </w:rPr>
              <w:t>SD</w:t>
            </w:r>
            <w:r w:rsidRPr="002F56CD">
              <w:rPr>
                <w:b/>
                <w:bCs/>
                <w:sz w:val="20"/>
                <w:szCs w:val="20"/>
                <w:lang w:val="ru-RU"/>
              </w:rPr>
              <w:t>)</w:t>
            </w:r>
          </w:p>
        </w:tc>
        <w:tc>
          <w:tcPr>
            <w:tcW w:w="1916" w:type="dxa"/>
          </w:tcPr>
          <w:p w14:paraId="22478447" w14:textId="133806A1" w:rsidR="002F56CD" w:rsidRDefault="002F56CD" w:rsidP="002F56CD">
            <w:pPr>
              <w:rPr>
                <w:rFonts w:cs="Arial"/>
                <w:sz w:val="24"/>
              </w:rPr>
            </w:pPr>
            <w:r>
              <w:rPr>
                <w:b/>
                <w:bCs/>
                <w:sz w:val="20"/>
                <w:szCs w:val="20"/>
              </w:rPr>
              <w:t xml:space="preserve">Средни стойности на разликите между групите (95% </w:t>
            </w:r>
            <w:r>
              <w:rPr>
                <w:b/>
                <w:bCs/>
                <w:sz w:val="20"/>
                <w:szCs w:val="20"/>
                <w:lang w:val="en-US"/>
              </w:rPr>
              <w:t>CI</w:t>
            </w:r>
            <w:r w:rsidRPr="002F56CD">
              <w:rPr>
                <w:b/>
                <w:bCs/>
                <w:sz w:val="20"/>
                <w:szCs w:val="20"/>
                <w:lang w:val="ru-RU"/>
              </w:rPr>
              <w:t>)</w:t>
            </w:r>
          </w:p>
        </w:tc>
      </w:tr>
      <w:tr w:rsidR="002F56CD" w14:paraId="4342381C" w14:textId="77777777" w:rsidTr="002F56CD">
        <w:tc>
          <w:tcPr>
            <w:tcW w:w="1915" w:type="dxa"/>
          </w:tcPr>
          <w:p w14:paraId="212F6D07" w14:textId="676311D9" w:rsidR="002F56CD" w:rsidRDefault="002F56CD" w:rsidP="002F56CD">
            <w:pPr>
              <w:rPr>
                <w:rFonts w:cs="Arial"/>
                <w:sz w:val="24"/>
              </w:rPr>
            </w:pPr>
            <w:r>
              <w:rPr>
                <w:sz w:val="20"/>
                <w:szCs w:val="20"/>
              </w:rPr>
              <w:t>Месец 1</w:t>
            </w:r>
          </w:p>
        </w:tc>
        <w:tc>
          <w:tcPr>
            <w:tcW w:w="1915" w:type="dxa"/>
          </w:tcPr>
          <w:p w14:paraId="33766169" w14:textId="5EB096FC" w:rsidR="002F56CD" w:rsidRDefault="002F56CD" w:rsidP="002F56CD">
            <w:pPr>
              <w:rPr>
                <w:rFonts w:cs="Arial"/>
                <w:sz w:val="24"/>
              </w:rPr>
            </w:pPr>
            <w:r>
              <w:rPr>
                <w:sz w:val="20"/>
                <w:szCs w:val="20"/>
              </w:rPr>
              <w:t>Сертикан (</w:t>
            </w:r>
            <w:r>
              <w:rPr>
                <w:sz w:val="20"/>
                <w:szCs w:val="20"/>
                <w:lang w:val="en-US"/>
              </w:rPr>
              <w:t>n</w:t>
            </w:r>
            <w:r>
              <w:rPr>
                <w:sz w:val="20"/>
                <w:szCs w:val="20"/>
              </w:rPr>
              <w:t xml:space="preserve">=87) </w:t>
            </w:r>
            <w:r>
              <w:rPr>
                <w:sz w:val="20"/>
                <w:szCs w:val="20"/>
                <w:lang w:val="en-US"/>
              </w:rPr>
              <w:t xml:space="preserve">MMF </w:t>
            </w:r>
            <w:r>
              <w:rPr>
                <w:sz w:val="20"/>
                <w:szCs w:val="20"/>
              </w:rPr>
              <w:t>(</w:t>
            </w:r>
            <w:r>
              <w:rPr>
                <w:sz w:val="20"/>
                <w:szCs w:val="20"/>
                <w:lang w:val="en-US"/>
              </w:rPr>
              <w:t>n</w:t>
            </w:r>
            <w:r>
              <w:rPr>
                <w:sz w:val="20"/>
                <w:szCs w:val="20"/>
              </w:rPr>
              <w:t>=78)</w:t>
            </w:r>
          </w:p>
        </w:tc>
        <w:tc>
          <w:tcPr>
            <w:tcW w:w="1915" w:type="dxa"/>
          </w:tcPr>
          <w:p w14:paraId="379D23A1" w14:textId="77777777" w:rsidR="002F56CD" w:rsidRDefault="002F56CD" w:rsidP="002F56CD">
            <w:r>
              <w:rPr>
                <w:sz w:val="20"/>
                <w:szCs w:val="20"/>
              </w:rPr>
              <w:t>73.8 (±27.8)</w:t>
            </w:r>
          </w:p>
          <w:p w14:paraId="5F83D801" w14:textId="226CA86A" w:rsidR="002F56CD" w:rsidRDefault="002F56CD" w:rsidP="002F56CD">
            <w:pPr>
              <w:rPr>
                <w:rFonts w:cs="Arial"/>
                <w:sz w:val="24"/>
              </w:rPr>
            </w:pPr>
            <w:r>
              <w:rPr>
                <w:sz w:val="20"/>
                <w:szCs w:val="20"/>
              </w:rPr>
              <w:t>77.4 (± 32.6)</w:t>
            </w:r>
          </w:p>
        </w:tc>
        <w:tc>
          <w:tcPr>
            <w:tcW w:w="1915" w:type="dxa"/>
          </w:tcPr>
          <w:p w14:paraId="3D85A494" w14:textId="77777777" w:rsidR="002F56CD" w:rsidRDefault="002F56CD" w:rsidP="002F56CD">
            <w:r>
              <w:rPr>
                <w:sz w:val="20"/>
                <w:szCs w:val="20"/>
              </w:rPr>
              <w:t>68.5 (±31.5)</w:t>
            </w:r>
          </w:p>
          <w:p w14:paraId="6002768D" w14:textId="4B0792D6" w:rsidR="002F56CD" w:rsidRDefault="002F56CD" w:rsidP="002F56CD">
            <w:pPr>
              <w:rPr>
                <w:rFonts w:cs="Arial"/>
                <w:sz w:val="24"/>
              </w:rPr>
            </w:pPr>
            <w:r>
              <w:rPr>
                <w:sz w:val="20"/>
                <w:szCs w:val="20"/>
              </w:rPr>
              <w:t>79.4 (± 36.0)</w:t>
            </w:r>
          </w:p>
        </w:tc>
        <w:tc>
          <w:tcPr>
            <w:tcW w:w="1916" w:type="dxa"/>
          </w:tcPr>
          <w:p w14:paraId="598AF768" w14:textId="7C990A1C" w:rsidR="002F56CD" w:rsidRDefault="002F56CD" w:rsidP="002F56CD">
            <w:pPr>
              <w:rPr>
                <w:rFonts w:cs="Arial"/>
                <w:sz w:val="24"/>
              </w:rPr>
            </w:pPr>
            <w:r>
              <w:rPr>
                <w:sz w:val="20"/>
                <w:szCs w:val="20"/>
              </w:rPr>
              <w:t>-7.3 (-18.1,3.4)</w:t>
            </w:r>
          </w:p>
        </w:tc>
      </w:tr>
      <w:tr w:rsidR="002F56CD" w14:paraId="631C7D93" w14:textId="77777777" w:rsidTr="002F56CD">
        <w:tc>
          <w:tcPr>
            <w:tcW w:w="1915" w:type="dxa"/>
          </w:tcPr>
          <w:p w14:paraId="5E6F5027" w14:textId="1625C35E" w:rsidR="002F56CD" w:rsidRDefault="002F56CD" w:rsidP="002F56CD">
            <w:pPr>
              <w:rPr>
                <w:rFonts w:cs="Arial"/>
                <w:sz w:val="24"/>
              </w:rPr>
            </w:pPr>
            <w:r>
              <w:rPr>
                <w:sz w:val="20"/>
                <w:szCs w:val="20"/>
              </w:rPr>
              <w:t>Месец 6</w:t>
            </w:r>
          </w:p>
        </w:tc>
        <w:tc>
          <w:tcPr>
            <w:tcW w:w="1915" w:type="dxa"/>
          </w:tcPr>
          <w:p w14:paraId="6F62DB08" w14:textId="41C4B5E7" w:rsidR="002F56CD" w:rsidRDefault="002F56CD" w:rsidP="002F56CD">
            <w:pPr>
              <w:rPr>
                <w:rFonts w:cs="Arial"/>
                <w:sz w:val="24"/>
              </w:rPr>
            </w:pPr>
            <w:r>
              <w:rPr>
                <w:sz w:val="20"/>
                <w:szCs w:val="20"/>
              </w:rPr>
              <w:t>Сертикан (</w:t>
            </w:r>
            <w:r>
              <w:rPr>
                <w:sz w:val="20"/>
                <w:szCs w:val="20"/>
                <w:lang w:val="en-US"/>
              </w:rPr>
              <w:t>n</w:t>
            </w:r>
            <w:r>
              <w:rPr>
                <w:sz w:val="20"/>
                <w:szCs w:val="20"/>
              </w:rPr>
              <w:t xml:space="preserve">=83) </w:t>
            </w:r>
            <w:r>
              <w:rPr>
                <w:sz w:val="20"/>
                <w:szCs w:val="20"/>
                <w:lang w:val="en-US"/>
              </w:rPr>
              <w:t xml:space="preserve">MMF </w:t>
            </w:r>
            <w:r>
              <w:rPr>
                <w:sz w:val="20"/>
                <w:szCs w:val="20"/>
              </w:rPr>
              <w:t>(</w:t>
            </w:r>
            <w:r>
              <w:rPr>
                <w:sz w:val="20"/>
                <w:szCs w:val="20"/>
                <w:lang w:val="en-US"/>
              </w:rPr>
              <w:t>n</w:t>
            </w:r>
            <w:r>
              <w:rPr>
                <w:sz w:val="20"/>
                <w:szCs w:val="20"/>
              </w:rPr>
              <w:t>=72)</w:t>
            </w:r>
          </w:p>
        </w:tc>
        <w:tc>
          <w:tcPr>
            <w:tcW w:w="1915" w:type="dxa"/>
          </w:tcPr>
          <w:p w14:paraId="32834712" w14:textId="77777777" w:rsidR="002F56CD" w:rsidRDefault="002F56CD" w:rsidP="002F56CD">
            <w:r>
              <w:rPr>
                <w:sz w:val="20"/>
                <w:szCs w:val="20"/>
              </w:rPr>
              <w:t>74.4 (± 28.2)</w:t>
            </w:r>
          </w:p>
          <w:p w14:paraId="3E79AD34" w14:textId="714A4372" w:rsidR="002F56CD" w:rsidRDefault="002F56CD" w:rsidP="002F56CD">
            <w:pPr>
              <w:rPr>
                <w:rFonts w:cs="Arial"/>
                <w:sz w:val="24"/>
              </w:rPr>
            </w:pPr>
            <w:r>
              <w:rPr>
                <w:sz w:val="20"/>
                <w:szCs w:val="20"/>
              </w:rPr>
              <w:t>76.0 (±31.8)</w:t>
            </w:r>
          </w:p>
        </w:tc>
        <w:tc>
          <w:tcPr>
            <w:tcW w:w="1915" w:type="dxa"/>
          </w:tcPr>
          <w:p w14:paraId="490A5850" w14:textId="77777777" w:rsidR="002F56CD" w:rsidRDefault="002F56CD" w:rsidP="002F56CD">
            <w:r>
              <w:rPr>
                <w:sz w:val="20"/>
                <w:szCs w:val="20"/>
              </w:rPr>
              <w:t>65.4 (±24.7)</w:t>
            </w:r>
          </w:p>
          <w:p w14:paraId="5CF681ED" w14:textId="2CEABE1E" w:rsidR="002F56CD" w:rsidRDefault="002F56CD" w:rsidP="002F56CD">
            <w:pPr>
              <w:rPr>
                <w:rFonts w:cs="Arial"/>
                <w:sz w:val="24"/>
              </w:rPr>
            </w:pPr>
            <w:r>
              <w:rPr>
                <w:sz w:val="20"/>
                <w:szCs w:val="20"/>
              </w:rPr>
              <w:t>72.4 (± 26.4)</w:t>
            </w:r>
          </w:p>
        </w:tc>
        <w:tc>
          <w:tcPr>
            <w:tcW w:w="1916" w:type="dxa"/>
          </w:tcPr>
          <w:p w14:paraId="77E3395C" w14:textId="448C628F" w:rsidR="002F56CD" w:rsidRDefault="002F56CD" w:rsidP="002F56CD">
            <w:pPr>
              <w:rPr>
                <w:rFonts w:cs="Arial"/>
                <w:sz w:val="24"/>
              </w:rPr>
            </w:pPr>
            <w:r>
              <w:rPr>
                <w:sz w:val="20"/>
                <w:szCs w:val="20"/>
              </w:rPr>
              <w:t>-5.0 (-13.6,2.9)</w:t>
            </w:r>
          </w:p>
        </w:tc>
      </w:tr>
      <w:tr w:rsidR="002F56CD" w14:paraId="56E1269D" w14:textId="77777777" w:rsidTr="002F56CD">
        <w:tc>
          <w:tcPr>
            <w:tcW w:w="1915" w:type="dxa"/>
            <w:vMerge w:val="restart"/>
          </w:tcPr>
          <w:p w14:paraId="570A53AE" w14:textId="58ADE3BC" w:rsidR="002F56CD" w:rsidRDefault="002F56CD" w:rsidP="002F56CD">
            <w:pPr>
              <w:rPr>
                <w:rFonts w:cs="Arial"/>
                <w:sz w:val="24"/>
              </w:rPr>
            </w:pPr>
            <w:r>
              <w:rPr>
                <w:sz w:val="20"/>
                <w:szCs w:val="20"/>
              </w:rPr>
              <w:t>Месец 12</w:t>
            </w:r>
          </w:p>
        </w:tc>
        <w:tc>
          <w:tcPr>
            <w:tcW w:w="1915" w:type="dxa"/>
          </w:tcPr>
          <w:p w14:paraId="42392DE7" w14:textId="220690B2" w:rsidR="002F56CD" w:rsidRDefault="002F56CD" w:rsidP="002F56CD">
            <w:pPr>
              <w:rPr>
                <w:rFonts w:cs="Arial"/>
                <w:sz w:val="24"/>
              </w:rPr>
            </w:pPr>
            <w:r>
              <w:rPr>
                <w:sz w:val="20"/>
                <w:szCs w:val="20"/>
              </w:rPr>
              <w:t>Сертикан (</w:t>
            </w:r>
            <w:r>
              <w:rPr>
                <w:sz w:val="20"/>
                <w:szCs w:val="20"/>
                <w:lang w:val="en-US"/>
              </w:rPr>
              <w:t>n</w:t>
            </w:r>
            <w:r>
              <w:rPr>
                <w:sz w:val="20"/>
                <w:szCs w:val="20"/>
              </w:rPr>
              <w:t>=71)</w:t>
            </w:r>
          </w:p>
        </w:tc>
        <w:tc>
          <w:tcPr>
            <w:tcW w:w="1915" w:type="dxa"/>
          </w:tcPr>
          <w:p w14:paraId="26A2BBC7" w14:textId="70E9B7A1" w:rsidR="002F56CD" w:rsidRDefault="002F56CD" w:rsidP="002F56CD">
            <w:pPr>
              <w:rPr>
                <w:rFonts w:cs="Arial"/>
                <w:sz w:val="24"/>
              </w:rPr>
            </w:pPr>
            <w:r>
              <w:rPr>
                <w:sz w:val="20"/>
                <w:szCs w:val="20"/>
              </w:rPr>
              <w:t>74.8 (±28.3)</w:t>
            </w:r>
          </w:p>
        </w:tc>
        <w:tc>
          <w:tcPr>
            <w:tcW w:w="1915" w:type="dxa"/>
          </w:tcPr>
          <w:p w14:paraId="4C0A985C" w14:textId="513699D1" w:rsidR="002F56CD" w:rsidRDefault="002F56CD" w:rsidP="002F56CD">
            <w:pPr>
              <w:rPr>
                <w:rFonts w:cs="Arial"/>
                <w:sz w:val="24"/>
              </w:rPr>
            </w:pPr>
            <w:r>
              <w:rPr>
                <w:sz w:val="20"/>
                <w:szCs w:val="20"/>
              </w:rPr>
              <w:t>68.7 (±27.7)</w:t>
            </w:r>
          </w:p>
        </w:tc>
        <w:tc>
          <w:tcPr>
            <w:tcW w:w="1916" w:type="dxa"/>
          </w:tcPr>
          <w:p w14:paraId="4D83DDCF" w14:textId="36B7CA5B" w:rsidR="002F56CD" w:rsidRDefault="002F56CD" w:rsidP="002F56CD">
            <w:pPr>
              <w:rPr>
                <w:rFonts w:cs="Arial"/>
                <w:sz w:val="24"/>
              </w:rPr>
            </w:pPr>
            <w:r>
              <w:rPr>
                <w:sz w:val="20"/>
                <w:szCs w:val="20"/>
              </w:rPr>
              <w:t>-1.8</w:t>
            </w:r>
          </w:p>
        </w:tc>
      </w:tr>
      <w:tr w:rsidR="002F56CD" w14:paraId="3AFFCE4A" w14:textId="77777777" w:rsidTr="002F56CD">
        <w:tc>
          <w:tcPr>
            <w:tcW w:w="1915" w:type="dxa"/>
            <w:vMerge/>
          </w:tcPr>
          <w:p w14:paraId="16933BC4" w14:textId="77777777" w:rsidR="002F56CD" w:rsidRDefault="002F56CD" w:rsidP="002F56CD">
            <w:pPr>
              <w:rPr>
                <w:rFonts w:cs="Arial"/>
                <w:sz w:val="24"/>
              </w:rPr>
            </w:pPr>
          </w:p>
        </w:tc>
        <w:tc>
          <w:tcPr>
            <w:tcW w:w="1915" w:type="dxa"/>
          </w:tcPr>
          <w:p w14:paraId="296882CE" w14:textId="43DAE052" w:rsidR="002F56CD" w:rsidRDefault="002F56CD" w:rsidP="002F56CD">
            <w:pPr>
              <w:rPr>
                <w:rFonts w:cs="Arial"/>
                <w:sz w:val="24"/>
              </w:rPr>
            </w:pPr>
            <w:r>
              <w:rPr>
                <w:sz w:val="20"/>
                <w:szCs w:val="20"/>
                <w:lang w:val="en-US"/>
              </w:rPr>
              <w:t xml:space="preserve">MMF </w:t>
            </w:r>
            <w:r>
              <w:rPr>
                <w:sz w:val="20"/>
                <w:szCs w:val="20"/>
              </w:rPr>
              <w:t>(</w:t>
            </w:r>
            <w:r>
              <w:rPr>
                <w:sz w:val="20"/>
                <w:szCs w:val="20"/>
                <w:lang w:val="en-US"/>
              </w:rPr>
              <w:t>n</w:t>
            </w:r>
            <w:r>
              <w:rPr>
                <w:sz w:val="20"/>
                <w:szCs w:val="20"/>
              </w:rPr>
              <w:t>=71)</w:t>
            </w:r>
          </w:p>
        </w:tc>
        <w:tc>
          <w:tcPr>
            <w:tcW w:w="1915" w:type="dxa"/>
          </w:tcPr>
          <w:p w14:paraId="296EDFF2" w14:textId="3EDC8CC5" w:rsidR="002F56CD" w:rsidRDefault="002F56CD" w:rsidP="002F56CD">
            <w:pPr>
              <w:rPr>
                <w:rFonts w:cs="Arial"/>
                <w:sz w:val="24"/>
              </w:rPr>
            </w:pPr>
            <w:r>
              <w:rPr>
                <w:sz w:val="20"/>
                <w:szCs w:val="20"/>
              </w:rPr>
              <w:t>76.2 (±32.1)</w:t>
            </w:r>
          </w:p>
        </w:tc>
        <w:tc>
          <w:tcPr>
            <w:tcW w:w="1915" w:type="dxa"/>
          </w:tcPr>
          <w:p w14:paraId="1D9208DA" w14:textId="2E113962" w:rsidR="002F56CD" w:rsidRDefault="002F56CD" w:rsidP="002F56CD">
            <w:pPr>
              <w:rPr>
                <w:rFonts w:cs="Arial"/>
                <w:sz w:val="24"/>
              </w:rPr>
            </w:pPr>
            <w:r>
              <w:rPr>
                <w:sz w:val="20"/>
                <w:szCs w:val="20"/>
              </w:rPr>
              <w:t>71.9 (±30.0)</w:t>
            </w:r>
          </w:p>
        </w:tc>
        <w:tc>
          <w:tcPr>
            <w:tcW w:w="1916" w:type="dxa"/>
          </w:tcPr>
          <w:p w14:paraId="066A670B" w14:textId="65D339F1" w:rsidR="002F56CD" w:rsidRDefault="002F56CD" w:rsidP="002F56CD">
            <w:pPr>
              <w:rPr>
                <w:rFonts w:cs="Arial"/>
                <w:sz w:val="24"/>
              </w:rPr>
            </w:pPr>
            <w:r>
              <w:rPr>
                <w:sz w:val="20"/>
                <w:szCs w:val="20"/>
              </w:rPr>
              <w:t>(-11.2, 7.5)</w:t>
            </w:r>
          </w:p>
        </w:tc>
      </w:tr>
    </w:tbl>
    <w:p w14:paraId="684F4CAE"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включително пациенти със стойности на изходното ниво и при визитата</w:t>
      </w:r>
    </w:p>
    <w:p w14:paraId="2C0CC0F9" w14:textId="77777777" w:rsidR="002F56CD" w:rsidRPr="002F56CD" w:rsidRDefault="002F56CD" w:rsidP="002F56CD">
      <w:pPr>
        <w:rPr>
          <w:rFonts w:eastAsia="Times New Roman" w:cs="Arial"/>
          <w:b/>
          <w:bCs/>
          <w:color w:val="000000"/>
          <w:szCs w:val="20"/>
          <w:lang w:val="en-US"/>
        </w:rPr>
      </w:pPr>
    </w:p>
    <w:p w14:paraId="31AD5175" w14:textId="0B9260E1" w:rsidR="002F56CD" w:rsidRDefault="002F56CD" w:rsidP="002F56CD">
      <w:pPr>
        <w:rPr>
          <w:rFonts w:eastAsia="Times New Roman" w:cs="Arial"/>
          <w:b/>
          <w:bCs/>
          <w:color w:val="000000"/>
          <w:szCs w:val="20"/>
          <w:lang w:eastAsia="bg-BG"/>
        </w:rPr>
      </w:pPr>
      <w:r w:rsidRPr="002F56CD">
        <w:rPr>
          <w:rFonts w:eastAsia="Times New Roman" w:cs="Arial"/>
          <w:b/>
          <w:bCs/>
          <w:color w:val="000000"/>
          <w:szCs w:val="20"/>
          <w:lang w:val="en-US"/>
        </w:rPr>
        <w:t>Table</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14 Проучване А2411: Стойности на ефикасността (честота в </w:t>
      </w:r>
      <w:r w:rsidRPr="002F56CD">
        <w:rPr>
          <w:rFonts w:eastAsia="Times New Roman" w:cs="Arial"/>
          <w:b/>
          <w:bCs/>
          <w:color w:val="000000"/>
          <w:szCs w:val="20"/>
          <w:lang w:val="en-US"/>
        </w:rPr>
        <w:t>ITT</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популацията)</w:t>
      </w:r>
    </w:p>
    <w:tbl>
      <w:tblPr>
        <w:tblStyle w:val="TableGrid"/>
        <w:tblW w:w="0" w:type="auto"/>
        <w:tblLook w:val="04A0" w:firstRow="1" w:lastRow="0" w:firstColumn="1" w:lastColumn="0" w:noHBand="0" w:noVBand="1"/>
      </w:tblPr>
      <w:tblGrid>
        <w:gridCol w:w="2366"/>
        <w:gridCol w:w="2331"/>
        <w:gridCol w:w="2330"/>
        <w:gridCol w:w="2323"/>
      </w:tblGrid>
      <w:tr w:rsidR="002F56CD" w14:paraId="03BD28CE" w14:textId="77777777" w:rsidTr="002F56CD">
        <w:tc>
          <w:tcPr>
            <w:tcW w:w="2394" w:type="dxa"/>
          </w:tcPr>
          <w:p w14:paraId="2E8469C3" w14:textId="5E08DB8A" w:rsidR="002F56CD" w:rsidRPr="002F56CD" w:rsidRDefault="002F56CD" w:rsidP="002F56CD">
            <w:pPr>
              <w:rPr>
                <w:rFonts w:cs="Arial"/>
              </w:rPr>
            </w:pPr>
            <w:r w:rsidRPr="002F56CD">
              <w:rPr>
                <w:b/>
                <w:bCs/>
                <w:szCs w:val="20"/>
              </w:rPr>
              <w:t>Крайна точка на ефикасност</w:t>
            </w:r>
          </w:p>
        </w:tc>
        <w:tc>
          <w:tcPr>
            <w:tcW w:w="2394" w:type="dxa"/>
          </w:tcPr>
          <w:p w14:paraId="28DA1CA2" w14:textId="14DB37F1" w:rsidR="002F56CD" w:rsidRPr="002F56CD" w:rsidRDefault="002F56CD" w:rsidP="002F56CD">
            <w:pPr>
              <w:rPr>
                <w:rFonts w:cs="Arial"/>
              </w:rPr>
            </w:pPr>
            <w:r w:rsidRPr="002F56CD">
              <w:rPr>
                <w:b/>
                <w:bCs/>
                <w:szCs w:val="20"/>
              </w:rPr>
              <w:t xml:space="preserve">Сертикан </w:t>
            </w:r>
            <w:r w:rsidRPr="002F56CD">
              <w:rPr>
                <w:b/>
                <w:bCs/>
                <w:szCs w:val="20"/>
                <w:lang w:val="en-US"/>
              </w:rPr>
              <w:t>n</w:t>
            </w:r>
            <w:r w:rsidRPr="002F56CD">
              <w:rPr>
                <w:b/>
                <w:bCs/>
                <w:szCs w:val="20"/>
              </w:rPr>
              <w:t>=92</w:t>
            </w:r>
          </w:p>
        </w:tc>
        <w:tc>
          <w:tcPr>
            <w:tcW w:w="2394" w:type="dxa"/>
          </w:tcPr>
          <w:p w14:paraId="52892E92" w14:textId="38FDE73A" w:rsidR="002F56CD" w:rsidRPr="002F56CD" w:rsidRDefault="002F56CD" w:rsidP="002F56CD">
            <w:pPr>
              <w:rPr>
                <w:rFonts w:cs="Arial"/>
              </w:rPr>
            </w:pPr>
            <w:r w:rsidRPr="002F56CD">
              <w:rPr>
                <w:b/>
                <w:bCs/>
                <w:szCs w:val="20"/>
                <w:lang w:val="en-US"/>
              </w:rPr>
              <w:t>MMF n</w:t>
            </w:r>
            <w:r w:rsidRPr="002F56CD">
              <w:rPr>
                <w:b/>
                <w:bCs/>
                <w:szCs w:val="20"/>
              </w:rPr>
              <w:t>=84</w:t>
            </w:r>
          </w:p>
        </w:tc>
        <w:tc>
          <w:tcPr>
            <w:tcW w:w="2394" w:type="dxa"/>
          </w:tcPr>
          <w:p w14:paraId="73CC67F5" w14:textId="7F9C6B44" w:rsidR="002F56CD" w:rsidRPr="002F56CD" w:rsidRDefault="002F56CD" w:rsidP="002F56CD">
            <w:pPr>
              <w:rPr>
                <w:rFonts w:cs="Arial"/>
              </w:rPr>
            </w:pPr>
            <w:r w:rsidRPr="002F56CD">
              <w:rPr>
                <w:b/>
                <w:bCs/>
                <w:szCs w:val="20"/>
              </w:rPr>
              <w:t xml:space="preserve">Разлика между групите Средно (95% </w:t>
            </w:r>
            <w:r w:rsidRPr="002F56CD">
              <w:rPr>
                <w:b/>
                <w:bCs/>
                <w:szCs w:val="20"/>
                <w:lang w:val="en-US"/>
              </w:rPr>
              <w:t>CI</w:t>
            </w:r>
            <w:r w:rsidRPr="002F56CD">
              <w:rPr>
                <w:b/>
                <w:bCs/>
                <w:szCs w:val="20"/>
                <w:lang w:val="ru-RU"/>
              </w:rPr>
              <w:t>)</w:t>
            </w:r>
          </w:p>
        </w:tc>
      </w:tr>
      <w:tr w:rsidR="002F56CD" w14:paraId="57616335" w14:textId="77777777" w:rsidTr="002318B8">
        <w:tc>
          <w:tcPr>
            <w:tcW w:w="9576" w:type="dxa"/>
            <w:gridSpan w:val="4"/>
          </w:tcPr>
          <w:p w14:paraId="6A36E7A4" w14:textId="7F48386C" w:rsidR="002F56CD" w:rsidRPr="002F56CD" w:rsidRDefault="002F56CD" w:rsidP="002F56CD">
            <w:pPr>
              <w:rPr>
                <w:rFonts w:cs="Arial"/>
              </w:rPr>
            </w:pPr>
            <w:r w:rsidRPr="002F56CD">
              <w:rPr>
                <w:b/>
                <w:bCs/>
                <w:szCs w:val="20"/>
              </w:rPr>
              <w:t>На 6 месеца</w:t>
            </w:r>
          </w:p>
        </w:tc>
      </w:tr>
      <w:tr w:rsidR="002F56CD" w14:paraId="3CA90697" w14:textId="77777777" w:rsidTr="002F56CD">
        <w:tc>
          <w:tcPr>
            <w:tcW w:w="2394" w:type="dxa"/>
          </w:tcPr>
          <w:p w14:paraId="4E27BFEB" w14:textId="65826957" w:rsidR="002F56CD" w:rsidRPr="002F56CD" w:rsidRDefault="002F56CD" w:rsidP="002F56CD">
            <w:pPr>
              <w:rPr>
                <w:rFonts w:cs="Arial"/>
              </w:rPr>
            </w:pPr>
            <w:r w:rsidRPr="002F56CD">
              <w:rPr>
                <w:szCs w:val="20"/>
              </w:rPr>
              <w:lastRenderedPageBreak/>
              <w:t xml:space="preserve">Доказано с биопсия остро отхвръляне ≥ </w:t>
            </w:r>
            <w:r w:rsidRPr="002F56CD">
              <w:rPr>
                <w:szCs w:val="20"/>
                <w:lang w:val="en-US"/>
              </w:rPr>
              <w:t>ISHLT</w:t>
            </w:r>
            <w:r w:rsidRPr="002F56CD">
              <w:rPr>
                <w:szCs w:val="20"/>
                <w:lang w:val="ru-RU"/>
              </w:rPr>
              <w:t xml:space="preserve"> </w:t>
            </w:r>
            <w:r w:rsidRPr="002F56CD">
              <w:rPr>
                <w:szCs w:val="20"/>
              </w:rPr>
              <w:t>степен ЗА</w:t>
            </w:r>
          </w:p>
        </w:tc>
        <w:tc>
          <w:tcPr>
            <w:tcW w:w="2394" w:type="dxa"/>
          </w:tcPr>
          <w:p w14:paraId="65FA8824" w14:textId="5710145B" w:rsidR="002F56CD" w:rsidRPr="002F56CD" w:rsidRDefault="002F56CD" w:rsidP="002F56CD">
            <w:pPr>
              <w:rPr>
                <w:rFonts w:cs="Arial"/>
              </w:rPr>
            </w:pPr>
            <w:r w:rsidRPr="002F56CD">
              <w:rPr>
                <w:szCs w:val="20"/>
              </w:rPr>
              <w:t>18 (19,6%)</w:t>
            </w:r>
          </w:p>
        </w:tc>
        <w:tc>
          <w:tcPr>
            <w:tcW w:w="2394" w:type="dxa"/>
          </w:tcPr>
          <w:p w14:paraId="5745AAE3" w14:textId="1EE9DA87" w:rsidR="002F56CD" w:rsidRPr="002F56CD" w:rsidRDefault="002F56CD" w:rsidP="002F56CD">
            <w:pPr>
              <w:rPr>
                <w:rFonts w:cs="Arial"/>
              </w:rPr>
            </w:pPr>
            <w:r w:rsidRPr="002F56CD">
              <w:rPr>
                <w:szCs w:val="20"/>
              </w:rPr>
              <w:t>23 (27,4%)</w:t>
            </w:r>
          </w:p>
        </w:tc>
        <w:tc>
          <w:tcPr>
            <w:tcW w:w="2394" w:type="dxa"/>
          </w:tcPr>
          <w:p w14:paraId="26B9B031" w14:textId="0C711D00" w:rsidR="002F56CD" w:rsidRPr="002F56CD" w:rsidRDefault="002F56CD" w:rsidP="002F56CD">
            <w:pPr>
              <w:rPr>
                <w:rFonts w:cs="Arial"/>
              </w:rPr>
            </w:pPr>
            <w:r w:rsidRPr="002F56CD">
              <w:rPr>
                <w:szCs w:val="20"/>
              </w:rPr>
              <w:t>-7,8 (-20,3,4,7)</w:t>
            </w:r>
          </w:p>
        </w:tc>
      </w:tr>
      <w:tr w:rsidR="002F56CD" w14:paraId="23E830C2" w14:textId="77777777" w:rsidTr="002F56CD">
        <w:tc>
          <w:tcPr>
            <w:tcW w:w="2394" w:type="dxa"/>
          </w:tcPr>
          <w:p w14:paraId="3B6EB0F0" w14:textId="6A724610" w:rsidR="002F56CD" w:rsidRPr="002F56CD" w:rsidRDefault="002F56CD" w:rsidP="002F56CD">
            <w:pPr>
              <w:rPr>
                <w:rFonts w:cs="Arial"/>
              </w:rPr>
            </w:pPr>
            <w:r w:rsidRPr="002F56CD">
              <w:rPr>
                <w:szCs w:val="20"/>
              </w:rPr>
              <w:t>Комбинирана липса на ефикасност*</w:t>
            </w:r>
          </w:p>
        </w:tc>
        <w:tc>
          <w:tcPr>
            <w:tcW w:w="2394" w:type="dxa"/>
          </w:tcPr>
          <w:p w14:paraId="2086B81D" w14:textId="3CF6D570" w:rsidR="002F56CD" w:rsidRPr="002F56CD" w:rsidRDefault="002F56CD" w:rsidP="002F56CD">
            <w:pPr>
              <w:rPr>
                <w:rFonts w:cs="Arial"/>
              </w:rPr>
            </w:pPr>
            <w:r w:rsidRPr="002F56CD">
              <w:rPr>
                <w:szCs w:val="20"/>
              </w:rPr>
              <w:t>26 (28,3%)</w:t>
            </w:r>
          </w:p>
        </w:tc>
        <w:tc>
          <w:tcPr>
            <w:tcW w:w="2394" w:type="dxa"/>
          </w:tcPr>
          <w:p w14:paraId="6B51EA9A" w14:textId="64670CAA" w:rsidR="002F56CD" w:rsidRPr="002F56CD" w:rsidRDefault="002F56CD" w:rsidP="002F56CD">
            <w:pPr>
              <w:rPr>
                <w:rFonts w:cs="Arial"/>
              </w:rPr>
            </w:pPr>
            <w:r w:rsidRPr="002F56CD">
              <w:rPr>
                <w:szCs w:val="20"/>
              </w:rPr>
              <w:t>31 (36,9%)</w:t>
            </w:r>
          </w:p>
        </w:tc>
        <w:tc>
          <w:tcPr>
            <w:tcW w:w="2394" w:type="dxa"/>
          </w:tcPr>
          <w:p w14:paraId="40A20D62" w14:textId="605DD3EF" w:rsidR="002F56CD" w:rsidRPr="002F56CD" w:rsidRDefault="002F56CD" w:rsidP="002F56CD">
            <w:pPr>
              <w:rPr>
                <w:rFonts w:cs="Arial"/>
              </w:rPr>
            </w:pPr>
            <w:r w:rsidRPr="002F56CD">
              <w:rPr>
                <w:szCs w:val="20"/>
              </w:rPr>
              <w:t>-8,6 (-22,5,5,2)</w:t>
            </w:r>
          </w:p>
        </w:tc>
      </w:tr>
      <w:tr w:rsidR="002F56CD" w14:paraId="47B4C5B3" w14:textId="77777777" w:rsidTr="00CB71F5">
        <w:tc>
          <w:tcPr>
            <w:tcW w:w="9576" w:type="dxa"/>
            <w:gridSpan w:val="4"/>
          </w:tcPr>
          <w:p w14:paraId="660778DE" w14:textId="0687F5B5" w:rsidR="002F56CD" w:rsidRPr="002F56CD" w:rsidRDefault="002F56CD" w:rsidP="002F56CD">
            <w:pPr>
              <w:rPr>
                <w:rFonts w:cs="Arial"/>
              </w:rPr>
            </w:pPr>
            <w:r w:rsidRPr="002F56CD">
              <w:rPr>
                <w:b/>
                <w:bCs/>
                <w:szCs w:val="20"/>
              </w:rPr>
              <w:t>На 12 месеца</w:t>
            </w:r>
          </w:p>
        </w:tc>
      </w:tr>
      <w:tr w:rsidR="002F56CD" w14:paraId="05E270E9" w14:textId="77777777" w:rsidTr="002F56CD">
        <w:tc>
          <w:tcPr>
            <w:tcW w:w="2394" w:type="dxa"/>
          </w:tcPr>
          <w:p w14:paraId="7D1147D4" w14:textId="1594FDFA" w:rsidR="002F56CD" w:rsidRPr="002F56CD" w:rsidRDefault="002F56CD" w:rsidP="002F56CD">
            <w:pPr>
              <w:rPr>
                <w:rFonts w:cs="Arial"/>
              </w:rPr>
            </w:pPr>
            <w:r w:rsidRPr="002F56CD">
              <w:rPr>
                <w:szCs w:val="20"/>
              </w:rPr>
              <w:t xml:space="preserve">Доказано с биопсия остро отхвръляне ≥ </w:t>
            </w:r>
            <w:r w:rsidRPr="002F56CD">
              <w:rPr>
                <w:szCs w:val="20"/>
                <w:lang w:val="en-US"/>
              </w:rPr>
              <w:t>ISHLT</w:t>
            </w:r>
            <w:r w:rsidRPr="002F56CD">
              <w:rPr>
                <w:szCs w:val="20"/>
                <w:lang w:val="ru-RU"/>
              </w:rPr>
              <w:t xml:space="preserve"> </w:t>
            </w:r>
            <w:r w:rsidRPr="002F56CD">
              <w:rPr>
                <w:szCs w:val="20"/>
              </w:rPr>
              <w:t>степен ЗА</w:t>
            </w:r>
          </w:p>
        </w:tc>
        <w:tc>
          <w:tcPr>
            <w:tcW w:w="2394" w:type="dxa"/>
          </w:tcPr>
          <w:p w14:paraId="1AFD8E1F" w14:textId="0FE023EF" w:rsidR="002F56CD" w:rsidRPr="002F56CD" w:rsidRDefault="002F56CD" w:rsidP="002F56CD">
            <w:pPr>
              <w:rPr>
                <w:rFonts w:cs="Arial"/>
              </w:rPr>
            </w:pPr>
            <w:r w:rsidRPr="002F56CD">
              <w:rPr>
                <w:szCs w:val="20"/>
              </w:rPr>
              <w:t>21 (22,8%)</w:t>
            </w:r>
          </w:p>
        </w:tc>
        <w:tc>
          <w:tcPr>
            <w:tcW w:w="2394" w:type="dxa"/>
          </w:tcPr>
          <w:p w14:paraId="0C4209B7" w14:textId="24CF3F93" w:rsidR="002F56CD" w:rsidRPr="002F56CD" w:rsidRDefault="002F56CD" w:rsidP="002F56CD">
            <w:pPr>
              <w:rPr>
                <w:rFonts w:cs="Arial"/>
              </w:rPr>
            </w:pPr>
            <w:r w:rsidRPr="002F56CD">
              <w:rPr>
                <w:szCs w:val="20"/>
              </w:rPr>
              <w:t>25 (29,8%)</w:t>
            </w:r>
          </w:p>
        </w:tc>
        <w:tc>
          <w:tcPr>
            <w:tcW w:w="2394" w:type="dxa"/>
          </w:tcPr>
          <w:p w14:paraId="5C7B6BC6" w14:textId="3DC6A346" w:rsidR="002F56CD" w:rsidRPr="002F56CD" w:rsidRDefault="002F56CD" w:rsidP="002F56CD">
            <w:pPr>
              <w:rPr>
                <w:rFonts w:cs="Arial"/>
              </w:rPr>
            </w:pPr>
            <w:r w:rsidRPr="002F56CD">
              <w:rPr>
                <w:szCs w:val="20"/>
              </w:rPr>
              <w:t>-6,9 (-19,9, 6,1)</w:t>
            </w:r>
          </w:p>
        </w:tc>
      </w:tr>
      <w:tr w:rsidR="002F56CD" w14:paraId="6590423A" w14:textId="77777777" w:rsidTr="002F56CD">
        <w:tc>
          <w:tcPr>
            <w:tcW w:w="2394" w:type="dxa"/>
          </w:tcPr>
          <w:p w14:paraId="5B125649" w14:textId="0872891A" w:rsidR="002F56CD" w:rsidRPr="002F56CD" w:rsidRDefault="002F56CD" w:rsidP="002F56CD">
            <w:pPr>
              <w:rPr>
                <w:rFonts w:cs="Arial"/>
              </w:rPr>
            </w:pPr>
            <w:r w:rsidRPr="002F56CD">
              <w:rPr>
                <w:szCs w:val="20"/>
              </w:rPr>
              <w:t>Съставна крайна точка за неуспех в лечението*</w:t>
            </w:r>
          </w:p>
        </w:tc>
        <w:tc>
          <w:tcPr>
            <w:tcW w:w="2394" w:type="dxa"/>
          </w:tcPr>
          <w:p w14:paraId="69851ED6" w14:textId="2D0267AA" w:rsidR="002F56CD" w:rsidRPr="002F56CD" w:rsidRDefault="002F56CD" w:rsidP="002F56CD">
            <w:pPr>
              <w:rPr>
                <w:rFonts w:cs="Arial"/>
              </w:rPr>
            </w:pPr>
            <w:r w:rsidRPr="002F56CD">
              <w:rPr>
                <w:szCs w:val="20"/>
              </w:rPr>
              <w:t>30 (32,6%)</w:t>
            </w:r>
          </w:p>
        </w:tc>
        <w:tc>
          <w:tcPr>
            <w:tcW w:w="2394" w:type="dxa"/>
          </w:tcPr>
          <w:p w14:paraId="32FCDC4C" w14:textId="504FA798" w:rsidR="002F56CD" w:rsidRPr="002F56CD" w:rsidRDefault="002F56CD" w:rsidP="002F56CD">
            <w:pPr>
              <w:rPr>
                <w:rFonts w:cs="Arial"/>
              </w:rPr>
            </w:pPr>
            <w:r w:rsidRPr="002F56CD">
              <w:rPr>
                <w:szCs w:val="20"/>
              </w:rPr>
              <w:t>35 (41,7%)</w:t>
            </w:r>
          </w:p>
        </w:tc>
        <w:tc>
          <w:tcPr>
            <w:tcW w:w="2394" w:type="dxa"/>
          </w:tcPr>
          <w:p w14:paraId="299C204F" w14:textId="1ADD4CF6" w:rsidR="002F56CD" w:rsidRPr="002F56CD" w:rsidRDefault="002F56CD" w:rsidP="002F56CD">
            <w:pPr>
              <w:rPr>
                <w:rFonts w:cs="Arial"/>
              </w:rPr>
            </w:pPr>
            <w:r w:rsidRPr="002F56CD">
              <w:rPr>
                <w:szCs w:val="20"/>
              </w:rPr>
              <w:t>-9,1 (-23,3, 5,2)</w:t>
            </w:r>
          </w:p>
        </w:tc>
      </w:tr>
      <w:tr w:rsidR="002F56CD" w14:paraId="229BF1A2" w14:textId="77777777" w:rsidTr="002F56CD">
        <w:tc>
          <w:tcPr>
            <w:tcW w:w="2394" w:type="dxa"/>
          </w:tcPr>
          <w:p w14:paraId="6A498881" w14:textId="36DE2B92" w:rsidR="002F56CD" w:rsidRPr="002F56CD" w:rsidRDefault="002F56CD" w:rsidP="002F56CD">
            <w:pPr>
              <w:rPr>
                <w:rFonts w:cs="Arial"/>
              </w:rPr>
            </w:pPr>
            <w:r w:rsidRPr="002F56CD">
              <w:rPr>
                <w:szCs w:val="20"/>
              </w:rPr>
              <w:t>Смърт или отхвърляне на присадка/ре- трансплантация</w:t>
            </w:r>
          </w:p>
        </w:tc>
        <w:tc>
          <w:tcPr>
            <w:tcW w:w="2394" w:type="dxa"/>
          </w:tcPr>
          <w:p w14:paraId="2206AA1C" w14:textId="043A4E58" w:rsidR="002F56CD" w:rsidRPr="002F56CD" w:rsidRDefault="002F56CD" w:rsidP="002F56CD">
            <w:pPr>
              <w:rPr>
                <w:rFonts w:cs="Arial"/>
              </w:rPr>
            </w:pPr>
            <w:r w:rsidRPr="002F56CD">
              <w:rPr>
                <w:szCs w:val="20"/>
              </w:rPr>
              <w:t>10(10,9%)</w:t>
            </w:r>
          </w:p>
        </w:tc>
        <w:tc>
          <w:tcPr>
            <w:tcW w:w="2394" w:type="dxa"/>
          </w:tcPr>
          <w:p w14:paraId="74B8C790" w14:textId="4BDC3253" w:rsidR="002F56CD" w:rsidRPr="002F56CD" w:rsidRDefault="002F56CD" w:rsidP="002F56CD">
            <w:pPr>
              <w:rPr>
                <w:rFonts w:cs="Arial"/>
              </w:rPr>
            </w:pPr>
            <w:r w:rsidRPr="002F56CD">
              <w:rPr>
                <w:szCs w:val="20"/>
              </w:rPr>
              <w:t>10(11,9%)</w:t>
            </w:r>
          </w:p>
        </w:tc>
        <w:tc>
          <w:tcPr>
            <w:tcW w:w="2394" w:type="dxa"/>
          </w:tcPr>
          <w:p w14:paraId="6FCCE5E2" w14:textId="5983885F" w:rsidR="002F56CD" w:rsidRPr="002F56CD" w:rsidRDefault="002F56CD" w:rsidP="002F56CD">
            <w:pPr>
              <w:rPr>
                <w:rFonts w:cs="Arial"/>
              </w:rPr>
            </w:pPr>
            <w:r w:rsidRPr="002F56CD">
              <w:rPr>
                <w:szCs w:val="20"/>
              </w:rPr>
              <w:t>-</w:t>
            </w:r>
          </w:p>
        </w:tc>
      </w:tr>
    </w:tbl>
    <w:p w14:paraId="030E600D" w14:textId="0BED3C8E"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Съставна крайна точка за неуспех в лечението: някое от изброените - остро отхвърляне ≥ степен ЗА, остро отхвърляне свързано хемодинамично компрометиране, отхвърляне на присадка, смърт или загуба на проследяване.</w:t>
      </w:r>
    </w:p>
    <w:p w14:paraId="07F3C4EA" w14:textId="77777777" w:rsidR="002F56CD" w:rsidRPr="002F56CD" w:rsidRDefault="002F56CD" w:rsidP="002F56CD">
      <w:pPr>
        <w:rPr>
          <w:rFonts w:eastAsia="Times New Roman" w:cs="Arial"/>
          <w:color w:val="000000"/>
          <w:szCs w:val="20"/>
          <w:lang w:eastAsia="bg-BG"/>
        </w:rPr>
      </w:pPr>
    </w:p>
    <w:p w14:paraId="7C30165F" w14:textId="77777777" w:rsidR="002F56CD" w:rsidRPr="002F56CD" w:rsidRDefault="002F56CD" w:rsidP="002F56CD">
      <w:pPr>
        <w:rPr>
          <w:rFonts w:eastAsia="Times New Roman" w:cs="Arial"/>
          <w:sz w:val="28"/>
          <w:szCs w:val="24"/>
        </w:rPr>
      </w:pPr>
      <w:r w:rsidRPr="002F56CD">
        <w:rPr>
          <w:rFonts w:eastAsia="Times New Roman" w:cs="Arial"/>
          <w:color w:val="000000"/>
          <w:szCs w:val="20"/>
          <w:lang w:eastAsia="bg-BG"/>
        </w:rPr>
        <w:t>А2310 е фаза III, многоцентрово, рандомизирано, открито изпитване, сравняващо ефеикасността и безопасността на два терапевтични режима включващи Сертикан/намалена доза циклоспорин спрямо микофенолат мофетил (ММ</w:t>
      </w:r>
      <w:r w:rsidRPr="002F56CD">
        <w:rPr>
          <w:rFonts w:eastAsia="Times New Roman" w:cs="Arial"/>
          <w:color w:val="000000"/>
          <w:szCs w:val="20"/>
          <w:lang w:val="en-US"/>
        </w:rPr>
        <w:t>F</w:t>
      </w:r>
      <w:r w:rsidRPr="002F56CD">
        <w:rPr>
          <w:rFonts w:eastAsia="Times New Roman" w:cs="Arial"/>
          <w:color w:val="000000"/>
          <w:szCs w:val="20"/>
          <w:lang w:eastAsia="bg-BG"/>
        </w:rPr>
        <w:t>)/стандартна доза циклоспорин в продължение на 24 месеца. Прилагането на индукционна терапия е зависело от конкретния център като</w:t>
      </w:r>
      <w:r w:rsidRPr="002F56CD">
        <w:rPr>
          <w:rFonts w:eastAsia="Times New Roman" w:cs="Arial"/>
          <w:color w:val="000000"/>
          <w:szCs w:val="20"/>
          <w:lang w:val="ru-RU" w:eastAsia="bg-BG"/>
        </w:rPr>
        <w:t xml:space="preserve"> </w:t>
      </w:r>
      <w:r w:rsidRPr="002F56CD">
        <w:rPr>
          <w:rFonts w:eastAsia="Times New Roman" w:cs="Arial"/>
          <w:color w:val="000000"/>
          <w:szCs w:val="20"/>
          <w:lang w:eastAsia="bg-BG"/>
        </w:rPr>
        <w:t>вариантите са били липса на индукция или индукция с базиликсимаб или тимоглобулин. Всички пациенти са получавали кортикостероиди.</w:t>
      </w:r>
    </w:p>
    <w:p w14:paraId="6DDE10BA" w14:textId="77777777" w:rsidR="002F56CD" w:rsidRPr="002F56CD" w:rsidRDefault="002F56CD" w:rsidP="002F56CD">
      <w:pPr>
        <w:spacing w:line="240" w:lineRule="auto"/>
        <w:rPr>
          <w:rFonts w:eastAsia="Times New Roman" w:cs="Arial"/>
          <w:color w:val="000000"/>
          <w:szCs w:val="20"/>
          <w:lang w:eastAsia="bg-BG"/>
        </w:rPr>
      </w:pPr>
    </w:p>
    <w:p w14:paraId="5BD72582" w14:textId="7DE24E2D"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Началните дози в двете групи на Сертикан са били 1,5 </w:t>
      </w:r>
      <w:r w:rsidRPr="002F56CD">
        <w:rPr>
          <w:rFonts w:eastAsia="Times New Roman" w:cs="Arial"/>
          <w:color w:val="000000"/>
          <w:szCs w:val="20"/>
          <w:lang w:val="en-US"/>
        </w:rPr>
        <w:t>mg</w:t>
      </w:r>
      <w:r w:rsidRPr="002F56CD">
        <w:rPr>
          <w:rFonts w:eastAsia="Times New Roman" w:cs="Arial"/>
          <w:color w:val="000000"/>
          <w:szCs w:val="20"/>
          <w:lang w:eastAsia="bg-BG"/>
        </w:rPr>
        <w:t xml:space="preserve">/ден и 3 </w:t>
      </w:r>
      <w:r w:rsidRPr="002F56CD">
        <w:rPr>
          <w:rFonts w:eastAsia="Times New Roman" w:cs="Arial"/>
          <w:color w:val="000000"/>
          <w:szCs w:val="20"/>
          <w:lang w:val="en-US"/>
        </w:rPr>
        <w:t>mg</w:t>
      </w:r>
      <w:r w:rsidRPr="002F56CD">
        <w:rPr>
          <w:rFonts w:eastAsia="Times New Roman" w:cs="Arial"/>
          <w:color w:val="000000"/>
          <w:szCs w:val="20"/>
          <w:lang w:eastAsia="bg-BG"/>
        </w:rPr>
        <w:t xml:space="preserve">/ден, впоследствие коригирани от ден 4 нататък така че да се поддържат прицелни най-ниски плазмени концентрации на еверолимус от 3-8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и 6-12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съответно. Дозата на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е била 3 </w:t>
      </w:r>
      <w:r w:rsidRPr="002F56CD">
        <w:rPr>
          <w:rFonts w:eastAsia="Times New Roman" w:cs="Arial"/>
          <w:color w:val="000000"/>
          <w:szCs w:val="20"/>
          <w:lang w:val="en-US"/>
        </w:rPr>
        <w:t>g</w:t>
      </w:r>
      <w:r w:rsidRPr="002F56CD">
        <w:rPr>
          <w:rFonts w:eastAsia="Times New Roman" w:cs="Arial"/>
          <w:color w:val="000000"/>
          <w:szCs w:val="20"/>
          <w:lang w:eastAsia="bg-BG"/>
        </w:rPr>
        <w:t>/ден. Дозите на циклоспорин са били коригирани така че да се поддържа същия прицелен интервал на най-ниски плазмени концентрации, както в изпитване А2411. Концентрациите на еверолимус и циклоспорин в кръвта са показани в Таблица 15.</w:t>
      </w:r>
    </w:p>
    <w:p w14:paraId="48AF0868" w14:textId="77777777" w:rsidR="002F56CD" w:rsidRPr="002F56CD" w:rsidRDefault="002F56CD" w:rsidP="002F56CD">
      <w:pPr>
        <w:spacing w:line="240" w:lineRule="auto"/>
        <w:rPr>
          <w:rFonts w:eastAsia="Times New Roman" w:cs="Arial"/>
          <w:color w:val="000000"/>
          <w:szCs w:val="20"/>
          <w:lang w:eastAsia="bg-BG"/>
        </w:rPr>
      </w:pPr>
    </w:p>
    <w:p w14:paraId="67C6D4C0" w14:textId="4911BDE6"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Набирането на пациенти в експерименталното терапевтично рамо с по-висока доза на Сертикан преждевременно е прекратено поради повишената честота на фатални случаи по време на рандомизацията вследствие инфекции и сърдечно-съдови нарушения, възникващи през първите 90 дни след рандомизацията..</w:t>
      </w:r>
    </w:p>
    <w:p w14:paraId="3A3CC9AD" w14:textId="77777777" w:rsidR="002F56CD" w:rsidRPr="002F56CD" w:rsidRDefault="002F56CD" w:rsidP="002F56CD">
      <w:pPr>
        <w:spacing w:line="240" w:lineRule="auto"/>
        <w:rPr>
          <w:rFonts w:eastAsia="Times New Roman" w:cs="Arial"/>
          <w:b/>
          <w:bCs/>
          <w:color w:val="000000"/>
          <w:szCs w:val="20"/>
          <w:lang w:eastAsia="bg-BG"/>
        </w:rPr>
      </w:pPr>
    </w:p>
    <w:p w14:paraId="51DCB280" w14:textId="1AB8AFCB"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 xml:space="preserve">Таблица 15 Изпитване А2310: Измерени най-ниски концентрации на циклоспорин </w:t>
      </w:r>
      <w:r w:rsidRPr="002F56CD">
        <w:rPr>
          <w:rFonts w:eastAsia="Times New Roman" w:cs="Arial"/>
          <w:b/>
          <w:bCs/>
          <w:color w:val="000000"/>
          <w:szCs w:val="20"/>
          <w:lang w:val="ru-RU"/>
        </w:rPr>
        <w:t>(</w:t>
      </w:r>
      <w:r w:rsidRPr="002F56CD">
        <w:rPr>
          <w:rFonts w:eastAsia="Times New Roman" w:cs="Arial"/>
          <w:b/>
          <w:bCs/>
          <w:color w:val="000000"/>
          <w:szCs w:val="20"/>
          <w:lang w:val="en-US"/>
        </w:rPr>
        <w:t>CsA</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и еверолимус в кръвта</w:t>
      </w:r>
    </w:p>
    <w:tbl>
      <w:tblPr>
        <w:tblStyle w:val="TableGrid"/>
        <w:tblW w:w="0" w:type="auto"/>
        <w:tblLook w:val="04A0" w:firstRow="1" w:lastRow="0" w:firstColumn="1" w:lastColumn="0" w:noHBand="0" w:noVBand="1"/>
      </w:tblPr>
      <w:tblGrid>
        <w:gridCol w:w="2338"/>
        <w:gridCol w:w="2318"/>
        <w:gridCol w:w="2330"/>
        <w:gridCol w:w="2364"/>
      </w:tblGrid>
      <w:tr w:rsidR="002F56CD" w14:paraId="6E7AF7DE" w14:textId="77777777" w:rsidTr="00286083">
        <w:tc>
          <w:tcPr>
            <w:tcW w:w="2394" w:type="dxa"/>
          </w:tcPr>
          <w:p w14:paraId="26FBFA74" w14:textId="50DC4BBF" w:rsidR="002F56CD" w:rsidRPr="002F56CD" w:rsidRDefault="002F56CD" w:rsidP="002F56CD">
            <w:pPr>
              <w:rPr>
                <w:rFonts w:cs="Arial"/>
              </w:rPr>
            </w:pPr>
            <w:r w:rsidRPr="002F56CD">
              <w:rPr>
                <w:b/>
                <w:bCs/>
                <w:szCs w:val="20"/>
              </w:rPr>
              <w:t>Интервал на визитите</w:t>
            </w:r>
          </w:p>
        </w:tc>
        <w:tc>
          <w:tcPr>
            <w:tcW w:w="4788" w:type="dxa"/>
            <w:gridSpan w:val="2"/>
          </w:tcPr>
          <w:p w14:paraId="170690A7" w14:textId="2E52B827" w:rsidR="002F56CD" w:rsidRPr="002F56CD" w:rsidRDefault="002F56CD" w:rsidP="002F56CD">
            <w:pPr>
              <w:rPr>
                <w:rFonts w:cs="Arial"/>
              </w:rPr>
            </w:pPr>
            <w:r w:rsidRPr="002F56CD">
              <w:rPr>
                <w:b/>
                <w:bCs/>
                <w:szCs w:val="20"/>
              </w:rPr>
              <w:t>Сертикан 1,5</w:t>
            </w:r>
            <w:r w:rsidRPr="002F56CD">
              <w:rPr>
                <w:b/>
                <w:bCs/>
                <w:szCs w:val="20"/>
                <w:lang w:val="en-US"/>
              </w:rPr>
              <w:t>mg</w:t>
            </w:r>
            <w:r w:rsidRPr="002F56CD">
              <w:rPr>
                <w:b/>
                <w:bCs/>
                <w:szCs w:val="20"/>
              </w:rPr>
              <w:t xml:space="preserve">/намалеяа доза </w:t>
            </w:r>
            <w:r w:rsidRPr="002F56CD">
              <w:rPr>
                <w:b/>
                <w:bCs/>
                <w:szCs w:val="20"/>
                <w:lang w:val="en-US"/>
              </w:rPr>
              <w:t>CsA</w:t>
            </w:r>
            <w:r w:rsidRPr="002F56CD">
              <w:rPr>
                <w:b/>
                <w:bCs/>
                <w:szCs w:val="20"/>
              </w:rPr>
              <w:t xml:space="preserve"> </w:t>
            </w:r>
            <w:r w:rsidRPr="002F56CD">
              <w:rPr>
                <w:b/>
                <w:bCs/>
                <w:szCs w:val="20"/>
                <w:lang w:val="en-US"/>
              </w:rPr>
              <w:t>N</w:t>
            </w:r>
            <w:r w:rsidRPr="002F56CD">
              <w:rPr>
                <w:b/>
                <w:bCs/>
                <w:szCs w:val="20"/>
              </w:rPr>
              <w:t>=279</w:t>
            </w:r>
          </w:p>
        </w:tc>
        <w:tc>
          <w:tcPr>
            <w:tcW w:w="2394" w:type="dxa"/>
          </w:tcPr>
          <w:p w14:paraId="71E80E56" w14:textId="366F7ADF" w:rsidR="002F56CD" w:rsidRPr="002F56CD" w:rsidRDefault="002F56CD" w:rsidP="002F56CD">
            <w:pPr>
              <w:rPr>
                <w:rFonts w:cs="Arial"/>
              </w:rPr>
            </w:pPr>
            <w:r w:rsidRPr="002F56CD">
              <w:rPr>
                <w:b/>
                <w:bCs/>
                <w:szCs w:val="20"/>
                <w:lang w:val="en-US"/>
              </w:rPr>
              <w:t>MMF</w:t>
            </w:r>
            <w:r w:rsidRPr="002F56CD">
              <w:rPr>
                <w:b/>
                <w:bCs/>
                <w:szCs w:val="20"/>
                <w:lang w:val="ru-RU"/>
              </w:rPr>
              <w:t xml:space="preserve"> </w:t>
            </w:r>
            <w:r w:rsidRPr="002F56CD">
              <w:rPr>
                <w:b/>
                <w:bCs/>
                <w:szCs w:val="20"/>
              </w:rPr>
              <w:t>3</w:t>
            </w:r>
            <w:r w:rsidRPr="002F56CD">
              <w:rPr>
                <w:b/>
                <w:bCs/>
                <w:szCs w:val="20"/>
                <w:lang w:val="en-US"/>
              </w:rPr>
              <w:t>g</w:t>
            </w:r>
            <w:r w:rsidRPr="002F56CD">
              <w:rPr>
                <w:b/>
                <w:bCs/>
                <w:szCs w:val="20"/>
              </w:rPr>
              <w:t xml:space="preserve">/стандартна доза </w:t>
            </w:r>
            <w:r w:rsidRPr="002F56CD">
              <w:rPr>
                <w:b/>
                <w:bCs/>
                <w:szCs w:val="20"/>
                <w:lang w:val="en-US"/>
              </w:rPr>
              <w:t>CsA</w:t>
            </w:r>
            <w:r w:rsidRPr="002F56CD">
              <w:rPr>
                <w:b/>
                <w:bCs/>
                <w:szCs w:val="20"/>
                <w:lang w:val="ru-RU"/>
              </w:rPr>
              <w:t xml:space="preserve"> </w:t>
            </w:r>
            <w:r w:rsidRPr="002F56CD">
              <w:rPr>
                <w:b/>
                <w:bCs/>
                <w:szCs w:val="20"/>
                <w:lang w:val="en-US"/>
              </w:rPr>
              <w:t>N</w:t>
            </w:r>
            <w:r w:rsidRPr="002F56CD">
              <w:rPr>
                <w:b/>
                <w:bCs/>
                <w:szCs w:val="20"/>
                <w:lang w:val="ru-RU"/>
              </w:rPr>
              <w:t>=268</w:t>
            </w:r>
          </w:p>
        </w:tc>
      </w:tr>
      <w:tr w:rsidR="002F56CD" w14:paraId="00518758" w14:textId="77777777" w:rsidTr="000725FA">
        <w:tc>
          <w:tcPr>
            <w:tcW w:w="2394" w:type="dxa"/>
          </w:tcPr>
          <w:p w14:paraId="7E83FEF3" w14:textId="77777777" w:rsidR="002F56CD" w:rsidRPr="002F56CD" w:rsidRDefault="002F56CD" w:rsidP="002F56CD">
            <w:pPr>
              <w:rPr>
                <w:rFonts w:cs="Arial"/>
              </w:rPr>
            </w:pPr>
          </w:p>
        </w:tc>
        <w:tc>
          <w:tcPr>
            <w:tcW w:w="4788" w:type="dxa"/>
            <w:gridSpan w:val="2"/>
          </w:tcPr>
          <w:p w14:paraId="19B84A4C" w14:textId="6DC99A85" w:rsidR="002F56CD" w:rsidRPr="002F56CD" w:rsidRDefault="002F56CD" w:rsidP="002F56CD">
            <w:pPr>
              <w:rPr>
                <w:rFonts w:cs="Arial"/>
              </w:rPr>
            </w:pPr>
            <w:r w:rsidRPr="002F56CD">
              <w:rPr>
                <w:szCs w:val="20"/>
              </w:rPr>
              <w:t xml:space="preserve">еверолимус </w:t>
            </w:r>
            <w:r w:rsidRPr="002F56CD">
              <w:rPr>
                <w:szCs w:val="20"/>
                <w:lang w:val="ru-RU"/>
              </w:rPr>
              <w:t>(</w:t>
            </w:r>
            <w:r w:rsidRPr="002F56CD">
              <w:rPr>
                <w:szCs w:val="20"/>
                <w:lang w:val="en-US"/>
              </w:rPr>
              <w:t>C</w:t>
            </w:r>
            <w:r w:rsidRPr="002F56CD">
              <w:rPr>
                <w:szCs w:val="20"/>
                <w:vertAlign w:val="subscript"/>
                <w:lang w:val="ru-RU"/>
              </w:rPr>
              <w:t>0</w:t>
            </w:r>
            <w:r w:rsidRPr="002F56CD">
              <w:rPr>
                <w:szCs w:val="20"/>
                <w:lang w:val="ru-RU"/>
              </w:rPr>
              <w:t xml:space="preserve"> </w:t>
            </w:r>
            <w:r w:rsidRPr="002F56CD">
              <w:rPr>
                <w:szCs w:val="20"/>
                <w:lang w:val="en-US"/>
              </w:rPr>
              <w:t>ng</w:t>
            </w:r>
            <w:r w:rsidRPr="002F56CD">
              <w:rPr>
                <w:szCs w:val="20"/>
                <w:lang w:val="ru-RU"/>
              </w:rPr>
              <w:t>/</w:t>
            </w:r>
            <w:r w:rsidRPr="002F56CD">
              <w:rPr>
                <w:szCs w:val="20"/>
                <w:lang w:val="en-US"/>
              </w:rPr>
              <w:t>ml</w:t>
            </w:r>
            <w:r w:rsidRPr="002F56CD">
              <w:rPr>
                <w:szCs w:val="20"/>
                <w:lang w:val="ru-RU"/>
              </w:rPr>
              <w:t xml:space="preserve">) </w:t>
            </w:r>
            <w:r w:rsidRPr="002F56CD">
              <w:rPr>
                <w:szCs w:val="20"/>
              </w:rPr>
              <w:t xml:space="preserve">циклоспорин </w:t>
            </w:r>
            <w:r w:rsidRPr="002F56CD">
              <w:rPr>
                <w:szCs w:val="20"/>
                <w:lang w:val="ru-RU"/>
              </w:rPr>
              <w:t>(</w:t>
            </w:r>
            <w:r w:rsidRPr="002F56CD">
              <w:rPr>
                <w:szCs w:val="20"/>
                <w:lang w:val="en-US"/>
              </w:rPr>
              <w:t>Co</w:t>
            </w:r>
            <w:r w:rsidRPr="002F56CD">
              <w:rPr>
                <w:szCs w:val="20"/>
                <w:lang w:val="ru-RU"/>
              </w:rPr>
              <w:t xml:space="preserve"> </w:t>
            </w:r>
            <w:r w:rsidRPr="002F56CD">
              <w:rPr>
                <w:szCs w:val="20"/>
                <w:lang w:val="en-US"/>
              </w:rPr>
              <w:t>ng</w:t>
            </w:r>
            <w:r w:rsidRPr="002F56CD">
              <w:rPr>
                <w:szCs w:val="20"/>
                <w:lang w:val="ru-RU"/>
              </w:rPr>
              <w:t>/</w:t>
            </w:r>
            <w:r w:rsidRPr="002F56CD">
              <w:rPr>
                <w:szCs w:val="20"/>
                <w:lang w:val="en-US"/>
              </w:rPr>
              <w:t>ml</w:t>
            </w:r>
            <w:r w:rsidRPr="002F56CD">
              <w:rPr>
                <w:szCs w:val="20"/>
                <w:lang w:val="ru-RU"/>
              </w:rPr>
              <w:t>)</w:t>
            </w:r>
          </w:p>
        </w:tc>
        <w:tc>
          <w:tcPr>
            <w:tcW w:w="2394" w:type="dxa"/>
          </w:tcPr>
          <w:p w14:paraId="4E071230" w14:textId="6A39D487" w:rsidR="002F56CD" w:rsidRPr="002F56CD" w:rsidRDefault="002F56CD" w:rsidP="002F56CD">
            <w:pPr>
              <w:rPr>
                <w:rFonts w:cs="Arial"/>
              </w:rPr>
            </w:pPr>
            <w:r w:rsidRPr="002F56CD">
              <w:rPr>
                <w:szCs w:val="20"/>
              </w:rPr>
              <w:t xml:space="preserve">циклоспорин </w:t>
            </w:r>
            <w:r w:rsidRPr="002F56CD">
              <w:rPr>
                <w:szCs w:val="20"/>
                <w:lang w:val="en-US"/>
              </w:rPr>
              <w:t>(Co ng/ml)</w:t>
            </w:r>
          </w:p>
        </w:tc>
      </w:tr>
      <w:tr w:rsidR="002F56CD" w14:paraId="2A4DD9E3" w14:textId="77777777" w:rsidTr="002F56CD">
        <w:tc>
          <w:tcPr>
            <w:tcW w:w="2394" w:type="dxa"/>
          </w:tcPr>
          <w:p w14:paraId="52C1EE85" w14:textId="5A76AB7B" w:rsidR="002F56CD" w:rsidRPr="002F56CD" w:rsidRDefault="002F56CD" w:rsidP="002F56CD">
            <w:pPr>
              <w:rPr>
                <w:rFonts w:cs="Arial"/>
              </w:rPr>
            </w:pPr>
            <w:r w:rsidRPr="002F56CD">
              <w:rPr>
                <w:szCs w:val="20"/>
                <w:lang w:eastAsia="bg-BG"/>
              </w:rPr>
              <w:t>4-ти ден</w:t>
            </w:r>
          </w:p>
        </w:tc>
        <w:tc>
          <w:tcPr>
            <w:tcW w:w="2394" w:type="dxa"/>
          </w:tcPr>
          <w:p w14:paraId="74E83CF5" w14:textId="159D6953" w:rsidR="002F56CD" w:rsidRPr="002F56CD" w:rsidRDefault="002F56CD" w:rsidP="002F56CD">
            <w:pPr>
              <w:rPr>
                <w:rFonts w:cs="Arial"/>
              </w:rPr>
            </w:pPr>
            <w:r w:rsidRPr="002F56CD">
              <w:rPr>
                <w:szCs w:val="20"/>
              </w:rPr>
              <w:t>5,7 (4,6)</w:t>
            </w:r>
          </w:p>
        </w:tc>
        <w:tc>
          <w:tcPr>
            <w:tcW w:w="2394" w:type="dxa"/>
          </w:tcPr>
          <w:p w14:paraId="0C7766A9" w14:textId="52DE4E3F" w:rsidR="002F56CD" w:rsidRPr="002F56CD" w:rsidRDefault="002F56CD" w:rsidP="002F56CD">
            <w:pPr>
              <w:rPr>
                <w:rFonts w:cs="Arial"/>
              </w:rPr>
            </w:pPr>
            <w:r w:rsidRPr="002F56CD">
              <w:rPr>
                <w:szCs w:val="20"/>
              </w:rPr>
              <w:t>153 (103)</w:t>
            </w:r>
          </w:p>
        </w:tc>
        <w:tc>
          <w:tcPr>
            <w:tcW w:w="2394" w:type="dxa"/>
          </w:tcPr>
          <w:p w14:paraId="5BAA2B59" w14:textId="356CB076" w:rsidR="002F56CD" w:rsidRPr="002F56CD" w:rsidRDefault="002F56CD" w:rsidP="002F56CD">
            <w:pPr>
              <w:rPr>
                <w:rFonts w:cs="Arial"/>
              </w:rPr>
            </w:pPr>
            <w:r w:rsidRPr="002F56CD">
              <w:rPr>
                <w:szCs w:val="20"/>
              </w:rPr>
              <w:t>151 (101)</w:t>
            </w:r>
          </w:p>
        </w:tc>
      </w:tr>
      <w:tr w:rsidR="002F56CD" w14:paraId="1890705D" w14:textId="77777777" w:rsidTr="002F56CD">
        <w:tc>
          <w:tcPr>
            <w:tcW w:w="2394" w:type="dxa"/>
          </w:tcPr>
          <w:p w14:paraId="07ACAA2B" w14:textId="25BA7616" w:rsidR="002F56CD" w:rsidRPr="002F56CD" w:rsidRDefault="002F56CD" w:rsidP="002F56CD">
            <w:pPr>
              <w:rPr>
                <w:rFonts w:cs="Arial"/>
              </w:rPr>
            </w:pPr>
            <w:r w:rsidRPr="002F56CD">
              <w:rPr>
                <w:szCs w:val="20"/>
                <w:lang w:eastAsia="bg-BG"/>
              </w:rPr>
              <w:t>1-ви месец</w:t>
            </w:r>
          </w:p>
        </w:tc>
        <w:tc>
          <w:tcPr>
            <w:tcW w:w="2394" w:type="dxa"/>
          </w:tcPr>
          <w:p w14:paraId="0608D8CA" w14:textId="7D50EDF3" w:rsidR="002F56CD" w:rsidRPr="002F56CD" w:rsidRDefault="002F56CD" w:rsidP="002F56CD">
            <w:pPr>
              <w:rPr>
                <w:rFonts w:cs="Arial"/>
              </w:rPr>
            </w:pPr>
            <w:r w:rsidRPr="002F56CD">
              <w:rPr>
                <w:szCs w:val="20"/>
              </w:rPr>
              <w:t>5,2 (2,4)</w:t>
            </w:r>
          </w:p>
        </w:tc>
        <w:tc>
          <w:tcPr>
            <w:tcW w:w="2394" w:type="dxa"/>
          </w:tcPr>
          <w:p w14:paraId="1C717475" w14:textId="24C579D1" w:rsidR="002F56CD" w:rsidRPr="002F56CD" w:rsidRDefault="002F56CD" w:rsidP="002F56CD">
            <w:pPr>
              <w:rPr>
                <w:rFonts w:cs="Arial"/>
              </w:rPr>
            </w:pPr>
            <w:r w:rsidRPr="002F56CD">
              <w:rPr>
                <w:szCs w:val="20"/>
              </w:rPr>
              <w:t>247 (91)</w:t>
            </w:r>
          </w:p>
        </w:tc>
        <w:tc>
          <w:tcPr>
            <w:tcW w:w="2394" w:type="dxa"/>
          </w:tcPr>
          <w:p w14:paraId="478D7363" w14:textId="46DF0830" w:rsidR="002F56CD" w:rsidRPr="002F56CD" w:rsidRDefault="002F56CD" w:rsidP="002F56CD">
            <w:pPr>
              <w:rPr>
                <w:rFonts w:cs="Arial"/>
              </w:rPr>
            </w:pPr>
            <w:r w:rsidRPr="002F56CD">
              <w:rPr>
                <w:szCs w:val="20"/>
              </w:rPr>
              <w:t>269 (99)</w:t>
            </w:r>
          </w:p>
        </w:tc>
      </w:tr>
      <w:tr w:rsidR="002F56CD" w14:paraId="5C4929A7" w14:textId="77777777" w:rsidTr="002F56CD">
        <w:tc>
          <w:tcPr>
            <w:tcW w:w="2394" w:type="dxa"/>
          </w:tcPr>
          <w:p w14:paraId="783359A0" w14:textId="7549FB4A" w:rsidR="002F56CD" w:rsidRPr="002F56CD" w:rsidRDefault="002F56CD" w:rsidP="002F56CD">
            <w:pPr>
              <w:rPr>
                <w:rFonts w:cs="Arial"/>
              </w:rPr>
            </w:pPr>
            <w:r w:rsidRPr="002F56CD">
              <w:rPr>
                <w:szCs w:val="20"/>
                <w:lang w:eastAsia="bg-BG"/>
              </w:rPr>
              <w:t>3-ти месец</w:t>
            </w:r>
          </w:p>
        </w:tc>
        <w:tc>
          <w:tcPr>
            <w:tcW w:w="2394" w:type="dxa"/>
          </w:tcPr>
          <w:p w14:paraId="65025804" w14:textId="323A4EA1" w:rsidR="002F56CD" w:rsidRPr="002F56CD" w:rsidRDefault="002F56CD" w:rsidP="002F56CD">
            <w:pPr>
              <w:rPr>
                <w:rFonts w:cs="Arial"/>
              </w:rPr>
            </w:pPr>
            <w:r w:rsidRPr="002F56CD">
              <w:rPr>
                <w:szCs w:val="20"/>
              </w:rPr>
              <w:t>5,4 (2,6)</w:t>
            </w:r>
          </w:p>
        </w:tc>
        <w:tc>
          <w:tcPr>
            <w:tcW w:w="2394" w:type="dxa"/>
          </w:tcPr>
          <w:p w14:paraId="25F78C43" w14:textId="01E73D00" w:rsidR="002F56CD" w:rsidRPr="002F56CD" w:rsidRDefault="002F56CD" w:rsidP="002F56CD">
            <w:pPr>
              <w:rPr>
                <w:rFonts w:cs="Arial"/>
              </w:rPr>
            </w:pPr>
            <w:r w:rsidRPr="002F56CD">
              <w:rPr>
                <w:szCs w:val="20"/>
              </w:rPr>
              <w:t>209 (86)</w:t>
            </w:r>
          </w:p>
        </w:tc>
        <w:tc>
          <w:tcPr>
            <w:tcW w:w="2394" w:type="dxa"/>
          </w:tcPr>
          <w:p w14:paraId="24CCB504" w14:textId="1F1BD98E" w:rsidR="002F56CD" w:rsidRPr="002F56CD" w:rsidRDefault="002F56CD" w:rsidP="002F56CD">
            <w:pPr>
              <w:rPr>
                <w:rFonts w:cs="Arial"/>
              </w:rPr>
            </w:pPr>
            <w:r w:rsidRPr="002F56CD">
              <w:rPr>
                <w:szCs w:val="20"/>
              </w:rPr>
              <w:t>245 (90)</w:t>
            </w:r>
          </w:p>
        </w:tc>
      </w:tr>
      <w:tr w:rsidR="002F56CD" w14:paraId="6B0FBF9D" w14:textId="77777777" w:rsidTr="002F56CD">
        <w:tc>
          <w:tcPr>
            <w:tcW w:w="2394" w:type="dxa"/>
          </w:tcPr>
          <w:p w14:paraId="7DCFC547" w14:textId="0A75EB0B" w:rsidR="002F56CD" w:rsidRPr="002F56CD" w:rsidRDefault="002F56CD" w:rsidP="002F56CD">
            <w:pPr>
              <w:rPr>
                <w:rFonts w:cs="Arial"/>
              </w:rPr>
            </w:pPr>
            <w:r w:rsidRPr="002F56CD">
              <w:rPr>
                <w:szCs w:val="20"/>
                <w:lang w:eastAsia="bg-BG"/>
              </w:rPr>
              <w:lastRenderedPageBreak/>
              <w:t>6-ти месец</w:t>
            </w:r>
          </w:p>
        </w:tc>
        <w:tc>
          <w:tcPr>
            <w:tcW w:w="2394" w:type="dxa"/>
          </w:tcPr>
          <w:p w14:paraId="26D03E4A" w14:textId="68C6AFEE" w:rsidR="002F56CD" w:rsidRPr="002F56CD" w:rsidRDefault="002F56CD" w:rsidP="002F56CD">
            <w:pPr>
              <w:rPr>
                <w:rFonts w:cs="Arial"/>
              </w:rPr>
            </w:pPr>
            <w:r w:rsidRPr="002F56CD">
              <w:rPr>
                <w:szCs w:val="20"/>
              </w:rPr>
              <w:t>5,7 (2,3)</w:t>
            </w:r>
          </w:p>
        </w:tc>
        <w:tc>
          <w:tcPr>
            <w:tcW w:w="2394" w:type="dxa"/>
          </w:tcPr>
          <w:p w14:paraId="1DF25C59" w14:textId="29581A60" w:rsidR="002F56CD" w:rsidRPr="002F56CD" w:rsidRDefault="002F56CD" w:rsidP="002F56CD">
            <w:pPr>
              <w:rPr>
                <w:rFonts w:cs="Arial"/>
              </w:rPr>
            </w:pPr>
            <w:r w:rsidRPr="002F56CD">
              <w:rPr>
                <w:szCs w:val="20"/>
              </w:rPr>
              <w:t>151 (76)</w:t>
            </w:r>
          </w:p>
        </w:tc>
        <w:tc>
          <w:tcPr>
            <w:tcW w:w="2394" w:type="dxa"/>
          </w:tcPr>
          <w:p w14:paraId="75CD9666" w14:textId="33F89158" w:rsidR="002F56CD" w:rsidRPr="002F56CD" w:rsidRDefault="002F56CD" w:rsidP="002F56CD">
            <w:pPr>
              <w:rPr>
                <w:rFonts w:cs="Arial"/>
              </w:rPr>
            </w:pPr>
            <w:r w:rsidRPr="002F56CD">
              <w:rPr>
                <w:szCs w:val="20"/>
              </w:rPr>
              <w:t>202 (72)</w:t>
            </w:r>
          </w:p>
        </w:tc>
      </w:tr>
      <w:tr w:rsidR="002F56CD" w14:paraId="73566438" w14:textId="77777777" w:rsidTr="002F56CD">
        <w:tc>
          <w:tcPr>
            <w:tcW w:w="2394" w:type="dxa"/>
          </w:tcPr>
          <w:p w14:paraId="5636CDEA" w14:textId="61ECA6D9" w:rsidR="002F56CD" w:rsidRPr="002F56CD" w:rsidRDefault="002F56CD" w:rsidP="002F56CD">
            <w:pPr>
              <w:rPr>
                <w:rFonts w:cs="Arial"/>
              </w:rPr>
            </w:pPr>
            <w:r w:rsidRPr="002F56CD">
              <w:rPr>
                <w:szCs w:val="20"/>
                <w:lang w:eastAsia="bg-BG"/>
              </w:rPr>
              <w:t>9-ти месец</w:t>
            </w:r>
          </w:p>
        </w:tc>
        <w:tc>
          <w:tcPr>
            <w:tcW w:w="2394" w:type="dxa"/>
          </w:tcPr>
          <w:p w14:paraId="0F8668CC" w14:textId="4EC9B06B" w:rsidR="002F56CD" w:rsidRPr="002F56CD" w:rsidRDefault="002F56CD" w:rsidP="002F56CD">
            <w:pPr>
              <w:rPr>
                <w:rFonts w:cs="Arial"/>
              </w:rPr>
            </w:pPr>
            <w:r w:rsidRPr="002F56CD">
              <w:rPr>
                <w:szCs w:val="20"/>
              </w:rPr>
              <w:t>5,5 (2,2)</w:t>
            </w:r>
          </w:p>
        </w:tc>
        <w:tc>
          <w:tcPr>
            <w:tcW w:w="2394" w:type="dxa"/>
          </w:tcPr>
          <w:p w14:paraId="326F04F8" w14:textId="2A81CDB1" w:rsidR="002F56CD" w:rsidRPr="002F56CD" w:rsidRDefault="002F56CD" w:rsidP="002F56CD">
            <w:pPr>
              <w:rPr>
                <w:rFonts w:cs="Arial"/>
              </w:rPr>
            </w:pPr>
            <w:r w:rsidRPr="002F56CD">
              <w:rPr>
                <w:szCs w:val="20"/>
              </w:rPr>
              <w:t>117(77)</w:t>
            </w:r>
          </w:p>
        </w:tc>
        <w:tc>
          <w:tcPr>
            <w:tcW w:w="2394" w:type="dxa"/>
          </w:tcPr>
          <w:p w14:paraId="681E7409" w14:textId="50BCCA74" w:rsidR="002F56CD" w:rsidRPr="002F56CD" w:rsidRDefault="002F56CD" w:rsidP="002F56CD">
            <w:pPr>
              <w:rPr>
                <w:rFonts w:cs="Arial"/>
              </w:rPr>
            </w:pPr>
            <w:r w:rsidRPr="002F56CD">
              <w:rPr>
                <w:szCs w:val="20"/>
              </w:rPr>
              <w:t>176 (64)</w:t>
            </w:r>
          </w:p>
        </w:tc>
      </w:tr>
      <w:tr w:rsidR="002F56CD" w14:paraId="5E7F36C1" w14:textId="77777777" w:rsidTr="002F56CD">
        <w:tc>
          <w:tcPr>
            <w:tcW w:w="2394" w:type="dxa"/>
          </w:tcPr>
          <w:p w14:paraId="544FA836" w14:textId="75AFA518" w:rsidR="002F56CD" w:rsidRPr="002F56CD" w:rsidRDefault="002F56CD" w:rsidP="002F56CD">
            <w:pPr>
              <w:rPr>
                <w:rFonts w:cs="Arial"/>
              </w:rPr>
            </w:pPr>
            <w:r w:rsidRPr="002F56CD">
              <w:rPr>
                <w:szCs w:val="20"/>
                <w:lang w:eastAsia="bg-BG"/>
              </w:rPr>
              <w:t>12-ти месец</w:t>
            </w:r>
          </w:p>
        </w:tc>
        <w:tc>
          <w:tcPr>
            <w:tcW w:w="2394" w:type="dxa"/>
          </w:tcPr>
          <w:p w14:paraId="0EF500CD" w14:textId="6E5D8B91" w:rsidR="002F56CD" w:rsidRPr="002F56CD" w:rsidRDefault="002F56CD" w:rsidP="002F56CD">
            <w:pPr>
              <w:rPr>
                <w:rFonts w:cs="Arial"/>
              </w:rPr>
            </w:pPr>
            <w:r w:rsidRPr="002F56CD">
              <w:rPr>
                <w:szCs w:val="20"/>
              </w:rPr>
              <w:t>5,4 (2,0)</w:t>
            </w:r>
          </w:p>
        </w:tc>
        <w:tc>
          <w:tcPr>
            <w:tcW w:w="2394" w:type="dxa"/>
          </w:tcPr>
          <w:p w14:paraId="682C8280" w14:textId="15C031A4" w:rsidR="002F56CD" w:rsidRPr="002F56CD" w:rsidRDefault="002F56CD" w:rsidP="002F56CD">
            <w:pPr>
              <w:rPr>
                <w:rFonts w:cs="Arial"/>
              </w:rPr>
            </w:pPr>
            <w:r w:rsidRPr="002F56CD">
              <w:rPr>
                <w:szCs w:val="20"/>
              </w:rPr>
              <w:t>102 (48)</w:t>
            </w:r>
          </w:p>
        </w:tc>
        <w:tc>
          <w:tcPr>
            <w:tcW w:w="2394" w:type="dxa"/>
          </w:tcPr>
          <w:p w14:paraId="0E975407" w14:textId="093D0CB7" w:rsidR="002F56CD" w:rsidRPr="002F56CD" w:rsidRDefault="002F56CD" w:rsidP="002F56CD">
            <w:pPr>
              <w:rPr>
                <w:rFonts w:cs="Arial"/>
              </w:rPr>
            </w:pPr>
            <w:r w:rsidRPr="002F56CD">
              <w:rPr>
                <w:szCs w:val="20"/>
              </w:rPr>
              <w:t>167 (66)</w:t>
            </w:r>
          </w:p>
        </w:tc>
      </w:tr>
    </w:tbl>
    <w:p w14:paraId="02159531" w14:textId="77777777" w:rsidR="002F56CD" w:rsidRDefault="002F56CD" w:rsidP="002F56CD">
      <w:pPr>
        <w:spacing w:line="240" w:lineRule="auto"/>
        <w:rPr>
          <w:rFonts w:eastAsia="Times New Roman" w:cs="Arial"/>
          <w:color w:val="000000"/>
          <w:szCs w:val="20"/>
          <w:lang w:eastAsia="bg-BG"/>
        </w:rPr>
      </w:pPr>
    </w:p>
    <w:p w14:paraId="334E908E" w14:textId="73B501DE"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Стойностите са средни (стандартно отклонение) на измерените стойности с С</w:t>
      </w:r>
      <w:r w:rsidRPr="002F56CD">
        <w:rPr>
          <w:rFonts w:eastAsia="Times New Roman" w:cs="Arial"/>
          <w:color w:val="000000"/>
          <w:szCs w:val="20"/>
          <w:vertAlign w:val="subscript"/>
          <w:lang w:eastAsia="bg-BG"/>
        </w:rPr>
        <w:t>0=</w:t>
      </w:r>
      <w:r w:rsidRPr="002F56CD">
        <w:rPr>
          <w:rFonts w:eastAsia="Times New Roman" w:cs="Arial"/>
          <w:color w:val="000000"/>
          <w:szCs w:val="20"/>
          <w:lang w:eastAsia="bg-BG"/>
        </w:rPr>
        <w:t>най-ниски плазмени концентрации</w:t>
      </w:r>
    </w:p>
    <w:p w14:paraId="46A0C6A3" w14:textId="77777777" w:rsidR="002F56CD" w:rsidRPr="002F56CD" w:rsidRDefault="002F56CD" w:rsidP="002F56CD">
      <w:pPr>
        <w:spacing w:line="240" w:lineRule="auto"/>
        <w:rPr>
          <w:rFonts w:eastAsia="Times New Roman" w:cs="Arial"/>
          <w:color w:val="000000"/>
          <w:szCs w:val="20"/>
          <w:lang w:eastAsia="bg-BG"/>
        </w:rPr>
      </w:pPr>
    </w:p>
    <w:p w14:paraId="680C5A6B" w14:textId="3D5D7D68"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Ефикасноста на 12-тия месец е представена в таблица 16.</w:t>
      </w:r>
    </w:p>
    <w:p w14:paraId="3B5B6C7B" w14:textId="77777777" w:rsidR="002F56CD" w:rsidRPr="002F56CD" w:rsidRDefault="002F56CD" w:rsidP="002F56CD">
      <w:pPr>
        <w:spacing w:line="240" w:lineRule="auto"/>
        <w:rPr>
          <w:rFonts w:eastAsia="Times New Roman" w:cs="Arial"/>
          <w:b/>
          <w:bCs/>
          <w:color w:val="000000"/>
          <w:szCs w:val="20"/>
          <w:lang w:eastAsia="bg-BG"/>
        </w:rPr>
      </w:pPr>
    </w:p>
    <w:p w14:paraId="3CF5BBF9" w14:textId="3A391806"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 xml:space="preserve">Таблица 16 Изпитване А2310: Честота на възникване на крайните точки за ефикасност в отделните терапевтични групи </w:t>
      </w:r>
      <w:r w:rsidRPr="002F56CD">
        <w:rPr>
          <w:rFonts w:eastAsia="Times New Roman" w:cs="Arial"/>
          <w:b/>
          <w:bCs/>
          <w:color w:val="000000"/>
          <w:szCs w:val="20"/>
          <w:lang w:val="ru-RU"/>
        </w:rPr>
        <w:t>(</w:t>
      </w:r>
      <w:r w:rsidRPr="002F56CD">
        <w:rPr>
          <w:rFonts w:eastAsia="Times New Roman" w:cs="Arial"/>
          <w:b/>
          <w:bCs/>
          <w:color w:val="000000"/>
          <w:szCs w:val="20"/>
          <w:lang w:val="en-US"/>
        </w:rPr>
        <w:t>ITT</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популация -12 месечен анализ)</w:t>
      </w:r>
    </w:p>
    <w:tbl>
      <w:tblPr>
        <w:tblStyle w:val="TableGrid"/>
        <w:tblW w:w="0" w:type="auto"/>
        <w:tblLook w:val="04A0" w:firstRow="1" w:lastRow="0" w:firstColumn="1" w:lastColumn="0" w:noHBand="0" w:noVBand="1"/>
      </w:tblPr>
      <w:tblGrid>
        <w:gridCol w:w="3349"/>
        <w:gridCol w:w="3016"/>
        <w:gridCol w:w="2985"/>
      </w:tblGrid>
      <w:tr w:rsidR="002F56CD" w14:paraId="6DF72708" w14:textId="77777777" w:rsidTr="002F56CD">
        <w:tc>
          <w:tcPr>
            <w:tcW w:w="3349" w:type="dxa"/>
          </w:tcPr>
          <w:p w14:paraId="212E8A91" w14:textId="77777777" w:rsidR="002F56CD" w:rsidRPr="002F56CD" w:rsidRDefault="002F56CD" w:rsidP="002F56CD">
            <w:pPr>
              <w:rPr>
                <w:rFonts w:cs="Arial"/>
              </w:rPr>
            </w:pPr>
          </w:p>
        </w:tc>
        <w:tc>
          <w:tcPr>
            <w:tcW w:w="3120" w:type="dxa"/>
          </w:tcPr>
          <w:p w14:paraId="11869D7E" w14:textId="2D21FD90" w:rsidR="002F56CD" w:rsidRPr="002F56CD" w:rsidRDefault="002F56CD" w:rsidP="002F56CD">
            <w:pPr>
              <w:rPr>
                <w:rFonts w:cs="Arial"/>
              </w:rPr>
            </w:pPr>
            <w:r w:rsidRPr="002F56CD">
              <w:rPr>
                <w:b/>
                <w:bCs/>
                <w:szCs w:val="20"/>
              </w:rPr>
              <w:t xml:space="preserve">Сертикан 1.5 </w:t>
            </w:r>
            <w:r w:rsidRPr="002F56CD">
              <w:rPr>
                <w:b/>
                <w:bCs/>
                <w:szCs w:val="20"/>
                <w:lang w:val="en-US"/>
              </w:rPr>
              <w:t>mg N=279</w:t>
            </w:r>
          </w:p>
        </w:tc>
        <w:tc>
          <w:tcPr>
            <w:tcW w:w="3107" w:type="dxa"/>
          </w:tcPr>
          <w:p w14:paraId="7454A2D1" w14:textId="0C094FF6" w:rsidR="002F56CD" w:rsidRPr="002F56CD" w:rsidRDefault="002F56CD" w:rsidP="002F56CD">
            <w:pPr>
              <w:rPr>
                <w:rFonts w:cs="Arial"/>
              </w:rPr>
            </w:pPr>
            <w:r w:rsidRPr="002F56CD">
              <w:rPr>
                <w:b/>
                <w:bCs/>
                <w:szCs w:val="20"/>
                <w:lang w:val="en-US"/>
              </w:rPr>
              <w:t>MMF N=271</w:t>
            </w:r>
          </w:p>
        </w:tc>
      </w:tr>
      <w:tr w:rsidR="002F56CD" w14:paraId="355A21CB" w14:textId="77777777" w:rsidTr="002F56CD">
        <w:tc>
          <w:tcPr>
            <w:tcW w:w="3349" w:type="dxa"/>
          </w:tcPr>
          <w:p w14:paraId="3DA14888" w14:textId="5C4D5141" w:rsidR="002F56CD" w:rsidRPr="002F56CD" w:rsidRDefault="002F56CD" w:rsidP="002F56CD">
            <w:pPr>
              <w:rPr>
                <w:rFonts w:cs="Arial"/>
              </w:rPr>
            </w:pPr>
            <w:r w:rsidRPr="002F56CD">
              <w:rPr>
                <w:szCs w:val="20"/>
              </w:rPr>
              <w:t>Крайна точка за ефикасност</w:t>
            </w:r>
          </w:p>
        </w:tc>
        <w:tc>
          <w:tcPr>
            <w:tcW w:w="3120" w:type="dxa"/>
          </w:tcPr>
          <w:p w14:paraId="6F684F29" w14:textId="1D330FFE" w:rsidR="002F56CD" w:rsidRPr="002F56CD" w:rsidRDefault="002F56CD" w:rsidP="002F56CD">
            <w:pPr>
              <w:rPr>
                <w:rFonts w:cs="Arial"/>
              </w:rPr>
            </w:pPr>
            <w:proofErr w:type="gramStart"/>
            <w:r w:rsidRPr="002F56CD">
              <w:rPr>
                <w:szCs w:val="20"/>
                <w:lang w:val="en-US"/>
              </w:rPr>
              <w:t>n(</w:t>
            </w:r>
            <w:proofErr w:type="gramEnd"/>
            <w:r w:rsidRPr="002F56CD">
              <w:rPr>
                <w:szCs w:val="20"/>
                <w:lang w:val="en-US"/>
              </w:rPr>
              <w:t>%)</w:t>
            </w:r>
          </w:p>
        </w:tc>
        <w:tc>
          <w:tcPr>
            <w:tcW w:w="3107" w:type="dxa"/>
          </w:tcPr>
          <w:p w14:paraId="0FB1DC39" w14:textId="4AF953E5" w:rsidR="002F56CD" w:rsidRPr="002F56CD" w:rsidRDefault="002F56CD" w:rsidP="002F56CD">
            <w:pPr>
              <w:rPr>
                <w:rFonts w:cs="Arial"/>
              </w:rPr>
            </w:pPr>
            <w:proofErr w:type="gramStart"/>
            <w:r w:rsidRPr="002F56CD">
              <w:rPr>
                <w:szCs w:val="20"/>
                <w:lang w:val="en-US"/>
              </w:rPr>
              <w:t>n(</w:t>
            </w:r>
            <w:proofErr w:type="gramEnd"/>
            <w:r w:rsidRPr="002F56CD">
              <w:rPr>
                <w:szCs w:val="20"/>
                <w:lang w:val="en-US"/>
              </w:rPr>
              <w:t>%)</w:t>
            </w:r>
          </w:p>
        </w:tc>
      </w:tr>
      <w:tr w:rsidR="002F56CD" w14:paraId="54EB6EBE" w14:textId="77777777" w:rsidTr="002F56CD">
        <w:tc>
          <w:tcPr>
            <w:tcW w:w="3349" w:type="dxa"/>
          </w:tcPr>
          <w:p w14:paraId="5DCF2D3B" w14:textId="5A14631D" w:rsidR="002F56CD" w:rsidRPr="002F56CD" w:rsidRDefault="002F56CD" w:rsidP="002F56CD">
            <w:pPr>
              <w:rPr>
                <w:rFonts w:cs="Arial"/>
              </w:rPr>
            </w:pPr>
            <w:r w:rsidRPr="002F56CD">
              <w:rPr>
                <w:szCs w:val="20"/>
              </w:rPr>
              <w:t>Първична: Съставна крайна точка за неуспех в лечението</w:t>
            </w:r>
          </w:p>
        </w:tc>
        <w:tc>
          <w:tcPr>
            <w:tcW w:w="3120" w:type="dxa"/>
          </w:tcPr>
          <w:p w14:paraId="70070B05" w14:textId="5B2B3117" w:rsidR="002F56CD" w:rsidRPr="002F56CD" w:rsidRDefault="002F56CD" w:rsidP="002F56CD">
            <w:pPr>
              <w:rPr>
                <w:rFonts w:cs="Arial"/>
              </w:rPr>
            </w:pPr>
            <w:r w:rsidRPr="002F56CD">
              <w:rPr>
                <w:szCs w:val="20"/>
              </w:rPr>
              <w:t>99 (35,1)</w:t>
            </w:r>
          </w:p>
        </w:tc>
        <w:tc>
          <w:tcPr>
            <w:tcW w:w="3107" w:type="dxa"/>
          </w:tcPr>
          <w:p w14:paraId="593EAFCF" w14:textId="23072C3A" w:rsidR="002F56CD" w:rsidRPr="002F56CD" w:rsidRDefault="002F56CD" w:rsidP="002F56CD">
            <w:pPr>
              <w:rPr>
                <w:rFonts w:cs="Arial"/>
              </w:rPr>
            </w:pPr>
            <w:r w:rsidRPr="002F56CD">
              <w:rPr>
                <w:szCs w:val="20"/>
                <w:lang w:val="en-US"/>
              </w:rPr>
              <w:t>91 (33,6)</w:t>
            </w:r>
          </w:p>
        </w:tc>
      </w:tr>
      <w:tr w:rsidR="002F56CD" w14:paraId="42096AA0" w14:textId="77777777" w:rsidTr="002F56CD">
        <w:tc>
          <w:tcPr>
            <w:tcW w:w="3349" w:type="dxa"/>
          </w:tcPr>
          <w:p w14:paraId="670440FE" w14:textId="653883FC" w:rsidR="002F56CD" w:rsidRPr="002F56CD" w:rsidRDefault="002F56CD" w:rsidP="002F56CD">
            <w:pPr>
              <w:rPr>
                <w:rFonts w:cs="Arial"/>
              </w:rPr>
            </w:pPr>
            <w:r w:rsidRPr="002F56CD">
              <w:rPr>
                <w:szCs w:val="20"/>
              </w:rPr>
              <w:t>- Остро отхвърляне свързано с хемодинамично компрометиране</w:t>
            </w:r>
          </w:p>
        </w:tc>
        <w:tc>
          <w:tcPr>
            <w:tcW w:w="3120" w:type="dxa"/>
          </w:tcPr>
          <w:p w14:paraId="293E458A" w14:textId="442C4F5C" w:rsidR="002F56CD" w:rsidRPr="002F56CD" w:rsidRDefault="002F56CD" w:rsidP="002F56CD">
            <w:pPr>
              <w:rPr>
                <w:rFonts w:cs="Arial"/>
              </w:rPr>
            </w:pPr>
            <w:r w:rsidRPr="002F56CD">
              <w:rPr>
                <w:szCs w:val="20"/>
              </w:rPr>
              <w:t>11(3,9)</w:t>
            </w:r>
          </w:p>
        </w:tc>
        <w:tc>
          <w:tcPr>
            <w:tcW w:w="3107" w:type="dxa"/>
          </w:tcPr>
          <w:p w14:paraId="54FE7CDF" w14:textId="72ED5D14" w:rsidR="002F56CD" w:rsidRPr="002F56CD" w:rsidRDefault="002F56CD" w:rsidP="002F56CD">
            <w:pPr>
              <w:rPr>
                <w:rFonts w:cs="Arial"/>
              </w:rPr>
            </w:pPr>
            <w:r w:rsidRPr="002F56CD">
              <w:rPr>
                <w:szCs w:val="20"/>
                <w:lang w:val="en-US"/>
              </w:rPr>
              <w:t>7(2,6)</w:t>
            </w:r>
          </w:p>
        </w:tc>
      </w:tr>
      <w:tr w:rsidR="002F56CD" w14:paraId="29DB4D7B" w14:textId="77777777" w:rsidTr="002F56CD">
        <w:tc>
          <w:tcPr>
            <w:tcW w:w="3349" w:type="dxa"/>
          </w:tcPr>
          <w:p w14:paraId="7E4C6060" w14:textId="1718AE3F" w:rsidR="002F56CD" w:rsidRPr="002F56CD" w:rsidRDefault="002F56CD" w:rsidP="002F56CD">
            <w:pPr>
              <w:rPr>
                <w:rFonts w:cs="Arial"/>
              </w:rPr>
            </w:pPr>
            <w:r w:rsidRPr="002F56CD">
              <w:rPr>
                <w:szCs w:val="20"/>
              </w:rPr>
              <w:t xml:space="preserve">- Доказано с биопсия остро отхвръляне </w:t>
            </w:r>
            <w:r w:rsidRPr="002F56CD">
              <w:rPr>
                <w:szCs w:val="20"/>
                <w:lang w:val="en-US"/>
              </w:rPr>
              <w:t>ISHLT</w:t>
            </w:r>
            <w:r w:rsidRPr="002F56CD">
              <w:rPr>
                <w:szCs w:val="20"/>
                <w:lang w:val="ru-RU"/>
              </w:rPr>
              <w:t xml:space="preserve"> </w:t>
            </w:r>
            <w:r w:rsidRPr="002F56CD">
              <w:rPr>
                <w:szCs w:val="20"/>
              </w:rPr>
              <w:t>степен &gt;= ЗА</w:t>
            </w:r>
          </w:p>
        </w:tc>
        <w:tc>
          <w:tcPr>
            <w:tcW w:w="3120" w:type="dxa"/>
          </w:tcPr>
          <w:p w14:paraId="531A446D" w14:textId="28E1629B" w:rsidR="002F56CD" w:rsidRPr="002F56CD" w:rsidRDefault="002F56CD" w:rsidP="002F56CD">
            <w:pPr>
              <w:rPr>
                <w:rFonts w:cs="Arial"/>
              </w:rPr>
            </w:pPr>
            <w:r w:rsidRPr="002F56CD">
              <w:rPr>
                <w:szCs w:val="20"/>
              </w:rPr>
              <w:t>63 (22,3)</w:t>
            </w:r>
          </w:p>
        </w:tc>
        <w:tc>
          <w:tcPr>
            <w:tcW w:w="3107" w:type="dxa"/>
          </w:tcPr>
          <w:p w14:paraId="31BFE5B0" w14:textId="6990A53B" w:rsidR="002F56CD" w:rsidRPr="002F56CD" w:rsidRDefault="002F56CD" w:rsidP="002F56CD">
            <w:pPr>
              <w:rPr>
                <w:rFonts w:cs="Arial"/>
              </w:rPr>
            </w:pPr>
            <w:r w:rsidRPr="002F56CD">
              <w:rPr>
                <w:szCs w:val="20"/>
                <w:lang w:val="en-US"/>
              </w:rPr>
              <w:t>67 (24,7)</w:t>
            </w:r>
          </w:p>
        </w:tc>
      </w:tr>
      <w:tr w:rsidR="002F56CD" w14:paraId="59239AE2" w14:textId="77777777" w:rsidTr="002F56CD">
        <w:tc>
          <w:tcPr>
            <w:tcW w:w="3349" w:type="dxa"/>
          </w:tcPr>
          <w:p w14:paraId="5D383888" w14:textId="6D1FA8DD" w:rsidR="002F56CD" w:rsidRPr="002F56CD" w:rsidRDefault="002F56CD" w:rsidP="002F56CD">
            <w:pPr>
              <w:rPr>
                <w:rFonts w:cs="Arial"/>
              </w:rPr>
            </w:pPr>
            <w:r w:rsidRPr="002F56CD">
              <w:rPr>
                <w:szCs w:val="20"/>
              </w:rPr>
              <w:t>- Смърт</w:t>
            </w:r>
          </w:p>
        </w:tc>
        <w:tc>
          <w:tcPr>
            <w:tcW w:w="3120" w:type="dxa"/>
          </w:tcPr>
          <w:p w14:paraId="50DD92DF" w14:textId="729E1DB8" w:rsidR="002F56CD" w:rsidRPr="002F56CD" w:rsidRDefault="002F56CD" w:rsidP="002F56CD">
            <w:pPr>
              <w:rPr>
                <w:rFonts w:cs="Arial"/>
              </w:rPr>
            </w:pPr>
            <w:r w:rsidRPr="002F56CD">
              <w:rPr>
                <w:szCs w:val="20"/>
              </w:rPr>
              <w:t>22 (7,8)</w:t>
            </w:r>
          </w:p>
        </w:tc>
        <w:tc>
          <w:tcPr>
            <w:tcW w:w="3107" w:type="dxa"/>
          </w:tcPr>
          <w:p w14:paraId="5F584A34" w14:textId="36E70A5D" w:rsidR="002F56CD" w:rsidRPr="002F56CD" w:rsidRDefault="002F56CD" w:rsidP="002F56CD">
            <w:pPr>
              <w:rPr>
                <w:rFonts w:cs="Arial"/>
              </w:rPr>
            </w:pPr>
            <w:r w:rsidRPr="002F56CD">
              <w:rPr>
                <w:szCs w:val="20"/>
                <w:lang w:val="en-US"/>
              </w:rPr>
              <w:t>13 (4,8)</w:t>
            </w:r>
          </w:p>
        </w:tc>
      </w:tr>
      <w:tr w:rsidR="002F56CD" w14:paraId="656CD8A0" w14:textId="77777777" w:rsidTr="002F56CD">
        <w:tc>
          <w:tcPr>
            <w:tcW w:w="3349" w:type="dxa"/>
          </w:tcPr>
          <w:p w14:paraId="45F9C2D1" w14:textId="588568A0" w:rsidR="002F56CD" w:rsidRPr="002F56CD" w:rsidRDefault="002F56CD" w:rsidP="002F56CD">
            <w:pPr>
              <w:rPr>
                <w:rFonts w:cs="Arial"/>
              </w:rPr>
            </w:pPr>
            <w:r w:rsidRPr="002F56CD">
              <w:rPr>
                <w:szCs w:val="20"/>
              </w:rPr>
              <w:t>- Загуба на присадката/ретрансплантация</w:t>
            </w:r>
          </w:p>
        </w:tc>
        <w:tc>
          <w:tcPr>
            <w:tcW w:w="3120" w:type="dxa"/>
          </w:tcPr>
          <w:p w14:paraId="19B3A94A" w14:textId="110BAFF9" w:rsidR="002F56CD" w:rsidRPr="002F56CD" w:rsidRDefault="002F56CD" w:rsidP="002F56CD">
            <w:pPr>
              <w:rPr>
                <w:rFonts w:cs="Arial"/>
              </w:rPr>
            </w:pPr>
            <w:r w:rsidRPr="002F56CD">
              <w:rPr>
                <w:szCs w:val="20"/>
              </w:rPr>
              <w:t>4(1,4)</w:t>
            </w:r>
          </w:p>
        </w:tc>
        <w:tc>
          <w:tcPr>
            <w:tcW w:w="3107" w:type="dxa"/>
          </w:tcPr>
          <w:p w14:paraId="1C723BCD" w14:textId="086AA1E0" w:rsidR="002F56CD" w:rsidRPr="002F56CD" w:rsidRDefault="002F56CD" w:rsidP="002F56CD">
            <w:pPr>
              <w:rPr>
                <w:rFonts w:cs="Arial"/>
              </w:rPr>
            </w:pPr>
            <w:r w:rsidRPr="002F56CD">
              <w:rPr>
                <w:szCs w:val="20"/>
                <w:lang w:val="en-US"/>
              </w:rPr>
              <w:t>5 (1,8)</w:t>
            </w:r>
          </w:p>
        </w:tc>
      </w:tr>
      <w:tr w:rsidR="002F56CD" w14:paraId="0CB0BFA6" w14:textId="77777777" w:rsidTr="002F56CD">
        <w:tc>
          <w:tcPr>
            <w:tcW w:w="3349" w:type="dxa"/>
          </w:tcPr>
          <w:p w14:paraId="1BBF51F6" w14:textId="7DD0CD9C" w:rsidR="002F56CD" w:rsidRPr="002F56CD" w:rsidRDefault="002F56CD" w:rsidP="002F56CD">
            <w:pPr>
              <w:rPr>
                <w:rFonts w:cs="Arial"/>
              </w:rPr>
            </w:pPr>
            <w:r w:rsidRPr="002F56CD">
              <w:rPr>
                <w:szCs w:val="20"/>
              </w:rPr>
              <w:t>- Загуба на пациента от проследяване*</w:t>
            </w:r>
          </w:p>
        </w:tc>
        <w:tc>
          <w:tcPr>
            <w:tcW w:w="3120" w:type="dxa"/>
          </w:tcPr>
          <w:p w14:paraId="15B80A0F" w14:textId="4E6CE590" w:rsidR="002F56CD" w:rsidRPr="002F56CD" w:rsidRDefault="002F56CD" w:rsidP="002F56CD">
            <w:pPr>
              <w:rPr>
                <w:rFonts w:cs="Arial"/>
              </w:rPr>
            </w:pPr>
            <w:r w:rsidRPr="002F56CD">
              <w:rPr>
                <w:szCs w:val="20"/>
              </w:rPr>
              <w:t>9 (3,2)</w:t>
            </w:r>
          </w:p>
        </w:tc>
        <w:tc>
          <w:tcPr>
            <w:tcW w:w="3107" w:type="dxa"/>
          </w:tcPr>
          <w:p w14:paraId="5066A40F" w14:textId="42AFA3F2" w:rsidR="002F56CD" w:rsidRPr="002F56CD" w:rsidRDefault="002F56CD" w:rsidP="002F56CD">
            <w:pPr>
              <w:rPr>
                <w:rFonts w:cs="Arial"/>
              </w:rPr>
            </w:pPr>
            <w:r w:rsidRPr="002F56CD">
              <w:rPr>
                <w:szCs w:val="20"/>
                <w:lang w:val="en-US"/>
              </w:rPr>
              <w:t>10(3,7)</w:t>
            </w:r>
          </w:p>
        </w:tc>
      </w:tr>
    </w:tbl>
    <w:p w14:paraId="13196AA6" w14:textId="77777777" w:rsidR="002F56CD" w:rsidRDefault="002F56CD" w:rsidP="002F56CD">
      <w:pPr>
        <w:spacing w:line="240" w:lineRule="auto"/>
        <w:rPr>
          <w:rFonts w:ascii="Times New Roman" w:eastAsia="Times New Roman" w:hAnsi="Times New Roman" w:cs="Times New Roman"/>
          <w:color w:val="000000"/>
          <w:sz w:val="20"/>
          <w:szCs w:val="20"/>
          <w:lang w:eastAsia="bg-BG"/>
        </w:rPr>
      </w:pPr>
    </w:p>
    <w:p w14:paraId="760234FF" w14:textId="4FF8B3E0"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Съставна крайна точка за неуспех в лечението: Епизод на доказано с биопсия остро отхвърляне </w:t>
      </w:r>
      <w:r w:rsidRPr="002F56CD">
        <w:rPr>
          <w:rFonts w:eastAsia="Times New Roman" w:cs="Arial"/>
          <w:color w:val="000000"/>
          <w:szCs w:val="20"/>
          <w:lang w:val="ru-RU"/>
        </w:rPr>
        <w:t>(</w:t>
      </w:r>
      <w:r w:rsidRPr="002F56CD">
        <w:rPr>
          <w:rFonts w:eastAsia="Times New Roman" w:cs="Arial"/>
          <w:color w:val="000000"/>
          <w:szCs w:val="20"/>
          <w:lang w:val="en-US"/>
        </w:rPr>
        <w:t>BPAR</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 </w:t>
      </w:r>
      <w:r w:rsidRPr="002F56CD">
        <w:rPr>
          <w:rFonts w:eastAsia="Times New Roman" w:cs="Arial"/>
          <w:color w:val="000000"/>
          <w:szCs w:val="20"/>
          <w:lang w:val="en-US"/>
        </w:rPr>
        <w:t>ISHLT</w:t>
      </w:r>
      <w:r w:rsidRPr="002F56CD">
        <w:rPr>
          <w:rFonts w:eastAsia="Times New Roman" w:cs="Arial"/>
          <w:color w:val="000000"/>
          <w:szCs w:val="20"/>
          <w:lang w:val="ru-RU"/>
        </w:rPr>
        <w:t xml:space="preserve"> </w:t>
      </w:r>
      <w:r w:rsidRPr="002F56CD">
        <w:rPr>
          <w:rFonts w:eastAsia="Times New Roman" w:cs="Arial"/>
          <w:color w:val="000000"/>
          <w:szCs w:val="20"/>
          <w:lang w:eastAsia="bg-BG"/>
        </w:rPr>
        <w:t>степен ≥3А, остро отхвърляне свързано хемодинамично компрометиране, загуба на присадката/ретранс плантация, смърт или загуба на пациента от проследяване.</w:t>
      </w:r>
    </w:p>
    <w:p w14:paraId="6729F714" w14:textId="77777777" w:rsidR="002F56CD" w:rsidRPr="002F56CD" w:rsidRDefault="002F56CD" w:rsidP="002F56CD">
      <w:pPr>
        <w:rPr>
          <w:rFonts w:eastAsia="Times New Roman" w:cs="Arial"/>
          <w:color w:val="000000"/>
          <w:szCs w:val="20"/>
          <w:lang w:eastAsia="bg-BG"/>
        </w:rPr>
      </w:pPr>
    </w:p>
    <w:p w14:paraId="6ACCA996" w14:textId="77777777" w:rsidR="002F56CD" w:rsidRPr="002F56CD" w:rsidRDefault="002F56CD" w:rsidP="002F56CD">
      <w:pPr>
        <w:rPr>
          <w:rFonts w:eastAsia="Times New Roman" w:cs="Arial"/>
          <w:sz w:val="28"/>
          <w:szCs w:val="24"/>
        </w:rPr>
      </w:pPr>
      <w:r w:rsidRPr="002F56CD">
        <w:rPr>
          <w:rFonts w:eastAsia="Times New Roman" w:cs="Arial"/>
          <w:color w:val="000000"/>
          <w:szCs w:val="20"/>
          <w:lang w:eastAsia="bg-BG"/>
        </w:rPr>
        <w:t xml:space="preserve">По-високата честота на фатални събития в рамото на Сертикан отнесена към рамото на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е получена предимно в резултат на повишената честота на нежелани събития вследствие инфекции през първите три месеца от лечението със Сертикан в подгрупата на пациентите при</w:t>
      </w:r>
      <w:r w:rsidRPr="002F56CD">
        <w:rPr>
          <w:rFonts w:eastAsia="Times New Roman" w:cs="Arial"/>
          <w:color w:val="000000"/>
          <w:szCs w:val="20"/>
          <w:lang w:val="ru-RU" w:eastAsia="bg-BG"/>
        </w:rPr>
        <w:t xml:space="preserve"> </w:t>
      </w:r>
      <w:r w:rsidRPr="002F56CD">
        <w:rPr>
          <w:rFonts w:eastAsia="Times New Roman" w:cs="Arial"/>
          <w:color w:val="000000"/>
          <w:szCs w:val="20"/>
          <w:lang w:eastAsia="bg-BG"/>
        </w:rPr>
        <w:t>които е била прилагана тимоглобулинова индукционна терапия. Дисбалансът по отношение на фаталните събития в рамките на тимоглобулиновата подгрупа е особено изразен при пациентите, които са били хоспитализирани преди трансплантацията и тези с устройства, подпомагащи функцията на лявата камера (вж. точка 4.4).</w:t>
      </w:r>
    </w:p>
    <w:p w14:paraId="46788D70" w14:textId="77777777" w:rsidR="002F56CD" w:rsidRPr="002F56CD" w:rsidRDefault="002F56CD" w:rsidP="002F56CD">
      <w:pPr>
        <w:spacing w:line="240" w:lineRule="auto"/>
        <w:rPr>
          <w:rFonts w:eastAsia="Times New Roman" w:cs="Arial"/>
          <w:color w:val="000000"/>
          <w:szCs w:val="20"/>
          <w:lang w:eastAsia="bg-BG"/>
        </w:rPr>
      </w:pPr>
    </w:p>
    <w:p w14:paraId="4892CE29" w14:textId="5AC8051A"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Бъбречната функция в хода на изпитване А2310, оценена чрез изчисляване на скоростта на гломерулна филтрация </w:t>
      </w:r>
      <w:r w:rsidRPr="002F56CD">
        <w:rPr>
          <w:rFonts w:eastAsia="Times New Roman" w:cs="Arial"/>
          <w:color w:val="000000"/>
          <w:szCs w:val="20"/>
          <w:lang w:val="ru-RU"/>
        </w:rPr>
        <w:t>(</w:t>
      </w:r>
      <w:r w:rsidRPr="002F56CD">
        <w:rPr>
          <w:rFonts w:eastAsia="Times New Roman" w:cs="Arial"/>
          <w:color w:val="000000"/>
          <w:szCs w:val="20"/>
          <w:lang w:val="en-US"/>
        </w:rPr>
        <w:t>GFR</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 помощта на </w:t>
      </w:r>
      <w:r w:rsidRPr="002F56CD">
        <w:rPr>
          <w:rFonts w:eastAsia="Times New Roman" w:cs="Arial"/>
          <w:color w:val="000000"/>
          <w:szCs w:val="20"/>
          <w:lang w:val="en-US"/>
        </w:rPr>
        <w:t>MDRD</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формулата, е била с 5,5 </w:t>
      </w:r>
      <w:r w:rsidRPr="002F56CD">
        <w:rPr>
          <w:rFonts w:eastAsia="Times New Roman" w:cs="Arial"/>
          <w:color w:val="000000"/>
          <w:szCs w:val="20"/>
          <w:lang w:val="en-US"/>
        </w:rPr>
        <w:t>ml</w:t>
      </w:r>
      <w:r w:rsidRPr="002F56CD">
        <w:rPr>
          <w:rFonts w:eastAsia="Times New Roman" w:cs="Arial"/>
          <w:color w:val="000000"/>
          <w:szCs w:val="20"/>
          <w:lang w:val="ru-RU"/>
        </w:rPr>
        <w:t>/</w:t>
      </w:r>
      <w:r w:rsidRPr="002F56CD">
        <w:rPr>
          <w:rFonts w:eastAsia="Times New Roman" w:cs="Arial"/>
          <w:color w:val="000000"/>
          <w:szCs w:val="20"/>
          <w:lang w:val="en-US"/>
        </w:rPr>
        <w:t>min</w:t>
      </w:r>
      <w:r w:rsidRPr="002F56CD">
        <w:rPr>
          <w:rFonts w:eastAsia="Times New Roman" w:cs="Arial"/>
          <w:color w:val="000000"/>
          <w:szCs w:val="20"/>
          <w:lang w:val="ru-RU"/>
        </w:rPr>
        <w:t>/ 1,73</w:t>
      </w:r>
      <w:r w:rsidRPr="002F56CD">
        <w:rPr>
          <w:rFonts w:eastAsia="Times New Roman" w:cs="Arial"/>
          <w:color w:val="000000"/>
          <w:szCs w:val="20"/>
          <w:lang w:val="en-US"/>
        </w:rPr>
        <w:t>m</w:t>
      </w:r>
      <w:r w:rsidRPr="002F56CD">
        <w:rPr>
          <w:rFonts w:eastAsia="Times New Roman" w:cs="Arial"/>
          <w:color w:val="000000"/>
          <w:szCs w:val="20"/>
          <w:vertAlign w:val="superscript"/>
          <w:lang w:val="ru-RU"/>
        </w:rPr>
        <w:t xml:space="preserve">2 </w:t>
      </w:r>
      <w:r w:rsidRPr="002F56CD">
        <w:rPr>
          <w:rFonts w:eastAsia="Times New Roman" w:cs="Arial"/>
          <w:color w:val="000000"/>
          <w:szCs w:val="20"/>
          <w:lang w:eastAsia="bg-BG"/>
        </w:rPr>
        <w:t xml:space="preserve">(97,5% </w:t>
      </w:r>
      <w:r w:rsidRPr="002F56CD">
        <w:rPr>
          <w:rFonts w:eastAsia="Times New Roman" w:cs="Arial"/>
          <w:color w:val="000000"/>
          <w:szCs w:val="20"/>
          <w:lang w:val="en-US"/>
        </w:rPr>
        <w:t>CI</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-10,9, -0,2) по-ниска в групата на еверолимус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на 12 месец.</w:t>
      </w:r>
    </w:p>
    <w:p w14:paraId="6ED41F77" w14:textId="77777777" w:rsidR="002F56CD" w:rsidRPr="002F56CD" w:rsidRDefault="002F56CD" w:rsidP="002F56CD">
      <w:pPr>
        <w:spacing w:line="240" w:lineRule="auto"/>
        <w:rPr>
          <w:rFonts w:eastAsia="Times New Roman" w:cs="Arial"/>
          <w:color w:val="000000"/>
          <w:szCs w:val="20"/>
          <w:lang w:eastAsia="bg-BG"/>
        </w:rPr>
      </w:pPr>
    </w:p>
    <w:p w14:paraId="42FBDFAC" w14:textId="7FBF740D"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Тази разлика се наблюдава главно в центрове, където средните концентрации на циклоспорин са били сходни в целия период на изпитването при пациенти, приемащи Сертикан и при пациенти, рандомизирани към контролното рамо. Тази констатация </w:t>
      </w:r>
      <w:r w:rsidRPr="002F56CD">
        <w:rPr>
          <w:rFonts w:eastAsia="Times New Roman" w:cs="Arial"/>
          <w:color w:val="000000"/>
          <w:szCs w:val="20"/>
          <w:lang w:eastAsia="bg-BG"/>
        </w:rPr>
        <w:lastRenderedPageBreak/>
        <w:t>подчертава значението на намаляването на концентрациите на циклоспорин в комбинация с еверолимус както е посочено в Таблица 17 (вж. също точка 4.2):</w:t>
      </w:r>
    </w:p>
    <w:p w14:paraId="6BC500E0" w14:textId="77777777" w:rsidR="002F56CD" w:rsidRPr="002F56CD" w:rsidRDefault="002F56CD" w:rsidP="002F56CD">
      <w:pPr>
        <w:spacing w:line="240" w:lineRule="auto"/>
        <w:rPr>
          <w:rFonts w:eastAsia="Times New Roman" w:cs="Arial"/>
          <w:b/>
          <w:bCs/>
          <w:color w:val="000000"/>
          <w:szCs w:val="20"/>
          <w:lang w:eastAsia="bg-BG"/>
        </w:rPr>
      </w:pPr>
    </w:p>
    <w:p w14:paraId="53C0AF16" w14:textId="2209C486"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Таблица 17 Прицелни най-ниски концентрации на циклоспорин по месеци</w:t>
      </w:r>
    </w:p>
    <w:tbl>
      <w:tblPr>
        <w:tblStyle w:val="TableGrid"/>
        <w:tblW w:w="0" w:type="auto"/>
        <w:tblLook w:val="04A0" w:firstRow="1" w:lastRow="0" w:firstColumn="1" w:lastColumn="0" w:noHBand="0" w:noVBand="1"/>
      </w:tblPr>
      <w:tblGrid>
        <w:gridCol w:w="1755"/>
        <w:gridCol w:w="1519"/>
        <w:gridCol w:w="1519"/>
        <w:gridCol w:w="1519"/>
        <w:gridCol w:w="1519"/>
        <w:gridCol w:w="1519"/>
      </w:tblGrid>
      <w:tr w:rsidR="002F56CD" w14:paraId="1BA304BB" w14:textId="77777777" w:rsidTr="002F56CD">
        <w:tc>
          <w:tcPr>
            <w:tcW w:w="1756" w:type="dxa"/>
          </w:tcPr>
          <w:p w14:paraId="26225FAB" w14:textId="4D80D622" w:rsidR="002F56CD" w:rsidRPr="002F56CD" w:rsidRDefault="002F56CD" w:rsidP="002F56CD">
            <w:pPr>
              <w:rPr>
                <w:rFonts w:cs="Arial"/>
              </w:rPr>
            </w:pPr>
            <w:r w:rsidRPr="002F56CD">
              <w:rPr>
                <w:b/>
                <w:bCs/>
                <w:szCs w:val="20"/>
              </w:rPr>
              <w:t>Прицелни концентрации на циклоспорин Со</w:t>
            </w:r>
          </w:p>
        </w:tc>
        <w:tc>
          <w:tcPr>
            <w:tcW w:w="1564" w:type="dxa"/>
          </w:tcPr>
          <w:p w14:paraId="0FBCE8F5" w14:textId="62A3C10C" w:rsidR="002F56CD" w:rsidRPr="002F56CD" w:rsidRDefault="002F56CD" w:rsidP="002F56CD">
            <w:pPr>
              <w:rPr>
                <w:rFonts w:cs="Arial"/>
              </w:rPr>
            </w:pPr>
            <w:r w:rsidRPr="002F56CD">
              <w:rPr>
                <w:szCs w:val="20"/>
              </w:rPr>
              <w:t>Месец 1</w:t>
            </w:r>
          </w:p>
        </w:tc>
        <w:tc>
          <w:tcPr>
            <w:tcW w:w="1564" w:type="dxa"/>
          </w:tcPr>
          <w:p w14:paraId="5D41BD91" w14:textId="3F31DC60" w:rsidR="002F56CD" w:rsidRPr="002F56CD" w:rsidRDefault="002F56CD" w:rsidP="002F56CD">
            <w:pPr>
              <w:rPr>
                <w:rFonts w:cs="Arial"/>
              </w:rPr>
            </w:pPr>
            <w:r w:rsidRPr="002F56CD">
              <w:rPr>
                <w:szCs w:val="20"/>
              </w:rPr>
              <w:t>Месец 2</w:t>
            </w:r>
          </w:p>
        </w:tc>
        <w:tc>
          <w:tcPr>
            <w:tcW w:w="1564" w:type="dxa"/>
          </w:tcPr>
          <w:p w14:paraId="3E125737" w14:textId="76E021BE" w:rsidR="002F56CD" w:rsidRPr="002F56CD" w:rsidRDefault="002F56CD" w:rsidP="002F56CD">
            <w:pPr>
              <w:rPr>
                <w:rFonts w:cs="Arial"/>
              </w:rPr>
            </w:pPr>
            <w:r w:rsidRPr="002F56CD">
              <w:rPr>
                <w:szCs w:val="20"/>
              </w:rPr>
              <w:t>Месец 3-4</w:t>
            </w:r>
          </w:p>
        </w:tc>
        <w:tc>
          <w:tcPr>
            <w:tcW w:w="1564" w:type="dxa"/>
          </w:tcPr>
          <w:p w14:paraId="60A8B644" w14:textId="0F7B722F" w:rsidR="002F56CD" w:rsidRPr="002F56CD" w:rsidRDefault="002F56CD" w:rsidP="002F56CD">
            <w:pPr>
              <w:rPr>
                <w:rFonts w:cs="Arial"/>
              </w:rPr>
            </w:pPr>
            <w:r w:rsidRPr="002F56CD">
              <w:rPr>
                <w:szCs w:val="20"/>
              </w:rPr>
              <w:t>Месец 5-6</w:t>
            </w:r>
          </w:p>
        </w:tc>
        <w:tc>
          <w:tcPr>
            <w:tcW w:w="1564" w:type="dxa"/>
          </w:tcPr>
          <w:p w14:paraId="43652E03" w14:textId="0DD827CE" w:rsidR="002F56CD" w:rsidRPr="002F56CD" w:rsidRDefault="002F56CD" w:rsidP="002F56CD">
            <w:pPr>
              <w:rPr>
                <w:rFonts w:cs="Arial"/>
              </w:rPr>
            </w:pPr>
            <w:r w:rsidRPr="002F56CD">
              <w:rPr>
                <w:szCs w:val="20"/>
              </w:rPr>
              <w:t>Месец 7-12</w:t>
            </w:r>
          </w:p>
        </w:tc>
      </w:tr>
      <w:tr w:rsidR="002F56CD" w14:paraId="0AAF1316" w14:textId="77777777" w:rsidTr="002F56CD">
        <w:tc>
          <w:tcPr>
            <w:tcW w:w="1756" w:type="dxa"/>
          </w:tcPr>
          <w:p w14:paraId="57F93307" w14:textId="387BBC30" w:rsidR="002F56CD" w:rsidRPr="002F56CD" w:rsidRDefault="002F56CD" w:rsidP="002F56CD">
            <w:pPr>
              <w:rPr>
                <w:rFonts w:cs="Arial"/>
              </w:rPr>
            </w:pPr>
            <w:r w:rsidRPr="002F56CD">
              <w:rPr>
                <w:b/>
                <w:bCs/>
                <w:szCs w:val="20"/>
              </w:rPr>
              <w:t>Сертикан група</w:t>
            </w:r>
          </w:p>
        </w:tc>
        <w:tc>
          <w:tcPr>
            <w:tcW w:w="1564" w:type="dxa"/>
          </w:tcPr>
          <w:p w14:paraId="0E277D1F" w14:textId="7DEF59AC" w:rsidR="002F56CD" w:rsidRPr="002F56CD" w:rsidRDefault="002F56CD" w:rsidP="002F56CD">
            <w:pPr>
              <w:rPr>
                <w:rFonts w:cs="Arial"/>
              </w:rPr>
            </w:pPr>
            <w:r w:rsidRPr="002F56CD">
              <w:rPr>
                <w:b/>
                <w:bCs/>
                <w:szCs w:val="20"/>
              </w:rPr>
              <w:t>200-350</w:t>
            </w:r>
          </w:p>
        </w:tc>
        <w:tc>
          <w:tcPr>
            <w:tcW w:w="1564" w:type="dxa"/>
          </w:tcPr>
          <w:p w14:paraId="1BF7BF1E" w14:textId="62500C53" w:rsidR="002F56CD" w:rsidRPr="002F56CD" w:rsidRDefault="002F56CD" w:rsidP="002F56CD">
            <w:pPr>
              <w:rPr>
                <w:rFonts w:cs="Arial"/>
              </w:rPr>
            </w:pPr>
            <w:r w:rsidRPr="002F56CD">
              <w:rPr>
                <w:b/>
                <w:bCs/>
                <w:szCs w:val="20"/>
              </w:rPr>
              <w:t>150-250</w:t>
            </w:r>
          </w:p>
        </w:tc>
        <w:tc>
          <w:tcPr>
            <w:tcW w:w="1564" w:type="dxa"/>
          </w:tcPr>
          <w:p w14:paraId="0A6BA5DD" w14:textId="33F5BB46" w:rsidR="002F56CD" w:rsidRPr="002F56CD" w:rsidRDefault="002F56CD" w:rsidP="002F56CD">
            <w:pPr>
              <w:rPr>
                <w:rFonts w:cs="Arial"/>
              </w:rPr>
            </w:pPr>
            <w:r w:rsidRPr="002F56CD">
              <w:rPr>
                <w:b/>
                <w:bCs/>
                <w:szCs w:val="20"/>
              </w:rPr>
              <w:t>100-200</w:t>
            </w:r>
          </w:p>
        </w:tc>
        <w:tc>
          <w:tcPr>
            <w:tcW w:w="1564" w:type="dxa"/>
          </w:tcPr>
          <w:p w14:paraId="5EC6B918" w14:textId="751E2E37" w:rsidR="002F56CD" w:rsidRPr="002F56CD" w:rsidRDefault="002F56CD" w:rsidP="002F56CD">
            <w:pPr>
              <w:rPr>
                <w:rFonts w:cs="Arial"/>
              </w:rPr>
            </w:pPr>
            <w:r w:rsidRPr="002F56CD">
              <w:rPr>
                <w:b/>
                <w:bCs/>
                <w:szCs w:val="20"/>
              </w:rPr>
              <w:t>75-150</w:t>
            </w:r>
          </w:p>
        </w:tc>
        <w:tc>
          <w:tcPr>
            <w:tcW w:w="1564" w:type="dxa"/>
          </w:tcPr>
          <w:p w14:paraId="08B7B533" w14:textId="21DFE041" w:rsidR="002F56CD" w:rsidRPr="002F56CD" w:rsidRDefault="002F56CD" w:rsidP="002F56CD">
            <w:pPr>
              <w:rPr>
                <w:rFonts w:cs="Arial"/>
              </w:rPr>
            </w:pPr>
            <w:r w:rsidRPr="002F56CD">
              <w:rPr>
                <w:b/>
                <w:bCs/>
                <w:szCs w:val="20"/>
              </w:rPr>
              <w:t>50-100</w:t>
            </w:r>
          </w:p>
        </w:tc>
      </w:tr>
      <w:tr w:rsidR="002F56CD" w14:paraId="2C7F8EF4" w14:textId="77777777" w:rsidTr="002F56CD">
        <w:tc>
          <w:tcPr>
            <w:tcW w:w="1756" w:type="dxa"/>
          </w:tcPr>
          <w:p w14:paraId="797BF740" w14:textId="24AAE339" w:rsidR="002F56CD" w:rsidRPr="002F56CD" w:rsidRDefault="002F56CD" w:rsidP="002F56CD">
            <w:pPr>
              <w:rPr>
                <w:rFonts w:cs="Arial"/>
              </w:rPr>
            </w:pPr>
            <w:r w:rsidRPr="002F56CD">
              <w:rPr>
                <w:b/>
                <w:bCs/>
                <w:szCs w:val="20"/>
                <w:lang w:val="en-US"/>
              </w:rPr>
              <w:t xml:space="preserve">MMF </w:t>
            </w:r>
            <w:r w:rsidRPr="002F56CD">
              <w:rPr>
                <w:b/>
                <w:bCs/>
                <w:szCs w:val="20"/>
              </w:rPr>
              <w:t>група</w:t>
            </w:r>
          </w:p>
        </w:tc>
        <w:tc>
          <w:tcPr>
            <w:tcW w:w="1564" w:type="dxa"/>
          </w:tcPr>
          <w:p w14:paraId="23C93E4C" w14:textId="4ADBD1BB" w:rsidR="002F56CD" w:rsidRPr="002F56CD" w:rsidRDefault="002F56CD" w:rsidP="002F56CD">
            <w:pPr>
              <w:rPr>
                <w:rFonts w:cs="Arial"/>
              </w:rPr>
            </w:pPr>
            <w:r w:rsidRPr="002F56CD">
              <w:rPr>
                <w:szCs w:val="20"/>
              </w:rPr>
              <w:t>200-350</w:t>
            </w:r>
          </w:p>
        </w:tc>
        <w:tc>
          <w:tcPr>
            <w:tcW w:w="1564" w:type="dxa"/>
          </w:tcPr>
          <w:p w14:paraId="7A67C0BF" w14:textId="6E09CC78" w:rsidR="002F56CD" w:rsidRPr="002F56CD" w:rsidRDefault="002F56CD" w:rsidP="002F56CD">
            <w:pPr>
              <w:rPr>
                <w:rFonts w:cs="Arial"/>
              </w:rPr>
            </w:pPr>
            <w:r w:rsidRPr="002F56CD">
              <w:rPr>
                <w:szCs w:val="20"/>
              </w:rPr>
              <w:t>200-350</w:t>
            </w:r>
          </w:p>
        </w:tc>
        <w:tc>
          <w:tcPr>
            <w:tcW w:w="1564" w:type="dxa"/>
          </w:tcPr>
          <w:p w14:paraId="795A691A" w14:textId="08F61A1F" w:rsidR="002F56CD" w:rsidRPr="002F56CD" w:rsidRDefault="002F56CD" w:rsidP="002F56CD">
            <w:pPr>
              <w:rPr>
                <w:rFonts w:cs="Arial"/>
              </w:rPr>
            </w:pPr>
            <w:r w:rsidRPr="002F56CD">
              <w:rPr>
                <w:szCs w:val="20"/>
              </w:rPr>
              <w:t>200-300</w:t>
            </w:r>
          </w:p>
        </w:tc>
        <w:tc>
          <w:tcPr>
            <w:tcW w:w="1564" w:type="dxa"/>
          </w:tcPr>
          <w:p w14:paraId="1C7F0541" w14:textId="6454DAEC" w:rsidR="002F56CD" w:rsidRPr="002F56CD" w:rsidRDefault="002F56CD" w:rsidP="002F56CD">
            <w:pPr>
              <w:rPr>
                <w:rFonts w:cs="Arial"/>
              </w:rPr>
            </w:pPr>
            <w:r w:rsidRPr="002F56CD">
              <w:rPr>
                <w:szCs w:val="20"/>
              </w:rPr>
              <w:t>150-250</w:t>
            </w:r>
          </w:p>
        </w:tc>
        <w:tc>
          <w:tcPr>
            <w:tcW w:w="1564" w:type="dxa"/>
          </w:tcPr>
          <w:p w14:paraId="4FF95D5D" w14:textId="265F6A66" w:rsidR="002F56CD" w:rsidRPr="002F56CD" w:rsidRDefault="002F56CD" w:rsidP="002F56CD">
            <w:pPr>
              <w:rPr>
                <w:rFonts w:cs="Arial"/>
              </w:rPr>
            </w:pPr>
            <w:r w:rsidRPr="002F56CD">
              <w:rPr>
                <w:szCs w:val="20"/>
              </w:rPr>
              <w:t>100-250</w:t>
            </w:r>
          </w:p>
        </w:tc>
      </w:tr>
    </w:tbl>
    <w:p w14:paraId="11AF94EC"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Освен това, получената разликата произхожда предимно от разликата през първия месец след трансплантацията, когато пациентите са все още в условия на хемодинамична нестабилност, което вероято смущава анализа на бъбречната функция. Впоследствие намаляването на средната </w:t>
      </w:r>
      <w:r w:rsidRPr="002F56CD">
        <w:rPr>
          <w:rFonts w:eastAsia="Times New Roman" w:cs="Arial"/>
          <w:color w:val="000000"/>
          <w:szCs w:val="20"/>
          <w:lang w:val="en-US"/>
        </w:rPr>
        <w:t>GFR</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от 1-ия до 12-ия месец е било сигнификантно по-малко в групата на еверолимус, отколкото в контролната група (-6,4 спрямо -13,7 </w:t>
      </w:r>
      <w:r w:rsidRPr="002F56CD">
        <w:rPr>
          <w:rFonts w:eastAsia="Times New Roman" w:cs="Arial"/>
          <w:color w:val="000000"/>
          <w:szCs w:val="20"/>
          <w:lang w:val="en-US"/>
        </w:rPr>
        <w:t>ml</w:t>
      </w:r>
      <w:r w:rsidRPr="002F56CD">
        <w:rPr>
          <w:rFonts w:eastAsia="Times New Roman" w:cs="Arial"/>
          <w:color w:val="000000"/>
          <w:szCs w:val="20"/>
          <w:lang w:val="ru-RU"/>
        </w:rPr>
        <w:t>/</w:t>
      </w:r>
      <w:r w:rsidRPr="002F56CD">
        <w:rPr>
          <w:rFonts w:eastAsia="Times New Roman" w:cs="Arial"/>
          <w:color w:val="000000"/>
          <w:szCs w:val="20"/>
          <w:lang w:val="en-US"/>
        </w:rPr>
        <w:t>min</w:t>
      </w:r>
      <w:r w:rsidRPr="002F56CD">
        <w:rPr>
          <w:rFonts w:eastAsia="Times New Roman" w:cs="Arial"/>
          <w:color w:val="000000"/>
          <w:szCs w:val="20"/>
          <w:lang w:val="ru-RU"/>
        </w:rPr>
        <w:t xml:space="preserve">, </w:t>
      </w:r>
      <w:r w:rsidRPr="002F56CD">
        <w:rPr>
          <w:rFonts w:eastAsia="Times New Roman" w:cs="Arial"/>
          <w:color w:val="000000"/>
          <w:szCs w:val="20"/>
          <w:lang w:eastAsia="bg-BG"/>
        </w:rPr>
        <w:t>р=0,002).</w:t>
      </w:r>
    </w:p>
    <w:p w14:paraId="6F2A2B2C" w14:textId="77777777" w:rsidR="002F56CD" w:rsidRPr="002F56CD" w:rsidRDefault="002F56CD" w:rsidP="002F56CD">
      <w:pPr>
        <w:spacing w:line="240" w:lineRule="auto"/>
        <w:rPr>
          <w:rFonts w:eastAsia="Times New Roman" w:cs="Arial"/>
          <w:color w:val="000000"/>
          <w:szCs w:val="20"/>
          <w:lang w:eastAsia="bg-BG"/>
        </w:rPr>
      </w:pPr>
    </w:p>
    <w:p w14:paraId="17F0ECD1" w14:textId="1A6D538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Съществува тенденция протеинурията, представена чрез съотношението протеин/креатинин в урината, измерени чрез бързи уринни тестове, да бъде по-висока при пациентите на лечение със Сертикан. Субнефротични стойности са наблюдавани при 22% от пациентите, приемащи Сертикан при сравнение с пациентите, приемащи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(8,6%). Съобщава се също така и за нефротични стойности (0,8%), наблюдавани при 2 пациенти във всяка терапевтична група (вж. точка 4.4).</w:t>
      </w:r>
    </w:p>
    <w:p w14:paraId="2551EED0" w14:textId="77777777" w:rsidR="002F56CD" w:rsidRPr="002F56CD" w:rsidRDefault="002F56CD" w:rsidP="002F56CD">
      <w:pPr>
        <w:spacing w:line="240" w:lineRule="auto"/>
        <w:rPr>
          <w:rFonts w:eastAsia="Times New Roman" w:cs="Arial"/>
          <w:color w:val="000000"/>
          <w:szCs w:val="20"/>
          <w:lang w:eastAsia="bg-BG"/>
        </w:rPr>
      </w:pPr>
    </w:p>
    <w:p w14:paraId="10B9C18E" w14:textId="1497F9AC"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Наблюдаваните нежелани реакции в групата на еверолимус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по време на изпитването А2310 съответстват на нежеланите реакции, представени в Таблица 4. По-ниската честота на докладвани вирусни инфекции при пациенти на лечение със Сертикан се дължи принципно на по-ниската честота на докладвани </w:t>
      </w:r>
      <w:r w:rsidRPr="002F56CD">
        <w:rPr>
          <w:rFonts w:eastAsia="Times New Roman" w:cs="Arial"/>
          <w:color w:val="000000"/>
          <w:szCs w:val="20"/>
          <w:lang w:val="en-US"/>
        </w:rPr>
        <w:t>CMV</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инфекции при сравняване с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(7,2% спрямо 19,4%).</w:t>
      </w:r>
    </w:p>
    <w:p w14:paraId="547B2DC6" w14:textId="77777777" w:rsidR="002F56CD" w:rsidRPr="002F56CD" w:rsidRDefault="002F56CD" w:rsidP="002F56CD">
      <w:pPr>
        <w:spacing w:line="240" w:lineRule="auto"/>
        <w:rPr>
          <w:rFonts w:eastAsia="Times New Roman" w:cs="Arial"/>
          <w:i/>
          <w:iCs/>
          <w:color w:val="000000"/>
          <w:szCs w:val="20"/>
          <w:lang w:eastAsia="bg-BG"/>
        </w:rPr>
      </w:pPr>
    </w:p>
    <w:p w14:paraId="41431DD5" w14:textId="3FC71B9D" w:rsidR="002F56CD" w:rsidRPr="002F56CD" w:rsidRDefault="002F56CD" w:rsidP="002F56CD">
      <w:pPr>
        <w:spacing w:line="240" w:lineRule="auto"/>
        <w:rPr>
          <w:rFonts w:eastAsia="Times New Roman" w:cs="Arial"/>
          <w:sz w:val="28"/>
          <w:szCs w:val="24"/>
        </w:rPr>
      </w:pPr>
      <w:r w:rsidRPr="002F56CD">
        <w:rPr>
          <w:rFonts w:eastAsia="Times New Roman" w:cs="Arial"/>
          <w:i/>
          <w:iCs/>
          <w:color w:val="000000"/>
          <w:szCs w:val="20"/>
          <w:lang w:eastAsia="bg-BG"/>
        </w:rPr>
        <w:t>Чернодробна трансплантация</w:t>
      </w:r>
    </w:p>
    <w:p w14:paraId="46DC4587" w14:textId="77777777" w:rsidR="002F56CD" w:rsidRPr="002F56CD" w:rsidRDefault="002F56CD" w:rsidP="002F56CD">
      <w:pPr>
        <w:spacing w:line="240" w:lineRule="auto"/>
        <w:rPr>
          <w:rFonts w:eastAsia="Times New Roman" w:cs="Arial"/>
          <w:sz w:val="28"/>
          <w:szCs w:val="24"/>
        </w:rPr>
      </w:pPr>
      <w:r w:rsidRPr="002F56CD">
        <w:rPr>
          <w:rFonts w:eastAsia="Times New Roman" w:cs="Arial"/>
          <w:i/>
          <w:iCs/>
          <w:color w:val="000000"/>
          <w:szCs w:val="20"/>
          <w:lang w:eastAsia="bg-BG"/>
        </w:rPr>
        <w:t>Във</w:t>
      </w:r>
      <w:r w:rsidRPr="002F56CD">
        <w:rPr>
          <w:rFonts w:eastAsia="Times New Roman" w:cs="Arial"/>
          <w:color w:val="000000"/>
          <w:szCs w:val="20"/>
          <w:lang w:eastAsia="bg-BG"/>
        </w:rPr>
        <w:t xml:space="preserve"> фаза III изпитване при възрастни пациенти след чернодробна трансплантация (Н2304), такролимус, прилиган при намалена експозиция, и Сертикан 1,0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два пъти дневно са били прилагани при пациенти, при първоначален прием на Сертикан приблизително 4 седмици след трансплантацията, и са били съпоставени със стандартна експозиция на такролимус. Дозата на Сертикан е била коригирана, за да се поддържат най-ниски прицелни концентрации на еверолимус в кръвта между 3-8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в рамото Сертикан + намалена доза такролимус. Впоследствие дозат на такролимус е коригирана, за да се постигнат най-ниски прицелни концентрации между 3-5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за период от 12 месеца в рамото Сертикан + намалена такролимус.</w:t>
      </w:r>
    </w:p>
    <w:p w14:paraId="5B91F63D" w14:textId="77777777" w:rsidR="002F56CD" w:rsidRPr="002F56CD" w:rsidRDefault="002F56CD" w:rsidP="002F56CD">
      <w:pPr>
        <w:rPr>
          <w:rFonts w:eastAsia="Times New Roman" w:cs="Arial"/>
          <w:color w:val="000000"/>
          <w:szCs w:val="20"/>
          <w:lang w:eastAsia="bg-BG"/>
        </w:rPr>
      </w:pPr>
    </w:p>
    <w:p w14:paraId="32604FA7" w14:textId="09A07601" w:rsidR="002F56CD" w:rsidRPr="002F56CD" w:rsidRDefault="002F56CD" w:rsidP="002F56CD">
      <w:pPr>
        <w:rPr>
          <w:rFonts w:eastAsia="Times New Roman" w:cs="Arial"/>
          <w:color w:val="000000"/>
          <w:szCs w:val="20"/>
          <w:lang w:eastAsia="bg-BG"/>
        </w:rPr>
      </w:pPr>
      <w:r w:rsidRPr="002F56CD">
        <w:rPr>
          <w:rFonts w:eastAsia="Times New Roman" w:cs="Arial"/>
          <w:color w:val="000000"/>
          <w:szCs w:val="20"/>
          <w:lang w:eastAsia="bg-BG"/>
        </w:rPr>
        <w:t>Само 2,6% от участниците в проучването Н2304 са от негроидната раса, така че това проучване предоставя само ограничени данни за ефикасността и безопасността при тази популация (вж. точка 4.2).</w:t>
      </w:r>
    </w:p>
    <w:p w14:paraId="6BDBB0CB" w14:textId="661A50EF" w:rsidR="002F56CD" w:rsidRPr="002F56CD" w:rsidRDefault="002F56CD" w:rsidP="002F56CD">
      <w:pPr>
        <w:rPr>
          <w:rFonts w:eastAsia="Times New Roman" w:cs="Arial"/>
          <w:color w:val="000000"/>
          <w:szCs w:val="20"/>
          <w:lang w:eastAsia="bg-BG"/>
        </w:rPr>
      </w:pPr>
    </w:p>
    <w:p w14:paraId="33954B57"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Като цяло, в направения 12-месечен анализ, честотата на постигане на комбинираната крайна точка </w:t>
      </w:r>
      <w:r w:rsidRPr="002F56CD">
        <w:rPr>
          <w:rFonts w:eastAsia="Times New Roman" w:cs="Arial"/>
          <w:color w:val="000000"/>
          <w:szCs w:val="20"/>
          <w:lang w:val="ru-RU"/>
        </w:rPr>
        <w:t>(</w:t>
      </w:r>
      <w:r w:rsidRPr="002F56CD">
        <w:rPr>
          <w:rFonts w:eastAsia="Times New Roman" w:cs="Arial"/>
          <w:color w:val="000000"/>
          <w:szCs w:val="20"/>
          <w:lang w:val="en-US"/>
        </w:rPr>
        <w:t>tBPAR</w:t>
      </w:r>
      <w:r w:rsidRPr="002F56CD">
        <w:rPr>
          <w:rFonts w:eastAsia="Times New Roman" w:cs="Arial"/>
          <w:color w:val="000000"/>
          <w:szCs w:val="20"/>
          <w:lang w:val="ru-RU"/>
        </w:rPr>
        <w:t xml:space="preserve">, </w:t>
      </w:r>
      <w:r w:rsidRPr="002F56CD">
        <w:rPr>
          <w:rFonts w:eastAsia="Times New Roman" w:cs="Arial"/>
          <w:color w:val="000000"/>
          <w:szCs w:val="20"/>
          <w:lang w:eastAsia="bg-BG"/>
        </w:rPr>
        <w:t>загуба на присадката или смърт) е била по-ниска в рамото Сертикан + намалена доза такролимус (6,7%) спрямо контролното рамо на такролимус (9,7%), като тези резултати се запазват и на 24-тия месец (Таблица 18).</w:t>
      </w:r>
    </w:p>
    <w:p w14:paraId="52D0EA03" w14:textId="77777777" w:rsidR="002F56CD" w:rsidRPr="002F56CD" w:rsidRDefault="002F56CD" w:rsidP="002F56CD">
      <w:pPr>
        <w:spacing w:line="240" w:lineRule="auto"/>
        <w:rPr>
          <w:rFonts w:eastAsia="Times New Roman" w:cs="Arial"/>
          <w:color w:val="000000"/>
          <w:szCs w:val="20"/>
          <w:lang w:eastAsia="bg-BG"/>
        </w:rPr>
      </w:pPr>
    </w:p>
    <w:p w14:paraId="01781496" w14:textId="1803549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Резултатите от отделните компоненти на съставната крайна точка са показани в Таблица 19.</w:t>
      </w:r>
    </w:p>
    <w:p w14:paraId="123F0DDB" w14:textId="77777777" w:rsidR="002F56CD" w:rsidRPr="002F56CD" w:rsidRDefault="002F56CD" w:rsidP="002F56CD">
      <w:pPr>
        <w:spacing w:line="240" w:lineRule="auto"/>
        <w:rPr>
          <w:rFonts w:eastAsia="Times New Roman" w:cs="Arial"/>
          <w:b/>
          <w:bCs/>
          <w:color w:val="000000"/>
          <w:szCs w:val="20"/>
          <w:lang w:eastAsia="bg-BG"/>
        </w:rPr>
      </w:pPr>
    </w:p>
    <w:p w14:paraId="76BA7902" w14:textId="6AC13C9C"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 xml:space="preserve">Таблица 18 Изпитване Н2304: Сравнение между терапевтичните групи на честотата на първичните крайни точки за ефикасност, определени по </w:t>
      </w:r>
      <w:r w:rsidRPr="002F56CD">
        <w:rPr>
          <w:rFonts w:eastAsia="Times New Roman" w:cs="Arial"/>
          <w:b/>
          <w:bCs/>
          <w:color w:val="000000"/>
          <w:szCs w:val="20"/>
          <w:lang w:val="en-US"/>
        </w:rPr>
        <w:t>Kaplan</w:t>
      </w:r>
      <w:r w:rsidRPr="002F56CD">
        <w:rPr>
          <w:rFonts w:eastAsia="Times New Roman" w:cs="Arial"/>
          <w:b/>
          <w:bCs/>
          <w:color w:val="000000"/>
          <w:szCs w:val="20"/>
          <w:lang w:val="ru-RU"/>
        </w:rPr>
        <w:t>-</w:t>
      </w:r>
      <w:r w:rsidRPr="002F56CD">
        <w:rPr>
          <w:rFonts w:eastAsia="Times New Roman" w:cs="Arial"/>
          <w:b/>
          <w:bCs/>
          <w:color w:val="000000"/>
          <w:szCs w:val="20"/>
          <w:lang w:val="en-US"/>
        </w:rPr>
        <w:t>Meier</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(КМ) </w:t>
      </w:r>
      <w:r w:rsidRPr="002F56CD">
        <w:rPr>
          <w:rFonts w:eastAsia="Times New Roman" w:cs="Arial"/>
          <w:b/>
          <w:bCs/>
          <w:color w:val="000000"/>
          <w:szCs w:val="20"/>
          <w:lang w:val="ru-RU"/>
        </w:rPr>
        <w:t>(</w:t>
      </w:r>
      <w:r w:rsidRPr="002F56CD">
        <w:rPr>
          <w:rFonts w:eastAsia="Times New Roman" w:cs="Arial"/>
          <w:b/>
          <w:bCs/>
          <w:color w:val="000000"/>
          <w:szCs w:val="20"/>
          <w:lang w:val="en-US"/>
        </w:rPr>
        <w:t>ITT</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популация — анализ иа 12 и 24 месец).</w:t>
      </w:r>
    </w:p>
    <w:tbl>
      <w:tblPr>
        <w:tblStyle w:val="TableGrid"/>
        <w:tblW w:w="0" w:type="auto"/>
        <w:tblLook w:val="04A0" w:firstRow="1" w:lastRow="0" w:firstColumn="1" w:lastColumn="0" w:noHBand="0" w:noVBand="1"/>
      </w:tblPr>
      <w:tblGrid>
        <w:gridCol w:w="3106"/>
        <w:gridCol w:w="896"/>
        <w:gridCol w:w="2203"/>
        <w:gridCol w:w="1363"/>
        <w:gridCol w:w="1782"/>
      </w:tblGrid>
      <w:tr w:rsidR="002F56CD" w14:paraId="2E6E7831" w14:textId="77777777" w:rsidTr="002F56CD">
        <w:tc>
          <w:tcPr>
            <w:tcW w:w="3170" w:type="dxa"/>
            <w:vMerge w:val="restart"/>
          </w:tcPr>
          <w:p w14:paraId="574E49AB" w14:textId="784CEF7D" w:rsidR="002F56CD" w:rsidRPr="002F56CD" w:rsidRDefault="002F56CD" w:rsidP="002F56CD">
            <w:pPr>
              <w:rPr>
                <w:rFonts w:cs="Arial"/>
              </w:rPr>
            </w:pPr>
            <w:r w:rsidRPr="002F56CD">
              <w:t>Статистика</w:t>
            </w:r>
          </w:p>
        </w:tc>
        <w:tc>
          <w:tcPr>
            <w:tcW w:w="3175" w:type="dxa"/>
            <w:gridSpan w:val="2"/>
          </w:tcPr>
          <w:p w14:paraId="7C8C7FE6" w14:textId="28AD739F" w:rsidR="002F56CD" w:rsidRPr="002F56CD" w:rsidRDefault="002F56CD" w:rsidP="002F56CD">
            <w:pPr>
              <w:rPr>
                <w:rFonts w:cs="Arial"/>
              </w:rPr>
            </w:pPr>
            <w:r w:rsidRPr="002F56CD">
              <w:rPr>
                <w:lang w:val="en-US"/>
              </w:rPr>
              <w:t>EVR</w:t>
            </w:r>
            <w:r w:rsidRPr="002F56CD">
              <w:t xml:space="preserve">+намалена доза ТАС </w:t>
            </w:r>
            <w:r w:rsidRPr="002F56CD">
              <w:rPr>
                <w:lang w:val="en-US"/>
              </w:rPr>
              <w:t>n</w:t>
            </w:r>
            <w:r w:rsidRPr="002F56CD">
              <w:t>=245</w:t>
            </w:r>
          </w:p>
        </w:tc>
        <w:tc>
          <w:tcPr>
            <w:tcW w:w="3231" w:type="dxa"/>
            <w:gridSpan w:val="2"/>
          </w:tcPr>
          <w:p w14:paraId="4C3BD530" w14:textId="0C654069" w:rsidR="002F56CD" w:rsidRPr="002F56CD" w:rsidRDefault="002F56CD" w:rsidP="002F56CD">
            <w:pPr>
              <w:rPr>
                <w:rFonts w:cs="Arial"/>
              </w:rPr>
            </w:pPr>
            <w:r w:rsidRPr="002F56CD">
              <w:t>ТАС контрола n=243</w:t>
            </w:r>
          </w:p>
        </w:tc>
      </w:tr>
      <w:tr w:rsidR="002F56CD" w14:paraId="21A20DA1" w14:textId="77777777" w:rsidTr="002F56CD">
        <w:tc>
          <w:tcPr>
            <w:tcW w:w="3170" w:type="dxa"/>
            <w:vMerge/>
          </w:tcPr>
          <w:p w14:paraId="5F05BCE7" w14:textId="77777777" w:rsidR="002F56CD" w:rsidRPr="002F56CD" w:rsidRDefault="002F56CD" w:rsidP="002F56CD">
            <w:pPr>
              <w:rPr>
                <w:rFonts w:cs="Arial"/>
              </w:rPr>
            </w:pPr>
          </w:p>
        </w:tc>
        <w:tc>
          <w:tcPr>
            <w:tcW w:w="896" w:type="dxa"/>
          </w:tcPr>
          <w:p w14:paraId="7A2CC03B" w14:textId="7849C0D2" w:rsidR="002F56CD" w:rsidRPr="002F56CD" w:rsidRDefault="002F56CD" w:rsidP="002F56CD">
            <w:pPr>
              <w:rPr>
                <w:rFonts w:cs="Arial"/>
              </w:rPr>
            </w:pPr>
            <w:r w:rsidRPr="002F56CD">
              <w:t>12-ти месец</w:t>
            </w:r>
          </w:p>
        </w:tc>
        <w:tc>
          <w:tcPr>
            <w:tcW w:w="2279" w:type="dxa"/>
          </w:tcPr>
          <w:p w14:paraId="21D7A13B" w14:textId="40773917" w:rsidR="002F56CD" w:rsidRPr="002F56CD" w:rsidRDefault="002F56CD" w:rsidP="002F56CD">
            <w:pPr>
              <w:rPr>
                <w:rFonts w:cs="Arial"/>
              </w:rPr>
            </w:pPr>
            <w:r w:rsidRPr="002F56CD">
              <w:t>24-ти месец</w:t>
            </w:r>
          </w:p>
        </w:tc>
        <w:tc>
          <w:tcPr>
            <w:tcW w:w="1394" w:type="dxa"/>
          </w:tcPr>
          <w:p w14:paraId="68510968" w14:textId="38D60A7D" w:rsidR="002F56CD" w:rsidRPr="002F56CD" w:rsidRDefault="002F56CD" w:rsidP="002F56CD">
            <w:pPr>
              <w:rPr>
                <w:rFonts w:cs="Arial"/>
              </w:rPr>
            </w:pPr>
            <w:r w:rsidRPr="002F56CD">
              <w:t>12-ти месец</w:t>
            </w:r>
          </w:p>
        </w:tc>
        <w:tc>
          <w:tcPr>
            <w:tcW w:w="1837" w:type="dxa"/>
          </w:tcPr>
          <w:p w14:paraId="07E2C4BC" w14:textId="065D1CCE" w:rsidR="002F56CD" w:rsidRPr="002F56CD" w:rsidRDefault="002F56CD" w:rsidP="002F56CD">
            <w:pPr>
              <w:rPr>
                <w:rFonts w:cs="Arial"/>
              </w:rPr>
            </w:pPr>
            <w:r w:rsidRPr="002F56CD">
              <w:t>24-ти месец</w:t>
            </w:r>
          </w:p>
        </w:tc>
      </w:tr>
      <w:tr w:rsidR="002F56CD" w14:paraId="45F049EA" w14:textId="77777777" w:rsidTr="002F56CD">
        <w:tc>
          <w:tcPr>
            <w:tcW w:w="3170" w:type="dxa"/>
          </w:tcPr>
          <w:p w14:paraId="60F1AF34" w14:textId="55CD9D68" w:rsidR="002F56CD" w:rsidRPr="002F56CD" w:rsidRDefault="002F56CD" w:rsidP="002F56CD">
            <w:pPr>
              <w:rPr>
                <w:rFonts w:cs="Arial"/>
              </w:rPr>
            </w:pPr>
            <w:r w:rsidRPr="002F56CD">
              <w:t xml:space="preserve">Брой случаи на непостигната комбинирана крайна точка за ефикасност </w:t>
            </w:r>
            <w:r w:rsidRPr="002F56CD">
              <w:rPr>
                <w:lang w:val="ru-RU"/>
              </w:rPr>
              <w:t>(</w:t>
            </w:r>
            <w:r w:rsidRPr="002F56CD">
              <w:rPr>
                <w:lang w:val="en-US"/>
              </w:rPr>
              <w:t>tBPAR</w:t>
            </w:r>
            <w:r w:rsidRPr="002F56CD">
              <w:rPr>
                <w:lang w:val="ru-RU"/>
              </w:rPr>
              <w:t xml:space="preserve">, </w:t>
            </w:r>
            <w:r w:rsidRPr="002F56CD">
              <w:t>загуба на присадката или смърт) от рандомизацията до 24/12-ия месец</w:t>
            </w:r>
          </w:p>
        </w:tc>
        <w:tc>
          <w:tcPr>
            <w:tcW w:w="896" w:type="dxa"/>
          </w:tcPr>
          <w:p w14:paraId="32DB564D" w14:textId="4C1C843C" w:rsidR="002F56CD" w:rsidRPr="002F56CD" w:rsidRDefault="002F56CD" w:rsidP="002F56CD">
            <w:pPr>
              <w:rPr>
                <w:rFonts w:cs="Arial"/>
              </w:rPr>
            </w:pPr>
            <w:r w:rsidRPr="002F56CD">
              <w:t>16</w:t>
            </w:r>
          </w:p>
        </w:tc>
        <w:tc>
          <w:tcPr>
            <w:tcW w:w="2279" w:type="dxa"/>
          </w:tcPr>
          <w:p w14:paraId="238A9DD8" w14:textId="7D09C962" w:rsidR="002F56CD" w:rsidRPr="002F56CD" w:rsidRDefault="002F56CD" w:rsidP="002F56CD">
            <w:pPr>
              <w:rPr>
                <w:rFonts w:cs="Arial"/>
              </w:rPr>
            </w:pPr>
            <w:r w:rsidRPr="002F56CD">
              <w:t>24</w:t>
            </w:r>
          </w:p>
        </w:tc>
        <w:tc>
          <w:tcPr>
            <w:tcW w:w="1394" w:type="dxa"/>
          </w:tcPr>
          <w:p w14:paraId="17D62117" w14:textId="7B7FC1C3" w:rsidR="002F56CD" w:rsidRPr="002F56CD" w:rsidRDefault="002F56CD" w:rsidP="002F56CD">
            <w:pPr>
              <w:rPr>
                <w:rFonts w:cs="Arial"/>
              </w:rPr>
            </w:pPr>
            <w:r w:rsidRPr="002F56CD">
              <w:t>23</w:t>
            </w:r>
          </w:p>
        </w:tc>
        <w:tc>
          <w:tcPr>
            <w:tcW w:w="1837" w:type="dxa"/>
          </w:tcPr>
          <w:p w14:paraId="0CC03CFC" w14:textId="6F395E22" w:rsidR="002F56CD" w:rsidRPr="002F56CD" w:rsidRDefault="002F56CD" w:rsidP="002F56CD">
            <w:pPr>
              <w:rPr>
                <w:rFonts w:cs="Arial"/>
              </w:rPr>
            </w:pPr>
            <w:r w:rsidRPr="002F56CD">
              <w:t>29</w:t>
            </w:r>
          </w:p>
        </w:tc>
      </w:tr>
      <w:tr w:rsidR="002F56CD" w14:paraId="0C51820C" w14:textId="77777777" w:rsidTr="002F56CD">
        <w:tc>
          <w:tcPr>
            <w:tcW w:w="3170" w:type="dxa"/>
          </w:tcPr>
          <w:p w14:paraId="2E5082F4" w14:textId="06DD27C8" w:rsidR="002F56CD" w:rsidRPr="002F56CD" w:rsidRDefault="002F56CD" w:rsidP="002F56CD">
            <w:pPr>
              <w:rPr>
                <w:rFonts w:cs="Arial"/>
              </w:rPr>
            </w:pPr>
            <w:r w:rsidRPr="002F56CD">
              <w:rPr>
                <w:szCs w:val="20"/>
              </w:rPr>
              <w:t xml:space="preserve">Изчислена по КМ честота на непостигане на комбинирана крайна точка за ефикасност </w:t>
            </w:r>
            <w:r w:rsidRPr="002F56CD">
              <w:rPr>
                <w:szCs w:val="20"/>
                <w:lang w:val="ru-RU"/>
              </w:rPr>
              <w:t>(</w:t>
            </w:r>
            <w:r w:rsidRPr="002F56CD">
              <w:rPr>
                <w:szCs w:val="20"/>
                <w:lang w:val="en-US"/>
              </w:rPr>
              <w:t>tBPAR</w:t>
            </w:r>
            <w:r w:rsidRPr="002F56CD">
              <w:rPr>
                <w:szCs w:val="20"/>
                <w:lang w:val="ru-RU"/>
              </w:rPr>
              <w:t xml:space="preserve">*, </w:t>
            </w:r>
            <w:r w:rsidRPr="002F56CD">
              <w:rPr>
                <w:szCs w:val="20"/>
              </w:rPr>
              <w:t>загуба на присадката или смърт) на 24/12-ия месец</w:t>
            </w:r>
          </w:p>
        </w:tc>
        <w:tc>
          <w:tcPr>
            <w:tcW w:w="896" w:type="dxa"/>
          </w:tcPr>
          <w:p w14:paraId="61BCA886" w14:textId="6D4BC6A5" w:rsidR="002F56CD" w:rsidRPr="002F56CD" w:rsidRDefault="002F56CD" w:rsidP="002F56CD">
            <w:pPr>
              <w:rPr>
                <w:rFonts w:cs="Arial"/>
              </w:rPr>
            </w:pPr>
            <w:r w:rsidRPr="002F56CD">
              <w:rPr>
                <w:szCs w:val="20"/>
              </w:rPr>
              <w:t>6,7%</w:t>
            </w:r>
          </w:p>
        </w:tc>
        <w:tc>
          <w:tcPr>
            <w:tcW w:w="2279" w:type="dxa"/>
          </w:tcPr>
          <w:p w14:paraId="1D9A0D60" w14:textId="0F10A17A" w:rsidR="002F56CD" w:rsidRPr="002F56CD" w:rsidRDefault="002F56CD" w:rsidP="002F56CD">
            <w:pPr>
              <w:rPr>
                <w:rFonts w:cs="Arial"/>
              </w:rPr>
            </w:pPr>
            <w:r w:rsidRPr="002F56CD">
              <w:rPr>
                <w:szCs w:val="20"/>
              </w:rPr>
              <w:t>10.3%</w:t>
            </w:r>
          </w:p>
        </w:tc>
        <w:tc>
          <w:tcPr>
            <w:tcW w:w="1394" w:type="dxa"/>
          </w:tcPr>
          <w:p w14:paraId="39FFD68B" w14:textId="0C0F90C7" w:rsidR="002F56CD" w:rsidRPr="002F56CD" w:rsidRDefault="002F56CD" w:rsidP="002F56CD">
            <w:pPr>
              <w:rPr>
                <w:rFonts w:cs="Arial"/>
              </w:rPr>
            </w:pPr>
            <w:r w:rsidRPr="002F56CD">
              <w:rPr>
                <w:szCs w:val="20"/>
              </w:rPr>
              <w:t>9,7%</w:t>
            </w:r>
          </w:p>
        </w:tc>
        <w:tc>
          <w:tcPr>
            <w:tcW w:w="1837" w:type="dxa"/>
          </w:tcPr>
          <w:p w14:paraId="26D674F4" w14:textId="4C31D266" w:rsidR="002F56CD" w:rsidRPr="002F56CD" w:rsidRDefault="002F56CD" w:rsidP="002F56CD">
            <w:pPr>
              <w:rPr>
                <w:rFonts w:cs="Arial"/>
              </w:rPr>
            </w:pPr>
            <w:r w:rsidRPr="002F56CD">
              <w:rPr>
                <w:szCs w:val="20"/>
              </w:rPr>
              <w:t>12.5%</w:t>
            </w:r>
          </w:p>
        </w:tc>
      </w:tr>
      <w:tr w:rsidR="002F56CD" w14:paraId="3A8D1C66" w14:textId="77777777" w:rsidTr="002F56CD">
        <w:tc>
          <w:tcPr>
            <w:tcW w:w="3170" w:type="dxa"/>
          </w:tcPr>
          <w:p w14:paraId="2DF6ABD3" w14:textId="2E615E0F" w:rsidR="002F56CD" w:rsidRPr="002F56CD" w:rsidRDefault="002F56CD" w:rsidP="002F56CD">
            <w:pPr>
              <w:rPr>
                <w:rFonts w:cs="Arial"/>
              </w:rPr>
            </w:pPr>
            <w:r w:rsidRPr="002F56CD">
              <w:rPr>
                <w:szCs w:val="20"/>
              </w:rPr>
              <w:t>Разлика в изчисленията по КМ (спрямо контролата)</w:t>
            </w:r>
          </w:p>
        </w:tc>
        <w:tc>
          <w:tcPr>
            <w:tcW w:w="896" w:type="dxa"/>
          </w:tcPr>
          <w:p w14:paraId="6B2A9098" w14:textId="68623878" w:rsidR="002F56CD" w:rsidRPr="002F56CD" w:rsidRDefault="002F56CD" w:rsidP="002F56CD">
            <w:pPr>
              <w:rPr>
                <w:rFonts w:cs="Arial"/>
              </w:rPr>
            </w:pPr>
            <w:r w:rsidRPr="002F56CD">
              <w:rPr>
                <w:szCs w:val="20"/>
              </w:rPr>
              <w:t>-3,0%</w:t>
            </w:r>
          </w:p>
        </w:tc>
        <w:tc>
          <w:tcPr>
            <w:tcW w:w="2279" w:type="dxa"/>
          </w:tcPr>
          <w:p w14:paraId="5AFA1A58" w14:textId="1B1D3753" w:rsidR="002F56CD" w:rsidRPr="002F56CD" w:rsidRDefault="002F56CD" w:rsidP="002F56CD">
            <w:pPr>
              <w:rPr>
                <w:rFonts w:cs="Arial"/>
              </w:rPr>
            </w:pPr>
            <w:r w:rsidRPr="002F56CD">
              <w:rPr>
                <w:szCs w:val="20"/>
              </w:rPr>
              <w:t>2.2%</w:t>
            </w:r>
          </w:p>
        </w:tc>
        <w:tc>
          <w:tcPr>
            <w:tcW w:w="1394" w:type="dxa"/>
          </w:tcPr>
          <w:p w14:paraId="47D17703" w14:textId="77777777" w:rsidR="002F56CD" w:rsidRPr="002F56CD" w:rsidRDefault="002F56CD" w:rsidP="002F56CD">
            <w:pPr>
              <w:rPr>
                <w:rFonts w:cs="Arial"/>
              </w:rPr>
            </w:pPr>
          </w:p>
        </w:tc>
        <w:tc>
          <w:tcPr>
            <w:tcW w:w="1837" w:type="dxa"/>
          </w:tcPr>
          <w:p w14:paraId="49CF8E26" w14:textId="77777777" w:rsidR="002F56CD" w:rsidRPr="002F56CD" w:rsidRDefault="002F56CD" w:rsidP="002F56CD">
            <w:pPr>
              <w:rPr>
                <w:rFonts w:cs="Arial"/>
              </w:rPr>
            </w:pPr>
          </w:p>
        </w:tc>
      </w:tr>
      <w:tr w:rsidR="002F56CD" w14:paraId="5DFDD68C" w14:textId="77777777" w:rsidTr="002F56CD">
        <w:tc>
          <w:tcPr>
            <w:tcW w:w="3170" w:type="dxa"/>
          </w:tcPr>
          <w:p w14:paraId="528751AA" w14:textId="4AE03BED" w:rsidR="002F56CD" w:rsidRPr="002F56CD" w:rsidRDefault="002F56CD" w:rsidP="002F56CD">
            <w:pPr>
              <w:rPr>
                <w:rFonts w:cs="Arial"/>
              </w:rPr>
            </w:pPr>
            <w:r w:rsidRPr="002F56CD">
              <w:rPr>
                <w:szCs w:val="20"/>
              </w:rPr>
              <w:t xml:space="preserve">97,5% </w:t>
            </w:r>
            <w:r w:rsidRPr="002F56CD">
              <w:rPr>
                <w:szCs w:val="20"/>
                <w:lang w:val="en-US"/>
              </w:rPr>
              <w:t xml:space="preserve">CI </w:t>
            </w:r>
            <w:r w:rsidRPr="002F56CD">
              <w:rPr>
                <w:szCs w:val="20"/>
              </w:rPr>
              <w:t>за разликата</w:t>
            </w:r>
          </w:p>
        </w:tc>
        <w:tc>
          <w:tcPr>
            <w:tcW w:w="896" w:type="dxa"/>
          </w:tcPr>
          <w:p w14:paraId="2C54D414" w14:textId="1767C599" w:rsidR="002F56CD" w:rsidRPr="002F56CD" w:rsidRDefault="002F56CD" w:rsidP="002F56CD">
            <w:pPr>
              <w:rPr>
                <w:rFonts w:cs="Arial"/>
              </w:rPr>
            </w:pPr>
            <w:r w:rsidRPr="002F56CD">
              <w:rPr>
                <w:szCs w:val="20"/>
              </w:rPr>
              <w:t>(-8,7%, 2,6%)</w:t>
            </w:r>
          </w:p>
        </w:tc>
        <w:tc>
          <w:tcPr>
            <w:tcW w:w="2279" w:type="dxa"/>
          </w:tcPr>
          <w:p w14:paraId="4D58DDA1" w14:textId="0314318A" w:rsidR="002F56CD" w:rsidRPr="002F56CD" w:rsidRDefault="002F56CD" w:rsidP="002F56CD">
            <w:pPr>
              <w:rPr>
                <w:rFonts w:cs="Arial"/>
              </w:rPr>
            </w:pPr>
            <w:r w:rsidRPr="002F56CD">
              <w:rPr>
                <w:szCs w:val="20"/>
              </w:rPr>
              <w:t>(-8.8%, 4.4%)</w:t>
            </w:r>
          </w:p>
        </w:tc>
        <w:tc>
          <w:tcPr>
            <w:tcW w:w="1394" w:type="dxa"/>
          </w:tcPr>
          <w:p w14:paraId="653B4593" w14:textId="77777777" w:rsidR="002F56CD" w:rsidRPr="002F56CD" w:rsidRDefault="002F56CD" w:rsidP="002F56CD">
            <w:pPr>
              <w:rPr>
                <w:rFonts w:cs="Arial"/>
              </w:rPr>
            </w:pPr>
          </w:p>
        </w:tc>
        <w:tc>
          <w:tcPr>
            <w:tcW w:w="1837" w:type="dxa"/>
          </w:tcPr>
          <w:p w14:paraId="2DE8FB4F" w14:textId="77777777" w:rsidR="002F56CD" w:rsidRPr="002F56CD" w:rsidRDefault="002F56CD" w:rsidP="002F56CD">
            <w:pPr>
              <w:rPr>
                <w:rFonts w:cs="Arial"/>
              </w:rPr>
            </w:pPr>
          </w:p>
        </w:tc>
      </w:tr>
      <w:tr w:rsidR="002F56CD" w14:paraId="0B823A65" w14:textId="77777777" w:rsidTr="002F56CD">
        <w:tc>
          <w:tcPr>
            <w:tcW w:w="3170" w:type="dxa"/>
          </w:tcPr>
          <w:p w14:paraId="6E1C9252" w14:textId="38BD1C07" w:rsidR="002F56CD" w:rsidRPr="002F56CD" w:rsidRDefault="002F56CD" w:rsidP="002F56CD">
            <w:pPr>
              <w:rPr>
                <w:rFonts w:cs="Arial"/>
              </w:rPr>
            </w:pPr>
            <w:r w:rsidRPr="002F56CD">
              <w:rPr>
                <w:szCs w:val="20"/>
              </w:rPr>
              <w:t xml:space="preserve">Р-стойност на </w:t>
            </w:r>
            <w:r w:rsidRPr="002F56CD">
              <w:rPr>
                <w:szCs w:val="20"/>
                <w:lang w:val="en-US"/>
              </w:rPr>
              <w:t>Z</w:t>
            </w:r>
            <w:r w:rsidRPr="002F56CD">
              <w:rPr>
                <w:szCs w:val="20"/>
              </w:rPr>
              <w:t xml:space="preserve">-тест при </w:t>
            </w:r>
            <w:r w:rsidRPr="002F56CD">
              <w:rPr>
                <w:szCs w:val="20"/>
                <w:lang w:val="ru-RU"/>
              </w:rPr>
              <w:t>(</w:t>
            </w:r>
            <w:r w:rsidRPr="002F56CD">
              <w:rPr>
                <w:szCs w:val="20"/>
                <w:lang w:val="en-US"/>
              </w:rPr>
              <w:t>EVR</w:t>
            </w:r>
            <w:r w:rsidRPr="002F56CD">
              <w:rPr>
                <w:szCs w:val="20"/>
                <w:lang w:val="ru-RU"/>
              </w:rPr>
              <w:t xml:space="preserve"> </w:t>
            </w:r>
            <w:r w:rsidRPr="002F56CD">
              <w:rPr>
                <w:szCs w:val="20"/>
              </w:rPr>
              <w:t>+ намалена доза ТАС - контрола = 0) (нулева стойност на разликата)</w:t>
            </w:r>
          </w:p>
        </w:tc>
        <w:tc>
          <w:tcPr>
            <w:tcW w:w="896" w:type="dxa"/>
          </w:tcPr>
          <w:p w14:paraId="59264F58" w14:textId="49E9086B" w:rsidR="002F56CD" w:rsidRPr="002F56CD" w:rsidRDefault="002F56CD" w:rsidP="002F56CD">
            <w:pPr>
              <w:rPr>
                <w:rFonts w:cs="Arial"/>
              </w:rPr>
            </w:pPr>
            <w:r w:rsidRPr="002F56CD">
              <w:rPr>
                <w:szCs w:val="20"/>
              </w:rPr>
              <w:t>0,230</w:t>
            </w:r>
          </w:p>
        </w:tc>
        <w:tc>
          <w:tcPr>
            <w:tcW w:w="2279" w:type="dxa"/>
          </w:tcPr>
          <w:p w14:paraId="2DBED10A" w14:textId="0BF4D37B" w:rsidR="002F56CD" w:rsidRPr="002F56CD" w:rsidRDefault="002F56CD" w:rsidP="002F56CD">
            <w:pPr>
              <w:rPr>
                <w:rFonts w:cs="Arial"/>
              </w:rPr>
            </w:pPr>
            <w:r w:rsidRPr="002F56CD">
              <w:rPr>
                <w:szCs w:val="20"/>
              </w:rPr>
              <w:t>0.452</w:t>
            </w:r>
          </w:p>
        </w:tc>
        <w:tc>
          <w:tcPr>
            <w:tcW w:w="1394" w:type="dxa"/>
          </w:tcPr>
          <w:p w14:paraId="0C663FF5" w14:textId="77777777" w:rsidR="002F56CD" w:rsidRPr="002F56CD" w:rsidRDefault="002F56CD" w:rsidP="002F56CD">
            <w:pPr>
              <w:rPr>
                <w:rFonts w:cs="Arial"/>
              </w:rPr>
            </w:pPr>
          </w:p>
        </w:tc>
        <w:tc>
          <w:tcPr>
            <w:tcW w:w="1837" w:type="dxa"/>
          </w:tcPr>
          <w:p w14:paraId="49B04CE1" w14:textId="77777777" w:rsidR="002F56CD" w:rsidRPr="002F56CD" w:rsidRDefault="002F56CD" w:rsidP="002F56CD">
            <w:pPr>
              <w:rPr>
                <w:rFonts w:cs="Arial"/>
              </w:rPr>
            </w:pPr>
          </w:p>
        </w:tc>
      </w:tr>
      <w:tr w:rsidR="002F56CD" w14:paraId="6557D5DA" w14:textId="77777777" w:rsidTr="002F56CD">
        <w:tc>
          <w:tcPr>
            <w:tcW w:w="3170" w:type="dxa"/>
          </w:tcPr>
          <w:p w14:paraId="1E06E253" w14:textId="4A61CAA8" w:rsidR="002F56CD" w:rsidRPr="002F56CD" w:rsidRDefault="002F56CD" w:rsidP="002F56CD">
            <w:pPr>
              <w:rPr>
                <w:rFonts w:cs="Arial"/>
              </w:rPr>
            </w:pPr>
            <w:r w:rsidRPr="002F56CD">
              <w:rPr>
                <w:szCs w:val="20"/>
              </w:rPr>
              <w:t xml:space="preserve">Р-стойност* на </w:t>
            </w:r>
            <w:r w:rsidRPr="002F56CD">
              <w:rPr>
                <w:szCs w:val="20"/>
                <w:lang w:val="en-US"/>
              </w:rPr>
              <w:t>Z</w:t>
            </w:r>
            <w:r w:rsidRPr="002F56CD">
              <w:rPr>
                <w:szCs w:val="20"/>
              </w:rPr>
              <w:t xml:space="preserve">-тест при </w:t>
            </w:r>
            <w:r w:rsidRPr="002F56CD">
              <w:rPr>
                <w:szCs w:val="20"/>
                <w:lang w:val="ru-RU"/>
              </w:rPr>
              <w:t>(</w:t>
            </w:r>
            <w:r w:rsidRPr="002F56CD">
              <w:rPr>
                <w:szCs w:val="20"/>
                <w:lang w:val="en-US"/>
              </w:rPr>
              <w:t>EVR</w:t>
            </w:r>
            <w:r w:rsidRPr="002F56CD">
              <w:rPr>
                <w:szCs w:val="20"/>
                <w:lang w:val="ru-RU"/>
              </w:rPr>
              <w:t xml:space="preserve"> </w:t>
            </w:r>
            <w:r w:rsidRPr="002F56CD">
              <w:rPr>
                <w:szCs w:val="20"/>
              </w:rPr>
              <w:t>+ намалена доза ТАС - контрола ≥0,12) (тест за неинфериорност)</w:t>
            </w:r>
          </w:p>
        </w:tc>
        <w:tc>
          <w:tcPr>
            <w:tcW w:w="896" w:type="dxa"/>
          </w:tcPr>
          <w:p w14:paraId="09255562" w14:textId="24A878FB" w:rsidR="002F56CD" w:rsidRPr="002F56CD" w:rsidRDefault="002F56CD" w:rsidP="002F56CD">
            <w:pPr>
              <w:rPr>
                <w:rFonts w:cs="Arial"/>
              </w:rPr>
            </w:pPr>
            <w:r w:rsidRPr="002F56CD">
              <w:rPr>
                <w:szCs w:val="20"/>
              </w:rPr>
              <w:t>&lt;0,001</w:t>
            </w:r>
          </w:p>
        </w:tc>
        <w:tc>
          <w:tcPr>
            <w:tcW w:w="2279" w:type="dxa"/>
          </w:tcPr>
          <w:p w14:paraId="78495229" w14:textId="6E3608E0" w:rsidR="002F56CD" w:rsidRPr="002F56CD" w:rsidRDefault="002F56CD" w:rsidP="002F56CD">
            <w:pPr>
              <w:rPr>
                <w:rFonts w:cs="Arial"/>
              </w:rPr>
            </w:pPr>
            <w:r w:rsidRPr="002F56CD">
              <w:rPr>
                <w:szCs w:val="20"/>
              </w:rPr>
              <w:t>&lt;0,001</w:t>
            </w:r>
          </w:p>
        </w:tc>
        <w:tc>
          <w:tcPr>
            <w:tcW w:w="1394" w:type="dxa"/>
          </w:tcPr>
          <w:p w14:paraId="2FE1ECA0" w14:textId="77777777" w:rsidR="002F56CD" w:rsidRPr="002F56CD" w:rsidRDefault="002F56CD" w:rsidP="002F56CD">
            <w:pPr>
              <w:rPr>
                <w:rFonts w:cs="Arial"/>
              </w:rPr>
            </w:pPr>
          </w:p>
        </w:tc>
        <w:tc>
          <w:tcPr>
            <w:tcW w:w="1837" w:type="dxa"/>
          </w:tcPr>
          <w:p w14:paraId="093F882D" w14:textId="77777777" w:rsidR="002F56CD" w:rsidRPr="002F56CD" w:rsidRDefault="002F56CD" w:rsidP="002F56CD">
            <w:pPr>
              <w:rPr>
                <w:rFonts w:cs="Arial"/>
              </w:rPr>
            </w:pPr>
          </w:p>
        </w:tc>
      </w:tr>
    </w:tbl>
    <w:p w14:paraId="1A9FBDF6" w14:textId="12D54FFC" w:rsidR="002F56CD" w:rsidRDefault="002F56CD" w:rsidP="002F56CD">
      <w:r>
        <w:t xml:space="preserve">* </w:t>
      </w:r>
      <w:r>
        <w:rPr>
          <w:lang w:val="en-US"/>
        </w:rPr>
        <w:t>tBPAR</w:t>
      </w:r>
      <w:r w:rsidRPr="002F56CD">
        <w:t xml:space="preserve"> </w:t>
      </w:r>
      <w:r>
        <w:t xml:space="preserve">= </w:t>
      </w:r>
      <w:r>
        <w:rPr>
          <w:lang w:val="en-US"/>
        </w:rPr>
        <w:t>treated</w:t>
      </w:r>
      <w:r w:rsidRPr="002F56CD">
        <w:t xml:space="preserve"> </w:t>
      </w:r>
      <w:r>
        <w:rPr>
          <w:lang w:val="en-US"/>
        </w:rPr>
        <w:t>Biopsy</w:t>
      </w:r>
      <w:r w:rsidRPr="002F56CD">
        <w:t xml:space="preserve"> </w:t>
      </w:r>
      <w:r>
        <w:rPr>
          <w:lang w:val="en-US"/>
        </w:rPr>
        <w:t>Proven</w:t>
      </w:r>
      <w:r w:rsidRPr="002F56CD">
        <w:t xml:space="preserve"> </w:t>
      </w:r>
      <w:r>
        <w:rPr>
          <w:lang w:val="en-US"/>
        </w:rPr>
        <w:t>Acute</w:t>
      </w:r>
      <w:r w:rsidRPr="002F56CD">
        <w:t xml:space="preserve"> </w:t>
      </w:r>
      <w:r>
        <w:rPr>
          <w:lang w:val="en-US"/>
        </w:rPr>
        <w:t>Rejection</w:t>
      </w:r>
      <w:r w:rsidRPr="002F56CD">
        <w:t xml:space="preserve"> </w:t>
      </w:r>
      <w:r>
        <w:t xml:space="preserve">(лекувано доказано </w:t>
      </w:r>
      <w:r>
        <w:rPr>
          <w:lang w:val="en-US"/>
        </w:rPr>
        <w:t>c</w:t>
      </w:r>
      <w:r w:rsidRPr="002F56CD">
        <w:t xml:space="preserve"> </w:t>
      </w:r>
      <w:r>
        <w:t>биопсия остро отхвърляне).</w:t>
      </w:r>
    </w:p>
    <w:p w14:paraId="1C6A2D8C" w14:textId="306213C6" w:rsidR="002F56CD" w:rsidRDefault="002F56CD" w:rsidP="002F56CD"/>
    <w:p w14:paraId="3D9D6A72" w14:textId="75511A02" w:rsidR="002F56CD" w:rsidRPr="002F56CD" w:rsidRDefault="002F56CD" w:rsidP="002F56CD">
      <w:pPr>
        <w:rPr>
          <w:b/>
          <w:bCs/>
          <w:szCs w:val="20"/>
        </w:rPr>
      </w:pPr>
      <w:r w:rsidRPr="002F56CD">
        <w:rPr>
          <w:b/>
          <w:bCs/>
          <w:szCs w:val="20"/>
        </w:rPr>
        <w:t xml:space="preserve">Таблица 19 Изпитване Н2304: Сравнение между терапевтичните групи на честотата на вторичните крайни точки за ефикасност </w:t>
      </w:r>
      <w:r w:rsidRPr="002F56CD">
        <w:rPr>
          <w:b/>
          <w:bCs/>
          <w:szCs w:val="20"/>
          <w:lang w:val="ru-RU"/>
        </w:rPr>
        <w:t>(</w:t>
      </w:r>
      <w:r w:rsidRPr="002F56CD">
        <w:rPr>
          <w:b/>
          <w:bCs/>
          <w:szCs w:val="20"/>
          <w:lang w:val="en-US"/>
        </w:rPr>
        <w:t>ITT</w:t>
      </w:r>
      <w:r w:rsidRPr="002F56CD">
        <w:rPr>
          <w:b/>
          <w:bCs/>
          <w:szCs w:val="20"/>
          <w:lang w:val="ru-RU"/>
        </w:rPr>
        <w:t xml:space="preserve"> </w:t>
      </w:r>
      <w:r w:rsidRPr="002F56CD">
        <w:rPr>
          <w:b/>
          <w:bCs/>
          <w:szCs w:val="20"/>
        </w:rPr>
        <w:t>популация - анализ на 12 и 24 месец)</w:t>
      </w:r>
    </w:p>
    <w:tbl>
      <w:tblPr>
        <w:tblStyle w:val="TableGrid"/>
        <w:tblW w:w="0" w:type="auto"/>
        <w:tblLook w:val="04A0" w:firstRow="1" w:lastRow="0" w:firstColumn="1" w:lastColumn="0" w:noHBand="0" w:noVBand="1"/>
      </w:tblPr>
      <w:tblGrid>
        <w:gridCol w:w="1886"/>
        <w:gridCol w:w="1870"/>
        <w:gridCol w:w="1867"/>
        <w:gridCol w:w="1861"/>
        <w:gridCol w:w="1866"/>
      </w:tblGrid>
      <w:tr w:rsidR="001E49D4" w14:paraId="1992C8A7" w14:textId="77777777" w:rsidTr="002F56CD">
        <w:tc>
          <w:tcPr>
            <w:tcW w:w="1915" w:type="dxa"/>
          </w:tcPr>
          <w:p w14:paraId="2CF6EE94" w14:textId="0737B539" w:rsidR="001E49D4" w:rsidRPr="001E49D4" w:rsidRDefault="001E49D4" w:rsidP="001E49D4">
            <w:pPr>
              <w:rPr>
                <w:rFonts w:cs="Arial"/>
              </w:rPr>
            </w:pPr>
            <w:r w:rsidRPr="001E49D4">
              <w:rPr>
                <w:rFonts w:cs="Arial"/>
                <w:b/>
                <w:bCs/>
              </w:rPr>
              <w:t>Крайни точки за ефикасност</w:t>
            </w:r>
          </w:p>
        </w:tc>
        <w:tc>
          <w:tcPr>
            <w:tcW w:w="1915" w:type="dxa"/>
          </w:tcPr>
          <w:p w14:paraId="182B6B66" w14:textId="7F2FF7C3" w:rsidR="001E49D4" w:rsidRPr="001E49D4" w:rsidRDefault="001E49D4" w:rsidP="001E49D4">
            <w:pPr>
              <w:rPr>
                <w:rFonts w:cs="Arial"/>
              </w:rPr>
            </w:pPr>
            <w:r w:rsidRPr="001E49D4">
              <w:rPr>
                <w:rFonts w:cs="Arial"/>
                <w:b/>
                <w:bCs/>
                <w:lang w:val="en-US"/>
              </w:rPr>
              <w:t>EVR</w:t>
            </w:r>
            <w:r w:rsidRPr="001E49D4">
              <w:rPr>
                <w:rFonts w:cs="Arial"/>
                <w:b/>
                <w:bCs/>
                <w:lang w:val="ru-RU"/>
              </w:rPr>
              <w:t xml:space="preserve">/ </w:t>
            </w:r>
            <w:r w:rsidRPr="001E49D4">
              <w:rPr>
                <w:rFonts w:cs="Arial"/>
                <w:b/>
                <w:bCs/>
              </w:rPr>
              <w:t xml:space="preserve">намалена доза ТАС </w:t>
            </w:r>
            <w:r w:rsidRPr="001E49D4">
              <w:rPr>
                <w:rFonts w:cs="Arial"/>
                <w:b/>
                <w:bCs/>
                <w:lang w:val="en-US"/>
              </w:rPr>
              <w:t>N</w:t>
            </w:r>
            <w:r w:rsidRPr="001E49D4">
              <w:rPr>
                <w:rFonts w:cs="Arial"/>
                <w:b/>
                <w:bCs/>
                <w:lang w:val="ru-RU"/>
              </w:rPr>
              <w:t xml:space="preserve">=245 </w:t>
            </w:r>
            <w:r w:rsidRPr="001E49D4">
              <w:rPr>
                <w:rFonts w:cs="Arial"/>
                <w:b/>
                <w:bCs/>
                <w:lang w:val="en-US"/>
              </w:rPr>
              <w:t>n</w:t>
            </w:r>
            <w:r w:rsidRPr="001E49D4">
              <w:rPr>
                <w:rFonts w:cs="Arial"/>
                <w:b/>
                <w:bCs/>
              </w:rPr>
              <w:t xml:space="preserve"> (%)</w:t>
            </w:r>
          </w:p>
        </w:tc>
        <w:tc>
          <w:tcPr>
            <w:tcW w:w="1915" w:type="dxa"/>
          </w:tcPr>
          <w:p w14:paraId="54C3F468" w14:textId="6E40EC8C" w:rsidR="001E49D4" w:rsidRPr="001E49D4" w:rsidRDefault="001E49D4" w:rsidP="001E49D4">
            <w:pPr>
              <w:rPr>
                <w:rFonts w:cs="Arial"/>
              </w:rPr>
            </w:pPr>
            <w:r w:rsidRPr="001E49D4">
              <w:rPr>
                <w:rFonts w:cs="Arial"/>
                <w:b/>
                <w:bCs/>
              </w:rPr>
              <w:t xml:space="preserve">ТАС контрола </w:t>
            </w:r>
            <w:r w:rsidRPr="001E49D4">
              <w:rPr>
                <w:rFonts w:cs="Arial"/>
                <w:b/>
                <w:bCs/>
                <w:lang w:val="en-US"/>
              </w:rPr>
              <w:t>N=243 n</w:t>
            </w:r>
            <w:r w:rsidRPr="001E49D4">
              <w:rPr>
                <w:rFonts w:cs="Arial"/>
                <w:b/>
                <w:bCs/>
              </w:rPr>
              <w:t>(%)</w:t>
            </w:r>
          </w:p>
        </w:tc>
        <w:tc>
          <w:tcPr>
            <w:tcW w:w="1915" w:type="dxa"/>
          </w:tcPr>
          <w:p w14:paraId="7C841723" w14:textId="4BBFA8AD" w:rsidR="001E49D4" w:rsidRPr="001E49D4" w:rsidRDefault="001E49D4" w:rsidP="001E49D4">
            <w:pPr>
              <w:rPr>
                <w:rFonts w:cs="Arial"/>
              </w:rPr>
            </w:pPr>
            <w:r w:rsidRPr="001E49D4">
              <w:rPr>
                <w:rFonts w:cs="Arial"/>
                <w:b/>
                <w:bCs/>
              </w:rPr>
              <w:t xml:space="preserve">Рискова разлика. (95% </w:t>
            </w:r>
            <w:r w:rsidRPr="001E49D4">
              <w:rPr>
                <w:rFonts w:cs="Arial"/>
                <w:b/>
                <w:bCs/>
                <w:lang w:val="en-US"/>
              </w:rPr>
              <w:t>CI)</w:t>
            </w:r>
          </w:p>
        </w:tc>
        <w:tc>
          <w:tcPr>
            <w:tcW w:w="1916" w:type="dxa"/>
          </w:tcPr>
          <w:p w14:paraId="7278A65A" w14:textId="12B6CB65" w:rsidR="001E49D4" w:rsidRPr="001E49D4" w:rsidRDefault="001E49D4" w:rsidP="001E49D4">
            <w:pPr>
              <w:rPr>
                <w:rFonts w:cs="Arial"/>
              </w:rPr>
            </w:pPr>
            <w:r w:rsidRPr="001E49D4">
              <w:rPr>
                <w:rFonts w:cs="Arial"/>
                <w:b/>
                <w:bCs/>
              </w:rPr>
              <w:t>Р-стойност *</w:t>
            </w:r>
          </w:p>
        </w:tc>
      </w:tr>
      <w:tr w:rsidR="001E49D4" w14:paraId="7D7976FA" w14:textId="77777777" w:rsidTr="002029D3">
        <w:tc>
          <w:tcPr>
            <w:tcW w:w="9576" w:type="dxa"/>
            <w:gridSpan w:val="5"/>
          </w:tcPr>
          <w:p w14:paraId="303BB41D" w14:textId="42A19D99" w:rsidR="001E49D4" w:rsidRPr="001E49D4" w:rsidRDefault="001E49D4" w:rsidP="001E49D4">
            <w:pPr>
              <w:rPr>
                <w:rFonts w:cs="Arial"/>
              </w:rPr>
            </w:pPr>
            <w:r w:rsidRPr="001E49D4">
              <w:rPr>
                <w:rFonts w:cs="Arial"/>
              </w:rPr>
              <w:t>Загуба на присадката</w:t>
            </w:r>
          </w:p>
        </w:tc>
      </w:tr>
      <w:tr w:rsidR="001E49D4" w14:paraId="6A6B0E45" w14:textId="77777777" w:rsidTr="002F56CD">
        <w:tc>
          <w:tcPr>
            <w:tcW w:w="1915" w:type="dxa"/>
          </w:tcPr>
          <w:p w14:paraId="37D648BC" w14:textId="2F2A91E0" w:rsidR="001E49D4" w:rsidRPr="001E49D4" w:rsidRDefault="001E49D4" w:rsidP="001E49D4">
            <w:pPr>
              <w:rPr>
                <w:rFonts w:cs="Arial"/>
              </w:rPr>
            </w:pPr>
            <w:r w:rsidRPr="001E49D4">
              <w:rPr>
                <w:rFonts w:cs="Arial"/>
              </w:rPr>
              <w:t>12-ти месец</w:t>
            </w:r>
          </w:p>
        </w:tc>
        <w:tc>
          <w:tcPr>
            <w:tcW w:w="1915" w:type="dxa"/>
          </w:tcPr>
          <w:p w14:paraId="32B12E23" w14:textId="0F2AFC1F" w:rsidR="001E49D4" w:rsidRPr="001E49D4" w:rsidRDefault="001E49D4" w:rsidP="001E49D4">
            <w:pPr>
              <w:rPr>
                <w:rFonts w:cs="Arial"/>
              </w:rPr>
            </w:pPr>
            <w:r w:rsidRPr="001E49D4">
              <w:rPr>
                <w:rFonts w:cs="Arial"/>
              </w:rPr>
              <w:t>6(2,4)</w:t>
            </w:r>
          </w:p>
        </w:tc>
        <w:tc>
          <w:tcPr>
            <w:tcW w:w="1915" w:type="dxa"/>
          </w:tcPr>
          <w:p w14:paraId="5243C663" w14:textId="7F16D825" w:rsidR="001E49D4" w:rsidRPr="001E49D4" w:rsidRDefault="001E49D4" w:rsidP="001E49D4">
            <w:pPr>
              <w:rPr>
                <w:rFonts w:cs="Arial"/>
              </w:rPr>
            </w:pPr>
            <w:r w:rsidRPr="001E49D4">
              <w:rPr>
                <w:rFonts w:cs="Arial"/>
              </w:rPr>
              <w:t>3(1,2)</w:t>
            </w:r>
          </w:p>
        </w:tc>
        <w:tc>
          <w:tcPr>
            <w:tcW w:w="1915" w:type="dxa"/>
          </w:tcPr>
          <w:p w14:paraId="0D1E9D5C" w14:textId="2A6F0E0F" w:rsidR="001E49D4" w:rsidRPr="001E49D4" w:rsidRDefault="001E49D4" w:rsidP="001E49D4">
            <w:pPr>
              <w:rPr>
                <w:rFonts w:cs="Arial"/>
              </w:rPr>
            </w:pPr>
            <w:r w:rsidRPr="001E49D4">
              <w:rPr>
                <w:rFonts w:cs="Arial"/>
              </w:rPr>
              <w:t>1,2 (-7,8, 10,2)</w:t>
            </w:r>
          </w:p>
        </w:tc>
        <w:tc>
          <w:tcPr>
            <w:tcW w:w="1916" w:type="dxa"/>
          </w:tcPr>
          <w:p w14:paraId="6A877A48" w14:textId="017B30CA" w:rsidR="001E49D4" w:rsidRPr="001E49D4" w:rsidRDefault="001E49D4" w:rsidP="001E49D4">
            <w:pPr>
              <w:rPr>
                <w:rFonts w:cs="Arial"/>
              </w:rPr>
            </w:pPr>
            <w:r w:rsidRPr="001E49D4">
              <w:rPr>
                <w:rFonts w:cs="Arial"/>
              </w:rPr>
              <w:t>0,5038</w:t>
            </w:r>
          </w:p>
        </w:tc>
      </w:tr>
      <w:tr w:rsidR="001E49D4" w14:paraId="3FE27031" w14:textId="77777777" w:rsidTr="002F56CD">
        <w:tc>
          <w:tcPr>
            <w:tcW w:w="1915" w:type="dxa"/>
          </w:tcPr>
          <w:p w14:paraId="280F5F69" w14:textId="6E0B78F7" w:rsidR="001E49D4" w:rsidRPr="001E49D4" w:rsidRDefault="001E49D4" w:rsidP="001E49D4">
            <w:pPr>
              <w:rPr>
                <w:rFonts w:cs="Arial"/>
              </w:rPr>
            </w:pPr>
            <w:r w:rsidRPr="001E49D4">
              <w:rPr>
                <w:rFonts w:cs="Arial"/>
              </w:rPr>
              <w:lastRenderedPageBreak/>
              <w:t>24-ти месец</w:t>
            </w:r>
          </w:p>
        </w:tc>
        <w:tc>
          <w:tcPr>
            <w:tcW w:w="1915" w:type="dxa"/>
          </w:tcPr>
          <w:p w14:paraId="70CBF9A9" w14:textId="492C95CA" w:rsidR="001E49D4" w:rsidRPr="001E49D4" w:rsidRDefault="001E49D4" w:rsidP="001E49D4">
            <w:pPr>
              <w:rPr>
                <w:rFonts w:cs="Arial"/>
              </w:rPr>
            </w:pPr>
            <w:r w:rsidRPr="001E49D4">
              <w:rPr>
                <w:rFonts w:cs="Arial"/>
              </w:rPr>
              <w:t>9(3,9)</w:t>
            </w:r>
          </w:p>
        </w:tc>
        <w:tc>
          <w:tcPr>
            <w:tcW w:w="1915" w:type="dxa"/>
          </w:tcPr>
          <w:p w14:paraId="5C35C347" w14:textId="4E7B47B7" w:rsidR="001E49D4" w:rsidRPr="001E49D4" w:rsidRDefault="001E49D4" w:rsidP="001E49D4">
            <w:pPr>
              <w:rPr>
                <w:rFonts w:cs="Arial"/>
              </w:rPr>
            </w:pPr>
            <w:r w:rsidRPr="001E49D4">
              <w:rPr>
                <w:rFonts w:cs="Arial"/>
              </w:rPr>
              <w:t>7(3,2)</w:t>
            </w:r>
          </w:p>
        </w:tc>
        <w:tc>
          <w:tcPr>
            <w:tcW w:w="1915" w:type="dxa"/>
          </w:tcPr>
          <w:p w14:paraId="15915070" w14:textId="6A7B0F72" w:rsidR="001E49D4" w:rsidRPr="001E49D4" w:rsidRDefault="001E49D4" w:rsidP="001E49D4">
            <w:pPr>
              <w:rPr>
                <w:rFonts w:cs="Arial"/>
              </w:rPr>
            </w:pPr>
            <w:r w:rsidRPr="001E49D4">
              <w:rPr>
                <w:rFonts w:cs="Arial"/>
              </w:rPr>
              <w:t>0,8% (-3,2, 4,7)</w:t>
            </w:r>
          </w:p>
        </w:tc>
        <w:tc>
          <w:tcPr>
            <w:tcW w:w="1916" w:type="dxa"/>
          </w:tcPr>
          <w:p w14:paraId="02C7A3C5" w14:textId="0E0C6BB3" w:rsidR="001E49D4" w:rsidRPr="001E49D4" w:rsidRDefault="001E49D4" w:rsidP="001E49D4">
            <w:pPr>
              <w:rPr>
                <w:rFonts w:cs="Arial"/>
              </w:rPr>
            </w:pPr>
            <w:r w:rsidRPr="001E49D4">
              <w:rPr>
                <w:rFonts w:cs="Arial"/>
              </w:rPr>
              <w:t>0,661</w:t>
            </w:r>
          </w:p>
        </w:tc>
      </w:tr>
      <w:tr w:rsidR="001E49D4" w14:paraId="4D545051" w14:textId="77777777" w:rsidTr="002F56CD">
        <w:tc>
          <w:tcPr>
            <w:tcW w:w="1915" w:type="dxa"/>
          </w:tcPr>
          <w:p w14:paraId="6CF6E769" w14:textId="0D8C58FE" w:rsidR="001E49D4" w:rsidRPr="001E49D4" w:rsidRDefault="001E49D4" w:rsidP="001E49D4">
            <w:pPr>
              <w:rPr>
                <w:rFonts w:cs="Arial"/>
              </w:rPr>
            </w:pPr>
            <w:r w:rsidRPr="001E49D4">
              <w:rPr>
                <w:rFonts w:cs="Arial"/>
              </w:rPr>
              <w:t>Смърт</w:t>
            </w:r>
          </w:p>
        </w:tc>
        <w:tc>
          <w:tcPr>
            <w:tcW w:w="1915" w:type="dxa"/>
          </w:tcPr>
          <w:p w14:paraId="57188F4B" w14:textId="77777777" w:rsidR="001E49D4" w:rsidRPr="001E49D4" w:rsidRDefault="001E49D4" w:rsidP="001E49D4">
            <w:pPr>
              <w:rPr>
                <w:rFonts w:cs="Arial"/>
              </w:rPr>
            </w:pPr>
          </w:p>
        </w:tc>
        <w:tc>
          <w:tcPr>
            <w:tcW w:w="1915" w:type="dxa"/>
          </w:tcPr>
          <w:p w14:paraId="643E1CAA" w14:textId="77777777" w:rsidR="001E49D4" w:rsidRPr="001E49D4" w:rsidRDefault="001E49D4" w:rsidP="001E49D4">
            <w:pPr>
              <w:rPr>
                <w:rFonts w:cs="Arial"/>
              </w:rPr>
            </w:pPr>
          </w:p>
        </w:tc>
        <w:tc>
          <w:tcPr>
            <w:tcW w:w="1915" w:type="dxa"/>
          </w:tcPr>
          <w:p w14:paraId="3DDE9F97" w14:textId="77777777" w:rsidR="001E49D4" w:rsidRPr="001E49D4" w:rsidRDefault="001E49D4" w:rsidP="001E49D4">
            <w:pPr>
              <w:rPr>
                <w:rFonts w:cs="Arial"/>
              </w:rPr>
            </w:pPr>
          </w:p>
        </w:tc>
        <w:tc>
          <w:tcPr>
            <w:tcW w:w="1916" w:type="dxa"/>
          </w:tcPr>
          <w:p w14:paraId="209D4B09" w14:textId="77777777" w:rsidR="001E49D4" w:rsidRPr="001E49D4" w:rsidRDefault="001E49D4" w:rsidP="001E49D4">
            <w:pPr>
              <w:rPr>
                <w:rFonts w:cs="Arial"/>
              </w:rPr>
            </w:pPr>
          </w:p>
        </w:tc>
      </w:tr>
      <w:tr w:rsidR="001E49D4" w14:paraId="18C66753" w14:textId="77777777" w:rsidTr="002F56CD">
        <w:tc>
          <w:tcPr>
            <w:tcW w:w="1915" w:type="dxa"/>
          </w:tcPr>
          <w:p w14:paraId="369A082C" w14:textId="5C3ECD22" w:rsidR="001E49D4" w:rsidRPr="001E49D4" w:rsidRDefault="001E49D4" w:rsidP="001E49D4">
            <w:pPr>
              <w:rPr>
                <w:rFonts w:cs="Arial"/>
              </w:rPr>
            </w:pPr>
            <w:r w:rsidRPr="001E49D4">
              <w:rPr>
                <w:rFonts w:cs="Arial"/>
              </w:rPr>
              <w:t>12-ти месец</w:t>
            </w:r>
          </w:p>
        </w:tc>
        <w:tc>
          <w:tcPr>
            <w:tcW w:w="1915" w:type="dxa"/>
          </w:tcPr>
          <w:p w14:paraId="4E38442B" w14:textId="7050686A" w:rsidR="001E49D4" w:rsidRPr="001E49D4" w:rsidRDefault="001E49D4" w:rsidP="001E49D4">
            <w:pPr>
              <w:rPr>
                <w:rFonts w:cs="Arial"/>
              </w:rPr>
            </w:pPr>
            <w:r w:rsidRPr="001E49D4">
              <w:rPr>
                <w:rFonts w:cs="Arial"/>
              </w:rPr>
              <w:t>9 (3,7)</w:t>
            </w:r>
          </w:p>
        </w:tc>
        <w:tc>
          <w:tcPr>
            <w:tcW w:w="1915" w:type="dxa"/>
          </w:tcPr>
          <w:p w14:paraId="5F9C0AB3" w14:textId="57C2AD42" w:rsidR="001E49D4" w:rsidRPr="001E49D4" w:rsidRDefault="001E49D4" w:rsidP="001E49D4">
            <w:pPr>
              <w:rPr>
                <w:rFonts w:cs="Arial"/>
              </w:rPr>
            </w:pPr>
            <w:r w:rsidRPr="001E49D4">
              <w:rPr>
                <w:rFonts w:cs="Arial"/>
              </w:rPr>
              <w:t>6(2,5)</w:t>
            </w:r>
          </w:p>
        </w:tc>
        <w:tc>
          <w:tcPr>
            <w:tcW w:w="1915" w:type="dxa"/>
          </w:tcPr>
          <w:p w14:paraId="00535025" w14:textId="627D9577" w:rsidR="001E49D4" w:rsidRPr="001E49D4" w:rsidRDefault="001E49D4" w:rsidP="001E49D4">
            <w:pPr>
              <w:rPr>
                <w:rFonts w:cs="Arial"/>
              </w:rPr>
            </w:pPr>
            <w:r w:rsidRPr="001E49D4">
              <w:rPr>
                <w:rFonts w:cs="Arial"/>
              </w:rPr>
              <w:t>1,2 (-7,8,10,1)</w:t>
            </w:r>
          </w:p>
        </w:tc>
        <w:tc>
          <w:tcPr>
            <w:tcW w:w="1916" w:type="dxa"/>
          </w:tcPr>
          <w:p w14:paraId="17364A20" w14:textId="06DBE3EE" w:rsidR="001E49D4" w:rsidRPr="001E49D4" w:rsidRDefault="001E49D4" w:rsidP="001E49D4">
            <w:pPr>
              <w:rPr>
                <w:rFonts w:cs="Arial"/>
              </w:rPr>
            </w:pPr>
            <w:r w:rsidRPr="001E49D4">
              <w:rPr>
                <w:rFonts w:cs="Arial"/>
              </w:rPr>
              <w:t>0,6015</w:t>
            </w:r>
          </w:p>
        </w:tc>
      </w:tr>
      <w:tr w:rsidR="001E49D4" w14:paraId="6E7E2862" w14:textId="77777777" w:rsidTr="002F56CD">
        <w:tc>
          <w:tcPr>
            <w:tcW w:w="1915" w:type="dxa"/>
          </w:tcPr>
          <w:p w14:paraId="0E7697C1" w14:textId="3CC3D1F1" w:rsidR="001E49D4" w:rsidRPr="001E49D4" w:rsidRDefault="001E49D4" w:rsidP="001E49D4">
            <w:pPr>
              <w:rPr>
                <w:rFonts w:cs="Arial"/>
              </w:rPr>
            </w:pPr>
            <w:r w:rsidRPr="001E49D4">
              <w:rPr>
                <w:rFonts w:cs="Arial"/>
              </w:rPr>
              <w:t>24-ти месец</w:t>
            </w:r>
          </w:p>
        </w:tc>
        <w:tc>
          <w:tcPr>
            <w:tcW w:w="1915" w:type="dxa"/>
          </w:tcPr>
          <w:p w14:paraId="76A88069" w14:textId="3F59D208" w:rsidR="001E49D4" w:rsidRPr="001E49D4" w:rsidRDefault="001E49D4" w:rsidP="001E49D4">
            <w:pPr>
              <w:rPr>
                <w:rFonts w:cs="Arial"/>
              </w:rPr>
            </w:pPr>
            <w:r w:rsidRPr="001E49D4">
              <w:rPr>
                <w:rFonts w:cs="Arial"/>
              </w:rPr>
              <w:t>12(5,2)</w:t>
            </w:r>
          </w:p>
        </w:tc>
        <w:tc>
          <w:tcPr>
            <w:tcW w:w="1915" w:type="dxa"/>
          </w:tcPr>
          <w:p w14:paraId="39534279" w14:textId="73DB61AF" w:rsidR="001E49D4" w:rsidRPr="001E49D4" w:rsidRDefault="001E49D4" w:rsidP="001E49D4">
            <w:pPr>
              <w:rPr>
                <w:rFonts w:cs="Arial"/>
              </w:rPr>
            </w:pPr>
            <w:r w:rsidRPr="001E49D4">
              <w:rPr>
                <w:rFonts w:cs="Arial"/>
              </w:rPr>
              <w:t>10 (4,4)</w:t>
            </w:r>
          </w:p>
        </w:tc>
        <w:tc>
          <w:tcPr>
            <w:tcW w:w="1915" w:type="dxa"/>
          </w:tcPr>
          <w:p w14:paraId="4A29F173" w14:textId="423F5C2D" w:rsidR="001E49D4" w:rsidRPr="001E49D4" w:rsidRDefault="001E49D4" w:rsidP="001E49D4">
            <w:pPr>
              <w:rPr>
                <w:rFonts w:cs="Arial"/>
              </w:rPr>
            </w:pPr>
            <w:r w:rsidRPr="001E49D4">
              <w:rPr>
                <w:rFonts w:cs="Arial"/>
              </w:rPr>
              <w:t>0,8% (-3,7, 5,2)</w:t>
            </w:r>
          </w:p>
        </w:tc>
        <w:tc>
          <w:tcPr>
            <w:tcW w:w="1916" w:type="dxa"/>
          </w:tcPr>
          <w:p w14:paraId="4620AC48" w14:textId="13C00FE1" w:rsidR="001E49D4" w:rsidRPr="001E49D4" w:rsidRDefault="001E49D4" w:rsidP="001E49D4">
            <w:pPr>
              <w:rPr>
                <w:rFonts w:cs="Arial"/>
              </w:rPr>
            </w:pPr>
            <w:r w:rsidRPr="001E49D4">
              <w:rPr>
                <w:rFonts w:cs="Arial"/>
              </w:rPr>
              <w:t>0,701</w:t>
            </w:r>
          </w:p>
        </w:tc>
      </w:tr>
      <w:tr w:rsidR="001E49D4" w14:paraId="2D406864" w14:textId="77777777" w:rsidTr="006A1E40">
        <w:tc>
          <w:tcPr>
            <w:tcW w:w="9576" w:type="dxa"/>
            <w:gridSpan w:val="5"/>
          </w:tcPr>
          <w:p w14:paraId="678D27E5" w14:textId="2BE5F319" w:rsidR="001E49D4" w:rsidRPr="001E49D4" w:rsidRDefault="001E49D4" w:rsidP="001E49D4">
            <w:pPr>
              <w:rPr>
                <w:rFonts w:cs="Arial"/>
              </w:rPr>
            </w:pPr>
            <w:r w:rsidRPr="001E49D4">
              <w:rPr>
                <w:rFonts w:cs="Arial"/>
                <w:lang w:val="en-US"/>
              </w:rPr>
              <w:t>BPAR</w:t>
            </w:r>
            <w:r w:rsidRPr="001E49D4">
              <w:rPr>
                <w:rFonts w:cs="Arial"/>
                <w:vertAlign w:val="superscript"/>
                <w:lang w:val="en-US"/>
              </w:rPr>
              <w:t>1</w:t>
            </w:r>
          </w:p>
        </w:tc>
      </w:tr>
      <w:tr w:rsidR="001E49D4" w14:paraId="3A05D4DF" w14:textId="77777777" w:rsidTr="002F56CD">
        <w:tc>
          <w:tcPr>
            <w:tcW w:w="1915" w:type="dxa"/>
          </w:tcPr>
          <w:p w14:paraId="1AF182E5" w14:textId="5D67CD81" w:rsidR="001E49D4" w:rsidRPr="001E49D4" w:rsidRDefault="001E49D4" w:rsidP="001E49D4">
            <w:pPr>
              <w:rPr>
                <w:rFonts w:cs="Arial"/>
              </w:rPr>
            </w:pPr>
            <w:r w:rsidRPr="001E49D4">
              <w:rPr>
                <w:rFonts w:cs="Arial"/>
              </w:rPr>
              <w:t>12-ти месец</w:t>
            </w:r>
          </w:p>
        </w:tc>
        <w:tc>
          <w:tcPr>
            <w:tcW w:w="1915" w:type="dxa"/>
          </w:tcPr>
          <w:p w14:paraId="3E37585E" w14:textId="7243B02B" w:rsidR="001E49D4" w:rsidRPr="001E49D4" w:rsidRDefault="001E49D4" w:rsidP="001E49D4">
            <w:pPr>
              <w:rPr>
                <w:rFonts w:cs="Arial"/>
              </w:rPr>
            </w:pPr>
            <w:r w:rsidRPr="001E49D4">
              <w:rPr>
                <w:rFonts w:cs="Arial"/>
              </w:rPr>
              <w:t>10(4,1)</w:t>
            </w:r>
          </w:p>
        </w:tc>
        <w:tc>
          <w:tcPr>
            <w:tcW w:w="1915" w:type="dxa"/>
          </w:tcPr>
          <w:p w14:paraId="6C45EB6F" w14:textId="29CA4773" w:rsidR="001E49D4" w:rsidRPr="001E49D4" w:rsidRDefault="001E49D4" w:rsidP="001E49D4">
            <w:pPr>
              <w:rPr>
                <w:rFonts w:cs="Arial"/>
              </w:rPr>
            </w:pPr>
            <w:r w:rsidRPr="001E49D4">
              <w:rPr>
                <w:rFonts w:cs="Arial"/>
              </w:rPr>
              <w:t>26 (10,7)</w:t>
            </w:r>
          </w:p>
        </w:tc>
        <w:tc>
          <w:tcPr>
            <w:tcW w:w="1915" w:type="dxa"/>
          </w:tcPr>
          <w:p w14:paraId="5165E0A2" w14:textId="5023DAEC" w:rsidR="001E49D4" w:rsidRPr="001E49D4" w:rsidRDefault="001E49D4" w:rsidP="001E49D4">
            <w:pPr>
              <w:rPr>
                <w:rFonts w:cs="Arial"/>
              </w:rPr>
            </w:pPr>
            <w:r w:rsidRPr="001E49D4">
              <w:rPr>
                <w:rFonts w:cs="Arial"/>
              </w:rPr>
              <w:t>-6,6 (-11,2, -2,0)</w:t>
            </w:r>
          </w:p>
        </w:tc>
        <w:tc>
          <w:tcPr>
            <w:tcW w:w="1916" w:type="dxa"/>
          </w:tcPr>
          <w:p w14:paraId="4C67827D" w14:textId="0A9268E7" w:rsidR="001E49D4" w:rsidRPr="001E49D4" w:rsidRDefault="001E49D4" w:rsidP="001E49D4">
            <w:pPr>
              <w:rPr>
                <w:rFonts w:cs="Arial"/>
              </w:rPr>
            </w:pPr>
            <w:r w:rsidRPr="001E49D4">
              <w:rPr>
                <w:rFonts w:cs="Arial"/>
              </w:rPr>
              <w:t>0,0052</w:t>
            </w:r>
          </w:p>
        </w:tc>
      </w:tr>
      <w:tr w:rsidR="001E49D4" w14:paraId="4A1C9114" w14:textId="77777777" w:rsidTr="002F56CD">
        <w:tc>
          <w:tcPr>
            <w:tcW w:w="1915" w:type="dxa"/>
          </w:tcPr>
          <w:p w14:paraId="0CC4323A" w14:textId="2DCF1F3D" w:rsidR="001E49D4" w:rsidRPr="001E49D4" w:rsidRDefault="001E49D4" w:rsidP="001E49D4">
            <w:pPr>
              <w:rPr>
                <w:rFonts w:cs="Arial"/>
              </w:rPr>
            </w:pPr>
            <w:r w:rsidRPr="001E49D4">
              <w:rPr>
                <w:rFonts w:cs="Arial"/>
              </w:rPr>
              <w:t>24-ти месец</w:t>
            </w:r>
          </w:p>
        </w:tc>
        <w:tc>
          <w:tcPr>
            <w:tcW w:w="1915" w:type="dxa"/>
          </w:tcPr>
          <w:p w14:paraId="5DC78BEC" w14:textId="7DEE3F46" w:rsidR="001E49D4" w:rsidRPr="001E49D4" w:rsidRDefault="001E49D4" w:rsidP="001E49D4">
            <w:pPr>
              <w:rPr>
                <w:rFonts w:cs="Arial"/>
              </w:rPr>
            </w:pPr>
            <w:r w:rsidRPr="001E49D4">
              <w:rPr>
                <w:rFonts w:cs="Arial"/>
              </w:rPr>
              <w:t>14(6,1)</w:t>
            </w:r>
          </w:p>
        </w:tc>
        <w:tc>
          <w:tcPr>
            <w:tcW w:w="1915" w:type="dxa"/>
          </w:tcPr>
          <w:p w14:paraId="4B4FC70F" w14:textId="37FE51A6" w:rsidR="001E49D4" w:rsidRPr="001E49D4" w:rsidRDefault="001E49D4" w:rsidP="001E49D4">
            <w:pPr>
              <w:rPr>
                <w:rFonts w:cs="Arial"/>
              </w:rPr>
            </w:pPr>
            <w:r w:rsidRPr="001E49D4">
              <w:rPr>
                <w:rFonts w:cs="Arial"/>
              </w:rPr>
              <w:t>30(13,3)</w:t>
            </w:r>
          </w:p>
        </w:tc>
        <w:tc>
          <w:tcPr>
            <w:tcW w:w="1915" w:type="dxa"/>
          </w:tcPr>
          <w:p w14:paraId="4E945A9F" w14:textId="328F1277" w:rsidR="001E49D4" w:rsidRPr="001E49D4" w:rsidRDefault="001E49D4" w:rsidP="001E49D4">
            <w:pPr>
              <w:rPr>
                <w:rFonts w:cs="Arial"/>
              </w:rPr>
            </w:pPr>
            <w:r w:rsidRPr="001E49D4">
              <w:rPr>
                <w:rFonts w:cs="Arial"/>
              </w:rPr>
              <w:t>-7,2% (-13,5, -0,9)</w:t>
            </w:r>
          </w:p>
        </w:tc>
        <w:tc>
          <w:tcPr>
            <w:tcW w:w="1916" w:type="dxa"/>
          </w:tcPr>
          <w:p w14:paraId="2C656D3D" w14:textId="35C42BCF" w:rsidR="001E49D4" w:rsidRPr="001E49D4" w:rsidRDefault="001E49D4" w:rsidP="001E49D4">
            <w:pPr>
              <w:rPr>
                <w:rFonts w:cs="Arial"/>
              </w:rPr>
            </w:pPr>
            <w:r w:rsidRPr="001E49D4">
              <w:rPr>
                <w:rFonts w:cs="Arial"/>
              </w:rPr>
              <w:t>0,010</w:t>
            </w:r>
          </w:p>
        </w:tc>
      </w:tr>
      <w:tr w:rsidR="001E49D4" w14:paraId="1AE67B1F" w14:textId="77777777" w:rsidTr="000C768D">
        <w:tc>
          <w:tcPr>
            <w:tcW w:w="9576" w:type="dxa"/>
            <w:gridSpan w:val="5"/>
          </w:tcPr>
          <w:p w14:paraId="43291A65" w14:textId="506D112A" w:rsidR="001E49D4" w:rsidRPr="001E49D4" w:rsidRDefault="001E49D4" w:rsidP="001E49D4">
            <w:pPr>
              <w:rPr>
                <w:rFonts w:cs="Arial"/>
              </w:rPr>
            </w:pPr>
            <w:r w:rsidRPr="001E49D4">
              <w:rPr>
                <w:rFonts w:cs="Arial"/>
                <w:lang w:val="en-US"/>
              </w:rPr>
              <w:t>tBPAR</w:t>
            </w:r>
            <w:r w:rsidRPr="001E49D4">
              <w:rPr>
                <w:rFonts w:cs="Arial"/>
                <w:vertAlign w:val="superscript"/>
                <w:lang w:val="en-US"/>
              </w:rPr>
              <w:t>2</w:t>
            </w:r>
          </w:p>
        </w:tc>
      </w:tr>
      <w:tr w:rsidR="001E49D4" w14:paraId="18686DA1" w14:textId="77777777" w:rsidTr="002F56CD">
        <w:tc>
          <w:tcPr>
            <w:tcW w:w="1915" w:type="dxa"/>
          </w:tcPr>
          <w:p w14:paraId="170E135B" w14:textId="1AC66F5D" w:rsidR="001E49D4" w:rsidRPr="001E49D4" w:rsidRDefault="001E49D4" w:rsidP="001E49D4">
            <w:pPr>
              <w:rPr>
                <w:rFonts w:cs="Arial"/>
              </w:rPr>
            </w:pPr>
            <w:r w:rsidRPr="001E49D4">
              <w:rPr>
                <w:rFonts w:cs="Arial"/>
              </w:rPr>
              <w:t>12-ти месец</w:t>
            </w:r>
          </w:p>
        </w:tc>
        <w:tc>
          <w:tcPr>
            <w:tcW w:w="1915" w:type="dxa"/>
          </w:tcPr>
          <w:p w14:paraId="12093B4A" w14:textId="49AAF510" w:rsidR="001E49D4" w:rsidRPr="001E49D4" w:rsidRDefault="001E49D4" w:rsidP="001E49D4">
            <w:pPr>
              <w:rPr>
                <w:rFonts w:cs="Arial"/>
              </w:rPr>
            </w:pPr>
            <w:r w:rsidRPr="001E49D4">
              <w:rPr>
                <w:rFonts w:cs="Arial"/>
              </w:rPr>
              <w:t>7(2,9)</w:t>
            </w:r>
          </w:p>
        </w:tc>
        <w:tc>
          <w:tcPr>
            <w:tcW w:w="1915" w:type="dxa"/>
          </w:tcPr>
          <w:p w14:paraId="07344653" w14:textId="3E883C15" w:rsidR="001E49D4" w:rsidRPr="001E49D4" w:rsidRDefault="001E49D4" w:rsidP="001E49D4">
            <w:pPr>
              <w:rPr>
                <w:rFonts w:cs="Arial"/>
              </w:rPr>
            </w:pPr>
            <w:r w:rsidRPr="001E49D4">
              <w:rPr>
                <w:rFonts w:cs="Arial"/>
              </w:rPr>
              <w:t>17(7,0)</w:t>
            </w:r>
          </w:p>
        </w:tc>
        <w:tc>
          <w:tcPr>
            <w:tcW w:w="1915" w:type="dxa"/>
          </w:tcPr>
          <w:p w14:paraId="7B7A99B8" w14:textId="0B75C03B" w:rsidR="001E49D4" w:rsidRPr="001E49D4" w:rsidRDefault="001E49D4" w:rsidP="001E49D4">
            <w:pPr>
              <w:rPr>
                <w:rFonts w:cs="Arial"/>
              </w:rPr>
            </w:pPr>
            <w:r w:rsidRPr="001E49D4">
              <w:rPr>
                <w:rFonts w:cs="Arial"/>
              </w:rPr>
              <w:t>-4,1 (-8,0, -0,3)</w:t>
            </w:r>
          </w:p>
        </w:tc>
        <w:tc>
          <w:tcPr>
            <w:tcW w:w="1916" w:type="dxa"/>
          </w:tcPr>
          <w:p w14:paraId="29681132" w14:textId="3F5C5FAA" w:rsidR="001E49D4" w:rsidRPr="001E49D4" w:rsidRDefault="001E49D4" w:rsidP="001E49D4">
            <w:pPr>
              <w:rPr>
                <w:rFonts w:cs="Arial"/>
              </w:rPr>
            </w:pPr>
            <w:r w:rsidRPr="001E49D4">
              <w:rPr>
                <w:rFonts w:cs="Arial"/>
              </w:rPr>
              <w:t>0,0345</w:t>
            </w:r>
          </w:p>
        </w:tc>
      </w:tr>
      <w:tr w:rsidR="001E49D4" w14:paraId="619FF55B" w14:textId="77777777" w:rsidTr="002F56CD">
        <w:tc>
          <w:tcPr>
            <w:tcW w:w="1915" w:type="dxa"/>
          </w:tcPr>
          <w:p w14:paraId="79427162" w14:textId="55CEDA7E" w:rsidR="001E49D4" w:rsidRPr="001E49D4" w:rsidRDefault="001E49D4" w:rsidP="001E49D4">
            <w:pPr>
              <w:rPr>
                <w:rFonts w:cs="Arial"/>
              </w:rPr>
            </w:pPr>
            <w:r w:rsidRPr="001E49D4">
              <w:rPr>
                <w:rFonts w:cs="Arial"/>
              </w:rPr>
              <w:t>24-ти месец</w:t>
            </w:r>
          </w:p>
        </w:tc>
        <w:tc>
          <w:tcPr>
            <w:tcW w:w="1915" w:type="dxa"/>
          </w:tcPr>
          <w:p w14:paraId="0504A9C7" w14:textId="7BA0F687" w:rsidR="001E49D4" w:rsidRPr="001E49D4" w:rsidRDefault="001E49D4" w:rsidP="001E49D4">
            <w:pPr>
              <w:rPr>
                <w:rFonts w:cs="Arial"/>
              </w:rPr>
            </w:pPr>
            <w:r w:rsidRPr="001E49D4">
              <w:rPr>
                <w:rFonts w:cs="Arial"/>
              </w:rPr>
              <w:t>11 (4,8)</w:t>
            </w:r>
          </w:p>
        </w:tc>
        <w:tc>
          <w:tcPr>
            <w:tcW w:w="1915" w:type="dxa"/>
          </w:tcPr>
          <w:p w14:paraId="1EF1DD6F" w14:textId="691E8251" w:rsidR="001E49D4" w:rsidRPr="001E49D4" w:rsidRDefault="001E49D4" w:rsidP="001E49D4">
            <w:pPr>
              <w:rPr>
                <w:rFonts w:cs="Arial"/>
              </w:rPr>
            </w:pPr>
            <w:r w:rsidRPr="001E49D4">
              <w:rPr>
                <w:rFonts w:cs="Arial"/>
              </w:rPr>
              <w:t>18(7,7)</w:t>
            </w:r>
          </w:p>
        </w:tc>
        <w:tc>
          <w:tcPr>
            <w:tcW w:w="1915" w:type="dxa"/>
          </w:tcPr>
          <w:p w14:paraId="3FC8B042" w14:textId="527A3F35" w:rsidR="001E49D4" w:rsidRPr="001E49D4" w:rsidRDefault="001E49D4" w:rsidP="001E49D4">
            <w:pPr>
              <w:rPr>
                <w:rFonts w:cs="Arial"/>
              </w:rPr>
            </w:pPr>
            <w:r w:rsidRPr="001E49D4">
              <w:rPr>
                <w:rFonts w:cs="Arial"/>
              </w:rPr>
              <w:t>-2,9% (-7,9,</w:t>
            </w:r>
            <w:r w:rsidRPr="001E49D4">
              <w:rPr>
                <w:rFonts w:cs="Arial"/>
                <w:lang w:val="en-US"/>
              </w:rPr>
              <w:t xml:space="preserve"> </w:t>
            </w:r>
            <w:r w:rsidRPr="001E49D4">
              <w:rPr>
                <w:rFonts w:cs="Arial"/>
              </w:rPr>
              <w:t>2,2)</w:t>
            </w:r>
          </w:p>
        </w:tc>
        <w:tc>
          <w:tcPr>
            <w:tcW w:w="1916" w:type="dxa"/>
          </w:tcPr>
          <w:p w14:paraId="111EB204" w14:textId="36D7AFAB" w:rsidR="001E49D4" w:rsidRPr="001E49D4" w:rsidRDefault="001E49D4" w:rsidP="001E49D4">
            <w:pPr>
              <w:rPr>
                <w:rFonts w:cs="Arial"/>
              </w:rPr>
            </w:pPr>
            <w:r w:rsidRPr="001E49D4">
              <w:rPr>
                <w:rFonts w:cs="Arial"/>
              </w:rPr>
              <w:t>0,203</w:t>
            </w:r>
          </w:p>
        </w:tc>
      </w:tr>
    </w:tbl>
    <w:p w14:paraId="435FA262" w14:textId="0338662F" w:rsidR="002F56CD" w:rsidRDefault="002F56CD" w:rsidP="002F56CD">
      <w:pPr>
        <w:rPr>
          <w:rFonts w:cs="Arial"/>
          <w:sz w:val="28"/>
        </w:rPr>
      </w:pPr>
    </w:p>
    <w:p w14:paraId="02DADEB6"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vertAlign w:val="superscript"/>
          <w:lang w:eastAsia="bg-BG"/>
        </w:rPr>
        <w:t>1</w:t>
      </w:r>
      <w:r w:rsidRPr="001E49D4">
        <w:rPr>
          <w:rFonts w:eastAsia="Times New Roman" w:cs="Arial"/>
          <w:color w:val="000000"/>
          <w:szCs w:val="20"/>
          <w:lang w:eastAsia="bg-BG"/>
        </w:rPr>
        <w:t xml:space="preserve"> </w:t>
      </w:r>
      <w:r w:rsidRPr="001E49D4">
        <w:rPr>
          <w:rFonts w:eastAsia="Times New Roman" w:cs="Arial"/>
          <w:color w:val="000000"/>
          <w:szCs w:val="20"/>
          <w:lang w:val="en-US"/>
        </w:rPr>
        <w:t>BPAR</w:t>
      </w:r>
      <w:r w:rsidRPr="001E49D4">
        <w:rPr>
          <w:rFonts w:eastAsia="Times New Roman" w:cs="Arial"/>
          <w:color w:val="000000"/>
          <w:szCs w:val="20"/>
        </w:rPr>
        <w:t xml:space="preserve"> = </w:t>
      </w:r>
      <w:r w:rsidRPr="001E49D4">
        <w:rPr>
          <w:rFonts w:eastAsia="Times New Roman" w:cs="Arial"/>
          <w:color w:val="000000"/>
          <w:szCs w:val="20"/>
          <w:lang w:val="en-US"/>
        </w:rPr>
        <w:t>Biopsy</w:t>
      </w:r>
      <w:r w:rsidRPr="001E49D4">
        <w:rPr>
          <w:rFonts w:eastAsia="Times New Roman" w:cs="Arial"/>
          <w:color w:val="000000"/>
          <w:szCs w:val="20"/>
        </w:rPr>
        <w:t xml:space="preserve"> </w:t>
      </w:r>
      <w:r w:rsidRPr="001E49D4">
        <w:rPr>
          <w:rFonts w:eastAsia="Times New Roman" w:cs="Arial"/>
          <w:color w:val="000000"/>
          <w:szCs w:val="20"/>
          <w:lang w:val="en-US"/>
        </w:rPr>
        <w:t>Proven</w:t>
      </w:r>
      <w:r w:rsidRPr="001E49D4">
        <w:rPr>
          <w:rFonts w:eastAsia="Times New Roman" w:cs="Arial"/>
          <w:color w:val="000000"/>
          <w:szCs w:val="20"/>
        </w:rPr>
        <w:t xml:space="preserve"> </w:t>
      </w:r>
      <w:r w:rsidRPr="001E49D4">
        <w:rPr>
          <w:rFonts w:eastAsia="Times New Roman" w:cs="Arial"/>
          <w:color w:val="000000"/>
          <w:szCs w:val="20"/>
          <w:lang w:val="en-US"/>
        </w:rPr>
        <w:t>Acute</w:t>
      </w:r>
      <w:r w:rsidRPr="001E49D4">
        <w:rPr>
          <w:rFonts w:eastAsia="Times New Roman" w:cs="Arial"/>
          <w:color w:val="000000"/>
          <w:szCs w:val="20"/>
        </w:rPr>
        <w:t xml:space="preserve"> </w:t>
      </w:r>
      <w:r w:rsidRPr="001E49D4">
        <w:rPr>
          <w:rFonts w:eastAsia="Times New Roman" w:cs="Arial"/>
          <w:color w:val="000000"/>
          <w:szCs w:val="20"/>
          <w:lang w:val="en-US"/>
        </w:rPr>
        <w:t>Rejection</w:t>
      </w:r>
      <w:r w:rsidRPr="001E49D4">
        <w:rPr>
          <w:rFonts w:eastAsia="Times New Roman" w:cs="Arial"/>
          <w:color w:val="000000"/>
          <w:szCs w:val="20"/>
        </w:rPr>
        <w:t xml:space="preserve"> </w:t>
      </w:r>
      <w:r w:rsidRPr="001E49D4">
        <w:rPr>
          <w:rFonts w:eastAsia="Times New Roman" w:cs="Arial"/>
          <w:color w:val="000000"/>
          <w:szCs w:val="20"/>
          <w:lang w:eastAsia="bg-BG"/>
        </w:rPr>
        <w:t xml:space="preserve">(доказано </w:t>
      </w:r>
      <w:r w:rsidRPr="001E49D4">
        <w:rPr>
          <w:rFonts w:eastAsia="Times New Roman" w:cs="Arial"/>
          <w:color w:val="000000"/>
          <w:szCs w:val="20"/>
          <w:lang w:val="en-US"/>
        </w:rPr>
        <w:t>c</w:t>
      </w:r>
      <w:r w:rsidRPr="001E49D4">
        <w:rPr>
          <w:rFonts w:eastAsia="Times New Roman" w:cs="Arial"/>
          <w:color w:val="000000"/>
          <w:szCs w:val="20"/>
        </w:rPr>
        <w:t xml:space="preserve"> </w:t>
      </w:r>
      <w:r w:rsidRPr="001E49D4">
        <w:rPr>
          <w:rFonts w:eastAsia="Times New Roman" w:cs="Arial"/>
          <w:color w:val="000000"/>
          <w:szCs w:val="20"/>
          <w:lang w:eastAsia="bg-BG"/>
        </w:rPr>
        <w:t>биопсия остро отхвърляне);</w:t>
      </w:r>
      <w:r w:rsidRPr="001E49D4">
        <w:rPr>
          <w:rFonts w:eastAsia="Times New Roman" w:cs="Arial"/>
          <w:color w:val="000000"/>
          <w:szCs w:val="20"/>
          <w:vertAlign w:val="superscript"/>
        </w:rPr>
        <w:t>2</w:t>
      </w:r>
      <w:r w:rsidRPr="001E49D4">
        <w:rPr>
          <w:rFonts w:eastAsia="Times New Roman" w:cs="Arial"/>
          <w:color w:val="000000"/>
          <w:szCs w:val="20"/>
          <w:lang w:val="en-US"/>
        </w:rPr>
        <w:t>tBPAR</w:t>
      </w:r>
      <w:r w:rsidRPr="001E49D4">
        <w:rPr>
          <w:rFonts w:eastAsia="Times New Roman" w:cs="Arial"/>
          <w:color w:val="000000"/>
          <w:szCs w:val="20"/>
        </w:rPr>
        <w:t xml:space="preserve"> = </w:t>
      </w:r>
      <w:r w:rsidRPr="001E49D4">
        <w:rPr>
          <w:rFonts w:eastAsia="Times New Roman" w:cs="Arial"/>
          <w:color w:val="000000"/>
          <w:szCs w:val="20"/>
          <w:lang w:val="en-US"/>
        </w:rPr>
        <w:t>treated</w:t>
      </w:r>
      <w:r w:rsidRPr="001E49D4">
        <w:rPr>
          <w:rFonts w:eastAsia="Times New Roman" w:cs="Arial"/>
          <w:color w:val="000000"/>
          <w:szCs w:val="20"/>
        </w:rPr>
        <w:t xml:space="preserve"> </w:t>
      </w:r>
      <w:r w:rsidRPr="001E49D4">
        <w:rPr>
          <w:rFonts w:eastAsia="Times New Roman" w:cs="Arial"/>
          <w:color w:val="000000"/>
          <w:szCs w:val="20"/>
          <w:lang w:val="en-US"/>
        </w:rPr>
        <w:t>Biopsy</w:t>
      </w:r>
      <w:r w:rsidRPr="001E49D4">
        <w:rPr>
          <w:rFonts w:eastAsia="Times New Roman" w:cs="Arial"/>
          <w:color w:val="000000"/>
          <w:szCs w:val="20"/>
        </w:rPr>
        <w:t xml:space="preserve"> </w:t>
      </w:r>
      <w:r w:rsidRPr="001E49D4">
        <w:rPr>
          <w:rFonts w:eastAsia="Times New Roman" w:cs="Arial"/>
          <w:color w:val="000000"/>
          <w:szCs w:val="20"/>
          <w:lang w:val="en-US"/>
        </w:rPr>
        <w:t>Proven</w:t>
      </w:r>
      <w:r w:rsidRPr="001E49D4">
        <w:rPr>
          <w:rFonts w:eastAsia="Times New Roman" w:cs="Arial"/>
          <w:color w:val="000000"/>
          <w:szCs w:val="20"/>
        </w:rPr>
        <w:t xml:space="preserve"> </w:t>
      </w:r>
      <w:r w:rsidRPr="001E49D4">
        <w:rPr>
          <w:rFonts w:eastAsia="Times New Roman" w:cs="Arial"/>
          <w:color w:val="000000"/>
          <w:szCs w:val="20"/>
          <w:lang w:val="en-US"/>
        </w:rPr>
        <w:t>Acute</w:t>
      </w:r>
      <w:r w:rsidRPr="001E49D4">
        <w:rPr>
          <w:rFonts w:eastAsia="Times New Roman" w:cs="Arial"/>
          <w:color w:val="000000"/>
          <w:szCs w:val="20"/>
        </w:rPr>
        <w:t xml:space="preserve"> </w:t>
      </w:r>
      <w:r w:rsidRPr="001E49D4">
        <w:rPr>
          <w:rFonts w:eastAsia="Times New Roman" w:cs="Arial"/>
          <w:color w:val="000000"/>
          <w:szCs w:val="20"/>
          <w:lang w:val="en-US"/>
        </w:rPr>
        <w:t>Rejection</w:t>
      </w:r>
      <w:r w:rsidRPr="001E49D4">
        <w:rPr>
          <w:rFonts w:eastAsia="Times New Roman" w:cs="Arial"/>
          <w:color w:val="000000"/>
          <w:szCs w:val="20"/>
        </w:rPr>
        <w:t xml:space="preserve"> </w:t>
      </w:r>
      <w:r w:rsidRPr="001E49D4">
        <w:rPr>
          <w:rFonts w:eastAsia="Times New Roman" w:cs="Arial"/>
          <w:color w:val="000000"/>
          <w:szCs w:val="20"/>
          <w:lang w:eastAsia="bg-BG"/>
        </w:rPr>
        <w:t xml:space="preserve">(лекувано доказано </w:t>
      </w:r>
      <w:r w:rsidRPr="001E49D4">
        <w:rPr>
          <w:rFonts w:eastAsia="Times New Roman" w:cs="Arial"/>
          <w:color w:val="000000"/>
          <w:szCs w:val="20"/>
          <w:lang w:val="en-US"/>
        </w:rPr>
        <w:t>c</w:t>
      </w:r>
      <w:r w:rsidRPr="001E49D4">
        <w:rPr>
          <w:rFonts w:eastAsia="Times New Roman" w:cs="Arial"/>
          <w:color w:val="000000"/>
          <w:szCs w:val="20"/>
        </w:rPr>
        <w:t xml:space="preserve"> </w:t>
      </w:r>
      <w:r w:rsidRPr="001E49D4">
        <w:rPr>
          <w:rFonts w:eastAsia="Times New Roman" w:cs="Arial"/>
          <w:color w:val="000000"/>
          <w:szCs w:val="20"/>
          <w:lang w:eastAsia="bg-BG"/>
        </w:rPr>
        <w:t>биопсия остро отхвърляне) *Всички р-стойности са за двустранен тест и са с ниво на значимост 0,05.</w:t>
      </w:r>
    </w:p>
    <w:p w14:paraId="50AC177E" w14:textId="77777777" w:rsidR="001E49D4" w:rsidRPr="001E49D4" w:rsidRDefault="001E49D4" w:rsidP="001E49D4">
      <w:pPr>
        <w:spacing w:line="240" w:lineRule="auto"/>
        <w:rPr>
          <w:rFonts w:eastAsia="Times New Roman" w:cs="Arial"/>
          <w:color w:val="000000"/>
          <w:szCs w:val="20"/>
          <w:lang w:eastAsia="bg-BG"/>
        </w:rPr>
      </w:pPr>
    </w:p>
    <w:p w14:paraId="219E9B2D" w14:textId="1B6A1B75"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Сравнението между терапевтичните групи за промяната в </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val="en-US"/>
        </w:rPr>
        <w:t>MDRD</w:t>
      </w:r>
      <w:r w:rsidRPr="001E49D4">
        <w:rPr>
          <w:rFonts w:eastAsia="Times New Roman" w:cs="Arial"/>
          <w:color w:val="000000"/>
          <w:szCs w:val="20"/>
          <w:lang w:val="ru-RU"/>
        </w:rPr>
        <w:t>4)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 xml:space="preserve">/1,73 </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от времето на рандомизация (ден 30) до 12-ия и 24-тия месец показва по-добра бъбречна функция за рамото Сертикан + редуцирана доза такролимус (вж. Таблица 20).</w:t>
      </w:r>
    </w:p>
    <w:p w14:paraId="561915E7" w14:textId="77777777" w:rsidR="001E49D4" w:rsidRPr="001E49D4" w:rsidRDefault="001E49D4" w:rsidP="001E49D4">
      <w:pPr>
        <w:spacing w:line="240" w:lineRule="auto"/>
        <w:rPr>
          <w:rFonts w:eastAsia="Times New Roman" w:cs="Arial"/>
          <w:b/>
          <w:bCs/>
          <w:color w:val="000000"/>
          <w:szCs w:val="20"/>
          <w:lang w:eastAsia="bg-BG"/>
        </w:rPr>
      </w:pPr>
    </w:p>
    <w:p w14:paraId="5CB3C386" w14:textId="7760C2AB" w:rsidR="001E49D4" w:rsidRPr="001E49D4" w:rsidRDefault="001E49D4" w:rsidP="001E49D4">
      <w:pPr>
        <w:spacing w:line="240" w:lineRule="auto"/>
        <w:rPr>
          <w:rFonts w:eastAsia="Times New Roman" w:cs="Arial"/>
          <w:sz w:val="28"/>
          <w:szCs w:val="24"/>
        </w:rPr>
      </w:pPr>
      <w:r w:rsidRPr="001E49D4">
        <w:rPr>
          <w:rFonts w:eastAsia="Times New Roman" w:cs="Arial"/>
          <w:b/>
          <w:bCs/>
          <w:color w:val="000000"/>
          <w:szCs w:val="20"/>
          <w:lang w:eastAsia="bg-BG"/>
        </w:rPr>
        <w:t xml:space="preserve">Таблица 20 Изпитване Н2304: Сравнение между терапевтичните групи по отношение на </w:t>
      </w:r>
      <w:r w:rsidRPr="001E49D4">
        <w:rPr>
          <w:rFonts w:eastAsia="Times New Roman" w:cs="Arial"/>
          <w:b/>
          <w:bCs/>
          <w:color w:val="000000"/>
          <w:szCs w:val="20"/>
          <w:lang w:val="en-US"/>
        </w:rPr>
        <w:t>eGFR</w:t>
      </w:r>
      <w:r w:rsidRPr="001E49D4">
        <w:rPr>
          <w:rFonts w:eastAsia="Times New Roman" w:cs="Arial"/>
          <w:b/>
          <w:bCs/>
          <w:color w:val="000000"/>
          <w:szCs w:val="20"/>
          <w:lang w:val="ru-RU"/>
        </w:rPr>
        <w:t xml:space="preserve"> (</w:t>
      </w:r>
      <w:r w:rsidRPr="001E49D4">
        <w:rPr>
          <w:rFonts w:eastAsia="Times New Roman" w:cs="Arial"/>
          <w:b/>
          <w:bCs/>
          <w:color w:val="000000"/>
          <w:szCs w:val="20"/>
          <w:lang w:val="en-US"/>
        </w:rPr>
        <w:t>MDRD</w:t>
      </w:r>
      <w:r w:rsidRPr="001E49D4">
        <w:rPr>
          <w:rFonts w:eastAsia="Times New Roman" w:cs="Arial"/>
          <w:b/>
          <w:bCs/>
          <w:color w:val="000000"/>
          <w:szCs w:val="20"/>
          <w:lang w:val="ru-RU"/>
        </w:rPr>
        <w:t xml:space="preserve"> </w:t>
      </w:r>
      <w:r w:rsidRPr="001E49D4">
        <w:rPr>
          <w:rFonts w:eastAsia="Times New Roman" w:cs="Arial"/>
          <w:b/>
          <w:bCs/>
          <w:color w:val="000000"/>
          <w:szCs w:val="20"/>
          <w:lang w:eastAsia="bg-BG"/>
        </w:rPr>
        <w:t xml:space="preserve">4) на 12-ия месец </w:t>
      </w:r>
      <w:r w:rsidRPr="001E49D4">
        <w:rPr>
          <w:rFonts w:eastAsia="Times New Roman" w:cs="Arial"/>
          <w:b/>
          <w:bCs/>
          <w:color w:val="000000"/>
          <w:szCs w:val="20"/>
          <w:lang w:val="ru-RU"/>
        </w:rPr>
        <w:t>(</w:t>
      </w:r>
      <w:r w:rsidRPr="001E49D4">
        <w:rPr>
          <w:rFonts w:eastAsia="Times New Roman" w:cs="Arial"/>
          <w:b/>
          <w:bCs/>
          <w:color w:val="000000"/>
          <w:szCs w:val="20"/>
          <w:lang w:val="en-US"/>
        </w:rPr>
        <w:t>ITT</w:t>
      </w:r>
      <w:r w:rsidRPr="001E49D4">
        <w:rPr>
          <w:rFonts w:eastAsia="Times New Roman" w:cs="Arial"/>
          <w:b/>
          <w:bCs/>
          <w:color w:val="000000"/>
          <w:szCs w:val="20"/>
          <w:lang w:val="ru-RU"/>
        </w:rPr>
        <w:t xml:space="preserve"> </w:t>
      </w:r>
      <w:r w:rsidRPr="001E49D4">
        <w:rPr>
          <w:rFonts w:eastAsia="Times New Roman" w:cs="Arial"/>
          <w:b/>
          <w:bCs/>
          <w:color w:val="000000"/>
          <w:szCs w:val="20"/>
          <w:lang w:eastAsia="bg-BG"/>
        </w:rPr>
        <w:t>популация - анализ на 12 и 24 месец)</w:t>
      </w:r>
    </w:p>
    <w:tbl>
      <w:tblPr>
        <w:tblStyle w:val="TableGrid"/>
        <w:tblW w:w="0" w:type="auto"/>
        <w:tblLook w:val="04A0" w:firstRow="1" w:lastRow="0" w:firstColumn="1" w:lastColumn="0" w:noHBand="0" w:noVBand="1"/>
      </w:tblPr>
      <w:tblGrid>
        <w:gridCol w:w="1809"/>
        <w:gridCol w:w="671"/>
        <w:gridCol w:w="1342"/>
        <w:gridCol w:w="1254"/>
        <w:gridCol w:w="1482"/>
        <w:gridCol w:w="1396"/>
        <w:gridCol w:w="1396"/>
      </w:tblGrid>
      <w:tr w:rsidR="001E49D4" w14:paraId="5078E915" w14:textId="77777777" w:rsidTr="000A7F42">
        <w:tc>
          <w:tcPr>
            <w:tcW w:w="9576" w:type="dxa"/>
            <w:gridSpan w:val="7"/>
          </w:tcPr>
          <w:p w14:paraId="67700B93" w14:textId="532CCE7B" w:rsidR="001E49D4" w:rsidRPr="001E49D4" w:rsidRDefault="001E49D4" w:rsidP="002F56CD">
            <w:pPr>
              <w:rPr>
                <w:rFonts w:cs="Arial"/>
              </w:rPr>
            </w:pPr>
            <w:r w:rsidRPr="001E49D4">
              <w:rPr>
                <w:szCs w:val="20"/>
              </w:rPr>
              <w:t>Разлика спрямо контрола</w:t>
            </w:r>
          </w:p>
        </w:tc>
      </w:tr>
      <w:tr w:rsidR="001E49D4" w14:paraId="39A40790" w14:textId="77777777" w:rsidTr="001E49D4">
        <w:tc>
          <w:tcPr>
            <w:tcW w:w="1809" w:type="dxa"/>
          </w:tcPr>
          <w:p w14:paraId="4992ACEF" w14:textId="7C2DA840" w:rsidR="001E49D4" w:rsidRPr="001E49D4" w:rsidRDefault="001E49D4" w:rsidP="001E49D4">
            <w:pPr>
              <w:rPr>
                <w:rFonts w:cs="Arial"/>
              </w:rPr>
            </w:pPr>
            <w:r w:rsidRPr="001E49D4">
              <w:rPr>
                <w:szCs w:val="20"/>
              </w:rPr>
              <w:t>Лечение</w:t>
            </w:r>
          </w:p>
        </w:tc>
        <w:tc>
          <w:tcPr>
            <w:tcW w:w="764" w:type="dxa"/>
          </w:tcPr>
          <w:p w14:paraId="1B0132A8" w14:textId="7E9C9C14" w:rsidR="001E49D4" w:rsidRPr="001E49D4" w:rsidRDefault="001E49D4" w:rsidP="001E49D4">
            <w:pPr>
              <w:rPr>
                <w:rFonts w:cs="Arial"/>
              </w:rPr>
            </w:pPr>
            <w:r w:rsidRPr="001E49D4">
              <w:rPr>
                <w:szCs w:val="20"/>
                <w:lang w:val="en-US"/>
              </w:rPr>
              <w:t>N</w:t>
            </w:r>
          </w:p>
        </w:tc>
        <w:tc>
          <w:tcPr>
            <w:tcW w:w="1342" w:type="dxa"/>
          </w:tcPr>
          <w:p w14:paraId="180104BE" w14:textId="591C9CC8" w:rsidR="001E49D4" w:rsidRPr="001E49D4" w:rsidRDefault="001E49D4" w:rsidP="001E49D4">
            <w:pPr>
              <w:rPr>
                <w:rFonts w:cs="Arial"/>
              </w:rPr>
            </w:pPr>
            <w:r w:rsidRPr="001E49D4">
              <w:rPr>
                <w:szCs w:val="20"/>
                <w:lang w:val="en-US"/>
              </w:rPr>
              <w:t>LS</w:t>
            </w:r>
            <w:r w:rsidRPr="001E49D4">
              <w:rPr>
                <w:szCs w:val="20"/>
                <w:lang w:val="ru-RU"/>
              </w:rPr>
              <w:t xml:space="preserve"> </w:t>
            </w:r>
            <w:r w:rsidRPr="001E49D4">
              <w:rPr>
                <w:szCs w:val="20"/>
                <w:lang w:val="en-US"/>
              </w:rPr>
              <w:t>mean</w:t>
            </w:r>
            <w:r w:rsidRPr="001E49D4">
              <w:rPr>
                <w:szCs w:val="20"/>
                <w:lang w:val="ru-RU"/>
              </w:rPr>
              <w:t xml:space="preserve"> </w:t>
            </w:r>
            <w:r w:rsidRPr="001E49D4">
              <w:rPr>
                <w:szCs w:val="20"/>
              </w:rPr>
              <w:t xml:space="preserve">/Стойност на най-малките квадрати/ </w:t>
            </w:r>
            <w:r w:rsidRPr="001E49D4">
              <w:rPr>
                <w:szCs w:val="20"/>
                <w:lang w:val="ru-RU"/>
              </w:rPr>
              <w:t>(</w:t>
            </w:r>
            <w:r w:rsidRPr="001E49D4">
              <w:rPr>
                <w:szCs w:val="20"/>
                <w:lang w:val="en-US"/>
              </w:rPr>
              <w:t>SE</w:t>
            </w:r>
            <w:r w:rsidRPr="001E49D4">
              <w:rPr>
                <w:szCs w:val="20"/>
                <w:lang w:val="ru-RU"/>
              </w:rPr>
              <w:t>)</w:t>
            </w:r>
          </w:p>
        </w:tc>
        <w:tc>
          <w:tcPr>
            <w:tcW w:w="1302" w:type="dxa"/>
          </w:tcPr>
          <w:p w14:paraId="7A1F98DA" w14:textId="39B785B0" w:rsidR="001E49D4" w:rsidRPr="001E49D4" w:rsidRDefault="001E49D4" w:rsidP="001E49D4">
            <w:pPr>
              <w:rPr>
                <w:rFonts w:cs="Arial"/>
              </w:rPr>
            </w:pPr>
            <w:r w:rsidRPr="001E49D4">
              <w:rPr>
                <w:szCs w:val="20"/>
                <w:lang w:val="en-US"/>
              </w:rPr>
              <w:t>LSM</w:t>
            </w:r>
            <w:r w:rsidRPr="001E49D4">
              <w:rPr>
                <w:szCs w:val="20"/>
                <w:lang w:val="ru-RU"/>
              </w:rPr>
              <w:t xml:space="preserve"> </w:t>
            </w:r>
            <w:r w:rsidRPr="001E49D4">
              <w:rPr>
                <w:szCs w:val="20"/>
                <w:lang w:val="en-US"/>
              </w:rPr>
              <w:t>mean</w:t>
            </w:r>
            <w:r w:rsidRPr="001E49D4">
              <w:rPr>
                <w:szCs w:val="20"/>
                <w:lang w:val="ru-RU"/>
              </w:rPr>
              <w:t xml:space="preserve"> </w:t>
            </w:r>
            <w:r w:rsidRPr="001E49D4">
              <w:rPr>
                <w:szCs w:val="20"/>
              </w:rPr>
              <w:t xml:space="preserve">/Средна стойност на най- малките квадрати/ </w:t>
            </w:r>
            <w:r w:rsidRPr="001E49D4">
              <w:rPr>
                <w:szCs w:val="20"/>
                <w:lang w:val="ru-RU"/>
              </w:rPr>
              <w:t>(</w:t>
            </w:r>
            <w:r w:rsidRPr="001E49D4">
              <w:rPr>
                <w:szCs w:val="20"/>
                <w:lang w:val="en-US"/>
              </w:rPr>
              <w:t>SE</w:t>
            </w:r>
            <w:r w:rsidRPr="001E49D4">
              <w:rPr>
                <w:szCs w:val="20"/>
                <w:lang w:val="ru-RU"/>
              </w:rPr>
              <w:t>)</w:t>
            </w:r>
          </w:p>
        </w:tc>
        <w:tc>
          <w:tcPr>
            <w:tcW w:w="1567" w:type="dxa"/>
          </w:tcPr>
          <w:p w14:paraId="2937ED5D" w14:textId="50909365" w:rsidR="001E49D4" w:rsidRPr="001E49D4" w:rsidRDefault="001E49D4" w:rsidP="001E49D4">
            <w:pPr>
              <w:rPr>
                <w:rFonts w:cs="Arial"/>
              </w:rPr>
            </w:pPr>
            <w:r w:rsidRPr="001E49D4">
              <w:rPr>
                <w:szCs w:val="20"/>
              </w:rPr>
              <w:t xml:space="preserve">97,5% </w:t>
            </w:r>
            <w:r w:rsidRPr="001E49D4">
              <w:rPr>
                <w:szCs w:val="20"/>
                <w:lang w:val="en-US"/>
              </w:rPr>
              <w:t>CI</w:t>
            </w:r>
          </w:p>
        </w:tc>
        <w:tc>
          <w:tcPr>
            <w:tcW w:w="1396" w:type="dxa"/>
          </w:tcPr>
          <w:p w14:paraId="6199E086" w14:textId="55735717" w:rsidR="001E49D4" w:rsidRPr="001E49D4" w:rsidRDefault="001E49D4" w:rsidP="001E49D4">
            <w:pPr>
              <w:rPr>
                <w:rFonts w:cs="Arial"/>
              </w:rPr>
            </w:pPr>
            <w:r w:rsidRPr="001E49D4">
              <w:rPr>
                <w:szCs w:val="20"/>
              </w:rPr>
              <w:t>Р стойност(1)</w:t>
            </w:r>
          </w:p>
        </w:tc>
        <w:tc>
          <w:tcPr>
            <w:tcW w:w="1396" w:type="dxa"/>
          </w:tcPr>
          <w:p w14:paraId="6747696A" w14:textId="44E0FF8C" w:rsidR="001E49D4" w:rsidRPr="001E49D4" w:rsidRDefault="001E49D4" w:rsidP="001E49D4">
            <w:pPr>
              <w:rPr>
                <w:rFonts w:cs="Arial"/>
              </w:rPr>
            </w:pPr>
            <w:r w:rsidRPr="001E49D4">
              <w:rPr>
                <w:szCs w:val="20"/>
              </w:rPr>
              <w:t>Р стойност(2)</w:t>
            </w:r>
          </w:p>
        </w:tc>
      </w:tr>
      <w:tr w:rsidR="001E49D4" w14:paraId="23002ACB" w14:textId="77777777" w:rsidTr="001E49D4">
        <w:tc>
          <w:tcPr>
            <w:tcW w:w="1809" w:type="dxa"/>
          </w:tcPr>
          <w:p w14:paraId="64C2E30C" w14:textId="06B870CF" w:rsidR="001E49D4" w:rsidRPr="001E49D4" w:rsidRDefault="001E49D4" w:rsidP="001E49D4">
            <w:pPr>
              <w:rPr>
                <w:rFonts w:cs="Arial"/>
              </w:rPr>
            </w:pPr>
            <w:r w:rsidRPr="001E49D4">
              <w:rPr>
                <w:szCs w:val="20"/>
                <w:lang w:val="en-US"/>
              </w:rPr>
              <w:t>EVR</w:t>
            </w:r>
            <w:r w:rsidRPr="001E49D4">
              <w:rPr>
                <w:szCs w:val="20"/>
              </w:rPr>
              <w:t>+намалена доза ТАС</w:t>
            </w:r>
          </w:p>
        </w:tc>
        <w:tc>
          <w:tcPr>
            <w:tcW w:w="764" w:type="dxa"/>
          </w:tcPr>
          <w:p w14:paraId="238D24FE" w14:textId="77777777" w:rsidR="001E49D4" w:rsidRPr="001E49D4" w:rsidRDefault="001E49D4" w:rsidP="001E49D4">
            <w:pPr>
              <w:rPr>
                <w:rFonts w:cs="Arial"/>
              </w:rPr>
            </w:pPr>
          </w:p>
        </w:tc>
        <w:tc>
          <w:tcPr>
            <w:tcW w:w="1342" w:type="dxa"/>
          </w:tcPr>
          <w:p w14:paraId="78D0F1BF" w14:textId="77777777" w:rsidR="001E49D4" w:rsidRPr="001E49D4" w:rsidRDefault="001E49D4" w:rsidP="001E49D4">
            <w:pPr>
              <w:rPr>
                <w:rFonts w:cs="Arial"/>
              </w:rPr>
            </w:pPr>
          </w:p>
        </w:tc>
        <w:tc>
          <w:tcPr>
            <w:tcW w:w="1302" w:type="dxa"/>
          </w:tcPr>
          <w:p w14:paraId="02D7258D" w14:textId="77777777" w:rsidR="001E49D4" w:rsidRPr="001E49D4" w:rsidRDefault="001E49D4" w:rsidP="001E49D4">
            <w:pPr>
              <w:rPr>
                <w:rFonts w:cs="Arial"/>
              </w:rPr>
            </w:pPr>
          </w:p>
        </w:tc>
        <w:tc>
          <w:tcPr>
            <w:tcW w:w="1567" w:type="dxa"/>
          </w:tcPr>
          <w:p w14:paraId="12C83AC3" w14:textId="77777777" w:rsidR="001E49D4" w:rsidRPr="001E49D4" w:rsidRDefault="001E49D4" w:rsidP="001E49D4">
            <w:pPr>
              <w:rPr>
                <w:rFonts w:cs="Arial"/>
              </w:rPr>
            </w:pPr>
          </w:p>
        </w:tc>
        <w:tc>
          <w:tcPr>
            <w:tcW w:w="1396" w:type="dxa"/>
          </w:tcPr>
          <w:p w14:paraId="26830896" w14:textId="77777777" w:rsidR="001E49D4" w:rsidRPr="001E49D4" w:rsidRDefault="001E49D4" w:rsidP="001E49D4">
            <w:pPr>
              <w:rPr>
                <w:rFonts w:cs="Arial"/>
              </w:rPr>
            </w:pPr>
          </w:p>
        </w:tc>
        <w:tc>
          <w:tcPr>
            <w:tcW w:w="1396" w:type="dxa"/>
          </w:tcPr>
          <w:p w14:paraId="0BED2063" w14:textId="77777777" w:rsidR="001E49D4" w:rsidRPr="001E49D4" w:rsidRDefault="001E49D4" w:rsidP="001E49D4">
            <w:pPr>
              <w:rPr>
                <w:rFonts w:cs="Arial"/>
              </w:rPr>
            </w:pPr>
          </w:p>
        </w:tc>
      </w:tr>
      <w:tr w:rsidR="001E49D4" w14:paraId="61ED5500" w14:textId="77777777" w:rsidTr="001E49D4">
        <w:tc>
          <w:tcPr>
            <w:tcW w:w="1809" w:type="dxa"/>
          </w:tcPr>
          <w:p w14:paraId="58766365" w14:textId="6EEBAB1A" w:rsidR="001E49D4" w:rsidRPr="001E49D4" w:rsidRDefault="001E49D4" w:rsidP="001E49D4">
            <w:pPr>
              <w:rPr>
                <w:rFonts w:cs="Arial"/>
              </w:rPr>
            </w:pPr>
            <w:r w:rsidRPr="001E49D4">
              <w:rPr>
                <w:szCs w:val="20"/>
              </w:rPr>
              <w:t>12 месец</w:t>
            </w:r>
          </w:p>
        </w:tc>
        <w:tc>
          <w:tcPr>
            <w:tcW w:w="764" w:type="dxa"/>
          </w:tcPr>
          <w:p w14:paraId="50CFF5A1" w14:textId="62100698" w:rsidR="001E49D4" w:rsidRPr="001E49D4" w:rsidRDefault="001E49D4" w:rsidP="001E49D4">
            <w:pPr>
              <w:rPr>
                <w:rFonts w:cs="Arial"/>
              </w:rPr>
            </w:pPr>
            <w:r w:rsidRPr="001E49D4">
              <w:rPr>
                <w:szCs w:val="20"/>
              </w:rPr>
              <w:t>244</w:t>
            </w:r>
          </w:p>
        </w:tc>
        <w:tc>
          <w:tcPr>
            <w:tcW w:w="1342" w:type="dxa"/>
          </w:tcPr>
          <w:p w14:paraId="550EF675" w14:textId="1BD9E2B1" w:rsidR="001E49D4" w:rsidRPr="001E49D4" w:rsidRDefault="001E49D4" w:rsidP="001E49D4">
            <w:pPr>
              <w:rPr>
                <w:rFonts w:cs="Arial"/>
              </w:rPr>
            </w:pPr>
            <w:r w:rsidRPr="001E49D4">
              <w:rPr>
                <w:szCs w:val="20"/>
              </w:rPr>
              <w:t>-2,23 (1,54)</w:t>
            </w:r>
          </w:p>
        </w:tc>
        <w:tc>
          <w:tcPr>
            <w:tcW w:w="1302" w:type="dxa"/>
          </w:tcPr>
          <w:p w14:paraId="3A11BF98" w14:textId="10DA623E" w:rsidR="001E49D4" w:rsidRPr="001E49D4" w:rsidRDefault="001E49D4" w:rsidP="001E49D4">
            <w:pPr>
              <w:rPr>
                <w:rFonts w:cs="Arial"/>
              </w:rPr>
            </w:pPr>
            <w:r w:rsidRPr="001E49D4">
              <w:rPr>
                <w:szCs w:val="20"/>
              </w:rPr>
              <w:t>8,50 (2,12)</w:t>
            </w:r>
          </w:p>
        </w:tc>
        <w:tc>
          <w:tcPr>
            <w:tcW w:w="1567" w:type="dxa"/>
          </w:tcPr>
          <w:p w14:paraId="55F002EF" w14:textId="24F79202" w:rsidR="001E49D4" w:rsidRPr="001E49D4" w:rsidRDefault="001E49D4" w:rsidP="001E49D4">
            <w:pPr>
              <w:rPr>
                <w:rFonts w:cs="Arial"/>
              </w:rPr>
            </w:pPr>
            <w:r w:rsidRPr="001E49D4">
              <w:rPr>
                <w:szCs w:val="20"/>
              </w:rPr>
              <w:t>(3,74,13,27)</w:t>
            </w:r>
          </w:p>
        </w:tc>
        <w:tc>
          <w:tcPr>
            <w:tcW w:w="1396" w:type="dxa"/>
          </w:tcPr>
          <w:p w14:paraId="73AD670F" w14:textId="48A91405" w:rsidR="001E49D4" w:rsidRPr="001E49D4" w:rsidRDefault="001E49D4" w:rsidP="001E49D4">
            <w:pPr>
              <w:rPr>
                <w:rFonts w:cs="Arial"/>
              </w:rPr>
            </w:pPr>
            <w:r w:rsidRPr="001E49D4">
              <w:rPr>
                <w:szCs w:val="20"/>
              </w:rPr>
              <w:t>&lt;0,001</w:t>
            </w:r>
          </w:p>
        </w:tc>
        <w:tc>
          <w:tcPr>
            <w:tcW w:w="1396" w:type="dxa"/>
          </w:tcPr>
          <w:p w14:paraId="5E579B4A" w14:textId="1971CDA0" w:rsidR="001E49D4" w:rsidRPr="001E49D4" w:rsidRDefault="001E49D4" w:rsidP="001E49D4">
            <w:pPr>
              <w:rPr>
                <w:rFonts w:cs="Arial"/>
              </w:rPr>
            </w:pPr>
            <w:r w:rsidRPr="001E49D4">
              <w:rPr>
                <w:szCs w:val="20"/>
              </w:rPr>
              <w:t>&lt;0,001</w:t>
            </w:r>
          </w:p>
        </w:tc>
      </w:tr>
      <w:tr w:rsidR="001E49D4" w14:paraId="4AB02E8F" w14:textId="77777777" w:rsidTr="001E49D4">
        <w:tc>
          <w:tcPr>
            <w:tcW w:w="1809" w:type="dxa"/>
          </w:tcPr>
          <w:p w14:paraId="68E2C926" w14:textId="3DEA2361" w:rsidR="001E49D4" w:rsidRPr="001E49D4" w:rsidRDefault="001E49D4" w:rsidP="001E49D4">
            <w:pPr>
              <w:rPr>
                <w:rFonts w:cs="Arial"/>
              </w:rPr>
            </w:pPr>
            <w:r w:rsidRPr="001E49D4">
              <w:rPr>
                <w:szCs w:val="20"/>
              </w:rPr>
              <w:t>24 месец</w:t>
            </w:r>
          </w:p>
        </w:tc>
        <w:tc>
          <w:tcPr>
            <w:tcW w:w="764" w:type="dxa"/>
          </w:tcPr>
          <w:p w14:paraId="5F4BA313" w14:textId="5A5C192D" w:rsidR="001E49D4" w:rsidRPr="001E49D4" w:rsidRDefault="001E49D4" w:rsidP="001E49D4">
            <w:pPr>
              <w:rPr>
                <w:rFonts w:cs="Arial"/>
              </w:rPr>
            </w:pPr>
            <w:r w:rsidRPr="001E49D4">
              <w:rPr>
                <w:szCs w:val="20"/>
              </w:rPr>
              <w:t>245</w:t>
            </w:r>
          </w:p>
        </w:tc>
        <w:tc>
          <w:tcPr>
            <w:tcW w:w="1342" w:type="dxa"/>
          </w:tcPr>
          <w:p w14:paraId="73BBFBCC" w14:textId="1A3EC47E" w:rsidR="001E49D4" w:rsidRPr="001E49D4" w:rsidRDefault="001E49D4" w:rsidP="001E49D4">
            <w:pPr>
              <w:rPr>
                <w:rFonts w:cs="Arial"/>
              </w:rPr>
            </w:pPr>
            <w:r w:rsidRPr="001E49D4">
              <w:rPr>
                <w:szCs w:val="20"/>
              </w:rPr>
              <w:t>-7,94(1,53)</w:t>
            </w:r>
          </w:p>
        </w:tc>
        <w:tc>
          <w:tcPr>
            <w:tcW w:w="1302" w:type="dxa"/>
          </w:tcPr>
          <w:p w14:paraId="0DB7B088" w14:textId="7504D3E3" w:rsidR="001E49D4" w:rsidRPr="001E49D4" w:rsidRDefault="001E49D4" w:rsidP="001E49D4">
            <w:pPr>
              <w:rPr>
                <w:rFonts w:cs="Arial"/>
              </w:rPr>
            </w:pPr>
            <w:r w:rsidRPr="001E49D4">
              <w:rPr>
                <w:szCs w:val="20"/>
              </w:rPr>
              <w:t>6,66 (2,12)</w:t>
            </w:r>
          </w:p>
        </w:tc>
        <w:tc>
          <w:tcPr>
            <w:tcW w:w="1567" w:type="dxa"/>
          </w:tcPr>
          <w:p w14:paraId="5AFC08C7" w14:textId="55419B8E" w:rsidR="001E49D4" w:rsidRPr="001E49D4" w:rsidRDefault="001E49D4" w:rsidP="001E49D4">
            <w:pPr>
              <w:rPr>
                <w:rFonts w:cs="Arial"/>
              </w:rPr>
            </w:pPr>
            <w:r w:rsidRPr="001E49D4">
              <w:rPr>
                <w:szCs w:val="20"/>
              </w:rPr>
              <w:t>(1,9,11,42)</w:t>
            </w:r>
          </w:p>
        </w:tc>
        <w:tc>
          <w:tcPr>
            <w:tcW w:w="1396" w:type="dxa"/>
          </w:tcPr>
          <w:p w14:paraId="11E99D0D" w14:textId="50F98C99" w:rsidR="001E49D4" w:rsidRPr="001E49D4" w:rsidRDefault="001E49D4" w:rsidP="001E49D4">
            <w:pPr>
              <w:rPr>
                <w:rFonts w:cs="Arial"/>
              </w:rPr>
            </w:pPr>
            <w:r w:rsidRPr="001E49D4">
              <w:rPr>
                <w:szCs w:val="20"/>
              </w:rPr>
              <w:t>&lt;0,0001</w:t>
            </w:r>
          </w:p>
        </w:tc>
        <w:tc>
          <w:tcPr>
            <w:tcW w:w="1396" w:type="dxa"/>
          </w:tcPr>
          <w:p w14:paraId="4A3ABEA2" w14:textId="1093A6A5" w:rsidR="001E49D4" w:rsidRPr="001E49D4" w:rsidRDefault="001E49D4" w:rsidP="001E49D4">
            <w:pPr>
              <w:rPr>
                <w:rFonts w:cs="Arial"/>
              </w:rPr>
            </w:pPr>
            <w:r w:rsidRPr="001E49D4">
              <w:rPr>
                <w:szCs w:val="20"/>
              </w:rPr>
              <w:t>0,0018</w:t>
            </w:r>
          </w:p>
        </w:tc>
      </w:tr>
      <w:tr w:rsidR="001E49D4" w14:paraId="56621C67" w14:textId="77777777" w:rsidTr="001E49D4">
        <w:tc>
          <w:tcPr>
            <w:tcW w:w="1809" w:type="dxa"/>
          </w:tcPr>
          <w:p w14:paraId="63F6F864" w14:textId="542712AB" w:rsidR="001E49D4" w:rsidRPr="001E49D4" w:rsidRDefault="001E49D4" w:rsidP="001E49D4">
            <w:pPr>
              <w:rPr>
                <w:rFonts w:cs="Arial"/>
              </w:rPr>
            </w:pPr>
            <w:r w:rsidRPr="001E49D4">
              <w:rPr>
                <w:szCs w:val="20"/>
              </w:rPr>
              <w:t>ТАС контрола</w:t>
            </w:r>
          </w:p>
        </w:tc>
        <w:tc>
          <w:tcPr>
            <w:tcW w:w="764" w:type="dxa"/>
          </w:tcPr>
          <w:p w14:paraId="14A4095E" w14:textId="77777777" w:rsidR="001E49D4" w:rsidRPr="001E49D4" w:rsidRDefault="001E49D4" w:rsidP="001E49D4">
            <w:pPr>
              <w:rPr>
                <w:rFonts w:cs="Arial"/>
              </w:rPr>
            </w:pPr>
          </w:p>
        </w:tc>
        <w:tc>
          <w:tcPr>
            <w:tcW w:w="1342" w:type="dxa"/>
          </w:tcPr>
          <w:p w14:paraId="74082A58" w14:textId="77777777" w:rsidR="001E49D4" w:rsidRPr="001E49D4" w:rsidRDefault="001E49D4" w:rsidP="001E49D4">
            <w:pPr>
              <w:rPr>
                <w:rFonts w:cs="Arial"/>
              </w:rPr>
            </w:pPr>
          </w:p>
        </w:tc>
        <w:tc>
          <w:tcPr>
            <w:tcW w:w="5661" w:type="dxa"/>
            <w:gridSpan w:val="4"/>
          </w:tcPr>
          <w:p w14:paraId="5144C5B9" w14:textId="77777777" w:rsidR="001E49D4" w:rsidRPr="001E49D4" w:rsidRDefault="001E49D4" w:rsidP="001E49D4">
            <w:pPr>
              <w:rPr>
                <w:rFonts w:cs="Arial"/>
              </w:rPr>
            </w:pPr>
          </w:p>
        </w:tc>
      </w:tr>
      <w:tr w:rsidR="001E49D4" w14:paraId="57560097" w14:textId="77777777" w:rsidTr="001E49D4">
        <w:tc>
          <w:tcPr>
            <w:tcW w:w="1809" w:type="dxa"/>
          </w:tcPr>
          <w:p w14:paraId="0CE87F3A" w14:textId="7A0403E2" w:rsidR="001E49D4" w:rsidRPr="001E49D4" w:rsidRDefault="001E49D4" w:rsidP="001E49D4">
            <w:pPr>
              <w:rPr>
                <w:rFonts w:cs="Arial"/>
              </w:rPr>
            </w:pPr>
            <w:r w:rsidRPr="001E49D4">
              <w:rPr>
                <w:szCs w:val="20"/>
              </w:rPr>
              <w:t>12 месец</w:t>
            </w:r>
          </w:p>
        </w:tc>
        <w:tc>
          <w:tcPr>
            <w:tcW w:w="764" w:type="dxa"/>
          </w:tcPr>
          <w:p w14:paraId="4E658573" w14:textId="0715E62C" w:rsidR="001E49D4" w:rsidRPr="001E49D4" w:rsidRDefault="001E49D4" w:rsidP="001E49D4">
            <w:pPr>
              <w:rPr>
                <w:rFonts w:cs="Arial"/>
              </w:rPr>
            </w:pPr>
            <w:r w:rsidRPr="001E49D4">
              <w:rPr>
                <w:szCs w:val="20"/>
              </w:rPr>
              <w:t>243</w:t>
            </w:r>
          </w:p>
        </w:tc>
        <w:tc>
          <w:tcPr>
            <w:tcW w:w="1342" w:type="dxa"/>
          </w:tcPr>
          <w:p w14:paraId="27BD5B27" w14:textId="6E2BDD34" w:rsidR="001E49D4" w:rsidRPr="001E49D4" w:rsidRDefault="001E49D4" w:rsidP="001E49D4">
            <w:pPr>
              <w:rPr>
                <w:rFonts w:cs="Arial"/>
              </w:rPr>
            </w:pPr>
            <w:r w:rsidRPr="001E49D4">
              <w:rPr>
                <w:szCs w:val="20"/>
              </w:rPr>
              <w:t>-10,73 (1,54)</w:t>
            </w:r>
          </w:p>
        </w:tc>
        <w:tc>
          <w:tcPr>
            <w:tcW w:w="5661" w:type="dxa"/>
            <w:gridSpan w:val="4"/>
          </w:tcPr>
          <w:p w14:paraId="42DDF03C" w14:textId="77777777" w:rsidR="001E49D4" w:rsidRPr="001E49D4" w:rsidRDefault="001E49D4" w:rsidP="001E49D4">
            <w:pPr>
              <w:rPr>
                <w:rFonts w:cs="Arial"/>
              </w:rPr>
            </w:pPr>
          </w:p>
        </w:tc>
      </w:tr>
      <w:tr w:rsidR="001E49D4" w14:paraId="67720924" w14:textId="77777777" w:rsidTr="001E49D4">
        <w:tc>
          <w:tcPr>
            <w:tcW w:w="1809" w:type="dxa"/>
          </w:tcPr>
          <w:p w14:paraId="1961960C" w14:textId="23D20F13" w:rsidR="001E49D4" w:rsidRPr="001E49D4" w:rsidRDefault="001E49D4" w:rsidP="001E49D4">
            <w:pPr>
              <w:rPr>
                <w:rFonts w:cs="Arial"/>
              </w:rPr>
            </w:pPr>
            <w:r w:rsidRPr="001E49D4">
              <w:rPr>
                <w:szCs w:val="20"/>
              </w:rPr>
              <w:t>24 месец</w:t>
            </w:r>
          </w:p>
        </w:tc>
        <w:tc>
          <w:tcPr>
            <w:tcW w:w="764" w:type="dxa"/>
          </w:tcPr>
          <w:p w14:paraId="4FC60122" w14:textId="4C99170E" w:rsidR="001E49D4" w:rsidRPr="001E49D4" w:rsidRDefault="001E49D4" w:rsidP="001E49D4">
            <w:pPr>
              <w:rPr>
                <w:rFonts w:cs="Arial"/>
              </w:rPr>
            </w:pPr>
            <w:r w:rsidRPr="001E49D4">
              <w:rPr>
                <w:szCs w:val="20"/>
              </w:rPr>
              <w:t>243</w:t>
            </w:r>
          </w:p>
        </w:tc>
        <w:tc>
          <w:tcPr>
            <w:tcW w:w="1342" w:type="dxa"/>
          </w:tcPr>
          <w:p w14:paraId="7A2646B8" w14:textId="2816550C" w:rsidR="001E49D4" w:rsidRPr="001E49D4" w:rsidRDefault="001E49D4" w:rsidP="001E49D4">
            <w:pPr>
              <w:rPr>
                <w:rFonts w:cs="Arial"/>
              </w:rPr>
            </w:pPr>
            <w:r w:rsidRPr="001E49D4">
              <w:rPr>
                <w:szCs w:val="20"/>
              </w:rPr>
              <w:t>-14,60(1,54)</w:t>
            </w:r>
          </w:p>
        </w:tc>
        <w:tc>
          <w:tcPr>
            <w:tcW w:w="5661" w:type="dxa"/>
            <w:gridSpan w:val="4"/>
          </w:tcPr>
          <w:p w14:paraId="5B5F05E5" w14:textId="77777777" w:rsidR="001E49D4" w:rsidRPr="001E49D4" w:rsidRDefault="001E49D4" w:rsidP="001E49D4">
            <w:pPr>
              <w:rPr>
                <w:rFonts w:cs="Arial"/>
              </w:rPr>
            </w:pPr>
          </w:p>
        </w:tc>
      </w:tr>
    </w:tbl>
    <w:p w14:paraId="794C2632" w14:textId="77777777" w:rsidR="001E49D4" w:rsidRPr="001E49D4" w:rsidRDefault="001E49D4" w:rsidP="001E49D4">
      <w:pPr>
        <w:rPr>
          <w:rFonts w:cs="Arial"/>
          <w:sz w:val="24"/>
        </w:rPr>
      </w:pPr>
      <w:r w:rsidRPr="001E49D4">
        <w:rPr>
          <w:rFonts w:cs="Arial"/>
          <w:szCs w:val="20"/>
          <w:lang w:val="en-US"/>
        </w:rPr>
        <w:t>Least</w:t>
      </w:r>
      <w:r w:rsidRPr="001E49D4">
        <w:rPr>
          <w:rFonts w:cs="Arial"/>
          <w:szCs w:val="20"/>
          <w:lang w:val="ru-RU"/>
        </w:rPr>
        <w:t xml:space="preserve"> </w:t>
      </w:r>
      <w:r w:rsidRPr="001E49D4">
        <w:rPr>
          <w:rFonts w:cs="Arial"/>
          <w:szCs w:val="20"/>
          <w:lang w:val="en-US"/>
        </w:rPr>
        <w:t>squares</w:t>
      </w:r>
      <w:r w:rsidRPr="001E49D4">
        <w:rPr>
          <w:rFonts w:cs="Arial"/>
          <w:szCs w:val="20"/>
          <w:lang w:val="ru-RU"/>
        </w:rPr>
        <w:t xml:space="preserve"> </w:t>
      </w:r>
      <w:r w:rsidRPr="001E49D4">
        <w:rPr>
          <w:rFonts w:cs="Arial"/>
          <w:szCs w:val="20"/>
          <w:lang w:val="en-US"/>
        </w:rPr>
        <w:t>mean</w:t>
      </w:r>
      <w:r w:rsidRPr="001E49D4">
        <w:rPr>
          <w:rFonts w:cs="Arial"/>
          <w:szCs w:val="20"/>
          <w:lang w:val="ru-RU"/>
        </w:rPr>
        <w:t xml:space="preserve"> - </w:t>
      </w:r>
      <w:r w:rsidRPr="001E49D4">
        <w:rPr>
          <w:rFonts w:cs="Arial"/>
          <w:szCs w:val="20"/>
        </w:rPr>
        <w:t>Стойностите на най-малките квадрати, 97</w:t>
      </w:r>
      <w:proofErr w:type="gramStart"/>
      <w:r w:rsidRPr="001E49D4">
        <w:rPr>
          <w:rFonts w:cs="Arial"/>
          <w:szCs w:val="20"/>
        </w:rPr>
        <w:t>,5</w:t>
      </w:r>
      <w:proofErr w:type="gramEnd"/>
      <w:r w:rsidRPr="001E49D4">
        <w:rPr>
          <w:rFonts w:cs="Arial"/>
          <w:szCs w:val="20"/>
        </w:rPr>
        <w:t xml:space="preserve">% доверителните интервали и р- стойностите са от </w:t>
      </w:r>
      <w:r w:rsidRPr="001E49D4">
        <w:rPr>
          <w:rFonts w:cs="Arial"/>
          <w:szCs w:val="20"/>
          <w:lang w:val="en-US"/>
        </w:rPr>
        <w:t>ANCOVA</w:t>
      </w:r>
      <w:r w:rsidRPr="001E49D4">
        <w:rPr>
          <w:rFonts w:cs="Arial"/>
          <w:szCs w:val="20"/>
          <w:lang w:val="ru-RU"/>
        </w:rPr>
        <w:t xml:space="preserve"> </w:t>
      </w:r>
      <w:r w:rsidRPr="001E49D4">
        <w:rPr>
          <w:rFonts w:cs="Arial"/>
          <w:szCs w:val="20"/>
        </w:rPr>
        <w:t xml:space="preserve">модел, съдържащ лечението и </w:t>
      </w:r>
      <w:r w:rsidRPr="001E49D4">
        <w:rPr>
          <w:rFonts w:cs="Arial"/>
          <w:szCs w:val="20"/>
          <w:lang w:val="en-US"/>
        </w:rPr>
        <w:t>HCV</w:t>
      </w:r>
      <w:r w:rsidRPr="001E49D4">
        <w:rPr>
          <w:rFonts w:cs="Arial"/>
          <w:szCs w:val="20"/>
          <w:lang w:val="ru-RU"/>
        </w:rPr>
        <w:t xml:space="preserve"> </w:t>
      </w:r>
      <w:r w:rsidRPr="001E49D4">
        <w:rPr>
          <w:rFonts w:cs="Arial"/>
          <w:szCs w:val="20"/>
        </w:rPr>
        <w:t>статуса като фактори</w:t>
      </w:r>
      <w:r w:rsidRPr="001E49D4">
        <w:rPr>
          <w:rFonts w:cs="Arial"/>
          <w:szCs w:val="20"/>
          <w:lang w:val="ru-RU"/>
        </w:rPr>
        <w:t xml:space="preserve"> </w:t>
      </w:r>
      <w:r w:rsidRPr="001E49D4">
        <w:rPr>
          <w:rFonts w:cs="Arial"/>
          <w:szCs w:val="20"/>
        </w:rPr>
        <w:t>и</w:t>
      </w:r>
    </w:p>
    <w:p w14:paraId="796241B9" w14:textId="77777777" w:rsidR="001E49D4" w:rsidRPr="001E49D4" w:rsidRDefault="001E49D4" w:rsidP="001E49D4">
      <w:pPr>
        <w:rPr>
          <w:rFonts w:cs="Arial"/>
          <w:sz w:val="24"/>
        </w:rPr>
      </w:pPr>
      <w:r w:rsidRPr="001E49D4">
        <w:rPr>
          <w:rFonts w:cs="Arial"/>
          <w:szCs w:val="20"/>
        </w:rPr>
        <w:t xml:space="preserve">изходната </w:t>
      </w:r>
      <w:r w:rsidRPr="001E49D4">
        <w:rPr>
          <w:rFonts w:cs="Arial"/>
          <w:szCs w:val="20"/>
          <w:lang w:val="en-US"/>
        </w:rPr>
        <w:t>eGFR</w:t>
      </w:r>
      <w:r w:rsidRPr="001E49D4">
        <w:rPr>
          <w:rFonts w:cs="Arial"/>
          <w:szCs w:val="20"/>
          <w:lang w:val="ru-RU"/>
        </w:rPr>
        <w:t xml:space="preserve"> </w:t>
      </w:r>
      <w:r w:rsidRPr="001E49D4">
        <w:rPr>
          <w:rFonts w:cs="Arial"/>
          <w:szCs w:val="20"/>
        </w:rPr>
        <w:t>като копроменлива.</w:t>
      </w:r>
    </w:p>
    <w:p w14:paraId="49805642" w14:textId="77777777" w:rsidR="001E49D4" w:rsidRPr="001E49D4" w:rsidRDefault="001E49D4" w:rsidP="001E49D4">
      <w:pPr>
        <w:rPr>
          <w:rFonts w:cs="Arial"/>
          <w:sz w:val="24"/>
        </w:rPr>
      </w:pPr>
      <w:r w:rsidRPr="001E49D4">
        <w:rPr>
          <w:rFonts w:cs="Arial"/>
          <w:szCs w:val="20"/>
        </w:rPr>
        <w:lastRenderedPageBreak/>
        <w:t>Р стойност (1): Тест за неинфериорност с граница за неинфериорност = -6</w:t>
      </w:r>
      <w:r w:rsidRPr="001E49D4">
        <w:rPr>
          <w:rFonts w:cs="Arial"/>
          <w:szCs w:val="20"/>
          <w:lang w:val="en-US"/>
        </w:rPr>
        <w:t>ml</w:t>
      </w:r>
      <w:r w:rsidRPr="001E49D4">
        <w:rPr>
          <w:rFonts w:cs="Arial"/>
          <w:szCs w:val="20"/>
          <w:lang w:val="ru-RU"/>
        </w:rPr>
        <w:t>/</w:t>
      </w:r>
      <w:r w:rsidRPr="001E49D4">
        <w:rPr>
          <w:rFonts w:cs="Arial"/>
          <w:szCs w:val="20"/>
          <w:lang w:val="en-US"/>
        </w:rPr>
        <w:t>min</w:t>
      </w:r>
      <w:r w:rsidRPr="001E49D4">
        <w:rPr>
          <w:rFonts w:cs="Arial"/>
          <w:szCs w:val="20"/>
          <w:lang w:val="ru-RU"/>
        </w:rPr>
        <w:t>/1,73</w:t>
      </w:r>
      <w:r w:rsidRPr="001E49D4">
        <w:rPr>
          <w:rFonts w:cs="Arial"/>
          <w:szCs w:val="20"/>
          <w:lang w:val="en-US"/>
        </w:rPr>
        <w:t>m</w:t>
      </w:r>
      <w:r w:rsidRPr="001E49D4">
        <w:rPr>
          <w:rFonts w:cs="Arial"/>
          <w:szCs w:val="20"/>
          <w:lang w:val="ru-RU"/>
        </w:rPr>
        <w:t>2,</w:t>
      </w:r>
      <w:r w:rsidRPr="001E49D4">
        <w:rPr>
          <w:rFonts w:cs="Arial"/>
          <w:szCs w:val="20"/>
        </w:rPr>
        <w:t xml:space="preserve"> едностранен, с ниво на значимост 0,0125.</w:t>
      </w:r>
    </w:p>
    <w:p w14:paraId="25B4B819" w14:textId="7430F667" w:rsidR="001E49D4" w:rsidRPr="001E49D4" w:rsidRDefault="001E49D4" w:rsidP="001E49D4">
      <w:pPr>
        <w:rPr>
          <w:rFonts w:cs="Arial"/>
          <w:szCs w:val="20"/>
        </w:rPr>
      </w:pPr>
      <w:r w:rsidRPr="001E49D4">
        <w:rPr>
          <w:rFonts w:cs="Arial"/>
          <w:szCs w:val="20"/>
        </w:rPr>
        <w:t>Р стойност (2): Тест за превъзходство, двустранен, с нива на значимост 0,025.</w:t>
      </w:r>
    </w:p>
    <w:p w14:paraId="1569BD24" w14:textId="1489BAF7" w:rsidR="001E49D4" w:rsidRPr="001E49D4" w:rsidRDefault="001E49D4" w:rsidP="001E49D4">
      <w:pPr>
        <w:rPr>
          <w:rFonts w:cs="Arial"/>
          <w:szCs w:val="20"/>
        </w:rPr>
      </w:pPr>
    </w:p>
    <w:p w14:paraId="5D2EDF45" w14:textId="77777777"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Педиатрична популация</w:t>
      </w:r>
    </w:p>
    <w:p w14:paraId="6A383EEB"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Сертикан не трябва да се прилага при педиатрични пациенти с бъбречна и чернодробна трансплантация. Европейската агенция по лекарствата отменя задължението за представяне на резултати от проучвания при педиатрични пациенти със сърдечна трансплантация (вж. точка 4.2).</w:t>
      </w:r>
    </w:p>
    <w:p w14:paraId="39EEF0AF" w14:textId="77777777" w:rsidR="001E49D4" w:rsidRPr="001E49D4" w:rsidRDefault="001E49D4" w:rsidP="001E49D4">
      <w:pPr>
        <w:spacing w:line="240" w:lineRule="auto"/>
        <w:rPr>
          <w:rFonts w:eastAsia="Times New Roman" w:cs="Arial"/>
          <w:color w:val="000000"/>
          <w:szCs w:val="20"/>
          <w:lang w:eastAsia="bg-BG"/>
        </w:rPr>
      </w:pPr>
    </w:p>
    <w:p w14:paraId="0AD2A9F2" w14:textId="3BEACE09"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педиатрични реципиенти с бъбречен алографт (1-18 годишна възраст; </w:t>
      </w:r>
      <w:r w:rsidRPr="001E49D4">
        <w:rPr>
          <w:rFonts w:eastAsia="Times New Roman" w:cs="Arial"/>
          <w:color w:val="000000"/>
          <w:szCs w:val="20"/>
          <w:lang w:val="en-US"/>
        </w:rPr>
        <w:t>n</w:t>
      </w:r>
      <w:r w:rsidRPr="001E49D4">
        <w:rPr>
          <w:rFonts w:eastAsia="Times New Roman" w:cs="Arial"/>
          <w:color w:val="000000"/>
          <w:szCs w:val="20"/>
          <w:lang w:eastAsia="bg-BG"/>
        </w:rPr>
        <w:t xml:space="preserve">=106), Сертикан е оценен в рамките на 12-месечно изпитване с 24-месечно последващо проследяване. Това многоцентрово, рандомизирано, откритоизпитване с две паралелни групи (1:1), оценява употребата на Сертикан в комбинация с намалена доза такролимус и спиране на кортикостероидите на 6-ия месец след трансплантацията спрямо микофенолат мофетил в комбинация със стандартна доза такролимус. На 12-ия месец ефикасността на Сертикан с намалена доза такролимус и спиране на кортикостероидите е сравнима с тази на микофенолат мофетил със стандартна доза такролимус [9,6% (5/52) спрямо 5,6% (3/54)] по отношение на първичната съставна крайна точка за липса на ефикасност </w:t>
      </w:r>
      <w:r w:rsidRPr="001E49D4">
        <w:rPr>
          <w:rFonts w:eastAsia="Times New Roman" w:cs="Arial"/>
          <w:color w:val="000000"/>
          <w:szCs w:val="20"/>
          <w:lang w:val="ru-RU"/>
        </w:rPr>
        <w:t>(</w:t>
      </w:r>
      <w:r w:rsidRPr="001E49D4">
        <w:rPr>
          <w:rFonts w:eastAsia="Times New Roman" w:cs="Arial"/>
          <w:color w:val="000000"/>
          <w:szCs w:val="20"/>
          <w:lang w:val="en-US"/>
        </w:rPr>
        <w:t>CEF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включваща </w:t>
      </w:r>
      <w:r w:rsidRPr="001E49D4">
        <w:rPr>
          <w:rFonts w:eastAsia="Times New Roman" w:cs="Arial"/>
          <w:color w:val="000000"/>
          <w:szCs w:val="20"/>
          <w:lang w:val="en-US"/>
        </w:rPr>
        <w: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загуба на присадката и смърт. Всички наблюдавани събития са </w:t>
      </w:r>
      <w:r w:rsidRPr="001E49D4">
        <w:rPr>
          <w:rFonts w:eastAsia="Times New Roman" w:cs="Arial"/>
          <w:color w:val="000000"/>
          <w:szCs w:val="20"/>
          <w:lang w:val="en-US"/>
        </w:rPr>
        <w: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няма смъртни случаи и случаи на загуба на присадката. След 36-месечно проследяване, </w:t>
      </w:r>
      <w:r w:rsidRPr="001E49D4">
        <w:rPr>
          <w:rFonts w:eastAsia="Times New Roman" w:cs="Arial"/>
          <w:color w:val="000000"/>
          <w:szCs w:val="20"/>
          <w:lang w:val="en-US"/>
        </w:rPr>
        <w:t>CEF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точката е била сходна при двете терапевтични групи, докато лекувано </w:t>
      </w:r>
      <w:r w:rsidRPr="001E49D4">
        <w:rPr>
          <w:rFonts w:eastAsia="Times New Roman" w:cs="Arial"/>
          <w:color w:val="000000"/>
          <w:szCs w:val="20"/>
          <w:lang w:val="en-US"/>
        </w:rPr>
        <w: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се наблюдава при петима пациенти от всяка група. Отчетена е загуба на присадка при един пациент (2,1%) в групата, приемаща Сертикан с намалена доза такролимус спрямо двама пациенти (3,8%) в групата, приемаща микофенолат мофетил със стандартна доза такролимус. Няма докладвани смъртни случаи по време на изпитването. Екстраполацията на данни от приложението на Сертикан при възрастни след бъбречна трансплантация в педиатричното проучване със Сертикан и литературата показват, че стойностите, получени във връзка с крайната точка са по-ниски от наблюдаваните при възрастни. Бъбречната функция, определена чрез изчислената скорост на гломерулна филтрация </w:t>
      </w:r>
      <w:r w:rsidRPr="001E49D4">
        <w:rPr>
          <w:rFonts w:eastAsia="Times New Roman" w:cs="Arial"/>
          <w:color w:val="000000"/>
          <w:szCs w:val="20"/>
          <w:lang w:val="ru-RU"/>
        </w:rPr>
        <w:t>(</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eastAsia="bg-BG"/>
        </w:rPr>
        <w:t>е сравнима при двете изпитвани групи..</w:t>
      </w:r>
    </w:p>
    <w:p w14:paraId="36758781" w14:textId="77777777" w:rsidR="001E49D4" w:rsidRPr="001E49D4" w:rsidRDefault="001E49D4" w:rsidP="001E49D4">
      <w:pPr>
        <w:spacing w:line="240" w:lineRule="auto"/>
        <w:rPr>
          <w:rFonts w:eastAsia="Times New Roman" w:cs="Arial"/>
          <w:color w:val="000000"/>
          <w:szCs w:val="20"/>
          <w:lang w:eastAsia="bg-BG"/>
        </w:rPr>
      </w:pPr>
    </w:p>
    <w:p w14:paraId="4ECE63F5" w14:textId="1E943302"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При общо 35% (18/52) от пациентите в групата на Сертикан спрямо 17% (9/54) в контролната група е спряна проучваната терапия поради нежелани събития (НС)/инфекции. Повечето от НС/иифекциите, довели до преждевременно преустановяване на проучваното лекарство, са били единични събития и не са съобщавани при повече от един пациент. При двама пациенти в групата на Сертикан в комбинация с намалена доза такролимус е съобщено за посттрансплантационно лимфопролиферативно заболяване и при един пациент, за хепатоцелуларен карцином.</w:t>
      </w:r>
    </w:p>
    <w:p w14:paraId="79D2C043" w14:textId="77777777" w:rsidR="001E49D4" w:rsidRPr="001E49D4" w:rsidRDefault="001E49D4" w:rsidP="001E49D4">
      <w:pPr>
        <w:spacing w:line="240" w:lineRule="auto"/>
        <w:rPr>
          <w:rFonts w:eastAsia="Times New Roman" w:cs="Arial"/>
          <w:color w:val="000000"/>
          <w:szCs w:val="20"/>
          <w:lang w:eastAsia="bg-BG"/>
        </w:rPr>
      </w:pPr>
    </w:p>
    <w:p w14:paraId="5EDD8CF0" w14:textId="55DC270B"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педиатрични реципиенти след чернодробна трансплантация (на възраст 1 месец-18 години; </w:t>
      </w:r>
      <w:r w:rsidRPr="001E49D4">
        <w:rPr>
          <w:rFonts w:eastAsia="Times New Roman" w:cs="Arial"/>
          <w:color w:val="000000"/>
          <w:szCs w:val="20"/>
          <w:lang w:val="en-US"/>
        </w:rPr>
        <w:t>n</w:t>
      </w:r>
      <w:r w:rsidRPr="001E49D4">
        <w:rPr>
          <w:rFonts w:eastAsia="Times New Roman" w:cs="Arial"/>
          <w:color w:val="000000"/>
          <w:szCs w:val="20"/>
          <w:lang w:eastAsia="bg-BG"/>
        </w:rPr>
        <w:t xml:space="preserve">=56), получили цял чернодробен алографт или технически модифициран чернодробен алографт от трупен или жив донор, Сертикан с намалена доза такролимус и циклоспорин е оценен в рамките на 24-месечно, многоцентрово проучване с едно рамо. Липсата на ефикасност е дефинирана като съставна крайна точка </w:t>
      </w:r>
      <w:r w:rsidRPr="001E49D4">
        <w:rPr>
          <w:rFonts w:eastAsia="Times New Roman" w:cs="Arial"/>
          <w:color w:val="000000"/>
          <w:szCs w:val="20"/>
          <w:lang w:val="ru-RU"/>
        </w:rPr>
        <w:t>(</w:t>
      </w:r>
      <w:r w:rsidRPr="001E49D4">
        <w:rPr>
          <w:rFonts w:eastAsia="Times New Roman" w:cs="Arial"/>
          <w:color w:val="000000"/>
          <w:szCs w:val="20"/>
          <w:lang w:val="en-US"/>
        </w:rPr>
        <w:t>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загуба на присадката или смърт на 12-ия месец). От 56 пациенти, двама пациенти покриват първичната съставна крайна точка за липса на ефикасност или някои от нейните компоненти. Няма смъртни случаи или случаи на загуба на присадката в рамките на 24-месечното лечение. Подобрението в бъбречната функция, измерено чрез нарастването на средната стойност на изчислената скорост на гломерулна филтрация </w:t>
      </w:r>
      <w:r w:rsidRPr="001E49D4">
        <w:rPr>
          <w:rFonts w:eastAsia="Times New Roman" w:cs="Arial"/>
          <w:color w:val="000000"/>
          <w:szCs w:val="20"/>
          <w:lang w:val="ru-RU"/>
        </w:rPr>
        <w:t>(</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от </w:t>
      </w:r>
      <w:r w:rsidRPr="001E49D4">
        <w:rPr>
          <w:rFonts w:eastAsia="Times New Roman" w:cs="Arial"/>
          <w:color w:val="000000"/>
          <w:szCs w:val="20"/>
          <w:lang w:eastAsia="bg-BG"/>
        </w:rPr>
        <w:lastRenderedPageBreak/>
        <w:t xml:space="preserve">рандомизацията до 12-ия месец е 6,3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w:t>
      </w:r>
      <w:r w:rsidRPr="001E49D4">
        <w:rPr>
          <w:rFonts w:eastAsia="Times New Roman" w:cs="Arial"/>
          <w:color w:val="000000"/>
          <w:szCs w:val="20"/>
          <w:lang w:val="en-US"/>
        </w:rPr>
        <w:t>l</w:t>
      </w:r>
      <w:r w:rsidRPr="001E49D4">
        <w:rPr>
          <w:rFonts w:eastAsia="Times New Roman" w:cs="Arial"/>
          <w:color w:val="000000"/>
          <w:szCs w:val="20"/>
          <w:lang w:val="ru-RU"/>
        </w:rPr>
        <w:t>,73</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Подобрение в бъбречната функция се наблюдава и на 24-ия месец с нарастване на средната стойност на </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 4,5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w:t>
      </w:r>
      <w:r w:rsidRPr="001E49D4">
        <w:rPr>
          <w:rFonts w:eastAsia="Times New Roman" w:cs="Arial"/>
          <w:color w:val="000000"/>
          <w:szCs w:val="20"/>
          <w:lang w:val="en-US"/>
        </w:rPr>
        <w:t>l</w:t>
      </w:r>
      <w:r w:rsidRPr="001E49D4">
        <w:rPr>
          <w:rFonts w:eastAsia="Times New Roman" w:cs="Arial"/>
          <w:color w:val="000000"/>
          <w:szCs w:val="20"/>
          <w:lang w:val="ru-RU"/>
        </w:rPr>
        <w:t>,73</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от изходното ниво.</w:t>
      </w:r>
    </w:p>
    <w:p w14:paraId="7474B258" w14:textId="797C5354" w:rsidR="001E49D4" w:rsidRPr="001E49D4" w:rsidRDefault="001E49D4" w:rsidP="001E49D4">
      <w:pPr>
        <w:spacing w:line="240" w:lineRule="auto"/>
        <w:rPr>
          <w:rFonts w:eastAsia="Times New Roman" w:cs="Arial"/>
          <w:sz w:val="28"/>
          <w:szCs w:val="24"/>
          <w:lang w:val="ru-RU"/>
        </w:rPr>
      </w:pPr>
      <w:r w:rsidRPr="001E49D4">
        <w:rPr>
          <w:rFonts w:eastAsia="Times New Roman" w:cs="Arial"/>
          <w:color w:val="000000"/>
          <w:szCs w:val="20"/>
          <w:lang w:eastAsia="bg-BG"/>
        </w:rPr>
        <w:t>При педиатричните реципиенти след чернодробна трансплантация не се наблюдава негативно влияние върху растежа или половото съзряване. Установени са три основни опасения, свързани с безопасността при анализа на данните за безопасност при педиатрични реципиенти след чернодробна трансплантация в сравнение с възрастните реципиенти и публикуваната литература: висок процент случаи на преждевременно преустановяване на приема</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 проучваното лекарство, сериозни инфекции, водещи до хоспитализация и </w:t>
      </w:r>
      <w:r w:rsidRPr="001E49D4">
        <w:rPr>
          <w:rFonts w:eastAsia="Times New Roman" w:cs="Arial"/>
          <w:color w:val="000000"/>
          <w:szCs w:val="20"/>
          <w:lang w:val="en-US"/>
        </w:rPr>
        <w:t>PTLD</w:t>
      </w:r>
      <w:r w:rsidRPr="001E49D4">
        <w:rPr>
          <w:rFonts w:eastAsia="Times New Roman" w:cs="Arial"/>
          <w:color w:val="000000"/>
          <w:szCs w:val="20"/>
          <w:lang w:eastAsia="bg-BG"/>
        </w:rPr>
        <w:t xml:space="preserve"> (постгрансплантационни лимфопролиферативни нарушения). Честота на случаите на </w:t>
      </w:r>
      <w:r w:rsidRPr="001E49D4">
        <w:rPr>
          <w:rFonts w:eastAsia="Times New Roman" w:cs="Arial"/>
          <w:color w:val="000000"/>
          <w:szCs w:val="20"/>
          <w:lang w:val="en-US"/>
        </w:rPr>
        <w:t>RTLD</w:t>
      </w:r>
      <w:r w:rsidRPr="001E49D4">
        <w:rPr>
          <w:rFonts w:eastAsia="Times New Roman" w:cs="Arial"/>
          <w:color w:val="000000"/>
          <w:szCs w:val="20"/>
          <w:lang w:val="ru-RU"/>
        </w:rPr>
        <w:t xml:space="preserve"> </w:t>
      </w:r>
      <w:r w:rsidRPr="001E49D4">
        <w:rPr>
          <w:rFonts w:eastAsia="Times New Roman" w:cs="Arial"/>
          <w:color w:val="000000"/>
          <w:szCs w:val="20"/>
          <w:lang w:eastAsia="bg-BG"/>
        </w:rPr>
        <w:t>в</w:t>
      </w:r>
      <w:r w:rsidRPr="001E49D4">
        <w:rPr>
          <w:rFonts w:eastAsia="Times New Roman" w:cs="Arial"/>
          <w:i/>
          <w:iCs/>
          <w:color w:val="000000"/>
          <w:szCs w:val="20"/>
          <w:lang w:eastAsia="bg-BG"/>
        </w:rPr>
        <w:t xml:space="preserve"> </w:t>
      </w:r>
      <w:r w:rsidRPr="001E49D4">
        <w:rPr>
          <w:rFonts w:eastAsia="Times New Roman" w:cs="Arial"/>
          <w:color w:val="000000"/>
          <w:szCs w:val="20"/>
          <w:lang w:eastAsia="bg-BG"/>
        </w:rPr>
        <w:t xml:space="preserve">групата на възраст 2 - &lt;18 години и особено при деца на възраст под 2 години, които са отрицателни за вируса на Епщайн-Бар </w:t>
      </w:r>
      <w:r w:rsidRPr="001E49D4">
        <w:rPr>
          <w:rFonts w:eastAsia="Times New Roman" w:cs="Arial"/>
          <w:color w:val="000000"/>
          <w:szCs w:val="20"/>
          <w:lang w:val="ru-RU"/>
        </w:rPr>
        <w:t>(</w:t>
      </w:r>
      <w:r w:rsidRPr="001E49D4">
        <w:rPr>
          <w:rFonts w:eastAsia="Times New Roman" w:cs="Arial"/>
          <w:color w:val="000000"/>
          <w:szCs w:val="20"/>
          <w:lang w:val="en-US"/>
        </w:rPr>
        <w:t>EBV</w:t>
      </w:r>
      <w:r w:rsidRPr="001E49D4">
        <w:rPr>
          <w:rFonts w:eastAsia="Times New Roman" w:cs="Arial"/>
          <w:color w:val="000000"/>
          <w:szCs w:val="20"/>
          <w:lang w:val="ru-RU"/>
        </w:rPr>
        <w:t xml:space="preserve">), </w:t>
      </w:r>
      <w:r w:rsidRPr="001E49D4">
        <w:rPr>
          <w:rFonts w:eastAsia="Times New Roman" w:cs="Arial"/>
          <w:color w:val="000000"/>
          <w:szCs w:val="20"/>
          <w:lang w:eastAsia="bg-BG"/>
        </w:rPr>
        <w:t>е по-висока спрямо наблюдаваната при възрастни</w:t>
      </w:r>
      <w:r w:rsidRPr="001E49D4">
        <w:rPr>
          <w:rFonts w:eastAsia="Times New Roman" w:cs="Arial"/>
          <w:color w:val="000000"/>
          <w:szCs w:val="20"/>
          <w:lang w:val="ru-RU" w:eastAsia="bg-BG"/>
        </w:rPr>
        <w:t xml:space="preserve"> </w:t>
      </w:r>
      <w:r w:rsidRPr="001E49D4">
        <w:rPr>
          <w:rFonts w:cs="Arial"/>
          <w:szCs w:val="20"/>
        </w:rPr>
        <w:t>пациенти и описаната в литературата. Въз основа на данните, свързани с безопасността, профилът полза/риск не подкрепя препоръките за употреба.</w:t>
      </w:r>
    </w:p>
    <w:p w14:paraId="02D641A4" w14:textId="77777777" w:rsidR="001E49D4" w:rsidRPr="002F56CD" w:rsidRDefault="001E49D4" w:rsidP="001E49D4">
      <w:pPr>
        <w:rPr>
          <w:rFonts w:cs="Arial"/>
          <w:sz w:val="28"/>
        </w:rPr>
      </w:pPr>
    </w:p>
    <w:p w14:paraId="78DD93AA" w14:textId="5D1A9E4F" w:rsidR="00B6672E" w:rsidRDefault="002C50EE" w:rsidP="00936AD0">
      <w:pPr>
        <w:pStyle w:val="Heading2"/>
      </w:pPr>
      <w:r>
        <w:t>5.2. Фармакокинетични свойства</w:t>
      </w:r>
    </w:p>
    <w:p w14:paraId="613832B6" w14:textId="43FE4D2E" w:rsidR="001E49D4" w:rsidRDefault="001E49D4" w:rsidP="001E49D4"/>
    <w:p w14:paraId="3B934676" w14:textId="77777777" w:rsidR="001E49D4" w:rsidRPr="001E49D4" w:rsidRDefault="001E49D4" w:rsidP="001E49D4">
      <w:pPr>
        <w:pStyle w:val="Heading3"/>
        <w:rPr>
          <w:rFonts w:eastAsia="Times New Roman"/>
          <w:sz w:val="28"/>
          <w:u w:val="single"/>
        </w:rPr>
      </w:pPr>
      <w:r w:rsidRPr="001E49D4">
        <w:rPr>
          <w:rFonts w:eastAsia="Times New Roman"/>
          <w:u w:val="single"/>
          <w:lang w:eastAsia="bg-BG"/>
        </w:rPr>
        <w:t>Абсорбция:</w:t>
      </w:r>
    </w:p>
    <w:p w14:paraId="1C03028C"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След перорално приложение, максималните концентрации на еверолимус се достигат след 1 до 2 часа след приема. Кръвните концентрации на еверолимус при пациенти с трансплантация са дозозависими в диапазона 0,25 до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Относителната бионаличност на диспергиращите се таблетки в сравнение с таблетките е 0,90 (90%, </w:t>
      </w:r>
      <w:r w:rsidRPr="001E49D4">
        <w:rPr>
          <w:rFonts w:eastAsia="Times New Roman" w:cs="Arial"/>
          <w:color w:val="000000"/>
          <w:szCs w:val="20"/>
          <w:lang w:val="en-US"/>
        </w:rPr>
        <w:t>CI</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(доверителен интервал) 0,76-1,07), изчислена въз основа на </w:t>
      </w:r>
      <w:r w:rsidRPr="001E49D4">
        <w:rPr>
          <w:rFonts w:eastAsia="Times New Roman" w:cs="Arial"/>
          <w:color w:val="000000"/>
          <w:szCs w:val="20"/>
          <w:lang w:val="en-US"/>
        </w:rPr>
        <w:t>AUC</w:t>
      </w:r>
      <w:r w:rsidRPr="001E49D4">
        <w:rPr>
          <w:rFonts w:eastAsia="Times New Roman" w:cs="Arial"/>
          <w:color w:val="000000"/>
          <w:szCs w:val="20"/>
          <w:lang w:val="ru-RU"/>
        </w:rPr>
        <w:t>.</w:t>
      </w:r>
    </w:p>
    <w:p w14:paraId="284A41C8" w14:textId="77777777" w:rsidR="001E49D4" w:rsidRPr="001E49D4" w:rsidRDefault="001E49D4" w:rsidP="001E49D4">
      <w:pPr>
        <w:spacing w:line="240" w:lineRule="auto"/>
        <w:rPr>
          <w:rFonts w:eastAsia="Times New Roman" w:cs="Arial"/>
          <w:i/>
          <w:iCs/>
          <w:color w:val="000000"/>
          <w:szCs w:val="20"/>
          <w:lang w:eastAsia="bg-BG"/>
        </w:rPr>
      </w:pPr>
    </w:p>
    <w:p w14:paraId="3A857AFE" w14:textId="0D664AA5"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Ефект на храната:</w:t>
      </w:r>
    </w:p>
    <w:p w14:paraId="2DCC3CB7"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С</w:t>
      </w:r>
      <w:r w:rsidRPr="001E49D4">
        <w:rPr>
          <w:rFonts w:eastAsia="Times New Roman" w:cs="Arial"/>
          <w:color w:val="000000"/>
          <w:szCs w:val="20"/>
          <w:lang w:val="en-US"/>
        </w:rPr>
        <w:t>max</w:t>
      </w:r>
      <w:r w:rsidRPr="001E49D4">
        <w:rPr>
          <w:rFonts w:eastAsia="Times New Roman" w:cs="Arial"/>
          <w:color w:val="000000"/>
          <w:szCs w:val="20"/>
          <w:lang w:eastAsia="bg-BG"/>
        </w:rPr>
        <w:t xml:space="preserve"> и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на еверолимус намаляват със съответно 60% и 16% при прием на таблетката с богата на мазнини храна. За свеждане на вариабилността до минимум, Сертикан трябва да се приема по един и същи начин - само с храна или само на гладно.</w:t>
      </w:r>
    </w:p>
    <w:p w14:paraId="46949EC9" w14:textId="77777777" w:rsidR="001E49D4" w:rsidRPr="001E49D4" w:rsidRDefault="001E49D4" w:rsidP="001E49D4">
      <w:pPr>
        <w:spacing w:line="240" w:lineRule="auto"/>
        <w:rPr>
          <w:rFonts w:eastAsia="Times New Roman" w:cs="Arial"/>
          <w:color w:val="000000"/>
          <w:szCs w:val="20"/>
          <w:u w:val="single"/>
          <w:lang w:eastAsia="bg-BG"/>
        </w:rPr>
      </w:pPr>
    </w:p>
    <w:p w14:paraId="0F41F52D" w14:textId="43CA6515" w:rsidR="001E49D4" w:rsidRPr="001E49D4" w:rsidRDefault="001E49D4" w:rsidP="001E49D4">
      <w:pPr>
        <w:pStyle w:val="Heading3"/>
        <w:rPr>
          <w:rFonts w:eastAsia="Times New Roman"/>
          <w:sz w:val="28"/>
          <w:u w:val="single"/>
        </w:rPr>
      </w:pPr>
      <w:r w:rsidRPr="001E49D4">
        <w:rPr>
          <w:rFonts w:eastAsia="Times New Roman"/>
          <w:u w:val="single"/>
          <w:lang w:eastAsia="bg-BG"/>
        </w:rPr>
        <w:t>Разпределение:</w:t>
      </w:r>
    </w:p>
    <w:p w14:paraId="5F7A14E5" w14:textId="77777777" w:rsidR="001E49D4" w:rsidRPr="001E49D4" w:rsidRDefault="001E49D4" w:rsidP="001E49D4">
      <w:pPr>
        <w:spacing w:line="240" w:lineRule="auto"/>
        <w:rPr>
          <w:rFonts w:eastAsia="Times New Roman" w:cs="Arial"/>
          <w:color w:val="000000"/>
          <w:szCs w:val="20"/>
          <w:lang w:eastAsia="bg-BG"/>
        </w:rPr>
      </w:pPr>
      <w:r w:rsidRPr="001E49D4">
        <w:rPr>
          <w:rFonts w:eastAsia="Times New Roman" w:cs="Arial"/>
          <w:color w:val="000000"/>
          <w:szCs w:val="20"/>
          <w:lang w:eastAsia="bg-BG"/>
        </w:rPr>
        <w:t xml:space="preserve">Съотношението кръв към плазма на еверолимус зависи от концентрациите и варира в диапазона от 17% до 73% в дозовия диапазон от 5 до 5000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Свързването с плазмените протеини е приблизително 74% у здрави доброволци и пациенти с умерено увреждане на чернодробната функция. Обемът на разпределение, асоцииран с терминалната фаза </w:t>
      </w:r>
      <w:r w:rsidRPr="001E49D4">
        <w:rPr>
          <w:rFonts w:eastAsia="Times New Roman" w:cs="Arial"/>
          <w:color w:val="000000"/>
          <w:szCs w:val="20"/>
          <w:lang w:val="ru-RU"/>
        </w:rPr>
        <w:t>(</w:t>
      </w:r>
      <w:r w:rsidRPr="001E49D4">
        <w:rPr>
          <w:rFonts w:eastAsia="Times New Roman" w:cs="Arial"/>
          <w:color w:val="000000"/>
          <w:szCs w:val="20"/>
          <w:lang w:val="en-US"/>
        </w:rPr>
        <w:t>Vz</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у пациенти с бъбречна трансплантация при поддържащо лечение, е </w:t>
      </w:r>
    </w:p>
    <w:p w14:paraId="706777C4" w14:textId="4E9C5BC9"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342 ± 107 </w:t>
      </w:r>
      <w:r w:rsidRPr="001E49D4">
        <w:rPr>
          <w:rFonts w:eastAsia="Times New Roman" w:cs="Arial"/>
          <w:color w:val="000000"/>
          <w:szCs w:val="20"/>
          <w:lang w:val="en-US"/>
        </w:rPr>
        <w:t>L</w:t>
      </w:r>
      <w:r w:rsidRPr="001E49D4">
        <w:rPr>
          <w:rFonts w:eastAsia="Times New Roman" w:cs="Arial"/>
          <w:color w:val="000000"/>
          <w:szCs w:val="20"/>
          <w:lang w:val="ru-RU"/>
        </w:rPr>
        <w:t>.</w:t>
      </w:r>
    </w:p>
    <w:p w14:paraId="01721D96" w14:textId="77777777" w:rsidR="001E49D4" w:rsidRPr="001E49D4" w:rsidRDefault="001E49D4" w:rsidP="001E49D4">
      <w:pPr>
        <w:spacing w:line="240" w:lineRule="auto"/>
        <w:rPr>
          <w:rFonts w:eastAsia="Times New Roman" w:cs="Arial"/>
          <w:color w:val="000000"/>
          <w:szCs w:val="20"/>
          <w:u w:val="single"/>
          <w:lang w:eastAsia="bg-BG"/>
        </w:rPr>
      </w:pPr>
    </w:p>
    <w:p w14:paraId="4C6A91CA" w14:textId="69807E17" w:rsidR="001E49D4" w:rsidRPr="001E49D4" w:rsidRDefault="001E49D4" w:rsidP="001E49D4">
      <w:pPr>
        <w:pStyle w:val="Heading3"/>
        <w:rPr>
          <w:rFonts w:eastAsia="Times New Roman"/>
          <w:sz w:val="28"/>
          <w:u w:val="single"/>
        </w:rPr>
      </w:pPr>
      <w:r w:rsidRPr="001E49D4">
        <w:rPr>
          <w:rFonts w:eastAsia="Times New Roman"/>
          <w:u w:val="single"/>
          <w:lang w:eastAsia="bg-BG"/>
        </w:rPr>
        <w:t>Биотрасформация:</w:t>
      </w:r>
    </w:p>
    <w:p w14:paraId="2F67C854"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Еверолимус е субстрат на </w:t>
      </w:r>
      <w:r w:rsidRPr="001E49D4">
        <w:rPr>
          <w:rFonts w:eastAsia="Times New Roman" w:cs="Arial"/>
          <w:color w:val="000000"/>
          <w:szCs w:val="20"/>
          <w:lang w:val="en-US"/>
        </w:rPr>
        <w:t>CYP</w:t>
      </w:r>
      <w:r w:rsidRPr="001E49D4">
        <w:rPr>
          <w:rFonts w:eastAsia="Times New Roman" w:cs="Arial"/>
          <w:color w:val="000000"/>
          <w:szCs w:val="20"/>
          <w:lang w:val="ru-RU"/>
        </w:rPr>
        <w:t>3</w:t>
      </w:r>
      <w:r w:rsidRPr="001E49D4">
        <w:rPr>
          <w:rFonts w:eastAsia="Times New Roman" w:cs="Arial"/>
          <w:color w:val="000000"/>
          <w:szCs w:val="20"/>
          <w:lang w:eastAsia="bg-BG"/>
        </w:rPr>
        <w:t>А4 и Р-гликопротеин. След перорално приложение той е основният циркулиращ компонент в кръвта. Шест основни метаболита на еверолимус са били идентифицирани в кръвта на човек, включващи три монохидроксилирани метаболита, два хидроксилирани продукта с отворен пръстен и фосфатидилхолинов конюгат на еверолимус. Тези метаболити са били също идентифицирани и при животински видове, при изследвания за токсичност и показват приблизително 100 пъти по-слаба активност от самия еверолимус. Следователно, се счита че изходното вещество допринася за по-голямата част от общата фармакологична активност на еверолимус.</w:t>
      </w:r>
    </w:p>
    <w:p w14:paraId="36F09F84" w14:textId="77777777" w:rsidR="001E49D4" w:rsidRPr="001E49D4" w:rsidRDefault="001E49D4" w:rsidP="001E49D4">
      <w:pPr>
        <w:spacing w:line="240" w:lineRule="auto"/>
        <w:rPr>
          <w:rFonts w:eastAsia="Times New Roman" w:cs="Arial"/>
          <w:color w:val="000000"/>
          <w:szCs w:val="20"/>
          <w:u w:val="single"/>
          <w:lang w:eastAsia="bg-BG"/>
        </w:rPr>
      </w:pPr>
    </w:p>
    <w:p w14:paraId="3B7CFF1B" w14:textId="11E5C62E" w:rsidR="001E49D4" w:rsidRPr="001E49D4" w:rsidRDefault="001E49D4" w:rsidP="001E49D4">
      <w:pPr>
        <w:pStyle w:val="Heading3"/>
        <w:rPr>
          <w:rFonts w:eastAsia="Times New Roman"/>
          <w:sz w:val="28"/>
          <w:u w:val="single"/>
        </w:rPr>
      </w:pPr>
      <w:r w:rsidRPr="001E49D4">
        <w:rPr>
          <w:rFonts w:eastAsia="Times New Roman"/>
          <w:u w:val="single"/>
          <w:lang w:eastAsia="bg-BG"/>
        </w:rPr>
        <w:lastRenderedPageBreak/>
        <w:t>Елиминиране:</w:t>
      </w:r>
    </w:p>
    <w:p w14:paraId="45537850"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След прием на единична доза радиоактивно белязан еверолимус от пациент с трансплантация, приемащи циклоспорин, преобладаващото количество (80 %) радиоактивност се установява във фецеса, а само незначително количество (5 %) се екскретира в урината. Изходното лекарство не се установява в урината и фецеса.</w:t>
      </w:r>
    </w:p>
    <w:p w14:paraId="344063B8" w14:textId="77777777" w:rsidR="001E49D4" w:rsidRPr="001E49D4" w:rsidRDefault="001E49D4" w:rsidP="001E49D4">
      <w:pPr>
        <w:spacing w:line="240" w:lineRule="auto"/>
        <w:rPr>
          <w:rFonts w:eastAsia="Times New Roman" w:cs="Arial"/>
          <w:color w:val="000000"/>
          <w:szCs w:val="20"/>
          <w:u w:val="single"/>
          <w:lang w:eastAsia="bg-BG"/>
        </w:rPr>
      </w:pPr>
    </w:p>
    <w:p w14:paraId="2E3B762C" w14:textId="482450E6" w:rsidR="001E49D4" w:rsidRPr="001E49D4" w:rsidRDefault="001E49D4" w:rsidP="001E49D4">
      <w:pPr>
        <w:pStyle w:val="Heading3"/>
        <w:rPr>
          <w:rFonts w:eastAsia="Times New Roman"/>
          <w:sz w:val="28"/>
          <w:u w:val="single"/>
        </w:rPr>
      </w:pPr>
      <w:r w:rsidRPr="001E49D4">
        <w:rPr>
          <w:rFonts w:eastAsia="Times New Roman"/>
          <w:u w:val="single"/>
          <w:lang w:eastAsia="bg-BG"/>
        </w:rPr>
        <w:t>Фармакокинетика в стационарно състояние:</w:t>
      </w:r>
    </w:p>
    <w:p w14:paraId="0DE3A81E" w14:textId="253E4D5B" w:rsidR="001E49D4" w:rsidRPr="001E49D4" w:rsidRDefault="001E49D4" w:rsidP="001E49D4">
      <w:pPr>
        <w:rPr>
          <w:rFonts w:eastAsia="Times New Roman" w:cs="Arial"/>
          <w:color w:val="000000"/>
          <w:szCs w:val="20"/>
          <w:lang w:eastAsia="bg-BG"/>
        </w:rPr>
      </w:pPr>
      <w:r w:rsidRPr="001E49D4">
        <w:rPr>
          <w:rFonts w:eastAsia="Times New Roman" w:cs="Arial"/>
          <w:color w:val="000000"/>
          <w:szCs w:val="20"/>
          <w:lang w:eastAsia="bg-BG"/>
        </w:rPr>
        <w:t>Фармакокинетиката при пациенти с бъбречна и сърдечна трансплантация, приемащи еверолимус два пъти дневно, успоредно с циклоспорин микроемулсия, е съпоставима. Стационарно състояние се достига към ден 4, като кумулираната в кръвта концентрация е 2 до 3-кратно по-голяма в сравнение с експозицията след първата доза. Т</w:t>
      </w:r>
      <w:r w:rsidRPr="001E49D4">
        <w:rPr>
          <w:rFonts w:eastAsia="Times New Roman" w:cs="Arial"/>
          <w:color w:val="000000"/>
          <w:szCs w:val="20"/>
          <w:lang w:val="en-US"/>
        </w:rPr>
        <w:t>max</w:t>
      </w:r>
      <w:r w:rsidRPr="001E49D4">
        <w:rPr>
          <w:rFonts w:eastAsia="Times New Roman" w:cs="Arial"/>
          <w:color w:val="000000"/>
          <w:szCs w:val="20"/>
          <w:lang w:eastAsia="bg-BG"/>
        </w:rPr>
        <w:t xml:space="preserve"> настъпва 1 до 2 часа след приема на дозата. С</w:t>
      </w:r>
      <w:r w:rsidRPr="001E49D4">
        <w:rPr>
          <w:rFonts w:eastAsia="Times New Roman" w:cs="Arial"/>
          <w:color w:val="000000"/>
          <w:szCs w:val="20"/>
          <w:lang w:val="en-US"/>
        </w:rPr>
        <w:t>max</w:t>
      </w:r>
      <w:r w:rsidRPr="001E49D4">
        <w:rPr>
          <w:rFonts w:eastAsia="Times New Roman" w:cs="Arial"/>
          <w:color w:val="000000"/>
          <w:szCs w:val="20"/>
          <w:lang w:eastAsia="bg-BG"/>
        </w:rPr>
        <w:t xml:space="preserve"> за 0,75 и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два пъти дневно варира в границите 11,1 ± 4,6 и 20,3 ± 8,0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val="en-US"/>
        </w:rPr>
        <w:t>a</w:t>
      </w:r>
      <w:r w:rsidRPr="001E49D4">
        <w:rPr>
          <w:rFonts w:eastAsia="Times New Roman" w:cs="Arial"/>
          <w:color w:val="000000"/>
          <w:szCs w:val="20"/>
          <w:lang w:val="ru-RU"/>
        </w:rPr>
        <w:t xml:space="preserve">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варира съответно между 75 ± 31 и 131 ± 59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h</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Най-ниските концентрации в кръвта преди прием </w:t>
      </w:r>
      <w:r w:rsidRPr="001E49D4">
        <w:rPr>
          <w:rFonts w:eastAsia="Times New Roman" w:cs="Arial"/>
          <w:color w:val="000000"/>
          <w:szCs w:val="20"/>
          <w:lang w:val="ru-RU"/>
        </w:rPr>
        <w:t>(</w:t>
      </w:r>
      <w:r w:rsidRPr="001E49D4">
        <w:rPr>
          <w:rFonts w:eastAsia="Times New Roman" w:cs="Arial"/>
          <w:color w:val="000000"/>
          <w:szCs w:val="20"/>
          <w:lang w:val="en-US"/>
        </w:rPr>
        <w:t>Cmin</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за 0,75 и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два пъти дневно варират съответно между 4,1 ± 2,1 и 7,1 ± 4,6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Експозицията на еверолимус остава стабилна във времето през първата година след трансплантацията. </w:t>
      </w:r>
      <w:r w:rsidRPr="001E49D4">
        <w:rPr>
          <w:rFonts w:eastAsia="Times New Roman" w:cs="Arial"/>
          <w:color w:val="000000"/>
          <w:szCs w:val="20"/>
          <w:lang w:val="en-US"/>
        </w:rPr>
        <w:t>Cmin</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 значима степен корелира с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с коефициент на корелация между 0</w:t>
      </w:r>
      <w:proofErr w:type="gramStart"/>
      <w:r w:rsidRPr="001E49D4">
        <w:rPr>
          <w:rFonts w:eastAsia="Times New Roman" w:cs="Arial"/>
          <w:color w:val="000000"/>
          <w:szCs w:val="20"/>
          <w:lang w:eastAsia="bg-BG"/>
        </w:rPr>
        <w:t>,86</w:t>
      </w:r>
      <w:proofErr w:type="gramEnd"/>
      <w:r w:rsidRPr="001E49D4">
        <w:rPr>
          <w:rFonts w:eastAsia="Times New Roman" w:cs="Arial"/>
          <w:color w:val="000000"/>
          <w:szCs w:val="20"/>
          <w:lang w:eastAsia="bg-BG"/>
        </w:rPr>
        <w:t xml:space="preserve"> и 0,94. Въз основа на популационен фармакокинетичен анализ клирънсът на перорално приета доза </w:t>
      </w:r>
      <w:r w:rsidRPr="001E49D4">
        <w:rPr>
          <w:rFonts w:eastAsia="Times New Roman" w:cs="Arial"/>
          <w:color w:val="000000"/>
          <w:szCs w:val="20"/>
          <w:lang w:val="ru-RU"/>
        </w:rPr>
        <w:t>(</w:t>
      </w:r>
      <w:r w:rsidRPr="001E49D4">
        <w:rPr>
          <w:rFonts w:eastAsia="Times New Roman" w:cs="Arial"/>
          <w:color w:val="000000"/>
          <w:szCs w:val="20"/>
          <w:lang w:val="en-US"/>
        </w:rPr>
        <w:t>CL</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8,8 </w:t>
      </w:r>
      <w:r w:rsidRPr="001E49D4">
        <w:rPr>
          <w:rFonts w:eastAsia="Times New Roman" w:cs="Arial"/>
          <w:color w:val="000000"/>
          <w:szCs w:val="20"/>
          <w:lang w:val="en-US"/>
        </w:rPr>
        <w:t>L</w:t>
      </w:r>
      <w:r w:rsidRPr="001E49D4">
        <w:rPr>
          <w:rFonts w:eastAsia="Times New Roman" w:cs="Arial"/>
          <w:color w:val="000000"/>
          <w:szCs w:val="20"/>
          <w:lang w:val="ru-RU"/>
        </w:rPr>
        <w:t>/</w:t>
      </w:r>
      <w:r w:rsidRPr="001E49D4">
        <w:rPr>
          <w:rFonts w:eastAsia="Times New Roman" w:cs="Arial"/>
          <w:color w:val="000000"/>
          <w:szCs w:val="20"/>
          <w:lang w:val="en-US"/>
        </w:rPr>
        <w:t>h</w:t>
      </w:r>
      <w:r w:rsidRPr="001E49D4">
        <w:rPr>
          <w:rFonts w:eastAsia="Times New Roman" w:cs="Arial"/>
          <w:color w:val="000000"/>
          <w:szCs w:val="20"/>
          <w:lang w:val="ru-RU"/>
        </w:rPr>
        <w:t xml:space="preserve"> </w:t>
      </w:r>
      <w:r w:rsidRPr="001E49D4">
        <w:rPr>
          <w:rFonts w:eastAsia="Times New Roman" w:cs="Arial"/>
          <w:color w:val="000000"/>
          <w:szCs w:val="20"/>
          <w:lang w:eastAsia="bg-BG"/>
        </w:rPr>
        <w:t>(27% вариация между отделните пациенти),а  централният обем на разпределение (Vс</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110 </w:t>
      </w:r>
      <w:r w:rsidRPr="001E49D4">
        <w:rPr>
          <w:rFonts w:eastAsia="Times New Roman" w:cs="Arial"/>
          <w:color w:val="000000"/>
          <w:szCs w:val="20"/>
          <w:lang w:val="en-US"/>
        </w:rPr>
        <w:t>L</w:t>
      </w:r>
      <w:r w:rsidRPr="001E49D4">
        <w:rPr>
          <w:rFonts w:eastAsia="Times New Roman" w:cs="Arial"/>
          <w:color w:val="000000"/>
          <w:szCs w:val="20"/>
          <w:lang w:val="ru-RU"/>
        </w:rPr>
        <w:t xml:space="preserve"> </w:t>
      </w:r>
      <w:r w:rsidRPr="001E49D4">
        <w:rPr>
          <w:rFonts w:eastAsia="Times New Roman" w:cs="Arial"/>
          <w:color w:val="000000"/>
          <w:szCs w:val="20"/>
          <w:lang w:eastAsia="bg-BG"/>
        </w:rPr>
        <w:t>(3 6% вариация между отделните пациенти) Остатъчната вариабилност на кръвните концентрации е 31%. Елиминационният полуживот е 28 ± 7 часа.</w:t>
      </w:r>
    </w:p>
    <w:p w14:paraId="622A68C9" w14:textId="1002C0DD" w:rsidR="001E49D4" w:rsidRPr="001E49D4" w:rsidRDefault="001E49D4" w:rsidP="001E49D4">
      <w:pPr>
        <w:rPr>
          <w:rFonts w:eastAsia="Times New Roman" w:cs="Arial"/>
          <w:color w:val="000000"/>
          <w:szCs w:val="20"/>
          <w:lang w:eastAsia="bg-BG"/>
        </w:rPr>
      </w:pPr>
    </w:p>
    <w:p w14:paraId="22B10EAE"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u w:val="single"/>
          <w:lang w:eastAsia="bg-BG"/>
        </w:rPr>
        <w:t xml:space="preserve">Специални групи пациенти </w:t>
      </w:r>
      <w:r w:rsidRPr="001E49D4">
        <w:rPr>
          <w:rFonts w:eastAsia="Times New Roman" w:cs="Arial"/>
          <w:i/>
          <w:iCs/>
          <w:color w:val="000000"/>
          <w:szCs w:val="20"/>
          <w:lang w:eastAsia="bg-BG"/>
        </w:rPr>
        <w:t xml:space="preserve">Чернодробно увреждане: </w:t>
      </w:r>
      <w:r w:rsidRPr="001E49D4">
        <w:rPr>
          <w:rFonts w:eastAsia="Times New Roman" w:cs="Arial"/>
          <w:color w:val="000000"/>
          <w:szCs w:val="20"/>
          <w:lang w:eastAsia="bg-BG"/>
        </w:rPr>
        <w:t xml:space="preserve">В сравнение с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 еверолимус при пациенти с нормална чернодробна функция, средната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 7 пациента с леко чернодробно увреждане (клас А по </w:t>
      </w:r>
      <w:r w:rsidRPr="001E49D4">
        <w:rPr>
          <w:rFonts w:eastAsia="Times New Roman" w:cs="Arial"/>
          <w:color w:val="000000"/>
          <w:szCs w:val="20"/>
          <w:lang w:val="en-US"/>
        </w:rPr>
        <w:t>Child</w:t>
      </w:r>
      <w:r w:rsidRPr="001E49D4">
        <w:rPr>
          <w:rFonts w:eastAsia="Times New Roman" w:cs="Arial"/>
          <w:color w:val="000000"/>
          <w:szCs w:val="20"/>
          <w:lang w:val="ru-RU"/>
        </w:rPr>
        <w:t>-</w:t>
      </w:r>
      <w:r w:rsidRPr="001E49D4">
        <w:rPr>
          <w:rFonts w:eastAsia="Times New Roman" w:cs="Arial"/>
          <w:color w:val="000000"/>
          <w:szCs w:val="20"/>
          <w:lang w:val="en-US"/>
        </w:rPr>
        <w:t>Pugh</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била 1,6 пъти по- висока; в две независимо проучени групи от по 8 пациента с умерено чернодробно увреждане (клас В по </w:t>
      </w:r>
      <w:r w:rsidRPr="001E49D4">
        <w:rPr>
          <w:rFonts w:eastAsia="Times New Roman" w:cs="Arial"/>
          <w:color w:val="000000"/>
          <w:szCs w:val="20"/>
          <w:lang w:val="en-US"/>
        </w:rPr>
        <w:t>Child</w:t>
      </w:r>
      <w:r w:rsidRPr="001E49D4">
        <w:rPr>
          <w:rFonts w:eastAsia="Times New Roman" w:cs="Arial"/>
          <w:color w:val="000000"/>
          <w:szCs w:val="20"/>
          <w:lang w:val="ru-RU"/>
        </w:rPr>
        <w:t>-</w:t>
      </w:r>
      <w:r w:rsidRPr="001E49D4">
        <w:rPr>
          <w:rFonts w:eastAsia="Times New Roman" w:cs="Arial"/>
          <w:color w:val="000000"/>
          <w:szCs w:val="20"/>
          <w:lang w:val="en-US"/>
        </w:rPr>
        <w:t>Pugh</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средната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била съответно 2,1 пъти и 3,3 пъти по-висока; а при 6 пациента с тежко чернодробно увреждане (клас С по </w:t>
      </w:r>
      <w:r w:rsidRPr="001E49D4">
        <w:rPr>
          <w:rFonts w:eastAsia="Times New Roman" w:cs="Arial"/>
          <w:color w:val="000000"/>
          <w:szCs w:val="20"/>
          <w:lang w:val="en-US"/>
        </w:rPr>
        <w:t>Child</w:t>
      </w:r>
      <w:r w:rsidRPr="001E49D4">
        <w:rPr>
          <w:rFonts w:eastAsia="Times New Roman" w:cs="Arial"/>
          <w:color w:val="000000"/>
          <w:szCs w:val="20"/>
          <w:lang w:val="ru-RU"/>
        </w:rPr>
        <w:t>-</w:t>
      </w:r>
      <w:r w:rsidRPr="001E49D4">
        <w:rPr>
          <w:rFonts w:eastAsia="Times New Roman" w:cs="Arial"/>
          <w:color w:val="000000"/>
          <w:szCs w:val="20"/>
          <w:lang w:val="en-US"/>
        </w:rPr>
        <w:t>Pugh</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средната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е била 3,6 пъти по-висока. Средният полуживот е съответно 52, 59 и 78 часа при леко, умерено и тежко чернодробно увреждане. Увеличеният полуживот забавя времето за достигане на стационарното състояние на концентрацията на еверолимус в кръвта.</w:t>
      </w:r>
    </w:p>
    <w:p w14:paraId="1E1C6322" w14:textId="77777777" w:rsidR="001E49D4" w:rsidRPr="001E49D4" w:rsidRDefault="001E49D4" w:rsidP="001E49D4">
      <w:pPr>
        <w:spacing w:line="240" w:lineRule="auto"/>
        <w:rPr>
          <w:rFonts w:eastAsia="Times New Roman" w:cs="Arial"/>
          <w:i/>
          <w:iCs/>
          <w:color w:val="000000"/>
          <w:szCs w:val="20"/>
          <w:lang w:eastAsia="bg-BG"/>
        </w:rPr>
      </w:pPr>
    </w:p>
    <w:p w14:paraId="7D8CF88E" w14:textId="1408511C"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Бъбречно увреждане:</w:t>
      </w:r>
    </w:p>
    <w:p w14:paraId="24286D81"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Пост-трансплантационното увреждане на бъбречната функция (интервал на </w:t>
      </w:r>
      <w:r w:rsidRPr="001E49D4">
        <w:rPr>
          <w:rFonts w:eastAsia="Times New Roman" w:cs="Arial"/>
          <w:color w:val="000000"/>
          <w:szCs w:val="20"/>
          <w:lang w:val="en-US"/>
        </w:rPr>
        <w:t>Clcrea</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11- 107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 xml:space="preserve">) </w:t>
      </w:r>
      <w:r w:rsidRPr="001E49D4">
        <w:rPr>
          <w:rFonts w:eastAsia="Times New Roman" w:cs="Arial"/>
          <w:color w:val="000000"/>
          <w:szCs w:val="20"/>
          <w:lang w:eastAsia="bg-BG"/>
        </w:rPr>
        <w:t>не повлиява негативно фармакокинетиката на еверолимус.</w:t>
      </w:r>
    </w:p>
    <w:p w14:paraId="14FBE01B" w14:textId="77777777" w:rsidR="001E49D4" w:rsidRPr="001E49D4" w:rsidRDefault="001E49D4" w:rsidP="001E49D4">
      <w:pPr>
        <w:spacing w:line="240" w:lineRule="auto"/>
        <w:rPr>
          <w:rFonts w:eastAsia="Times New Roman" w:cs="Arial"/>
          <w:i/>
          <w:iCs/>
          <w:color w:val="000000"/>
          <w:szCs w:val="20"/>
          <w:lang w:eastAsia="bg-BG"/>
        </w:rPr>
      </w:pPr>
    </w:p>
    <w:p w14:paraId="3DFDA28A" w14:textId="04ADA767"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Педиатрична популация:</w:t>
      </w:r>
    </w:p>
    <w:p w14:paraId="46515635" w14:textId="49B37573"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Четиринадесет педиатрични пациенти с </w:t>
      </w:r>
      <w:r w:rsidRPr="001E49D4">
        <w:rPr>
          <w:rFonts w:eastAsia="Times New Roman" w:cs="Arial"/>
          <w:i/>
          <w:iCs/>
          <w:color w:val="000000"/>
          <w:szCs w:val="20"/>
          <w:lang w:val="en-US"/>
        </w:rPr>
        <w:t>de</w:t>
      </w:r>
      <w:r w:rsidRPr="001E49D4">
        <w:rPr>
          <w:rFonts w:eastAsia="Times New Roman" w:cs="Arial"/>
          <w:i/>
          <w:iCs/>
          <w:color w:val="000000"/>
          <w:szCs w:val="20"/>
          <w:lang w:val="ru-RU"/>
        </w:rPr>
        <w:t xml:space="preserve"> </w:t>
      </w:r>
      <w:r w:rsidRPr="001E49D4">
        <w:rPr>
          <w:rFonts w:eastAsia="Times New Roman" w:cs="Arial"/>
          <w:i/>
          <w:iCs/>
          <w:color w:val="000000"/>
          <w:szCs w:val="20"/>
          <w:lang w:val="en-US"/>
        </w:rPr>
        <w:t>novo</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бъбречна трансплантация (от 2 до 16 години) са приемали Сертикан диспергиращи се таблетки в доза 0,8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(максимум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два пъти дневно, заедно с циклоспорин микроемулсия. Техните дози впоследствие са индивидуализирани въз основа на терапевтичния лекарствен мониторинг за поддържане на най-ниски концентрации преди дозата на еверолимус ≥3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 стационарно състояние, най- ниските нива на еверолимус са 6,2 ± 2,4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стойностите на С</w:t>
      </w:r>
      <w:r w:rsidRPr="001E49D4">
        <w:rPr>
          <w:rFonts w:eastAsia="Times New Roman" w:cs="Arial"/>
          <w:color w:val="000000"/>
          <w:szCs w:val="20"/>
          <w:lang w:val="en-US"/>
        </w:rPr>
        <w:t>max</w:t>
      </w:r>
      <w:r w:rsidRPr="001E49D4">
        <w:rPr>
          <w:rFonts w:eastAsia="Times New Roman" w:cs="Arial"/>
          <w:color w:val="000000"/>
          <w:szCs w:val="20"/>
          <w:lang w:eastAsia="bg-BG"/>
        </w:rPr>
        <w:t xml:space="preserve"> са 18,2 ± 5,5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и на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118 ± 28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h</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които са сравними с тези при възрастни, приемали Сертикан, с подобни целеви най-ниски концентрации в кръвта преди прием на дозата. </w:t>
      </w:r>
      <w:r w:rsidRPr="001E49D4">
        <w:rPr>
          <w:rFonts w:eastAsia="Times New Roman" w:cs="Arial"/>
          <w:color w:val="000000"/>
          <w:szCs w:val="20"/>
          <w:lang w:val="en-US"/>
        </w:rPr>
        <w:t>CL</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при стационарно състояние след перорален прием е 7.1 ± 1.7 </w:t>
      </w:r>
      <w:r w:rsidRPr="001E49D4">
        <w:rPr>
          <w:rFonts w:eastAsia="Times New Roman" w:cs="Arial"/>
          <w:color w:val="000000"/>
          <w:szCs w:val="20"/>
          <w:lang w:val="ru-RU"/>
        </w:rPr>
        <w:t>1/</w:t>
      </w:r>
      <w:r w:rsidRPr="001E49D4">
        <w:rPr>
          <w:rFonts w:eastAsia="Times New Roman" w:cs="Arial"/>
          <w:color w:val="000000"/>
          <w:szCs w:val="20"/>
          <w:lang w:val="en-US"/>
        </w:rPr>
        <w:t>h</w:t>
      </w:r>
      <w:r w:rsidRPr="001E49D4">
        <w:rPr>
          <w:rFonts w:eastAsia="Times New Roman" w:cs="Arial"/>
          <w:color w:val="000000"/>
          <w:szCs w:val="20"/>
          <w:lang w:val="ru-RU"/>
        </w:rPr>
        <w:t>/</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и времето на полуелиминиране е 30 ± 11 </w:t>
      </w:r>
      <w:r w:rsidRPr="001E49D4">
        <w:rPr>
          <w:rFonts w:eastAsia="Times New Roman" w:cs="Arial"/>
          <w:color w:val="000000"/>
          <w:szCs w:val="20"/>
          <w:lang w:val="en-US"/>
        </w:rPr>
        <w:t>h</w:t>
      </w:r>
      <w:r w:rsidRPr="001E49D4">
        <w:rPr>
          <w:rFonts w:eastAsia="Times New Roman" w:cs="Arial"/>
          <w:color w:val="000000"/>
          <w:szCs w:val="20"/>
          <w:lang w:val="ru-RU"/>
        </w:rPr>
        <w:t xml:space="preserve"> </w:t>
      </w:r>
      <w:r w:rsidRPr="001E49D4">
        <w:rPr>
          <w:rFonts w:eastAsia="Times New Roman" w:cs="Arial"/>
          <w:color w:val="000000"/>
          <w:szCs w:val="20"/>
          <w:lang w:eastAsia="bg-BG"/>
        </w:rPr>
        <w:t>при педиатрични пациенти.</w:t>
      </w:r>
    </w:p>
    <w:p w14:paraId="7A3CCA1A" w14:textId="77777777" w:rsidR="001E49D4" w:rsidRPr="001E49D4" w:rsidRDefault="001E49D4" w:rsidP="001E49D4">
      <w:pPr>
        <w:spacing w:line="240" w:lineRule="auto"/>
        <w:rPr>
          <w:rFonts w:eastAsia="Times New Roman" w:cs="Arial"/>
          <w:i/>
          <w:iCs/>
          <w:color w:val="000000"/>
          <w:szCs w:val="20"/>
          <w:lang w:eastAsia="bg-BG"/>
        </w:rPr>
      </w:pPr>
    </w:p>
    <w:p w14:paraId="3965136F" w14:textId="1DD11C71"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lastRenderedPageBreak/>
        <w:t>Пациенти в старческа възраст:</w:t>
      </w:r>
    </w:p>
    <w:p w14:paraId="75A75D8A"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възрастни пациенти (възрастов диапазон на пациентите в хода на проучванията 16-70 години) е констатирана ограничена редукция на клирънса на еверолимус след перорален прием </w:t>
      </w:r>
      <w:r w:rsidRPr="001E49D4">
        <w:rPr>
          <w:rFonts w:eastAsia="Times New Roman" w:cs="Arial"/>
          <w:color w:val="000000"/>
          <w:szCs w:val="20"/>
          <w:lang w:val="ru-RU"/>
        </w:rPr>
        <w:t>(</w:t>
      </w:r>
      <w:r w:rsidRPr="001E49D4">
        <w:rPr>
          <w:rFonts w:eastAsia="Times New Roman" w:cs="Arial"/>
          <w:color w:val="000000"/>
          <w:szCs w:val="20"/>
          <w:lang w:val="en-US"/>
        </w:rPr>
        <w:t>CL</w:t>
      </w:r>
      <w:r w:rsidRPr="001E49D4">
        <w:rPr>
          <w:rFonts w:eastAsia="Times New Roman" w:cs="Arial"/>
          <w:color w:val="000000"/>
          <w:szCs w:val="20"/>
          <w:lang w:val="ru-RU"/>
        </w:rPr>
        <w:t xml:space="preserve">) </w:t>
      </w:r>
      <w:r w:rsidRPr="001E49D4">
        <w:rPr>
          <w:rFonts w:eastAsia="Times New Roman" w:cs="Arial"/>
          <w:color w:val="000000"/>
          <w:szCs w:val="20"/>
          <w:lang w:eastAsia="bg-BG"/>
        </w:rPr>
        <w:t>с 0,33 % на година. Корекция на дозата не се счита за необходима.</w:t>
      </w:r>
    </w:p>
    <w:p w14:paraId="038AF866" w14:textId="77777777" w:rsidR="001E49D4" w:rsidRPr="001E49D4" w:rsidRDefault="001E49D4" w:rsidP="001E49D4">
      <w:pPr>
        <w:spacing w:line="240" w:lineRule="auto"/>
        <w:rPr>
          <w:rFonts w:eastAsia="Times New Roman" w:cs="Arial"/>
          <w:i/>
          <w:iCs/>
          <w:color w:val="000000"/>
          <w:szCs w:val="20"/>
          <w:lang w:eastAsia="bg-BG"/>
        </w:rPr>
      </w:pPr>
    </w:p>
    <w:p w14:paraId="30BC7DA1" w14:textId="09224A59"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Етнически произход:</w:t>
      </w:r>
    </w:p>
    <w:p w14:paraId="4A2C6520"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Въз основа на популационен фармакокинетичен анализ клирънсът при перорален прием </w:t>
      </w:r>
      <w:r w:rsidRPr="001E49D4">
        <w:rPr>
          <w:rFonts w:eastAsia="Times New Roman" w:cs="Arial"/>
          <w:color w:val="000000"/>
          <w:szCs w:val="20"/>
          <w:lang w:val="ru-RU"/>
        </w:rPr>
        <w:t>(</w:t>
      </w:r>
      <w:r w:rsidRPr="001E49D4">
        <w:rPr>
          <w:rFonts w:eastAsia="Times New Roman" w:cs="Arial"/>
          <w:color w:val="000000"/>
          <w:szCs w:val="20"/>
          <w:lang w:val="en-US"/>
        </w:rPr>
        <w:t>CL</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е средно с 20 % по-висок при трансплантирани афроамериканци. Виж точка 4.2.</w:t>
      </w:r>
    </w:p>
    <w:p w14:paraId="06A60309" w14:textId="77777777" w:rsidR="001E49D4" w:rsidRPr="001E49D4" w:rsidRDefault="001E49D4" w:rsidP="001E49D4">
      <w:pPr>
        <w:spacing w:line="240" w:lineRule="auto"/>
        <w:rPr>
          <w:rFonts w:eastAsia="Times New Roman" w:cs="Arial"/>
          <w:color w:val="000000"/>
          <w:szCs w:val="20"/>
          <w:u w:val="single"/>
          <w:lang w:eastAsia="bg-BG"/>
        </w:rPr>
      </w:pPr>
    </w:p>
    <w:p w14:paraId="24305C16" w14:textId="05682026"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u w:val="single"/>
          <w:lang w:eastAsia="bg-BG"/>
        </w:rPr>
        <w:t>Отношение експозиция-отговор:</w:t>
      </w:r>
    </w:p>
    <w:p w14:paraId="54AD8998" w14:textId="29CF30B6" w:rsidR="001E49D4" w:rsidRPr="001E49D4" w:rsidRDefault="001E49D4" w:rsidP="001E49D4">
      <w:pPr>
        <w:rPr>
          <w:rFonts w:eastAsia="Times New Roman" w:cs="Arial"/>
          <w:color w:val="000000"/>
          <w:szCs w:val="20"/>
          <w:lang w:eastAsia="bg-BG"/>
        </w:rPr>
      </w:pPr>
      <w:r w:rsidRPr="001E49D4">
        <w:rPr>
          <w:rFonts w:eastAsia="Times New Roman" w:cs="Arial"/>
          <w:color w:val="000000"/>
          <w:szCs w:val="20"/>
          <w:lang w:eastAsia="bg-BG"/>
        </w:rPr>
        <w:t>Средните най-ниски нива на еверолимус през първите 6 месеца след трансплантацията е била свързана с честотата на доказаното с биопсия остро отхвърляне на присадката и на тромбоцитопенията при пациентите с бъбречна или сърдечна трансплантация (вж. Таблица 21). При пациенти с чернодробна трансплантация, зависимостта между най-ниските нива на еверолимус и доказаното с биопсия остро отхвърляне на присадката е по-слабо дефинирана. Не е налюдавана корелация между по-високата експозиция на еверолимус и нежелани събития, като тромбоцитопения (вж. Таблица 21).</w:t>
      </w:r>
    </w:p>
    <w:p w14:paraId="0C8C71B0" w14:textId="02F22FED" w:rsidR="001E49D4" w:rsidRPr="001E49D4" w:rsidRDefault="001E49D4" w:rsidP="001E49D4">
      <w:pPr>
        <w:rPr>
          <w:rFonts w:eastAsia="Times New Roman" w:cs="Arial"/>
          <w:color w:val="000000"/>
          <w:szCs w:val="20"/>
          <w:lang w:eastAsia="bg-BG"/>
        </w:rPr>
      </w:pPr>
    </w:p>
    <w:p w14:paraId="20255969" w14:textId="33CDEF8E" w:rsidR="001E49D4" w:rsidRDefault="001E49D4" w:rsidP="001E49D4">
      <w:pPr>
        <w:rPr>
          <w:rFonts w:cs="Arial"/>
          <w:b/>
          <w:bCs/>
          <w:szCs w:val="20"/>
        </w:rPr>
      </w:pPr>
      <w:r w:rsidRPr="001E49D4">
        <w:rPr>
          <w:rFonts w:cs="Arial"/>
          <w:b/>
          <w:bCs/>
          <w:szCs w:val="20"/>
        </w:rPr>
        <w:t>Таблица 21 Отношение експозиция-отговор за еверолимус при трансплантиранн пациенти</w:t>
      </w:r>
    </w:p>
    <w:tbl>
      <w:tblPr>
        <w:tblStyle w:val="TableGrid"/>
        <w:tblW w:w="0" w:type="auto"/>
        <w:tblLook w:val="04A0" w:firstRow="1" w:lastRow="0" w:firstColumn="1" w:lastColumn="0" w:noHBand="0" w:noVBand="1"/>
      </w:tblPr>
      <w:tblGrid>
        <w:gridCol w:w="2360"/>
        <w:gridCol w:w="1779"/>
        <w:gridCol w:w="1242"/>
        <w:gridCol w:w="1056"/>
        <w:gridCol w:w="187"/>
        <w:gridCol w:w="1267"/>
        <w:gridCol w:w="1459"/>
      </w:tblGrid>
      <w:tr w:rsidR="001E49D4" w14:paraId="4214193A" w14:textId="77777777" w:rsidTr="00F9716B">
        <w:tc>
          <w:tcPr>
            <w:tcW w:w="9576" w:type="dxa"/>
            <w:gridSpan w:val="7"/>
          </w:tcPr>
          <w:p w14:paraId="597D96EE" w14:textId="6823C079" w:rsidR="001E49D4" w:rsidRPr="001E49D4" w:rsidRDefault="001E49D4" w:rsidP="001E49D4">
            <w:pPr>
              <w:jc w:val="center"/>
              <w:rPr>
                <w:rFonts w:cs="Arial"/>
              </w:rPr>
            </w:pPr>
            <w:r w:rsidRPr="001E49D4">
              <w:rPr>
                <w:rFonts w:eastAsia="Times New Roman" w:cs="Arial"/>
                <w:b/>
                <w:bCs/>
                <w:color w:val="000000"/>
                <w:lang w:eastAsia="bg-BG"/>
              </w:rPr>
              <w:t>Бъбречна трансплантация</w:t>
            </w:r>
          </w:p>
        </w:tc>
      </w:tr>
      <w:tr w:rsidR="001E49D4" w14:paraId="2686D332" w14:textId="77777777" w:rsidTr="001E49D4">
        <w:tc>
          <w:tcPr>
            <w:tcW w:w="2376" w:type="dxa"/>
          </w:tcPr>
          <w:p w14:paraId="1818AE13" w14:textId="2F3AC9ED" w:rsidR="001E49D4" w:rsidRPr="001E49D4" w:rsidRDefault="001E49D4" w:rsidP="001E49D4">
            <w:pPr>
              <w:rPr>
                <w:rFonts w:cs="Arial"/>
              </w:rPr>
            </w:pPr>
            <w:r w:rsidRPr="001E49D4">
              <w:rPr>
                <w:rFonts w:cs="Arial"/>
              </w:rPr>
              <w:t xml:space="preserve">Най-ниска концентрация </w:t>
            </w:r>
            <w:r w:rsidRPr="001E49D4">
              <w:rPr>
                <w:rFonts w:cs="Arial"/>
                <w:lang w:val="ru-RU"/>
              </w:rPr>
              <w:t>(</w:t>
            </w:r>
            <w:r w:rsidRPr="001E49D4">
              <w:rPr>
                <w:rFonts w:cs="Arial"/>
                <w:lang w:val="en-US"/>
              </w:rPr>
              <w:t>ng</w:t>
            </w:r>
            <w:r w:rsidRPr="001E49D4">
              <w:rPr>
                <w:rFonts w:cs="Arial"/>
                <w:lang w:val="ru-RU"/>
              </w:rPr>
              <w:t>/</w:t>
            </w:r>
            <w:r w:rsidRPr="001E49D4">
              <w:rPr>
                <w:rFonts w:cs="Arial"/>
                <w:lang w:val="en-US"/>
              </w:rPr>
              <w:t>ml</w:t>
            </w:r>
            <w:r w:rsidRPr="001E49D4">
              <w:rPr>
                <w:rFonts w:cs="Arial"/>
                <w:lang w:val="ru-RU"/>
              </w:rPr>
              <w:t>)</w:t>
            </w:r>
          </w:p>
        </w:tc>
        <w:tc>
          <w:tcPr>
            <w:tcW w:w="1843" w:type="dxa"/>
          </w:tcPr>
          <w:p w14:paraId="05DAC6E1" w14:textId="7D614723" w:rsidR="001E49D4" w:rsidRPr="001E49D4" w:rsidRDefault="001E49D4" w:rsidP="001E49D4">
            <w:pPr>
              <w:rPr>
                <w:rFonts w:cs="Arial"/>
              </w:rPr>
            </w:pPr>
            <w:r w:rsidRPr="001E49D4">
              <w:rPr>
                <w:rFonts w:cs="Arial"/>
              </w:rPr>
              <w:t>&lt;3,4</w:t>
            </w:r>
          </w:p>
        </w:tc>
        <w:tc>
          <w:tcPr>
            <w:tcW w:w="1276" w:type="dxa"/>
          </w:tcPr>
          <w:p w14:paraId="350C4D27" w14:textId="17F2F2D8" w:rsidR="001E49D4" w:rsidRPr="001E49D4" w:rsidRDefault="001E49D4" w:rsidP="001E49D4">
            <w:pPr>
              <w:rPr>
                <w:rFonts w:cs="Arial"/>
              </w:rPr>
            </w:pPr>
            <w:r w:rsidRPr="001E49D4">
              <w:rPr>
                <w:rFonts w:cs="Arial"/>
              </w:rPr>
              <w:t>3,5-4,5</w:t>
            </w:r>
          </w:p>
        </w:tc>
        <w:tc>
          <w:tcPr>
            <w:tcW w:w="1276" w:type="dxa"/>
            <w:gridSpan w:val="2"/>
          </w:tcPr>
          <w:p w14:paraId="33F8997A" w14:textId="5E5AF5F3" w:rsidR="001E49D4" w:rsidRPr="001E49D4" w:rsidRDefault="001E49D4" w:rsidP="001E49D4">
            <w:pPr>
              <w:rPr>
                <w:rFonts w:cs="Arial"/>
              </w:rPr>
            </w:pPr>
            <w:r w:rsidRPr="001E49D4">
              <w:rPr>
                <w:rFonts w:cs="Arial"/>
              </w:rPr>
              <w:t>4,6 - 5,7</w:t>
            </w:r>
          </w:p>
        </w:tc>
        <w:tc>
          <w:tcPr>
            <w:tcW w:w="1303" w:type="dxa"/>
          </w:tcPr>
          <w:p w14:paraId="63249BA9" w14:textId="629A4EEE" w:rsidR="001E49D4" w:rsidRPr="001E49D4" w:rsidRDefault="001E49D4" w:rsidP="001E49D4">
            <w:pPr>
              <w:rPr>
                <w:rFonts w:cs="Arial"/>
              </w:rPr>
            </w:pPr>
            <w:r w:rsidRPr="001E49D4">
              <w:rPr>
                <w:rFonts w:cs="Arial"/>
              </w:rPr>
              <w:t>5,8-7,7</w:t>
            </w:r>
          </w:p>
        </w:tc>
        <w:tc>
          <w:tcPr>
            <w:tcW w:w="1502" w:type="dxa"/>
          </w:tcPr>
          <w:p w14:paraId="0E748108" w14:textId="54D2F0A1" w:rsidR="001E49D4" w:rsidRPr="001E49D4" w:rsidRDefault="001E49D4" w:rsidP="001E49D4">
            <w:pPr>
              <w:rPr>
                <w:rFonts w:cs="Arial"/>
              </w:rPr>
            </w:pPr>
            <w:r w:rsidRPr="001E49D4">
              <w:rPr>
                <w:rFonts w:cs="Arial"/>
              </w:rPr>
              <w:t>7,8-15,0</w:t>
            </w:r>
          </w:p>
        </w:tc>
      </w:tr>
      <w:tr w:rsidR="001E49D4" w14:paraId="5A34F938" w14:textId="77777777" w:rsidTr="001E49D4">
        <w:tc>
          <w:tcPr>
            <w:tcW w:w="2376" w:type="dxa"/>
          </w:tcPr>
          <w:p w14:paraId="1D60DCFD" w14:textId="3B66271B" w:rsidR="001E49D4" w:rsidRPr="001E49D4" w:rsidRDefault="001E49D4" w:rsidP="001E49D4">
            <w:pPr>
              <w:rPr>
                <w:rFonts w:cs="Arial"/>
              </w:rPr>
            </w:pPr>
            <w:r w:rsidRPr="001E49D4">
              <w:rPr>
                <w:rFonts w:cs="Arial"/>
              </w:rPr>
              <w:t>Без отхвърляне</w:t>
            </w:r>
          </w:p>
        </w:tc>
        <w:tc>
          <w:tcPr>
            <w:tcW w:w="1843" w:type="dxa"/>
          </w:tcPr>
          <w:p w14:paraId="280A95C0" w14:textId="58F70FBF" w:rsidR="001E49D4" w:rsidRPr="001E49D4" w:rsidRDefault="001E49D4" w:rsidP="001E49D4">
            <w:pPr>
              <w:rPr>
                <w:rFonts w:cs="Arial"/>
              </w:rPr>
            </w:pPr>
            <w:r w:rsidRPr="001E49D4">
              <w:rPr>
                <w:rFonts w:cs="Arial"/>
              </w:rPr>
              <w:t>68%</w:t>
            </w:r>
          </w:p>
        </w:tc>
        <w:tc>
          <w:tcPr>
            <w:tcW w:w="1276" w:type="dxa"/>
          </w:tcPr>
          <w:p w14:paraId="391FB74C" w14:textId="19240388" w:rsidR="001E49D4" w:rsidRPr="001E49D4" w:rsidRDefault="001E49D4" w:rsidP="001E49D4">
            <w:pPr>
              <w:rPr>
                <w:rFonts w:cs="Arial"/>
              </w:rPr>
            </w:pPr>
            <w:r w:rsidRPr="001E49D4">
              <w:rPr>
                <w:rFonts w:cs="Arial"/>
              </w:rPr>
              <w:t>81%</w:t>
            </w:r>
          </w:p>
        </w:tc>
        <w:tc>
          <w:tcPr>
            <w:tcW w:w="1079" w:type="dxa"/>
          </w:tcPr>
          <w:p w14:paraId="10C7C291" w14:textId="15A83686" w:rsidR="001E49D4" w:rsidRPr="001E49D4" w:rsidRDefault="001E49D4" w:rsidP="001E49D4">
            <w:pPr>
              <w:rPr>
                <w:rFonts w:cs="Arial"/>
              </w:rPr>
            </w:pPr>
            <w:r w:rsidRPr="001E49D4">
              <w:rPr>
                <w:rFonts w:cs="Arial"/>
              </w:rPr>
              <w:t>86%</w:t>
            </w:r>
          </w:p>
        </w:tc>
        <w:tc>
          <w:tcPr>
            <w:tcW w:w="1500" w:type="dxa"/>
            <w:gridSpan w:val="2"/>
          </w:tcPr>
          <w:p w14:paraId="5A7FF3FD" w14:textId="71407C68" w:rsidR="001E49D4" w:rsidRPr="001E49D4" w:rsidRDefault="001E49D4" w:rsidP="001E49D4">
            <w:pPr>
              <w:rPr>
                <w:rFonts w:cs="Arial"/>
              </w:rPr>
            </w:pPr>
            <w:r w:rsidRPr="001E49D4">
              <w:rPr>
                <w:rFonts w:cs="Arial"/>
              </w:rPr>
              <w:t>81%</w:t>
            </w:r>
          </w:p>
        </w:tc>
        <w:tc>
          <w:tcPr>
            <w:tcW w:w="1502" w:type="dxa"/>
          </w:tcPr>
          <w:p w14:paraId="79C01D67" w14:textId="51F197CB" w:rsidR="001E49D4" w:rsidRPr="001E49D4" w:rsidRDefault="001E49D4" w:rsidP="001E49D4">
            <w:pPr>
              <w:rPr>
                <w:rFonts w:cs="Arial"/>
              </w:rPr>
            </w:pPr>
            <w:r w:rsidRPr="001E49D4">
              <w:rPr>
                <w:rFonts w:cs="Arial"/>
              </w:rPr>
              <w:t>91%</w:t>
            </w:r>
          </w:p>
        </w:tc>
      </w:tr>
      <w:tr w:rsidR="001E49D4" w14:paraId="3313CB24" w14:textId="77777777" w:rsidTr="001E49D4">
        <w:tc>
          <w:tcPr>
            <w:tcW w:w="2376" w:type="dxa"/>
          </w:tcPr>
          <w:p w14:paraId="3D49BC79" w14:textId="3C5923E2" w:rsidR="001E49D4" w:rsidRPr="001E49D4" w:rsidRDefault="001E49D4" w:rsidP="001E49D4">
            <w:pPr>
              <w:rPr>
                <w:rFonts w:cs="Arial"/>
              </w:rPr>
            </w:pPr>
            <w:r w:rsidRPr="001E49D4">
              <w:rPr>
                <w:rFonts w:cs="Arial"/>
              </w:rPr>
              <w:t>Тромбоцитопения (&lt;100 х 10</w:t>
            </w:r>
            <w:r w:rsidRPr="001E49D4">
              <w:rPr>
                <w:rFonts w:cs="Arial"/>
                <w:vertAlign w:val="superscript"/>
              </w:rPr>
              <w:t>9</w:t>
            </w:r>
            <w:r w:rsidRPr="001E49D4">
              <w:rPr>
                <w:rFonts w:cs="Arial"/>
              </w:rPr>
              <w:t>/1)</w:t>
            </w:r>
          </w:p>
        </w:tc>
        <w:tc>
          <w:tcPr>
            <w:tcW w:w="1843" w:type="dxa"/>
          </w:tcPr>
          <w:p w14:paraId="50D053B5" w14:textId="42C26679" w:rsidR="001E49D4" w:rsidRPr="001E49D4" w:rsidRDefault="001E49D4" w:rsidP="001E49D4">
            <w:pPr>
              <w:rPr>
                <w:rFonts w:cs="Arial"/>
              </w:rPr>
            </w:pPr>
            <w:r w:rsidRPr="001E49D4">
              <w:rPr>
                <w:rFonts w:cs="Arial"/>
              </w:rPr>
              <w:t>10%</w:t>
            </w:r>
          </w:p>
        </w:tc>
        <w:tc>
          <w:tcPr>
            <w:tcW w:w="1276" w:type="dxa"/>
          </w:tcPr>
          <w:p w14:paraId="63283A37" w14:textId="36E213D6" w:rsidR="001E49D4" w:rsidRPr="001E49D4" w:rsidRDefault="001E49D4" w:rsidP="001E49D4">
            <w:pPr>
              <w:rPr>
                <w:rFonts w:cs="Arial"/>
              </w:rPr>
            </w:pPr>
            <w:r w:rsidRPr="001E49D4">
              <w:rPr>
                <w:rFonts w:cs="Arial"/>
              </w:rPr>
              <w:t>9%</w:t>
            </w:r>
          </w:p>
        </w:tc>
        <w:tc>
          <w:tcPr>
            <w:tcW w:w="1079" w:type="dxa"/>
          </w:tcPr>
          <w:p w14:paraId="194E4CAA" w14:textId="1A1FD774" w:rsidR="001E49D4" w:rsidRPr="001E49D4" w:rsidRDefault="001E49D4" w:rsidP="001E49D4">
            <w:pPr>
              <w:rPr>
                <w:rFonts w:cs="Arial"/>
              </w:rPr>
            </w:pPr>
            <w:r w:rsidRPr="001E49D4">
              <w:rPr>
                <w:rFonts w:cs="Arial"/>
              </w:rPr>
              <w:t>7%</w:t>
            </w:r>
          </w:p>
        </w:tc>
        <w:tc>
          <w:tcPr>
            <w:tcW w:w="1500" w:type="dxa"/>
            <w:gridSpan w:val="2"/>
          </w:tcPr>
          <w:p w14:paraId="6BDFD2D2" w14:textId="52994765" w:rsidR="001E49D4" w:rsidRPr="001E49D4" w:rsidRDefault="001E49D4" w:rsidP="001E49D4">
            <w:pPr>
              <w:rPr>
                <w:rFonts w:cs="Arial"/>
              </w:rPr>
            </w:pPr>
            <w:r w:rsidRPr="001E49D4">
              <w:rPr>
                <w:rFonts w:cs="Arial"/>
              </w:rPr>
              <w:t>14%</w:t>
            </w:r>
          </w:p>
        </w:tc>
        <w:tc>
          <w:tcPr>
            <w:tcW w:w="1502" w:type="dxa"/>
          </w:tcPr>
          <w:p w14:paraId="04A7C3EB" w14:textId="5D54C7C1" w:rsidR="001E49D4" w:rsidRPr="001E49D4" w:rsidRDefault="001E49D4" w:rsidP="001E49D4">
            <w:pPr>
              <w:rPr>
                <w:rFonts w:cs="Arial"/>
              </w:rPr>
            </w:pPr>
            <w:r w:rsidRPr="001E49D4">
              <w:rPr>
                <w:rFonts w:cs="Arial"/>
              </w:rPr>
              <w:t>17%</w:t>
            </w:r>
          </w:p>
        </w:tc>
      </w:tr>
      <w:tr w:rsidR="001E49D4" w14:paraId="2C7E8D6A" w14:textId="77777777" w:rsidTr="002909FE">
        <w:tc>
          <w:tcPr>
            <w:tcW w:w="9576" w:type="dxa"/>
            <w:gridSpan w:val="7"/>
          </w:tcPr>
          <w:p w14:paraId="760B59BD" w14:textId="126CE082" w:rsidR="001E49D4" w:rsidRPr="001E49D4" w:rsidRDefault="001E49D4" w:rsidP="001E49D4">
            <w:pPr>
              <w:jc w:val="center"/>
              <w:rPr>
                <w:rFonts w:cs="Arial"/>
              </w:rPr>
            </w:pPr>
            <w:r w:rsidRPr="001E49D4">
              <w:rPr>
                <w:rFonts w:eastAsia="Times New Roman" w:cs="Arial"/>
                <w:b/>
                <w:bCs/>
                <w:color w:val="000000"/>
                <w:lang w:eastAsia="bg-BG"/>
              </w:rPr>
              <w:t>Сърдечна трансплантацня</w:t>
            </w:r>
          </w:p>
        </w:tc>
      </w:tr>
      <w:tr w:rsidR="001E49D4" w14:paraId="5F3013EF" w14:textId="77777777" w:rsidTr="001E49D4">
        <w:tc>
          <w:tcPr>
            <w:tcW w:w="2376" w:type="dxa"/>
          </w:tcPr>
          <w:p w14:paraId="0E03E8C3" w14:textId="5D644FF5" w:rsidR="001E49D4" w:rsidRPr="001E49D4" w:rsidRDefault="001E49D4" w:rsidP="001E49D4">
            <w:pPr>
              <w:rPr>
                <w:rFonts w:cs="Arial"/>
              </w:rPr>
            </w:pPr>
            <w:r w:rsidRPr="001E49D4">
              <w:rPr>
                <w:rFonts w:cs="Arial"/>
              </w:rPr>
              <w:t xml:space="preserve">Най-ниска концентрация </w:t>
            </w:r>
            <w:r w:rsidRPr="001E49D4">
              <w:rPr>
                <w:rFonts w:cs="Arial"/>
                <w:lang w:val="ru-RU"/>
              </w:rPr>
              <w:t>(</w:t>
            </w:r>
            <w:r w:rsidRPr="001E49D4">
              <w:rPr>
                <w:rFonts w:cs="Arial"/>
                <w:lang w:val="en-US"/>
              </w:rPr>
              <w:t>ng</w:t>
            </w:r>
            <w:r w:rsidRPr="001E49D4">
              <w:rPr>
                <w:rFonts w:cs="Arial"/>
                <w:lang w:val="ru-RU"/>
              </w:rPr>
              <w:t>/</w:t>
            </w:r>
            <w:r w:rsidRPr="001E49D4">
              <w:rPr>
                <w:rFonts w:cs="Arial"/>
                <w:lang w:val="en-US"/>
              </w:rPr>
              <w:t>ml</w:t>
            </w:r>
            <w:r w:rsidRPr="001E49D4">
              <w:rPr>
                <w:rFonts w:cs="Arial"/>
                <w:lang w:val="ru-RU"/>
              </w:rPr>
              <w:t>)</w:t>
            </w:r>
          </w:p>
        </w:tc>
        <w:tc>
          <w:tcPr>
            <w:tcW w:w="1843" w:type="dxa"/>
          </w:tcPr>
          <w:p w14:paraId="47053EBB" w14:textId="6C5C49E9" w:rsidR="001E49D4" w:rsidRPr="001E49D4" w:rsidRDefault="001E49D4" w:rsidP="001E49D4">
            <w:pPr>
              <w:rPr>
                <w:rFonts w:cs="Arial"/>
              </w:rPr>
            </w:pPr>
            <w:r w:rsidRPr="001E49D4">
              <w:rPr>
                <w:rFonts w:cs="Arial"/>
              </w:rPr>
              <w:t>&lt;3,5</w:t>
            </w:r>
          </w:p>
        </w:tc>
        <w:tc>
          <w:tcPr>
            <w:tcW w:w="1276" w:type="dxa"/>
          </w:tcPr>
          <w:p w14:paraId="2F44671F" w14:textId="2B8C5CAB" w:rsidR="001E49D4" w:rsidRPr="001E49D4" w:rsidRDefault="001E49D4" w:rsidP="001E49D4">
            <w:pPr>
              <w:rPr>
                <w:rFonts w:cs="Arial"/>
              </w:rPr>
            </w:pPr>
            <w:r w:rsidRPr="001E49D4">
              <w:rPr>
                <w:rFonts w:cs="Arial"/>
              </w:rPr>
              <w:t>3,6-5,3</w:t>
            </w:r>
          </w:p>
        </w:tc>
        <w:tc>
          <w:tcPr>
            <w:tcW w:w="1079" w:type="dxa"/>
          </w:tcPr>
          <w:p w14:paraId="6E34EC45" w14:textId="42CBCAB0" w:rsidR="001E49D4" w:rsidRPr="001E49D4" w:rsidRDefault="001E49D4" w:rsidP="001E49D4">
            <w:pPr>
              <w:rPr>
                <w:rFonts w:cs="Arial"/>
              </w:rPr>
            </w:pPr>
            <w:r w:rsidRPr="001E49D4">
              <w:rPr>
                <w:rFonts w:cs="Arial"/>
              </w:rPr>
              <w:t>5,4 - 7,3</w:t>
            </w:r>
          </w:p>
        </w:tc>
        <w:tc>
          <w:tcPr>
            <w:tcW w:w="1500" w:type="dxa"/>
            <w:gridSpan w:val="2"/>
          </w:tcPr>
          <w:p w14:paraId="7F59155D" w14:textId="1F2B8F1E" w:rsidR="001E49D4" w:rsidRPr="001E49D4" w:rsidRDefault="001E49D4" w:rsidP="001E49D4">
            <w:pPr>
              <w:rPr>
                <w:rFonts w:cs="Arial"/>
              </w:rPr>
            </w:pPr>
            <w:r w:rsidRPr="001E49D4">
              <w:rPr>
                <w:rFonts w:cs="Arial"/>
              </w:rPr>
              <w:t>7,4-10,2</w:t>
            </w:r>
          </w:p>
        </w:tc>
        <w:tc>
          <w:tcPr>
            <w:tcW w:w="1502" w:type="dxa"/>
          </w:tcPr>
          <w:p w14:paraId="17958C32" w14:textId="651E28D2" w:rsidR="001E49D4" w:rsidRPr="001E49D4" w:rsidRDefault="001E49D4" w:rsidP="001E49D4">
            <w:pPr>
              <w:rPr>
                <w:rFonts w:cs="Arial"/>
              </w:rPr>
            </w:pPr>
            <w:r w:rsidRPr="001E49D4">
              <w:rPr>
                <w:rFonts w:cs="Arial"/>
              </w:rPr>
              <w:t>10,3-21,8</w:t>
            </w:r>
          </w:p>
        </w:tc>
      </w:tr>
      <w:tr w:rsidR="001E49D4" w14:paraId="343BA57A" w14:textId="77777777" w:rsidTr="001E49D4">
        <w:tc>
          <w:tcPr>
            <w:tcW w:w="2376" w:type="dxa"/>
          </w:tcPr>
          <w:p w14:paraId="52799363" w14:textId="5110DF99" w:rsidR="001E49D4" w:rsidRPr="001E49D4" w:rsidRDefault="001E49D4" w:rsidP="001E49D4">
            <w:pPr>
              <w:rPr>
                <w:rFonts w:cs="Arial"/>
              </w:rPr>
            </w:pPr>
            <w:r w:rsidRPr="001E49D4">
              <w:rPr>
                <w:rFonts w:cs="Arial"/>
              </w:rPr>
              <w:t>Без отхвърляне</w:t>
            </w:r>
          </w:p>
        </w:tc>
        <w:tc>
          <w:tcPr>
            <w:tcW w:w="1843" w:type="dxa"/>
          </w:tcPr>
          <w:p w14:paraId="1D181575" w14:textId="0F5ECC39" w:rsidR="001E49D4" w:rsidRPr="001E49D4" w:rsidRDefault="001E49D4" w:rsidP="001E49D4">
            <w:pPr>
              <w:rPr>
                <w:rFonts w:cs="Arial"/>
              </w:rPr>
            </w:pPr>
            <w:r w:rsidRPr="001E49D4">
              <w:rPr>
                <w:rFonts w:cs="Arial"/>
              </w:rPr>
              <w:t>65%</w:t>
            </w:r>
          </w:p>
        </w:tc>
        <w:tc>
          <w:tcPr>
            <w:tcW w:w="1276" w:type="dxa"/>
          </w:tcPr>
          <w:p w14:paraId="3FFBF0D6" w14:textId="42CD5FCD" w:rsidR="001E49D4" w:rsidRPr="001E49D4" w:rsidRDefault="001E49D4" w:rsidP="001E49D4">
            <w:pPr>
              <w:rPr>
                <w:rFonts w:cs="Arial"/>
              </w:rPr>
            </w:pPr>
            <w:r w:rsidRPr="001E49D4">
              <w:rPr>
                <w:rFonts w:cs="Arial"/>
              </w:rPr>
              <w:t>69%</w:t>
            </w:r>
          </w:p>
        </w:tc>
        <w:tc>
          <w:tcPr>
            <w:tcW w:w="1079" w:type="dxa"/>
          </w:tcPr>
          <w:p w14:paraId="3F531896" w14:textId="5BE1250C" w:rsidR="001E49D4" w:rsidRPr="001E49D4" w:rsidRDefault="001E49D4" w:rsidP="001E49D4">
            <w:pPr>
              <w:rPr>
                <w:rFonts w:cs="Arial"/>
              </w:rPr>
            </w:pPr>
            <w:r w:rsidRPr="001E49D4">
              <w:rPr>
                <w:rFonts w:cs="Arial"/>
              </w:rPr>
              <w:t>80%</w:t>
            </w:r>
          </w:p>
        </w:tc>
        <w:tc>
          <w:tcPr>
            <w:tcW w:w="1500" w:type="dxa"/>
            <w:gridSpan w:val="2"/>
          </w:tcPr>
          <w:p w14:paraId="71E2F9F9" w14:textId="67571493" w:rsidR="001E49D4" w:rsidRPr="001E49D4" w:rsidRDefault="001E49D4" w:rsidP="001E49D4">
            <w:pPr>
              <w:rPr>
                <w:rFonts w:cs="Arial"/>
              </w:rPr>
            </w:pPr>
            <w:r w:rsidRPr="001E49D4">
              <w:rPr>
                <w:rFonts w:cs="Arial"/>
              </w:rPr>
              <w:t>85%</w:t>
            </w:r>
          </w:p>
        </w:tc>
        <w:tc>
          <w:tcPr>
            <w:tcW w:w="1502" w:type="dxa"/>
          </w:tcPr>
          <w:p w14:paraId="2B9CAA3D" w14:textId="12BD35BB" w:rsidR="001E49D4" w:rsidRPr="001E49D4" w:rsidRDefault="001E49D4" w:rsidP="001E49D4">
            <w:pPr>
              <w:rPr>
                <w:rFonts w:cs="Arial"/>
              </w:rPr>
            </w:pPr>
            <w:r w:rsidRPr="001E49D4">
              <w:rPr>
                <w:rFonts w:cs="Arial"/>
              </w:rPr>
              <w:t>85%</w:t>
            </w:r>
          </w:p>
        </w:tc>
      </w:tr>
      <w:tr w:rsidR="001E49D4" w14:paraId="4E0AA5FF" w14:textId="77777777" w:rsidTr="001E49D4">
        <w:tc>
          <w:tcPr>
            <w:tcW w:w="2376" w:type="dxa"/>
          </w:tcPr>
          <w:p w14:paraId="6F47FF73" w14:textId="7FC2F0BD" w:rsidR="001E49D4" w:rsidRPr="001E49D4" w:rsidRDefault="001E49D4" w:rsidP="001E49D4">
            <w:pPr>
              <w:rPr>
                <w:rFonts w:cs="Arial"/>
              </w:rPr>
            </w:pPr>
            <w:r w:rsidRPr="001E49D4">
              <w:rPr>
                <w:rFonts w:cs="Arial"/>
              </w:rPr>
              <w:t>Тромбоцитопения (&lt;75 х 10</w:t>
            </w:r>
            <w:r w:rsidRPr="001E49D4">
              <w:rPr>
                <w:rFonts w:cs="Arial"/>
                <w:vertAlign w:val="superscript"/>
              </w:rPr>
              <w:t>9</w:t>
            </w:r>
            <w:r w:rsidRPr="001E49D4">
              <w:rPr>
                <w:rFonts w:cs="Arial"/>
              </w:rPr>
              <w:t>/1)</w:t>
            </w:r>
          </w:p>
        </w:tc>
        <w:tc>
          <w:tcPr>
            <w:tcW w:w="1843" w:type="dxa"/>
          </w:tcPr>
          <w:p w14:paraId="381FDF94" w14:textId="749A907F" w:rsidR="001E49D4" w:rsidRPr="001E49D4" w:rsidRDefault="001E49D4" w:rsidP="001E49D4">
            <w:pPr>
              <w:rPr>
                <w:rFonts w:cs="Arial"/>
              </w:rPr>
            </w:pPr>
            <w:r w:rsidRPr="001E49D4">
              <w:rPr>
                <w:rFonts w:cs="Arial"/>
              </w:rPr>
              <w:t>5%</w:t>
            </w:r>
          </w:p>
        </w:tc>
        <w:tc>
          <w:tcPr>
            <w:tcW w:w="1276" w:type="dxa"/>
          </w:tcPr>
          <w:p w14:paraId="39D113E5" w14:textId="68A6527E" w:rsidR="001E49D4" w:rsidRPr="001E49D4" w:rsidRDefault="001E49D4" w:rsidP="001E49D4">
            <w:pPr>
              <w:rPr>
                <w:rFonts w:cs="Arial"/>
              </w:rPr>
            </w:pPr>
            <w:r w:rsidRPr="001E49D4">
              <w:rPr>
                <w:rFonts w:cs="Arial"/>
              </w:rPr>
              <w:t>5%</w:t>
            </w:r>
          </w:p>
        </w:tc>
        <w:tc>
          <w:tcPr>
            <w:tcW w:w="1079" w:type="dxa"/>
          </w:tcPr>
          <w:p w14:paraId="24F51DF2" w14:textId="4FB79D70" w:rsidR="001E49D4" w:rsidRPr="001E49D4" w:rsidRDefault="001E49D4" w:rsidP="001E49D4">
            <w:pPr>
              <w:rPr>
                <w:rFonts w:cs="Arial"/>
              </w:rPr>
            </w:pPr>
            <w:r w:rsidRPr="001E49D4">
              <w:rPr>
                <w:rFonts w:cs="Arial"/>
              </w:rPr>
              <w:t>6%</w:t>
            </w:r>
          </w:p>
        </w:tc>
        <w:tc>
          <w:tcPr>
            <w:tcW w:w="1500" w:type="dxa"/>
            <w:gridSpan w:val="2"/>
          </w:tcPr>
          <w:p w14:paraId="6A8A9A03" w14:textId="521FC095" w:rsidR="001E49D4" w:rsidRPr="001E49D4" w:rsidRDefault="001E49D4" w:rsidP="001E49D4">
            <w:pPr>
              <w:rPr>
                <w:rFonts w:cs="Arial"/>
              </w:rPr>
            </w:pPr>
            <w:r w:rsidRPr="001E49D4">
              <w:rPr>
                <w:rFonts w:cs="Arial"/>
              </w:rPr>
              <w:t>8%</w:t>
            </w:r>
          </w:p>
        </w:tc>
        <w:tc>
          <w:tcPr>
            <w:tcW w:w="1502" w:type="dxa"/>
          </w:tcPr>
          <w:p w14:paraId="624361C5" w14:textId="272BE760" w:rsidR="001E49D4" w:rsidRPr="001E49D4" w:rsidRDefault="001E49D4" w:rsidP="001E49D4">
            <w:pPr>
              <w:rPr>
                <w:rFonts w:cs="Arial"/>
              </w:rPr>
            </w:pPr>
            <w:r w:rsidRPr="001E49D4">
              <w:rPr>
                <w:rFonts w:cs="Arial"/>
              </w:rPr>
              <w:t>9%</w:t>
            </w:r>
          </w:p>
        </w:tc>
      </w:tr>
      <w:tr w:rsidR="001E49D4" w14:paraId="6AEF4FD5" w14:textId="77777777" w:rsidTr="00165B44">
        <w:tc>
          <w:tcPr>
            <w:tcW w:w="9576" w:type="dxa"/>
            <w:gridSpan w:val="7"/>
          </w:tcPr>
          <w:p w14:paraId="1658E253" w14:textId="024CB895" w:rsidR="001E49D4" w:rsidRPr="001E49D4" w:rsidRDefault="001E49D4" w:rsidP="001E49D4">
            <w:pPr>
              <w:jc w:val="center"/>
              <w:rPr>
                <w:rFonts w:cs="Arial"/>
              </w:rPr>
            </w:pPr>
            <w:r w:rsidRPr="001E49D4">
              <w:rPr>
                <w:rFonts w:cs="Arial"/>
                <w:b/>
                <w:bCs/>
              </w:rPr>
              <w:t>Че</w:t>
            </w:r>
            <w:r w:rsidRPr="001E49D4">
              <w:rPr>
                <w:rFonts w:cs="Arial"/>
                <w:b/>
                <w:bCs/>
              </w:rPr>
              <w:t>рнодробна трансплантацня</w:t>
            </w:r>
          </w:p>
        </w:tc>
      </w:tr>
      <w:tr w:rsidR="001E49D4" w14:paraId="1BFD295B" w14:textId="77777777" w:rsidTr="001E49D4">
        <w:tc>
          <w:tcPr>
            <w:tcW w:w="2376" w:type="dxa"/>
          </w:tcPr>
          <w:p w14:paraId="79D69BBB" w14:textId="558C9A42" w:rsidR="001E49D4" w:rsidRPr="001E49D4" w:rsidRDefault="001E49D4" w:rsidP="001E49D4">
            <w:pPr>
              <w:rPr>
                <w:rFonts w:cs="Arial"/>
              </w:rPr>
            </w:pPr>
            <w:r w:rsidRPr="001E49D4">
              <w:rPr>
                <w:rFonts w:cs="Arial"/>
              </w:rPr>
              <w:t xml:space="preserve">Най-ниска концентрация (С0) </w:t>
            </w:r>
            <w:r w:rsidRPr="001E49D4">
              <w:rPr>
                <w:rFonts w:cs="Arial"/>
                <w:lang w:val="ru-RU"/>
              </w:rPr>
              <w:t>(</w:t>
            </w:r>
            <w:r w:rsidRPr="001E49D4">
              <w:rPr>
                <w:rFonts w:cs="Arial"/>
                <w:lang w:val="en-US"/>
              </w:rPr>
              <w:t>ng</w:t>
            </w:r>
            <w:r w:rsidRPr="001E49D4">
              <w:rPr>
                <w:rFonts w:cs="Arial"/>
                <w:lang w:val="ru-RU"/>
              </w:rPr>
              <w:t>/</w:t>
            </w:r>
            <w:r w:rsidRPr="001E49D4">
              <w:rPr>
                <w:rFonts w:cs="Arial"/>
                <w:lang w:val="en-US"/>
              </w:rPr>
              <w:t>ml</w:t>
            </w:r>
            <w:r w:rsidRPr="001E49D4">
              <w:rPr>
                <w:rFonts w:cs="Arial"/>
                <w:lang w:val="ru-RU"/>
              </w:rPr>
              <w:t>)</w:t>
            </w:r>
          </w:p>
        </w:tc>
        <w:tc>
          <w:tcPr>
            <w:tcW w:w="1843" w:type="dxa"/>
          </w:tcPr>
          <w:p w14:paraId="392150CA" w14:textId="0E06CC84" w:rsidR="001E49D4" w:rsidRPr="001E49D4" w:rsidRDefault="001E49D4" w:rsidP="001E49D4">
            <w:pPr>
              <w:rPr>
                <w:rFonts w:cs="Arial"/>
              </w:rPr>
            </w:pPr>
            <w:r w:rsidRPr="001E49D4">
              <w:rPr>
                <w:rFonts w:cs="Arial"/>
              </w:rPr>
              <w:t>&lt;3</w:t>
            </w:r>
          </w:p>
        </w:tc>
        <w:tc>
          <w:tcPr>
            <w:tcW w:w="3855" w:type="dxa"/>
            <w:gridSpan w:val="4"/>
          </w:tcPr>
          <w:p w14:paraId="7D2C7B69" w14:textId="35E0A511" w:rsidR="001E49D4" w:rsidRPr="001E49D4" w:rsidRDefault="001E49D4" w:rsidP="001E49D4">
            <w:pPr>
              <w:rPr>
                <w:rFonts w:cs="Arial"/>
              </w:rPr>
            </w:pPr>
            <w:r w:rsidRPr="001E49D4">
              <w:rPr>
                <w:rFonts w:cs="Arial"/>
              </w:rPr>
              <w:t>3-8</w:t>
            </w:r>
          </w:p>
        </w:tc>
        <w:tc>
          <w:tcPr>
            <w:tcW w:w="1502" w:type="dxa"/>
          </w:tcPr>
          <w:p w14:paraId="2E876A13" w14:textId="06295119" w:rsidR="001E49D4" w:rsidRPr="001E49D4" w:rsidRDefault="001E49D4" w:rsidP="001E49D4">
            <w:pPr>
              <w:rPr>
                <w:rFonts w:cs="Arial"/>
              </w:rPr>
            </w:pPr>
            <w:r w:rsidRPr="001E49D4">
              <w:rPr>
                <w:rFonts w:cs="Arial"/>
              </w:rPr>
              <w:t>≥8</w:t>
            </w:r>
          </w:p>
        </w:tc>
      </w:tr>
      <w:tr w:rsidR="001E49D4" w14:paraId="04AD76AF" w14:textId="77777777" w:rsidTr="001E49D4">
        <w:tc>
          <w:tcPr>
            <w:tcW w:w="2376" w:type="dxa"/>
          </w:tcPr>
          <w:p w14:paraId="5A28425A" w14:textId="7A18F057" w:rsidR="001E49D4" w:rsidRPr="001E49D4" w:rsidRDefault="001E49D4" w:rsidP="001E49D4">
            <w:pPr>
              <w:rPr>
                <w:rFonts w:cs="Arial"/>
              </w:rPr>
            </w:pPr>
            <w:r w:rsidRPr="001E49D4">
              <w:rPr>
                <w:rFonts w:cs="Arial"/>
              </w:rPr>
              <w:t>Липса на лекувано ДБОО</w:t>
            </w:r>
          </w:p>
        </w:tc>
        <w:tc>
          <w:tcPr>
            <w:tcW w:w="1843" w:type="dxa"/>
          </w:tcPr>
          <w:p w14:paraId="55865CAC" w14:textId="29C925A7" w:rsidR="001E49D4" w:rsidRPr="001E49D4" w:rsidRDefault="001E49D4" w:rsidP="001E49D4">
            <w:pPr>
              <w:rPr>
                <w:rFonts w:cs="Arial"/>
              </w:rPr>
            </w:pPr>
            <w:r w:rsidRPr="001E49D4">
              <w:rPr>
                <w:rFonts w:cs="Arial"/>
              </w:rPr>
              <w:t>88%</w:t>
            </w:r>
          </w:p>
        </w:tc>
        <w:tc>
          <w:tcPr>
            <w:tcW w:w="3855" w:type="dxa"/>
            <w:gridSpan w:val="4"/>
          </w:tcPr>
          <w:p w14:paraId="53ED9720" w14:textId="24B64ED0" w:rsidR="001E49D4" w:rsidRPr="001E49D4" w:rsidRDefault="001E49D4" w:rsidP="001E49D4">
            <w:pPr>
              <w:rPr>
                <w:rFonts w:cs="Arial"/>
              </w:rPr>
            </w:pPr>
            <w:r w:rsidRPr="001E49D4">
              <w:rPr>
                <w:rFonts w:cs="Arial"/>
              </w:rPr>
              <w:t>98%</w:t>
            </w:r>
          </w:p>
        </w:tc>
        <w:tc>
          <w:tcPr>
            <w:tcW w:w="1502" w:type="dxa"/>
          </w:tcPr>
          <w:p w14:paraId="5CCB7752" w14:textId="00FA3E8F" w:rsidR="001E49D4" w:rsidRPr="001E49D4" w:rsidRDefault="001E49D4" w:rsidP="001E49D4">
            <w:pPr>
              <w:rPr>
                <w:rFonts w:cs="Arial"/>
              </w:rPr>
            </w:pPr>
            <w:r w:rsidRPr="001E49D4">
              <w:rPr>
                <w:rFonts w:cs="Arial"/>
              </w:rPr>
              <w:t>92%</w:t>
            </w:r>
          </w:p>
        </w:tc>
      </w:tr>
      <w:tr w:rsidR="001E49D4" w14:paraId="74847413" w14:textId="77777777" w:rsidTr="001E49D4">
        <w:tc>
          <w:tcPr>
            <w:tcW w:w="2376" w:type="dxa"/>
          </w:tcPr>
          <w:p w14:paraId="0DAECEA6" w14:textId="1B3EA1E2" w:rsidR="001E49D4" w:rsidRPr="001E49D4" w:rsidRDefault="001E49D4" w:rsidP="001E49D4">
            <w:pPr>
              <w:rPr>
                <w:rFonts w:cs="Arial"/>
              </w:rPr>
            </w:pPr>
            <w:r w:rsidRPr="001E49D4">
              <w:rPr>
                <w:rFonts w:cs="Arial"/>
              </w:rPr>
              <w:t>Тромбоцитопения (≤75 х 10</w:t>
            </w:r>
            <w:r w:rsidRPr="001E49D4">
              <w:rPr>
                <w:rFonts w:cs="Arial"/>
                <w:vertAlign w:val="superscript"/>
              </w:rPr>
              <w:t>9</w:t>
            </w:r>
            <w:r w:rsidRPr="001E49D4">
              <w:rPr>
                <w:rFonts w:cs="Arial"/>
              </w:rPr>
              <w:t>/1)</w:t>
            </w:r>
          </w:p>
        </w:tc>
        <w:tc>
          <w:tcPr>
            <w:tcW w:w="1843" w:type="dxa"/>
          </w:tcPr>
          <w:p w14:paraId="063A7D31" w14:textId="4CD51BD7" w:rsidR="001E49D4" w:rsidRPr="001E49D4" w:rsidRDefault="001E49D4" w:rsidP="001E49D4">
            <w:pPr>
              <w:rPr>
                <w:rFonts w:cs="Arial"/>
              </w:rPr>
            </w:pPr>
            <w:r w:rsidRPr="001E49D4">
              <w:rPr>
                <w:rFonts w:cs="Arial"/>
              </w:rPr>
              <w:t>35%</w:t>
            </w:r>
          </w:p>
        </w:tc>
        <w:tc>
          <w:tcPr>
            <w:tcW w:w="3855" w:type="dxa"/>
            <w:gridSpan w:val="4"/>
          </w:tcPr>
          <w:p w14:paraId="7E02B105" w14:textId="2699EA0D" w:rsidR="001E49D4" w:rsidRPr="001E49D4" w:rsidRDefault="001E49D4" w:rsidP="001E49D4">
            <w:pPr>
              <w:rPr>
                <w:rFonts w:cs="Arial"/>
              </w:rPr>
            </w:pPr>
            <w:r w:rsidRPr="001E49D4">
              <w:rPr>
                <w:rFonts w:cs="Arial"/>
              </w:rPr>
              <w:t>13%</w:t>
            </w:r>
          </w:p>
        </w:tc>
        <w:tc>
          <w:tcPr>
            <w:tcW w:w="1502" w:type="dxa"/>
          </w:tcPr>
          <w:p w14:paraId="484E078C" w14:textId="79B4B5E8" w:rsidR="001E49D4" w:rsidRPr="001E49D4" w:rsidRDefault="001E49D4" w:rsidP="001E49D4">
            <w:pPr>
              <w:rPr>
                <w:rFonts w:cs="Arial"/>
              </w:rPr>
            </w:pPr>
            <w:r w:rsidRPr="001E49D4">
              <w:rPr>
                <w:rFonts w:cs="Arial"/>
              </w:rPr>
              <w:t>18%</w:t>
            </w:r>
          </w:p>
        </w:tc>
      </w:tr>
    </w:tbl>
    <w:p w14:paraId="46AFA394" w14:textId="5B233AA2" w:rsidR="001E49D4" w:rsidRPr="001E49D4" w:rsidRDefault="001E49D4" w:rsidP="001E49D4">
      <w:pPr>
        <w:rPr>
          <w:rFonts w:cs="Arial"/>
          <w:sz w:val="24"/>
        </w:rPr>
      </w:pPr>
    </w:p>
    <w:p w14:paraId="4FB791BE" w14:textId="718D38D5" w:rsidR="00B6672E" w:rsidRDefault="002C50EE" w:rsidP="00936AD0">
      <w:pPr>
        <w:pStyle w:val="Heading2"/>
      </w:pPr>
      <w:r>
        <w:t>5.3. Предклинични данни за безопасност</w:t>
      </w:r>
    </w:p>
    <w:p w14:paraId="51CA375E" w14:textId="55BAF1E1" w:rsidR="001E49D4" w:rsidRDefault="001E49D4" w:rsidP="001E49D4"/>
    <w:p w14:paraId="194DB126"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Предклиничният профил на безопасност на еверолимус е оценяван при мишки, плъхове, малки прасенца, маймуни и зайци. Главните прицелни органи са били мъжката и </w:t>
      </w:r>
      <w:r w:rsidRPr="001E49D4">
        <w:rPr>
          <w:rFonts w:eastAsia="Times New Roman" w:cs="Arial"/>
          <w:color w:val="000000"/>
          <w:szCs w:val="20"/>
          <w:lang w:eastAsia="bg-BG"/>
        </w:rPr>
        <w:lastRenderedPageBreak/>
        <w:t>женската репродуктивна система (дегенерация на тестикуларните тубули, намалено количество сперма в епидидимите и атрофия на матката) при няколко вида, а само при плъхове - белия дроб (повишени алвеоларни макрофаги) и очите (лентикуларно помътняване в областта на предния шев). Незначителни промени в бъбреците са наблюдавани при плъхове (екзацербация на свързания с възрастта липофусцин в тубуларния епител) и мишки (екзацербация на базисни лезии). Липсвали са признаци на бъбречна токсичност у маймуните или малките прасенца.</w:t>
      </w:r>
    </w:p>
    <w:p w14:paraId="410F6A0A" w14:textId="77777777" w:rsidR="001E49D4" w:rsidRPr="001E49D4" w:rsidRDefault="001E49D4" w:rsidP="001E49D4">
      <w:pPr>
        <w:spacing w:line="240" w:lineRule="auto"/>
        <w:rPr>
          <w:rFonts w:eastAsia="Times New Roman" w:cs="Arial"/>
          <w:color w:val="000000"/>
          <w:szCs w:val="20"/>
          <w:lang w:eastAsia="bg-BG"/>
        </w:rPr>
      </w:pPr>
    </w:p>
    <w:p w14:paraId="5491CDC7" w14:textId="66B4CC53"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Спонтанно настъпващите подлежащи заболявания (хроничен миокардит у плъхове, </w:t>
      </w:r>
      <w:r w:rsidRPr="001E49D4">
        <w:rPr>
          <w:rFonts w:eastAsia="Times New Roman" w:cs="Arial"/>
          <w:color w:val="000000"/>
          <w:szCs w:val="20"/>
          <w:lang w:val="en-US"/>
        </w:rPr>
        <w:t>Coxsackie</w:t>
      </w:r>
      <w:r w:rsidRPr="001E49D4">
        <w:rPr>
          <w:rFonts w:eastAsia="Times New Roman" w:cs="Arial"/>
          <w:color w:val="000000"/>
          <w:szCs w:val="20"/>
          <w:lang w:val="ru-RU"/>
        </w:rPr>
        <w:t xml:space="preserve"> </w:t>
      </w:r>
      <w:r w:rsidRPr="001E49D4">
        <w:rPr>
          <w:rFonts w:eastAsia="Times New Roman" w:cs="Arial"/>
          <w:color w:val="000000"/>
          <w:szCs w:val="20"/>
          <w:lang w:eastAsia="bg-BG"/>
        </w:rPr>
        <w:t>вирусна инфекция в плазмата и сърцето у маймуни, кокцидиална инфестация в гастроинтестиналния тракт у малки прасенца, кожни лезии у мишки и маймуни) са се обостряли от лечението с еверолимус. Тези находки като цяло са наблюдавани при концентарации на системна експозиция в диапазона на терапевтична експозиция или над него го, с изключение на находките у плъхове, които се появяват под нивото на терапевтична експозиция поради високата степен на разпределение в тъканите.</w:t>
      </w:r>
    </w:p>
    <w:p w14:paraId="1A947D67" w14:textId="77777777" w:rsidR="001E49D4" w:rsidRPr="001E49D4" w:rsidRDefault="001E49D4" w:rsidP="001E49D4">
      <w:pPr>
        <w:spacing w:line="240" w:lineRule="auto"/>
        <w:rPr>
          <w:rFonts w:eastAsia="Times New Roman" w:cs="Arial"/>
          <w:color w:val="000000"/>
          <w:szCs w:val="20"/>
          <w:lang w:eastAsia="bg-BG"/>
        </w:rPr>
      </w:pPr>
    </w:p>
    <w:p w14:paraId="7890365D" w14:textId="0763CBF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Циклоспорин в комбинация с еверолимус предизвиква по-висока системна експозиция на еверолимус и повишена токсичност. Липсвали са нови прицелни органи у плъховете. При маймуните се наблюдава поява на кръвоизлив и аргерит в няколко органа.</w:t>
      </w:r>
    </w:p>
    <w:p w14:paraId="649D32FD" w14:textId="77777777" w:rsidR="001E49D4" w:rsidRPr="001E49D4" w:rsidRDefault="001E49D4" w:rsidP="001E49D4">
      <w:pPr>
        <w:spacing w:line="240" w:lineRule="auto"/>
        <w:rPr>
          <w:rFonts w:eastAsia="Times New Roman" w:cs="Arial"/>
          <w:color w:val="000000"/>
          <w:szCs w:val="20"/>
          <w:lang w:eastAsia="bg-BG"/>
        </w:rPr>
      </w:pPr>
    </w:p>
    <w:p w14:paraId="4F827D47" w14:textId="4D9B9483"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изследване на мъжкия фертилитет у плъхове морфологията на тестикулите се е увреждала при дози 0,5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kg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и повече, а подвижността на сперматозоидите, броят сперматозоиди и нивата на плазмения тестостерон са се понижавали при 5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kg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което е в диапазона на терапевтична експозиция и причинява понижение на мъжкия фертилитет. Налице са доказателства за обратимост. Женският фертилитет не се засяга, но еверолимус преминава през плацентата и е токсичен за плода. При плъхове еверолимус е предизвиквал ембрио/фетотоксичност при системна експозиция под терапевтичната, това се е манифестирало като морталитет и намалено тегло на плода. Честотата на скелетните вариации и малформации при 0,3 и 0,9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kg</w:t>
      </w:r>
      <w:r w:rsidRPr="001E49D4">
        <w:rPr>
          <w:rFonts w:eastAsia="Times New Roman" w:cs="Arial"/>
          <w:color w:val="000000"/>
          <w:szCs w:val="20"/>
          <w:lang w:val="ru-RU"/>
        </w:rPr>
        <w:t xml:space="preserve"> </w:t>
      </w:r>
      <w:r w:rsidRPr="001E49D4">
        <w:rPr>
          <w:rFonts w:eastAsia="Times New Roman" w:cs="Arial"/>
          <w:color w:val="000000"/>
          <w:szCs w:val="20"/>
          <w:lang w:eastAsia="bg-BG"/>
        </w:rPr>
        <w:t>(например разцепване на стернума) е била повишена. Ембриотоксичността у зайците се е проявявала като увеличение степента на поява на забавена резорбжия.</w:t>
      </w:r>
    </w:p>
    <w:p w14:paraId="5C0CF16C" w14:textId="77777777" w:rsidR="001E49D4" w:rsidRPr="001E49D4" w:rsidRDefault="001E49D4" w:rsidP="001E49D4">
      <w:pPr>
        <w:spacing w:line="240" w:lineRule="auto"/>
        <w:rPr>
          <w:rFonts w:eastAsia="Times New Roman" w:cs="Arial"/>
          <w:sz w:val="28"/>
          <w:szCs w:val="24"/>
        </w:rPr>
      </w:pPr>
    </w:p>
    <w:p w14:paraId="3F0B2EA4" w14:textId="77777777" w:rsidR="001E49D4" w:rsidRPr="001E49D4" w:rsidRDefault="001E49D4" w:rsidP="001E49D4">
      <w:pPr>
        <w:rPr>
          <w:rFonts w:ascii="Times New Roman" w:eastAsia="Times New Roman" w:hAnsi="Times New Roman" w:cs="Times New Roman"/>
          <w:sz w:val="24"/>
          <w:szCs w:val="24"/>
        </w:rPr>
      </w:pPr>
      <w:r w:rsidRPr="001E49D4">
        <w:rPr>
          <w:rFonts w:eastAsia="Times New Roman" w:cs="Arial"/>
          <w:color w:val="000000"/>
          <w:szCs w:val="20"/>
          <w:lang w:eastAsia="bg-BG"/>
        </w:rPr>
        <w:t>Изпитванията за генотоксичност, покриващи приложими крайни точки за генотоксичност не показват кластогенна или мутагенна токсичност. Приложението на еверолимус  с продължителност до 2 години не е показало никакъв онкогенен потенциал у мишки и плъхове при най-големите дози, превишаващи съответно 8,6 и 0,3 пъти очакваната клинична експозиция.</w:t>
      </w:r>
    </w:p>
    <w:p w14:paraId="7FDE31AE" w14:textId="7DBA0619" w:rsidR="001E49D4" w:rsidRPr="001E49D4" w:rsidRDefault="001E49D4" w:rsidP="001E49D4"/>
    <w:p w14:paraId="1BA6531D" w14:textId="7CAED891" w:rsidR="00B6672E" w:rsidRDefault="002C50EE" w:rsidP="00936AD0">
      <w:pPr>
        <w:pStyle w:val="Heading1"/>
      </w:pPr>
      <w:r>
        <w:t>7. ПРИТЕЖАТЕЛ НА РАЗРЕШЕНИЕТО ЗА УПОТРЕБА</w:t>
      </w:r>
    </w:p>
    <w:p w14:paraId="5AB73A25" w14:textId="423E86DE" w:rsidR="001E49D4" w:rsidRDefault="001E49D4" w:rsidP="001E49D4"/>
    <w:p w14:paraId="6B8FC289" w14:textId="77777777" w:rsidR="001E49D4" w:rsidRDefault="001E49D4" w:rsidP="001E49D4">
      <w:r>
        <w:t xml:space="preserve">Novartis Pharma GmbH </w:t>
      </w:r>
    </w:p>
    <w:p w14:paraId="421F3AD3" w14:textId="77777777" w:rsidR="001E49D4" w:rsidRDefault="001E49D4" w:rsidP="001E49D4">
      <w:r>
        <w:t xml:space="preserve">Roonstrasse 25 </w:t>
      </w:r>
    </w:p>
    <w:p w14:paraId="53C3E60E" w14:textId="77777777" w:rsidR="001E49D4" w:rsidRDefault="001E49D4" w:rsidP="001E49D4">
      <w:r>
        <w:t xml:space="preserve">90429 Nuernberg </w:t>
      </w:r>
    </w:p>
    <w:p w14:paraId="73C8BBED" w14:textId="43209368" w:rsidR="001E49D4" w:rsidRPr="001E49D4" w:rsidRDefault="001E49D4" w:rsidP="001E49D4">
      <w:r>
        <w:rPr>
          <w:lang w:eastAsia="bg-BG"/>
        </w:rPr>
        <w:t>Германия</w:t>
      </w:r>
    </w:p>
    <w:p w14:paraId="508F3A54" w14:textId="3CA24102" w:rsidR="00B6672E" w:rsidRDefault="00936AD0" w:rsidP="00936AD0">
      <w:pPr>
        <w:pStyle w:val="Heading1"/>
      </w:pPr>
      <w:r>
        <w:t>8.</w:t>
      </w:r>
      <w:r w:rsidR="002C50EE">
        <w:t>НОМЕР НА РАЗРЕШЕНИЕТО ЗА УПОТРЕБА</w:t>
      </w:r>
    </w:p>
    <w:p w14:paraId="37A4AD76" w14:textId="439F6980" w:rsidR="001E49D4" w:rsidRDefault="001E49D4" w:rsidP="001E49D4"/>
    <w:p w14:paraId="59B78470" w14:textId="41A11DDA" w:rsidR="001E49D4" w:rsidRPr="001E49D4" w:rsidRDefault="001E49D4" w:rsidP="001E49D4">
      <w:pPr>
        <w:rPr>
          <w:sz w:val="24"/>
          <w:szCs w:val="24"/>
          <w:lang w:val="en-US"/>
        </w:rPr>
      </w:pPr>
      <w:r>
        <w:rPr>
          <w:lang w:val="en-US"/>
        </w:rPr>
        <w:t>Certican 0</w:t>
      </w:r>
      <w:proofErr w:type="gramStart"/>
      <w:r>
        <w:rPr>
          <w:lang w:val="en-US"/>
        </w:rPr>
        <w:t>,25</w:t>
      </w:r>
      <w:proofErr w:type="gramEnd"/>
      <w:r>
        <w:rPr>
          <w:lang w:val="en-US"/>
        </w:rPr>
        <w:t xml:space="preserve"> mg tablets</w:t>
      </w:r>
      <w:r>
        <w:t xml:space="preserve">: </w:t>
      </w:r>
      <w:r w:rsidRPr="001E49D4">
        <w:rPr>
          <w:lang w:val="en-US"/>
        </w:rPr>
        <w:t>20050110</w:t>
      </w:r>
    </w:p>
    <w:p w14:paraId="7060AB81" w14:textId="59947D0F" w:rsidR="001E49D4" w:rsidRPr="001E49D4" w:rsidRDefault="001E49D4" w:rsidP="001E49D4">
      <w:pPr>
        <w:rPr>
          <w:sz w:val="24"/>
          <w:szCs w:val="24"/>
          <w:lang w:val="en-US"/>
        </w:rPr>
      </w:pPr>
      <w:r>
        <w:rPr>
          <w:lang w:val="en-US"/>
        </w:rPr>
        <w:lastRenderedPageBreak/>
        <w:t>Certican 0</w:t>
      </w:r>
      <w:proofErr w:type="gramStart"/>
      <w:r>
        <w:rPr>
          <w:lang w:val="en-US"/>
        </w:rPr>
        <w:t>,5</w:t>
      </w:r>
      <w:proofErr w:type="gramEnd"/>
      <w:r>
        <w:rPr>
          <w:lang w:val="en-US"/>
        </w:rPr>
        <w:t xml:space="preserve"> mg tablets</w:t>
      </w:r>
      <w:r>
        <w:t xml:space="preserve">: </w:t>
      </w:r>
      <w:r w:rsidRPr="001E49D4">
        <w:rPr>
          <w:lang w:val="en-US"/>
        </w:rPr>
        <w:t>20050111</w:t>
      </w:r>
    </w:p>
    <w:p w14:paraId="47A06681" w14:textId="06986689" w:rsidR="001E49D4" w:rsidRPr="001E49D4" w:rsidRDefault="001E49D4" w:rsidP="001E49D4">
      <w:pPr>
        <w:rPr>
          <w:sz w:val="24"/>
          <w:szCs w:val="24"/>
          <w:lang w:val="en-US"/>
        </w:rPr>
      </w:pPr>
      <w:r>
        <w:rPr>
          <w:lang w:val="en-US"/>
        </w:rPr>
        <w:t>Certican 0</w:t>
      </w:r>
      <w:proofErr w:type="gramStart"/>
      <w:r>
        <w:rPr>
          <w:lang w:val="en-US"/>
        </w:rPr>
        <w:t>,75</w:t>
      </w:r>
      <w:proofErr w:type="gramEnd"/>
      <w:r>
        <w:rPr>
          <w:lang w:val="en-US"/>
        </w:rPr>
        <w:t xml:space="preserve"> mg tablets</w:t>
      </w:r>
      <w:r>
        <w:t xml:space="preserve">: </w:t>
      </w:r>
      <w:r w:rsidRPr="001E49D4">
        <w:rPr>
          <w:lang w:val="en-US"/>
        </w:rPr>
        <w:t>20050112</w:t>
      </w:r>
    </w:p>
    <w:p w14:paraId="6F893967" w14:textId="3ED67D55" w:rsidR="001E49D4" w:rsidRPr="001E49D4" w:rsidRDefault="001E49D4" w:rsidP="001E49D4">
      <w:pPr>
        <w:rPr>
          <w:sz w:val="24"/>
          <w:szCs w:val="24"/>
          <w:lang w:val="en-US"/>
        </w:rPr>
      </w:pPr>
      <w:r>
        <w:rPr>
          <w:lang w:val="en-US"/>
        </w:rPr>
        <w:t>Certican 1</w:t>
      </w:r>
      <w:proofErr w:type="gramStart"/>
      <w:r>
        <w:rPr>
          <w:lang w:val="en-US"/>
        </w:rPr>
        <w:t>,0</w:t>
      </w:r>
      <w:proofErr w:type="gramEnd"/>
      <w:r>
        <w:rPr>
          <w:lang w:val="en-US"/>
        </w:rPr>
        <w:t xml:space="preserve"> mg tablets</w:t>
      </w:r>
      <w:r>
        <w:t xml:space="preserve">: </w:t>
      </w:r>
      <w:r w:rsidRPr="001E49D4">
        <w:rPr>
          <w:lang w:val="en-US"/>
        </w:rPr>
        <w:t>20050113</w:t>
      </w:r>
    </w:p>
    <w:p w14:paraId="559F20FA" w14:textId="77777777" w:rsidR="001E49D4" w:rsidRPr="001E49D4" w:rsidRDefault="001E49D4" w:rsidP="001E49D4">
      <w:pPr>
        <w:rPr>
          <w:lang w:val="en-US"/>
        </w:rPr>
      </w:pPr>
    </w:p>
    <w:p w14:paraId="2CCB5832" w14:textId="459305B6" w:rsidR="007C605B" w:rsidRDefault="002C50EE" w:rsidP="007C605B">
      <w:pPr>
        <w:pStyle w:val="Heading1"/>
      </w:pPr>
      <w:r>
        <w:t>9. ДАТА НА ПЪРВО РАЗРЕШАВАНЕ/ПОДНОВЯВАНЕ НА РАЗРЕШЕНИЕТО ЗА УПОТРЕБА</w:t>
      </w:r>
    </w:p>
    <w:p w14:paraId="344EFD2C" w14:textId="55534398" w:rsidR="001E49D4" w:rsidRDefault="001E49D4" w:rsidP="001E49D4"/>
    <w:p w14:paraId="21A21D43" w14:textId="77777777" w:rsidR="001E49D4" w:rsidRPr="001E49D4" w:rsidRDefault="001E49D4" w:rsidP="001E49D4">
      <w:pPr>
        <w:rPr>
          <w:sz w:val="24"/>
          <w:szCs w:val="24"/>
        </w:rPr>
      </w:pPr>
      <w:r w:rsidRPr="001E49D4">
        <w:rPr>
          <w:lang w:eastAsia="bg-BG"/>
        </w:rPr>
        <w:t>Дата на първо разрешаване: 22 февруари 2005 г.</w:t>
      </w:r>
    </w:p>
    <w:p w14:paraId="76550A6A" w14:textId="63495281" w:rsidR="001E49D4" w:rsidRPr="001E49D4" w:rsidRDefault="001E49D4" w:rsidP="001E49D4">
      <w:r w:rsidRPr="001E49D4">
        <w:rPr>
          <w:lang w:eastAsia="bg-BG"/>
        </w:rPr>
        <w:t>Дата на последно подновяване: 14 февруари 2017 г.</w:t>
      </w:r>
    </w:p>
    <w:p w14:paraId="0E9D0119" w14:textId="0245C6D7" w:rsidR="002C50EE" w:rsidRDefault="002C50EE" w:rsidP="002C50EE">
      <w:pPr>
        <w:pStyle w:val="Heading1"/>
      </w:pPr>
      <w:r>
        <w:t>10. ДАТА НА АКТУАЛИЗИРАНЕ НА ТЕКСТА</w:t>
      </w:r>
    </w:p>
    <w:bookmarkEnd w:id="0"/>
    <w:p w14:paraId="43FB38A2" w14:textId="6A03F64B" w:rsidR="007C605B" w:rsidRPr="003E3126" w:rsidRDefault="001E49D4" w:rsidP="001E49D4">
      <w:r>
        <w:t>24 септември 2020 г.</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E49D4"/>
    <w:rsid w:val="002B3C38"/>
    <w:rsid w:val="002B4DBB"/>
    <w:rsid w:val="002C50EE"/>
    <w:rsid w:val="002F56CD"/>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0F5A"/>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3595"/>
    <w:rsid w:val="00DD466D"/>
    <w:rsid w:val="00DE57B6"/>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11575</Words>
  <Characters>65982</Characters>
  <Application>Microsoft Office Word</Application>
  <DocSecurity>0</DocSecurity>
  <Lines>549</Lines>
  <Paragraphs>154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2022-06-30T11:24:00Z</dcterms:created>
  <dcterms:modified xsi:type="dcterms:W3CDTF">2022-06-30T11:24:00Z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