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B5C8657" w:rsidR="00AA23EC" w:rsidRDefault="00DD466D" w:rsidP="00DD466D">
      <w:pPr>
        <w:pStyle w:val="Heading1"/>
      </w:pPr>
      <w:r>
        <w:t>1.ИМЕ НА ЛЕКАРСТВЕНИЯ ПРОДУКТ</w:t>
      </w:r>
    </w:p>
    <w:p w14:paraId="679A9963" w14:textId="30FB4661" w:rsidR="009A022B" w:rsidRDefault="009A022B" w:rsidP="009A022B"/>
    <w:p w14:paraId="07D308DA" w14:textId="77777777" w:rsidR="009A022B" w:rsidRPr="009A022B" w:rsidRDefault="009A022B" w:rsidP="009A022B">
      <w:pPr>
        <w:rPr>
          <w:sz w:val="24"/>
          <w:szCs w:val="24"/>
        </w:rPr>
      </w:pPr>
      <w:r w:rsidRPr="009A022B">
        <w:rPr>
          <w:lang w:eastAsia="bg-BG"/>
        </w:rPr>
        <w:t xml:space="preserve">Церукал 10 </w:t>
      </w:r>
      <w:r w:rsidRPr="009A022B">
        <w:rPr>
          <w:lang w:val="en-US"/>
        </w:rPr>
        <w:t>mg</w:t>
      </w:r>
      <w:r w:rsidRPr="009A022B">
        <w:t xml:space="preserve"> </w:t>
      </w:r>
      <w:r w:rsidRPr="009A022B">
        <w:rPr>
          <w:lang w:eastAsia="bg-BG"/>
        </w:rPr>
        <w:t>таблетки</w:t>
      </w:r>
    </w:p>
    <w:p w14:paraId="46074E9D" w14:textId="77777777" w:rsidR="009A022B" w:rsidRPr="009A022B" w:rsidRDefault="009A022B" w:rsidP="009A022B">
      <w:pPr>
        <w:rPr>
          <w:sz w:val="24"/>
          <w:szCs w:val="24"/>
        </w:rPr>
      </w:pPr>
      <w:proofErr w:type="spellStart"/>
      <w:r w:rsidRPr="009A022B">
        <w:rPr>
          <w:lang w:val="en-US"/>
        </w:rPr>
        <w:t>Cerucal</w:t>
      </w:r>
      <w:proofErr w:type="spellEnd"/>
      <w:r w:rsidRPr="009A022B">
        <w:t xml:space="preserve"> </w:t>
      </w:r>
      <w:r w:rsidRPr="009A022B">
        <w:rPr>
          <w:lang w:eastAsia="bg-BG"/>
        </w:rPr>
        <w:t xml:space="preserve">10 </w:t>
      </w:r>
      <w:r w:rsidRPr="009A022B">
        <w:rPr>
          <w:lang w:val="en-US"/>
        </w:rPr>
        <w:t>mg</w:t>
      </w:r>
      <w:r w:rsidRPr="009A022B">
        <w:t xml:space="preserve"> </w:t>
      </w:r>
      <w:r w:rsidRPr="009A022B">
        <w:rPr>
          <w:lang w:val="en-US"/>
        </w:rPr>
        <w:t>tablets</w:t>
      </w:r>
    </w:p>
    <w:p w14:paraId="32C7C1CB" w14:textId="77777777" w:rsidR="009A022B" w:rsidRPr="009A022B" w:rsidRDefault="009A022B" w:rsidP="009A022B"/>
    <w:p w14:paraId="0A368469" w14:textId="215FB873" w:rsidR="00C0049F" w:rsidRDefault="00DD466D" w:rsidP="009F1313">
      <w:pPr>
        <w:pStyle w:val="Heading1"/>
      </w:pPr>
      <w:r>
        <w:t>2. КАЧЕСТВЕН И КОЛИЧЕСТВЕН СЪСТАВ</w:t>
      </w:r>
    </w:p>
    <w:p w14:paraId="7033DE54" w14:textId="10E53275" w:rsidR="009A022B" w:rsidRDefault="009A022B" w:rsidP="009A022B"/>
    <w:p w14:paraId="65320CB0"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1 таблетка Церукал съдържа 10,54 </w:t>
      </w:r>
      <w:r w:rsidRPr="009A022B">
        <w:rPr>
          <w:rFonts w:eastAsia="Times New Roman" w:cs="Arial"/>
          <w:color w:val="000000"/>
          <w:szCs w:val="20"/>
          <w:lang w:val="en-US"/>
        </w:rPr>
        <w:t>mg</w:t>
      </w:r>
      <w:r w:rsidRPr="009A022B">
        <w:rPr>
          <w:rFonts w:eastAsia="Times New Roman" w:cs="Arial"/>
          <w:color w:val="000000"/>
          <w:szCs w:val="20"/>
        </w:rPr>
        <w:t xml:space="preserve"> </w:t>
      </w:r>
      <w:r w:rsidRPr="009A022B">
        <w:rPr>
          <w:rFonts w:eastAsia="Times New Roman" w:cs="Arial"/>
          <w:color w:val="000000"/>
          <w:szCs w:val="20"/>
          <w:lang w:eastAsia="bg-BG"/>
        </w:rPr>
        <w:t xml:space="preserve">метоклопрамидов хидрохлорид монохидрат </w:t>
      </w:r>
      <w:r w:rsidRPr="009A022B">
        <w:rPr>
          <w:rFonts w:eastAsia="Times New Roman" w:cs="Arial"/>
          <w:i/>
          <w:iCs/>
          <w:color w:val="000000"/>
          <w:szCs w:val="20"/>
        </w:rPr>
        <w:t>(</w:t>
      </w:r>
      <w:r w:rsidRPr="009A022B">
        <w:rPr>
          <w:rFonts w:eastAsia="Times New Roman" w:cs="Arial"/>
          <w:i/>
          <w:iCs/>
          <w:color w:val="000000"/>
          <w:szCs w:val="20"/>
          <w:lang w:val="en-US"/>
        </w:rPr>
        <w:t>metoclopramide</w:t>
      </w:r>
      <w:r w:rsidRPr="009A022B">
        <w:rPr>
          <w:rFonts w:eastAsia="Times New Roman" w:cs="Arial"/>
          <w:i/>
          <w:iCs/>
          <w:color w:val="000000"/>
          <w:szCs w:val="20"/>
        </w:rPr>
        <w:t xml:space="preserve"> </w:t>
      </w:r>
      <w:r w:rsidRPr="009A022B">
        <w:rPr>
          <w:rFonts w:eastAsia="Times New Roman" w:cs="Arial"/>
          <w:i/>
          <w:iCs/>
          <w:color w:val="000000"/>
          <w:szCs w:val="20"/>
          <w:lang w:val="en-US"/>
        </w:rPr>
        <w:t>hydrochloride</w:t>
      </w:r>
      <w:r w:rsidRPr="009A022B">
        <w:rPr>
          <w:rFonts w:eastAsia="Times New Roman" w:cs="Arial"/>
          <w:i/>
          <w:iCs/>
          <w:color w:val="000000"/>
          <w:szCs w:val="20"/>
        </w:rPr>
        <w:t xml:space="preserve"> </w:t>
      </w:r>
      <w:r w:rsidRPr="009A022B">
        <w:rPr>
          <w:rFonts w:eastAsia="Times New Roman" w:cs="Arial"/>
          <w:i/>
          <w:iCs/>
          <w:color w:val="000000"/>
          <w:szCs w:val="20"/>
          <w:lang w:val="en-US"/>
        </w:rPr>
        <w:t>monohydrate</w:t>
      </w:r>
      <w:r w:rsidRPr="009A022B">
        <w:rPr>
          <w:rFonts w:eastAsia="Times New Roman" w:cs="Arial"/>
          <w:i/>
          <w:iCs/>
          <w:color w:val="000000"/>
          <w:szCs w:val="20"/>
        </w:rPr>
        <w:t>),</w:t>
      </w:r>
      <w:r w:rsidRPr="009A022B">
        <w:rPr>
          <w:rFonts w:eastAsia="Times New Roman" w:cs="Arial"/>
          <w:color w:val="000000"/>
          <w:szCs w:val="20"/>
        </w:rPr>
        <w:t xml:space="preserve"> </w:t>
      </w:r>
      <w:r w:rsidRPr="009A022B">
        <w:rPr>
          <w:rFonts w:eastAsia="Times New Roman" w:cs="Arial"/>
          <w:color w:val="000000"/>
          <w:szCs w:val="20"/>
          <w:lang w:eastAsia="bg-BG"/>
        </w:rPr>
        <w:t xml:space="preserve">съответстващ на 10,00 </w:t>
      </w:r>
      <w:r w:rsidRPr="009A022B">
        <w:rPr>
          <w:rFonts w:eastAsia="Times New Roman" w:cs="Arial"/>
          <w:color w:val="000000"/>
          <w:szCs w:val="20"/>
          <w:lang w:val="en-US"/>
        </w:rPr>
        <w:t>mg</w:t>
      </w:r>
      <w:r w:rsidRPr="009A022B">
        <w:rPr>
          <w:rFonts w:eastAsia="Times New Roman" w:cs="Arial"/>
          <w:color w:val="000000"/>
          <w:szCs w:val="20"/>
        </w:rPr>
        <w:t xml:space="preserve"> </w:t>
      </w:r>
      <w:r w:rsidRPr="009A022B">
        <w:rPr>
          <w:rFonts w:eastAsia="Times New Roman" w:cs="Arial"/>
          <w:color w:val="000000"/>
          <w:szCs w:val="20"/>
          <w:lang w:eastAsia="bg-BG"/>
        </w:rPr>
        <w:t xml:space="preserve">метоклопрамидов хидрохлорид, безводен </w:t>
      </w:r>
      <w:r w:rsidRPr="009A022B">
        <w:rPr>
          <w:rFonts w:eastAsia="Times New Roman" w:cs="Arial"/>
          <w:i/>
          <w:iCs/>
          <w:color w:val="000000"/>
          <w:szCs w:val="20"/>
        </w:rPr>
        <w:t>(</w:t>
      </w:r>
      <w:r w:rsidRPr="009A022B">
        <w:rPr>
          <w:rFonts w:eastAsia="Times New Roman" w:cs="Arial"/>
          <w:i/>
          <w:iCs/>
          <w:color w:val="000000"/>
          <w:szCs w:val="20"/>
          <w:lang w:val="en-US"/>
        </w:rPr>
        <w:t>metoclopramide</w:t>
      </w:r>
      <w:r w:rsidRPr="009A022B">
        <w:rPr>
          <w:rFonts w:eastAsia="Times New Roman" w:cs="Arial"/>
          <w:i/>
          <w:iCs/>
          <w:color w:val="000000"/>
          <w:szCs w:val="20"/>
        </w:rPr>
        <w:t xml:space="preserve"> </w:t>
      </w:r>
      <w:r w:rsidRPr="009A022B">
        <w:rPr>
          <w:rFonts w:eastAsia="Times New Roman" w:cs="Arial"/>
          <w:i/>
          <w:iCs/>
          <w:color w:val="000000"/>
          <w:szCs w:val="20"/>
          <w:lang w:val="en-US"/>
        </w:rPr>
        <w:t>hydrochloride</w:t>
      </w:r>
      <w:r w:rsidRPr="009A022B">
        <w:rPr>
          <w:rFonts w:eastAsia="Times New Roman" w:cs="Arial"/>
          <w:i/>
          <w:iCs/>
          <w:color w:val="000000"/>
          <w:szCs w:val="20"/>
        </w:rPr>
        <w:t xml:space="preserve">, </w:t>
      </w:r>
      <w:r w:rsidRPr="009A022B">
        <w:rPr>
          <w:rFonts w:eastAsia="Times New Roman" w:cs="Arial"/>
          <w:i/>
          <w:iCs/>
          <w:color w:val="000000"/>
          <w:szCs w:val="20"/>
          <w:lang w:val="en-US"/>
        </w:rPr>
        <w:t>anhydrous</w:t>
      </w:r>
      <w:r w:rsidRPr="009A022B">
        <w:rPr>
          <w:rFonts w:eastAsia="Times New Roman" w:cs="Arial"/>
          <w:i/>
          <w:iCs/>
          <w:color w:val="000000"/>
          <w:szCs w:val="20"/>
        </w:rPr>
        <w:t>).</w:t>
      </w:r>
    </w:p>
    <w:p w14:paraId="14E3D814" w14:textId="77777777" w:rsidR="009A022B" w:rsidRPr="009A022B" w:rsidRDefault="009A022B" w:rsidP="009A022B">
      <w:pPr>
        <w:spacing w:line="240" w:lineRule="auto"/>
        <w:rPr>
          <w:rFonts w:eastAsia="Times New Roman" w:cs="Arial"/>
          <w:color w:val="000000"/>
          <w:szCs w:val="20"/>
          <w:lang w:eastAsia="bg-BG"/>
        </w:rPr>
      </w:pPr>
    </w:p>
    <w:p w14:paraId="4C1D9D58" w14:textId="272A17E8"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Помощно вещество с известно действие: лактоза монохидрат и др.</w:t>
      </w:r>
    </w:p>
    <w:p w14:paraId="43CD6262" w14:textId="77777777" w:rsidR="009A022B" w:rsidRPr="009A022B" w:rsidRDefault="009A022B" w:rsidP="009A022B"/>
    <w:p w14:paraId="614984C4" w14:textId="735827C8" w:rsidR="008A6AF2" w:rsidRDefault="00DD466D" w:rsidP="002C50EE">
      <w:pPr>
        <w:pStyle w:val="Heading1"/>
      </w:pPr>
      <w:r>
        <w:t>3. ЛЕКАРСТВЕНА ФОРМА</w:t>
      </w:r>
    </w:p>
    <w:p w14:paraId="17FB2848" w14:textId="1945191E" w:rsidR="009A022B" w:rsidRDefault="009A022B" w:rsidP="009A022B"/>
    <w:p w14:paraId="0AE147E7" w14:textId="0BCED48B" w:rsidR="009A022B" w:rsidRPr="009A022B" w:rsidRDefault="009A022B" w:rsidP="009A022B">
      <w:r>
        <w:t>Таблетки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8BC8E39" w:rsidR="00395555" w:rsidRDefault="00395555" w:rsidP="00395555"/>
    <w:p w14:paraId="53FA35F3"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Възрастна популация</w:t>
      </w:r>
    </w:p>
    <w:p w14:paraId="40F47AED"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Церукал е показан при възрастни за:</w:t>
      </w:r>
    </w:p>
    <w:p w14:paraId="7E1CB328" w14:textId="2DC7686C" w:rsidR="009A022B" w:rsidRPr="009A022B" w:rsidRDefault="009A022B" w:rsidP="009A022B">
      <w:pPr>
        <w:pStyle w:val="ListParagraph"/>
        <w:numPr>
          <w:ilvl w:val="0"/>
          <w:numId w:val="32"/>
        </w:numPr>
        <w:spacing w:line="240" w:lineRule="auto"/>
        <w:rPr>
          <w:rFonts w:eastAsia="Times New Roman" w:cs="Arial"/>
          <w:sz w:val="28"/>
          <w:szCs w:val="24"/>
        </w:rPr>
      </w:pPr>
      <w:r w:rsidRPr="009A022B">
        <w:rPr>
          <w:rFonts w:eastAsia="Times New Roman" w:cs="Arial"/>
          <w:color w:val="000000"/>
          <w:szCs w:val="20"/>
          <w:lang w:eastAsia="bg-BG"/>
        </w:rPr>
        <w:t xml:space="preserve">Предотвратяване на забавено гадене и повръщане при химиотерапия </w:t>
      </w:r>
      <w:r w:rsidRPr="009A022B">
        <w:rPr>
          <w:rFonts w:eastAsia="Times New Roman" w:cs="Arial"/>
          <w:i/>
          <w:iCs/>
          <w:color w:val="000000"/>
          <w:szCs w:val="20"/>
        </w:rPr>
        <w:t>(</w:t>
      </w:r>
      <w:r w:rsidRPr="009A022B">
        <w:rPr>
          <w:rFonts w:eastAsia="Times New Roman" w:cs="Arial"/>
          <w:i/>
          <w:iCs/>
          <w:color w:val="000000"/>
          <w:szCs w:val="20"/>
          <w:lang w:val="en-US"/>
        </w:rPr>
        <w:t>chemotherapy</w:t>
      </w:r>
      <w:r w:rsidRPr="009A022B">
        <w:rPr>
          <w:rFonts w:eastAsia="Times New Roman" w:cs="Arial"/>
          <w:i/>
          <w:iCs/>
          <w:color w:val="000000"/>
          <w:szCs w:val="20"/>
        </w:rPr>
        <w:t xml:space="preserve"> </w:t>
      </w:r>
      <w:r w:rsidRPr="009A022B">
        <w:rPr>
          <w:rFonts w:eastAsia="Times New Roman" w:cs="Arial"/>
          <w:i/>
          <w:iCs/>
          <w:color w:val="000000"/>
          <w:szCs w:val="20"/>
          <w:lang w:val="en-US"/>
        </w:rPr>
        <w:t>induced</w:t>
      </w:r>
      <w:r w:rsidRPr="009A022B">
        <w:rPr>
          <w:rFonts w:eastAsia="Times New Roman" w:cs="Arial"/>
          <w:i/>
          <w:iCs/>
          <w:color w:val="000000"/>
          <w:szCs w:val="20"/>
        </w:rPr>
        <w:t xml:space="preserve"> </w:t>
      </w:r>
      <w:r w:rsidRPr="009A022B">
        <w:rPr>
          <w:rFonts w:eastAsia="Times New Roman" w:cs="Arial"/>
          <w:i/>
          <w:iCs/>
          <w:color w:val="000000"/>
          <w:szCs w:val="20"/>
          <w:lang w:val="en-US"/>
        </w:rPr>
        <w:t>nausea</w:t>
      </w:r>
      <w:r w:rsidRPr="009A022B">
        <w:rPr>
          <w:rFonts w:eastAsia="Times New Roman" w:cs="Arial"/>
          <w:i/>
          <w:iCs/>
          <w:color w:val="000000"/>
          <w:szCs w:val="20"/>
        </w:rPr>
        <w:t xml:space="preserve"> </w:t>
      </w:r>
      <w:r w:rsidRPr="009A022B">
        <w:rPr>
          <w:rFonts w:eastAsia="Times New Roman" w:cs="Arial"/>
          <w:i/>
          <w:iCs/>
          <w:color w:val="000000"/>
          <w:szCs w:val="20"/>
          <w:lang w:val="en-US"/>
        </w:rPr>
        <w:t>and</w:t>
      </w:r>
      <w:r w:rsidRPr="009A022B">
        <w:rPr>
          <w:rFonts w:eastAsia="Times New Roman" w:cs="Arial"/>
          <w:i/>
          <w:iCs/>
          <w:color w:val="000000"/>
          <w:szCs w:val="20"/>
        </w:rPr>
        <w:t xml:space="preserve"> </w:t>
      </w:r>
      <w:proofErr w:type="spellStart"/>
      <w:r w:rsidRPr="009A022B">
        <w:rPr>
          <w:rFonts w:eastAsia="Times New Roman" w:cs="Arial"/>
          <w:i/>
          <w:iCs/>
          <w:color w:val="000000"/>
          <w:szCs w:val="20"/>
          <w:lang w:val="en-US"/>
        </w:rPr>
        <w:t>vomitingM</w:t>
      </w:r>
      <w:proofErr w:type="spellEnd"/>
      <w:r w:rsidRPr="009A022B">
        <w:rPr>
          <w:rFonts w:eastAsia="Times New Roman" w:cs="Arial"/>
          <w:i/>
          <w:iCs/>
          <w:color w:val="000000"/>
          <w:szCs w:val="20"/>
        </w:rPr>
        <w:t xml:space="preserve">, </w:t>
      </w:r>
      <w:r w:rsidRPr="009A022B">
        <w:rPr>
          <w:rFonts w:eastAsia="Times New Roman" w:cs="Arial"/>
          <w:i/>
          <w:iCs/>
          <w:color w:val="000000"/>
          <w:szCs w:val="20"/>
          <w:lang w:val="en-US"/>
        </w:rPr>
        <w:t>CINV</w:t>
      </w:r>
      <w:r w:rsidRPr="009A022B">
        <w:rPr>
          <w:rFonts w:eastAsia="Times New Roman" w:cs="Arial"/>
          <w:i/>
          <w:iCs/>
          <w:color w:val="000000"/>
          <w:szCs w:val="20"/>
        </w:rPr>
        <w:t>)</w:t>
      </w:r>
    </w:p>
    <w:p w14:paraId="2E11F64D" w14:textId="185E00E1" w:rsidR="009A022B" w:rsidRPr="009A022B" w:rsidRDefault="009A022B" w:rsidP="009A022B">
      <w:pPr>
        <w:pStyle w:val="ListParagraph"/>
        <w:numPr>
          <w:ilvl w:val="0"/>
          <w:numId w:val="32"/>
        </w:numPr>
        <w:spacing w:line="240" w:lineRule="auto"/>
        <w:rPr>
          <w:rFonts w:eastAsia="Times New Roman" w:cs="Arial"/>
          <w:sz w:val="28"/>
          <w:szCs w:val="24"/>
        </w:rPr>
      </w:pPr>
      <w:r w:rsidRPr="009A022B">
        <w:rPr>
          <w:rFonts w:eastAsia="Times New Roman" w:cs="Arial"/>
          <w:color w:val="000000"/>
          <w:szCs w:val="20"/>
          <w:lang w:eastAsia="bg-BG"/>
        </w:rPr>
        <w:t xml:space="preserve">Профилактика на гадене и повръщане, предизвикано от лъчетерапия </w:t>
      </w:r>
      <w:r w:rsidRPr="009A022B">
        <w:rPr>
          <w:rFonts w:eastAsia="Times New Roman" w:cs="Arial"/>
          <w:i/>
          <w:iCs/>
          <w:color w:val="000000"/>
          <w:szCs w:val="20"/>
        </w:rPr>
        <w:t>(</w:t>
      </w:r>
      <w:r w:rsidRPr="009A022B">
        <w:rPr>
          <w:rFonts w:eastAsia="Times New Roman" w:cs="Arial"/>
          <w:i/>
          <w:iCs/>
          <w:color w:val="000000"/>
          <w:szCs w:val="20"/>
          <w:lang w:val="en-US"/>
        </w:rPr>
        <w:t>radiotherapy</w:t>
      </w:r>
      <w:r w:rsidRPr="009A022B">
        <w:rPr>
          <w:rFonts w:eastAsia="Times New Roman" w:cs="Arial"/>
          <w:i/>
          <w:iCs/>
          <w:color w:val="000000"/>
          <w:szCs w:val="20"/>
        </w:rPr>
        <w:t xml:space="preserve"> </w:t>
      </w:r>
      <w:r w:rsidRPr="009A022B">
        <w:rPr>
          <w:rFonts w:eastAsia="Times New Roman" w:cs="Arial"/>
          <w:i/>
          <w:iCs/>
          <w:color w:val="000000"/>
          <w:szCs w:val="20"/>
          <w:lang w:val="en-US"/>
        </w:rPr>
        <w:t>induced</w:t>
      </w:r>
      <w:r w:rsidRPr="009A022B">
        <w:rPr>
          <w:rFonts w:eastAsia="Times New Roman" w:cs="Arial"/>
          <w:i/>
          <w:iCs/>
          <w:color w:val="000000"/>
          <w:szCs w:val="20"/>
        </w:rPr>
        <w:t xml:space="preserve"> </w:t>
      </w:r>
      <w:r w:rsidRPr="009A022B">
        <w:rPr>
          <w:rFonts w:eastAsia="Times New Roman" w:cs="Arial"/>
          <w:i/>
          <w:iCs/>
          <w:color w:val="000000"/>
          <w:szCs w:val="20"/>
          <w:lang w:val="en-US"/>
        </w:rPr>
        <w:t>nausea</w:t>
      </w:r>
      <w:r w:rsidRPr="009A022B">
        <w:rPr>
          <w:rFonts w:eastAsia="Times New Roman" w:cs="Arial"/>
          <w:i/>
          <w:iCs/>
          <w:color w:val="000000"/>
          <w:szCs w:val="20"/>
        </w:rPr>
        <w:t xml:space="preserve"> </w:t>
      </w:r>
      <w:r w:rsidRPr="009A022B">
        <w:rPr>
          <w:rFonts w:eastAsia="Times New Roman" w:cs="Arial"/>
          <w:i/>
          <w:iCs/>
          <w:color w:val="000000"/>
          <w:szCs w:val="20"/>
          <w:lang w:val="en-US"/>
        </w:rPr>
        <w:t>and</w:t>
      </w:r>
      <w:r w:rsidRPr="009A022B">
        <w:rPr>
          <w:rFonts w:eastAsia="Times New Roman" w:cs="Arial"/>
          <w:i/>
          <w:iCs/>
          <w:color w:val="000000"/>
          <w:szCs w:val="20"/>
        </w:rPr>
        <w:t xml:space="preserve"> </w:t>
      </w:r>
      <w:r w:rsidRPr="009A022B">
        <w:rPr>
          <w:rFonts w:eastAsia="Times New Roman" w:cs="Arial"/>
          <w:i/>
          <w:iCs/>
          <w:color w:val="000000"/>
          <w:szCs w:val="20"/>
          <w:lang w:val="en-US"/>
        </w:rPr>
        <w:t>vomiting</w:t>
      </w:r>
      <w:r w:rsidRPr="009A022B">
        <w:rPr>
          <w:rFonts w:eastAsia="Times New Roman" w:cs="Arial"/>
          <w:i/>
          <w:iCs/>
          <w:color w:val="000000"/>
          <w:szCs w:val="20"/>
        </w:rPr>
        <w:t xml:space="preserve">, </w:t>
      </w:r>
      <w:r w:rsidRPr="009A022B">
        <w:rPr>
          <w:rFonts w:eastAsia="Times New Roman" w:cs="Arial"/>
          <w:i/>
          <w:iCs/>
          <w:color w:val="000000"/>
          <w:szCs w:val="20"/>
          <w:lang w:val="en-US"/>
        </w:rPr>
        <w:t>RINV</w:t>
      </w:r>
      <w:r w:rsidRPr="009A022B">
        <w:rPr>
          <w:rFonts w:eastAsia="Times New Roman" w:cs="Arial"/>
          <w:i/>
          <w:iCs/>
          <w:color w:val="000000"/>
          <w:szCs w:val="20"/>
        </w:rPr>
        <w:t>).</w:t>
      </w:r>
    </w:p>
    <w:p w14:paraId="0222A9B0" w14:textId="3B0542A0" w:rsidR="009A022B" w:rsidRPr="009A022B" w:rsidRDefault="009A022B" w:rsidP="009A022B">
      <w:pPr>
        <w:pStyle w:val="ListParagraph"/>
        <w:numPr>
          <w:ilvl w:val="0"/>
          <w:numId w:val="32"/>
        </w:numPr>
        <w:spacing w:line="240" w:lineRule="auto"/>
        <w:rPr>
          <w:rFonts w:eastAsia="Times New Roman" w:cs="Arial"/>
          <w:sz w:val="28"/>
          <w:szCs w:val="24"/>
        </w:rPr>
      </w:pPr>
      <w:r w:rsidRPr="009A022B">
        <w:rPr>
          <w:rFonts w:eastAsia="Times New Roman" w:cs="Arial"/>
          <w:color w:val="000000"/>
          <w:szCs w:val="20"/>
          <w:lang w:eastAsia="bg-BG"/>
        </w:rPr>
        <w:t>Симптоматично лечение на гадене и повръщане, включително гадене и повръщане, предизвикано от остър мигренозен пристъп. Метоклопрамид може да бъде използван в комбинация с перорални аналгетици за подобряване абсорбцията на аналгетици при остър мигренозен пристъп.</w:t>
      </w:r>
    </w:p>
    <w:p w14:paraId="094685EA" w14:textId="77777777" w:rsidR="009A022B" w:rsidRPr="009A022B" w:rsidRDefault="009A022B" w:rsidP="009A022B">
      <w:pPr>
        <w:spacing w:line="240" w:lineRule="auto"/>
        <w:rPr>
          <w:rFonts w:eastAsia="Times New Roman" w:cs="Arial"/>
          <w:color w:val="000000"/>
          <w:szCs w:val="20"/>
          <w:u w:val="single"/>
          <w:lang w:eastAsia="bg-BG"/>
        </w:rPr>
      </w:pPr>
    </w:p>
    <w:p w14:paraId="06D483E2" w14:textId="29D27105"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Педиатрична популация</w:t>
      </w:r>
    </w:p>
    <w:p w14:paraId="21D41866" w14:textId="061EF8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Церукал е показан при деца (на възраст 1-18 години) за:</w:t>
      </w:r>
    </w:p>
    <w:p w14:paraId="14A8DD41" w14:textId="470680E3" w:rsidR="009A022B" w:rsidRPr="009A022B" w:rsidRDefault="009A022B" w:rsidP="009A022B">
      <w:pPr>
        <w:pStyle w:val="ListParagraph"/>
        <w:numPr>
          <w:ilvl w:val="0"/>
          <w:numId w:val="33"/>
        </w:numPr>
        <w:rPr>
          <w:rFonts w:cs="Arial"/>
          <w:sz w:val="24"/>
        </w:rPr>
      </w:pPr>
      <w:r w:rsidRPr="009A022B">
        <w:rPr>
          <w:rFonts w:eastAsia="Times New Roman" w:cs="Arial"/>
          <w:color w:val="000000"/>
          <w:szCs w:val="20"/>
          <w:lang w:eastAsia="bg-BG"/>
        </w:rPr>
        <w:t xml:space="preserve">като втора линия терапия за предотвратяване на забавено гадене и повръщане при химиотерапия </w:t>
      </w:r>
      <w:r w:rsidRPr="009A022B">
        <w:rPr>
          <w:rFonts w:eastAsia="Times New Roman" w:cs="Arial"/>
          <w:i/>
          <w:iCs/>
          <w:color w:val="000000"/>
          <w:szCs w:val="20"/>
        </w:rPr>
        <w:t>(</w:t>
      </w:r>
      <w:r w:rsidRPr="009A022B">
        <w:rPr>
          <w:rFonts w:eastAsia="Times New Roman" w:cs="Arial"/>
          <w:i/>
          <w:iCs/>
          <w:color w:val="000000"/>
          <w:szCs w:val="20"/>
          <w:lang w:val="en-US"/>
        </w:rPr>
        <w:t>chemotherapy</w:t>
      </w:r>
      <w:r w:rsidRPr="009A022B">
        <w:rPr>
          <w:rFonts w:eastAsia="Times New Roman" w:cs="Arial"/>
          <w:i/>
          <w:iCs/>
          <w:color w:val="000000"/>
          <w:szCs w:val="20"/>
        </w:rPr>
        <w:t xml:space="preserve"> </w:t>
      </w:r>
      <w:r w:rsidRPr="009A022B">
        <w:rPr>
          <w:rFonts w:eastAsia="Times New Roman" w:cs="Arial"/>
          <w:i/>
          <w:iCs/>
          <w:color w:val="000000"/>
          <w:szCs w:val="20"/>
          <w:lang w:val="en-US"/>
        </w:rPr>
        <w:t>induced</w:t>
      </w:r>
      <w:r w:rsidRPr="009A022B">
        <w:rPr>
          <w:rFonts w:eastAsia="Times New Roman" w:cs="Arial"/>
          <w:i/>
          <w:iCs/>
          <w:color w:val="000000"/>
          <w:szCs w:val="20"/>
        </w:rPr>
        <w:t xml:space="preserve"> </w:t>
      </w:r>
      <w:r w:rsidRPr="009A022B">
        <w:rPr>
          <w:rFonts w:eastAsia="Times New Roman" w:cs="Arial"/>
          <w:i/>
          <w:iCs/>
          <w:color w:val="000000"/>
          <w:szCs w:val="20"/>
          <w:lang w:val="en-US"/>
        </w:rPr>
        <w:t>nausea</w:t>
      </w:r>
      <w:r w:rsidRPr="009A022B">
        <w:rPr>
          <w:rFonts w:eastAsia="Times New Roman" w:cs="Arial"/>
          <w:i/>
          <w:iCs/>
          <w:color w:val="000000"/>
          <w:szCs w:val="20"/>
        </w:rPr>
        <w:t xml:space="preserve"> </w:t>
      </w:r>
      <w:r w:rsidRPr="009A022B">
        <w:rPr>
          <w:rFonts w:eastAsia="Times New Roman" w:cs="Arial"/>
          <w:i/>
          <w:iCs/>
          <w:color w:val="000000"/>
          <w:szCs w:val="20"/>
          <w:lang w:val="en-US"/>
        </w:rPr>
        <w:t>and</w:t>
      </w:r>
      <w:r w:rsidRPr="009A022B">
        <w:rPr>
          <w:rFonts w:eastAsia="Times New Roman" w:cs="Arial"/>
          <w:i/>
          <w:iCs/>
          <w:color w:val="000000"/>
          <w:szCs w:val="20"/>
        </w:rPr>
        <w:t xml:space="preserve"> </w:t>
      </w:r>
      <w:r w:rsidRPr="009A022B">
        <w:rPr>
          <w:rFonts w:eastAsia="Times New Roman" w:cs="Arial"/>
          <w:i/>
          <w:iCs/>
          <w:color w:val="000000"/>
          <w:szCs w:val="20"/>
          <w:lang w:val="en-US"/>
        </w:rPr>
        <w:t>vomiting</w:t>
      </w:r>
      <w:r w:rsidRPr="009A022B">
        <w:rPr>
          <w:rFonts w:eastAsia="Times New Roman" w:cs="Arial"/>
          <w:i/>
          <w:iCs/>
          <w:color w:val="000000"/>
          <w:szCs w:val="20"/>
        </w:rPr>
        <w:t xml:space="preserve">, </w:t>
      </w:r>
      <w:r w:rsidRPr="009A022B">
        <w:rPr>
          <w:rFonts w:eastAsia="Times New Roman" w:cs="Arial"/>
          <w:i/>
          <w:iCs/>
          <w:color w:val="000000"/>
          <w:szCs w:val="20"/>
          <w:lang w:val="en-US"/>
        </w:rPr>
        <w:t>CINV</w:t>
      </w:r>
      <w:r w:rsidRPr="009A022B">
        <w:rPr>
          <w:rFonts w:eastAsia="Times New Roman" w:cs="Arial"/>
          <w:i/>
          <w:iCs/>
          <w:color w:val="000000"/>
          <w:szCs w:val="20"/>
        </w:rPr>
        <w:t>)</w:t>
      </w:r>
    </w:p>
    <w:p w14:paraId="5F8B6618" w14:textId="77777777" w:rsidR="009A022B" w:rsidRPr="009A022B" w:rsidRDefault="009A022B" w:rsidP="009A022B">
      <w:pPr>
        <w:rPr>
          <w:rFonts w:cs="Arial"/>
          <w:sz w:val="24"/>
        </w:rPr>
      </w:pPr>
    </w:p>
    <w:p w14:paraId="7C0CA5EB" w14:textId="0D9F2A85" w:rsidR="00C0049F" w:rsidRDefault="002C50EE" w:rsidP="009F1313">
      <w:pPr>
        <w:pStyle w:val="Heading2"/>
      </w:pPr>
      <w:r>
        <w:t>4.2. Дозировка и начин на приложение</w:t>
      </w:r>
    </w:p>
    <w:p w14:paraId="2E2EE1B2" w14:textId="5795380A" w:rsidR="009A022B" w:rsidRDefault="009A022B" w:rsidP="009A022B"/>
    <w:p w14:paraId="66A6DDD6"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Всички показания (възрастни пациенти)</w:t>
      </w:r>
    </w:p>
    <w:p w14:paraId="2A994D29"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Препоръчителната единична доза е 10 </w:t>
      </w:r>
      <w:r w:rsidRPr="009A022B">
        <w:rPr>
          <w:rFonts w:eastAsia="Times New Roman" w:cs="Arial"/>
          <w:color w:val="000000"/>
          <w:szCs w:val="20"/>
          <w:lang w:val="en-US"/>
        </w:rPr>
        <w:t>mg</w:t>
      </w:r>
      <w:r w:rsidRPr="009A022B">
        <w:rPr>
          <w:rFonts w:eastAsia="Times New Roman" w:cs="Arial"/>
          <w:color w:val="000000"/>
          <w:szCs w:val="20"/>
          <w:lang w:val="ru-RU"/>
        </w:rPr>
        <w:t xml:space="preserve">, </w:t>
      </w:r>
      <w:r w:rsidRPr="009A022B">
        <w:rPr>
          <w:rFonts w:eastAsia="Times New Roman" w:cs="Arial"/>
          <w:color w:val="000000"/>
          <w:szCs w:val="20"/>
          <w:lang w:eastAsia="bg-BG"/>
        </w:rPr>
        <w:t>приемана до три пъти дневно.</w:t>
      </w:r>
    </w:p>
    <w:p w14:paraId="42EA7570" w14:textId="77777777" w:rsidR="009A022B" w:rsidRPr="009A022B" w:rsidRDefault="009A022B" w:rsidP="009A022B">
      <w:pPr>
        <w:spacing w:line="240" w:lineRule="auto"/>
        <w:rPr>
          <w:rFonts w:eastAsia="Times New Roman" w:cs="Arial"/>
          <w:color w:val="000000"/>
          <w:szCs w:val="20"/>
          <w:lang w:eastAsia="bg-BG"/>
        </w:rPr>
      </w:pPr>
    </w:p>
    <w:p w14:paraId="5631DF61" w14:textId="0695FBD3"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lastRenderedPageBreak/>
        <w:t xml:space="preserve">Максималната препоръчителна дневна доза е 30 </w:t>
      </w:r>
      <w:r w:rsidRPr="009A022B">
        <w:rPr>
          <w:rFonts w:eastAsia="Times New Roman" w:cs="Arial"/>
          <w:color w:val="000000"/>
          <w:szCs w:val="20"/>
          <w:lang w:val="en-US"/>
        </w:rPr>
        <w:t>mg</w:t>
      </w:r>
      <w:r w:rsidRPr="009A022B">
        <w:rPr>
          <w:rFonts w:eastAsia="Times New Roman" w:cs="Arial"/>
          <w:color w:val="000000"/>
          <w:szCs w:val="20"/>
          <w:lang w:val="ru-RU"/>
        </w:rPr>
        <w:t xml:space="preserve"> </w:t>
      </w:r>
      <w:r w:rsidRPr="009A022B">
        <w:rPr>
          <w:rFonts w:eastAsia="Times New Roman" w:cs="Arial"/>
          <w:color w:val="000000"/>
          <w:szCs w:val="20"/>
          <w:lang w:eastAsia="bg-BG"/>
        </w:rPr>
        <w:t xml:space="preserve">или 0,5 </w:t>
      </w:r>
      <w:r w:rsidRPr="009A022B">
        <w:rPr>
          <w:rFonts w:eastAsia="Times New Roman" w:cs="Arial"/>
          <w:color w:val="000000"/>
          <w:szCs w:val="20"/>
          <w:lang w:val="en-US"/>
        </w:rPr>
        <w:t>mg</w:t>
      </w:r>
      <w:r w:rsidRPr="009A022B">
        <w:rPr>
          <w:rFonts w:eastAsia="Times New Roman" w:cs="Arial"/>
          <w:color w:val="000000"/>
          <w:szCs w:val="20"/>
          <w:lang w:val="ru-RU"/>
        </w:rPr>
        <w:t>/</w:t>
      </w:r>
      <w:r w:rsidRPr="009A022B">
        <w:rPr>
          <w:rFonts w:eastAsia="Times New Roman" w:cs="Arial"/>
          <w:color w:val="000000"/>
          <w:szCs w:val="20"/>
          <w:lang w:val="en-US"/>
        </w:rPr>
        <w:t>kg</w:t>
      </w:r>
      <w:r w:rsidRPr="009A022B">
        <w:rPr>
          <w:rFonts w:eastAsia="Times New Roman" w:cs="Arial"/>
          <w:color w:val="000000"/>
          <w:szCs w:val="20"/>
          <w:lang w:val="ru-RU"/>
        </w:rPr>
        <w:t xml:space="preserve"> </w:t>
      </w:r>
      <w:r w:rsidRPr="009A022B">
        <w:rPr>
          <w:rFonts w:eastAsia="Times New Roman" w:cs="Arial"/>
          <w:color w:val="000000"/>
          <w:szCs w:val="20"/>
          <w:lang w:eastAsia="bg-BG"/>
        </w:rPr>
        <w:t>телесно тегло.</w:t>
      </w:r>
    </w:p>
    <w:p w14:paraId="52538300"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Максималната препоръчителна продължителност на лечение е 5 дни.</w:t>
      </w:r>
    </w:p>
    <w:p w14:paraId="4AFFC5D7" w14:textId="77777777" w:rsidR="009A022B" w:rsidRPr="009A022B" w:rsidRDefault="009A022B" w:rsidP="009A022B">
      <w:pPr>
        <w:rPr>
          <w:rFonts w:eastAsia="Times New Roman" w:cs="Arial"/>
          <w:color w:val="000000"/>
          <w:szCs w:val="20"/>
          <w:u w:val="single"/>
          <w:lang w:eastAsia="bg-BG"/>
        </w:rPr>
      </w:pPr>
    </w:p>
    <w:p w14:paraId="1293B153" w14:textId="5155A99D" w:rsidR="009A022B" w:rsidRPr="009A022B" w:rsidRDefault="009A022B" w:rsidP="009A022B">
      <w:pPr>
        <w:rPr>
          <w:rFonts w:eastAsia="Times New Roman" w:cs="Arial"/>
          <w:color w:val="000000"/>
          <w:szCs w:val="20"/>
          <w:u w:val="single"/>
          <w:lang w:eastAsia="bg-BG"/>
        </w:rPr>
      </w:pPr>
      <w:r w:rsidRPr="009A022B">
        <w:rPr>
          <w:rFonts w:eastAsia="Times New Roman" w:cs="Arial"/>
          <w:color w:val="000000"/>
          <w:szCs w:val="20"/>
          <w:u w:val="single"/>
          <w:lang w:eastAsia="bg-BG"/>
        </w:rPr>
        <w:t xml:space="preserve">Предотвратяване на забавено гадене и повръщане при химиотерапия </w:t>
      </w:r>
      <w:r w:rsidRPr="009A022B">
        <w:rPr>
          <w:rFonts w:eastAsia="Times New Roman" w:cs="Arial"/>
          <w:i/>
          <w:iCs/>
          <w:color w:val="000000"/>
          <w:szCs w:val="20"/>
          <w:u w:val="single"/>
          <w:lang w:val="ru-RU"/>
        </w:rPr>
        <w:t>(</w:t>
      </w:r>
      <w:r w:rsidRPr="009A022B">
        <w:rPr>
          <w:rFonts w:eastAsia="Times New Roman" w:cs="Arial"/>
          <w:i/>
          <w:iCs/>
          <w:color w:val="000000"/>
          <w:szCs w:val="20"/>
          <w:u w:val="single"/>
          <w:lang w:val="en-US"/>
        </w:rPr>
        <w:t>CINV</w:t>
      </w:r>
      <w:r w:rsidRPr="009A022B">
        <w:rPr>
          <w:rFonts w:eastAsia="Times New Roman" w:cs="Arial"/>
          <w:i/>
          <w:iCs/>
          <w:color w:val="000000"/>
          <w:szCs w:val="20"/>
          <w:u w:val="single"/>
          <w:lang w:val="ru-RU"/>
        </w:rPr>
        <w:t>)</w:t>
      </w:r>
      <w:r w:rsidRPr="009A022B">
        <w:rPr>
          <w:rFonts w:eastAsia="Times New Roman" w:cs="Arial"/>
          <w:color w:val="000000"/>
          <w:szCs w:val="20"/>
          <w:u w:val="single"/>
          <w:lang w:val="ru-RU"/>
        </w:rPr>
        <w:t xml:space="preserve"> </w:t>
      </w:r>
      <w:r w:rsidRPr="009A022B">
        <w:rPr>
          <w:rFonts w:eastAsia="Times New Roman" w:cs="Arial"/>
          <w:color w:val="000000"/>
          <w:szCs w:val="20"/>
          <w:u w:val="single"/>
          <w:lang w:eastAsia="bg-BG"/>
        </w:rPr>
        <w:t>(педиатрични</w:t>
      </w:r>
      <w:r w:rsidRPr="009A022B">
        <w:rPr>
          <w:rFonts w:eastAsia="Times New Roman" w:cs="Arial"/>
          <w:color w:val="000000"/>
          <w:szCs w:val="20"/>
          <w:lang w:eastAsia="bg-BG"/>
        </w:rPr>
        <w:t xml:space="preserve"> </w:t>
      </w:r>
      <w:r w:rsidRPr="009A022B">
        <w:rPr>
          <w:rFonts w:eastAsia="Times New Roman" w:cs="Arial"/>
          <w:color w:val="000000"/>
          <w:szCs w:val="20"/>
          <w:u w:val="single"/>
          <w:lang w:eastAsia="bg-BG"/>
        </w:rPr>
        <w:t>пациенти на възраст 1-18 години).</w:t>
      </w:r>
    </w:p>
    <w:p w14:paraId="5E58C413" w14:textId="0E66F727" w:rsidR="009A022B" w:rsidRPr="009A022B" w:rsidRDefault="009A022B" w:rsidP="009A022B">
      <w:pPr>
        <w:rPr>
          <w:rFonts w:eastAsia="Times New Roman" w:cs="Arial"/>
          <w:color w:val="000000"/>
          <w:szCs w:val="20"/>
          <w:u w:val="single"/>
          <w:lang w:eastAsia="bg-BG"/>
        </w:rPr>
      </w:pPr>
    </w:p>
    <w:p w14:paraId="4C9FDA55"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Препоръчителната доза е от 0,1 до 0,15 </w:t>
      </w:r>
      <w:r w:rsidRPr="009A022B">
        <w:rPr>
          <w:rFonts w:eastAsia="Times New Roman" w:cs="Arial"/>
          <w:color w:val="000000"/>
          <w:szCs w:val="20"/>
          <w:lang w:val="en-US"/>
        </w:rPr>
        <w:t>mg</w:t>
      </w:r>
      <w:r w:rsidRPr="009A022B">
        <w:rPr>
          <w:rFonts w:eastAsia="Times New Roman" w:cs="Arial"/>
          <w:color w:val="000000"/>
          <w:szCs w:val="20"/>
          <w:lang w:val="ru-RU"/>
        </w:rPr>
        <w:t>/</w:t>
      </w:r>
      <w:r w:rsidRPr="009A022B">
        <w:rPr>
          <w:rFonts w:eastAsia="Times New Roman" w:cs="Arial"/>
          <w:color w:val="000000"/>
          <w:szCs w:val="20"/>
          <w:lang w:val="en-US"/>
        </w:rPr>
        <w:t>kg</w:t>
      </w:r>
      <w:r w:rsidRPr="009A022B">
        <w:rPr>
          <w:rFonts w:eastAsia="Times New Roman" w:cs="Arial"/>
          <w:color w:val="000000"/>
          <w:szCs w:val="20"/>
          <w:lang w:val="ru-RU"/>
        </w:rPr>
        <w:t xml:space="preserve"> </w:t>
      </w:r>
      <w:r w:rsidRPr="009A022B">
        <w:rPr>
          <w:rFonts w:eastAsia="Times New Roman" w:cs="Arial"/>
          <w:color w:val="000000"/>
          <w:szCs w:val="20"/>
          <w:lang w:eastAsia="bg-BG"/>
        </w:rPr>
        <w:t xml:space="preserve">телесно тегло, приемана до три пъти дневно чрез перорален прием. Максималната доза за 24 часа е 0,5 </w:t>
      </w:r>
      <w:r w:rsidRPr="009A022B">
        <w:rPr>
          <w:rFonts w:eastAsia="Times New Roman" w:cs="Arial"/>
          <w:color w:val="000000"/>
          <w:szCs w:val="20"/>
          <w:lang w:val="en-US"/>
        </w:rPr>
        <w:t>mg</w:t>
      </w:r>
      <w:r w:rsidRPr="009A022B">
        <w:rPr>
          <w:rFonts w:eastAsia="Times New Roman" w:cs="Arial"/>
          <w:color w:val="000000"/>
          <w:szCs w:val="20"/>
          <w:lang w:val="ru-RU"/>
        </w:rPr>
        <w:t>/</w:t>
      </w:r>
      <w:r w:rsidRPr="009A022B">
        <w:rPr>
          <w:rFonts w:eastAsia="Times New Roman" w:cs="Arial"/>
          <w:color w:val="000000"/>
          <w:szCs w:val="20"/>
          <w:lang w:val="en-US"/>
        </w:rPr>
        <w:t>kg</w:t>
      </w:r>
      <w:r w:rsidRPr="009A022B">
        <w:rPr>
          <w:rFonts w:eastAsia="Times New Roman" w:cs="Arial"/>
          <w:color w:val="000000"/>
          <w:szCs w:val="20"/>
          <w:lang w:val="ru-RU"/>
        </w:rPr>
        <w:t xml:space="preserve"> </w:t>
      </w:r>
      <w:r w:rsidRPr="009A022B">
        <w:rPr>
          <w:rFonts w:eastAsia="Times New Roman" w:cs="Arial"/>
          <w:color w:val="000000"/>
          <w:szCs w:val="20"/>
          <w:lang w:eastAsia="bg-BG"/>
        </w:rPr>
        <w:t>телесно тегло.</w:t>
      </w:r>
    </w:p>
    <w:p w14:paraId="46B97F9A" w14:textId="77777777" w:rsidR="009A022B" w:rsidRPr="009A022B" w:rsidRDefault="009A022B" w:rsidP="009A022B">
      <w:pPr>
        <w:rPr>
          <w:rFonts w:eastAsia="Times New Roman" w:cs="Arial"/>
          <w:i/>
          <w:iCs/>
          <w:color w:val="000000"/>
          <w:szCs w:val="20"/>
          <w:u w:val="single"/>
          <w:lang w:eastAsia="bg-BG"/>
        </w:rPr>
      </w:pPr>
    </w:p>
    <w:p w14:paraId="1F245C60" w14:textId="732EFDE6" w:rsidR="009A022B" w:rsidRDefault="009A022B" w:rsidP="009A022B">
      <w:pPr>
        <w:rPr>
          <w:rFonts w:eastAsia="Times New Roman" w:cs="Arial"/>
          <w:i/>
          <w:iCs/>
          <w:color w:val="000000"/>
          <w:szCs w:val="20"/>
          <w:u w:val="single"/>
          <w:lang w:eastAsia="bg-BG"/>
        </w:rPr>
      </w:pPr>
      <w:r w:rsidRPr="009A022B">
        <w:rPr>
          <w:rFonts w:eastAsia="Times New Roman" w:cs="Arial"/>
          <w:i/>
          <w:iCs/>
          <w:color w:val="000000"/>
          <w:szCs w:val="20"/>
          <w:u w:val="single"/>
          <w:lang w:eastAsia="bg-BG"/>
        </w:rPr>
        <w:t>Таблица за дозиране</w:t>
      </w:r>
    </w:p>
    <w:tbl>
      <w:tblPr>
        <w:tblStyle w:val="TableGrid"/>
        <w:tblW w:w="0" w:type="auto"/>
        <w:tblLook w:val="04A0" w:firstRow="1" w:lastRow="0" w:firstColumn="1" w:lastColumn="0" w:noHBand="0" w:noVBand="1"/>
      </w:tblPr>
      <w:tblGrid>
        <w:gridCol w:w="2341"/>
        <w:gridCol w:w="2342"/>
        <w:gridCol w:w="2327"/>
        <w:gridCol w:w="2340"/>
      </w:tblGrid>
      <w:tr w:rsidR="009A022B" w14:paraId="04686802" w14:textId="77777777" w:rsidTr="009A022B">
        <w:tc>
          <w:tcPr>
            <w:tcW w:w="2394" w:type="dxa"/>
          </w:tcPr>
          <w:p w14:paraId="4249DF33" w14:textId="30DD5765" w:rsidR="009A022B" w:rsidRPr="009A022B" w:rsidRDefault="009A022B" w:rsidP="009A022B">
            <w:pPr>
              <w:rPr>
                <w:rFonts w:cs="Arial"/>
              </w:rPr>
            </w:pPr>
            <w:r w:rsidRPr="009A022B">
              <w:rPr>
                <w:szCs w:val="20"/>
              </w:rPr>
              <w:t>Възраст</w:t>
            </w:r>
          </w:p>
        </w:tc>
        <w:tc>
          <w:tcPr>
            <w:tcW w:w="2394" w:type="dxa"/>
          </w:tcPr>
          <w:p w14:paraId="27048950" w14:textId="366E8CBE" w:rsidR="009A022B" w:rsidRPr="009A022B" w:rsidRDefault="009A022B" w:rsidP="009A022B">
            <w:pPr>
              <w:rPr>
                <w:rFonts w:cs="Arial"/>
              </w:rPr>
            </w:pPr>
            <w:r w:rsidRPr="009A022B">
              <w:rPr>
                <w:szCs w:val="20"/>
              </w:rPr>
              <w:t>Телесно тегло</w:t>
            </w:r>
          </w:p>
        </w:tc>
        <w:tc>
          <w:tcPr>
            <w:tcW w:w="2394" w:type="dxa"/>
          </w:tcPr>
          <w:p w14:paraId="7414771C" w14:textId="4A1A20B3" w:rsidR="009A022B" w:rsidRPr="009A022B" w:rsidRDefault="009A022B" w:rsidP="009A022B">
            <w:pPr>
              <w:rPr>
                <w:rFonts w:cs="Arial"/>
              </w:rPr>
            </w:pPr>
            <w:r w:rsidRPr="009A022B">
              <w:rPr>
                <w:szCs w:val="20"/>
              </w:rPr>
              <w:t>Доза</w:t>
            </w:r>
          </w:p>
        </w:tc>
        <w:tc>
          <w:tcPr>
            <w:tcW w:w="2394" w:type="dxa"/>
          </w:tcPr>
          <w:p w14:paraId="502A5E17" w14:textId="67655E66" w:rsidR="009A022B" w:rsidRPr="009A022B" w:rsidRDefault="009A022B" w:rsidP="009A022B">
            <w:pPr>
              <w:rPr>
                <w:rFonts w:cs="Arial"/>
              </w:rPr>
            </w:pPr>
            <w:r w:rsidRPr="009A022B">
              <w:rPr>
                <w:szCs w:val="20"/>
              </w:rPr>
              <w:t>Честота</w:t>
            </w:r>
          </w:p>
        </w:tc>
      </w:tr>
      <w:tr w:rsidR="009A022B" w14:paraId="7F92E7A7" w14:textId="77777777" w:rsidTr="009A022B">
        <w:tc>
          <w:tcPr>
            <w:tcW w:w="2394" w:type="dxa"/>
          </w:tcPr>
          <w:p w14:paraId="346ACB6D" w14:textId="36E3540F" w:rsidR="009A022B" w:rsidRPr="009A022B" w:rsidRDefault="009A022B" w:rsidP="009A022B">
            <w:pPr>
              <w:rPr>
                <w:rFonts w:cs="Arial"/>
              </w:rPr>
            </w:pPr>
            <w:r w:rsidRPr="009A022B">
              <w:rPr>
                <w:szCs w:val="20"/>
              </w:rPr>
              <w:t>1-3 години</w:t>
            </w:r>
          </w:p>
        </w:tc>
        <w:tc>
          <w:tcPr>
            <w:tcW w:w="2394" w:type="dxa"/>
          </w:tcPr>
          <w:p w14:paraId="000ADF01" w14:textId="4A1C9798" w:rsidR="009A022B" w:rsidRPr="009A022B" w:rsidRDefault="009A022B" w:rsidP="009A022B">
            <w:pPr>
              <w:rPr>
                <w:rFonts w:cs="Arial"/>
              </w:rPr>
            </w:pPr>
            <w:r w:rsidRPr="009A022B">
              <w:rPr>
                <w:szCs w:val="20"/>
              </w:rPr>
              <w:t xml:space="preserve">10-14 </w:t>
            </w:r>
            <w:r w:rsidRPr="009A022B">
              <w:rPr>
                <w:szCs w:val="20"/>
                <w:lang w:val="en-US"/>
              </w:rPr>
              <w:t>kg</w:t>
            </w:r>
          </w:p>
        </w:tc>
        <w:tc>
          <w:tcPr>
            <w:tcW w:w="2394" w:type="dxa"/>
          </w:tcPr>
          <w:p w14:paraId="3C19EB00" w14:textId="45F07B62" w:rsidR="009A022B" w:rsidRPr="009A022B" w:rsidRDefault="009A022B" w:rsidP="009A022B">
            <w:pPr>
              <w:rPr>
                <w:rFonts w:cs="Arial"/>
              </w:rPr>
            </w:pPr>
            <w:r w:rsidRPr="009A022B">
              <w:rPr>
                <w:szCs w:val="20"/>
                <w:lang w:val="en-US"/>
              </w:rPr>
              <w:t>1 mg</w:t>
            </w:r>
          </w:p>
        </w:tc>
        <w:tc>
          <w:tcPr>
            <w:tcW w:w="2394" w:type="dxa"/>
          </w:tcPr>
          <w:p w14:paraId="49593D56" w14:textId="35BA3E49" w:rsidR="009A022B" w:rsidRPr="009A022B" w:rsidRDefault="009A022B" w:rsidP="009A022B">
            <w:pPr>
              <w:rPr>
                <w:rFonts w:cs="Arial"/>
              </w:rPr>
            </w:pPr>
            <w:r w:rsidRPr="009A022B">
              <w:rPr>
                <w:szCs w:val="20"/>
              </w:rPr>
              <w:t xml:space="preserve">До </w:t>
            </w:r>
            <w:r w:rsidRPr="009A022B">
              <w:rPr>
                <w:szCs w:val="20"/>
                <w:lang w:val="en-US"/>
              </w:rPr>
              <w:t xml:space="preserve">3 </w:t>
            </w:r>
            <w:r w:rsidRPr="009A022B">
              <w:rPr>
                <w:szCs w:val="20"/>
              </w:rPr>
              <w:t>пъти дневно</w:t>
            </w:r>
          </w:p>
        </w:tc>
      </w:tr>
      <w:tr w:rsidR="009A022B" w14:paraId="04482FC3" w14:textId="77777777" w:rsidTr="009A022B">
        <w:tc>
          <w:tcPr>
            <w:tcW w:w="2394" w:type="dxa"/>
          </w:tcPr>
          <w:p w14:paraId="41CDE296" w14:textId="44F44EA3" w:rsidR="009A022B" w:rsidRPr="009A022B" w:rsidRDefault="009A022B" w:rsidP="009A022B">
            <w:pPr>
              <w:rPr>
                <w:rFonts w:cs="Arial"/>
              </w:rPr>
            </w:pPr>
            <w:r w:rsidRPr="009A022B">
              <w:rPr>
                <w:szCs w:val="20"/>
              </w:rPr>
              <w:t>3-5 години</w:t>
            </w:r>
          </w:p>
        </w:tc>
        <w:tc>
          <w:tcPr>
            <w:tcW w:w="2394" w:type="dxa"/>
          </w:tcPr>
          <w:p w14:paraId="127A6425" w14:textId="6B798E11" w:rsidR="009A022B" w:rsidRPr="009A022B" w:rsidRDefault="009A022B" w:rsidP="009A022B">
            <w:pPr>
              <w:rPr>
                <w:rFonts w:cs="Arial"/>
              </w:rPr>
            </w:pPr>
            <w:r w:rsidRPr="009A022B">
              <w:rPr>
                <w:szCs w:val="20"/>
              </w:rPr>
              <w:t xml:space="preserve">15-19 </w:t>
            </w:r>
            <w:r w:rsidRPr="009A022B">
              <w:rPr>
                <w:szCs w:val="20"/>
                <w:lang w:val="en-US"/>
              </w:rPr>
              <w:t>kg</w:t>
            </w:r>
          </w:p>
        </w:tc>
        <w:tc>
          <w:tcPr>
            <w:tcW w:w="2394" w:type="dxa"/>
          </w:tcPr>
          <w:p w14:paraId="7C609623" w14:textId="314C0DA0" w:rsidR="009A022B" w:rsidRPr="009A022B" w:rsidRDefault="009A022B" w:rsidP="009A022B">
            <w:pPr>
              <w:rPr>
                <w:rFonts w:cs="Arial"/>
              </w:rPr>
            </w:pPr>
            <w:r w:rsidRPr="009A022B">
              <w:rPr>
                <w:szCs w:val="20"/>
                <w:u w:val="single"/>
                <w:lang w:val="en-US"/>
              </w:rPr>
              <w:t>2 mg</w:t>
            </w:r>
          </w:p>
        </w:tc>
        <w:tc>
          <w:tcPr>
            <w:tcW w:w="2394" w:type="dxa"/>
          </w:tcPr>
          <w:p w14:paraId="206CAD7C" w14:textId="4DB378E2" w:rsidR="009A022B" w:rsidRPr="009A022B" w:rsidRDefault="009A022B" w:rsidP="009A022B">
            <w:pPr>
              <w:rPr>
                <w:rFonts w:cs="Arial"/>
              </w:rPr>
            </w:pPr>
            <w:r w:rsidRPr="009A022B">
              <w:rPr>
                <w:szCs w:val="20"/>
              </w:rPr>
              <w:t>До 3 пъти дневно</w:t>
            </w:r>
          </w:p>
        </w:tc>
      </w:tr>
      <w:tr w:rsidR="009A022B" w14:paraId="57C0CE06" w14:textId="77777777" w:rsidTr="009A022B">
        <w:tc>
          <w:tcPr>
            <w:tcW w:w="2394" w:type="dxa"/>
          </w:tcPr>
          <w:p w14:paraId="605D0AC7" w14:textId="7931540F" w:rsidR="009A022B" w:rsidRPr="009A022B" w:rsidRDefault="009A022B" w:rsidP="009A022B">
            <w:pPr>
              <w:rPr>
                <w:rFonts w:cs="Arial"/>
              </w:rPr>
            </w:pPr>
            <w:r w:rsidRPr="009A022B">
              <w:rPr>
                <w:szCs w:val="20"/>
              </w:rPr>
              <w:t>5-9 години</w:t>
            </w:r>
          </w:p>
        </w:tc>
        <w:tc>
          <w:tcPr>
            <w:tcW w:w="2394" w:type="dxa"/>
          </w:tcPr>
          <w:p w14:paraId="6C73644F" w14:textId="7472BB1B" w:rsidR="009A022B" w:rsidRPr="009A022B" w:rsidRDefault="009A022B" w:rsidP="009A022B">
            <w:pPr>
              <w:rPr>
                <w:rFonts w:cs="Arial"/>
              </w:rPr>
            </w:pPr>
            <w:r w:rsidRPr="009A022B">
              <w:rPr>
                <w:szCs w:val="20"/>
              </w:rPr>
              <w:t xml:space="preserve">20-29 </w:t>
            </w:r>
            <w:r w:rsidRPr="009A022B">
              <w:rPr>
                <w:szCs w:val="20"/>
                <w:lang w:val="en-US"/>
              </w:rPr>
              <w:t>kg</w:t>
            </w:r>
          </w:p>
        </w:tc>
        <w:tc>
          <w:tcPr>
            <w:tcW w:w="2394" w:type="dxa"/>
          </w:tcPr>
          <w:p w14:paraId="21DC19BF" w14:textId="7080FE28" w:rsidR="009A022B" w:rsidRPr="009A022B" w:rsidRDefault="009A022B" w:rsidP="009A022B">
            <w:pPr>
              <w:rPr>
                <w:rFonts w:cs="Arial"/>
              </w:rPr>
            </w:pPr>
            <w:r w:rsidRPr="009A022B">
              <w:rPr>
                <w:szCs w:val="20"/>
                <w:u w:val="single"/>
                <w:lang w:val="en-US"/>
              </w:rPr>
              <w:t>2,5 mg</w:t>
            </w:r>
          </w:p>
        </w:tc>
        <w:tc>
          <w:tcPr>
            <w:tcW w:w="2394" w:type="dxa"/>
          </w:tcPr>
          <w:p w14:paraId="13D46F5C" w14:textId="1FA32E68" w:rsidR="009A022B" w:rsidRPr="009A022B" w:rsidRDefault="009A022B" w:rsidP="009A022B">
            <w:pPr>
              <w:rPr>
                <w:rFonts w:cs="Arial"/>
              </w:rPr>
            </w:pPr>
            <w:r w:rsidRPr="009A022B">
              <w:rPr>
                <w:szCs w:val="20"/>
              </w:rPr>
              <w:t>До 3 пъти дневно</w:t>
            </w:r>
          </w:p>
        </w:tc>
      </w:tr>
      <w:tr w:rsidR="009A022B" w14:paraId="55E3AC38" w14:textId="77777777" w:rsidTr="009A022B">
        <w:tc>
          <w:tcPr>
            <w:tcW w:w="2394" w:type="dxa"/>
          </w:tcPr>
          <w:p w14:paraId="1AAC9F76" w14:textId="52381895" w:rsidR="009A022B" w:rsidRPr="009A022B" w:rsidRDefault="009A022B" w:rsidP="009A022B">
            <w:pPr>
              <w:rPr>
                <w:rFonts w:cs="Arial"/>
              </w:rPr>
            </w:pPr>
            <w:r w:rsidRPr="009A022B">
              <w:rPr>
                <w:szCs w:val="20"/>
              </w:rPr>
              <w:t>9-18 години</w:t>
            </w:r>
          </w:p>
        </w:tc>
        <w:tc>
          <w:tcPr>
            <w:tcW w:w="2394" w:type="dxa"/>
          </w:tcPr>
          <w:p w14:paraId="6B6E3F31" w14:textId="4D13ECF0" w:rsidR="009A022B" w:rsidRPr="009A022B" w:rsidRDefault="009A022B" w:rsidP="009A022B">
            <w:pPr>
              <w:rPr>
                <w:rFonts w:cs="Arial"/>
              </w:rPr>
            </w:pPr>
            <w:r w:rsidRPr="009A022B">
              <w:rPr>
                <w:szCs w:val="20"/>
              </w:rPr>
              <w:t xml:space="preserve">30-60 </w:t>
            </w:r>
            <w:r w:rsidRPr="009A022B">
              <w:rPr>
                <w:szCs w:val="20"/>
                <w:lang w:val="en-US"/>
              </w:rPr>
              <w:t>kg</w:t>
            </w:r>
          </w:p>
        </w:tc>
        <w:tc>
          <w:tcPr>
            <w:tcW w:w="2394" w:type="dxa"/>
          </w:tcPr>
          <w:p w14:paraId="7F7B2605" w14:textId="107580BE" w:rsidR="009A022B" w:rsidRPr="009A022B" w:rsidRDefault="009A022B" w:rsidP="009A022B">
            <w:pPr>
              <w:rPr>
                <w:rFonts w:cs="Arial"/>
              </w:rPr>
            </w:pPr>
            <w:r w:rsidRPr="009A022B">
              <w:rPr>
                <w:szCs w:val="20"/>
                <w:u w:val="single"/>
                <w:lang w:val="en-US"/>
              </w:rPr>
              <w:t>5 mg</w:t>
            </w:r>
          </w:p>
        </w:tc>
        <w:tc>
          <w:tcPr>
            <w:tcW w:w="2394" w:type="dxa"/>
          </w:tcPr>
          <w:p w14:paraId="326E8B53" w14:textId="06D8AC6E" w:rsidR="009A022B" w:rsidRPr="009A022B" w:rsidRDefault="009A022B" w:rsidP="009A022B">
            <w:pPr>
              <w:rPr>
                <w:rFonts w:cs="Arial"/>
              </w:rPr>
            </w:pPr>
            <w:r w:rsidRPr="009A022B">
              <w:rPr>
                <w:szCs w:val="20"/>
              </w:rPr>
              <w:t>До 3 пъти дневно</w:t>
            </w:r>
          </w:p>
        </w:tc>
      </w:tr>
      <w:tr w:rsidR="009A022B" w14:paraId="2A173415" w14:textId="77777777" w:rsidTr="009A022B">
        <w:tc>
          <w:tcPr>
            <w:tcW w:w="2394" w:type="dxa"/>
          </w:tcPr>
          <w:p w14:paraId="1A52BB9C" w14:textId="415B9C4D" w:rsidR="009A022B" w:rsidRPr="009A022B" w:rsidRDefault="009A022B" w:rsidP="009A022B">
            <w:pPr>
              <w:rPr>
                <w:rFonts w:cs="Arial"/>
              </w:rPr>
            </w:pPr>
            <w:r w:rsidRPr="009A022B">
              <w:rPr>
                <w:szCs w:val="20"/>
              </w:rPr>
              <w:t>15-18 години</w:t>
            </w:r>
          </w:p>
        </w:tc>
        <w:tc>
          <w:tcPr>
            <w:tcW w:w="2394" w:type="dxa"/>
          </w:tcPr>
          <w:p w14:paraId="72F40C49" w14:textId="7288137B" w:rsidR="009A022B" w:rsidRPr="009A022B" w:rsidRDefault="009A022B" w:rsidP="009A022B">
            <w:pPr>
              <w:rPr>
                <w:rFonts w:cs="Arial"/>
              </w:rPr>
            </w:pPr>
            <w:r w:rsidRPr="009A022B">
              <w:rPr>
                <w:szCs w:val="20"/>
              </w:rPr>
              <w:t xml:space="preserve">Над </w:t>
            </w:r>
            <w:r w:rsidRPr="009A022B">
              <w:rPr>
                <w:szCs w:val="20"/>
                <w:lang w:val="en-US"/>
              </w:rPr>
              <w:t>60 kg</w:t>
            </w:r>
          </w:p>
        </w:tc>
        <w:tc>
          <w:tcPr>
            <w:tcW w:w="2394" w:type="dxa"/>
          </w:tcPr>
          <w:p w14:paraId="17884AB4" w14:textId="696049E5" w:rsidR="009A022B" w:rsidRPr="009A022B" w:rsidRDefault="009A022B" w:rsidP="009A022B">
            <w:pPr>
              <w:rPr>
                <w:rFonts w:cs="Arial"/>
              </w:rPr>
            </w:pPr>
            <w:r w:rsidRPr="009A022B">
              <w:rPr>
                <w:szCs w:val="20"/>
                <w:lang w:val="en-US"/>
              </w:rPr>
              <w:t>10 mg</w:t>
            </w:r>
          </w:p>
        </w:tc>
        <w:tc>
          <w:tcPr>
            <w:tcW w:w="2394" w:type="dxa"/>
          </w:tcPr>
          <w:p w14:paraId="62A68A5E" w14:textId="2DFFCBE8" w:rsidR="009A022B" w:rsidRPr="009A022B" w:rsidRDefault="009A022B" w:rsidP="009A022B">
            <w:pPr>
              <w:rPr>
                <w:rFonts w:cs="Arial"/>
              </w:rPr>
            </w:pPr>
            <w:r w:rsidRPr="009A022B">
              <w:rPr>
                <w:szCs w:val="20"/>
              </w:rPr>
              <w:t>До 3 пъти дневно</w:t>
            </w:r>
          </w:p>
        </w:tc>
      </w:tr>
    </w:tbl>
    <w:p w14:paraId="00BBF5BD" w14:textId="77777777" w:rsidR="009A022B" w:rsidRDefault="009A022B" w:rsidP="009A022B">
      <w:pPr>
        <w:spacing w:line="240" w:lineRule="auto"/>
        <w:rPr>
          <w:rFonts w:ascii="Times New Roman" w:eastAsia="Times New Roman" w:hAnsi="Times New Roman" w:cs="Times New Roman"/>
          <w:color w:val="000000"/>
          <w:sz w:val="20"/>
          <w:szCs w:val="20"/>
          <w:lang w:eastAsia="bg-BG"/>
        </w:rPr>
      </w:pPr>
    </w:p>
    <w:p w14:paraId="4E8E13DC" w14:textId="48B27193"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 xml:space="preserve">Максималната продължителност на лечение за предотвратяване на забавено гадене и повръщане при химиотерапия </w:t>
      </w:r>
      <w:r w:rsidRPr="009A022B">
        <w:rPr>
          <w:rFonts w:eastAsia="Times New Roman" w:cs="Arial"/>
          <w:i/>
          <w:iCs/>
          <w:color w:val="000000"/>
          <w:szCs w:val="20"/>
          <w:lang w:val="ru-RU"/>
        </w:rPr>
        <w:t>(</w:t>
      </w:r>
      <w:r w:rsidRPr="009A022B">
        <w:rPr>
          <w:rFonts w:eastAsia="Times New Roman" w:cs="Arial"/>
          <w:i/>
          <w:iCs/>
          <w:color w:val="000000"/>
          <w:szCs w:val="20"/>
          <w:lang w:val="en-US"/>
        </w:rPr>
        <w:t>CINV</w:t>
      </w:r>
      <w:r w:rsidRPr="009A022B">
        <w:rPr>
          <w:rFonts w:eastAsia="Times New Roman" w:cs="Arial"/>
          <w:i/>
          <w:iCs/>
          <w:color w:val="000000"/>
          <w:szCs w:val="20"/>
          <w:lang w:val="ru-RU"/>
        </w:rPr>
        <w:t>)</w:t>
      </w:r>
      <w:r w:rsidRPr="009A022B">
        <w:rPr>
          <w:rFonts w:eastAsia="Times New Roman" w:cs="Arial"/>
          <w:color w:val="000000"/>
          <w:szCs w:val="20"/>
          <w:lang w:val="ru-RU"/>
        </w:rPr>
        <w:t xml:space="preserve"> </w:t>
      </w:r>
      <w:r w:rsidRPr="009A022B">
        <w:rPr>
          <w:rFonts w:eastAsia="Times New Roman" w:cs="Arial"/>
          <w:color w:val="000000"/>
          <w:szCs w:val="20"/>
          <w:lang w:eastAsia="bg-BG"/>
        </w:rPr>
        <w:t>е 5 дни.</w:t>
      </w:r>
    </w:p>
    <w:p w14:paraId="61621458" w14:textId="77777777" w:rsidR="009A022B" w:rsidRPr="009A022B" w:rsidRDefault="009A022B" w:rsidP="009A022B">
      <w:pPr>
        <w:spacing w:line="240" w:lineRule="auto"/>
        <w:rPr>
          <w:rFonts w:eastAsia="Times New Roman" w:cs="Arial"/>
          <w:color w:val="000000"/>
          <w:szCs w:val="20"/>
          <w:lang w:eastAsia="bg-BG"/>
        </w:rPr>
      </w:pPr>
    </w:p>
    <w:p w14:paraId="3B9CC533" w14:textId="4E48FEC1"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 xml:space="preserve">Таблетките не са подходящи за приложение при деца с тегло по-малко от 61 </w:t>
      </w:r>
      <w:r w:rsidRPr="009A022B">
        <w:rPr>
          <w:rFonts w:eastAsia="Times New Roman" w:cs="Arial"/>
          <w:color w:val="000000"/>
          <w:szCs w:val="20"/>
          <w:lang w:val="en-US"/>
        </w:rPr>
        <w:t>kg</w:t>
      </w:r>
      <w:r w:rsidRPr="009A022B">
        <w:rPr>
          <w:rFonts w:eastAsia="Times New Roman" w:cs="Arial"/>
          <w:color w:val="000000"/>
          <w:szCs w:val="20"/>
          <w:lang w:val="ru-RU"/>
        </w:rPr>
        <w:t>.</w:t>
      </w:r>
    </w:p>
    <w:p w14:paraId="08460D0C" w14:textId="77777777"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Други лекарствени форми/количества на активното вещество може да бъдат по-подходящи за приложение при тази популация.</w:t>
      </w:r>
    </w:p>
    <w:p w14:paraId="7C226350" w14:textId="77777777" w:rsidR="009A022B" w:rsidRPr="009A022B" w:rsidRDefault="009A022B" w:rsidP="009A022B">
      <w:pPr>
        <w:spacing w:line="240" w:lineRule="auto"/>
        <w:rPr>
          <w:rFonts w:eastAsia="Times New Roman" w:cs="Arial"/>
          <w:color w:val="000000"/>
          <w:szCs w:val="20"/>
          <w:u w:val="single"/>
          <w:lang w:eastAsia="bg-BG"/>
        </w:rPr>
      </w:pPr>
    </w:p>
    <w:p w14:paraId="026F3ED5" w14:textId="17503C34" w:rsidR="009A022B" w:rsidRPr="009A022B" w:rsidRDefault="009A022B" w:rsidP="009A022B">
      <w:pPr>
        <w:spacing w:line="240" w:lineRule="auto"/>
        <w:rPr>
          <w:rFonts w:eastAsia="Times New Roman" w:cs="Arial"/>
          <w:szCs w:val="20"/>
        </w:rPr>
      </w:pPr>
      <w:r w:rsidRPr="009A022B">
        <w:rPr>
          <w:rFonts w:eastAsia="Times New Roman" w:cs="Arial"/>
          <w:color w:val="000000"/>
          <w:szCs w:val="20"/>
          <w:u w:val="single"/>
          <w:lang w:eastAsia="bg-BG"/>
        </w:rPr>
        <w:t>Специални популации</w:t>
      </w:r>
    </w:p>
    <w:p w14:paraId="15AC8AA9" w14:textId="77777777" w:rsidR="009A022B" w:rsidRPr="009A022B" w:rsidRDefault="009A022B" w:rsidP="009A022B">
      <w:pPr>
        <w:spacing w:line="240" w:lineRule="auto"/>
        <w:rPr>
          <w:rFonts w:eastAsia="Times New Roman" w:cs="Arial"/>
          <w:i/>
          <w:iCs/>
          <w:color w:val="000000"/>
          <w:szCs w:val="20"/>
          <w:lang w:eastAsia="bg-BG"/>
        </w:rPr>
      </w:pPr>
    </w:p>
    <w:p w14:paraId="00CA3112" w14:textId="4A4A0B9E" w:rsidR="009A022B" w:rsidRPr="009A022B" w:rsidRDefault="009A022B" w:rsidP="009A022B">
      <w:pPr>
        <w:spacing w:line="240" w:lineRule="auto"/>
        <w:rPr>
          <w:rFonts w:eastAsia="Times New Roman" w:cs="Arial"/>
          <w:szCs w:val="20"/>
        </w:rPr>
      </w:pPr>
      <w:r w:rsidRPr="009A022B">
        <w:rPr>
          <w:rFonts w:eastAsia="Times New Roman" w:cs="Arial"/>
          <w:i/>
          <w:iCs/>
          <w:color w:val="000000"/>
          <w:szCs w:val="20"/>
          <w:lang w:eastAsia="bg-BG"/>
        </w:rPr>
        <w:t>Старческа възраст</w:t>
      </w:r>
    </w:p>
    <w:p w14:paraId="67C94227" w14:textId="77777777"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При пациенти в старческа възраст трябва да се обмисли намаляване на дозата, въз основа на бъбречната и чернодробната функция и общото състояние.</w:t>
      </w:r>
    </w:p>
    <w:p w14:paraId="61F68B47" w14:textId="77777777" w:rsidR="009A022B" w:rsidRPr="009A022B" w:rsidRDefault="009A022B" w:rsidP="009A022B">
      <w:pPr>
        <w:spacing w:line="240" w:lineRule="auto"/>
        <w:rPr>
          <w:rFonts w:eastAsia="Times New Roman" w:cs="Arial"/>
          <w:i/>
          <w:iCs/>
          <w:color w:val="000000"/>
          <w:szCs w:val="20"/>
          <w:lang w:eastAsia="bg-BG"/>
        </w:rPr>
      </w:pPr>
    </w:p>
    <w:p w14:paraId="2EFBAF00" w14:textId="50E450A4" w:rsidR="009A022B" w:rsidRPr="009A022B" w:rsidRDefault="009A022B" w:rsidP="009A022B">
      <w:pPr>
        <w:spacing w:line="240" w:lineRule="auto"/>
        <w:rPr>
          <w:rFonts w:eastAsia="Times New Roman" w:cs="Arial"/>
          <w:szCs w:val="20"/>
        </w:rPr>
      </w:pPr>
      <w:r w:rsidRPr="009A022B">
        <w:rPr>
          <w:rFonts w:eastAsia="Times New Roman" w:cs="Arial"/>
          <w:i/>
          <w:iCs/>
          <w:color w:val="000000"/>
          <w:szCs w:val="20"/>
          <w:lang w:eastAsia="bg-BG"/>
        </w:rPr>
        <w:t>Бъбречно увреждане</w:t>
      </w:r>
    </w:p>
    <w:p w14:paraId="08755BC2" w14:textId="77777777"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 xml:space="preserve">При пациенти с бъбречно заболяване в терминален стадий (кретининов клирънс ≤ 15 </w:t>
      </w:r>
      <w:r w:rsidRPr="009A022B">
        <w:rPr>
          <w:rFonts w:eastAsia="Times New Roman" w:cs="Arial"/>
          <w:color w:val="000000"/>
          <w:szCs w:val="20"/>
          <w:lang w:val="en-US"/>
        </w:rPr>
        <w:t>ml</w:t>
      </w:r>
      <w:r w:rsidRPr="009A022B">
        <w:rPr>
          <w:rFonts w:eastAsia="Times New Roman" w:cs="Arial"/>
          <w:color w:val="000000"/>
          <w:szCs w:val="20"/>
          <w:lang w:val="ru-RU"/>
        </w:rPr>
        <w:t>/</w:t>
      </w:r>
      <w:r w:rsidRPr="009A022B">
        <w:rPr>
          <w:rFonts w:eastAsia="Times New Roman" w:cs="Arial"/>
          <w:color w:val="000000"/>
          <w:szCs w:val="20"/>
          <w:lang w:val="en-US"/>
        </w:rPr>
        <w:t>min</w:t>
      </w:r>
      <w:r w:rsidRPr="009A022B">
        <w:rPr>
          <w:rFonts w:eastAsia="Times New Roman" w:cs="Arial"/>
          <w:color w:val="000000"/>
          <w:szCs w:val="20"/>
          <w:lang w:val="ru-RU"/>
        </w:rPr>
        <w:t xml:space="preserve">), </w:t>
      </w:r>
      <w:r w:rsidRPr="009A022B">
        <w:rPr>
          <w:rFonts w:eastAsia="Times New Roman" w:cs="Arial"/>
          <w:color w:val="000000"/>
          <w:szCs w:val="20"/>
          <w:lang w:eastAsia="bg-BG"/>
        </w:rPr>
        <w:t>дневната доза трябва да се намали с 75%.</w:t>
      </w:r>
    </w:p>
    <w:p w14:paraId="194DE344" w14:textId="77777777"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 xml:space="preserve">При пациенти с умерено до тежко бъбречно увреждане (креатининов клирънс 15-60 </w:t>
      </w:r>
      <w:r w:rsidRPr="009A022B">
        <w:rPr>
          <w:rFonts w:eastAsia="Times New Roman" w:cs="Arial"/>
          <w:color w:val="000000"/>
          <w:szCs w:val="20"/>
          <w:lang w:val="en-US"/>
        </w:rPr>
        <w:t>ml</w:t>
      </w:r>
      <w:r w:rsidRPr="009A022B">
        <w:rPr>
          <w:rFonts w:eastAsia="Times New Roman" w:cs="Arial"/>
          <w:color w:val="000000"/>
          <w:szCs w:val="20"/>
          <w:lang w:val="ru-RU"/>
        </w:rPr>
        <w:t>/</w:t>
      </w:r>
      <w:r w:rsidRPr="009A022B">
        <w:rPr>
          <w:rFonts w:eastAsia="Times New Roman" w:cs="Arial"/>
          <w:color w:val="000000"/>
          <w:szCs w:val="20"/>
          <w:lang w:val="en-US"/>
        </w:rPr>
        <w:t>min</w:t>
      </w:r>
      <w:r w:rsidRPr="009A022B">
        <w:rPr>
          <w:rFonts w:eastAsia="Times New Roman" w:cs="Arial"/>
          <w:color w:val="000000"/>
          <w:szCs w:val="20"/>
          <w:lang w:val="ru-RU"/>
        </w:rPr>
        <w:t xml:space="preserve">), </w:t>
      </w:r>
      <w:r w:rsidRPr="009A022B">
        <w:rPr>
          <w:rFonts w:eastAsia="Times New Roman" w:cs="Arial"/>
          <w:color w:val="000000"/>
          <w:szCs w:val="20"/>
          <w:lang w:eastAsia="bg-BG"/>
        </w:rPr>
        <w:t>дозата трябва да се намали с 50% (вж. точка 5.2).</w:t>
      </w:r>
    </w:p>
    <w:p w14:paraId="25E8AE6E" w14:textId="77777777" w:rsidR="009A022B" w:rsidRPr="009A022B" w:rsidRDefault="009A022B" w:rsidP="009A022B">
      <w:pPr>
        <w:spacing w:line="240" w:lineRule="auto"/>
        <w:rPr>
          <w:rFonts w:eastAsia="Times New Roman" w:cs="Arial"/>
          <w:i/>
          <w:iCs/>
          <w:color w:val="000000"/>
          <w:szCs w:val="20"/>
          <w:lang w:eastAsia="bg-BG"/>
        </w:rPr>
      </w:pPr>
    </w:p>
    <w:p w14:paraId="5C146D9C" w14:textId="3AE2B28D" w:rsidR="009A022B" w:rsidRPr="009A022B" w:rsidRDefault="009A022B" w:rsidP="009A022B">
      <w:pPr>
        <w:spacing w:line="240" w:lineRule="auto"/>
        <w:rPr>
          <w:rFonts w:eastAsia="Times New Roman" w:cs="Arial"/>
          <w:szCs w:val="20"/>
        </w:rPr>
      </w:pPr>
      <w:r w:rsidRPr="009A022B">
        <w:rPr>
          <w:rFonts w:eastAsia="Times New Roman" w:cs="Arial"/>
          <w:i/>
          <w:iCs/>
          <w:color w:val="000000"/>
          <w:szCs w:val="20"/>
          <w:lang w:eastAsia="bg-BG"/>
        </w:rPr>
        <w:t>Чернодробно увреждане</w:t>
      </w:r>
    </w:p>
    <w:p w14:paraId="0E1CDB19" w14:textId="09791330"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 xml:space="preserve">При пациенти с тежко чернодробно увреждане, дозата трябва да се намали с 50% (вж. </w:t>
      </w:r>
      <w:r>
        <w:rPr>
          <w:rFonts w:eastAsia="Times New Roman" w:cs="Arial"/>
          <w:color w:val="000000"/>
          <w:szCs w:val="20"/>
          <w:lang w:eastAsia="bg-BG"/>
        </w:rPr>
        <w:t>т</w:t>
      </w:r>
      <w:r w:rsidRPr="009A022B">
        <w:rPr>
          <w:rFonts w:eastAsia="Times New Roman" w:cs="Arial"/>
          <w:color w:val="000000"/>
          <w:szCs w:val="20"/>
          <w:lang w:eastAsia="bg-BG"/>
        </w:rPr>
        <w:t>очка</w:t>
      </w:r>
      <w:r w:rsidRPr="009A022B">
        <w:rPr>
          <w:rFonts w:eastAsia="Times New Roman" w:cs="Arial"/>
          <w:szCs w:val="20"/>
          <w:lang w:val="ru-RU"/>
        </w:rPr>
        <w:t xml:space="preserve"> 5.2</w:t>
      </w:r>
      <w:r w:rsidRPr="009A022B">
        <w:rPr>
          <w:rFonts w:eastAsia="Times New Roman" w:cs="Arial"/>
          <w:color w:val="000000"/>
          <w:szCs w:val="20"/>
          <w:lang w:eastAsia="bg-BG"/>
        </w:rPr>
        <w:t>).</w:t>
      </w:r>
    </w:p>
    <w:p w14:paraId="3209BE9F" w14:textId="77777777" w:rsidR="009A022B" w:rsidRPr="009A022B" w:rsidRDefault="009A022B" w:rsidP="009A022B">
      <w:pPr>
        <w:spacing w:line="240" w:lineRule="auto"/>
        <w:rPr>
          <w:rFonts w:eastAsia="Times New Roman" w:cs="Arial"/>
          <w:i/>
          <w:iCs/>
          <w:color w:val="000000"/>
          <w:szCs w:val="20"/>
          <w:lang w:eastAsia="bg-BG"/>
        </w:rPr>
      </w:pPr>
    </w:p>
    <w:p w14:paraId="040E0562" w14:textId="45CF0543" w:rsidR="009A022B" w:rsidRPr="009A022B" w:rsidRDefault="009A022B" w:rsidP="009A022B">
      <w:pPr>
        <w:spacing w:line="240" w:lineRule="auto"/>
        <w:rPr>
          <w:rFonts w:eastAsia="Times New Roman" w:cs="Arial"/>
          <w:szCs w:val="20"/>
        </w:rPr>
      </w:pPr>
      <w:r w:rsidRPr="009A022B">
        <w:rPr>
          <w:rFonts w:eastAsia="Times New Roman" w:cs="Arial"/>
          <w:i/>
          <w:iCs/>
          <w:color w:val="000000"/>
          <w:szCs w:val="20"/>
          <w:lang w:eastAsia="bg-BG"/>
        </w:rPr>
        <w:t>Педиатрична популация</w:t>
      </w:r>
    </w:p>
    <w:p w14:paraId="28F13607" w14:textId="77777777" w:rsidR="009A022B" w:rsidRPr="009A022B" w:rsidRDefault="009A022B" w:rsidP="009A022B">
      <w:pPr>
        <w:spacing w:line="240" w:lineRule="auto"/>
        <w:rPr>
          <w:rFonts w:eastAsia="Times New Roman" w:cs="Arial"/>
          <w:szCs w:val="20"/>
        </w:rPr>
      </w:pPr>
      <w:r w:rsidRPr="009A022B">
        <w:rPr>
          <w:rFonts w:eastAsia="Times New Roman" w:cs="Arial"/>
          <w:color w:val="000000"/>
          <w:szCs w:val="20"/>
          <w:lang w:eastAsia="bg-BG"/>
        </w:rPr>
        <w:t>Метоклопрамид е противопоказан при деца на възраст под 1 година (вж. точка 4.3).</w:t>
      </w:r>
    </w:p>
    <w:p w14:paraId="6CCF4C39" w14:textId="77777777" w:rsidR="009A022B" w:rsidRPr="009A022B" w:rsidRDefault="009A022B" w:rsidP="009A022B">
      <w:pPr>
        <w:rPr>
          <w:rFonts w:cs="Arial"/>
          <w:sz w:val="24"/>
        </w:rPr>
      </w:pPr>
    </w:p>
    <w:p w14:paraId="62B13D0B" w14:textId="04E1CCD1" w:rsidR="00395555" w:rsidRDefault="002C50EE" w:rsidP="008A6AF2">
      <w:pPr>
        <w:pStyle w:val="Heading2"/>
      </w:pPr>
      <w:r>
        <w:t>4.3. Противопоказания</w:t>
      </w:r>
    </w:p>
    <w:p w14:paraId="657B2020" w14:textId="3F8C604A" w:rsidR="009A022B" w:rsidRDefault="009A022B" w:rsidP="009A022B"/>
    <w:p w14:paraId="5C0D0B86" w14:textId="77777777" w:rsidR="009A022B" w:rsidRPr="009A022B" w:rsidRDefault="009A022B" w:rsidP="009A022B">
      <w:pPr>
        <w:pStyle w:val="ListParagraph"/>
        <w:numPr>
          <w:ilvl w:val="0"/>
          <w:numId w:val="34"/>
        </w:numPr>
        <w:rPr>
          <w:sz w:val="24"/>
          <w:szCs w:val="24"/>
        </w:rPr>
      </w:pPr>
      <w:r w:rsidRPr="009A022B">
        <w:rPr>
          <w:lang w:eastAsia="bg-BG"/>
        </w:rPr>
        <w:t>Свръхчувствителност към активното вещество или към някое от помощните вещества, изброени в точка 6.1</w:t>
      </w:r>
    </w:p>
    <w:p w14:paraId="7B800ABD" w14:textId="77777777" w:rsidR="009A022B" w:rsidRPr="009A022B" w:rsidRDefault="009A022B" w:rsidP="009A022B">
      <w:pPr>
        <w:pStyle w:val="ListParagraph"/>
        <w:numPr>
          <w:ilvl w:val="0"/>
          <w:numId w:val="34"/>
        </w:numPr>
        <w:rPr>
          <w:sz w:val="24"/>
          <w:szCs w:val="24"/>
        </w:rPr>
      </w:pPr>
      <w:r w:rsidRPr="009A022B">
        <w:rPr>
          <w:lang w:eastAsia="bg-BG"/>
        </w:rPr>
        <w:lastRenderedPageBreak/>
        <w:t>Стомашно-чревно кървене, механична обструкция или стомашно-чревна перфорация, за които стимулацията на стомашно-чревния мотилитет представлява риск</w:t>
      </w:r>
    </w:p>
    <w:p w14:paraId="130654E1" w14:textId="77777777" w:rsidR="009A022B" w:rsidRPr="009A022B" w:rsidRDefault="009A022B" w:rsidP="009A022B">
      <w:pPr>
        <w:pStyle w:val="ListParagraph"/>
        <w:numPr>
          <w:ilvl w:val="0"/>
          <w:numId w:val="34"/>
        </w:numPr>
        <w:rPr>
          <w:sz w:val="24"/>
          <w:szCs w:val="24"/>
        </w:rPr>
      </w:pPr>
      <w:r w:rsidRPr="009A022B">
        <w:rPr>
          <w:lang w:eastAsia="bg-BG"/>
        </w:rPr>
        <w:t xml:space="preserve">Потвърден или подозиран феохромоцитом, поради риск от тежки хипертонични кризи </w:t>
      </w:r>
    </w:p>
    <w:p w14:paraId="25BECEF1" w14:textId="77777777" w:rsidR="009A022B" w:rsidRPr="009A022B" w:rsidRDefault="009A022B" w:rsidP="009A022B">
      <w:pPr>
        <w:pStyle w:val="ListParagraph"/>
        <w:numPr>
          <w:ilvl w:val="0"/>
          <w:numId w:val="34"/>
        </w:numPr>
        <w:rPr>
          <w:sz w:val="24"/>
          <w:szCs w:val="24"/>
        </w:rPr>
      </w:pPr>
      <w:r w:rsidRPr="009A022B">
        <w:rPr>
          <w:lang w:eastAsia="bg-BG"/>
        </w:rPr>
        <w:t xml:space="preserve">Анамнеза за невролептична или предизвикана от метоклопрамид тардивна дискинезия </w:t>
      </w:r>
    </w:p>
    <w:p w14:paraId="7A28E68C" w14:textId="74F2E818" w:rsidR="009A022B" w:rsidRPr="009A022B" w:rsidRDefault="009A022B" w:rsidP="009A022B">
      <w:pPr>
        <w:pStyle w:val="ListParagraph"/>
        <w:numPr>
          <w:ilvl w:val="0"/>
          <w:numId w:val="34"/>
        </w:numPr>
        <w:rPr>
          <w:sz w:val="24"/>
          <w:szCs w:val="24"/>
        </w:rPr>
      </w:pPr>
      <w:r w:rsidRPr="009A022B">
        <w:rPr>
          <w:lang w:eastAsia="bg-BG"/>
        </w:rPr>
        <w:t>Епилепсия (повишена честота и интензитет на пристъпите)</w:t>
      </w:r>
    </w:p>
    <w:p w14:paraId="0E218CA9" w14:textId="77777777" w:rsidR="009A022B" w:rsidRPr="009A022B" w:rsidRDefault="009A022B" w:rsidP="009A022B">
      <w:pPr>
        <w:pStyle w:val="ListParagraph"/>
        <w:numPr>
          <w:ilvl w:val="0"/>
          <w:numId w:val="34"/>
        </w:numPr>
        <w:rPr>
          <w:sz w:val="24"/>
          <w:szCs w:val="24"/>
        </w:rPr>
      </w:pPr>
      <w:r w:rsidRPr="009A022B">
        <w:rPr>
          <w:lang w:eastAsia="bg-BG"/>
        </w:rPr>
        <w:t>Болест на Паркинсон</w:t>
      </w:r>
    </w:p>
    <w:p w14:paraId="381DF65A" w14:textId="77777777" w:rsidR="009A022B" w:rsidRPr="009A022B" w:rsidRDefault="009A022B" w:rsidP="009A022B">
      <w:pPr>
        <w:pStyle w:val="ListParagraph"/>
        <w:numPr>
          <w:ilvl w:val="0"/>
          <w:numId w:val="34"/>
        </w:numPr>
        <w:rPr>
          <w:sz w:val="24"/>
          <w:szCs w:val="24"/>
        </w:rPr>
      </w:pPr>
      <w:r w:rsidRPr="009A022B">
        <w:rPr>
          <w:lang w:eastAsia="bg-BG"/>
        </w:rPr>
        <w:t>Комбинация с леводопа или допаминергични агонисти (вж. точка 4.5)</w:t>
      </w:r>
    </w:p>
    <w:p w14:paraId="7080B50E" w14:textId="77777777" w:rsidR="009A022B" w:rsidRPr="009A022B" w:rsidRDefault="009A022B" w:rsidP="009A022B">
      <w:pPr>
        <w:pStyle w:val="ListParagraph"/>
        <w:numPr>
          <w:ilvl w:val="0"/>
          <w:numId w:val="34"/>
        </w:numPr>
        <w:rPr>
          <w:sz w:val="24"/>
          <w:szCs w:val="24"/>
        </w:rPr>
      </w:pPr>
      <w:r w:rsidRPr="009A022B">
        <w:rPr>
          <w:lang w:eastAsia="bg-BG"/>
        </w:rPr>
        <w:t xml:space="preserve">Известна анамнеза за метхемоглобинемия свързана, с метоклопрамид или дефицит на </w:t>
      </w:r>
      <w:r w:rsidRPr="009A022B">
        <w:rPr>
          <w:i/>
          <w:iCs/>
          <w:lang w:val="en-US"/>
        </w:rPr>
        <w:t>NADH</w:t>
      </w:r>
      <w:r w:rsidRPr="009A022B">
        <w:rPr>
          <w:i/>
          <w:iCs/>
          <w:lang w:val="ru-RU"/>
        </w:rPr>
        <w:t xml:space="preserve"> </w:t>
      </w:r>
      <w:r w:rsidRPr="009A022B">
        <w:rPr>
          <w:i/>
          <w:iCs/>
          <w:lang w:eastAsia="bg-BG"/>
        </w:rPr>
        <w:t>цитохром-</w:t>
      </w:r>
      <w:r w:rsidRPr="009A022B">
        <w:rPr>
          <w:i/>
          <w:iCs/>
          <w:lang w:val="en-US"/>
        </w:rPr>
        <w:t>b</w:t>
      </w:r>
      <w:r w:rsidRPr="009A022B">
        <w:rPr>
          <w:i/>
          <w:iCs/>
          <w:lang w:eastAsia="bg-BG"/>
        </w:rPr>
        <w:t>5.</w:t>
      </w:r>
    </w:p>
    <w:p w14:paraId="14AEDC8A" w14:textId="77777777" w:rsidR="009A022B" w:rsidRPr="009A022B" w:rsidRDefault="009A022B" w:rsidP="009A022B">
      <w:pPr>
        <w:pStyle w:val="ListParagraph"/>
        <w:numPr>
          <w:ilvl w:val="0"/>
          <w:numId w:val="34"/>
        </w:numPr>
        <w:rPr>
          <w:sz w:val="24"/>
          <w:szCs w:val="24"/>
        </w:rPr>
      </w:pPr>
      <w:r w:rsidRPr="009A022B">
        <w:rPr>
          <w:lang w:eastAsia="bg-BG"/>
        </w:rPr>
        <w:t>Приложение при деца на възраст под 1 година, поради повишен риск от екстрапирамидни нарушения (вж. точка 4.4)</w:t>
      </w:r>
    </w:p>
    <w:p w14:paraId="0756C99C" w14:textId="77777777" w:rsidR="009A022B" w:rsidRPr="009A022B" w:rsidRDefault="009A022B" w:rsidP="009A022B"/>
    <w:p w14:paraId="5A4AC413" w14:textId="2415AE85" w:rsidR="00395555" w:rsidRDefault="002C50EE" w:rsidP="008A6AF2">
      <w:pPr>
        <w:pStyle w:val="Heading2"/>
      </w:pPr>
      <w:r>
        <w:t>4.4. Специални предупреждения и предпазни мерки при употреба</w:t>
      </w:r>
    </w:p>
    <w:p w14:paraId="6ED4FC48" w14:textId="7BDF396F" w:rsidR="009A022B" w:rsidRDefault="009A022B" w:rsidP="009A022B"/>
    <w:p w14:paraId="4226F49A"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Неврологични нарушения</w:t>
      </w:r>
    </w:p>
    <w:p w14:paraId="6B82918F"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Могат да настъпят екстрапирамидни нарушения, особено при деца и млади хора и/или когато се използват високи дози. Тези реакции настъпват обикновено в началото на лечението и могат да настъпят след еднократно приложение. Приема на метоклопрамид трябва да се прекрати незабавно в случаи на екстрапирамидни симптоми. Тези ефекти като цяло са напълно обратими след прекратяване на лечението, но могат да наложат симптоматично лечение (бензодиазепини при деца и/или антихолинергични антипаркинсонови лекарствени продукти при възрастни).</w:t>
      </w:r>
    </w:p>
    <w:p w14:paraId="28CB9C5F" w14:textId="77777777" w:rsidR="009A022B" w:rsidRPr="009A022B" w:rsidRDefault="009A022B" w:rsidP="009A022B">
      <w:pPr>
        <w:spacing w:line="240" w:lineRule="auto"/>
        <w:rPr>
          <w:rFonts w:eastAsia="Times New Roman" w:cs="Arial"/>
          <w:color w:val="000000"/>
          <w:szCs w:val="20"/>
          <w:lang w:eastAsia="bg-BG"/>
        </w:rPr>
      </w:pPr>
    </w:p>
    <w:p w14:paraId="0B16FE15" w14:textId="140BEE8F"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Времевия интервал от поне 6 часа, посочен в точка 4.2 трябва да се спазва между всяко приложение на метоклопрамид, дори в случай на повръщане и отхвърляне на дозата, с цел да се избегне предозиране.</w:t>
      </w:r>
    </w:p>
    <w:p w14:paraId="71599091" w14:textId="77777777" w:rsidR="009A022B" w:rsidRPr="009A022B" w:rsidRDefault="009A022B" w:rsidP="009A022B">
      <w:pPr>
        <w:spacing w:line="240" w:lineRule="auto"/>
        <w:rPr>
          <w:rFonts w:eastAsia="Times New Roman" w:cs="Arial"/>
          <w:color w:val="000000"/>
          <w:szCs w:val="20"/>
          <w:lang w:eastAsia="bg-BG"/>
        </w:rPr>
      </w:pPr>
    </w:p>
    <w:p w14:paraId="0C1E2B19" w14:textId="197324DA"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Продължителното лечение с метоклопрамид може да причини тардивна дискинезия, потенциално необратима, особено при пациенти в старческа възраст. Лечението не трябва да надвишава 3 месеца, поради риска от тардивна дискинезия (вж. точка 4.8). Лечението трябва да се прекрати, ако възникнат клинични признаци на тардивна дискинезия.</w:t>
      </w:r>
    </w:p>
    <w:p w14:paraId="20A29D24" w14:textId="77777777" w:rsidR="009A022B" w:rsidRPr="009A022B" w:rsidRDefault="009A022B" w:rsidP="009A022B">
      <w:pPr>
        <w:spacing w:line="240" w:lineRule="auto"/>
        <w:rPr>
          <w:rFonts w:eastAsia="Times New Roman" w:cs="Arial"/>
          <w:color w:val="000000"/>
          <w:szCs w:val="20"/>
          <w:lang w:eastAsia="bg-BG"/>
        </w:rPr>
      </w:pPr>
    </w:p>
    <w:p w14:paraId="7C680BC9" w14:textId="6FC9828F"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При комбинация на метоклопрамид с невролептици, както и при монотерапия с метоклопрамид се съобщава за невролептичен малигнен синдром (вж. точка 4.8). Метоклопрамид трябва да се спре незабавно при възникване на симптоми на невролептичен малигнен синдром и трябва да се започне подходящо лечение.</w:t>
      </w:r>
    </w:p>
    <w:p w14:paraId="03946A95" w14:textId="77777777" w:rsidR="009A022B" w:rsidRPr="009A022B" w:rsidRDefault="009A022B" w:rsidP="009A022B">
      <w:pPr>
        <w:spacing w:line="240" w:lineRule="auto"/>
        <w:rPr>
          <w:rFonts w:eastAsia="Times New Roman" w:cs="Arial"/>
          <w:color w:val="000000"/>
          <w:szCs w:val="20"/>
          <w:lang w:eastAsia="bg-BG"/>
        </w:rPr>
      </w:pPr>
    </w:p>
    <w:p w14:paraId="3E991694" w14:textId="7B18DAF2"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Необходимо е да се подхожда със специално внимание при пациенти с подлежащи неврологични заболявания и при пациенти, които са били лекувани с други лекарства с централно действие (вж. точка 4.3).</w:t>
      </w:r>
    </w:p>
    <w:p w14:paraId="21E81C57" w14:textId="77777777" w:rsidR="009A022B" w:rsidRPr="009A022B" w:rsidRDefault="009A022B" w:rsidP="009A022B">
      <w:pPr>
        <w:spacing w:line="240" w:lineRule="auto"/>
        <w:rPr>
          <w:rFonts w:eastAsia="Times New Roman" w:cs="Arial"/>
          <w:color w:val="000000"/>
          <w:szCs w:val="20"/>
          <w:lang w:eastAsia="bg-BG"/>
        </w:rPr>
      </w:pPr>
    </w:p>
    <w:p w14:paraId="12040FA6" w14:textId="184ECBAB"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Симптомите на Болест на Паркинсон могат да бъдат обострени от метоклопрамид.</w:t>
      </w:r>
    </w:p>
    <w:p w14:paraId="27AEE1CA" w14:textId="77777777" w:rsidR="009A022B" w:rsidRPr="009A022B" w:rsidRDefault="009A022B" w:rsidP="009A022B">
      <w:pPr>
        <w:spacing w:line="240" w:lineRule="auto"/>
        <w:rPr>
          <w:rFonts w:eastAsia="Times New Roman" w:cs="Arial"/>
          <w:color w:val="000000"/>
          <w:szCs w:val="20"/>
          <w:u w:val="single"/>
          <w:lang w:eastAsia="bg-BG"/>
        </w:rPr>
      </w:pPr>
    </w:p>
    <w:p w14:paraId="40D90BA7" w14:textId="6093F871"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Метхемоглобинемия</w:t>
      </w:r>
    </w:p>
    <w:p w14:paraId="61A0CFEC"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lastRenderedPageBreak/>
        <w:t xml:space="preserve">Съобщава се за метхемоглобинемия, която може да е свързана с дефицит на </w:t>
      </w:r>
      <w:r w:rsidRPr="009A022B">
        <w:rPr>
          <w:rFonts w:eastAsia="Times New Roman" w:cs="Arial"/>
          <w:i/>
          <w:iCs/>
          <w:color w:val="000000"/>
          <w:szCs w:val="20"/>
          <w:lang w:val="en-US"/>
        </w:rPr>
        <w:t>NADH</w:t>
      </w:r>
      <w:r w:rsidRPr="009A022B">
        <w:rPr>
          <w:rFonts w:eastAsia="Times New Roman" w:cs="Arial"/>
          <w:i/>
          <w:iCs/>
          <w:color w:val="000000"/>
          <w:szCs w:val="20"/>
          <w:lang w:val="ru-RU"/>
        </w:rPr>
        <w:t xml:space="preserve"> </w:t>
      </w:r>
      <w:r w:rsidRPr="009A022B">
        <w:rPr>
          <w:rFonts w:eastAsia="Times New Roman" w:cs="Arial"/>
          <w:i/>
          <w:iCs/>
          <w:color w:val="000000"/>
          <w:szCs w:val="20"/>
          <w:lang w:eastAsia="bg-BG"/>
        </w:rPr>
        <w:t xml:space="preserve">цитохром </w:t>
      </w:r>
      <w:r w:rsidRPr="009A022B">
        <w:rPr>
          <w:rFonts w:eastAsia="Times New Roman" w:cs="Arial"/>
          <w:i/>
          <w:iCs/>
          <w:color w:val="000000"/>
          <w:szCs w:val="20"/>
          <w:lang w:val="en-US"/>
        </w:rPr>
        <w:t>b</w:t>
      </w:r>
      <w:r w:rsidRPr="009A022B">
        <w:rPr>
          <w:rFonts w:eastAsia="Times New Roman" w:cs="Arial"/>
          <w:i/>
          <w:iCs/>
          <w:color w:val="000000"/>
          <w:szCs w:val="20"/>
          <w:lang w:eastAsia="bg-BG"/>
        </w:rPr>
        <w:t>5</w:t>
      </w:r>
      <w:r w:rsidRPr="009A022B">
        <w:rPr>
          <w:rFonts w:eastAsia="Times New Roman" w:cs="Arial"/>
          <w:color w:val="000000"/>
          <w:szCs w:val="20"/>
          <w:lang w:eastAsia="bg-BG"/>
        </w:rPr>
        <w:t xml:space="preserve"> редуктаза. В такива случаи метоклопрамид трябва да се спре незабавно и за постоянно и трябва да се предприемат подходящи мерки (като например лечение с метиленово синьо).</w:t>
      </w:r>
    </w:p>
    <w:p w14:paraId="157A850C" w14:textId="77777777" w:rsidR="009A022B" w:rsidRPr="009A022B" w:rsidRDefault="009A022B" w:rsidP="009A022B">
      <w:pPr>
        <w:spacing w:line="240" w:lineRule="auto"/>
        <w:rPr>
          <w:rFonts w:eastAsia="Times New Roman" w:cs="Arial"/>
          <w:color w:val="000000"/>
          <w:szCs w:val="20"/>
          <w:u w:val="single"/>
          <w:lang w:eastAsia="bg-BG"/>
        </w:rPr>
      </w:pPr>
    </w:p>
    <w:p w14:paraId="71556ACC" w14:textId="2B02621C"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Сърдечни нарушения</w:t>
      </w:r>
    </w:p>
    <w:p w14:paraId="74EEFAAF"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Налични са съобщения за сериозни нежелани реакции от страна на сърдечно-съдовата система, включващи случаи на циркулаторен колапс, тежка брадикардия, спиране на сърдечната дейност и удължаване на </w:t>
      </w:r>
      <w:r w:rsidRPr="009A022B">
        <w:rPr>
          <w:rFonts w:eastAsia="Times New Roman" w:cs="Arial"/>
          <w:color w:val="000000"/>
          <w:szCs w:val="20"/>
          <w:lang w:val="en-US"/>
        </w:rPr>
        <w:t>QT</w:t>
      </w:r>
      <w:r w:rsidRPr="009A022B">
        <w:rPr>
          <w:rFonts w:eastAsia="Times New Roman" w:cs="Arial"/>
          <w:color w:val="000000"/>
          <w:szCs w:val="20"/>
          <w:lang w:val="ru-RU"/>
        </w:rPr>
        <w:t xml:space="preserve"> </w:t>
      </w:r>
      <w:r w:rsidRPr="009A022B">
        <w:rPr>
          <w:rFonts w:eastAsia="Times New Roman" w:cs="Arial"/>
          <w:color w:val="000000"/>
          <w:szCs w:val="20"/>
          <w:lang w:eastAsia="bg-BG"/>
        </w:rPr>
        <w:t>интервала след приложение на метоклопрамид чрез инжектиране, особено чрез интравенозен път (вж. точка 4.8).</w:t>
      </w:r>
    </w:p>
    <w:p w14:paraId="6909760B" w14:textId="77777777" w:rsidR="009A022B" w:rsidRPr="009A022B" w:rsidRDefault="009A022B" w:rsidP="009A022B">
      <w:pPr>
        <w:spacing w:line="240" w:lineRule="auto"/>
        <w:rPr>
          <w:rFonts w:eastAsia="Times New Roman" w:cs="Arial"/>
          <w:color w:val="000000"/>
          <w:szCs w:val="20"/>
          <w:lang w:eastAsia="bg-BG"/>
        </w:rPr>
      </w:pPr>
    </w:p>
    <w:p w14:paraId="0F13FF0B" w14:textId="28809CBB"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Необходимо е специално внимание, когато се прилага метоклопрамид, особено чрез интравенозен път на въвеждане, на популация в старческа възраст, на пациенти с нарушена сърдечна проводимост (включително удължен </w:t>
      </w:r>
      <w:r w:rsidRPr="009A022B">
        <w:rPr>
          <w:rFonts w:eastAsia="Times New Roman" w:cs="Arial"/>
          <w:color w:val="000000"/>
          <w:szCs w:val="20"/>
          <w:lang w:val="en-US"/>
        </w:rPr>
        <w:t>QT</w:t>
      </w:r>
      <w:r w:rsidRPr="009A022B">
        <w:rPr>
          <w:rFonts w:eastAsia="Times New Roman" w:cs="Arial"/>
          <w:color w:val="000000"/>
          <w:szCs w:val="20"/>
          <w:lang w:val="ru-RU"/>
        </w:rPr>
        <w:t xml:space="preserve"> </w:t>
      </w:r>
      <w:r w:rsidRPr="009A022B">
        <w:rPr>
          <w:rFonts w:eastAsia="Times New Roman" w:cs="Arial"/>
          <w:color w:val="000000"/>
          <w:szCs w:val="20"/>
          <w:lang w:eastAsia="bg-BG"/>
        </w:rPr>
        <w:t xml:space="preserve">интервал), пациенти с некоригиран електролитен дисбаланс, брадикардия и такива, приемащи други лекарства, за които се знае, че удължават </w:t>
      </w:r>
      <w:r w:rsidRPr="009A022B">
        <w:rPr>
          <w:rFonts w:eastAsia="Times New Roman" w:cs="Arial"/>
          <w:color w:val="000000"/>
          <w:szCs w:val="20"/>
          <w:lang w:val="en-US"/>
        </w:rPr>
        <w:t>QT</w:t>
      </w:r>
      <w:r w:rsidRPr="009A022B">
        <w:rPr>
          <w:rFonts w:eastAsia="Times New Roman" w:cs="Arial"/>
          <w:color w:val="000000"/>
          <w:szCs w:val="20"/>
          <w:lang w:val="ru-RU"/>
        </w:rPr>
        <w:t xml:space="preserve"> </w:t>
      </w:r>
      <w:r w:rsidRPr="009A022B">
        <w:rPr>
          <w:rFonts w:eastAsia="Times New Roman" w:cs="Arial"/>
          <w:color w:val="000000"/>
          <w:szCs w:val="20"/>
          <w:lang w:eastAsia="bg-BG"/>
        </w:rPr>
        <w:t>интервала.</w:t>
      </w:r>
    </w:p>
    <w:p w14:paraId="0D2BF907"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Интравенозните дози, трябва да се прилагат като бавен болус (за не по-малко от 3 минути) с цел намаляване на риска от нежелани реакции (т.е. хипотония, акатизия).</w:t>
      </w:r>
    </w:p>
    <w:p w14:paraId="28C4FF3D" w14:textId="77777777" w:rsidR="009A022B" w:rsidRPr="009A022B" w:rsidRDefault="009A022B" w:rsidP="009A022B">
      <w:pPr>
        <w:spacing w:line="240" w:lineRule="auto"/>
        <w:rPr>
          <w:rFonts w:eastAsia="Times New Roman" w:cs="Arial"/>
          <w:color w:val="000000"/>
          <w:szCs w:val="20"/>
          <w:u w:val="single"/>
          <w:lang w:eastAsia="bg-BG"/>
        </w:rPr>
      </w:pPr>
    </w:p>
    <w:p w14:paraId="6AFD4593" w14:textId="2EAFC929"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u w:val="single"/>
          <w:lang w:eastAsia="bg-BG"/>
        </w:rPr>
        <w:t>Бъбречно и чернодробно увреждане</w:t>
      </w:r>
    </w:p>
    <w:p w14:paraId="116315E9"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При пациенти с бъбречно увреждане или с тежко чернодробно увреждане, се препоръчва намаляване на дозата (вж. точка 4.2).</w:t>
      </w:r>
    </w:p>
    <w:p w14:paraId="74F8061C" w14:textId="77777777" w:rsidR="009A022B" w:rsidRPr="009A022B" w:rsidRDefault="009A022B" w:rsidP="009A022B">
      <w:pPr>
        <w:rPr>
          <w:rFonts w:eastAsia="Times New Roman" w:cs="Arial"/>
          <w:color w:val="000000"/>
          <w:szCs w:val="20"/>
          <w:lang w:eastAsia="bg-BG"/>
        </w:rPr>
      </w:pPr>
    </w:p>
    <w:p w14:paraId="3DAB4B17" w14:textId="1041D29A" w:rsidR="009A022B" w:rsidRDefault="009A022B" w:rsidP="009A022B">
      <w:pPr>
        <w:rPr>
          <w:rFonts w:eastAsia="Times New Roman" w:cs="Arial"/>
          <w:color w:val="000000"/>
          <w:szCs w:val="20"/>
          <w:lang w:eastAsia="bg-BG"/>
        </w:rPr>
      </w:pPr>
      <w:r w:rsidRPr="009A022B">
        <w:rPr>
          <w:rFonts w:eastAsia="Times New Roman" w:cs="Arial"/>
          <w:color w:val="000000"/>
          <w:szCs w:val="20"/>
          <w:lang w:eastAsia="bg-BG"/>
        </w:rPr>
        <w:t xml:space="preserve">Пациенти с редки наследствени проблеми на галактозна непоносимост, </w:t>
      </w:r>
      <w:r w:rsidRPr="009A022B">
        <w:rPr>
          <w:rFonts w:eastAsia="Times New Roman" w:cs="Arial"/>
          <w:color w:val="000000"/>
          <w:szCs w:val="20"/>
          <w:lang w:val="en-US"/>
        </w:rPr>
        <w:t>Lapp</w:t>
      </w:r>
      <w:r w:rsidRPr="009A022B">
        <w:rPr>
          <w:rFonts w:eastAsia="Times New Roman" w:cs="Arial"/>
          <w:color w:val="000000"/>
          <w:szCs w:val="20"/>
          <w:lang w:val="ru-RU"/>
        </w:rPr>
        <w:t xml:space="preserve"> </w:t>
      </w:r>
      <w:r w:rsidRPr="009A022B">
        <w:rPr>
          <w:rFonts w:eastAsia="Times New Roman" w:cs="Arial"/>
          <w:color w:val="000000"/>
          <w:szCs w:val="20"/>
          <w:lang w:eastAsia="bg-BG"/>
        </w:rPr>
        <w:t>лактазен дефицит или глюкозо-галактозна малабсорбция не трябва да приемат това лекарство.</w:t>
      </w:r>
    </w:p>
    <w:p w14:paraId="4839137B" w14:textId="77777777" w:rsidR="009A022B" w:rsidRPr="009A022B" w:rsidRDefault="009A022B" w:rsidP="009A022B">
      <w:pPr>
        <w:rPr>
          <w:rFonts w:cs="Arial"/>
          <w:sz w:val="24"/>
        </w:rPr>
      </w:pPr>
    </w:p>
    <w:p w14:paraId="1244F76A" w14:textId="55BACBF4" w:rsidR="00395555" w:rsidRDefault="002C50EE" w:rsidP="008A6AF2">
      <w:pPr>
        <w:pStyle w:val="Heading2"/>
      </w:pPr>
      <w:r>
        <w:t>4.5. Взаимодействие с други лекарствени продукти и други форми на взаимодействие</w:t>
      </w:r>
    </w:p>
    <w:p w14:paraId="7A2F3B29" w14:textId="00FD86D7" w:rsidR="009A022B" w:rsidRDefault="009A022B" w:rsidP="009A022B"/>
    <w:p w14:paraId="4FEB6BD7" w14:textId="77777777" w:rsidR="009A022B" w:rsidRPr="009A022B" w:rsidRDefault="009A022B" w:rsidP="009A022B">
      <w:pPr>
        <w:spacing w:line="240" w:lineRule="auto"/>
        <w:rPr>
          <w:rFonts w:eastAsia="Times New Roman" w:cs="Arial"/>
          <w:sz w:val="28"/>
          <w:szCs w:val="24"/>
        </w:rPr>
      </w:pPr>
      <w:bookmarkStart w:id="1" w:name="bookmark0"/>
      <w:r w:rsidRPr="009A022B">
        <w:rPr>
          <w:rFonts w:eastAsia="Times New Roman" w:cs="Arial"/>
          <w:b/>
          <w:bCs/>
          <w:color w:val="000000"/>
          <w:szCs w:val="20"/>
          <w:lang w:eastAsia="bg-BG"/>
        </w:rPr>
        <w:t>Противопоказани комбинации</w:t>
      </w:r>
      <w:bookmarkEnd w:id="1"/>
    </w:p>
    <w:p w14:paraId="1594FD9C"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Леводопа или допаминергични агонисти и метоклопрамид имат взаимен антагонизъм (вж. точка 4.3).</w:t>
      </w:r>
    </w:p>
    <w:p w14:paraId="3DDC2E39" w14:textId="77777777" w:rsidR="009A022B" w:rsidRPr="009A022B" w:rsidRDefault="009A022B" w:rsidP="009A022B">
      <w:pPr>
        <w:spacing w:line="240" w:lineRule="auto"/>
        <w:rPr>
          <w:rFonts w:eastAsia="Times New Roman" w:cs="Arial"/>
          <w:b/>
          <w:bCs/>
          <w:color w:val="000000"/>
          <w:szCs w:val="20"/>
          <w:lang w:eastAsia="bg-BG"/>
        </w:rPr>
      </w:pPr>
      <w:bookmarkStart w:id="2" w:name="bookmark2"/>
    </w:p>
    <w:p w14:paraId="0FD20FBC" w14:textId="02D198B6" w:rsidR="009A022B" w:rsidRPr="009A022B" w:rsidRDefault="009A022B" w:rsidP="009A022B">
      <w:pPr>
        <w:spacing w:line="240" w:lineRule="auto"/>
        <w:rPr>
          <w:rFonts w:eastAsia="Times New Roman" w:cs="Arial"/>
          <w:sz w:val="28"/>
          <w:szCs w:val="24"/>
        </w:rPr>
      </w:pPr>
      <w:r w:rsidRPr="009A022B">
        <w:rPr>
          <w:rFonts w:eastAsia="Times New Roman" w:cs="Arial"/>
          <w:b/>
          <w:bCs/>
          <w:color w:val="000000"/>
          <w:szCs w:val="20"/>
          <w:lang w:eastAsia="bg-BG"/>
        </w:rPr>
        <w:t>Комбинации, които трябва да се избягват</w:t>
      </w:r>
      <w:bookmarkEnd w:id="2"/>
    </w:p>
    <w:p w14:paraId="08B24C68"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Алкохолът потенцира седативния ефект на метоклопрамид.</w:t>
      </w:r>
    </w:p>
    <w:p w14:paraId="2DAA8C35" w14:textId="77777777" w:rsidR="009A022B" w:rsidRPr="009A022B" w:rsidRDefault="009A022B" w:rsidP="009A022B">
      <w:pPr>
        <w:spacing w:line="240" w:lineRule="auto"/>
        <w:rPr>
          <w:rFonts w:eastAsia="Times New Roman" w:cs="Arial"/>
          <w:b/>
          <w:bCs/>
          <w:color w:val="000000"/>
          <w:szCs w:val="20"/>
          <w:lang w:eastAsia="bg-BG"/>
        </w:rPr>
      </w:pPr>
      <w:bookmarkStart w:id="3" w:name="bookmark4"/>
    </w:p>
    <w:p w14:paraId="3B29F298" w14:textId="4BEBBC7B" w:rsidR="009A022B" w:rsidRPr="009A022B" w:rsidRDefault="009A022B" w:rsidP="009A022B">
      <w:pPr>
        <w:spacing w:line="240" w:lineRule="auto"/>
        <w:rPr>
          <w:rFonts w:eastAsia="Times New Roman" w:cs="Arial"/>
          <w:sz w:val="28"/>
          <w:szCs w:val="24"/>
        </w:rPr>
      </w:pPr>
      <w:r w:rsidRPr="009A022B">
        <w:rPr>
          <w:rFonts w:eastAsia="Times New Roman" w:cs="Arial"/>
          <w:b/>
          <w:bCs/>
          <w:color w:val="000000"/>
          <w:szCs w:val="20"/>
          <w:lang w:eastAsia="bg-BG"/>
        </w:rPr>
        <w:t>Комбинации, които трябва да се имат предвид</w:t>
      </w:r>
      <w:bookmarkEnd w:id="3"/>
    </w:p>
    <w:p w14:paraId="534C8FA1"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Поради прокинетичния ефект на метоклопрамид, абсорбцията на някои лекарства може да се промени.</w:t>
      </w:r>
    </w:p>
    <w:p w14:paraId="46C69916" w14:textId="77777777" w:rsidR="009A022B" w:rsidRPr="009A022B" w:rsidRDefault="009A022B" w:rsidP="009A022B">
      <w:pPr>
        <w:spacing w:line="240" w:lineRule="auto"/>
        <w:rPr>
          <w:rFonts w:eastAsia="Times New Roman" w:cs="Arial"/>
          <w:i/>
          <w:iCs/>
          <w:color w:val="000000"/>
          <w:szCs w:val="20"/>
          <w:lang w:eastAsia="bg-BG"/>
        </w:rPr>
      </w:pPr>
    </w:p>
    <w:p w14:paraId="3B2EE83C" w14:textId="34B2B495"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Антихолинергици и морфинови производни</w:t>
      </w:r>
    </w:p>
    <w:p w14:paraId="119009FC"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Антихолинергиците и морфиновите деривати могат да имат взаимен антагонизъм с метоклопрамид по отношение на мотилитета на храносмилателния тракт.</w:t>
      </w:r>
    </w:p>
    <w:p w14:paraId="19FA5C46" w14:textId="77777777" w:rsidR="009A022B" w:rsidRPr="009A022B" w:rsidRDefault="009A022B" w:rsidP="009A022B">
      <w:pPr>
        <w:spacing w:line="240" w:lineRule="auto"/>
        <w:rPr>
          <w:rFonts w:eastAsia="Times New Roman" w:cs="Arial"/>
          <w:i/>
          <w:iCs/>
          <w:color w:val="000000"/>
          <w:szCs w:val="20"/>
          <w:lang w:eastAsia="bg-BG"/>
        </w:rPr>
      </w:pPr>
    </w:p>
    <w:p w14:paraId="5DDBC743" w14:textId="3035C604"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Лекарства, потискащи централната нервна система (морфинови производни, анксиолитици, седативни Н1 антихистамини, седативни антидепресанти, барбитурати, клонидин и подобни)</w:t>
      </w:r>
    </w:p>
    <w:p w14:paraId="53783074"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Седативните ефекти на лекарствата, потискащи централната нервна система и метоклорамид се потенцират.</w:t>
      </w:r>
    </w:p>
    <w:p w14:paraId="037B6747" w14:textId="77777777" w:rsidR="009A022B" w:rsidRPr="009A022B" w:rsidRDefault="009A022B" w:rsidP="009A022B">
      <w:pPr>
        <w:spacing w:line="240" w:lineRule="auto"/>
        <w:rPr>
          <w:rFonts w:eastAsia="Times New Roman" w:cs="Arial"/>
          <w:i/>
          <w:iCs/>
          <w:color w:val="000000"/>
          <w:szCs w:val="20"/>
          <w:lang w:eastAsia="bg-BG"/>
        </w:rPr>
      </w:pPr>
    </w:p>
    <w:p w14:paraId="44E7A72F" w14:textId="0481D2AA"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lastRenderedPageBreak/>
        <w:t>Невролептици</w:t>
      </w:r>
    </w:p>
    <w:p w14:paraId="06059623"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Метоклопрамид може да има адитивен ефект с други невролептици по отношение на възникването на ектрапирамидни нарушения.</w:t>
      </w:r>
    </w:p>
    <w:p w14:paraId="654789E4" w14:textId="77777777" w:rsidR="009A022B" w:rsidRPr="009A022B" w:rsidRDefault="009A022B" w:rsidP="009A022B">
      <w:pPr>
        <w:spacing w:line="240" w:lineRule="auto"/>
        <w:rPr>
          <w:rFonts w:eastAsia="Times New Roman" w:cs="Arial"/>
          <w:i/>
          <w:iCs/>
          <w:color w:val="000000"/>
          <w:szCs w:val="20"/>
          <w:lang w:eastAsia="bg-BG"/>
        </w:rPr>
      </w:pPr>
    </w:p>
    <w:p w14:paraId="1F5D6AF3" w14:textId="77ED4A47"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Серотонинергични лекарства</w:t>
      </w:r>
    </w:p>
    <w:p w14:paraId="5DDCA286"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Приложението на метоклопрамид със серотонинергични лекарства, като например </w:t>
      </w:r>
      <w:r w:rsidRPr="009A022B">
        <w:rPr>
          <w:rFonts w:eastAsia="Times New Roman" w:cs="Arial"/>
          <w:color w:val="000000"/>
          <w:szCs w:val="20"/>
          <w:lang w:val="en-US"/>
        </w:rPr>
        <w:t>SSRIs</w:t>
      </w:r>
      <w:r w:rsidRPr="009A022B">
        <w:rPr>
          <w:rFonts w:eastAsia="Times New Roman" w:cs="Arial"/>
          <w:color w:val="000000"/>
          <w:szCs w:val="20"/>
          <w:lang w:val="ru-RU"/>
        </w:rPr>
        <w:t xml:space="preserve"> </w:t>
      </w:r>
      <w:r w:rsidRPr="009A022B">
        <w:rPr>
          <w:rFonts w:eastAsia="Times New Roman" w:cs="Arial"/>
          <w:color w:val="000000"/>
          <w:szCs w:val="20"/>
          <w:lang w:eastAsia="bg-BG"/>
        </w:rPr>
        <w:t>може да повиши риска от серотонинов синдром.</w:t>
      </w:r>
    </w:p>
    <w:p w14:paraId="378EAF71" w14:textId="77777777" w:rsidR="009A022B" w:rsidRPr="009A022B" w:rsidRDefault="009A022B" w:rsidP="009A022B">
      <w:pPr>
        <w:spacing w:line="240" w:lineRule="auto"/>
        <w:rPr>
          <w:rFonts w:eastAsia="Times New Roman" w:cs="Arial"/>
          <w:i/>
          <w:iCs/>
          <w:color w:val="000000"/>
          <w:szCs w:val="20"/>
          <w:lang w:eastAsia="bg-BG"/>
        </w:rPr>
      </w:pPr>
    </w:p>
    <w:p w14:paraId="7453DBFF" w14:textId="395CC8C3"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Дигоксин</w:t>
      </w:r>
    </w:p>
    <w:p w14:paraId="502BC65D"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Метоклопрамид може да намали бионаличността на дигоксин. Изисква се внимателно проследяване на плазмената концентрация на дигоксин.</w:t>
      </w:r>
    </w:p>
    <w:p w14:paraId="6375CD95" w14:textId="77777777" w:rsidR="009A022B" w:rsidRPr="009A022B" w:rsidRDefault="009A022B" w:rsidP="009A022B">
      <w:pPr>
        <w:spacing w:line="240" w:lineRule="auto"/>
        <w:rPr>
          <w:rFonts w:eastAsia="Times New Roman" w:cs="Arial"/>
          <w:i/>
          <w:iCs/>
          <w:color w:val="000000"/>
          <w:szCs w:val="20"/>
          <w:lang w:eastAsia="bg-BG"/>
        </w:rPr>
      </w:pPr>
    </w:p>
    <w:p w14:paraId="3A65BA06" w14:textId="2699559A"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Циклоспорин</w:t>
      </w:r>
    </w:p>
    <w:p w14:paraId="6B9E42A8"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Метоклопрамид повишава бионаличността на циклоспорин (С</w:t>
      </w:r>
      <w:r w:rsidRPr="009A022B">
        <w:rPr>
          <w:rFonts w:eastAsia="Times New Roman" w:cs="Arial"/>
          <w:color w:val="000000"/>
          <w:szCs w:val="20"/>
          <w:vertAlign w:val="subscript"/>
          <w:lang w:val="en-US"/>
        </w:rPr>
        <w:t>max</w:t>
      </w:r>
      <w:r w:rsidRPr="009A022B">
        <w:rPr>
          <w:rFonts w:eastAsia="Times New Roman" w:cs="Arial"/>
          <w:color w:val="000000"/>
          <w:szCs w:val="20"/>
          <w:lang w:eastAsia="bg-BG"/>
        </w:rPr>
        <w:t xml:space="preserve"> с 46% и експозицията с 22%). Изисква се внимателно проследяване на плазмената концентрация на циклоспорин. Клиничните последствия са неясни.</w:t>
      </w:r>
    </w:p>
    <w:p w14:paraId="76BF5E80" w14:textId="77777777" w:rsidR="009A022B" w:rsidRPr="009A022B" w:rsidRDefault="009A022B" w:rsidP="009A022B">
      <w:pPr>
        <w:spacing w:line="240" w:lineRule="auto"/>
        <w:rPr>
          <w:rFonts w:eastAsia="Times New Roman" w:cs="Arial"/>
          <w:i/>
          <w:iCs/>
          <w:color w:val="000000"/>
          <w:szCs w:val="20"/>
          <w:lang w:eastAsia="bg-BG"/>
        </w:rPr>
      </w:pPr>
    </w:p>
    <w:p w14:paraId="31701600" w14:textId="6E48B7C8"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Мивакуриум и суксаметониум</w:t>
      </w:r>
    </w:p>
    <w:p w14:paraId="3408D84A"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Инжектиране на метоклопрамид може да удължи продължителността на невромускулната блокада (чрез инхибиране на плазмената холинестераза).</w:t>
      </w:r>
    </w:p>
    <w:p w14:paraId="31C1AE4E" w14:textId="77777777" w:rsidR="009A022B" w:rsidRPr="009A022B" w:rsidRDefault="009A022B" w:rsidP="009A022B">
      <w:pPr>
        <w:spacing w:line="240" w:lineRule="auto"/>
        <w:rPr>
          <w:rFonts w:eastAsia="Times New Roman" w:cs="Arial"/>
          <w:i/>
          <w:iCs/>
          <w:color w:val="000000"/>
          <w:szCs w:val="20"/>
          <w:lang w:eastAsia="bg-BG"/>
        </w:rPr>
      </w:pPr>
    </w:p>
    <w:p w14:paraId="525E6400" w14:textId="783F5C37" w:rsidR="009A022B" w:rsidRPr="009A022B" w:rsidRDefault="009A022B" w:rsidP="009A022B">
      <w:pPr>
        <w:spacing w:line="240" w:lineRule="auto"/>
        <w:rPr>
          <w:rFonts w:eastAsia="Times New Roman" w:cs="Arial"/>
          <w:sz w:val="28"/>
          <w:szCs w:val="24"/>
        </w:rPr>
      </w:pPr>
      <w:r w:rsidRPr="009A022B">
        <w:rPr>
          <w:rFonts w:eastAsia="Times New Roman" w:cs="Arial"/>
          <w:i/>
          <w:iCs/>
          <w:color w:val="000000"/>
          <w:szCs w:val="20"/>
          <w:lang w:eastAsia="bg-BG"/>
        </w:rPr>
        <w:t xml:space="preserve">Мощни </w:t>
      </w:r>
      <w:r w:rsidRPr="009A022B">
        <w:rPr>
          <w:rFonts w:eastAsia="Times New Roman" w:cs="Arial"/>
          <w:i/>
          <w:iCs/>
          <w:color w:val="000000"/>
          <w:szCs w:val="20"/>
          <w:lang w:val="en-US"/>
        </w:rPr>
        <w:t>CYP</w:t>
      </w:r>
      <w:r w:rsidRPr="009A022B">
        <w:rPr>
          <w:rFonts w:eastAsia="Times New Roman" w:cs="Arial"/>
          <w:i/>
          <w:iCs/>
          <w:color w:val="000000"/>
          <w:szCs w:val="20"/>
          <w:lang w:val="ru-RU"/>
        </w:rPr>
        <w:t>2</w:t>
      </w:r>
      <w:r w:rsidRPr="009A022B">
        <w:rPr>
          <w:rFonts w:eastAsia="Times New Roman" w:cs="Arial"/>
          <w:i/>
          <w:iCs/>
          <w:color w:val="000000"/>
          <w:szCs w:val="20"/>
          <w:lang w:val="en-US"/>
        </w:rPr>
        <w:t>D</w:t>
      </w:r>
      <w:r w:rsidRPr="009A022B">
        <w:rPr>
          <w:rFonts w:eastAsia="Times New Roman" w:cs="Arial"/>
          <w:i/>
          <w:iCs/>
          <w:color w:val="000000"/>
          <w:szCs w:val="20"/>
          <w:lang w:val="ru-RU"/>
        </w:rPr>
        <w:t xml:space="preserve">6 </w:t>
      </w:r>
      <w:r w:rsidRPr="009A022B">
        <w:rPr>
          <w:rFonts w:eastAsia="Times New Roman" w:cs="Arial"/>
          <w:i/>
          <w:iCs/>
          <w:color w:val="000000"/>
          <w:szCs w:val="20"/>
          <w:lang w:eastAsia="bg-BG"/>
        </w:rPr>
        <w:t>инхибитори</w:t>
      </w:r>
    </w:p>
    <w:p w14:paraId="0A2F3B08" w14:textId="77777777" w:rsidR="009A022B" w:rsidRPr="009A022B" w:rsidRDefault="009A022B" w:rsidP="009A022B">
      <w:pPr>
        <w:spacing w:line="240" w:lineRule="auto"/>
        <w:rPr>
          <w:rFonts w:eastAsia="Times New Roman" w:cs="Arial"/>
          <w:sz w:val="28"/>
          <w:szCs w:val="24"/>
        </w:rPr>
      </w:pPr>
      <w:r w:rsidRPr="009A022B">
        <w:rPr>
          <w:rFonts w:eastAsia="Times New Roman" w:cs="Arial"/>
          <w:color w:val="000000"/>
          <w:szCs w:val="20"/>
          <w:lang w:eastAsia="bg-BG"/>
        </w:rPr>
        <w:t xml:space="preserve">Нивата на експозиция на метоклопрамид са повишени, когато се прилага заедно с мощни </w:t>
      </w:r>
      <w:r w:rsidRPr="009A022B">
        <w:rPr>
          <w:rFonts w:eastAsia="Times New Roman" w:cs="Arial"/>
          <w:color w:val="000000"/>
          <w:szCs w:val="20"/>
          <w:lang w:val="en-US"/>
        </w:rPr>
        <w:t>CYP</w:t>
      </w:r>
      <w:r w:rsidRPr="009A022B">
        <w:rPr>
          <w:rFonts w:eastAsia="Times New Roman" w:cs="Arial"/>
          <w:color w:val="000000"/>
          <w:szCs w:val="20"/>
          <w:lang w:val="ru-RU"/>
        </w:rPr>
        <w:t>2</w:t>
      </w:r>
      <w:r w:rsidRPr="009A022B">
        <w:rPr>
          <w:rFonts w:eastAsia="Times New Roman" w:cs="Arial"/>
          <w:color w:val="000000"/>
          <w:szCs w:val="20"/>
          <w:lang w:val="en-US"/>
        </w:rPr>
        <w:t>D</w:t>
      </w:r>
      <w:r w:rsidRPr="009A022B">
        <w:rPr>
          <w:rFonts w:eastAsia="Times New Roman" w:cs="Arial"/>
          <w:color w:val="000000"/>
          <w:szCs w:val="20"/>
          <w:lang w:val="ru-RU"/>
        </w:rPr>
        <w:t xml:space="preserve">6 </w:t>
      </w:r>
      <w:r w:rsidRPr="009A022B">
        <w:rPr>
          <w:rFonts w:eastAsia="Times New Roman" w:cs="Arial"/>
          <w:color w:val="000000"/>
          <w:szCs w:val="20"/>
          <w:lang w:eastAsia="bg-BG"/>
        </w:rPr>
        <w:t>инхибитори като например флуоксетин и пароксетин. Въпреки че клиничната значимост е неясна, пациентите трябва да бъдат наблюдавани за нежелани реакции.</w:t>
      </w:r>
    </w:p>
    <w:p w14:paraId="20A456A1" w14:textId="5B9C2059" w:rsidR="009A022B" w:rsidRPr="009A022B" w:rsidRDefault="009A022B" w:rsidP="009A022B"/>
    <w:p w14:paraId="6EADE4D6" w14:textId="777D8AA2" w:rsidR="00395555" w:rsidRDefault="002C50EE" w:rsidP="008A6AF2">
      <w:pPr>
        <w:pStyle w:val="Heading2"/>
      </w:pPr>
      <w:r>
        <w:t>4.6. Фертилитет, бременност и кърмене</w:t>
      </w:r>
    </w:p>
    <w:p w14:paraId="263C61DD" w14:textId="75831C3F" w:rsidR="009A022B" w:rsidRDefault="009A022B" w:rsidP="009A022B"/>
    <w:p w14:paraId="4D7576D7" w14:textId="77777777" w:rsidR="009A022B" w:rsidRPr="009A022B" w:rsidRDefault="009A022B" w:rsidP="009A022B">
      <w:pPr>
        <w:pStyle w:val="Heading3"/>
        <w:rPr>
          <w:rFonts w:eastAsia="Times New Roman"/>
          <w:i/>
        </w:rPr>
      </w:pPr>
      <w:r w:rsidRPr="009A022B">
        <w:rPr>
          <w:rFonts w:eastAsia="Times New Roman"/>
          <w:i/>
          <w:lang w:eastAsia="bg-BG"/>
        </w:rPr>
        <w:t>Бременност</w:t>
      </w:r>
    </w:p>
    <w:p w14:paraId="2E5CF0D8" w14:textId="77777777" w:rsidR="009A022B" w:rsidRPr="009A022B" w:rsidRDefault="009A022B" w:rsidP="009A022B">
      <w:pPr>
        <w:rPr>
          <w:sz w:val="24"/>
          <w:szCs w:val="24"/>
        </w:rPr>
      </w:pPr>
      <w:r w:rsidRPr="009A022B">
        <w:rPr>
          <w:lang w:eastAsia="bg-BG"/>
        </w:rPr>
        <w:t>Голямо количество данни при бременни жени (изход при повече от 1000 експозиции) не показва малформативна токсичност, нито фетотоксичност. Метоклопрамид може да се прилага по време на бременност, ако е клинично необходимо. Поради фармакологичните свойства (като други невролептици), в случай на приложение на метоклопрамид в края на бременността, не може да се изключи екстрапирамиден синдром при новороденото. Употребата на метоклопрамид в края на бременността трябва да се избягва. Ако се прилага метоклопрамид, трябва да се предприеме наблюдение в неонаталния период.</w:t>
      </w:r>
    </w:p>
    <w:p w14:paraId="5588A9B2" w14:textId="77777777" w:rsidR="009A022B" w:rsidRDefault="009A022B" w:rsidP="009A022B">
      <w:pPr>
        <w:rPr>
          <w:lang w:eastAsia="bg-BG"/>
        </w:rPr>
      </w:pPr>
    </w:p>
    <w:p w14:paraId="3E906709" w14:textId="1D7CBDC3" w:rsidR="009A022B" w:rsidRPr="009A022B" w:rsidRDefault="009A022B" w:rsidP="009A022B">
      <w:pPr>
        <w:pStyle w:val="Heading3"/>
        <w:rPr>
          <w:rFonts w:eastAsia="Times New Roman"/>
          <w:i/>
        </w:rPr>
      </w:pPr>
      <w:r w:rsidRPr="009A022B">
        <w:rPr>
          <w:rFonts w:eastAsia="Times New Roman"/>
          <w:i/>
          <w:lang w:eastAsia="bg-BG"/>
        </w:rPr>
        <w:t>Кърмене</w:t>
      </w:r>
    </w:p>
    <w:p w14:paraId="41DF893C" w14:textId="43740D4E" w:rsidR="009A022B" w:rsidRDefault="009A022B" w:rsidP="009A022B">
      <w:pPr>
        <w:rPr>
          <w:lang w:eastAsia="bg-BG"/>
        </w:rPr>
      </w:pPr>
      <w:r w:rsidRPr="009A022B">
        <w:rPr>
          <w:lang w:eastAsia="bg-BG"/>
        </w:rPr>
        <w:t>Метоклопрамид се екскретира в кърмата в ниска степен. Не могат да бъдат изключени нежелани реакции при кърмачето. Поради това, метоклопрамид не се препоръчва по време на кърмене. Трябва да се обмисли спиране на метоклопрамид при кърмещи жени.</w:t>
      </w:r>
    </w:p>
    <w:p w14:paraId="562F5143" w14:textId="77777777" w:rsidR="009A022B" w:rsidRPr="009A022B" w:rsidRDefault="009A022B" w:rsidP="009A022B"/>
    <w:p w14:paraId="5766770B" w14:textId="76E2F2EB" w:rsidR="00395555" w:rsidRDefault="002C50EE" w:rsidP="008A6AF2">
      <w:pPr>
        <w:pStyle w:val="Heading2"/>
      </w:pPr>
      <w:r>
        <w:t>4.7. Ефекти върху способността за шофиране и работа с машини</w:t>
      </w:r>
    </w:p>
    <w:p w14:paraId="7B8E18BB" w14:textId="1557A56A" w:rsidR="009A022B" w:rsidRDefault="009A022B" w:rsidP="009A022B"/>
    <w:p w14:paraId="6925C98E" w14:textId="77777777" w:rsidR="009A022B" w:rsidRPr="009A022B" w:rsidRDefault="009A022B" w:rsidP="009A022B">
      <w:pPr>
        <w:rPr>
          <w:sz w:val="24"/>
          <w:szCs w:val="24"/>
        </w:rPr>
      </w:pPr>
      <w:r w:rsidRPr="009A022B">
        <w:rPr>
          <w:lang w:eastAsia="bg-BG"/>
        </w:rPr>
        <w:t>Метоклопрамид може да причини сънливост, замаяност, дискинезия и дистония, която може да засегне зрението и също да наруши способността за шофиране и работа с машини.</w:t>
      </w:r>
    </w:p>
    <w:p w14:paraId="60D147A6" w14:textId="57B699AC" w:rsidR="009A022B" w:rsidRPr="009A022B" w:rsidRDefault="009A022B" w:rsidP="009A022B"/>
    <w:p w14:paraId="4FE16E21" w14:textId="69B24106" w:rsidR="00395555" w:rsidRDefault="002C50EE" w:rsidP="008A6AF2">
      <w:pPr>
        <w:pStyle w:val="Heading2"/>
      </w:pPr>
      <w:r>
        <w:lastRenderedPageBreak/>
        <w:t>4.8. Нежелани лекарствени реакции</w:t>
      </w:r>
    </w:p>
    <w:p w14:paraId="7675675B" w14:textId="110B08A5" w:rsidR="009A022B" w:rsidRDefault="009A022B" w:rsidP="009A022B"/>
    <w:p w14:paraId="389A6ED5" w14:textId="77777777" w:rsidR="009A022B" w:rsidRPr="009A022B" w:rsidRDefault="009A022B" w:rsidP="009A022B">
      <w:pPr>
        <w:rPr>
          <w:sz w:val="24"/>
          <w:szCs w:val="24"/>
        </w:rPr>
      </w:pPr>
      <w:r w:rsidRPr="009A022B">
        <w:rPr>
          <w:lang w:eastAsia="bg-BG"/>
        </w:rPr>
        <w:t>Нежелани лекарствени реакции са изброени по системо-органни класове. Честотите са определени с използване на следната конвенция: много чести (≥1/10), чести (≥1/100, &lt;1/10), нечести (≥1/1000, &lt;1/100), редки (≥1/10000, &lt;1/1000), много редки (&lt;1 /10000) и с неизвестна честота (от наличните данни не може да се направи оценка).</w:t>
      </w:r>
    </w:p>
    <w:p w14:paraId="6F575BB5" w14:textId="47134CF7" w:rsidR="009A022B" w:rsidRDefault="009A022B" w:rsidP="009A022B"/>
    <w:tbl>
      <w:tblPr>
        <w:tblStyle w:val="TableGrid"/>
        <w:tblW w:w="0" w:type="auto"/>
        <w:tblLook w:val="04A0" w:firstRow="1" w:lastRow="0" w:firstColumn="1" w:lastColumn="0" w:noHBand="0" w:noVBand="1"/>
      </w:tblPr>
      <w:tblGrid>
        <w:gridCol w:w="3090"/>
        <w:gridCol w:w="3100"/>
        <w:gridCol w:w="3160"/>
      </w:tblGrid>
      <w:tr w:rsidR="009A022B" w14:paraId="12953D00" w14:textId="77777777" w:rsidTr="00E23C7D">
        <w:tc>
          <w:tcPr>
            <w:tcW w:w="3192" w:type="dxa"/>
          </w:tcPr>
          <w:p w14:paraId="4EC0B259" w14:textId="46DFE233" w:rsidR="009A022B" w:rsidRPr="009A022B" w:rsidRDefault="009A022B" w:rsidP="009A022B">
            <w:r w:rsidRPr="009A022B">
              <w:rPr>
                <w:b/>
                <w:bCs/>
                <w:szCs w:val="20"/>
              </w:rPr>
              <w:t>Системо-органен клас</w:t>
            </w:r>
          </w:p>
        </w:tc>
        <w:tc>
          <w:tcPr>
            <w:tcW w:w="3192" w:type="dxa"/>
          </w:tcPr>
          <w:p w14:paraId="5186D659" w14:textId="15F595E6" w:rsidR="009A022B" w:rsidRPr="009A022B" w:rsidRDefault="009A022B" w:rsidP="009A022B">
            <w:r w:rsidRPr="009A022B">
              <w:rPr>
                <w:b/>
                <w:bCs/>
                <w:szCs w:val="20"/>
              </w:rPr>
              <w:t>Честота</w:t>
            </w:r>
          </w:p>
        </w:tc>
        <w:tc>
          <w:tcPr>
            <w:tcW w:w="3192" w:type="dxa"/>
            <w:vAlign w:val="bottom"/>
          </w:tcPr>
          <w:p w14:paraId="3CDA0241" w14:textId="09844417" w:rsidR="009A022B" w:rsidRPr="009A022B" w:rsidRDefault="009A022B" w:rsidP="009A022B">
            <w:r w:rsidRPr="009A022B">
              <w:rPr>
                <w:b/>
                <w:bCs/>
                <w:szCs w:val="20"/>
              </w:rPr>
              <w:t>Нежелани лекарствени реакции</w:t>
            </w:r>
          </w:p>
        </w:tc>
      </w:tr>
      <w:tr w:rsidR="009A022B" w14:paraId="16FBE5AC" w14:textId="77777777" w:rsidTr="00272654">
        <w:tc>
          <w:tcPr>
            <w:tcW w:w="9576" w:type="dxa"/>
            <w:gridSpan w:val="3"/>
          </w:tcPr>
          <w:p w14:paraId="68F4EB83" w14:textId="19728490" w:rsidR="009A022B" w:rsidRPr="009A022B" w:rsidRDefault="009A022B" w:rsidP="009A022B">
            <w:pPr>
              <w:rPr>
                <w:b/>
                <w:sz w:val="24"/>
                <w:szCs w:val="24"/>
              </w:rPr>
            </w:pPr>
            <w:r w:rsidRPr="009A022B">
              <w:rPr>
                <w:b/>
                <w:lang w:eastAsia="bg-BG"/>
              </w:rPr>
              <w:t>Нарушения на кръвта и лимфната система</w:t>
            </w:r>
          </w:p>
        </w:tc>
      </w:tr>
      <w:tr w:rsidR="009A022B" w14:paraId="6FD215D9" w14:textId="77777777" w:rsidTr="00CC70C8">
        <w:tc>
          <w:tcPr>
            <w:tcW w:w="3192" w:type="dxa"/>
          </w:tcPr>
          <w:p w14:paraId="58A6AC3C" w14:textId="77777777" w:rsidR="009A022B" w:rsidRDefault="009A022B" w:rsidP="009A022B"/>
        </w:tc>
        <w:tc>
          <w:tcPr>
            <w:tcW w:w="3192" w:type="dxa"/>
          </w:tcPr>
          <w:p w14:paraId="0D2A4ED8" w14:textId="037FEBCF" w:rsidR="009A022B" w:rsidRPr="009A022B" w:rsidRDefault="009A022B" w:rsidP="009A022B">
            <w:r w:rsidRPr="009A022B">
              <w:rPr>
                <w:szCs w:val="20"/>
              </w:rPr>
              <w:t>Неизвестна честота</w:t>
            </w:r>
          </w:p>
        </w:tc>
        <w:tc>
          <w:tcPr>
            <w:tcW w:w="3192" w:type="dxa"/>
            <w:vAlign w:val="bottom"/>
          </w:tcPr>
          <w:p w14:paraId="2B1F6E2A" w14:textId="5D860517" w:rsidR="009A022B" w:rsidRPr="009A022B" w:rsidRDefault="009A022B" w:rsidP="009A022B">
            <w:r w:rsidRPr="009A022B">
              <w:rPr>
                <w:szCs w:val="20"/>
              </w:rPr>
              <w:t xml:space="preserve">Метхемоглобинемия, която може да е свързана с недостатъчност на </w:t>
            </w:r>
            <w:r w:rsidRPr="009A022B">
              <w:rPr>
                <w:szCs w:val="20"/>
                <w:lang w:val="en-US"/>
              </w:rPr>
              <w:t>NADH</w:t>
            </w:r>
            <w:r w:rsidRPr="009A022B">
              <w:rPr>
                <w:szCs w:val="20"/>
                <w:lang w:val="ru-RU"/>
              </w:rPr>
              <w:t xml:space="preserve"> </w:t>
            </w:r>
            <w:r w:rsidRPr="009A022B">
              <w:rPr>
                <w:szCs w:val="20"/>
              </w:rPr>
              <w:t xml:space="preserve">цитохром </w:t>
            </w:r>
            <w:r w:rsidRPr="009A022B">
              <w:rPr>
                <w:szCs w:val="20"/>
                <w:lang w:val="en-US"/>
              </w:rPr>
              <w:t>b</w:t>
            </w:r>
            <w:r w:rsidRPr="009A022B">
              <w:rPr>
                <w:szCs w:val="20"/>
              </w:rPr>
              <w:t>5 редуктаза, особено при новородени (вж. точка 4.4) Сулфхемоглобинемия, основно при едновременно приложение на високи дози лекарствени продукти, освобождаващи сяра</w:t>
            </w:r>
          </w:p>
        </w:tc>
      </w:tr>
      <w:tr w:rsidR="009A022B" w14:paraId="6B689947" w14:textId="77777777" w:rsidTr="00F306A6">
        <w:tc>
          <w:tcPr>
            <w:tcW w:w="9576" w:type="dxa"/>
            <w:gridSpan w:val="3"/>
          </w:tcPr>
          <w:p w14:paraId="45305CE5" w14:textId="4F1E62A4" w:rsidR="009A022B" w:rsidRPr="009A022B" w:rsidRDefault="009A022B" w:rsidP="009A022B">
            <w:pPr>
              <w:rPr>
                <w:b/>
                <w:sz w:val="24"/>
                <w:szCs w:val="24"/>
              </w:rPr>
            </w:pPr>
            <w:r w:rsidRPr="009A022B">
              <w:rPr>
                <w:b/>
                <w:lang w:eastAsia="bg-BG"/>
              </w:rPr>
              <w:t>Сърдечни нарушения</w:t>
            </w:r>
          </w:p>
        </w:tc>
      </w:tr>
      <w:tr w:rsidR="009A022B" w14:paraId="5155114C" w14:textId="77777777" w:rsidTr="00093AE9">
        <w:tc>
          <w:tcPr>
            <w:tcW w:w="3192" w:type="dxa"/>
          </w:tcPr>
          <w:p w14:paraId="26CD1BB3" w14:textId="77777777" w:rsidR="009A022B" w:rsidRDefault="009A022B" w:rsidP="009A022B"/>
        </w:tc>
        <w:tc>
          <w:tcPr>
            <w:tcW w:w="3192" w:type="dxa"/>
          </w:tcPr>
          <w:p w14:paraId="25AC72E0" w14:textId="2A88C520" w:rsidR="009A022B" w:rsidRPr="009A022B" w:rsidRDefault="009A022B" w:rsidP="009A022B">
            <w:r w:rsidRPr="009A022B">
              <w:rPr>
                <w:szCs w:val="20"/>
              </w:rPr>
              <w:t>Нечести</w:t>
            </w:r>
          </w:p>
        </w:tc>
        <w:tc>
          <w:tcPr>
            <w:tcW w:w="3192" w:type="dxa"/>
            <w:vAlign w:val="bottom"/>
          </w:tcPr>
          <w:p w14:paraId="63BFD4D6" w14:textId="5BFF28D3" w:rsidR="009A022B" w:rsidRPr="009A022B" w:rsidRDefault="009A022B" w:rsidP="009A022B">
            <w:r w:rsidRPr="009A022B">
              <w:rPr>
                <w:szCs w:val="20"/>
              </w:rPr>
              <w:t>Брадикардия, особено при интравенозни форми</w:t>
            </w:r>
          </w:p>
        </w:tc>
      </w:tr>
      <w:tr w:rsidR="009A022B" w14:paraId="0EEB6E65" w14:textId="77777777" w:rsidTr="00093AE9">
        <w:tc>
          <w:tcPr>
            <w:tcW w:w="3192" w:type="dxa"/>
          </w:tcPr>
          <w:p w14:paraId="47857E9B" w14:textId="77777777" w:rsidR="009A022B" w:rsidRDefault="009A022B" w:rsidP="009A022B"/>
        </w:tc>
        <w:tc>
          <w:tcPr>
            <w:tcW w:w="3192" w:type="dxa"/>
          </w:tcPr>
          <w:p w14:paraId="6756CCA9" w14:textId="66CE1C70" w:rsidR="009A022B" w:rsidRPr="009A022B" w:rsidRDefault="009A022B" w:rsidP="009A022B">
            <w:r w:rsidRPr="009A022B">
              <w:rPr>
                <w:szCs w:val="20"/>
              </w:rPr>
              <w:t>Неизвестна честота</w:t>
            </w:r>
          </w:p>
        </w:tc>
        <w:tc>
          <w:tcPr>
            <w:tcW w:w="3192" w:type="dxa"/>
            <w:vAlign w:val="bottom"/>
          </w:tcPr>
          <w:p w14:paraId="07F64CC2" w14:textId="4775901F" w:rsidR="009A022B" w:rsidRPr="009A022B" w:rsidRDefault="009A022B" w:rsidP="009A022B">
            <w:pPr>
              <w:rPr>
                <w:rFonts w:eastAsia="Times New Roman" w:cs="Arial"/>
                <w:lang w:val="ru-RU"/>
              </w:rPr>
            </w:pPr>
            <w:r w:rsidRPr="009A022B">
              <w:rPr>
                <w:rFonts w:cs="Arial"/>
              </w:rPr>
              <w:t>Сърдечен арест, настъпил скоро след инжекционно приложение, и може да е последвал след брадикардия (вж. точка 4.4); Атриовентрикуларен блок, синусов арест, особено при интравенозните форми,</w:t>
            </w:r>
            <w:r w:rsidRPr="009A022B">
              <w:rPr>
                <w:rFonts w:cs="Arial"/>
                <w:i/>
                <w:iCs/>
                <w:vertAlign w:val="subscript"/>
              </w:rPr>
              <w:t xml:space="preserve"> </w:t>
            </w:r>
            <w:r w:rsidRPr="009A022B">
              <w:rPr>
                <w:rFonts w:cs="Arial"/>
              </w:rPr>
              <w:t xml:space="preserve">удължен </w:t>
            </w:r>
            <w:r w:rsidRPr="009A022B">
              <w:rPr>
                <w:rFonts w:cs="Arial"/>
                <w:lang w:val="en-US"/>
              </w:rPr>
              <w:t>QT</w:t>
            </w:r>
            <w:r w:rsidRPr="009A022B">
              <w:rPr>
                <w:rFonts w:cs="Arial"/>
                <w:lang w:val="ru-RU"/>
              </w:rPr>
              <w:t xml:space="preserve"> </w:t>
            </w:r>
            <w:r w:rsidRPr="009A022B">
              <w:rPr>
                <w:rFonts w:cs="Arial"/>
              </w:rPr>
              <w:t xml:space="preserve">интервал в </w:t>
            </w:r>
            <w:r w:rsidRPr="009A022B">
              <w:rPr>
                <w:rFonts w:eastAsia="Times New Roman" w:cs="Arial"/>
                <w:color w:val="000000"/>
                <w:lang w:eastAsia="bg-BG"/>
              </w:rPr>
              <w:t xml:space="preserve">електрокардиограма, </w:t>
            </w:r>
            <w:r w:rsidRPr="009A022B">
              <w:rPr>
                <w:rFonts w:eastAsia="Times New Roman" w:cs="Arial"/>
                <w:i/>
                <w:iCs/>
                <w:color w:val="000000"/>
                <w:lang w:val="en-US"/>
              </w:rPr>
              <w:t>Torsade</w:t>
            </w:r>
            <w:r w:rsidRPr="009A022B">
              <w:rPr>
                <w:rFonts w:eastAsia="Times New Roman" w:cs="Arial"/>
                <w:i/>
                <w:iCs/>
                <w:color w:val="000000"/>
                <w:lang w:val="ru-RU"/>
              </w:rPr>
              <w:t xml:space="preserve"> </w:t>
            </w:r>
            <w:r w:rsidRPr="009A022B">
              <w:rPr>
                <w:rFonts w:eastAsia="Times New Roman" w:cs="Arial"/>
                <w:i/>
                <w:iCs/>
                <w:color w:val="000000"/>
                <w:lang w:val="en-US"/>
              </w:rPr>
              <w:t>de</w:t>
            </w:r>
            <w:r w:rsidRPr="009A022B">
              <w:rPr>
                <w:rFonts w:eastAsia="Times New Roman" w:cs="Arial"/>
                <w:i/>
                <w:iCs/>
                <w:color w:val="000000"/>
                <w:lang w:val="ru-RU"/>
              </w:rPr>
              <w:t xml:space="preserve"> </w:t>
            </w:r>
            <w:r w:rsidRPr="009A022B">
              <w:rPr>
                <w:rFonts w:eastAsia="Times New Roman" w:cs="Arial"/>
                <w:i/>
                <w:iCs/>
                <w:color w:val="000000"/>
                <w:lang w:val="en-US"/>
              </w:rPr>
              <w:t>Pointes</w:t>
            </w:r>
            <w:r w:rsidRPr="009A022B">
              <w:rPr>
                <w:rFonts w:eastAsia="Times New Roman" w:cs="Arial"/>
                <w:i/>
                <w:iCs/>
                <w:color w:val="000000"/>
                <w:lang w:val="ru-RU"/>
              </w:rPr>
              <w:t>;</w:t>
            </w:r>
          </w:p>
        </w:tc>
      </w:tr>
      <w:tr w:rsidR="009A022B" w14:paraId="67B6FA06" w14:textId="77777777" w:rsidTr="00640101">
        <w:tc>
          <w:tcPr>
            <w:tcW w:w="9576" w:type="dxa"/>
            <w:gridSpan w:val="3"/>
          </w:tcPr>
          <w:p w14:paraId="54E4C719" w14:textId="795923D2" w:rsidR="009A022B" w:rsidRPr="009A022B" w:rsidRDefault="009A022B" w:rsidP="009A022B">
            <w:pPr>
              <w:rPr>
                <w:b/>
                <w:sz w:val="24"/>
                <w:szCs w:val="24"/>
              </w:rPr>
            </w:pPr>
            <w:r w:rsidRPr="009A022B">
              <w:rPr>
                <w:b/>
                <w:lang w:eastAsia="bg-BG"/>
              </w:rPr>
              <w:t>Нарушения на ендокринната система*</w:t>
            </w:r>
          </w:p>
        </w:tc>
      </w:tr>
      <w:tr w:rsidR="009A022B" w14:paraId="1930843A" w14:textId="77777777" w:rsidTr="00890BFA">
        <w:tc>
          <w:tcPr>
            <w:tcW w:w="3192" w:type="dxa"/>
          </w:tcPr>
          <w:p w14:paraId="71A2A041" w14:textId="77777777" w:rsidR="009A022B" w:rsidRDefault="009A022B" w:rsidP="009A022B"/>
        </w:tc>
        <w:tc>
          <w:tcPr>
            <w:tcW w:w="3192" w:type="dxa"/>
          </w:tcPr>
          <w:p w14:paraId="06EAC2EC" w14:textId="15401EA1" w:rsidR="009A022B" w:rsidRDefault="009A022B" w:rsidP="009A022B">
            <w:r>
              <w:rPr>
                <w:sz w:val="20"/>
                <w:szCs w:val="20"/>
              </w:rPr>
              <w:t>Нечести</w:t>
            </w:r>
          </w:p>
        </w:tc>
        <w:tc>
          <w:tcPr>
            <w:tcW w:w="3192" w:type="dxa"/>
            <w:vAlign w:val="bottom"/>
          </w:tcPr>
          <w:p w14:paraId="77447B06" w14:textId="57E3B0D2" w:rsidR="009A022B" w:rsidRDefault="009A022B" w:rsidP="009A022B">
            <w:r>
              <w:rPr>
                <w:sz w:val="20"/>
                <w:szCs w:val="20"/>
              </w:rPr>
              <w:t>Аменорея, хиперпролактинемия</w:t>
            </w:r>
          </w:p>
        </w:tc>
      </w:tr>
      <w:tr w:rsidR="009A022B" w14:paraId="63166A5A" w14:textId="77777777" w:rsidTr="00890BFA">
        <w:tc>
          <w:tcPr>
            <w:tcW w:w="3192" w:type="dxa"/>
          </w:tcPr>
          <w:p w14:paraId="754D6009" w14:textId="77777777" w:rsidR="009A022B" w:rsidRDefault="009A022B" w:rsidP="009A022B"/>
        </w:tc>
        <w:tc>
          <w:tcPr>
            <w:tcW w:w="3192" w:type="dxa"/>
            <w:vAlign w:val="bottom"/>
          </w:tcPr>
          <w:p w14:paraId="346A379A" w14:textId="55035A2E" w:rsidR="009A022B" w:rsidRDefault="009A022B" w:rsidP="009A022B">
            <w:r>
              <w:rPr>
                <w:sz w:val="20"/>
                <w:szCs w:val="20"/>
              </w:rPr>
              <w:t>Редки</w:t>
            </w:r>
          </w:p>
        </w:tc>
        <w:tc>
          <w:tcPr>
            <w:tcW w:w="3192" w:type="dxa"/>
            <w:vAlign w:val="bottom"/>
          </w:tcPr>
          <w:p w14:paraId="69E3CC02" w14:textId="7CA77425" w:rsidR="009A022B" w:rsidRDefault="009A022B" w:rsidP="009A022B">
            <w:r>
              <w:rPr>
                <w:sz w:val="20"/>
                <w:szCs w:val="20"/>
              </w:rPr>
              <w:t>Галакторея</w:t>
            </w:r>
          </w:p>
        </w:tc>
      </w:tr>
      <w:tr w:rsidR="009A022B" w14:paraId="6C87B703" w14:textId="77777777" w:rsidTr="00890BFA">
        <w:tc>
          <w:tcPr>
            <w:tcW w:w="3192" w:type="dxa"/>
          </w:tcPr>
          <w:p w14:paraId="6DFAE1AC" w14:textId="77777777" w:rsidR="009A022B" w:rsidRDefault="009A022B" w:rsidP="009A022B"/>
        </w:tc>
        <w:tc>
          <w:tcPr>
            <w:tcW w:w="3192" w:type="dxa"/>
            <w:vAlign w:val="bottom"/>
          </w:tcPr>
          <w:p w14:paraId="4CB081AA" w14:textId="3F1F9CB0" w:rsidR="009A022B" w:rsidRDefault="009A022B" w:rsidP="009A022B">
            <w:r>
              <w:rPr>
                <w:sz w:val="20"/>
                <w:szCs w:val="20"/>
              </w:rPr>
              <w:t>Неизвестна честота</w:t>
            </w:r>
          </w:p>
        </w:tc>
        <w:tc>
          <w:tcPr>
            <w:tcW w:w="3192" w:type="dxa"/>
            <w:vAlign w:val="bottom"/>
          </w:tcPr>
          <w:p w14:paraId="2A6B2C1A" w14:textId="3ACADF7C" w:rsidR="009A022B" w:rsidRDefault="009A022B" w:rsidP="009A022B">
            <w:r>
              <w:rPr>
                <w:sz w:val="20"/>
                <w:szCs w:val="20"/>
              </w:rPr>
              <w:t>Гинекомастия</w:t>
            </w:r>
          </w:p>
        </w:tc>
      </w:tr>
      <w:tr w:rsidR="009A022B" w14:paraId="31950A28" w14:textId="77777777" w:rsidTr="00A15A05">
        <w:tc>
          <w:tcPr>
            <w:tcW w:w="9576" w:type="dxa"/>
            <w:gridSpan w:val="3"/>
          </w:tcPr>
          <w:p w14:paraId="0C54F058" w14:textId="6167E095" w:rsidR="009A022B" w:rsidRPr="009A022B" w:rsidRDefault="009A022B" w:rsidP="009A022B">
            <w:pPr>
              <w:rPr>
                <w:b/>
              </w:rPr>
            </w:pPr>
            <w:r w:rsidRPr="009A022B">
              <w:rPr>
                <w:b/>
              </w:rPr>
              <w:t>Стомашно-чревни нарушения</w:t>
            </w:r>
          </w:p>
        </w:tc>
      </w:tr>
      <w:tr w:rsidR="009A022B" w14:paraId="3733BB03" w14:textId="77777777" w:rsidTr="00A77CE3">
        <w:tc>
          <w:tcPr>
            <w:tcW w:w="3192" w:type="dxa"/>
          </w:tcPr>
          <w:p w14:paraId="3DB35E1F" w14:textId="77777777" w:rsidR="009A022B" w:rsidRDefault="009A022B" w:rsidP="009A022B"/>
        </w:tc>
        <w:tc>
          <w:tcPr>
            <w:tcW w:w="3192" w:type="dxa"/>
            <w:vAlign w:val="bottom"/>
          </w:tcPr>
          <w:p w14:paraId="252EB0F1" w14:textId="651A0BF1" w:rsidR="009A022B" w:rsidRDefault="009A022B" w:rsidP="009A022B">
            <w:r>
              <w:t>Чести</w:t>
            </w:r>
          </w:p>
        </w:tc>
        <w:tc>
          <w:tcPr>
            <w:tcW w:w="3192" w:type="dxa"/>
            <w:vAlign w:val="bottom"/>
          </w:tcPr>
          <w:p w14:paraId="0B46D3B0" w14:textId="334908F9" w:rsidR="009A022B" w:rsidRDefault="009A022B" w:rsidP="009A022B">
            <w:r>
              <w:t>Диария</w:t>
            </w:r>
          </w:p>
        </w:tc>
      </w:tr>
      <w:tr w:rsidR="009A022B" w14:paraId="28D6E031" w14:textId="77777777" w:rsidTr="00712458">
        <w:tc>
          <w:tcPr>
            <w:tcW w:w="9576" w:type="dxa"/>
            <w:gridSpan w:val="3"/>
          </w:tcPr>
          <w:p w14:paraId="0B93314C" w14:textId="7E3CA75F" w:rsidR="009A022B" w:rsidRPr="009A022B" w:rsidRDefault="009A022B" w:rsidP="009A022B">
            <w:pPr>
              <w:rPr>
                <w:b/>
              </w:rPr>
            </w:pPr>
            <w:r w:rsidRPr="009A022B">
              <w:rPr>
                <w:b/>
              </w:rPr>
              <w:t>Общи нарушения и ефекти на мястото на приложение</w:t>
            </w:r>
          </w:p>
        </w:tc>
      </w:tr>
      <w:tr w:rsidR="009A022B" w14:paraId="329D9F79" w14:textId="77777777" w:rsidTr="004D60BE">
        <w:tc>
          <w:tcPr>
            <w:tcW w:w="3192" w:type="dxa"/>
          </w:tcPr>
          <w:p w14:paraId="56637863" w14:textId="77777777" w:rsidR="009A022B" w:rsidRDefault="009A022B" w:rsidP="009A022B"/>
        </w:tc>
        <w:tc>
          <w:tcPr>
            <w:tcW w:w="3192" w:type="dxa"/>
            <w:vAlign w:val="bottom"/>
          </w:tcPr>
          <w:p w14:paraId="410E5DD5" w14:textId="2CC64CA1" w:rsidR="009A022B" w:rsidRDefault="009A022B" w:rsidP="009A022B">
            <w:r>
              <w:t>Чести</w:t>
            </w:r>
          </w:p>
        </w:tc>
        <w:tc>
          <w:tcPr>
            <w:tcW w:w="3192" w:type="dxa"/>
            <w:vAlign w:val="bottom"/>
          </w:tcPr>
          <w:p w14:paraId="5F32957C" w14:textId="4E768638" w:rsidR="009A022B" w:rsidRDefault="009A022B" w:rsidP="009A022B">
            <w:r>
              <w:t>Астения</w:t>
            </w:r>
          </w:p>
        </w:tc>
      </w:tr>
      <w:tr w:rsidR="009A022B" w14:paraId="706A18C5" w14:textId="77777777" w:rsidTr="0014290B">
        <w:tc>
          <w:tcPr>
            <w:tcW w:w="9576" w:type="dxa"/>
            <w:gridSpan w:val="3"/>
          </w:tcPr>
          <w:p w14:paraId="55C48D35" w14:textId="42F81FF2" w:rsidR="009A022B" w:rsidRPr="009A022B" w:rsidRDefault="009A022B" w:rsidP="009A022B">
            <w:pPr>
              <w:rPr>
                <w:b/>
                <w:sz w:val="24"/>
                <w:szCs w:val="24"/>
              </w:rPr>
            </w:pPr>
            <w:r w:rsidRPr="009A022B">
              <w:rPr>
                <w:b/>
                <w:lang w:eastAsia="bg-BG"/>
              </w:rPr>
              <w:t>Нарушения на имунната система</w:t>
            </w:r>
          </w:p>
        </w:tc>
      </w:tr>
      <w:tr w:rsidR="009A022B" w14:paraId="5F7C53EA" w14:textId="77777777" w:rsidTr="006B0815">
        <w:tc>
          <w:tcPr>
            <w:tcW w:w="3192" w:type="dxa"/>
          </w:tcPr>
          <w:p w14:paraId="31453AB3" w14:textId="77777777" w:rsidR="009A022B" w:rsidRDefault="009A022B" w:rsidP="009A022B"/>
        </w:tc>
        <w:tc>
          <w:tcPr>
            <w:tcW w:w="3192" w:type="dxa"/>
            <w:vAlign w:val="bottom"/>
          </w:tcPr>
          <w:p w14:paraId="47E9A5B1" w14:textId="30939B48" w:rsidR="009A022B" w:rsidRDefault="009A022B" w:rsidP="009A022B">
            <w:r>
              <w:t>Нечести</w:t>
            </w:r>
          </w:p>
        </w:tc>
        <w:tc>
          <w:tcPr>
            <w:tcW w:w="3192" w:type="dxa"/>
            <w:vAlign w:val="bottom"/>
          </w:tcPr>
          <w:p w14:paraId="698647C6" w14:textId="29B8F458" w:rsidR="009A022B" w:rsidRDefault="009A022B" w:rsidP="009A022B">
            <w:r>
              <w:t>Свръхчувствителност</w:t>
            </w:r>
          </w:p>
        </w:tc>
      </w:tr>
      <w:tr w:rsidR="009A022B" w14:paraId="22D4D808" w14:textId="77777777" w:rsidTr="006B0815">
        <w:tc>
          <w:tcPr>
            <w:tcW w:w="3192" w:type="dxa"/>
          </w:tcPr>
          <w:p w14:paraId="3FAC21CF" w14:textId="77777777" w:rsidR="009A022B" w:rsidRDefault="009A022B" w:rsidP="009A022B"/>
        </w:tc>
        <w:tc>
          <w:tcPr>
            <w:tcW w:w="3192" w:type="dxa"/>
          </w:tcPr>
          <w:p w14:paraId="4999C7F5" w14:textId="3782AFFB" w:rsidR="009A022B" w:rsidRDefault="009A022B" w:rsidP="009A022B">
            <w:r>
              <w:t>Неизвестна честота</w:t>
            </w:r>
          </w:p>
        </w:tc>
        <w:tc>
          <w:tcPr>
            <w:tcW w:w="3192" w:type="dxa"/>
            <w:vAlign w:val="bottom"/>
          </w:tcPr>
          <w:p w14:paraId="2B98DFF7" w14:textId="2BA60C1F" w:rsidR="009A022B" w:rsidRDefault="009A022B" w:rsidP="009A022B">
            <w:r>
              <w:t>Анафилактична реакция (включително анафилактичен шок, особено при интравенозните форми)</w:t>
            </w:r>
          </w:p>
        </w:tc>
      </w:tr>
      <w:tr w:rsidR="009A022B" w14:paraId="4E1A7BD4" w14:textId="77777777" w:rsidTr="008A1E42">
        <w:tc>
          <w:tcPr>
            <w:tcW w:w="9576" w:type="dxa"/>
            <w:gridSpan w:val="3"/>
          </w:tcPr>
          <w:p w14:paraId="4C21F756" w14:textId="14B65694" w:rsidR="009A022B" w:rsidRPr="009A022B" w:rsidRDefault="009A022B" w:rsidP="009A022B">
            <w:pPr>
              <w:rPr>
                <w:b/>
              </w:rPr>
            </w:pPr>
            <w:r w:rsidRPr="009A022B">
              <w:rPr>
                <w:b/>
              </w:rPr>
              <w:t>Нарушения на нервната система</w:t>
            </w:r>
          </w:p>
        </w:tc>
      </w:tr>
      <w:tr w:rsidR="009A022B" w14:paraId="5ACADB4A" w14:textId="77777777" w:rsidTr="004D6E14">
        <w:tc>
          <w:tcPr>
            <w:tcW w:w="3192" w:type="dxa"/>
          </w:tcPr>
          <w:p w14:paraId="690D48D5" w14:textId="77777777" w:rsidR="009A022B" w:rsidRDefault="009A022B" w:rsidP="009A022B"/>
        </w:tc>
        <w:tc>
          <w:tcPr>
            <w:tcW w:w="3192" w:type="dxa"/>
            <w:vAlign w:val="bottom"/>
          </w:tcPr>
          <w:p w14:paraId="3DB004E5" w14:textId="36DCE48A" w:rsidR="009A022B" w:rsidRDefault="009A022B" w:rsidP="009A022B">
            <w:r>
              <w:t>Много чести</w:t>
            </w:r>
          </w:p>
        </w:tc>
        <w:tc>
          <w:tcPr>
            <w:tcW w:w="3192" w:type="dxa"/>
            <w:vAlign w:val="bottom"/>
          </w:tcPr>
          <w:p w14:paraId="24B8A627" w14:textId="53386437" w:rsidR="009A022B" w:rsidRDefault="009A022B" w:rsidP="009A022B">
            <w:r>
              <w:t>Сомнолентност</w:t>
            </w:r>
          </w:p>
        </w:tc>
      </w:tr>
      <w:tr w:rsidR="009A022B" w14:paraId="6E73E3AC" w14:textId="77777777" w:rsidTr="004D6E14">
        <w:tc>
          <w:tcPr>
            <w:tcW w:w="3192" w:type="dxa"/>
          </w:tcPr>
          <w:p w14:paraId="334B9DC5" w14:textId="77777777" w:rsidR="009A022B" w:rsidRDefault="009A022B" w:rsidP="009A022B"/>
        </w:tc>
        <w:tc>
          <w:tcPr>
            <w:tcW w:w="3192" w:type="dxa"/>
          </w:tcPr>
          <w:p w14:paraId="76F05A04" w14:textId="356962E7" w:rsidR="009A022B" w:rsidRDefault="009A022B" w:rsidP="009A022B">
            <w:r>
              <w:t>Чести</w:t>
            </w:r>
          </w:p>
        </w:tc>
        <w:tc>
          <w:tcPr>
            <w:tcW w:w="3192" w:type="dxa"/>
            <w:vAlign w:val="bottom"/>
          </w:tcPr>
          <w:p w14:paraId="7DBA4848" w14:textId="2704185A" w:rsidR="009A022B" w:rsidRDefault="009A022B" w:rsidP="009A022B">
            <w:r>
              <w:t>Екстрапирамидни нарушения (особено при деца и млади хора и/или когато препоръчителната доза е надвишена, дори след приложение на единична доза от лекарството) (вж. точка 4.4), Паркинсонизъм, Акатизия</w:t>
            </w:r>
          </w:p>
        </w:tc>
      </w:tr>
      <w:tr w:rsidR="009A022B" w14:paraId="6B70E572" w14:textId="77777777" w:rsidTr="004D6E14">
        <w:tc>
          <w:tcPr>
            <w:tcW w:w="3192" w:type="dxa"/>
          </w:tcPr>
          <w:p w14:paraId="6EF21E84" w14:textId="77777777" w:rsidR="009A022B" w:rsidRDefault="009A022B" w:rsidP="009A022B"/>
        </w:tc>
        <w:tc>
          <w:tcPr>
            <w:tcW w:w="3192" w:type="dxa"/>
          </w:tcPr>
          <w:p w14:paraId="5989907C" w14:textId="632705C4" w:rsidR="009A022B" w:rsidRDefault="009A022B" w:rsidP="009A022B">
            <w:r>
              <w:t>Нечести</w:t>
            </w:r>
          </w:p>
        </w:tc>
        <w:tc>
          <w:tcPr>
            <w:tcW w:w="3192" w:type="dxa"/>
            <w:vAlign w:val="bottom"/>
          </w:tcPr>
          <w:p w14:paraId="0D78B97F" w14:textId="6B151E92" w:rsidR="009A022B" w:rsidRDefault="009A022B" w:rsidP="009A022B">
            <w:r>
              <w:t>Дистония (включително зрителни нарушения и окулогирна криза), Дискинезия, Понижено ниво на съзнание</w:t>
            </w:r>
          </w:p>
        </w:tc>
      </w:tr>
      <w:tr w:rsidR="009A022B" w14:paraId="7520F9C8" w14:textId="77777777" w:rsidTr="004D6E14">
        <w:tc>
          <w:tcPr>
            <w:tcW w:w="3192" w:type="dxa"/>
          </w:tcPr>
          <w:p w14:paraId="651F3BFA" w14:textId="77777777" w:rsidR="009A022B" w:rsidRDefault="009A022B" w:rsidP="009A022B"/>
        </w:tc>
        <w:tc>
          <w:tcPr>
            <w:tcW w:w="3192" w:type="dxa"/>
          </w:tcPr>
          <w:p w14:paraId="7A4CBF82" w14:textId="2442B63C" w:rsidR="009A022B" w:rsidRDefault="009A022B" w:rsidP="009A022B">
            <w:r>
              <w:t>Редки</w:t>
            </w:r>
          </w:p>
        </w:tc>
        <w:tc>
          <w:tcPr>
            <w:tcW w:w="3192" w:type="dxa"/>
            <w:vAlign w:val="bottom"/>
          </w:tcPr>
          <w:p w14:paraId="6D5BC853" w14:textId="2E55E48E" w:rsidR="009A022B" w:rsidRDefault="009A022B" w:rsidP="009A022B">
            <w:r>
              <w:t>Конвулсии, особено при пациенти с епилепсия</w:t>
            </w:r>
          </w:p>
        </w:tc>
      </w:tr>
      <w:tr w:rsidR="009A022B" w14:paraId="334149AF" w14:textId="77777777" w:rsidTr="009A022B">
        <w:trPr>
          <w:trHeight w:val="2074"/>
        </w:trPr>
        <w:tc>
          <w:tcPr>
            <w:tcW w:w="3192" w:type="dxa"/>
          </w:tcPr>
          <w:p w14:paraId="0D1B6193" w14:textId="77777777" w:rsidR="009A022B" w:rsidRDefault="009A022B" w:rsidP="009A022B"/>
        </w:tc>
        <w:tc>
          <w:tcPr>
            <w:tcW w:w="3192" w:type="dxa"/>
          </w:tcPr>
          <w:p w14:paraId="6E7AF7E0" w14:textId="302DDD60" w:rsidR="009A022B" w:rsidRDefault="009A022B" w:rsidP="009A022B">
            <w:r>
              <w:t>Неизвестна честота</w:t>
            </w:r>
          </w:p>
        </w:tc>
        <w:tc>
          <w:tcPr>
            <w:tcW w:w="3192" w:type="dxa"/>
            <w:vAlign w:val="bottom"/>
          </w:tcPr>
          <w:p w14:paraId="7E844468" w14:textId="6A9271C8" w:rsidR="009A022B" w:rsidRDefault="009A022B" w:rsidP="009A022B">
            <w:r>
              <w:t>Тардивна дискинезия, която може да персистира по време на или след продължително лечение, особено при пациенти в старческа възраст (вж. точка 4.4), Невролептичен малигнен синдром (вж. точка 4.4)</w:t>
            </w:r>
          </w:p>
        </w:tc>
      </w:tr>
      <w:tr w:rsidR="009A022B" w14:paraId="03AF0C2A" w14:textId="77777777" w:rsidTr="00F54760">
        <w:tc>
          <w:tcPr>
            <w:tcW w:w="9576" w:type="dxa"/>
            <w:gridSpan w:val="3"/>
          </w:tcPr>
          <w:p w14:paraId="0409B69B" w14:textId="39AE55DF" w:rsidR="009A022B" w:rsidRPr="009A022B" w:rsidRDefault="009A022B" w:rsidP="009A022B">
            <w:pPr>
              <w:rPr>
                <w:b/>
                <w:sz w:val="24"/>
                <w:szCs w:val="24"/>
              </w:rPr>
            </w:pPr>
            <w:r w:rsidRPr="009A022B">
              <w:rPr>
                <w:b/>
                <w:lang w:eastAsia="bg-BG"/>
              </w:rPr>
              <w:t>Психични нарушения</w:t>
            </w:r>
          </w:p>
        </w:tc>
      </w:tr>
      <w:tr w:rsidR="009A022B" w14:paraId="66C4C161" w14:textId="77777777" w:rsidTr="009E2D3D">
        <w:tc>
          <w:tcPr>
            <w:tcW w:w="3192" w:type="dxa"/>
          </w:tcPr>
          <w:p w14:paraId="6D724F0B" w14:textId="77777777" w:rsidR="009A022B" w:rsidRDefault="009A022B" w:rsidP="009A022B"/>
        </w:tc>
        <w:tc>
          <w:tcPr>
            <w:tcW w:w="3192" w:type="dxa"/>
            <w:vAlign w:val="bottom"/>
          </w:tcPr>
          <w:p w14:paraId="554F4425" w14:textId="49496BA3" w:rsidR="009A022B" w:rsidRDefault="009A022B" w:rsidP="009A022B">
            <w:r>
              <w:t>Чести</w:t>
            </w:r>
          </w:p>
        </w:tc>
        <w:tc>
          <w:tcPr>
            <w:tcW w:w="3192" w:type="dxa"/>
            <w:vAlign w:val="bottom"/>
          </w:tcPr>
          <w:p w14:paraId="5CF60FB0" w14:textId="20B33544" w:rsidR="009A022B" w:rsidRDefault="009A022B" w:rsidP="009A022B">
            <w:r>
              <w:t>Депресия</w:t>
            </w:r>
          </w:p>
        </w:tc>
      </w:tr>
      <w:tr w:rsidR="009A022B" w14:paraId="6B90C8B6" w14:textId="77777777" w:rsidTr="009E2D3D">
        <w:tc>
          <w:tcPr>
            <w:tcW w:w="3192" w:type="dxa"/>
          </w:tcPr>
          <w:p w14:paraId="253B9C67" w14:textId="77777777" w:rsidR="009A022B" w:rsidRDefault="009A022B" w:rsidP="009A022B"/>
        </w:tc>
        <w:tc>
          <w:tcPr>
            <w:tcW w:w="3192" w:type="dxa"/>
            <w:vAlign w:val="bottom"/>
          </w:tcPr>
          <w:p w14:paraId="7AEBE00D" w14:textId="160F3E82" w:rsidR="009A022B" w:rsidRDefault="009A022B" w:rsidP="009A022B">
            <w:r>
              <w:t>Нечести</w:t>
            </w:r>
          </w:p>
        </w:tc>
        <w:tc>
          <w:tcPr>
            <w:tcW w:w="3192" w:type="dxa"/>
            <w:vAlign w:val="bottom"/>
          </w:tcPr>
          <w:p w14:paraId="45FF3B3F" w14:textId="61DDBBAB" w:rsidR="009A022B" w:rsidRDefault="009A022B" w:rsidP="009A022B">
            <w:r>
              <w:t>Халюцинации</w:t>
            </w:r>
          </w:p>
        </w:tc>
      </w:tr>
      <w:tr w:rsidR="009A022B" w14:paraId="3AAADB48" w14:textId="77777777" w:rsidTr="009E2D3D">
        <w:tc>
          <w:tcPr>
            <w:tcW w:w="3192" w:type="dxa"/>
          </w:tcPr>
          <w:p w14:paraId="2C70CC61" w14:textId="77777777" w:rsidR="009A022B" w:rsidRDefault="009A022B" w:rsidP="009A022B"/>
        </w:tc>
        <w:tc>
          <w:tcPr>
            <w:tcW w:w="3192" w:type="dxa"/>
            <w:vAlign w:val="bottom"/>
          </w:tcPr>
          <w:p w14:paraId="7E5D6C31" w14:textId="1275830A" w:rsidR="009A022B" w:rsidRDefault="009A022B" w:rsidP="009A022B">
            <w:r>
              <w:t>Редки</w:t>
            </w:r>
          </w:p>
        </w:tc>
        <w:tc>
          <w:tcPr>
            <w:tcW w:w="3192" w:type="dxa"/>
            <w:vAlign w:val="bottom"/>
          </w:tcPr>
          <w:p w14:paraId="610C9487" w14:textId="4130CA09" w:rsidR="009A022B" w:rsidRDefault="009A022B" w:rsidP="009A022B">
            <w:r>
              <w:t>Състояние на обърканост</w:t>
            </w:r>
          </w:p>
        </w:tc>
      </w:tr>
      <w:tr w:rsidR="009A022B" w14:paraId="546D3903" w14:textId="77777777" w:rsidTr="00CE6558">
        <w:tc>
          <w:tcPr>
            <w:tcW w:w="9576" w:type="dxa"/>
            <w:gridSpan w:val="3"/>
          </w:tcPr>
          <w:p w14:paraId="38C40E81" w14:textId="7411CC14" w:rsidR="009A022B" w:rsidRPr="009A022B" w:rsidRDefault="009A022B" w:rsidP="009A022B">
            <w:pPr>
              <w:rPr>
                <w:b/>
                <w:sz w:val="24"/>
                <w:szCs w:val="24"/>
              </w:rPr>
            </w:pPr>
            <w:r w:rsidRPr="009A022B">
              <w:rPr>
                <w:b/>
                <w:lang w:eastAsia="bg-BG"/>
              </w:rPr>
              <w:t>Съдови нарушения</w:t>
            </w:r>
          </w:p>
        </w:tc>
      </w:tr>
      <w:tr w:rsidR="009A022B" w14:paraId="4AAD73F5" w14:textId="77777777" w:rsidTr="00485F75">
        <w:tc>
          <w:tcPr>
            <w:tcW w:w="3192" w:type="dxa"/>
          </w:tcPr>
          <w:p w14:paraId="7D31133C" w14:textId="77777777" w:rsidR="009A022B" w:rsidRDefault="009A022B" w:rsidP="009A022B"/>
        </w:tc>
        <w:tc>
          <w:tcPr>
            <w:tcW w:w="3192" w:type="dxa"/>
          </w:tcPr>
          <w:p w14:paraId="5EBBDB42" w14:textId="48B57C25" w:rsidR="009A022B" w:rsidRDefault="009A022B" w:rsidP="009A022B">
            <w:r>
              <w:t>Чести</w:t>
            </w:r>
          </w:p>
        </w:tc>
        <w:tc>
          <w:tcPr>
            <w:tcW w:w="3192" w:type="dxa"/>
            <w:vAlign w:val="bottom"/>
          </w:tcPr>
          <w:p w14:paraId="67D7538F" w14:textId="7568861C" w:rsidR="009A022B" w:rsidRDefault="009A022B" w:rsidP="009A022B">
            <w:r>
              <w:t>Хипотония, особено при интравенозните форми</w:t>
            </w:r>
          </w:p>
        </w:tc>
      </w:tr>
      <w:tr w:rsidR="009A022B" w14:paraId="571ED3D0" w14:textId="77777777" w:rsidTr="009A022B">
        <w:tc>
          <w:tcPr>
            <w:tcW w:w="3192" w:type="dxa"/>
          </w:tcPr>
          <w:p w14:paraId="7B466421" w14:textId="77777777" w:rsidR="009A022B" w:rsidRDefault="009A022B" w:rsidP="009A022B"/>
        </w:tc>
        <w:tc>
          <w:tcPr>
            <w:tcW w:w="3192" w:type="dxa"/>
          </w:tcPr>
          <w:p w14:paraId="567C35EE" w14:textId="4907A700" w:rsidR="009A022B" w:rsidRDefault="009A022B" w:rsidP="009A022B">
            <w:r>
              <w:t>Неизвестна честота</w:t>
            </w:r>
          </w:p>
        </w:tc>
        <w:tc>
          <w:tcPr>
            <w:tcW w:w="3192" w:type="dxa"/>
          </w:tcPr>
          <w:p w14:paraId="762DD3AF" w14:textId="459E89DC" w:rsidR="009A022B" w:rsidRDefault="009A022B" w:rsidP="009A022B">
            <w:r>
              <w:t>Шок, синкоп след инжекционно приложение. Остра хипертония при пациенти с феохромоцитом (вж. точка 4.3) Преходно повишаване на кръвното налягане</w:t>
            </w:r>
          </w:p>
        </w:tc>
      </w:tr>
    </w:tbl>
    <w:p w14:paraId="723A1C47" w14:textId="77777777" w:rsidR="009A022B" w:rsidRPr="009A022B" w:rsidRDefault="009A022B" w:rsidP="009A022B">
      <w:pPr>
        <w:spacing w:line="240" w:lineRule="auto"/>
        <w:rPr>
          <w:rFonts w:eastAsia="Times New Roman" w:cs="Arial"/>
        </w:rPr>
      </w:pPr>
      <w:r w:rsidRPr="009A022B">
        <w:rPr>
          <w:rFonts w:eastAsia="Times New Roman" w:cs="Arial"/>
          <w:color w:val="000000"/>
          <w:lang w:eastAsia="bg-BG"/>
        </w:rPr>
        <w:lastRenderedPageBreak/>
        <w:t>* Нарушения на ендокринната система по време на продължително лечение, свързани с хиперпролактинемия (аменорея, галакторея, гинекомастия).</w:t>
      </w:r>
    </w:p>
    <w:p w14:paraId="73290CC8" w14:textId="77777777" w:rsidR="009A022B" w:rsidRPr="009A022B" w:rsidRDefault="009A022B" w:rsidP="009A022B">
      <w:pPr>
        <w:spacing w:line="240" w:lineRule="auto"/>
        <w:rPr>
          <w:rFonts w:eastAsia="Times New Roman" w:cs="Arial"/>
          <w:color w:val="000000"/>
          <w:lang w:eastAsia="bg-BG"/>
        </w:rPr>
      </w:pPr>
    </w:p>
    <w:p w14:paraId="3A5BC49B" w14:textId="1CE75EB5" w:rsidR="009A022B" w:rsidRPr="009A022B" w:rsidRDefault="009A022B" w:rsidP="009A022B">
      <w:pPr>
        <w:spacing w:line="240" w:lineRule="auto"/>
        <w:rPr>
          <w:rFonts w:eastAsia="Times New Roman" w:cs="Arial"/>
        </w:rPr>
      </w:pPr>
      <w:r w:rsidRPr="009A022B">
        <w:rPr>
          <w:rFonts w:eastAsia="Times New Roman" w:cs="Arial"/>
          <w:color w:val="000000"/>
          <w:lang w:eastAsia="bg-BG"/>
        </w:rPr>
        <w:t>Следните реакции, понякога свързани, настъпват по-често, при приложение на високи дози: Екстрапирамидни симптоми: остра дистония и дискинезия, паркинсонов синдром, акатизия, дори след приложение на единична доза от лекарствения продукт, особено при деца и млади хора (вж. точка 4.4).</w:t>
      </w:r>
    </w:p>
    <w:p w14:paraId="6D924F0A" w14:textId="77777777" w:rsidR="009A022B" w:rsidRPr="009A022B" w:rsidRDefault="009A022B" w:rsidP="009A022B">
      <w:pPr>
        <w:spacing w:line="240" w:lineRule="auto"/>
        <w:rPr>
          <w:rFonts w:eastAsia="Times New Roman" w:cs="Arial"/>
        </w:rPr>
      </w:pPr>
      <w:r w:rsidRPr="009A022B">
        <w:rPr>
          <w:rFonts w:eastAsia="Times New Roman" w:cs="Arial"/>
          <w:color w:val="000000"/>
          <w:lang w:eastAsia="bg-BG"/>
        </w:rPr>
        <w:t>Сънливост, понижено ниво на съзнание, обърканост, халюцинации.</w:t>
      </w:r>
    </w:p>
    <w:p w14:paraId="2AAF29E7" w14:textId="77777777" w:rsidR="009A022B" w:rsidRPr="009A022B" w:rsidRDefault="009A022B" w:rsidP="009A022B">
      <w:pPr>
        <w:spacing w:line="240" w:lineRule="auto"/>
        <w:rPr>
          <w:rFonts w:eastAsia="Times New Roman" w:cs="Arial"/>
          <w:color w:val="000000"/>
          <w:u w:val="single"/>
          <w:lang w:eastAsia="bg-BG"/>
        </w:rPr>
      </w:pPr>
    </w:p>
    <w:p w14:paraId="20EF1F95" w14:textId="2EA27D56" w:rsidR="009A022B" w:rsidRPr="009A022B" w:rsidRDefault="009A022B" w:rsidP="009A022B">
      <w:pPr>
        <w:spacing w:line="240" w:lineRule="auto"/>
        <w:rPr>
          <w:rFonts w:eastAsia="Times New Roman" w:cs="Arial"/>
          <w:color w:val="000000"/>
          <w:u w:val="single"/>
          <w:lang w:eastAsia="bg-BG"/>
        </w:rPr>
      </w:pPr>
      <w:r w:rsidRPr="009A022B">
        <w:rPr>
          <w:rFonts w:eastAsia="Times New Roman" w:cs="Arial"/>
          <w:color w:val="000000"/>
          <w:u w:val="single"/>
          <w:lang w:eastAsia="bg-BG"/>
        </w:rPr>
        <w:t>Съобщаване на подозирани нежелани реакции</w:t>
      </w:r>
    </w:p>
    <w:p w14:paraId="109B4ECE" w14:textId="77777777" w:rsidR="009A022B" w:rsidRPr="009A022B" w:rsidRDefault="009A022B" w:rsidP="009A022B">
      <w:pPr>
        <w:spacing w:line="240" w:lineRule="auto"/>
        <w:rPr>
          <w:rFonts w:eastAsia="Times New Roman" w:cs="Arial"/>
        </w:rPr>
      </w:pPr>
      <w:r w:rsidRPr="009A022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9A022B">
        <w:rPr>
          <w:rFonts w:eastAsia="Times New Roman" w:cs="Arial"/>
        </w:rPr>
        <w:fldChar w:fldCharType="begin"/>
      </w:r>
      <w:r w:rsidRPr="009A022B">
        <w:rPr>
          <w:rFonts w:eastAsia="Times New Roman" w:cs="Arial"/>
        </w:rPr>
        <w:instrText xml:space="preserve"> HYPERLINK "http://www.bda.bg" </w:instrText>
      </w:r>
      <w:r w:rsidRPr="009A022B">
        <w:rPr>
          <w:rFonts w:eastAsia="Times New Roman" w:cs="Arial"/>
        </w:rPr>
      </w:r>
      <w:r w:rsidRPr="009A022B">
        <w:rPr>
          <w:rFonts w:eastAsia="Times New Roman" w:cs="Arial"/>
        </w:rPr>
        <w:fldChar w:fldCharType="separate"/>
      </w:r>
      <w:r w:rsidRPr="009A022B">
        <w:rPr>
          <w:rFonts w:eastAsia="Times New Roman" w:cs="Arial"/>
          <w:color w:val="000000"/>
          <w:lang w:val="en-US"/>
        </w:rPr>
        <w:t>www</w:t>
      </w:r>
      <w:r w:rsidRPr="009A022B">
        <w:rPr>
          <w:rFonts w:eastAsia="Times New Roman" w:cs="Arial"/>
          <w:color w:val="000000"/>
          <w:lang w:val="ru-RU"/>
        </w:rPr>
        <w:t>.</w:t>
      </w:r>
      <w:proofErr w:type="spellStart"/>
      <w:r w:rsidRPr="009A022B">
        <w:rPr>
          <w:rFonts w:eastAsia="Times New Roman" w:cs="Arial"/>
          <w:color w:val="000000"/>
          <w:lang w:val="en-US"/>
        </w:rPr>
        <w:t>bda</w:t>
      </w:r>
      <w:proofErr w:type="spellEnd"/>
      <w:r w:rsidRPr="009A022B">
        <w:rPr>
          <w:rFonts w:eastAsia="Times New Roman" w:cs="Arial"/>
          <w:color w:val="000000"/>
          <w:lang w:val="ru-RU"/>
        </w:rPr>
        <w:t>.</w:t>
      </w:r>
      <w:proofErr w:type="spellStart"/>
      <w:r w:rsidRPr="009A022B">
        <w:rPr>
          <w:rFonts w:eastAsia="Times New Roman" w:cs="Arial"/>
          <w:color w:val="000000"/>
          <w:lang w:val="en-US"/>
        </w:rPr>
        <w:t>bg</w:t>
      </w:r>
      <w:proofErr w:type="spellEnd"/>
      <w:r w:rsidRPr="009A022B">
        <w:rPr>
          <w:rFonts w:eastAsia="Times New Roman" w:cs="Arial"/>
        </w:rPr>
        <w:fldChar w:fldCharType="end"/>
      </w:r>
      <w:r w:rsidRPr="009A022B">
        <w:rPr>
          <w:rFonts w:eastAsia="Times New Roman" w:cs="Arial"/>
          <w:color w:val="000000"/>
          <w:lang w:val="ru-RU"/>
        </w:rPr>
        <w:t>.</w:t>
      </w:r>
    </w:p>
    <w:p w14:paraId="4A7C7706" w14:textId="77777777" w:rsidR="009A022B" w:rsidRPr="009A022B" w:rsidRDefault="009A022B" w:rsidP="009A022B"/>
    <w:p w14:paraId="4ED30546" w14:textId="179AA976" w:rsidR="007C605B" w:rsidRDefault="002C50EE" w:rsidP="009F1313">
      <w:pPr>
        <w:pStyle w:val="Heading2"/>
      </w:pPr>
      <w:r>
        <w:t>4.9. Предозиране</w:t>
      </w:r>
    </w:p>
    <w:p w14:paraId="2363E3AB" w14:textId="4A21DBC1" w:rsidR="009A022B" w:rsidRDefault="009A022B" w:rsidP="009A022B"/>
    <w:p w14:paraId="2D0CEF11" w14:textId="77777777" w:rsidR="000A34C2" w:rsidRPr="000A34C2" w:rsidRDefault="000A34C2" w:rsidP="000A34C2">
      <w:pPr>
        <w:pStyle w:val="Heading3"/>
        <w:rPr>
          <w:rFonts w:eastAsia="Times New Roman"/>
          <w:i/>
          <w:sz w:val="28"/>
        </w:rPr>
      </w:pPr>
      <w:r w:rsidRPr="000A34C2">
        <w:rPr>
          <w:rFonts w:eastAsia="Times New Roman"/>
          <w:i/>
          <w:lang w:eastAsia="bg-BG"/>
        </w:rPr>
        <w:t>Симптоми</w:t>
      </w:r>
    </w:p>
    <w:p w14:paraId="643C1BDE"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Могат да настъпят екстрапирамидни нарушения, сънливост, понижено ниво на съзнание, обърканост, халюцинации и кардиореспираторен арест.</w:t>
      </w:r>
    </w:p>
    <w:p w14:paraId="4319CBF2" w14:textId="77777777" w:rsidR="000A34C2" w:rsidRPr="000A34C2" w:rsidRDefault="000A34C2" w:rsidP="000A34C2">
      <w:pPr>
        <w:spacing w:line="240" w:lineRule="auto"/>
        <w:rPr>
          <w:rFonts w:eastAsia="Times New Roman" w:cs="Arial"/>
          <w:color w:val="000000"/>
          <w:szCs w:val="20"/>
          <w:u w:val="single"/>
          <w:lang w:eastAsia="bg-BG"/>
        </w:rPr>
      </w:pPr>
    </w:p>
    <w:p w14:paraId="7105F26E" w14:textId="2C93F48F"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u w:val="single"/>
          <w:lang w:eastAsia="bg-BG"/>
        </w:rPr>
        <w:t>Овладяване</w:t>
      </w:r>
    </w:p>
    <w:p w14:paraId="0C325D8D"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В случай на екстрапирамидни симптоми, свързани или не с предозиране, лечението е само симптоматично (бензодиазепини при деца и/или антихолинергични антипаркинсонови лекарствени продукти при възрастни).</w:t>
      </w:r>
    </w:p>
    <w:p w14:paraId="2450031B" w14:textId="77777777" w:rsidR="000A34C2" w:rsidRPr="000A34C2" w:rsidRDefault="000A34C2" w:rsidP="000A34C2">
      <w:pPr>
        <w:rPr>
          <w:rFonts w:eastAsia="Times New Roman" w:cs="Arial"/>
          <w:color w:val="000000"/>
          <w:szCs w:val="20"/>
          <w:lang w:eastAsia="bg-BG"/>
        </w:rPr>
      </w:pPr>
    </w:p>
    <w:p w14:paraId="0FF863A4" w14:textId="2088346D" w:rsidR="009A022B" w:rsidRPr="000A34C2" w:rsidRDefault="000A34C2" w:rsidP="000A34C2">
      <w:pPr>
        <w:rPr>
          <w:rFonts w:cs="Arial"/>
          <w:sz w:val="24"/>
        </w:rPr>
      </w:pPr>
      <w:r w:rsidRPr="000A34C2">
        <w:rPr>
          <w:rFonts w:eastAsia="Times New Roman" w:cs="Arial"/>
          <w:color w:val="000000"/>
          <w:szCs w:val="20"/>
          <w:lang w:eastAsia="bg-BG"/>
        </w:rPr>
        <w:t>В зависимост от клиничния статус, е необходимо осъществяване на симптоматично лечение и продължително проследяване на сърдечно-съдовата и белодробната функция.</w:t>
      </w:r>
    </w:p>
    <w:p w14:paraId="02081B24" w14:textId="1F46E296" w:rsidR="00395555" w:rsidRPr="00395555" w:rsidRDefault="002C50EE" w:rsidP="008A6AF2">
      <w:pPr>
        <w:pStyle w:val="Heading1"/>
      </w:pPr>
      <w:r>
        <w:t>5. ФАРМАКОЛОГИЧНИ СВОЙСТВА</w:t>
      </w:r>
    </w:p>
    <w:p w14:paraId="5350637D" w14:textId="4FB1CD04" w:rsidR="00395555" w:rsidRDefault="002C50EE" w:rsidP="008A6AF2">
      <w:pPr>
        <w:pStyle w:val="Heading2"/>
      </w:pPr>
      <w:r>
        <w:t>5.1. Фармакодинамични свойства</w:t>
      </w:r>
    </w:p>
    <w:p w14:paraId="731304F1" w14:textId="3BB1805F" w:rsidR="000A34C2" w:rsidRDefault="000A34C2" w:rsidP="000A34C2"/>
    <w:p w14:paraId="35428F79"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 xml:space="preserve">Фармакотерапевтична група: Производни на прокаинамид с антиеметичен ефект и повлияващи мотилитета на стомашно-чревния тракт, АТС код: </w:t>
      </w:r>
      <w:r w:rsidRPr="000A34C2">
        <w:rPr>
          <w:rFonts w:eastAsia="Times New Roman" w:cs="Arial"/>
          <w:color w:val="000000"/>
          <w:szCs w:val="20"/>
          <w:lang w:val="en-US"/>
        </w:rPr>
        <w:t>A</w:t>
      </w:r>
      <w:r w:rsidRPr="000A34C2">
        <w:rPr>
          <w:rFonts w:eastAsia="Times New Roman" w:cs="Arial"/>
          <w:color w:val="000000"/>
          <w:szCs w:val="20"/>
          <w:lang w:val="ru-RU"/>
        </w:rPr>
        <w:t>03</w:t>
      </w:r>
      <w:r w:rsidRPr="000A34C2">
        <w:rPr>
          <w:rFonts w:eastAsia="Times New Roman" w:cs="Arial"/>
          <w:color w:val="000000"/>
          <w:szCs w:val="20"/>
          <w:lang w:val="en-US"/>
        </w:rPr>
        <w:t>FA</w:t>
      </w:r>
      <w:r w:rsidRPr="000A34C2">
        <w:rPr>
          <w:rFonts w:eastAsia="Times New Roman" w:cs="Arial"/>
          <w:color w:val="000000"/>
          <w:szCs w:val="20"/>
          <w:lang w:val="ru-RU"/>
        </w:rPr>
        <w:t xml:space="preserve"> </w:t>
      </w:r>
      <w:r w:rsidRPr="000A34C2">
        <w:rPr>
          <w:rFonts w:eastAsia="Times New Roman" w:cs="Arial"/>
          <w:color w:val="000000"/>
          <w:szCs w:val="20"/>
          <w:lang w:eastAsia="bg-BG"/>
        </w:rPr>
        <w:t>01</w:t>
      </w:r>
    </w:p>
    <w:p w14:paraId="47A4093B" w14:textId="77777777" w:rsidR="000A34C2" w:rsidRPr="000A34C2" w:rsidRDefault="000A34C2" w:rsidP="000A34C2">
      <w:pPr>
        <w:spacing w:line="240" w:lineRule="auto"/>
        <w:rPr>
          <w:rFonts w:eastAsia="Times New Roman" w:cs="Arial"/>
          <w:color w:val="000000"/>
          <w:szCs w:val="20"/>
          <w:lang w:eastAsia="bg-BG"/>
        </w:rPr>
      </w:pPr>
    </w:p>
    <w:p w14:paraId="5586DF5C" w14:textId="271ABBD1"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Метоклопрамид е централен допаминов антагонист. В допълнение той притежава периферна холинергична активност. Съществуват две различни основни действия:</w:t>
      </w:r>
    </w:p>
    <w:p w14:paraId="3233B46C" w14:textId="081ED65F" w:rsidR="000A34C2" w:rsidRPr="000A34C2" w:rsidRDefault="000A34C2" w:rsidP="000A34C2">
      <w:pPr>
        <w:pStyle w:val="ListParagraph"/>
        <w:numPr>
          <w:ilvl w:val="0"/>
          <w:numId w:val="35"/>
        </w:numPr>
        <w:spacing w:line="240" w:lineRule="auto"/>
        <w:rPr>
          <w:rFonts w:eastAsia="Times New Roman" w:cs="Arial"/>
          <w:color w:val="000000"/>
          <w:szCs w:val="20"/>
          <w:lang w:eastAsia="bg-BG"/>
        </w:rPr>
      </w:pPr>
      <w:r w:rsidRPr="000A34C2">
        <w:rPr>
          <w:rFonts w:eastAsia="Times New Roman" w:cs="Arial"/>
          <w:color w:val="000000"/>
          <w:szCs w:val="20"/>
          <w:lang w:eastAsia="bg-BG"/>
        </w:rPr>
        <w:t>Антиеметично действие;</w:t>
      </w:r>
    </w:p>
    <w:p w14:paraId="239688DE" w14:textId="55379F98" w:rsidR="000A34C2" w:rsidRPr="000A34C2" w:rsidRDefault="000A34C2" w:rsidP="000A34C2">
      <w:pPr>
        <w:pStyle w:val="ListParagraph"/>
        <w:numPr>
          <w:ilvl w:val="0"/>
          <w:numId w:val="35"/>
        </w:numPr>
        <w:rPr>
          <w:rFonts w:eastAsia="Times New Roman" w:cs="Arial"/>
          <w:color w:val="000000"/>
          <w:szCs w:val="20"/>
          <w:lang w:eastAsia="bg-BG"/>
        </w:rPr>
      </w:pPr>
      <w:r w:rsidRPr="000A34C2">
        <w:rPr>
          <w:rFonts w:eastAsia="Times New Roman" w:cs="Arial"/>
          <w:color w:val="000000"/>
          <w:szCs w:val="20"/>
          <w:lang w:eastAsia="bg-BG"/>
        </w:rPr>
        <w:t>Ускорява стомашната евакуация и пасажа през тънките черва.</w:t>
      </w:r>
    </w:p>
    <w:p w14:paraId="2F8B9536" w14:textId="18E7F636" w:rsidR="000A34C2" w:rsidRPr="000A34C2" w:rsidRDefault="000A34C2" w:rsidP="000A34C2">
      <w:pPr>
        <w:rPr>
          <w:rFonts w:eastAsia="Times New Roman" w:cs="Arial"/>
          <w:color w:val="000000"/>
          <w:szCs w:val="20"/>
          <w:lang w:eastAsia="bg-BG"/>
        </w:rPr>
      </w:pPr>
    </w:p>
    <w:p w14:paraId="79CB85EA"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 xml:space="preserve">Антиеметичният ефект се осъществява по централен път в мозъчния ствол (чрез хеморецептори върху центъра на повръщане в тригеровата зона), най-вероятно чрез инхибиране на допаминергичните неврони. Едновременно с това усилването на мотилитета също частично се контролира от суперординатни центрове, следователно периферният механизъм на действие се осъществява чрез активиране на </w:t>
      </w:r>
      <w:r w:rsidRPr="000A34C2">
        <w:rPr>
          <w:rFonts w:eastAsia="Times New Roman" w:cs="Arial"/>
          <w:color w:val="000000"/>
          <w:szCs w:val="20"/>
          <w:lang w:eastAsia="bg-BG"/>
        </w:rPr>
        <w:lastRenderedPageBreak/>
        <w:t>постганглийните холинергични рецептори, като е възможно и инхибиране на стомашните и чревните допаминови рецептори.</w:t>
      </w:r>
    </w:p>
    <w:p w14:paraId="5249A9BA" w14:textId="77777777" w:rsidR="000A34C2" w:rsidRPr="000A34C2" w:rsidRDefault="000A34C2" w:rsidP="000A34C2">
      <w:pPr>
        <w:spacing w:line="240" w:lineRule="auto"/>
        <w:rPr>
          <w:rFonts w:eastAsia="Times New Roman" w:cs="Arial"/>
          <w:color w:val="000000"/>
          <w:szCs w:val="20"/>
          <w:lang w:eastAsia="bg-BG"/>
        </w:rPr>
      </w:pPr>
    </w:p>
    <w:p w14:paraId="0FDD4D9C" w14:textId="798DDC4F"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Нежеланите ефекти обхващат най-вече екстрапирамидни симптоми (неволеви еластични движения), предизвикани от механизма на блокиране на допаминовите рецептори.</w:t>
      </w:r>
    </w:p>
    <w:p w14:paraId="09C22EE6" w14:textId="77777777" w:rsidR="000A34C2" w:rsidRPr="000A34C2" w:rsidRDefault="000A34C2" w:rsidP="000A34C2">
      <w:pPr>
        <w:spacing w:line="240" w:lineRule="auto"/>
        <w:rPr>
          <w:rFonts w:eastAsia="Times New Roman" w:cs="Arial"/>
          <w:color w:val="000000"/>
          <w:szCs w:val="20"/>
          <w:lang w:eastAsia="bg-BG"/>
        </w:rPr>
      </w:pPr>
    </w:p>
    <w:p w14:paraId="37F706DB" w14:textId="1ACEC758"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Продължително лечение с метоклопрамид може да причини повишение на серумната концентрация на пролактин поради нарушено инхибиране на пролактиновата секреция. Описани са галакторея и менструални смущения при жените, както и гинекомастия при мъжете. Те отзвучават след преустановяване приема на лекарството.</w:t>
      </w:r>
    </w:p>
    <w:p w14:paraId="15DD34EF" w14:textId="77777777" w:rsidR="000A34C2" w:rsidRPr="000A34C2" w:rsidRDefault="000A34C2" w:rsidP="000A34C2"/>
    <w:p w14:paraId="26535098" w14:textId="6DC274B2" w:rsidR="00395555" w:rsidRDefault="002C50EE" w:rsidP="008A6AF2">
      <w:pPr>
        <w:pStyle w:val="Heading2"/>
      </w:pPr>
      <w:r>
        <w:t>5.2. Фармакокинетични свойства</w:t>
      </w:r>
    </w:p>
    <w:p w14:paraId="5803D37D" w14:textId="25D541F2" w:rsidR="000A34C2" w:rsidRDefault="000A34C2" w:rsidP="000A34C2"/>
    <w:p w14:paraId="4E19C27F" w14:textId="77777777" w:rsidR="000A34C2" w:rsidRPr="000A34C2" w:rsidRDefault="000A34C2" w:rsidP="000A34C2">
      <w:pPr>
        <w:rPr>
          <w:sz w:val="24"/>
          <w:szCs w:val="24"/>
        </w:rPr>
      </w:pPr>
      <w:r w:rsidRPr="000A34C2">
        <w:rPr>
          <w:lang w:eastAsia="bg-BG"/>
        </w:rPr>
        <w:t xml:space="preserve">Метоклопрамид се абсорбира бързо след перорален прием на лекарствена форма, която не е със забавено освобождаване. Максималната плазмена концентрация се достига в рамките на 30 до 120 </w:t>
      </w:r>
      <w:r w:rsidRPr="000A34C2">
        <w:rPr>
          <w:lang w:val="en-US"/>
        </w:rPr>
        <w:t>min</w:t>
      </w:r>
      <w:r w:rsidRPr="000A34C2">
        <w:rPr>
          <w:lang w:val="ru-RU"/>
        </w:rPr>
        <w:t xml:space="preserve">, </w:t>
      </w:r>
      <w:r w:rsidRPr="000A34C2">
        <w:rPr>
          <w:lang w:eastAsia="bg-BG"/>
        </w:rPr>
        <w:t xml:space="preserve">средно - около час след прием. Системната бионаличност при перорално приложение на метоклопрамид варира между 60 и 80%. В клинично проучване, при перорален прием на 10 </w:t>
      </w:r>
      <w:r w:rsidRPr="000A34C2">
        <w:rPr>
          <w:lang w:val="en-US"/>
        </w:rPr>
        <w:t>mg</w:t>
      </w:r>
      <w:r w:rsidRPr="000A34C2">
        <w:rPr>
          <w:lang w:val="ru-RU"/>
        </w:rPr>
        <w:t xml:space="preserve"> </w:t>
      </w:r>
      <w:r w:rsidRPr="000A34C2">
        <w:rPr>
          <w:lang w:eastAsia="bg-BG"/>
        </w:rPr>
        <w:t>метоклопрамид от 6 човека, е установена максималната плазмена концентрация (С</w:t>
      </w:r>
      <w:r w:rsidRPr="000A34C2">
        <w:rPr>
          <w:vertAlign w:val="subscript"/>
          <w:lang w:val="en-US"/>
        </w:rPr>
        <w:t>max</w:t>
      </w:r>
      <w:r w:rsidRPr="000A34C2">
        <w:rPr>
          <w:lang w:eastAsia="bg-BG"/>
        </w:rPr>
        <w:t xml:space="preserve">) 42- 63 </w:t>
      </w:r>
      <w:r w:rsidRPr="000A34C2">
        <w:rPr>
          <w:lang w:val="en-US"/>
        </w:rPr>
        <w:t>ng</w:t>
      </w:r>
      <w:r w:rsidRPr="000A34C2">
        <w:rPr>
          <w:lang w:val="ru-RU"/>
        </w:rPr>
        <w:t xml:space="preserve"> </w:t>
      </w:r>
      <w:r w:rsidRPr="000A34C2">
        <w:rPr>
          <w:lang w:eastAsia="bg-BG"/>
        </w:rPr>
        <w:t>метоклопрамид</w:t>
      </w:r>
      <w:r w:rsidRPr="000A34C2">
        <w:rPr>
          <w:lang w:val="ru-RU"/>
        </w:rPr>
        <w:t>/</w:t>
      </w:r>
      <w:r w:rsidRPr="000A34C2">
        <w:rPr>
          <w:lang w:val="en-US"/>
        </w:rPr>
        <w:t>ml</w:t>
      </w:r>
      <w:r w:rsidRPr="000A34C2">
        <w:rPr>
          <w:lang w:val="ru-RU"/>
        </w:rPr>
        <w:t>.</w:t>
      </w:r>
    </w:p>
    <w:p w14:paraId="2A18860E" w14:textId="77777777" w:rsidR="000A34C2" w:rsidRDefault="000A34C2" w:rsidP="000A34C2">
      <w:pPr>
        <w:rPr>
          <w:lang w:eastAsia="bg-BG"/>
        </w:rPr>
      </w:pPr>
    </w:p>
    <w:p w14:paraId="4D476664" w14:textId="26EE96B6" w:rsidR="000A34C2" w:rsidRPr="000A34C2" w:rsidRDefault="000A34C2" w:rsidP="000A34C2">
      <w:pPr>
        <w:rPr>
          <w:sz w:val="24"/>
          <w:szCs w:val="24"/>
        </w:rPr>
      </w:pPr>
      <w:r w:rsidRPr="000A34C2">
        <w:rPr>
          <w:lang w:eastAsia="bg-BG"/>
        </w:rPr>
        <w:t xml:space="preserve">Максималните стойности на метоклопрамид в серума след перорален прием варира чувствително в зависимост от метаболизма при първо преминаване през черния дроб. Елиминационният полуживот е от 2,6 до 4,6 часа. Незначителна част от метоклопрамид се свързва с плазмените протеини. Обемът на разпределение е 2,2 до 3,4 </w:t>
      </w:r>
      <w:r w:rsidRPr="000A34C2">
        <w:rPr>
          <w:lang w:val="ru-RU"/>
        </w:rPr>
        <w:t>1/</w:t>
      </w:r>
      <w:r w:rsidRPr="000A34C2">
        <w:rPr>
          <w:lang w:val="en-US"/>
        </w:rPr>
        <w:t>kg</w:t>
      </w:r>
      <w:r w:rsidRPr="000A34C2">
        <w:rPr>
          <w:lang w:val="ru-RU"/>
        </w:rPr>
        <w:t>.</w:t>
      </w:r>
    </w:p>
    <w:p w14:paraId="33ADA062" w14:textId="77777777" w:rsidR="000A34C2" w:rsidRDefault="000A34C2" w:rsidP="000A34C2">
      <w:pPr>
        <w:rPr>
          <w:lang w:eastAsia="bg-BG"/>
        </w:rPr>
      </w:pPr>
    </w:p>
    <w:p w14:paraId="472FE584" w14:textId="6D2B5D77" w:rsidR="000A34C2" w:rsidRPr="000A34C2" w:rsidRDefault="000A34C2" w:rsidP="000A34C2">
      <w:pPr>
        <w:rPr>
          <w:sz w:val="24"/>
          <w:szCs w:val="24"/>
        </w:rPr>
      </w:pPr>
      <w:r w:rsidRPr="000A34C2">
        <w:rPr>
          <w:lang w:eastAsia="bg-BG"/>
        </w:rPr>
        <w:t>Метоклопрамид преминава през кръвно-мозъчната бариера в майчиното мляко. Една част от него се екскретира непроменен (около 20%), останалата се екскретира след чернодробния метаболизъм с глюкуронова или сярна киселина и се елиминира през бъбреците чрез урината.</w:t>
      </w:r>
    </w:p>
    <w:p w14:paraId="5D75041B" w14:textId="77777777" w:rsidR="000A34C2" w:rsidRDefault="000A34C2" w:rsidP="000A34C2">
      <w:pPr>
        <w:rPr>
          <w:lang w:eastAsia="bg-BG"/>
        </w:rPr>
      </w:pPr>
    </w:p>
    <w:p w14:paraId="1384D4F8" w14:textId="2627BC71" w:rsidR="000A34C2" w:rsidRPr="000A34C2" w:rsidRDefault="000A34C2" w:rsidP="000A34C2">
      <w:pPr>
        <w:rPr>
          <w:sz w:val="24"/>
          <w:szCs w:val="24"/>
        </w:rPr>
      </w:pPr>
      <w:r w:rsidRPr="000A34C2">
        <w:rPr>
          <w:lang w:eastAsia="bg-BG"/>
        </w:rPr>
        <w:t>Бъбречно увреждане</w:t>
      </w:r>
    </w:p>
    <w:p w14:paraId="69EAE3AA" w14:textId="77777777" w:rsidR="000A34C2" w:rsidRPr="000A34C2" w:rsidRDefault="000A34C2" w:rsidP="000A34C2">
      <w:pPr>
        <w:rPr>
          <w:sz w:val="24"/>
          <w:szCs w:val="24"/>
        </w:rPr>
      </w:pPr>
      <w:r w:rsidRPr="000A34C2">
        <w:rPr>
          <w:lang w:eastAsia="bg-BG"/>
        </w:rPr>
        <w:t xml:space="preserve">Клирънсът на метоклопрамид е понижен с до 70% при пациенти с тежко бъбречно увреждане, докато елиминационният плазмен полуживот е удължен (приблизително 10 часа за креатининов клирънс от 10-50 </w:t>
      </w:r>
      <w:r w:rsidRPr="000A34C2">
        <w:rPr>
          <w:lang w:val="en-US"/>
        </w:rPr>
        <w:t>ml</w:t>
      </w:r>
      <w:r w:rsidRPr="000A34C2">
        <w:rPr>
          <w:lang w:eastAsia="bg-BG"/>
        </w:rPr>
        <w:t xml:space="preserve">/минута и 15 часа за креатининов клирънс &lt;10 </w:t>
      </w:r>
      <w:r w:rsidRPr="000A34C2">
        <w:rPr>
          <w:lang w:val="en-US"/>
        </w:rPr>
        <w:t>ml</w:t>
      </w:r>
      <w:r w:rsidRPr="000A34C2">
        <w:rPr>
          <w:lang w:eastAsia="bg-BG"/>
        </w:rPr>
        <w:t>/минута).</w:t>
      </w:r>
    </w:p>
    <w:p w14:paraId="7EB2A318" w14:textId="77777777" w:rsidR="000A34C2" w:rsidRDefault="000A34C2" w:rsidP="000A34C2">
      <w:pPr>
        <w:rPr>
          <w:lang w:eastAsia="bg-BG"/>
        </w:rPr>
      </w:pPr>
    </w:p>
    <w:p w14:paraId="732CEC16" w14:textId="07AC7935" w:rsidR="000A34C2" w:rsidRPr="000A34C2" w:rsidRDefault="000A34C2" w:rsidP="000A34C2">
      <w:pPr>
        <w:rPr>
          <w:sz w:val="24"/>
          <w:szCs w:val="24"/>
        </w:rPr>
      </w:pPr>
      <w:r w:rsidRPr="000A34C2">
        <w:rPr>
          <w:lang w:eastAsia="bg-BG"/>
        </w:rPr>
        <w:t>Чернодробно увреждане</w:t>
      </w:r>
    </w:p>
    <w:p w14:paraId="1D6A0773" w14:textId="77777777" w:rsidR="000A34C2" w:rsidRPr="000A34C2" w:rsidRDefault="000A34C2" w:rsidP="000A34C2">
      <w:pPr>
        <w:rPr>
          <w:sz w:val="24"/>
          <w:szCs w:val="24"/>
        </w:rPr>
      </w:pPr>
      <w:r w:rsidRPr="000A34C2">
        <w:rPr>
          <w:lang w:eastAsia="bg-BG"/>
        </w:rPr>
        <w:t>При пациенти с цироза на черния дроб, е наблюдавано кумулиране на метоклопрамид, свързано с 50% намаление на плазмения клирънс.</w:t>
      </w:r>
    </w:p>
    <w:p w14:paraId="014FAB19" w14:textId="77777777" w:rsidR="000A34C2" w:rsidRPr="000A34C2" w:rsidRDefault="000A34C2" w:rsidP="000A34C2"/>
    <w:p w14:paraId="028E658A" w14:textId="09DB9AEF" w:rsidR="00395555" w:rsidRDefault="002C50EE" w:rsidP="008A6AF2">
      <w:pPr>
        <w:pStyle w:val="Heading2"/>
      </w:pPr>
      <w:r>
        <w:t>5.3. Предклинични данни за безопасност</w:t>
      </w:r>
    </w:p>
    <w:p w14:paraId="48D3801E" w14:textId="74E6C8B3" w:rsidR="000A34C2" w:rsidRDefault="000A34C2" w:rsidP="000A34C2"/>
    <w:p w14:paraId="25D61785" w14:textId="77777777" w:rsidR="000A34C2" w:rsidRPr="000A34C2" w:rsidRDefault="000A34C2" w:rsidP="000A34C2">
      <w:pPr>
        <w:spacing w:line="240" w:lineRule="auto"/>
        <w:rPr>
          <w:rFonts w:eastAsia="Times New Roman" w:cs="Arial"/>
          <w:sz w:val="28"/>
          <w:szCs w:val="24"/>
        </w:rPr>
      </w:pPr>
      <w:r w:rsidRPr="000A34C2">
        <w:rPr>
          <w:rFonts w:eastAsia="Times New Roman" w:cs="Arial"/>
          <w:i/>
          <w:iCs/>
          <w:color w:val="000000"/>
          <w:szCs w:val="20"/>
          <w:lang w:eastAsia="bg-BG"/>
        </w:rPr>
        <w:t>Остра токсичност</w:t>
      </w:r>
    </w:p>
    <w:p w14:paraId="2150FDC5"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Острата токсичност е проучвана при различни животински видове (мишки, плъхове, кучета).</w:t>
      </w:r>
    </w:p>
    <w:p w14:paraId="3B2427BD"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Симптомите на интоксикация са описани в т. 4.9 “Предозиране”.</w:t>
      </w:r>
    </w:p>
    <w:p w14:paraId="01EBD3F9" w14:textId="77777777" w:rsidR="000A34C2" w:rsidRPr="000A34C2" w:rsidRDefault="000A34C2" w:rsidP="000A34C2">
      <w:pPr>
        <w:spacing w:line="240" w:lineRule="auto"/>
        <w:rPr>
          <w:rFonts w:eastAsia="Times New Roman" w:cs="Arial"/>
          <w:i/>
          <w:iCs/>
          <w:color w:val="000000"/>
          <w:szCs w:val="20"/>
          <w:lang w:eastAsia="bg-BG"/>
        </w:rPr>
      </w:pPr>
    </w:p>
    <w:p w14:paraId="751547D6" w14:textId="39295698" w:rsidR="000A34C2" w:rsidRPr="000A34C2" w:rsidRDefault="000A34C2" w:rsidP="000A34C2">
      <w:pPr>
        <w:spacing w:line="240" w:lineRule="auto"/>
        <w:rPr>
          <w:rFonts w:eastAsia="Times New Roman" w:cs="Arial"/>
          <w:sz w:val="28"/>
          <w:szCs w:val="24"/>
        </w:rPr>
      </w:pPr>
      <w:r w:rsidRPr="000A34C2">
        <w:rPr>
          <w:rFonts w:eastAsia="Times New Roman" w:cs="Arial"/>
          <w:i/>
          <w:iCs/>
          <w:color w:val="000000"/>
          <w:szCs w:val="20"/>
          <w:lang w:eastAsia="bg-BG"/>
        </w:rPr>
        <w:t>Хронична токсичност</w:t>
      </w:r>
    </w:p>
    <w:p w14:paraId="4C71D633"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lastRenderedPageBreak/>
        <w:t xml:space="preserve">При продължителен перорален прием или интравенозно приложение, всички лабораторни животни показват симптоми на предозиране: при кучета и зайци - понижен прием на храна, забавено наддаване на тегло, диария, левкоцитоза и анемия, повишаване на </w:t>
      </w:r>
      <w:r w:rsidRPr="000A34C2">
        <w:rPr>
          <w:rFonts w:eastAsia="Times New Roman" w:cs="Arial"/>
          <w:color w:val="000000"/>
          <w:szCs w:val="20"/>
          <w:lang w:val="en-US"/>
        </w:rPr>
        <w:t>LDH</w:t>
      </w:r>
      <w:r w:rsidRPr="000A34C2">
        <w:rPr>
          <w:rFonts w:eastAsia="Times New Roman" w:cs="Arial"/>
          <w:color w:val="000000"/>
          <w:szCs w:val="20"/>
          <w:lang w:val="ru-RU"/>
        </w:rPr>
        <w:t xml:space="preserve"> </w:t>
      </w:r>
      <w:r w:rsidRPr="000A34C2">
        <w:rPr>
          <w:rFonts w:eastAsia="Times New Roman" w:cs="Arial"/>
          <w:color w:val="000000"/>
          <w:szCs w:val="20"/>
          <w:lang w:eastAsia="bg-BG"/>
        </w:rPr>
        <w:t xml:space="preserve">и АР, седация, анорексия, при плъховете - повишаване на </w:t>
      </w:r>
      <w:r w:rsidRPr="000A34C2">
        <w:rPr>
          <w:rFonts w:eastAsia="Times New Roman" w:cs="Arial"/>
          <w:color w:val="000000"/>
          <w:szCs w:val="20"/>
          <w:lang w:val="en-US"/>
        </w:rPr>
        <w:t>SGOT</w:t>
      </w:r>
      <w:r w:rsidRPr="000A34C2">
        <w:rPr>
          <w:rFonts w:eastAsia="Times New Roman" w:cs="Arial"/>
          <w:color w:val="000000"/>
          <w:szCs w:val="20"/>
          <w:lang w:val="ru-RU"/>
        </w:rPr>
        <w:t xml:space="preserve">, </w:t>
      </w:r>
      <w:r w:rsidRPr="000A34C2">
        <w:rPr>
          <w:rFonts w:eastAsia="Times New Roman" w:cs="Arial"/>
          <w:color w:val="000000"/>
          <w:szCs w:val="20"/>
          <w:lang w:val="en-US"/>
        </w:rPr>
        <w:t>SGPT</w:t>
      </w:r>
      <w:r w:rsidRPr="000A34C2">
        <w:rPr>
          <w:rFonts w:eastAsia="Times New Roman" w:cs="Arial"/>
          <w:color w:val="000000"/>
          <w:szCs w:val="20"/>
          <w:lang w:val="ru-RU"/>
        </w:rPr>
        <w:t xml:space="preserve"> </w:t>
      </w:r>
      <w:r w:rsidRPr="000A34C2">
        <w:rPr>
          <w:rFonts w:eastAsia="Times New Roman" w:cs="Arial"/>
          <w:color w:val="000000"/>
          <w:szCs w:val="20"/>
          <w:lang w:eastAsia="bg-BG"/>
        </w:rPr>
        <w:t>и на общия билирубин.</w:t>
      </w:r>
    </w:p>
    <w:p w14:paraId="54AE7802" w14:textId="4F2FA743" w:rsidR="000A34C2" w:rsidRPr="000A34C2" w:rsidRDefault="000A34C2" w:rsidP="000A34C2">
      <w:pPr>
        <w:rPr>
          <w:rFonts w:eastAsia="Times New Roman" w:cs="Arial"/>
          <w:color w:val="000000"/>
          <w:szCs w:val="20"/>
          <w:lang w:eastAsia="bg-BG"/>
        </w:rPr>
      </w:pPr>
      <w:r w:rsidRPr="000A34C2">
        <w:rPr>
          <w:rFonts w:eastAsia="Times New Roman" w:cs="Arial"/>
          <w:color w:val="000000"/>
          <w:szCs w:val="20"/>
          <w:lang w:eastAsia="bg-BG"/>
        </w:rPr>
        <w:t>При плъхове и кучета най-ниската токсична доза след продължително приложение</w:t>
      </w:r>
      <w:r w:rsidRPr="000A34C2">
        <w:rPr>
          <w:rFonts w:eastAsia="Times New Roman" w:cs="Arial"/>
          <w:color w:val="000000"/>
          <w:szCs w:val="20"/>
          <w:lang w:val="ru-RU"/>
        </w:rPr>
        <w:t xml:space="preserve"> </w:t>
      </w:r>
      <w:r w:rsidRPr="000A34C2">
        <w:rPr>
          <w:rFonts w:eastAsia="Times New Roman" w:cs="Arial"/>
          <w:color w:val="000000"/>
          <w:szCs w:val="20"/>
          <w:lang w:eastAsia="bg-BG"/>
        </w:rPr>
        <w:t xml:space="preserve">варира от 11 до 35 </w:t>
      </w:r>
      <w:r w:rsidRPr="000A34C2">
        <w:rPr>
          <w:rFonts w:eastAsia="Times New Roman" w:cs="Arial"/>
          <w:color w:val="000000"/>
          <w:szCs w:val="20"/>
          <w:lang w:val="en-US"/>
        </w:rPr>
        <w:t>mg</w:t>
      </w:r>
      <w:r w:rsidRPr="000A34C2">
        <w:rPr>
          <w:rFonts w:eastAsia="Times New Roman" w:cs="Arial"/>
          <w:color w:val="000000"/>
          <w:szCs w:val="20"/>
          <w:lang w:val="ru-RU"/>
        </w:rPr>
        <w:t>/</w:t>
      </w:r>
      <w:r w:rsidRPr="000A34C2">
        <w:rPr>
          <w:rFonts w:eastAsia="Times New Roman" w:cs="Arial"/>
          <w:color w:val="000000"/>
          <w:szCs w:val="20"/>
          <w:lang w:val="en-US"/>
        </w:rPr>
        <w:t>kg</w:t>
      </w:r>
      <w:r w:rsidRPr="000A34C2">
        <w:rPr>
          <w:rFonts w:eastAsia="Times New Roman" w:cs="Arial"/>
          <w:color w:val="000000"/>
          <w:szCs w:val="20"/>
          <w:lang w:val="ru-RU"/>
        </w:rPr>
        <w:t xml:space="preserve"> </w:t>
      </w:r>
      <w:r w:rsidRPr="000A34C2">
        <w:rPr>
          <w:rFonts w:eastAsia="Times New Roman" w:cs="Arial"/>
          <w:color w:val="000000"/>
          <w:szCs w:val="20"/>
          <w:lang w:eastAsia="bg-BG"/>
        </w:rPr>
        <w:t xml:space="preserve">телесно тегло, леталната доза варира между 35 и 115 </w:t>
      </w:r>
      <w:r w:rsidRPr="000A34C2">
        <w:rPr>
          <w:rFonts w:eastAsia="Times New Roman" w:cs="Arial"/>
          <w:color w:val="000000"/>
          <w:szCs w:val="20"/>
          <w:lang w:val="en-US"/>
        </w:rPr>
        <w:t>mg</w:t>
      </w:r>
      <w:r w:rsidRPr="000A34C2">
        <w:rPr>
          <w:rFonts w:eastAsia="Times New Roman" w:cs="Arial"/>
          <w:color w:val="000000"/>
          <w:szCs w:val="20"/>
          <w:lang w:val="ru-RU"/>
        </w:rPr>
        <w:t>/</w:t>
      </w:r>
      <w:r w:rsidRPr="000A34C2">
        <w:rPr>
          <w:rFonts w:eastAsia="Times New Roman" w:cs="Arial"/>
          <w:color w:val="000000"/>
          <w:szCs w:val="20"/>
          <w:lang w:val="en-US"/>
        </w:rPr>
        <w:t>kg</w:t>
      </w:r>
      <w:r w:rsidRPr="000A34C2">
        <w:rPr>
          <w:rFonts w:eastAsia="Times New Roman" w:cs="Arial"/>
          <w:color w:val="000000"/>
          <w:szCs w:val="20"/>
          <w:lang w:val="ru-RU"/>
        </w:rPr>
        <w:t xml:space="preserve"> </w:t>
      </w:r>
      <w:r w:rsidRPr="000A34C2">
        <w:rPr>
          <w:rFonts w:eastAsia="Times New Roman" w:cs="Arial"/>
          <w:color w:val="000000"/>
          <w:szCs w:val="20"/>
          <w:lang w:eastAsia="bg-BG"/>
        </w:rPr>
        <w:t>при перорален прим.</w:t>
      </w:r>
    </w:p>
    <w:p w14:paraId="72308AD5" w14:textId="4B4B07E3" w:rsidR="000A34C2" w:rsidRPr="000A34C2" w:rsidRDefault="000A34C2" w:rsidP="000A34C2">
      <w:pPr>
        <w:rPr>
          <w:rFonts w:eastAsia="Times New Roman" w:cs="Arial"/>
          <w:color w:val="000000"/>
          <w:szCs w:val="20"/>
          <w:lang w:eastAsia="bg-BG"/>
        </w:rPr>
      </w:pPr>
    </w:p>
    <w:p w14:paraId="3FA2BAA0"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 xml:space="preserve">Диапазонът на най-ниската летална доза при кучета е от 6 до 18 </w:t>
      </w:r>
      <w:r w:rsidRPr="000A34C2">
        <w:rPr>
          <w:rFonts w:eastAsia="Times New Roman" w:cs="Arial"/>
          <w:color w:val="000000"/>
          <w:szCs w:val="20"/>
          <w:lang w:val="en-US"/>
        </w:rPr>
        <w:t>mg</w:t>
      </w:r>
      <w:r w:rsidRPr="000A34C2">
        <w:rPr>
          <w:rFonts w:eastAsia="Times New Roman" w:cs="Arial"/>
          <w:color w:val="000000"/>
          <w:szCs w:val="20"/>
          <w:lang w:val="ru-RU"/>
        </w:rPr>
        <w:t>/</w:t>
      </w:r>
      <w:r w:rsidRPr="000A34C2">
        <w:rPr>
          <w:rFonts w:eastAsia="Times New Roman" w:cs="Arial"/>
          <w:color w:val="000000"/>
          <w:szCs w:val="20"/>
          <w:lang w:val="en-US"/>
        </w:rPr>
        <w:t>kg</w:t>
      </w:r>
      <w:r w:rsidRPr="000A34C2">
        <w:rPr>
          <w:rFonts w:eastAsia="Times New Roman" w:cs="Arial"/>
          <w:color w:val="000000"/>
          <w:szCs w:val="20"/>
          <w:lang w:val="ru-RU"/>
        </w:rPr>
        <w:t xml:space="preserve"> </w:t>
      </w:r>
      <w:r w:rsidRPr="000A34C2">
        <w:rPr>
          <w:rFonts w:eastAsia="Times New Roman" w:cs="Arial"/>
          <w:color w:val="000000"/>
          <w:szCs w:val="20"/>
          <w:lang w:eastAsia="bg-BG"/>
        </w:rPr>
        <w:t xml:space="preserve">телесно тегло и от 2 до 10 </w:t>
      </w:r>
      <w:r w:rsidRPr="000A34C2">
        <w:rPr>
          <w:rFonts w:eastAsia="Times New Roman" w:cs="Arial"/>
          <w:color w:val="000000"/>
          <w:szCs w:val="20"/>
          <w:lang w:val="en-US"/>
        </w:rPr>
        <w:t>mg</w:t>
      </w:r>
      <w:r w:rsidRPr="000A34C2">
        <w:rPr>
          <w:rFonts w:eastAsia="Times New Roman" w:cs="Arial"/>
          <w:color w:val="000000"/>
          <w:szCs w:val="20"/>
          <w:lang w:val="ru-RU"/>
        </w:rPr>
        <w:t>/</w:t>
      </w:r>
      <w:r w:rsidRPr="000A34C2">
        <w:rPr>
          <w:rFonts w:eastAsia="Times New Roman" w:cs="Arial"/>
          <w:color w:val="000000"/>
          <w:szCs w:val="20"/>
          <w:lang w:val="en-US"/>
        </w:rPr>
        <w:t>kg</w:t>
      </w:r>
      <w:r w:rsidRPr="000A34C2">
        <w:rPr>
          <w:rFonts w:eastAsia="Times New Roman" w:cs="Arial"/>
          <w:color w:val="000000"/>
          <w:szCs w:val="20"/>
          <w:lang w:val="ru-RU"/>
        </w:rPr>
        <w:t xml:space="preserve"> </w:t>
      </w:r>
      <w:r w:rsidRPr="000A34C2">
        <w:rPr>
          <w:rFonts w:eastAsia="Times New Roman" w:cs="Arial"/>
          <w:color w:val="000000"/>
          <w:szCs w:val="20"/>
          <w:lang w:eastAsia="bg-BG"/>
        </w:rPr>
        <w:t>телесно тегло при зайци.</w:t>
      </w:r>
    </w:p>
    <w:p w14:paraId="09CD1022" w14:textId="77777777" w:rsidR="000A34C2" w:rsidRPr="000A34C2" w:rsidRDefault="000A34C2" w:rsidP="000A34C2">
      <w:pPr>
        <w:spacing w:line="240" w:lineRule="auto"/>
        <w:rPr>
          <w:rFonts w:eastAsia="Times New Roman" w:cs="Arial"/>
          <w:i/>
          <w:iCs/>
          <w:color w:val="000000"/>
          <w:szCs w:val="20"/>
          <w:lang w:eastAsia="bg-BG"/>
        </w:rPr>
      </w:pPr>
    </w:p>
    <w:p w14:paraId="60DE70AD" w14:textId="408001AD" w:rsidR="000A34C2" w:rsidRPr="000A34C2" w:rsidRDefault="000A34C2" w:rsidP="000A34C2">
      <w:pPr>
        <w:spacing w:line="240" w:lineRule="auto"/>
        <w:rPr>
          <w:rFonts w:eastAsia="Times New Roman" w:cs="Arial"/>
          <w:sz w:val="28"/>
          <w:szCs w:val="24"/>
        </w:rPr>
      </w:pPr>
      <w:r w:rsidRPr="000A34C2">
        <w:rPr>
          <w:rFonts w:eastAsia="Times New Roman" w:cs="Arial"/>
          <w:i/>
          <w:iCs/>
          <w:color w:val="000000"/>
          <w:szCs w:val="20"/>
          <w:lang w:eastAsia="bg-BG"/>
        </w:rPr>
        <w:t>Мутагенност и туморогенен потенциал</w:t>
      </w:r>
    </w:p>
    <w:p w14:paraId="509593E8"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Метоклопрамид не е бил обект на подробен тест за мутагенност.</w:t>
      </w:r>
    </w:p>
    <w:p w14:paraId="15581D2D"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Тестовете за мутагенност на метоклопрамид в три бактериални колонии (</w:t>
      </w:r>
      <w:r w:rsidRPr="000A34C2">
        <w:rPr>
          <w:rFonts w:eastAsia="Times New Roman" w:cs="Arial"/>
          <w:i/>
          <w:iCs/>
          <w:color w:val="000000"/>
          <w:szCs w:val="20"/>
          <w:lang w:val="en-US"/>
        </w:rPr>
        <w:t>Salmonellae</w:t>
      </w:r>
      <w:r w:rsidRPr="000A34C2">
        <w:rPr>
          <w:rFonts w:eastAsia="Times New Roman" w:cs="Arial"/>
          <w:i/>
          <w:iCs/>
          <w:color w:val="000000"/>
          <w:szCs w:val="20"/>
          <w:lang w:val="ru-RU"/>
        </w:rPr>
        <w:t>)</w:t>
      </w:r>
      <w:r w:rsidRPr="000A34C2">
        <w:rPr>
          <w:rFonts w:eastAsia="Times New Roman" w:cs="Arial"/>
          <w:color w:val="000000"/>
          <w:szCs w:val="20"/>
          <w:lang w:val="ru-RU"/>
        </w:rPr>
        <w:t xml:space="preserve"> </w:t>
      </w:r>
      <w:r w:rsidRPr="000A34C2">
        <w:rPr>
          <w:rFonts w:eastAsia="Times New Roman" w:cs="Arial"/>
          <w:color w:val="000000"/>
          <w:szCs w:val="20"/>
          <w:lang w:eastAsia="bg-BG"/>
        </w:rPr>
        <w:t>не показват индикации за мутагенни свойства.</w:t>
      </w:r>
    </w:p>
    <w:p w14:paraId="7063FE6B"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В 77-мата седмица от проучването на туморогенен потенциал при плъхове с перорална дозировка 40 пъти по-голяма от терапевтичната доза за хора, не са наблюдавани допълнителни инциденти с изключение на повишаване на пролактиновото ниво. Нито клинични, нито епидемиологични проучвания показват връзка между продължителния прием на метоклопрамид и пролактин стимулиращи субстанции с туморогенеза на млечната жлеза.</w:t>
      </w:r>
    </w:p>
    <w:p w14:paraId="44C7CFE9" w14:textId="77777777" w:rsidR="000A34C2" w:rsidRPr="000A34C2" w:rsidRDefault="000A34C2" w:rsidP="000A34C2">
      <w:pPr>
        <w:spacing w:line="240" w:lineRule="auto"/>
        <w:rPr>
          <w:rFonts w:eastAsia="Times New Roman" w:cs="Arial"/>
          <w:i/>
          <w:iCs/>
          <w:color w:val="000000"/>
          <w:szCs w:val="20"/>
          <w:lang w:eastAsia="bg-BG"/>
        </w:rPr>
      </w:pPr>
    </w:p>
    <w:p w14:paraId="47243C1E" w14:textId="7626AD00" w:rsidR="000A34C2" w:rsidRPr="000A34C2" w:rsidRDefault="000A34C2" w:rsidP="000A34C2">
      <w:pPr>
        <w:spacing w:line="240" w:lineRule="auto"/>
        <w:rPr>
          <w:rFonts w:eastAsia="Times New Roman" w:cs="Arial"/>
          <w:sz w:val="28"/>
          <w:szCs w:val="24"/>
        </w:rPr>
      </w:pPr>
      <w:r w:rsidRPr="000A34C2">
        <w:rPr>
          <w:rFonts w:eastAsia="Times New Roman" w:cs="Arial"/>
          <w:i/>
          <w:iCs/>
          <w:color w:val="000000"/>
          <w:szCs w:val="20"/>
          <w:lang w:eastAsia="bg-BG"/>
        </w:rPr>
        <w:t>Токсичност върху репродуктивната система</w:t>
      </w:r>
    </w:p>
    <w:p w14:paraId="54231E71"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 xml:space="preserve">Проучванията върху репродуктивността са проведени при 3 животински вида (мишки, плъхове и зайци). Няма данни за тератогенни или ембриотоксични свойства на метоклопрамид дори при най-високата изследвана доза (116,2 и 200 </w:t>
      </w:r>
      <w:r w:rsidRPr="000A34C2">
        <w:rPr>
          <w:rFonts w:eastAsia="Times New Roman" w:cs="Arial"/>
          <w:color w:val="000000"/>
          <w:szCs w:val="20"/>
          <w:lang w:val="en-US"/>
        </w:rPr>
        <w:t>mg</w:t>
      </w:r>
      <w:r w:rsidRPr="000A34C2">
        <w:rPr>
          <w:rFonts w:eastAsia="Times New Roman" w:cs="Arial"/>
          <w:color w:val="000000"/>
          <w:szCs w:val="20"/>
          <w:lang w:val="ru-RU"/>
        </w:rPr>
        <w:t>/</w:t>
      </w:r>
      <w:r w:rsidRPr="000A34C2">
        <w:rPr>
          <w:rFonts w:eastAsia="Times New Roman" w:cs="Arial"/>
          <w:color w:val="000000"/>
          <w:szCs w:val="20"/>
          <w:lang w:val="en-US"/>
        </w:rPr>
        <w:t>kg</w:t>
      </w:r>
      <w:r w:rsidRPr="000A34C2">
        <w:rPr>
          <w:rFonts w:eastAsia="Times New Roman" w:cs="Arial"/>
          <w:color w:val="000000"/>
          <w:szCs w:val="20"/>
          <w:lang w:val="ru-RU"/>
        </w:rPr>
        <w:t xml:space="preserve"> </w:t>
      </w:r>
      <w:r w:rsidRPr="000A34C2">
        <w:rPr>
          <w:rFonts w:eastAsia="Times New Roman" w:cs="Arial"/>
          <w:color w:val="000000"/>
          <w:szCs w:val="20"/>
          <w:lang w:eastAsia="bg-BG"/>
        </w:rPr>
        <w:t>перорално).</w:t>
      </w:r>
    </w:p>
    <w:p w14:paraId="6253C332"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Дозировката, водеща до повишаване на пролактиновото ниво, причинява обратими нарушения в сперматогенезата.</w:t>
      </w:r>
    </w:p>
    <w:p w14:paraId="42742F74"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Ефектът на метоклопрамид по време на бременността при хора е изследван при около 200 двойки майка-кърмаче, приемали метоклопрамид, около 130 от които са го приемали в първия триместер. Не се наблюдавани нежелани реакции при новородените, въпреки че наличните данни не са достатъчни за изключването им със сигурност.</w:t>
      </w:r>
    </w:p>
    <w:p w14:paraId="7E4D4A41" w14:textId="77777777" w:rsidR="000A34C2" w:rsidRPr="000A34C2" w:rsidRDefault="000A34C2" w:rsidP="000A34C2">
      <w:pPr>
        <w:spacing w:line="240" w:lineRule="auto"/>
        <w:rPr>
          <w:rFonts w:eastAsia="Times New Roman" w:cs="Arial"/>
          <w:sz w:val="28"/>
          <w:szCs w:val="24"/>
        </w:rPr>
      </w:pPr>
      <w:r w:rsidRPr="000A34C2">
        <w:rPr>
          <w:rFonts w:eastAsia="Times New Roman" w:cs="Arial"/>
          <w:color w:val="000000"/>
          <w:szCs w:val="20"/>
          <w:lang w:eastAsia="bg-BG"/>
        </w:rPr>
        <w:t>Не са провеждани проучвания на токсичността при едновременното приложение на метоклопрамид с цитостатици.</w:t>
      </w:r>
    </w:p>
    <w:p w14:paraId="187A68B5" w14:textId="77777777" w:rsidR="000A34C2" w:rsidRPr="000A34C2" w:rsidRDefault="000A34C2" w:rsidP="000A34C2"/>
    <w:p w14:paraId="6A7820AB" w14:textId="1852A91E" w:rsidR="008A6AF2" w:rsidRDefault="002C50EE" w:rsidP="00395555">
      <w:pPr>
        <w:pStyle w:val="Heading1"/>
      </w:pPr>
      <w:r>
        <w:t>7. ПРИТЕЖАТЕЛ НА РАЗРЕШЕНИЕТО ЗА УПОТРЕБА</w:t>
      </w:r>
    </w:p>
    <w:p w14:paraId="362EAE14" w14:textId="37D9085D" w:rsidR="000A34C2" w:rsidRDefault="000A34C2" w:rsidP="000A34C2"/>
    <w:p w14:paraId="6969C340" w14:textId="77777777" w:rsidR="000A34C2" w:rsidRPr="000A34C2" w:rsidRDefault="000A34C2" w:rsidP="000A34C2">
      <w:pPr>
        <w:rPr>
          <w:sz w:val="24"/>
          <w:szCs w:val="24"/>
          <w:lang w:val="en-US"/>
        </w:rPr>
      </w:pPr>
      <w:proofErr w:type="spellStart"/>
      <w:r w:rsidRPr="000A34C2">
        <w:rPr>
          <w:lang w:val="en-US"/>
        </w:rPr>
        <w:t>Teva</w:t>
      </w:r>
      <w:proofErr w:type="spellEnd"/>
      <w:r w:rsidRPr="000A34C2">
        <w:rPr>
          <w:lang w:val="en-US"/>
        </w:rPr>
        <w:t xml:space="preserve"> B.V.</w:t>
      </w:r>
    </w:p>
    <w:p w14:paraId="1974611E" w14:textId="77777777" w:rsidR="000A34C2" w:rsidRPr="000A34C2" w:rsidRDefault="000A34C2" w:rsidP="000A34C2">
      <w:pPr>
        <w:rPr>
          <w:sz w:val="24"/>
          <w:szCs w:val="24"/>
          <w:lang w:val="en-US"/>
        </w:rPr>
      </w:pPr>
      <w:proofErr w:type="spellStart"/>
      <w:r w:rsidRPr="000A34C2">
        <w:rPr>
          <w:lang w:val="en-US"/>
        </w:rPr>
        <w:t>Swensweg</w:t>
      </w:r>
      <w:proofErr w:type="spellEnd"/>
      <w:r w:rsidRPr="000A34C2">
        <w:rPr>
          <w:lang w:val="en-US"/>
        </w:rPr>
        <w:t xml:space="preserve"> </w:t>
      </w:r>
      <w:r w:rsidRPr="000A34C2">
        <w:rPr>
          <w:lang w:eastAsia="bg-BG"/>
        </w:rPr>
        <w:t xml:space="preserve">5, 2031 </w:t>
      </w:r>
      <w:r w:rsidRPr="000A34C2">
        <w:rPr>
          <w:lang w:val="en-US"/>
        </w:rPr>
        <w:t>GA Haarlem</w:t>
      </w:r>
    </w:p>
    <w:p w14:paraId="20BE80D6" w14:textId="77777777" w:rsidR="000A34C2" w:rsidRPr="000A34C2" w:rsidRDefault="000A34C2" w:rsidP="000A34C2">
      <w:pPr>
        <w:rPr>
          <w:sz w:val="24"/>
          <w:szCs w:val="24"/>
          <w:lang w:val="ru-RU"/>
        </w:rPr>
      </w:pPr>
      <w:r w:rsidRPr="000A34C2">
        <w:rPr>
          <w:lang w:eastAsia="bg-BG"/>
        </w:rPr>
        <w:t>Нидерландия</w:t>
      </w:r>
    </w:p>
    <w:p w14:paraId="1C229C1F" w14:textId="77777777" w:rsidR="000A34C2" w:rsidRPr="000A34C2" w:rsidRDefault="000A34C2" w:rsidP="000A34C2">
      <w:pPr>
        <w:rPr>
          <w:lang w:val="ru-RU"/>
        </w:rPr>
      </w:pPr>
    </w:p>
    <w:p w14:paraId="04840D59" w14:textId="4761496A" w:rsidR="002C50EE" w:rsidRDefault="002C50EE" w:rsidP="00395555">
      <w:pPr>
        <w:pStyle w:val="Heading1"/>
      </w:pPr>
      <w:r>
        <w:t>8. НОМЕР НА РАЗРЕШЕНИЕТО ЗА УПОТРЕБА</w:t>
      </w:r>
    </w:p>
    <w:p w14:paraId="7A4A3FC5" w14:textId="0D7D67B9" w:rsidR="000A34C2" w:rsidRDefault="000A34C2" w:rsidP="000A34C2"/>
    <w:p w14:paraId="1F00E120" w14:textId="36B4BEBC" w:rsidR="000A34C2" w:rsidRPr="000A34C2" w:rsidRDefault="000A34C2" w:rsidP="000A34C2">
      <w:r>
        <w:rPr>
          <w:lang w:val="en-US"/>
        </w:rPr>
        <w:t>Per</w:t>
      </w:r>
      <w:r w:rsidRPr="000A34C2">
        <w:rPr>
          <w:lang w:val="ru-RU"/>
        </w:rPr>
        <w:t xml:space="preserve">. </w:t>
      </w:r>
      <w:r>
        <w:t>№20010730</w:t>
      </w:r>
    </w:p>
    <w:p w14:paraId="2CCB5832" w14:textId="4F060D7C" w:rsidR="007C605B" w:rsidRDefault="002C50EE" w:rsidP="007C605B">
      <w:pPr>
        <w:pStyle w:val="Heading1"/>
      </w:pPr>
      <w:r>
        <w:lastRenderedPageBreak/>
        <w:t>9. ДАТА НА ПЪРВО РАЗРЕШАВАНЕ/ПОДНОВЯВАНЕ НА РАЗРЕШЕНИЕТО ЗА УПОТРЕБА</w:t>
      </w:r>
    </w:p>
    <w:p w14:paraId="54581D75" w14:textId="77777777" w:rsidR="000A34C2" w:rsidRDefault="000A34C2" w:rsidP="000A34C2">
      <w:pPr>
        <w:rPr>
          <w:lang w:eastAsia="bg-BG"/>
        </w:rPr>
      </w:pPr>
    </w:p>
    <w:p w14:paraId="667B8494" w14:textId="501F1AE8" w:rsidR="000A34C2" w:rsidRPr="000A34C2" w:rsidRDefault="000A34C2" w:rsidP="000A34C2">
      <w:pPr>
        <w:rPr>
          <w:sz w:val="24"/>
          <w:szCs w:val="24"/>
        </w:rPr>
      </w:pPr>
      <w:r w:rsidRPr="000A34C2">
        <w:rPr>
          <w:lang w:eastAsia="bg-BG"/>
        </w:rPr>
        <w:t>Дата на първо разрешаване: 25.06.2001 г.</w:t>
      </w:r>
    </w:p>
    <w:p w14:paraId="36402A0F" w14:textId="2B9A0E30" w:rsidR="000A34C2" w:rsidRPr="000A34C2" w:rsidRDefault="000A34C2" w:rsidP="000A34C2">
      <w:r w:rsidRPr="000A34C2">
        <w:rPr>
          <w:lang w:eastAsia="bg-BG"/>
        </w:rPr>
        <w:t>Дата на последно подновяване: 29.07.2011 г.</w:t>
      </w:r>
    </w:p>
    <w:p w14:paraId="0E9D0119" w14:textId="0245C6D7" w:rsidR="002C50EE" w:rsidRDefault="002C50EE" w:rsidP="002C50EE">
      <w:pPr>
        <w:pStyle w:val="Heading1"/>
      </w:pPr>
      <w:r>
        <w:t>10. ДАТА НА АКТУАЛИЗИРАНЕ НА ТЕКСТА</w:t>
      </w:r>
    </w:p>
    <w:bookmarkEnd w:id="0"/>
    <w:p w14:paraId="43FB38A2" w14:textId="536EEFEA" w:rsidR="007C605B" w:rsidRDefault="007C605B" w:rsidP="00395555"/>
    <w:p w14:paraId="61F6B8C0" w14:textId="15A24635" w:rsidR="000A34C2" w:rsidRPr="003E3126" w:rsidRDefault="000A34C2" w:rsidP="000A34C2">
      <w:r>
        <w:t>16.09.2019</w:t>
      </w:r>
      <w:bookmarkStart w:id="4" w:name="_GoBack"/>
      <w:bookmarkEnd w:id="4"/>
    </w:p>
    <w:sectPr w:rsidR="000A34C2"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8A10EF"/>
    <w:multiLevelType w:val="hybridMultilevel"/>
    <w:tmpl w:val="907EC1A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241A3"/>
    <w:multiLevelType w:val="hybridMultilevel"/>
    <w:tmpl w:val="BCE4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02ABA"/>
    <w:multiLevelType w:val="hybridMultilevel"/>
    <w:tmpl w:val="D1C8776C"/>
    <w:lvl w:ilvl="0" w:tplc="B7CEEA74">
      <w:start w:val="4"/>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D0467"/>
    <w:multiLevelType w:val="hybridMultilevel"/>
    <w:tmpl w:val="25E64F50"/>
    <w:lvl w:ilvl="0" w:tplc="B7CEEA74">
      <w:start w:val="4"/>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7"/>
  </w:num>
  <w:num w:numId="29">
    <w:abstractNumId w:val="22"/>
  </w:num>
  <w:num w:numId="30">
    <w:abstractNumId w:val="34"/>
  </w:num>
  <w:num w:numId="31">
    <w:abstractNumId w:val="6"/>
  </w:num>
  <w:num w:numId="32">
    <w:abstractNumId w:val="29"/>
  </w:num>
  <w:num w:numId="33">
    <w:abstractNumId w:val="15"/>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A34C2"/>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A022B"/>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2022-01-10T16:29:00Z</dcterms:created>
  <dcterms:modified xsi:type="dcterms:W3CDTF">2022-01-10T16:29:00Z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