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EFD" w14:textId="77777777" w:rsidR="00776CDD" w:rsidRPr="0054791B" w:rsidRDefault="00776CDD" w:rsidP="00776CDD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54791B">
        <w:rPr>
          <w:rFonts w:ascii="Arial" w:hAnsi="Arial" w:cs="Arial"/>
          <w:sz w:val="32"/>
          <w:szCs w:val="32"/>
          <w:lang w:val="bg-BG"/>
        </w:rPr>
        <w:t>КРАТКА ХАРАКТЕРИСТИКА НА ПРОДУКТА</w:t>
      </w:r>
    </w:p>
    <w:p w14:paraId="05C30B38" w14:textId="77777777" w:rsidR="00776CDD" w:rsidRPr="00366894" w:rsidRDefault="00776CDD" w:rsidP="00776CDD">
      <w:pPr>
        <w:jc w:val="center"/>
        <w:rPr>
          <w:rFonts w:ascii="Arial" w:hAnsi="Arial" w:cs="Arial"/>
          <w:b/>
          <w:bCs/>
          <w:lang w:val="bg-BG"/>
        </w:rPr>
      </w:pPr>
    </w:p>
    <w:p w14:paraId="26920583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1. ИМЕ НА ЛЕКАРСТВЕНИЯ ПРОДУКТ</w:t>
      </w:r>
    </w:p>
    <w:p w14:paraId="4AEA45D6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ХЛОФАЗОЛИН 150 микрограма таблетки</w:t>
      </w:r>
    </w:p>
    <w:p w14:paraId="1885F504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/>
        </w:rPr>
        <w:t>CHLOPHAZOLIN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150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micrograms</w:t>
      </w:r>
      <w:proofErr w:type="spellEnd"/>
      <w:r w:rsidRPr="0036689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tablets</w:t>
      </w:r>
      <w:proofErr w:type="spellEnd"/>
    </w:p>
    <w:p w14:paraId="66155EDC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5CE517E7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2. КАЧЕСТВЕН И КОЛИЧЕСТВЕН СЪСТАВ</w:t>
      </w:r>
    </w:p>
    <w:p w14:paraId="5BD2EE0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Всяка таблетка съдържа активно вещество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клонидинов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хидрохлорид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366894">
        <w:rPr>
          <w:rFonts w:ascii="Arial" w:eastAsia="Times New Roman" w:hAnsi="Arial" w:cs="Arial"/>
          <w:i/>
          <w:iCs/>
          <w:color w:val="000000"/>
          <w:lang w:val="bg-BG"/>
        </w:rPr>
        <w:t>(</w:t>
      </w:r>
      <w:proofErr w:type="spellStart"/>
      <w:r w:rsidRPr="00366894">
        <w:rPr>
          <w:rFonts w:ascii="Arial" w:eastAsia="Times New Roman" w:hAnsi="Arial" w:cs="Arial"/>
          <w:i/>
          <w:iCs/>
          <w:color w:val="000000"/>
          <w:lang w:val="bg-BG"/>
        </w:rPr>
        <w:t>clonidine</w:t>
      </w:r>
      <w:proofErr w:type="spellEnd"/>
      <w:r w:rsidRPr="00366894">
        <w:rPr>
          <w:rFonts w:ascii="Arial" w:eastAsia="Times New Roman" w:hAnsi="Arial" w:cs="Arial"/>
          <w:i/>
          <w:iCs/>
          <w:color w:val="000000"/>
          <w:lang w:val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i/>
          <w:iCs/>
          <w:color w:val="000000"/>
          <w:lang w:val="bg-BG"/>
        </w:rPr>
        <w:t>hydrochloride</w:t>
      </w:r>
      <w:proofErr w:type="spellEnd"/>
      <w:r w:rsidRPr="00366894">
        <w:rPr>
          <w:rFonts w:ascii="Arial" w:eastAsia="Times New Roman" w:hAnsi="Arial" w:cs="Arial"/>
          <w:i/>
          <w:iCs/>
          <w:color w:val="000000"/>
          <w:lang w:val="bg-BG"/>
        </w:rPr>
        <w:t>)</w:t>
      </w:r>
      <w:r w:rsidRPr="00366894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>150 микрограма.</w:t>
      </w:r>
    </w:p>
    <w:p w14:paraId="46027F13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Помощни вещества с известно действие: лактоза, пшенично нишесте.</w:t>
      </w:r>
    </w:p>
    <w:p w14:paraId="68D1D165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545AF332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3. ЛЕКАРСТВЕНА ФОРМА</w:t>
      </w:r>
    </w:p>
    <w:p w14:paraId="4030A765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Таблетка</w:t>
      </w:r>
    </w:p>
    <w:p w14:paraId="2592AC8D" w14:textId="5E858B06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Кръгли, двойноизпъкнали таблетки с дели</w:t>
      </w:r>
      <w:r w:rsidR="005317C4">
        <w:rPr>
          <w:rFonts w:ascii="Arial" w:eastAsia="Times New Roman" w:hAnsi="Arial" w:cs="Arial"/>
          <w:color w:val="000000"/>
          <w:lang w:val="bg-BG" w:eastAsia="bg-BG"/>
        </w:rPr>
        <w:t>т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елна черта от едната страна, диаметър 7 </w:t>
      </w:r>
      <w:r w:rsidRPr="00366894">
        <w:rPr>
          <w:rFonts w:ascii="Arial" w:eastAsia="Times New Roman" w:hAnsi="Arial" w:cs="Arial"/>
          <w:color w:val="000000"/>
          <w:lang w:val="bg-BG"/>
        </w:rPr>
        <w:t xml:space="preserve">mm,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>бели на цвят, без мирис.</w:t>
      </w:r>
    </w:p>
    <w:p w14:paraId="06F2756B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Таблетката може да бъде разделена на две равни дози.</w:t>
      </w:r>
    </w:p>
    <w:p w14:paraId="1E8F3555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76FDBED7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4. КЛИНИЧНИ ДАННИ</w:t>
      </w:r>
    </w:p>
    <w:p w14:paraId="7F8F2A73" w14:textId="77777777" w:rsidR="00776CDD" w:rsidRPr="00366894" w:rsidRDefault="00776CDD" w:rsidP="00776CDD">
      <w:pPr>
        <w:pStyle w:val="Heading2"/>
        <w:rPr>
          <w:rFonts w:cs="Arial"/>
          <w:sz w:val="22"/>
          <w:szCs w:val="22"/>
          <w:lang w:val="bg-BG"/>
        </w:rPr>
      </w:pPr>
      <w:r w:rsidRPr="00366894">
        <w:rPr>
          <w:rFonts w:cs="Arial"/>
          <w:sz w:val="22"/>
          <w:szCs w:val="22"/>
          <w:lang w:val="bg-BG"/>
        </w:rPr>
        <w:t>4.1. Терапевтични показания</w:t>
      </w:r>
    </w:p>
    <w:p w14:paraId="325C70CB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hAnsi="Arial" w:cs="Arial"/>
          <w:lang w:val="bg-BG"/>
        </w:rPr>
        <w:t>ХЛОФАЗОЛИН е показан при възрастни за лечение на всички степени на есенциална или вторична артериална хипертония - самостоятелно или в комбинация с други антихипертензивни средства.</w:t>
      </w:r>
    </w:p>
    <w:p w14:paraId="1F5FEEB2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3E54D910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4.2. Дозировка и начин на приложение</w:t>
      </w:r>
    </w:p>
    <w:p w14:paraId="58180FB5" w14:textId="77777777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 w:eastAsia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Дозировка</w:t>
      </w:r>
    </w:p>
    <w:p w14:paraId="2E1F64E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056DC237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Дозирането е индивидуално. По време на лечението трябва да се контролира артериалното налягане.</w:t>
      </w:r>
    </w:p>
    <w:p w14:paraId="5EC06D7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</w:p>
    <w:p w14:paraId="1734D5B0" w14:textId="77777777" w:rsidR="00776CDD" w:rsidRPr="00421029" w:rsidRDefault="00776CDD" w:rsidP="00421029">
      <w:pPr>
        <w:pStyle w:val="Heading3"/>
        <w:rPr>
          <w:rFonts w:eastAsia="Times New Roman"/>
          <w:i/>
          <w:iCs/>
          <w:lang w:val="bg-BG"/>
        </w:rPr>
      </w:pPr>
      <w:r w:rsidRPr="00421029">
        <w:rPr>
          <w:rFonts w:eastAsia="Times New Roman"/>
          <w:i/>
          <w:iCs/>
          <w:lang w:val="bg-BG" w:eastAsia="bg-BG"/>
        </w:rPr>
        <w:t>Възрастни</w:t>
      </w:r>
    </w:p>
    <w:p w14:paraId="60F677C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Началната доза е по 75 микрограма (1/2 таблетка) 2-3 пъти дневно. При недостатъчен терапевтичен отговор дозата се повишава постепенно (през 2-3 дни) до 150 - 300 микрограма 2-3 пъти дневно. При повечето от пациентите кръвното налягане ще бъде контролирано с дневни дози от 300 - 1200 микрограма. Някои пациенти може да се нуждаят от по-високи дози, например1800 микрограма или повече.</w:t>
      </w:r>
    </w:p>
    <w:p w14:paraId="6A5E325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ХЛОФАЗОЛИН може да се добави към провеждана терапия с антихипертензивни средства, когато не е постигнат контрол на кръвното налягане. Ако са налице нежелани лекарствени реакции при провеждана терапия с други антихипертензивни средства,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lastRenderedPageBreak/>
        <w:t>ХЛОФАЗОЛИН може да се добави и това да позволи да се намали дозата на другите антихипертензивни средства.</w:t>
      </w:r>
    </w:p>
    <w:p w14:paraId="3ABED32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При пациенти, подложени на анестезия трябва да се продължи лечението с ХЛОФАЗОЛИН преди, по време на и след анестезията, посредством перорално или интравенозно приложение в зависимост от индивидуалните обстоятелства.</w:t>
      </w:r>
    </w:p>
    <w:p w14:paraId="45B86AC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Не е налице специфична информация за приложението на този продукт при пациенти в старческа възраст. Пациенти над 65 год. възраст са били включени в клинични изпитвания и не</w:t>
      </w:r>
      <w:r w:rsidRPr="00366894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>са наблюдавани</w:t>
      </w:r>
      <w:r w:rsidRPr="00366894">
        <w:rPr>
          <w:rFonts w:ascii="Arial" w:eastAsia="Times New Roman" w:hAnsi="Arial" w:cs="Arial"/>
          <w:b/>
          <w:bCs/>
          <w:color w:val="000000"/>
          <w:lang w:val="bg-BG" w:eastAsia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>нежелани реакции в тази възрастова група.</w:t>
      </w:r>
    </w:p>
    <w:p w14:paraId="4EE5DAD7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</w:p>
    <w:p w14:paraId="630955ED" w14:textId="77777777" w:rsidR="00776CDD" w:rsidRPr="00366894" w:rsidRDefault="00776CDD" w:rsidP="00776CDD">
      <w:pPr>
        <w:pStyle w:val="Heading3"/>
        <w:rPr>
          <w:rFonts w:eastAsia="Times New Roman" w:cs="Arial"/>
          <w:i/>
          <w:iCs/>
          <w:sz w:val="22"/>
          <w:szCs w:val="22"/>
          <w:lang w:val="bg-BG"/>
        </w:rPr>
      </w:pPr>
      <w:r w:rsidRPr="00366894">
        <w:rPr>
          <w:rFonts w:eastAsia="Times New Roman" w:cs="Arial"/>
          <w:i/>
          <w:iCs/>
          <w:sz w:val="22"/>
          <w:szCs w:val="22"/>
          <w:lang w:val="bg-BG" w:eastAsia="bg-BG"/>
        </w:rPr>
        <w:t>Педиатрична популация</w:t>
      </w:r>
    </w:p>
    <w:p w14:paraId="78324D8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Съществуват недостатъчни данни относно приложението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у деца и юноши под 18</w:t>
      </w:r>
    </w:p>
    <w:p w14:paraId="3CD5D5A4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годишна възраст, поради което не се препоръчва неговото приложение у педиатрични пациенти</w:t>
      </w:r>
    </w:p>
    <w:p w14:paraId="7271D01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bg-BG" w:eastAsia="bg-BG"/>
        </w:rPr>
      </w:pPr>
    </w:p>
    <w:p w14:paraId="1347EDB3" w14:textId="77777777" w:rsidR="00776CDD" w:rsidRPr="00366894" w:rsidRDefault="00776CDD" w:rsidP="00776CDD">
      <w:pPr>
        <w:pStyle w:val="Heading3"/>
        <w:rPr>
          <w:rFonts w:eastAsia="Times New Roman" w:cs="Arial"/>
          <w:i/>
          <w:iCs/>
          <w:sz w:val="22"/>
          <w:szCs w:val="22"/>
          <w:lang w:val="bg-BG"/>
        </w:rPr>
      </w:pPr>
      <w:r w:rsidRPr="00366894">
        <w:rPr>
          <w:rFonts w:eastAsia="Times New Roman" w:cs="Arial"/>
          <w:i/>
          <w:iCs/>
          <w:sz w:val="22"/>
          <w:szCs w:val="22"/>
          <w:lang w:val="bg-BG" w:eastAsia="bg-BG"/>
        </w:rPr>
        <w:t>Пациенти с бъбречно увреждане</w:t>
      </w:r>
    </w:p>
    <w:p w14:paraId="4976B77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Дозировката трябва да се коригира:</w:t>
      </w:r>
    </w:p>
    <w:p w14:paraId="6A69C026" w14:textId="13A453F4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- в зависимост от индивидуалния терапевтичен отговор, който може да има голяма вариабилност при пациенти с бъбречна недостатъчност, необходимо е внимателно мониториране (вж. т. 4.4);</w:t>
      </w:r>
    </w:p>
    <w:p w14:paraId="75FD632B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- в зависимост от степента на бъбречното увреждане.</w:t>
      </w:r>
    </w:p>
    <w:p w14:paraId="14D26202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6606A417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4.3. Противопоказания</w:t>
      </w:r>
    </w:p>
    <w:p w14:paraId="27D1FD7E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hAnsi="Arial" w:cs="Arial"/>
          <w:lang w:val="bg-BG"/>
        </w:rPr>
        <w:t xml:space="preserve">ХЛОФАЗОЛИН не трябва да се прилага при пациенти с известна свръхчувствителност към активното вещество или някое от помощните вещества на продукта, както и при пациенти с тежка </w:t>
      </w:r>
      <w:proofErr w:type="spellStart"/>
      <w:r w:rsidRPr="00366894">
        <w:rPr>
          <w:rFonts w:ascii="Arial" w:hAnsi="Arial" w:cs="Arial"/>
          <w:lang w:val="bg-BG"/>
        </w:rPr>
        <w:t>брадиаритмия</w:t>
      </w:r>
      <w:proofErr w:type="spellEnd"/>
      <w:r w:rsidRPr="00366894">
        <w:rPr>
          <w:rFonts w:ascii="Arial" w:hAnsi="Arial" w:cs="Arial"/>
          <w:lang w:val="bg-BG"/>
        </w:rPr>
        <w:t xml:space="preserve">, предизвикана от синдром на болния синусов възел или AV- блок П или Ш степен. В случай на редки наследствени състояния, които могат да бъдат несъвместими с някои от </w:t>
      </w:r>
      <w:proofErr w:type="spellStart"/>
      <w:r w:rsidRPr="00366894">
        <w:rPr>
          <w:rFonts w:ascii="Arial" w:hAnsi="Arial" w:cs="Arial"/>
          <w:lang w:val="bg-BG"/>
        </w:rPr>
        <w:t>ексципиентите</w:t>
      </w:r>
      <w:proofErr w:type="spellEnd"/>
      <w:r w:rsidRPr="00366894">
        <w:rPr>
          <w:rFonts w:ascii="Arial" w:hAnsi="Arial" w:cs="Arial"/>
          <w:lang w:val="bg-BG"/>
        </w:rPr>
        <w:t xml:space="preserve"> на продукта (моля, вижте точка 4.4 „Специални предупреждения и предпазни мерки при употреба“), употребата на продукта е противопоказана.</w:t>
      </w:r>
    </w:p>
    <w:p w14:paraId="3DF69D45" w14:textId="77777777" w:rsidR="00776CDD" w:rsidRPr="00366894" w:rsidRDefault="00776CDD" w:rsidP="00776CDD">
      <w:pPr>
        <w:pStyle w:val="Heading2"/>
        <w:rPr>
          <w:rFonts w:cs="Arial"/>
          <w:sz w:val="22"/>
          <w:szCs w:val="22"/>
          <w:lang w:val="bg-BG"/>
        </w:rPr>
      </w:pPr>
    </w:p>
    <w:p w14:paraId="38FC3962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4.4. Специални предупреждения и предпазни мерки при употреба</w:t>
      </w:r>
    </w:p>
    <w:p w14:paraId="3F322BD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Необходимо е повишено внимание при пациенти с болест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Рейно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или друга периферна съдова болест. Както всички лекарства, използвани при хипертония, ХЛОФАЗОЛИН трябва да се използва с повишено внимание при пациенти с мозъчно-съдова или коронарна недостатъчност.</w:t>
      </w:r>
    </w:p>
    <w:p w14:paraId="02C966CD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03796BB7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ХЛОФАЗОЛИН трябва също така да се използва с повишено внимание при пациенти с лека до умерена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брадиаритмия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като бавен синусов ритъм, и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полиневропатия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или запек.</w:t>
      </w:r>
    </w:p>
    <w:p w14:paraId="64260986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Пациентите с анамнеза за депресия трябва да бъдат внимателно наблюдавани при продължително лечение с ХЛОФАЗОЛИН, тъй като е имало случайни съобщения за допълнителни депресивни епизоди по време на перорално лечение при такива пациенти.</w:t>
      </w:r>
    </w:p>
    <w:p w14:paraId="2248337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46EA0B1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Както и при други антихипертензивни лекарства, лечението с </w:t>
      </w:r>
    </w:p>
    <w:p w14:paraId="1BB8E63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ХЛОФАЗОЛИН трябва да се следи особено внимателно при пациенти със сърдечна недостатъчност.</w:t>
      </w:r>
    </w:p>
    <w:p w14:paraId="1F64E343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7C6F50E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При хипертония, причинена от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феохромоцитом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 трябва да се очаква терапевтичен ефект на ХЛОФАЗОЛИН.</w:t>
      </w:r>
    </w:p>
    <w:p w14:paraId="557FF71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29376F0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активната съставка на ХЛОФАЗОЛИН и неговите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метаболити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екскретират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 урината. Дозировката трябва да се адаптира към индивидуалния антихипертензивен отговор, който може да покаже висока вариабилност при пациенти с бъбречна недостатъчност (виж т. 4.2); изисква се внимателно наблюдение. Тъй като само минимално количество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се отстранява по време на рутинна хемодиализа, не е необходимо да се дава допълнително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след диализа.</w:t>
      </w:r>
    </w:p>
    <w:p w14:paraId="4EABE797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33E0699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Внезапно спиране на лечението с ХЛОФАЗОЛИН, особено при пациенти, приемащи високи дози, може да доведе до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ребаунд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хипертония. Също така са били докладвани случаи на възбуда, безпокойство, сърцебиене, нервност, тремор, главоболие и абдоминална симптоматика. Пациентите трябва да бъдат инструктирани да не прекъсват лечението, без да се консултират с лекуващия си лекар. При преустановяване на лечението лекарят трябва да намали дозата постепенно. Въпреки това, ако все пак се появят симптоми на отнемане, те обикновено могат да бъдат лекувани с възстановяване на лечението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или с алфа- и бета-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адренергични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  <w:bookmarkStart w:id="0" w:name="bookmark0"/>
      <w:bookmarkEnd w:id="0"/>
    </w:p>
    <w:p w14:paraId="433FA89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7C3451F1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7E38929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5B5DB234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Ако ХЛОФАЗОЛИН се прилага едновременно с бета-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, лечението с ХЛОФАЗОЛИН не трябва да се прекъсва до няколко дни след оттеглянето на бета-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348A6A01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3D117E8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Пациентите, които носят контактни лещи трябва да бъдат предупредени, че лечението с ХЛОФАЗОЛИН може да причини понижено отделяне на сълзи.</w:t>
      </w:r>
    </w:p>
    <w:p w14:paraId="632FFCE6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4305E70F" w14:textId="179B3B7E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Пед</w:t>
      </w:r>
      <w:r w:rsidR="00A57E35">
        <w:rPr>
          <w:rFonts w:eastAsia="Times New Roman" w:cs="Arial"/>
          <w:sz w:val="22"/>
          <w:szCs w:val="22"/>
          <w:u w:val="single"/>
          <w:lang w:val="bg-BG" w:eastAsia="bg-BG"/>
        </w:rPr>
        <w:t>и</w:t>
      </w: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атрична популация</w:t>
      </w:r>
    </w:p>
    <w:p w14:paraId="547E0CA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Доказателствата от рандомизирани контролирани проучвания в подкрепа на използването и безопасността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деца и юноши са недостатъчни и следователно той не може да се препоръча за употреба при тази популация.</w:t>
      </w:r>
    </w:p>
    <w:p w14:paraId="02B94E13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19F4E0B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Сериозни нежелани реакции, включително внезапна смърт, са били докладвани при едновременната употреба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метилфенидат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. Безопасността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метилфенидат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 комбинация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 е систематично оценявана.</w:t>
      </w:r>
    </w:p>
    <w:p w14:paraId="625E37C2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538DE571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Лекарственият продукт съдържа помощно вещество лактоза. Пациенти с редки наследствени проблеми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галактозна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непоносимост,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Lapp</w:t>
      </w:r>
      <w:proofErr w:type="spellEnd"/>
      <w:r w:rsidRPr="0036689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лактазен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дефицит или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глюкозо-галактозна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малабсорбция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 трябва да приемат това лекарство.</w:t>
      </w:r>
    </w:p>
    <w:p w14:paraId="05A80356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Лекарственият продукт съдържа помощно вещество пшенично нишесте. Пшеничното нишесте може да съдържа само следи от глутен и се счита за безопасно при хора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цьолиакия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1994A135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75F9331C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4.5. Взаимодействие с други лекарствени продукти и други форми на взаимодействие</w:t>
      </w:r>
    </w:p>
    <w:p w14:paraId="742AB69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Понижението на кръвното налягане, предизвикано от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може да бъде допълнително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потенцирано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от едновременното прилагане на други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хипотензивни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lastRenderedPageBreak/>
        <w:t xml:space="preserve">средства. Това може да бъде от полза при употреба на други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антихипертензивни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агенти като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диуретици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вазодилататори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бета- рецепторни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, калциеви антагонисти и АСЕ-инхибитори, но ефектът при алфа1-блокерите е непредсказуем.</w:t>
      </w:r>
    </w:p>
    <w:p w14:paraId="25AC0E7C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</w:p>
    <w:p w14:paraId="54B46B1C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Антихипертензивният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ефект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може да бъде намален или да се прекрати и може да се провокира ортостатична хипотония или тя да се утежни при едновременното приложение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трициклични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антидепресанти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или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невролептици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 блокиращи алфа-рецепторите свойства.</w:t>
      </w:r>
    </w:p>
    <w:p w14:paraId="287DF6A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Веществата, които повишават кръвното налягане и предизвикват задържащ ефект на натриеви йони </w:t>
      </w:r>
      <w:r w:rsidRPr="00366894">
        <w:rPr>
          <w:rFonts w:ascii="Arial" w:eastAsia="Times New Roman" w:hAnsi="Arial" w:cs="Arial"/>
          <w:color w:val="000000"/>
          <w:lang w:val="bg-BG"/>
        </w:rPr>
        <w:t xml:space="preserve">(Na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+) и вода, като нестероидни противовъзпалителни средства, може да намалят терапевтичния ефект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036B2FB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4212664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Вещества, блокиращи алфа </w:t>
      </w:r>
      <w:r w:rsidRPr="00366894">
        <w:rPr>
          <w:rFonts w:ascii="Arial" w:eastAsia="Times New Roman" w:hAnsi="Arial" w:cs="Arial"/>
          <w:color w:val="000000"/>
          <w:vertAlign w:val="subscript"/>
          <w:lang w:val="bg-BG" w:eastAsia="bg-BG"/>
        </w:rPr>
        <w:t>2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-рецепторите, като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миртазапин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може да прекратят алфа </w:t>
      </w:r>
      <w:r w:rsidRPr="00366894">
        <w:rPr>
          <w:rFonts w:ascii="Arial" w:eastAsia="Times New Roman" w:hAnsi="Arial" w:cs="Arial"/>
          <w:color w:val="000000"/>
          <w:vertAlign w:val="subscript"/>
          <w:lang w:val="bg-BG" w:eastAsia="bg-BG"/>
        </w:rPr>
        <w:t>2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-рецептор-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медиираните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ефекти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дозо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-зависим начин.</w:t>
      </w:r>
    </w:p>
    <w:p w14:paraId="56EABA16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05F1C75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Съвместната употреба на вещества с негативен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хронотропен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или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дромотропен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ефект, като например бета-рецепторни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или сърдечни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гликозиди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може да предизвикат или да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потенцират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брадикардични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ритъмни нарушения.</w:t>
      </w:r>
    </w:p>
    <w:p w14:paraId="27793D48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7130C37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Не може да се изключи, че едновременното приложение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 бета-рецепторите ще предизвика или усили периферните съдови разстройства.</w:t>
      </w:r>
    </w:p>
    <w:p w14:paraId="76C814B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74D03C0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Въз основа на наблюдения при пациенти в състояние на алкохолен делириум се предполага, че високите интравенозни дози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може да увеличат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аритмогенния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потенциал (удължаване на </w:t>
      </w:r>
      <w:r w:rsidRPr="00366894">
        <w:rPr>
          <w:rFonts w:ascii="Arial" w:eastAsia="Times New Roman" w:hAnsi="Arial" w:cs="Arial"/>
          <w:color w:val="000000"/>
          <w:lang w:val="bg-BG"/>
        </w:rPr>
        <w:t>QT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-интервала, камерно мъждене) на високи интравенозни дози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халоперидол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 Причинно-следствена връзка и значение за антихипертензивното лечение не са установени.</w:t>
      </w:r>
    </w:p>
    <w:p w14:paraId="739C8AC6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</w:p>
    <w:p w14:paraId="5784B5DB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Ефектите на ЦНС-депресанти или алкохол може да се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потенцират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от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19416A01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</w:p>
    <w:p w14:paraId="7D8C5ADD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4.6. Фертилитет, бременност и кърмене</w:t>
      </w:r>
    </w:p>
    <w:p w14:paraId="0C86BA76" w14:textId="77777777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Бременност</w:t>
      </w:r>
    </w:p>
    <w:p w14:paraId="27AC032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Данни за употребата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бременни жени са ограничени. Този продукт трябва да се използва по време на бременност само ако се счита за крайно необходимо от лекар. Препоръчва се внимателно наблюдение на майката и детето.</w:t>
      </w:r>
    </w:p>
    <w:p w14:paraId="0D02CC0A" w14:textId="77777777" w:rsidR="00776CDD" w:rsidRPr="00366894" w:rsidRDefault="00776CDD" w:rsidP="00776CDD">
      <w:pPr>
        <w:rPr>
          <w:rFonts w:ascii="Arial" w:eastAsia="Times New Roman" w:hAnsi="Arial" w:cs="Arial"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преминава през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плацентарната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бариера и може да намали сърдечната честота на плода. Не може да се изключи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следродово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преходно повишаване на кръвното налягане при новороденото</w:t>
      </w:r>
      <w:r w:rsidRPr="00366894">
        <w:rPr>
          <w:rFonts w:ascii="Arial" w:hAnsi="Arial" w:cs="Arial"/>
          <w:lang w:val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Липсва адекватен опит по отношение на дългосрочните ефекти от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пренатална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експозиция.</w:t>
      </w:r>
    </w:p>
    <w:p w14:paraId="3F5A4452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По време на бременността трябва да се предпочитат пероралните форми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04FBC97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Интравенозното приложение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трябва да се избягва.</w:t>
      </w:r>
    </w:p>
    <w:p w14:paraId="4A6CC59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Неклиничните проучвания не показват преки или непреки вредни ефекти по отношение на репродуктивната токсичност.</w:t>
      </w:r>
    </w:p>
    <w:p w14:paraId="49E589F3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05EA036D" w14:textId="77777777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lastRenderedPageBreak/>
        <w:t>Кърмене</w:t>
      </w:r>
    </w:p>
    <w:p w14:paraId="7D921F65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екскретира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 кърмата. Въпреки това, няма достатъчно информация за ефекта при новородени. Следователно използването на ХЛОФАЗОЛИН не се препоръчва по време на кърмене.</w:t>
      </w:r>
    </w:p>
    <w:p w14:paraId="69CB6BB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3BF109DA" w14:textId="77777777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Фертилитет</w:t>
      </w:r>
    </w:p>
    <w:p w14:paraId="2913C205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Не са провеждани клинични проучвания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относно ефекта върху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фертилитета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хората. Неклинични проучвания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 показват преки или непреки вредни ефекти по отношение на индекса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фертилитета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7606FAC7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04CF90A5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4.7. Ефекти върху способността за шофиране и работа с машини</w:t>
      </w:r>
    </w:p>
    <w:p w14:paraId="29ECB03B" w14:textId="77777777" w:rsidR="00776CDD" w:rsidRPr="00366894" w:rsidRDefault="00776CDD" w:rsidP="00776CDD">
      <w:pPr>
        <w:rPr>
          <w:rFonts w:ascii="Arial" w:hAnsi="Arial" w:cs="Arial"/>
          <w:lang w:val="bg-BG"/>
        </w:rPr>
      </w:pPr>
      <w:r w:rsidRPr="00366894">
        <w:rPr>
          <w:rFonts w:ascii="Arial" w:hAnsi="Arial" w:cs="Arial"/>
          <w:lang w:val="bg-BG"/>
        </w:rPr>
        <w:t xml:space="preserve">Не са провеждани проучвания за ефектите върху способността за шофиране и работа с машини. Въпреки това, пациентите трябва да бъдат предупредени, че могат да получат нежелани реакции като замайване, </w:t>
      </w:r>
      <w:proofErr w:type="spellStart"/>
      <w:r w:rsidRPr="00366894">
        <w:rPr>
          <w:rFonts w:ascii="Arial" w:hAnsi="Arial" w:cs="Arial"/>
          <w:lang w:val="bg-BG"/>
        </w:rPr>
        <w:t>седация</w:t>
      </w:r>
      <w:proofErr w:type="spellEnd"/>
      <w:r w:rsidRPr="00366894">
        <w:rPr>
          <w:rFonts w:ascii="Arial" w:hAnsi="Arial" w:cs="Arial"/>
          <w:lang w:val="bg-BG"/>
        </w:rPr>
        <w:t xml:space="preserve"> и разстройство на акомодацията по време на лечението с ХЛОФАЗОЛИН. Ако пациентите получат посочените по-горе странични ефекти, те трябва да избягват потенциално опасни дейности като шофиране или работа с машини.</w:t>
      </w:r>
    </w:p>
    <w:p w14:paraId="78319A4D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21F97822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4.8. Нежелани лекарствени реакции</w:t>
      </w:r>
    </w:p>
    <w:p w14:paraId="7A826313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Нежеланите лекарствени реакции са класифицирани по честота и по система орган-клас. Честотата по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MedDRA</w:t>
      </w:r>
      <w:proofErr w:type="spellEnd"/>
      <w:r w:rsidRPr="00366894"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>отговаря на: много чести (&gt;1/10), чести (&gt;1/100 до &lt;1/10), нечести (&gt;1/1 000 до &lt;1/100), редки (&gt;1/10 000 до &lt; 1/1 000), много редки (&lt;1/10 000), с неизвестна честота (от наличните данни не може да бъде направена оценка).</w:t>
      </w:r>
    </w:p>
    <w:p w14:paraId="771FCEF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1A544F6C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Нарушения на ендокринната система</w:t>
      </w:r>
    </w:p>
    <w:p w14:paraId="2F77ACC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гинекомастия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1D2C90F6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51C1DD19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Психични нарушения</w:t>
      </w:r>
    </w:p>
    <w:p w14:paraId="154BD69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депресия, нарушения на съня.</w:t>
      </w:r>
    </w:p>
    <w:p w14:paraId="1974DFF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нарушения на възприятията, халюцинации, кошмари.</w:t>
      </w:r>
    </w:p>
    <w:p w14:paraId="33BFB5AF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С неизвестна Честота: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объркване, намалено либидо.</w:t>
      </w:r>
    </w:p>
    <w:p w14:paraId="5CA9B697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75CEABA6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Нарушения на нервната система</w:t>
      </w:r>
    </w:p>
    <w:p w14:paraId="149BF59F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Много 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световъртеж, отпуснатост.</w:t>
      </w:r>
    </w:p>
    <w:p w14:paraId="3E2A810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главоболие, възбуда.</w:t>
      </w:r>
    </w:p>
    <w:p w14:paraId="7FA56A3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парестезии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07E9D845" w14:textId="77777777" w:rsidR="00776CDD" w:rsidRPr="00366894" w:rsidRDefault="00776CDD" w:rsidP="00776CDD">
      <w:pPr>
        <w:spacing w:after="0" w:line="240" w:lineRule="auto"/>
        <w:rPr>
          <w:rFonts w:ascii="Arial" w:hAnsi="Arial" w:cs="Arial"/>
          <w:b/>
          <w:bCs/>
          <w:lang w:val="bg-BG"/>
        </w:rPr>
      </w:pPr>
    </w:p>
    <w:p w14:paraId="311A7967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Сърдечни нарушения</w:t>
      </w:r>
    </w:p>
    <w:p w14:paraId="5FB02FF2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синусова брадикардия.</w:t>
      </w:r>
    </w:p>
    <w:p w14:paraId="052C345B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r w:rsidRPr="00366894">
        <w:rPr>
          <w:rFonts w:ascii="Arial" w:eastAsia="Times New Roman" w:hAnsi="Arial" w:cs="Arial"/>
          <w:color w:val="000000"/>
          <w:lang w:val="bg-BG"/>
        </w:rPr>
        <w:t xml:space="preserve">AV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>блок.</w:t>
      </w:r>
    </w:p>
    <w:p w14:paraId="0BE12795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С неизвестна честота: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брадиаритмия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57B82C29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Съдови нарушения</w:t>
      </w:r>
    </w:p>
    <w:p w14:paraId="4F83011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Много 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оргостатична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хипотония.</w:t>
      </w:r>
    </w:p>
    <w:p w14:paraId="6FCE24F9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феномен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Рейно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(периферна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вазоконстрикция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).</w:t>
      </w:r>
    </w:p>
    <w:p w14:paraId="526D5F30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lastRenderedPageBreak/>
        <w:t>Нарушение на очите</w:t>
      </w:r>
    </w:p>
    <w:p w14:paraId="48E9A2A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намаление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слъзната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секреция.</w:t>
      </w:r>
    </w:p>
    <w:p w14:paraId="4611E84A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С неизвестна честота: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нарушение на акомодацията.</w:t>
      </w:r>
    </w:p>
    <w:p w14:paraId="38092FE2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 xml:space="preserve">Респираторни, гръдни и </w:t>
      </w:r>
      <w:proofErr w:type="spellStart"/>
      <w:r w:rsidRPr="00A57E35">
        <w:rPr>
          <w:rFonts w:eastAsia="Times New Roman"/>
          <w:u w:val="single"/>
          <w:lang w:val="bg-BG" w:eastAsia="bg-BG"/>
        </w:rPr>
        <w:t>медиастинални</w:t>
      </w:r>
      <w:proofErr w:type="spellEnd"/>
      <w:r w:rsidRPr="00A57E35">
        <w:rPr>
          <w:rFonts w:eastAsia="Times New Roman"/>
          <w:u w:val="single"/>
          <w:lang w:val="bg-BG" w:eastAsia="bg-BG"/>
        </w:rPr>
        <w:t xml:space="preserve"> нарушения</w:t>
      </w:r>
    </w:p>
    <w:p w14:paraId="537EB223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сухота на носната лигавица.</w:t>
      </w:r>
    </w:p>
    <w:p w14:paraId="3E84DC0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09F9E74A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Стомашно-чревни нарушения</w:t>
      </w:r>
    </w:p>
    <w:p w14:paraId="532AC731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Много 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сухота в устата.</w:t>
      </w:r>
    </w:p>
    <w:p w14:paraId="2B287D51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гадене, повръщане, болка и оток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околоушните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жлези</w:t>
      </w:r>
    </w:p>
    <w:p w14:paraId="4B5C5016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псевдоилеус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2F7936A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58329CA1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Нарушения на кожата и подкожната тъкан</w:t>
      </w:r>
    </w:p>
    <w:p w14:paraId="28AF9EE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сърбеж, обрив, уртикария.</w:t>
      </w:r>
    </w:p>
    <w:p w14:paraId="747022FD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алопеция.</w:t>
      </w:r>
    </w:p>
    <w:p w14:paraId="0CFB35A8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1C461752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Нарушения на възпроизводителната система и гърдата</w:t>
      </w:r>
    </w:p>
    <w:p w14:paraId="47F95B7D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еректилна дисфункция.</w:t>
      </w:r>
    </w:p>
    <w:p w14:paraId="443794D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2354D791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Обши нарушения и ефекти на мястото на приложение</w:t>
      </w:r>
    </w:p>
    <w:p w14:paraId="08DE8DA7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умора.</w:t>
      </w:r>
    </w:p>
    <w:p w14:paraId="5CECE714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Нечести: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неразположение.</w:t>
      </w:r>
    </w:p>
    <w:p w14:paraId="0769D8F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02B42D88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Изследвания</w:t>
      </w:r>
    </w:p>
    <w:p w14:paraId="554372AD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i/>
          <w:iCs/>
          <w:color w:val="000000"/>
          <w:lang w:val="bg-BG" w:eastAsia="bg-BG"/>
        </w:rPr>
        <w:t>Редки: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повишаване нивото на кръвната захар.</w:t>
      </w:r>
    </w:p>
    <w:p w14:paraId="17934080" w14:textId="77777777" w:rsidR="00776CDD" w:rsidRPr="00A57E35" w:rsidRDefault="00776CDD" w:rsidP="00A57E35">
      <w:pPr>
        <w:pStyle w:val="Heading3"/>
        <w:rPr>
          <w:rFonts w:eastAsia="Times New Roman"/>
          <w:u w:val="single"/>
          <w:lang w:val="bg-BG"/>
        </w:rPr>
      </w:pPr>
      <w:r w:rsidRPr="00A57E35">
        <w:rPr>
          <w:rFonts w:eastAsia="Times New Roman"/>
          <w:u w:val="single"/>
          <w:lang w:val="bg-BG" w:eastAsia="bg-BG"/>
        </w:rPr>
        <w:t>Съобщаване на подозирани нежелани реакции</w:t>
      </w:r>
    </w:p>
    <w:p w14:paraId="071E3D54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</w:t>
      </w:r>
    </w:p>
    <w:p w14:paraId="2E23764A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ул. „Дамян Груев” </w:t>
      </w:r>
    </w:p>
    <w:p w14:paraId="217DC642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№ 8; 1303 София; тел.:</w:t>
      </w:r>
    </w:p>
    <w:p w14:paraId="712B8F7D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+35 928903417;</w:t>
      </w:r>
    </w:p>
    <w:p w14:paraId="2F2CB37C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уебсайт: </w:t>
      </w:r>
      <w:hyperlink r:id="rId7" w:history="1">
        <w:r w:rsidRPr="00366894">
          <w:rPr>
            <w:rFonts w:ascii="Arial" w:eastAsia="Times New Roman" w:hAnsi="Arial" w:cs="Arial"/>
            <w:color w:val="000000"/>
            <w:u w:val="single"/>
            <w:lang w:val="bg-BG"/>
          </w:rPr>
          <w:t>www.bda.bg</w:t>
        </w:r>
      </w:hyperlink>
      <w:r w:rsidRPr="00366894">
        <w:rPr>
          <w:rFonts w:ascii="Arial" w:eastAsia="Times New Roman" w:hAnsi="Arial" w:cs="Arial"/>
          <w:color w:val="000000"/>
          <w:u w:val="single"/>
          <w:lang w:val="bg-BG"/>
        </w:rPr>
        <w:t>.</w:t>
      </w:r>
    </w:p>
    <w:p w14:paraId="60EE664D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4.9. Предозиране</w:t>
      </w:r>
    </w:p>
    <w:p w14:paraId="34D7720A" w14:textId="77777777" w:rsidR="00776CDD" w:rsidRPr="00366894" w:rsidRDefault="00776CDD" w:rsidP="00A57E35">
      <w:pPr>
        <w:pStyle w:val="Heading3"/>
        <w:rPr>
          <w:rFonts w:eastAsia="Times New Roman"/>
          <w:lang w:val="bg-BG"/>
        </w:rPr>
      </w:pPr>
      <w:r w:rsidRPr="00366894">
        <w:rPr>
          <w:rFonts w:eastAsia="Times New Roman"/>
          <w:lang w:val="bg-BG" w:eastAsia="bg-BG"/>
        </w:rPr>
        <w:t>Симптоми:</w:t>
      </w:r>
    </w:p>
    <w:p w14:paraId="483EA9D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Проявите на интоксикация се дължат на генерализирана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симпатикова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депресия и включват свиване на зеницата, летаргия,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брадикардия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хипотензия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хипотермия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сънливост, включително кома и респираторна депресия, включително апнея. Може да се появи парадоксална хипертония, причинена от стимулация на периферните алфа1-рецептори. Преходна хипертония може да се наблюдава, ако общата доза е над 10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mg</w:t>
      </w:r>
      <w:proofErr w:type="spellEnd"/>
      <w:r w:rsidRPr="00366894">
        <w:rPr>
          <w:rFonts w:ascii="Arial" w:eastAsia="Times New Roman" w:hAnsi="Arial" w:cs="Arial"/>
          <w:color w:val="000000"/>
          <w:lang w:val="bg-BG"/>
        </w:rPr>
        <w:t>.</w:t>
      </w:r>
    </w:p>
    <w:p w14:paraId="2706B6D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47A1E545" w14:textId="77777777" w:rsidR="00776CDD" w:rsidRPr="00366894" w:rsidRDefault="00776CDD" w:rsidP="00A57E35">
      <w:pPr>
        <w:pStyle w:val="Heading3"/>
        <w:rPr>
          <w:rFonts w:eastAsia="Times New Roman"/>
          <w:lang w:val="bg-BG"/>
        </w:rPr>
      </w:pPr>
      <w:r w:rsidRPr="00366894">
        <w:rPr>
          <w:rFonts w:eastAsia="Times New Roman"/>
          <w:lang w:val="bg-BG" w:eastAsia="bg-BG"/>
        </w:rPr>
        <w:lastRenderedPageBreak/>
        <w:t>Лечение:</w:t>
      </w:r>
    </w:p>
    <w:p w14:paraId="28E56F9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Няма специфичен антидот при предозиране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 Трябва да се приложи активен въглен, когато е подходящо.</w:t>
      </w:r>
    </w:p>
    <w:p w14:paraId="04F7DB4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Поддържащата терапия може да включва атропин сулфат за симптоматична брадикардия и интравенозни течности и/или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инотропни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симпатикомиметични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средства за хипотония. Тежката персистираща хипертония може да изисква корекция с алфа-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блокери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33A46606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Налоксон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може да бъде полезен като допълнение към лечението на причинената от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дихателна депресия.</w:t>
      </w:r>
    </w:p>
    <w:p w14:paraId="44EABA3D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5. ФАРМАКОЛОГИЧНИ СВОЙСТВА</w:t>
      </w:r>
    </w:p>
    <w:p w14:paraId="7BF789A0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 xml:space="preserve">5.1. </w:t>
      </w:r>
      <w:proofErr w:type="spellStart"/>
      <w:r w:rsidRPr="00366894">
        <w:rPr>
          <w:lang w:val="bg-BG"/>
        </w:rPr>
        <w:t>Фармакодинамични</w:t>
      </w:r>
      <w:proofErr w:type="spellEnd"/>
      <w:r w:rsidRPr="00366894">
        <w:rPr>
          <w:lang w:val="bg-BG"/>
        </w:rPr>
        <w:t xml:space="preserve"> свойства</w:t>
      </w:r>
    </w:p>
    <w:p w14:paraId="6267CCA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Фармакотерапевтична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група: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Антихипертензивни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средства, централно действащи алфа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адренергични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агонисти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, АТС код: С02АС01</w:t>
      </w:r>
    </w:p>
    <w:p w14:paraId="4323743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14:paraId="422F4A3C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Доказано е, че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има централно и периферно действие. При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продьлжително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лечение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намалява чувствителността на периферните съдове към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вазоконстрикторните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съдоразширяващи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вещества 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симпатикова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нервна стимулация. В началото на лечението, обаче, понижаването на кръвното налягане е свързано с намаляване на централното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симпатиково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действие и повишен тонус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вагуса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2B3FC63A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48A45E2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Клинично може да се наблюдава намалено венозно връщане и лека брадикардия, водеща до намален сърдечен дебит. Въпреки, че първоначално периферното съпротивление може да бъде непроменено, то е проявява склонност към намаляване в хода на лечението. Не се засяга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миокардния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контрактилитет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 Проучванията показват, че сърдечно-съдовите рефлекси са запазени, което е видно от липсата на ортостатична хипотония и хипотония след физическа активност.</w:t>
      </w:r>
    </w:p>
    <w:p w14:paraId="64BD227C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46E0D5D9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Ефикасността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лечение на хипертония е изследвана в пет клинични проучвания при педиатрични пациенти. Данните за ефикасност потвърждават свойствата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относно намаляване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систоличното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диастоличното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кръвно налягане. Въпреки това, поради ограничените данни и методически недостатъци, не може да се направи окончателно заключение за използването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деца с хипертония.</w:t>
      </w:r>
    </w:p>
    <w:p w14:paraId="3A78C7C4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Ефикасността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 изследвана също и в няколко клинични проучвания с педиатрични пациенти с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хиперактивност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, синдром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Турет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и заекване. Ефикасността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тези състояния не е доказана.</w:t>
      </w:r>
    </w:p>
    <w:p w14:paraId="46946D30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lang w:val="bg-BG" w:eastAsia="bg-BG"/>
        </w:rPr>
      </w:pPr>
    </w:p>
    <w:p w14:paraId="472DB31D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Проведени са и две малки проучвания при деца с мигрена, нито едно от които не демонстрира ефикасност. В педиатрични клинични проучвания най-честите нежелани реакции са сънливост, сухата в устата, главоболие, виене на свят и безсъние. Тези нежелани реакции могат да имат сериозен ефект върху ежедневната дейност при педиатричните пациенти.</w:t>
      </w:r>
    </w:p>
    <w:p w14:paraId="3F3D2FDC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</w:p>
    <w:p w14:paraId="2961D9F9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Като цяло, безопасността и ефикасността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при деца и юноши не са установени (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вж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т. 4.2).</w:t>
      </w:r>
    </w:p>
    <w:p w14:paraId="29F3F123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lastRenderedPageBreak/>
        <w:t xml:space="preserve">5.2. </w:t>
      </w:r>
      <w:proofErr w:type="spellStart"/>
      <w:r w:rsidRPr="00366894">
        <w:rPr>
          <w:lang w:val="bg-BG"/>
        </w:rPr>
        <w:t>Фармакокинетични</w:t>
      </w:r>
      <w:proofErr w:type="spellEnd"/>
      <w:r w:rsidRPr="00366894">
        <w:rPr>
          <w:lang w:val="bg-BG"/>
        </w:rPr>
        <w:t xml:space="preserve"> свойства</w:t>
      </w:r>
    </w:p>
    <w:p w14:paraId="0E7690BA" w14:textId="77777777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Абсорбция и разпределение</w:t>
      </w:r>
    </w:p>
    <w:p w14:paraId="759AEE35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Фармакокинетиката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 пропорционална на дозата в обхвата от 75-300 микрограма; над този диапазон, линейността не е напълно доказана.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, активната съставка на ХЛОФАЗОЛИН, се абсорбира в голяма степен и претърпява незначителен ефект на първо преминаване. Пиковите плазмени концентрации се достигат в рамките на 1-3 часа след перорално приложение. Свързването с плазмените протеини е 30-40%.</w:t>
      </w:r>
    </w:p>
    <w:p w14:paraId="53B161C3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бързо и широко се разпространява в тъканите и преминава кръвно-мозъчната бариера, както и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плацентарната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бариера.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екскретира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 кърмата. Въпреки това, няма достатъчно информация за ефекта при новородени.</w:t>
      </w:r>
    </w:p>
    <w:p w14:paraId="57004F14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bg-BG" w:eastAsia="bg-BG"/>
        </w:rPr>
      </w:pPr>
    </w:p>
    <w:p w14:paraId="41E698EB" w14:textId="77777777" w:rsidR="00776CDD" w:rsidRPr="00366894" w:rsidRDefault="00776CDD" w:rsidP="00776CDD">
      <w:pPr>
        <w:pStyle w:val="Heading3"/>
        <w:rPr>
          <w:rFonts w:eastAsia="Times New Roman" w:cs="Arial"/>
          <w:sz w:val="22"/>
          <w:szCs w:val="22"/>
          <w:u w:val="single"/>
          <w:lang w:val="bg-BG"/>
        </w:rPr>
      </w:pPr>
      <w:r w:rsidRPr="00366894">
        <w:rPr>
          <w:rFonts w:eastAsia="Times New Roman" w:cs="Arial"/>
          <w:sz w:val="22"/>
          <w:szCs w:val="22"/>
          <w:u w:val="single"/>
          <w:lang w:val="bg-BG" w:eastAsia="bg-BG"/>
        </w:rPr>
        <w:t>Биотрансформация и елиминиране</w:t>
      </w:r>
    </w:p>
    <w:p w14:paraId="4685435E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Установено е, че терминалният елиминационен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полуживот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варира от 5 до 25,5 часа.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ТоЙ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може да бъде удължен до 41 часа при пациенти с тежко увредена бъбречна функция.</w:t>
      </w:r>
    </w:p>
    <w:p w14:paraId="01763861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Около 70% от приложената доза се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екскретира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с урината главно под формата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предлекарство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в непроменен вид (40-60% от дозата). Основният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метаболит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р-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хидрокси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-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 фармакологично неактивен. Приблизително 20% от общото количество се отделя с фекалиите. Няма окончателни данни относно ефекта на храната или расовата принадлежност върху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фармакокинетиката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на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клонидин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>.</w:t>
      </w:r>
    </w:p>
    <w:p w14:paraId="2F5DA2CD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Антихипертензивният ефект се достига при плазмени концентрации между около 0.2 и 2.0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ng</w:t>
      </w:r>
      <w:proofErr w:type="spellEnd"/>
      <w:r w:rsidRPr="00366894">
        <w:rPr>
          <w:rFonts w:ascii="Arial" w:eastAsia="Times New Roman" w:hAnsi="Arial" w:cs="Arial"/>
          <w:color w:val="000000"/>
          <w:lang w:val="bg-BG"/>
        </w:rPr>
        <w:t xml:space="preserve">/ml </w:t>
      </w: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при пациенти с нормална бъбречна функция.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Хипотензивният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ефект намалява при плазмени концентрации над 2.0 </w:t>
      </w:r>
      <w:proofErr w:type="spellStart"/>
      <w:r w:rsidRPr="00366894">
        <w:rPr>
          <w:rFonts w:ascii="Arial" w:eastAsia="Times New Roman" w:hAnsi="Arial" w:cs="Arial"/>
          <w:color w:val="000000"/>
          <w:lang w:val="bg-BG"/>
        </w:rPr>
        <w:t>ng</w:t>
      </w:r>
      <w:proofErr w:type="spellEnd"/>
      <w:r w:rsidRPr="00366894">
        <w:rPr>
          <w:rFonts w:ascii="Arial" w:eastAsia="Times New Roman" w:hAnsi="Arial" w:cs="Arial"/>
          <w:color w:val="000000"/>
          <w:lang w:val="bg-BG"/>
        </w:rPr>
        <w:t>/ml.</w:t>
      </w:r>
    </w:p>
    <w:p w14:paraId="363B69D7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20583A81" w14:textId="77777777" w:rsidR="00776CDD" w:rsidRPr="00366894" w:rsidRDefault="00776CDD" w:rsidP="00E12660">
      <w:pPr>
        <w:pStyle w:val="Heading2"/>
        <w:rPr>
          <w:lang w:val="bg-BG"/>
        </w:rPr>
      </w:pPr>
      <w:r w:rsidRPr="00366894">
        <w:rPr>
          <w:lang w:val="bg-BG"/>
        </w:rPr>
        <w:t>5.3. Предклинични данни за безопасност</w:t>
      </w:r>
    </w:p>
    <w:p w14:paraId="73C93D7A" w14:textId="77777777" w:rsidR="00776CDD" w:rsidRPr="00366894" w:rsidRDefault="00776CDD" w:rsidP="00776CDD">
      <w:pPr>
        <w:rPr>
          <w:rFonts w:ascii="Arial" w:hAnsi="Arial" w:cs="Arial"/>
          <w:lang w:val="bg-BG"/>
        </w:rPr>
      </w:pPr>
      <w:r w:rsidRPr="00366894">
        <w:rPr>
          <w:rFonts w:ascii="Arial" w:hAnsi="Arial" w:cs="Arial"/>
          <w:lang w:val="bg-BG"/>
        </w:rPr>
        <w:t>Не съществуват предклинични данни от значение за предписващия, освен тези, които вече са включени в другите раздели на кратката характеристика на продукта.</w:t>
      </w:r>
    </w:p>
    <w:p w14:paraId="0A4870A1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181574FB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7. ПРИТЕЖАТЕЛ НА РАЗРЕШЕНИЕТО ЗА УПОТРЕБА</w:t>
      </w:r>
    </w:p>
    <w:p w14:paraId="0A358645" w14:textId="77777777" w:rsidR="00776CDD" w:rsidRPr="00366894" w:rsidRDefault="00776CDD" w:rsidP="00776CDD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>СОФАРМА АД</w:t>
      </w:r>
    </w:p>
    <w:p w14:paraId="426CCAAD" w14:textId="77777777" w:rsidR="00776CDD" w:rsidRPr="00366894" w:rsidRDefault="00776CDD" w:rsidP="00776CDD">
      <w:pPr>
        <w:rPr>
          <w:rFonts w:ascii="Arial" w:eastAsia="Times New Roman" w:hAnsi="Arial" w:cs="Arial"/>
          <w:color w:val="000000"/>
          <w:lang w:val="bg-BG" w:eastAsia="bg-BG"/>
        </w:rPr>
      </w:pPr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ул. </w:t>
      </w:r>
      <w:proofErr w:type="spellStart"/>
      <w:r w:rsidRPr="00366894">
        <w:rPr>
          <w:rFonts w:ascii="Arial" w:eastAsia="Times New Roman" w:hAnsi="Arial" w:cs="Arial"/>
          <w:color w:val="000000"/>
          <w:lang w:val="bg-BG" w:eastAsia="bg-BG"/>
        </w:rPr>
        <w:t>Илиенско</w:t>
      </w:r>
      <w:proofErr w:type="spellEnd"/>
      <w:r w:rsidRPr="00366894">
        <w:rPr>
          <w:rFonts w:ascii="Arial" w:eastAsia="Times New Roman" w:hAnsi="Arial" w:cs="Arial"/>
          <w:color w:val="000000"/>
          <w:lang w:val="bg-BG" w:eastAsia="bg-BG"/>
        </w:rPr>
        <w:t xml:space="preserve"> шосе 16, 1220 София, България</w:t>
      </w:r>
    </w:p>
    <w:p w14:paraId="62A81EDF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66B52A8D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8. НОМЕР НА РАЗРЕШЕНИЕТО ЗА УПОТРЕБА</w:t>
      </w:r>
    </w:p>
    <w:p w14:paraId="4F2E3F62" w14:textId="77777777" w:rsidR="00776CDD" w:rsidRPr="00366894" w:rsidRDefault="00776CDD" w:rsidP="00776CDD">
      <w:pPr>
        <w:rPr>
          <w:rFonts w:ascii="Arial" w:hAnsi="Arial" w:cs="Arial"/>
          <w:lang w:val="bg-BG"/>
        </w:rPr>
      </w:pPr>
      <w:r w:rsidRPr="00366894">
        <w:rPr>
          <w:rFonts w:ascii="Arial" w:hAnsi="Arial" w:cs="Arial"/>
          <w:lang w:val="bg-BG"/>
        </w:rPr>
        <w:t>20010275</w:t>
      </w:r>
    </w:p>
    <w:p w14:paraId="3C427C7A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5DAE210C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t>9. ДАТА НА ПЪРВО РАЗРЕШАВАНЕ/ПОДНОВЯВАНЕ НА РАЗРЕШЕНИЕТО ЗА УПОТРЕБА</w:t>
      </w:r>
    </w:p>
    <w:p w14:paraId="7C36A332" w14:textId="77777777" w:rsidR="00776CDD" w:rsidRPr="00366894" w:rsidRDefault="00776CDD" w:rsidP="00776CDD">
      <w:pPr>
        <w:rPr>
          <w:rFonts w:ascii="Arial" w:hAnsi="Arial" w:cs="Arial"/>
          <w:lang w:val="bg-BG"/>
        </w:rPr>
      </w:pPr>
      <w:r w:rsidRPr="00366894">
        <w:rPr>
          <w:rFonts w:ascii="Arial" w:hAnsi="Arial" w:cs="Arial"/>
          <w:lang w:val="bg-BG"/>
        </w:rPr>
        <w:t>06.03.2001/23.05.2006</w:t>
      </w:r>
    </w:p>
    <w:p w14:paraId="571FAD33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</w:p>
    <w:p w14:paraId="75445710" w14:textId="77777777" w:rsidR="00776CDD" w:rsidRPr="00366894" w:rsidRDefault="00776CDD" w:rsidP="00E12660">
      <w:pPr>
        <w:pStyle w:val="Heading1"/>
        <w:rPr>
          <w:lang w:val="bg-BG"/>
        </w:rPr>
      </w:pPr>
      <w:r w:rsidRPr="00366894">
        <w:rPr>
          <w:lang w:val="bg-BG"/>
        </w:rPr>
        <w:lastRenderedPageBreak/>
        <w:t>10. ДАТА НА АКТУАЛИЗИРАНЕ НА ТЕКСТА</w:t>
      </w:r>
    </w:p>
    <w:p w14:paraId="59CD0356" w14:textId="77777777" w:rsidR="00776CDD" w:rsidRPr="00366894" w:rsidRDefault="00776CDD" w:rsidP="00776CDD">
      <w:pPr>
        <w:rPr>
          <w:rFonts w:ascii="Arial" w:hAnsi="Arial" w:cs="Arial"/>
          <w:b/>
          <w:bCs/>
          <w:lang w:val="bg-BG"/>
        </w:rPr>
      </w:pPr>
      <w:r w:rsidRPr="00366894">
        <w:rPr>
          <w:rFonts w:ascii="Arial" w:hAnsi="Arial" w:cs="Arial"/>
          <w:lang w:val="bg-BG"/>
        </w:rPr>
        <w:t>04/2017</w:t>
      </w:r>
    </w:p>
    <w:p w14:paraId="2905E444" w14:textId="77777777" w:rsidR="00776CDD" w:rsidRPr="00366894" w:rsidRDefault="00776CDD" w:rsidP="00776CDD">
      <w:pPr>
        <w:rPr>
          <w:rFonts w:ascii="Arial" w:hAnsi="Arial" w:cs="Arial"/>
          <w:lang w:val="bg-BG"/>
        </w:rPr>
      </w:pPr>
    </w:p>
    <w:p w14:paraId="423F4C2A" w14:textId="77777777" w:rsidR="00C87E90" w:rsidRPr="00366894" w:rsidRDefault="00C87E90" w:rsidP="00776CDD">
      <w:pPr>
        <w:rPr>
          <w:rFonts w:ascii="Arial" w:hAnsi="Arial" w:cs="Arial"/>
          <w:lang w:val="bg-BG"/>
        </w:rPr>
      </w:pPr>
    </w:p>
    <w:sectPr w:rsidR="00C87E90" w:rsidRPr="0036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E689" w14:textId="77777777" w:rsidR="009E6B37" w:rsidRDefault="009E6B37" w:rsidP="003B23E9">
      <w:pPr>
        <w:spacing w:after="0" w:line="240" w:lineRule="auto"/>
      </w:pPr>
      <w:r>
        <w:separator/>
      </w:r>
    </w:p>
  </w:endnote>
  <w:endnote w:type="continuationSeparator" w:id="0">
    <w:p w14:paraId="603B7D95" w14:textId="77777777" w:rsidR="009E6B37" w:rsidRDefault="009E6B37" w:rsidP="003B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5DEA" w14:textId="77777777" w:rsidR="009E6B37" w:rsidRDefault="009E6B37" w:rsidP="003B23E9">
      <w:pPr>
        <w:spacing w:after="0" w:line="240" w:lineRule="auto"/>
      </w:pPr>
      <w:r>
        <w:separator/>
      </w:r>
    </w:p>
  </w:footnote>
  <w:footnote w:type="continuationSeparator" w:id="0">
    <w:p w14:paraId="0C25FB2E" w14:textId="77777777" w:rsidR="009E6B37" w:rsidRDefault="009E6B37" w:rsidP="003B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D1B23"/>
    <w:rsid w:val="002C50EE"/>
    <w:rsid w:val="00366894"/>
    <w:rsid w:val="003B23E9"/>
    <w:rsid w:val="003E3126"/>
    <w:rsid w:val="00421029"/>
    <w:rsid w:val="00517A5B"/>
    <w:rsid w:val="005317C4"/>
    <w:rsid w:val="0054791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776CDD"/>
    <w:rsid w:val="00814073"/>
    <w:rsid w:val="00826F0D"/>
    <w:rsid w:val="00893B92"/>
    <w:rsid w:val="008C70A2"/>
    <w:rsid w:val="009773E4"/>
    <w:rsid w:val="009E6B37"/>
    <w:rsid w:val="00A20351"/>
    <w:rsid w:val="00A57E35"/>
    <w:rsid w:val="00AC63CE"/>
    <w:rsid w:val="00AE2107"/>
    <w:rsid w:val="00B275A8"/>
    <w:rsid w:val="00BF2600"/>
    <w:rsid w:val="00C33464"/>
    <w:rsid w:val="00C83063"/>
    <w:rsid w:val="00C87E90"/>
    <w:rsid w:val="00E12660"/>
    <w:rsid w:val="00EB6364"/>
    <w:rsid w:val="00F07EAB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DD"/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after="0"/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E9"/>
  </w:style>
  <w:style w:type="paragraph" w:styleId="Footer">
    <w:name w:val="footer"/>
    <w:basedOn w:val="Normal"/>
    <w:link w:val="FooterChar"/>
    <w:uiPriority w:val="99"/>
    <w:unhideWhenUsed/>
    <w:rsid w:val="003B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2500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2021-04-18T21:20:00Z</dcterms:created>
  <dcterms:modified xsi:type="dcterms:W3CDTF">2021-07-26T06:41:00Z</dcterms:modified>
</cp:coreProperties>
</file>