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7B7F9CBA" w:rsidR="0091385D" w:rsidRDefault="0091385D" w:rsidP="0091385D"/>
    <w:p w14:paraId="20905B9A" w14:textId="77777777" w:rsidR="00C60BBA" w:rsidRPr="00C60BBA" w:rsidRDefault="00C60BBA" w:rsidP="00C60BBA">
      <w:pPr>
        <w:spacing w:line="240" w:lineRule="auto"/>
        <w:rPr>
          <w:rFonts w:eastAsia="Times New Roman" w:cs="Arial"/>
          <w:sz w:val="28"/>
          <w:szCs w:val="24"/>
          <w:lang w:eastAsia="bg-BG"/>
        </w:rPr>
      </w:pPr>
      <w:r w:rsidRPr="00C60BBA">
        <w:rPr>
          <w:rFonts w:eastAsia="Times New Roman" w:cs="Arial"/>
          <w:color w:val="000000"/>
          <w:szCs w:val="20"/>
          <w:lang w:eastAsia="bg-BG"/>
        </w:rPr>
        <w:t xml:space="preserve">Цимоцинокс 400 </w:t>
      </w:r>
      <w:r w:rsidRPr="00C60BBA">
        <w:rPr>
          <w:rFonts w:eastAsia="Times New Roman" w:cs="Arial"/>
          <w:color w:val="000000"/>
          <w:szCs w:val="20"/>
          <w:lang w:val="en-US"/>
        </w:rPr>
        <w:t xml:space="preserve">mg </w:t>
      </w:r>
      <w:r w:rsidRPr="00C60BBA">
        <w:rPr>
          <w:rFonts w:eastAsia="Times New Roman" w:cs="Arial"/>
          <w:color w:val="000000"/>
          <w:szCs w:val="20"/>
          <w:lang w:eastAsia="bg-BG"/>
        </w:rPr>
        <w:t>филмирани таблетки</w:t>
      </w:r>
    </w:p>
    <w:p w14:paraId="69AC8148" w14:textId="5D16E8C7" w:rsidR="00EC41ED" w:rsidRPr="00C60BBA" w:rsidRDefault="00C60BBA" w:rsidP="00C60BBA">
      <w:pPr>
        <w:rPr>
          <w:rFonts w:cs="Arial"/>
          <w:sz w:val="24"/>
        </w:rPr>
      </w:pPr>
      <w:proofErr w:type="spellStart"/>
      <w:r w:rsidRPr="00C60BBA">
        <w:rPr>
          <w:rFonts w:eastAsia="Times New Roman" w:cs="Arial"/>
          <w:color w:val="000000"/>
          <w:szCs w:val="20"/>
          <w:lang w:val="en-US"/>
        </w:rPr>
        <w:t>Cimocinox</w:t>
      </w:r>
      <w:proofErr w:type="spellEnd"/>
      <w:r w:rsidRPr="00C60BBA">
        <w:rPr>
          <w:rFonts w:eastAsia="Times New Roman" w:cs="Arial"/>
          <w:color w:val="000000"/>
          <w:szCs w:val="20"/>
          <w:lang w:val="en-US"/>
        </w:rPr>
        <w:t xml:space="preserve"> </w:t>
      </w:r>
      <w:r w:rsidRPr="00C60BBA">
        <w:rPr>
          <w:rFonts w:eastAsia="Times New Roman" w:cs="Arial"/>
          <w:color w:val="000000"/>
          <w:szCs w:val="20"/>
          <w:lang w:eastAsia="bg-BG"/>
        </w:rPr>
        <w:t xml:space="preserve">400 </w:t>
      </w:r>
      <w:r w:rsidRPr="00C60BBA">
        <w:rPr>
          <w:rFonts w:eastAsia="Times New Roman" w:cs="Arial"/>
          <w:color w:val="000000"/>
          <w:szCs w:val="20"/>
          <w:lang w:val="en-US"/>
        </w:rPr>
        <w:t>mg film-coated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478BAC70" w:rsidR="0091385D" w:rsidRDefault="0091385D" w:rsidP="0091385D"/>
    <w:p w14:paraId="46829C3C" w14:textId="77777777" w:rsidR="00C60BBA" w:rsidRPr="00C60BBA" w:rsidRDefault="00C60BBA" w:rsidP="00C60BBA">
      <w:pPr>
        <w:spacing w:line="240" w:lineRule="auto"/>
        <w:rPr>
          <w:rFonts w:eastAsia="Times New Roman" w:cs="Arial"/>
          <w:sz w:val="28"/>
          <w:szCs w:val="24"/>
          <w:lang w:eastAsia="bg-BG"/>
        </w:rPr>
      </w:pPr>
      <w:r w:rsidRPr="00C60BBA">
        <w:rPr>
          <w:rFonts w:eastAsia="Times New Roman" w:cs="Arial"/>
          <w:color w:val="000000"/>
          <w:szCs w:val="20"/>
          <w:lang w:eastAsia="bg-BG"/>
        </w:rPr>
        <w:t xml:space="preserve">Една филмирана таблетка съдържа 400 </w:t>
      </w:r>
      <w:r w:rsidRPr="00C60BBA">
        <w:rPr>
          <w:rFonts w:eastAsia="Times New Roman" w:cs="Arial"/>
          <w:color w:val="000000"/>
          <w:szCs w:val="20"/>
          <w:lang w:val="en-US"/>
        </w:rPr>
        <w:t xml:space="preserve">mg </w:t>
      </w:r>
      <w:r w:rsidRPr="00C60BBA">
        <w:rPr>
          <w:rFonts w:eastAsia="Times New Roman" w:cs="Arial"/>
          <w:color w:val="000000"/>
          <w:szCs w:val="20"/>
          <w:lang w:eastAsia="bg-BG"/>
        </w:rPr>
        <w:t xml:space="preserve">моксифлоксацин </w:t>
      </w:r>
      <w:r w:rsidRPr="00C60BBA">
        <w:rPr>
          <w:rFonts w:eastAsia="Times New Roman" w:cs="Arial"/>
          <w:i/>
          <w:iCs/>
          <w:color w:val="000000"/>
          <w:szCs w:val="20"/>
          <w:lang w:val="en-US"/>
        </w:rPr>
        <w:t>(</w:t>
      </w:r>
      <w:proofErr w:type="spellStart"/>
      <w:r w:rsidRPr="00C60BBA">
        <w:rPr>
          <w:rFonts w:eastAsia="Times New Roman" w:cs="Arial"/>
          <w:i/>
          <w:iCs/>
          <w:color w:val="000000"/>
          <w:szCs w:val="20"/>
          <w:lang w:val="en-US"/>
        </w:rPr>
        <w:t>moxifloxacin</w:t>
      </w:r>
      <w:proofErr w:type="spellEnd"/>
      <w:r w:rsidRPr="00C60BBA">
        <w:rPr>
          <w:rFonts w:eastAsia="Times New Roman" w:cs="Arial"/>
          <w:i/>
          <w:iCs/>
          <w:color w:val="000000"/>
          <w:szCs w:val="20"/>
          <w:lang w:val="en-US"/>
        </w:rPr>
        <w:t>)</w:t>
      </w:r>
      <w:r w:rsidRPr="00C60BBA">
        <w:rPr>
          <w:rFonts w:eastAsia="Times New Roman" w:cs="Arial"/>
          <w:color w:val="000000"/>
          <w:szCs w:val="20"/>
          <w:lang w:val="en-US"/>
        </w:rPr>
        <w:t xml:space="preserve"> </w:t>
      </w:r>
      <w:r w:rsidRPr="00C60BBA">
        <w:rPr>
          <w:rFonts w:eastAsia="Times New Roman" w:cs="Arial"/>
          <w:color w:val="000000"/>
          <w:szCs w:val="20"/>
          <w:lang w:eastAsia="bg-BG"/>
        </w:rPr>
        <w:t>(като хидрохлорид).</w:t>
      </w:r>
    </w:p>
    <w:p w14:paraId="4D7DEC53" w14:textId="77777777" w:rsidR="00C60BBA" w:rsidRPr="00C60BBA" w:rsidRDefault="00C60BBA" w:rsidP="00C60BBA">
      <w:pPr>
        <w:spacing w:line="240" w:lineRule="auto"/>
        <w:rPr>
          <w:rFonts w:eastAsia="Times New Roman" w:cs="Arial"/>
          <w:color w:val="000000"/>
          <w:szCs w:val="20"/>
          <w:u w:val="single"/>
          <w:lang w:eastAsia="bg-BG"/>
        </w:rPr>
      </w:pPr>
    </w:p>
    <w:p w14:paraId="1BB091A7" w14:textId="51D0ACB1" w:rsidR="00C60BBA" w:rsidRPr="00C60BBA" w:rsidRDefault="00C60BBA" w:rsidP="00C60BBA">
      <w:pPr>
        <w:spacing w:line="240" w:lineRule="auto"/>
        <w:rPr>
          <w:rFonts w:eastAsia="Times New Roman" w:cs="Arial"/>
          <w:sz w:val="28"/>
          <w:szCs w:val="24"/>
          <w:lang w:eastAsia="bg-BG"/>
        </w:rPr>
      </w:pPr>
      <w:r w:rsidRPr="00C60BBA">
        <w:rPr>
          <w:rFonts w:eastAsia="Times New Roman" w:cs="Arial"/>
          <w:color w:val="000000"/>
          <w:szCs w:val="20"/>
          <w:u w:val="single"/>
          <w:lang w:eastAsia="bg-BG"/>
        </w:rPr>
        <w:t>Помошно(и) вещество(а) с известно действие:</w:t>
      </w:r>
    </w:p>
    <w:p w14:paraId="5FD074B4" w14:textId="77777777" w:rsidR="00C60BBA" w:rsidRPr="00C60BBA" w:rsidRDefault="00C60BBA" w:rsidP="00C60BBA">
      <w:pPr>
        <w:spacing w:line="240" w:lineRule="auto"/>
        <w:rPr>
          <w:rFonts w:eastAsia="Times New Roman" w:cs="Arial"/>
          <w:sz w:val="28"/>
          <w:szCs w:val="24"/>
          <w:lang w:eastAsia="bg-BG"/>
        </w:rPr>
      </w:pPr>
      <w:r w:rsidRPr="00C60BBA">
        <w:rPr>
          <w:rFonts w:eastAsia="Times New Roman" w:cs="Arial"/>
          <w:color w:val="000000"/>
          <w:szCs w:val="20"/>
          <w:lang w:eastAsia="bg-BG"/>
        </w:rPr>
        <w:t xml:space="preserve">Всяка филмирана таблетка съдържа 4,6 </w:t>
      </w:r>
      <w:r w:rsidRPr="00C60BBA">
        <w:rPr>
          <w:rFonts w:eastAsia="Times New Roman" w:cs="Arial"/>
          <w:color w:val="000000"/>
          <w:szCs w:val="20"/>
          <w:lang w:val="en-US"/>
        </w:rPr>
        <w:t xml:space="preserve">mg </w:t>
      </w:r>
      <w:r w:rsidRPr="00C60BBA">
        <w:rPr>
          <w:rFonts w:eastAsia="Times New Roman" w:cs="Arial"/>
          <w:color w:val="000000"/>
          <w:szCs w:val="20"/>
          <w:lang w:eastAsia="bg-BG"/>
        </w:rPr>
        <w:t>натрий.</w:t>
      </w:r>
    </w:p>
    <w:p w14:paraId="1A47DC07" w14:textId="77777777" w:rsidR="00C60BBA" w:rsidRPr="00C60BBA" w:rsidRDefault="00C60BBA" w:rsidP="00C60BBA">
      <w:pPr>
        <w:rPr>
          <w:rFonts w:eastAsia="Times New Roman" w:cs="Arial"/>
          <w:color w:val="000000"/>
          <w:szCs w:val="20"/>
          <w:lang w:eastAsia="bg-BG"/>
        </w:rPr>
      </w:pPr>
    </w:p>
    <w:p w14:paraId="54632B43" w14:textId="11FFB823" w:rsidR="00EC41ED" w:rsidRPr="00C60BBA" w:rsidRDefault="00C60BBA" w:rsidP="00C60BBA">
      <w:pPr>
        <w:rPr>
          <w:rFonts w:cs="Arial"/>
          <w:sz w:val="24"/>
        </w:rPr>
      </w:pPr>
      <w:r w:rsidRPr="00C60BBA">
        <w:rPr>
          <w:rFonts w:eastAsia="Times New Roman" w:cs="Arial"/>
          <w:color w:val="000000"/>
          <w:szCs w:val="2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67F9C61D" w:rsidR="0091385D" w:rsidRDefault="0091385D" w:rsidP="0091385D"/>
    <w:p w14:paraId="36C1C697" w14:textId="35BC380D" w:rsidR="00C60BBA" w:rsidRPr="00C60BBA" w:rsidRDefault="00C60BBA" w:rsidP="00C60BBA">
      <w:pPr>
        <w:spacing w:line="240" w:lineRule="auto"/>
        <w:rPr>
          <w:rFonts w:eastAsia="Times New Roman" w:cs="Arial"/>
          <w:sz w:val="28"/>
          <w:szCs w:val="24"/>
          <w:lang w:eastAsia="bg-BG"/>
        </w:rPr>
      </w:pPr>
      <w:r w:rsidRPr="00C60BBA">
        <w:rPr>
          <w:rFonts w:eastAsia="Times New Roman" w:cs="Arial"/>
          <w:color w:val="000000"/>
          <w:szCs w:val="20"/>
          <w:lang w:eastAsia="bg-BG"/>
        </w:rPr>
        <w:t>Филмирана таблетка</w:t>
      </w:r>
    </w:p>
    <w:p w14:paraId="0BD14931" w14:textId="77777777" w:rsidR="00C60BBA" w:rsidRPr="00C60BBA" w:rsidRDefault="00C60BBA" w:rsidP="00C60BBA">
      <w:pPr>
        <w:spacing w:line="240" w:lineRule="auto"/>
        <w:rPr>
          <w:rFonts w:eastAsia="Times New Roman" w:cs="Arial"/>
          <w:color w:val="000000"/>
          <w:szCs w:val="20"/>
          <w:lang w:eastAsia="bg-BG"/>
        </w:rPr>
      </w:pPr>
    </w:p>
    <w:p w14:paraId="42EC694B" w14:textId="10BF0937" w:rsidR="00C60BBA" w:rsidRPr="00C60BBA" w:rsidRDefault="00C60BBA" w:rsidP="00C60BBA">
      <w:pPr>
        <w:spacing w:line="240" w:lineRule="auto"/>
        <w:rPr>
          <w:rFonts w:eastAsia="Times New Roman" w:cs="Arial"/>
          <w:sz w:val="28"/>
          <w:szCs w:val="24"/>
          <w:lang w:eastAsia="bg-BG"/>
        </w:rPr>
      </w:pPr>
      <w:r w:rsidRPr="00C60BBA">
        <w:rPr>
          <w:rFonts w:eastAsia="Times New Roman" w:cs="Arial"/>
          <w:color w:val="000000"/>
          <w:szCs w:val="20"/>
          <w:lang w:eastAsia="bg-BG"/>
        </w:rPr>
        <w:t>Розова, продълговата филмирана таблетка с вдлъбнат надпис „400” от едната страна.</w:t>
      </w:r>
    </w:p>
    <w:p w14:paraId="743244F0" w14:textId="0290454E" w:rsidR="00EC41ED" w:rsidRPr="00C60BBA" w:rsidRDefault="00C60BBA" w:rsidP="00C60BBA">
      <w:pPr>
        <w:rPr>
          <w:rFonts w:cs="Arial"/>
          <w:sz w:val="24"/>
        </w:rPr>
      </w:pPr>
      <w:r w:rsidRPr="00C60BBA">
        <w:rPr>
          <w:rFonts w:eastAsia="Times New Roman" w:cs="Arial"/>
          <w:color w:val="000000"/>
          <w:szCs w:val="20"/>
          <w:lang w:eastAsia="bg-BG"/>
        </w:rPr>
        <w:t xml:space="preserve">Размер: приблизително 17,6 </w:t>
      </w:r>
      <w:r w:rsidRPr="00C60BBA">
        <w:rPr>
          <w:rFonts w:eastAsia="Times New Roman" w:cs="Arial"/>
          <w:color w:val="000000"/>
          <w:szCs w:val="20"/>
          <w:lang w:val="en-US"/>
        </w:rPr>
        <w:t xml:space="preserve">mm </w:t>
      </w:r>
      <w:r w:rsidRPr="00C60BBA">
        <w:rPr>
          <w:rFonts w:eastAsia="Times New Roman" w:cs="Arial"/>
          <w:color w:val="000000"/>
          <w:szCs w:val="20"/>
          <w:lang w:eastAsia="bg-BG"/>
        </w:rPr>
        <w:t xml:space="preserve">х 7,6 </w:t>
      </w:r>
      <w:r w:rsidRPr="00C60BBA">
        <w:rPr>
          <w:rFonts w:eastAsia="Times New Roman" w:cs="Arial"/>
          <w:color w:val="000000"/>
          <w:szCs w:val="20"/>
          <w:lang w:val="en-US"/>
        </w:rPr>
        <w:t>mm</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3EC69DA7" w14:textId="7AB494CA" w:rsidR="00C60BBA" w:rsidRPr="00C60BBA" w:rsidRDefault="00C60BBA" w:rsidP="00C60BBA">
      <w:pPr>
        <w:spacing w:line="240" w:lineRule="auto"/>
        <w:rPr>
          <w:rFonts w:eastAsia="Times New Roman" w:cs="Arial"/>
          <w:color w:val="000000"/>
          <w:szCs w:val="20"/>
          <w:lang w:eastAsia="bg-BG"/>
        </w:rPr>
      </w:pPr>
      <w:r w:rsidRPr="00C60BBA">
        <w:rPr>
          <w:rFonts w:eastAsia="Times New Roman" w:cs="Arial"/>
          <w:color w:val="000000"/>
          <w:szCs w:val="20"/>
          <w:lang w:eastAsia="bg-BG"/>
        </w:rPr>
        <w:t xml:space="preserve">Цимоцинокс 400 </w:t>
      </w:r>
      <w:r w:rsidRPr="00C60BBA">
        <w:rPr>
          <w:rFonts w:eastAsia="Times New Roman" w:cs="Arial"/>
          <w:color w:val="000000"/>
          <w:szCs w:val="20"/>
          <w:lang w:val="en-US"/>
        </w:rPr>
        <w:t xml:space="preserve">mg </w:t>
      </w:r>
      <w:r w:rsidRPr="00C60BBA">
        <w:rPr>
          <w:rFonts w:eastAsia="Times New Roman" w:cs="Arial"/>
          <w:color w:val="000000"/>
          <w:szCs w:val="20"/>
          <w:lang w:eastAsia="bg-BG"/>
        </w:rPr>
        <w:t>филмирани таблетки е показан за лечение на следните бактериални инфекции при пациенти на 18-годишна възраст и по-възрастни, причинени от бактерии, чувствителни към моксифлоксацин (вижте точки 4.4,</w:t>
      </w:r>
      <w:r w:rsidRPr="00C60BBA">
        <w:rPr>
          <w:rFonts w:eastAsia="Times New Roman" w:cs="Arial"/>
          <w:color w:val="000000"/>
          <w:szCs w:val="20"/>
          <w:lang w:val="en-US"/>
        </w:rPr>
        <w:t xml:space="preserve"> </w:t>
      </w:r>
      <w:r w:rsidRPr="00C60BBA">
        <w:rPr>
          <w:rFonts w:eastAsia="Times New Roman" w:cs="Arial"/>
          <w:color w:val="000000"/>
          <w:szCs w:val="20"/>
          <w:lang w:eastAsia="bg-BG"/>
        </w:rPr>
        <w:t>4.8 и 5.1). Моксифлоксацин трябва да се използва само когато се смята за неподходящо да се използват антибактериални средства, които обикновено се препоръчват за лечение на тези инфекции:</w:t>
      </w:r>
    </w:p>
    <w:p w14:paraId="7CBD0995" w14:textId="77777777" w:rsidR="00C60BBA" w:rsidRPr="00C60BBA" w:rsidRDefault="00C60BBA" w:rsidP="00C60BBA">
      <w:pPr>
        <w:spacing w:line="240" w:lineRule="auto"/>
        <w:rPr>
          <w:rFonts w:eastAsia="Times New Roman" w:cs="Arial"/>
          <w:sz w:val="28"/>
          <w:szCs w:val="24"/>
          <w:lang w:eastAsia="bg-BG"/>
        </w:rPr>
      </w:pPr>
    </w:p>
    <w:p w14:paraId="50B58561" w14:textId="294BEC3C" w:rsidR="00C60BBA" w:rsidRPr="00C60BBA" w:rsidRDefault="00C60BBA" w:rsidP="00C60BBA">
      <w:pPr>
        <w:pStyle w:val="ListParagraph"/>
        <w:numPr>
          <w:ilvl w:val="0"/>
          <w:numId w:val="36"/>
        </w:numPr>
        <w:spacing w:line="240" w:lineRule="auto"/>
        <w:rPr>
          <w:rFonts w:eastAsia="Times New Roman" w:cs="Arial"/>
          <w:sz w:val="28"/>
          <w:szCs w:val="24"/>
          <w:lang w:eastAsia="bg-BG"/>
        </w:rPr>
      </w:pPr>
      <w:r w:rsidRPr="00C60BBA">
        <w:rPr>
          <w:rFonts w:eastAsia="Times New Roman" w:cs="Arial"/>
          <w:color w:val="000000"/>
          <w:szCs w:val="20"/>
          <w:lang w:eastAsia="bg-BG"/>
        </w:rPr>
        <w:t>Остър бактериален синузит (адекватно диагностициран)</w:t>
      </w:r>
    </w:p>
    <w:p w14:paraId="60B276A3" w14:textId="77777777" w:rsidR="00C60BBA" w:rsidRPr="00C60BBA" w:rsidRDefault="00C60BBA" w:rsidP="00C60BBA">
      <w:pPr>
        <w:pStyle w:val="ListParagraph"/>
        <w:spacing w:line="240" w:lineRule="auto"/>
        <w:rPr>
          <w:rFonts w:eastAsia="Times New Roman" w:cs="Arial"/>
          <w:sz w:val="28"/>
          <w:szCs w:val="24"/>
          <w:lang w:eastAsia="bg-BG"/>
        </w:rPr>
      </w:pPr>
    </w:p>
    <w:p w14:paraId="041C670B" w14:textId="397E37F0" w:rsidR="00C60BBA" w:rsidRPr="00C60BBA" w:rsidRDefault="00C60BBA" w:rsidP="00C60BBA">
      <w:pPr>
        <w:pStyle w:val="ListParagraph"/>
        <w:numPr>
          <w:ilvl w:val="0"/>
          <w:numId w:val="36"/>
        </w:numPr>
        <w:spacing w:line="240" w:lineRule="auto"/>
        <w:rPr>
          <w:rFonts w:eastAsia="Times New Roman" w:cs="Arial"/>
          <w:sz w:val="28"/>
          <w:szCs w:val="24"/>
          <w:lang w:eastAsia="bg-BG"/>
        </w:rPr>
      </w:pPr>
      <w:r w:rsidRPr="00C60BBA">
        <w:rPr>
          <w:rFonts w:eastAsia="Times New Roman" w:cs="Arial"/>
          <w:color w:val="000000"/>
          <w:szCs w:val="20"/>
          <w:lang w:eastAsia="bg-BG"/>
        </w:rPr>
        <w:t>Остри екзацербации на хронична обструктивна белодробна болест, включваща и хроничен бронхит</w:t>
      </w:r>
    </w:p>
    <w:p w14:paraId="3A34BB2B" w14:textId="77777777" w:rsidR="00C60BBA" w:rsidRPr="00C60BBA" w:rsidRDefault="00C60BBA" w:rsidP="00C60BBA">
      <w:pPr>
        <w:pStyle w:val="ListParagraph"/>
        <w:spacing w:line="240" w:lineRule="auto"/>
        <w:rPr>
          <w:rFonts w:eastAsia="Times New Roman" w:cs="Arial"/>
          <w:sz w:val="28"/>
          <w:szCs w:val="24"/>
          <w:lang w:eastAsia="bg-BG"/>
        </w:rPr>
      </w:pPr>
    </w:p>
    <w:p w14:paraId="4F772825" w14:textId="13FD3751" w:rsidR="00C60BBA" w:rsidRPr="00C60BBA" w:rsidRDefault="00C60BBA" w:rsidP="00C60BBA">
      <w:pPr>
        <w:pStyle w:val="ListParagraph"/>
        <w:numPr>
          <w:ilvl w:val="0"/>
          <w:numId w:val="36"/>
        </w:numPr>
        <w:spacing w:line="240" w:lineRule="auto"/>
        <w:rPr>
          <w:rFonts w:eastAsia="Times New Roman" w:cs="Arial"/>
          <w:sz w:val="28"/>
          <w:szCs w:val="24"/>
          <w:lang w:eastAsia="bg-BG"/>
        </w:rPr>
      </w:pPr>
      <w:r w:rsidRPr="00C60BBA">
        <w:rPr>
          <w:rFonts w:eastAsia="Times New Roman" w:cs="Arial"/>
          <w:color w:val="000000"/>
          <w:szCs w:val="20"/>
          <w:lang w:eastAsia="bg-BG"/>
        </w:rPr>
        <w:t>Придобита в обществото пневмония, с изключение на тежките форми</w:t>
      </w:r>
    </w:p>
    <w:p w14:paraId="743FD7F8" w14:textId="503171DC" w:rsidR="00C60BBA" w:rsidRPr="00C60BBA" w:rsidRDefault="00C60BBA" w:rsidP="00C60BBA">
      <w:pPr>
        <w:spacing w:line="240" w:lineRule="auto"/>
        <w:rPr>
          <w:rFonts w:eastAsia="Times New Roman" w:cs="Arial"/>
          <w:sz w:val="28"/>
          <w:szCs w:val="24"/>
          <w:lang w:eastAsia="bg-BG"/>
        </w:rPr>
      </w:pPr>
    </w:p>
    <w:p w14:paraId="038DEDBE" w14:textId="754ABE65" w:rsidR="00C60BBA" w:rsidRPr="00C60BBA" w:rsidRDefault="00C60BBA" w:rsidP="00C60BBA">
      <w:pPr>
        <w:pStyle w:val="ListParagraph"/>
        <w:numPr>
          <w:ilvl w:val="0"/>
          <w:numId w:val="36"/>
        </w:numPr>
        <w:spacing w:line="240" w:lineRule="auto"/>
        <w:rPr>
          <w:rFonts w:eastAsia="Times New Roman" w:cs="Arial"/>
          <w:sz w:val="28"/>
          <w:szCs w:val="24"/>
          <w:lang w:eastAsia="bg-BG"/>
        </w:rPr>
      </w:pPr>
      <w:r w:rsidRPr="00C60BBA">
        <w:rPr>
          <w:rFonts w:eastAsia="Times New Roman" w:cs="Arial"/>
          <w:color w:val="000000"/>
          <w:szCs w:val="20"/>
          <w:lang w:eastAsia="bg-BG"/>
        </w:rPr>
        <w:t>Лека до умерено изразена тазово възпалителна болест (напр. инфекции на женския горен генитален тракт, включително салпингиг и ендометрит), с изключение на свързан тубо- овариален или тазов абсцес.</w:t>
      </w:r>
    </w:p>
    <w:p w14:paraId="7555E31C" w14:textId="77777777" w:rsidR="00C60BBA" w:rsidRPr="00C60BBA" w:rsidRDefault="00C60BBA" w:rsidP="00C60BBA">
      <w:pPr>
        <w:rPr>
          <w:rFonts w:eastAsia="Times New Roman" w:cs="Arial"/>
          <w:color w:val="000000"/>
          <w:szCs w:val="20"/>
          <w:lang w:eastAsia="bg-BG"/>
        </w:rPr>
      </w:pPr>
    </w:p>
    <w:p w14:paraId="6DFA4B9D" w14:textId="09CF6B59" w:rsidR="0091385D" w:rsidRPr="00C60BBA" w:rsidRDefault="00C60BBA" w:rsidP="00C60BBA">
      <w:pPr>
        <w:rPr>
          <w:rFonts w:cs="Arial"/>
          <w:sz w:val="24"/>
        </w:rPr>
      </w:pPr>
      <w:r w:rsidRPr="00C60BBA">
        <w:rPr>
          <w:rFonts w:eastAsia="Times New Roman" w:cs="Arial"/>
          <w:color w:val="000000"/>
          <w:szCs w:val="20"/>
          <w:lang w:eastAsia="bg-BG"/>
        </w:rPr>
        <w:t xml:space="preserve">Не се препоръчва употребата на Цимоцинокс 400 </w:t>
      </w:r>
      <w:r w:rsidRPr="00C60BBA">
        <w:rPr>
          <w:rFonts w:eastAsia="Times New Roman" w:cs="Arial"/>
          <w:color w:val="000000"/>
          <w:szCs w:val="20"/>
          <w:lang w:val="en-US"/>
        </w:rPr>
        <w:t xml:space="preserve">mg </w:t>
      </w:r>
      <w:r w:rsidRPr="00C60BBA">
        <w:rPr>
          <w:rFonts w:eastAsia="Times New Roman" w:cs="Arial"/>
          <w:color w:val="000000"/>
          <w:szCs w:val="20"/>
          <w:lang w:eastAsia="bg-BG"/>
        </w:rPr>
        <w:t>филмирани таблетки като монотерапия за лечение на слаба до умерена тазово възпалителна болест, а да се прилагат в комбинация с друго подходящо антибактериално средство (напр. цефалоспорин)</w:t>
      </w:r>
      <w:r w:rsidRPr="00C60BBA">
        <w:rPr>
          <w:rFonts w:eastAsia="Times New Roman" w:cs="Arial"/>
          <w:color w:val="000000"/>
          <w:szCs w:val="20"/>
          <w:lang w:val="en-US"/>
        </w:rPr>
        <w:t xml:space="preserve"> </w:t>
      </w:r>
      <w:r w:rsidRPr="00C60BBA">
        <w:rPr>
          <w:rFonts w:eastAsia="Times New Roman" w:cs="Arial"/>
          <w:color w:val="000000"/>
          <w:szCs w:val="20"/>
          <w:lang w:eastAsia="bg-BG"/>
        </w:rPr>
        <w:t xml:space="preserve">поради увеличаване на моксифлоксацин резистентността на </w:t>
      </w:r>
      <w:r w:rsidRPr="00C60BBA">
        <w:rPr>
          <w:rFonts w:eastAsia="Times New Roman" w:cs="Arial"/>
          <w:i/>
          <w:iCs/>
          <w:color w:val="000000"/>
          <w:szCs w:val="20"/>
          <w:lang w:val="en-US"/>
        </w:rPr>
        <w:t xml:space="preserve">Neisseria </w:t>
      </w:r>
      <w:proofErr w:type="spellStart"/>
      <w:r w:rsidRPr="00C60BBA">
        <w:rPr>
          <w:rFonts w:eastAsia="Times New Roman" w:cs="Arial"/>
          <w:i/>
          <w:iCs/>
          <w:color w:val="000000"/>
          <w:szCs w:val="20"/>
          <w:lang w:val="en-US"/>
        </w:rPr>
        <w:t>gonorrhoea</w:t>
      </w:r>
      <w:proofErr w:type="spellEnd"/>
      <w:r w:rsidRPr="00C60BBA">
        <w:rPr>
          <w:rFonts w:eastAsia="Times New Roman" w:cs="Arial"/>
          <w:i/>
          <w:iCs/>
          <w:color w:val="000000"/>
          <w:szCs w:val="20"/>
          <w:lang w:eastAsia="bg-BG"/>
        </w:rPr>
        <w:t xml:space="preserve">е, освен ако </w:t>
      </w:r>
      <w:r w:rsidRPr="00C60BBA">
        <w:rPr>
          <w:rFonts w:eastAsia="Times New Roman" w:cs="Arial"/>
          <w:color w:val="000000"/>
          <w:szCs w:val="20"/>
          <w:lang w:val="en-US"/>
        </w:rPr>
        <w:t xml:space="preserve"> </w:t>
      </w:r>
      <w:r w:rsidRPr="00C60BBA">
        <w:rPr>
          <w:rFonts w:eastAsia="Times New Roman" w:cs="Arial"/>
          <w:color w:val="000000"/>
          <w:szCs w:val="20"/>
          <w:vertAlign w:val="superscript"/>
          <w:lang w:eastAsia="bg-BG"/>
        </w:rPr>
        <w:t xml:space="preserve"> </w:t>
      </w:r>
      <w:r w:rsidRPr="00C60BBA">
        <w:rPr>
          <w:rFonts w:eastAsia="Times New Roman" w:cs="Arial"/>
          <w:color w:val="000000"/>
          <w:szCs w:val="20"/>
          <w:lang w:eastAsia="bg-BG"/>
        </w:rPr>
        <w:t xml:space="preserve">моксифлоксацин-резистентна </w:t>
      </w:r>
      <w:r w:rsidRPr="00C60BBA">
        <w:rPr>
          <w:rFonts w:eastAsia="Times New Roman" w:cs="Arial"/>
          <w:i/>
          <w:iCs/>
          <w:color w:val="000000"/>
          <w:szCs w:val="20"/>
          <w:lang w:val="en-US"/>
        </w:rPr>
        <w:t xml:space="preserve">Neisseria </w:t>
      </w:r>
      <w:proofErr w:type="spellStart"/>
      <w:r w:rsidRPr="00C60BBA">
        <w:rPr>
          <w:rFonts w:eastAsia="Times New Roman" w:cs="Arial"/>
          <w:i/>
          <w:iCs/>
          <w:color w:val="000000"/>
          <w:szCs w:val="20"/>
          <w:lang w:val="en-US"/>
        </w:rPr>
        <w:t>gonorrhoeas</w:t>
      </w:r>
      <w:proofErr w:type="spellEnd"/>
      <w:r w:rsidRPr="00C60BBA">
        <w:rPr>
          <w:rFonts w:eastAsia="Times New Roman" w:cs="Arial"/>
          <w:color w:val="000000"/>
          <w:szCs w:val="20"/>
          <w:lang w:val="en-US"/>
        </w:rPr>
        <w:t xml:space="preserve"> </w:t>
      </w:r>
      <w:r w:rsidRPr="00C60BBA">
        <w:rPr>
          <w:rFonts w:eastAsia="Times New Roman" w:cs="Arial"/>
          <w:color w:val="000000"/>
          <w:szCs w:val="20"/>
          <w:lang w:eastAsia="bg-BG"/>
        </w:rPr>
        <w:t>може да се изключи (вижте точки 4.4</w:t>
      </w:r>
      <w:r w:rsidRPr="00C60BBA">
        <w:rPr>
          <w:rFonts w:eastAsia="Times New Roman" w:cs="Arial"/>
          <w:smallCaps/>
          <w:color w:val="000000"/>
          <w:szCs w:val="20"/>
          <w:lang w:eastAsia="bg-BG"/>
        </w:rPr>
        <w:t xml:space="preserve"> </w:t>
      </w:r>
      <w:r w:rsidRPr="00C60BBA">
        <w:rPr>
          <w:rFonts w:eastAsia="Times New Roman" w:cs="Arial"/>
          <w:color w:val="000000"/>
          <w:szCs w:val="20"/>
          <w:lang w:eastAsia="bg-BG"/>
        </w:rPr>
        <w:t>и 5.1).</w:t>
      </w:r>
    </w:p>
    <w:p w14:paraId="642F56D9" w14:textId="13E9D5FF" w:rsidR="00EC41ED" w:rsidRPr="00C60BBA" w:rsidRDefault="00EC41ED" w:rsidP="0091385D">
      <w:pPr>
        <w:rPr>
          <w:rFonts w:cs="Arial"/>
          <w:sz w:val="24"/>
        </w:rPr>
      </w:pPr>
    </w:p>
    <w:p w14:paraId="66DD3888" w14:textId="25994DC9" w:rsidR="00C60BBA" w:rsidRPr="00C60BBA" w:rsidRDefault="00C60BBA" w:rsidP="00C60BBA">
      <w:pPr>
        <w:spacing w:line="240" w:lineRule="auto"/>
        <w:rPr>
          <w:rFonts w:eastAsia="Times New Roman" w:cs="Arial"/>
          <w:color w:val="000000"/>
          <w:szCs w:val="20"/>
          <w:lang w:eastAsia="bg-BG"/>
        </w:rPr>
      </w:pPr>
      <w:r w:rsidRPr="00C60BBA">
        <w:rPr>
          <w:rFonts w:eastAsia="Times New Roman" w:cs="Arial"/>
          <w:color w:val="000000"/>
          <w:szCs w:val="20"/>
          <w:lang w:eastAsia="bg-BG"/>
        </w:rPr>
        <w:t xml:space="preserve">Цимоцинокс 400 </w:t>
      </w:r>
      <w:r w:rsidRPr="00C60BBA">
        <w:rPr>
          <w:rFonts w:eastAsia="Times New Roman" w:cs="Arial"/>
          <w:color w:val="000000"/>
          <w:szCs w:val="20"/>
          <w:lang w:val="en-US"/>
        </w:rPr>
        <w:t xml:space="preserve">mg </w:t>
      </w:r>
      <w:r w:rsidRPr="00C60BBA">
        <w:rPr>
          <w:rFonts w:eastAsia="Times New Roman" w:cs="Arial"/>
          <w:color w:val="000000"/>
          <w:szCs w:val="20"/>
          <w:lang w:eastAsia="bg-BG"/>
        </w:rPr>
        <w:t>филмирани таблетки може да се прилага за завършване на курс на лечение при пациенти, които са показали подобрение по време на първоначално лечение с интравенозен моксифлоксацин за следните показания:</w:t>
      </w:r>
    </w:p>
    <w:p w14:paraId="0549E92C" w14:textId="77777777" w:rsidR="00C60BBA" w:rsidRPr="00C60BBA" w:rsidRDefault="00C60BBA" w:rsidP="00C60BBA">
      <w:pPr>
        <w:spacing w:line="240" w:lineRule="auto"/>
        <w:rPr>
          <w:rFonts w:eastAsia="Times New Roman" w:cs="Arial"/>
          <w:sz w:val="28"/>
          <w:szCs w:val="24"/>
          <w:lang w:eastAsia="bg-BG"/>
        </w:rPr>
      </w:pPr>
    </w:p>
    <w:p w14:paraId="4FCEB856" w14:textId="0BB0EBFB" w:rsidR="00C60BBA" w:rsidRPr="00C60BBA" w:rsidRDefault="00C60BBA" w:rsidP="00C60BBA">
      <w:pPr>
        <w:pStyle w:val="ListParagraph"/>
        <w:numPr>
          <w:ilvl w:val="0"/>
          <w:numId w:val="37"/>
        </w:numPr>
        <w:spacing w:line="240" w:lineRule="auto"/>
        <w:rPr>
          <w:rFonts w:eastAsia="Times New Roman" w:cs="Arial"/>
          <w:color w:val="000000"/>
          <w:szCs w:val="20"/>
          <w:lang w:eastAsia="bg-BG"/>
        </w:rPr>
      </w:pPr>
      <w:r w:rsidRPr="00C60BBA">
        <w:rPr>
          <w:rFonts w:eastAsia="Times New Roman" w:cs="Arial"/>
          <w:color w:val="000000"/>
          <w:szCs w:val="20"/>
          <w:lang w:eastAsia="bg-BG"/>
        </w:rPr>
        <w:t>Придобита в обществото пневмония</w:t>
      </w:r>
    </w:p>
    <w:p w14:paraId="5BAEE34A" w14:textId="77777777" w:rsidR="00C60BBA" w:rsidRPr="00C60BBA" w:rsidRDefault="00C60BBA" w:rsidP="00C60BBA">
      <w:pPr>
        <w:spacing w:line="240" w:lineRule="auto"/>
        <w:rPr>
          <w:rFonts w:eastAsia="Times New Roman" w:cs="Arial"/>
          <w:sz w:val="28"/>
          <w:szCs w:val="24"/>
          <w:lang w:eastAsia="bg-BG"/>
        </w:rPr>
      </w:pPr>
    </w:p>
    <w:p w14:paraId="4882898B" w14:textId="2FD14CB2" w:rsidR="00C60BBA" w:rsidRPr="00C60BBA" w:rsidRDefault="00C60BBA" w:rsidP="00C60BBA">
      <w:pPr>
        <w:pStyle w:val="ListParagraph"/>
        <w:numPr>
          <w:ilvl w:val="0"/>
          <w:numId w:val="37"/>
        </w:numPr>
        <w:spacing w:line="240" w:lineRule="auto"/>
        <w:rPr>
          <w:rFonts w:eastAsia="Times New Roman" w:cs="Arial"/>
          <w:color w:val="000000"/>
          <w:szCs w:val="20"/>
          <w:lang w:eastAsia="bg-BG"/>
        </w:rPr>
      </w:pPr>
      <w:r w:rsidRPr="00C60BBA">
        <w:rPr>
          <w:rFonts w:eastAsia="Times New Roman" w:cs="Arial"/>
          <w:color w:val="000000"/>
          <w:szCs w:val="20"/>
          <w:lang w:eastAsia="bg-BG"/>
        </w:rPr>
        <w:t>Усложнени инфекции на кожата и меките тъкани</w:t>
      </w:r>
    </w:p>
    <w:p w14:paraId="7AA3905F" w14:textId="77777777" w:rsidR="00C60BBA" w:rsidRPr="00C60BBA" w:rsidRDefault="00C60BBA" w:rsidP="00C60BBA">
      <w:pPr>
        <w:spacing w:line="240" w:lineRule="auto"/>
        <w:rPr>
          <w:rFonts w:eastAsia="Times New Roman" w:cs="Arial"/>
          <w:sz w:val="28"/>
          <w:szCs w:val="24"/>
          <w:lang w:eastAsia="bg-BG"/>
        </w:rPr>
      </w:pPr>
    </w:p>
    <w:p w14:paraId="52E36C37" w14:textId="6FE6866B" w:rsidR="00C60BBA" w:rsidRPr="00C60BBA" w:rsidRDefault="00C60BBA" w:rsidP="00C60BBA">
      <w:pPr>
        <w:spacing w:line="240" w:lineRule="auto"/>
        <w:rPr>
          <w:rFonts w:eastAsia="Times New Roman" w:cs="Arial"/>
          <w:color w:val="000000"/>
          <w:szCs w:val="20"/>
          <w:lang w:eastAsia="bg-BG"/>
        </w:rPr>
      </w:pPr>
      <w:r w:rsidRPr="00C60BBA">
        <w:rPr>
          <w:rFonts w:eastAsia="Times New Roman" w:cs="Arial"/>
          <w:color w:val="000000"/>
          <w:szCs w:val="20"/>
          <w:lang w:eastAsia="bg-BG"/>
        </w:rPr>
        <w:t xml:space="preserve">Цимоцинокс 400 </w:t>
      </w:r>
      <w:r w:rsidRPr="00C60BBA">
        <w:rPr>
          <w:rFonts w:eastAsia="Times New Roman" w:cs="Arial"/>
          <w:color w:val="000000"/>
          <w:szCs w:val="20"/>
          <w:lang w:val="en-US"/>
        </w:rPr>
        <w:t xml:space="preserve">mg </w:t>
      </w:r>
      <w:r w:rsidRPr="00C60BBA">
        <w:rPr>
          <w:rFonts w:eastAsia="Times New Roman" w:cs="Arial"/>
          <w:color w:val="000000"/>
          <w:szCs w:val="20"/>
          <w:lang w:eastAsia="bg-BG"/>
        </w:rPr>
        <w:t>филмирани таблетки не трябва да се прилага за начало на терапия за какъвто и да е тип инфекция на кожата и меките тъкани или придобита в обществото пневмония.</w:t>
      </w:r>
    </w:p>
    <w:p w14:paraId="79BFA516" w14:textId="77777777" w:rsidR="00C60BBA" w:rsidRPr="00C60BBA" w:rsidRDefault="00C60BBA" w:rsidP="00C60BBA">
      <w:pPr>
        <w:spacing w:line="240" w:lineRule="auto"/>
        <w:rPr>
          <w:rFonts w:eastAsia="Times New Roman" w:cs="Arial"/>
          <w:sz w:val="28"/>
          <w:szCs w:val="24"/>
          <w:lang w:eastAsia="bg-BG"/>
        </w:rPr>
      </w:pPr>
    </w:p>
    <w:p w14:paraId="0CC35FA5" w14:textId="79BB6832" w:rsidR="00C60BBA" w:rsidRPr="00C60BBA" w:rsidRDefault="00C60BBA" w:rsidP="00C60BBA">
      <w:pPr>
        <w:rPr>
          <w:rFonts w:cs="Arial"/>
          <w:sz w:val="24"/>
        </w:rPr>
      </w:pPr>
      <w:r w:rsidRPr="00C60BBA">
        <w:rPr>
          <w:rFonts w:eastAsia="Times New Roman" w:cs="Arial"/>
          <w:color w:val="000000"/>
          <w:szCs w:val="20"/>
          <w:lang w:eastAsia="bg-BG"/>
        </w:rPr>
        <w:t>Трябва да се има предвид официалното ръководство за подходяща употреба на антибактериалниге лекарства.</w:t>
      </w:r>
    </w:p>
    <w:p w14:paraId="2C9F45B0" w14:textId="77777777" w:rsidR="00C60BBA" w:rsidRPr="0091385D" w:rsidRDefault="00C60BBA" w:rsidP="0091385D"/>
    <w:p w14:paraId="30BE2C7B" w14:textId="3633C1E4" w:rsidR="008134C8" w:rsidRDefault="002C50EE" w:rsidP="004A448E">
      <w:pPr>
        <w:pStyle w:val="Heading2"/>
      </w:pPr>
      <w:r>
        <w:t>4.2. Дозировка и начин на приложение</w:t>
      </w:r>
    </w:p>
    <w:p w14:paraId="7AA22B68" w14:textId="0723B40D" w:rsidR="0091385D" w:rsidRDefault="0091385D" w:rsidP="0091385D"/>
    <w:p w14:paraId="09CD2BB5" w14:textId="4326F5AC" w:rsidR="00C60BBA" w:rsidRPr="00C60BBA" w:rsidRDefault="00C60BBA" w:rsidP="00C60BBA">
      <w:pPr>
        <w:pStyle w:val="Heading3"/>
        <w:rPr>
          <w:rFonts w:eastAsia="Times New Roman"/>
          <w:sz w:val="22"/>
          <w:szCs w:val="22"/>
          <w:u w:val="single"/>
          <w:lang w:eastAsia="bg-BG"/>
        </w:rPr>
      </w:pPr>
      <w:r w:rsidRPr="00C60BBA">
        <w:rPr>
          <w:rFonts w:eastAsia="Times New Roman"/>
          <w:u w:val="single"/>
          <w:lang w:eastAsia="bg-BG"/>
        </w:rPr>
        <w:t>Дозировка (възрастни</w:t>
      </w:r>
      <w:r w:rsidRPr="00C60BBA">
        <w:rPr>
          <w:rFonts w:eastAsia="Times New Roman"/>
          <w:sz w:val="22"/>
          <w:szCs w:val="22"/>
          <w:u w:val="single"/>
          <w:lang w:eastAsia="bg-BG"/>
        </w:rPr>
        <w:t>)</w:t>
      </w:r>
    </w:p>
    <w:p w14:paraId="1F127694" w14:textId="77777777" w:rsidR="00C60BBA" w:rsidRPr="00C60BBA" w:rsidRDefault="00C60BBA" w:rsidP="00C60BBA">
      <w:pPr>
        <w:spacing w:line="240" w:lineRule="auto"/>
        <w:rPr>
          <w:rFonts w:eastAsia="Times New Roman" w:cs="Arial"/>
          <w:lang w:eastAsia="bg-BG"/>
        </w:rPr>
      </w:pPr>
      <w:r w:rsidRPr="00C60BBA">
        <w:rPr>
          <w:rFonts w:eastAsia="Times New Roman" w:cs="Arial"/>
          <w:color w:val="000000"/>
          <w:lang w:eastAsia="bg-BG"/>
        </w:rPr>
        <w:t xml:space="preserve">Препоръчителната доза е една филмирана таблетка 400 </w:t>
      </w:r>
      <w:r w:rsidRPr="00C60BBA">
        <w:rPr>
          <w:rFonts w:eastAsia="Times New Roman" w:cs="Arial"/>
          <w:color w:val="000000"/>
          <w:lang w:val="en-US"/>
        </w:rPr>
        <w:t xml:space="preserve">mg </w:t>
      </w:r>
      <w:r w:rsidRPr="00C60BBA">
        <w:rPr>
          <w:rFonts w:eastAsia="Times New Roman" w:cs="Arial"/>
          <w:color w:val="000000"/>
          <w:lang w:eastAsia="bg-BG"/>
        </w:rPr>
        <w:t>веднъж дневно.</w:t>
      </w:r>
    </w:p>
    <w:p w14:paraId="04D9C985" w14:textId="77777777" w:rsidR="00C60BBA" w:rsidRPr="00C60BBA" w:rsidRDefault="00C60BBA" w:rsidP="00C60BBA">
      <w:pPr>
        <w:spacing w:line="240" w:lineRule="auto"/>
        <w:rPr>
          <w:rFonts w:eastAsia="Times New Roman" w:cs="Arial"/>
          <w:i/>
          <w:iCs/>
          <w:color w:val="000000"/>
          <w:lang w:eastAsia="bg-BG"/>
        </w:rPr>
      </w:pPr>
    </w:p>
    <w:p w14:paraId="225BCB9B" w14:textId="4295B8A7" w:rsidR="00C60BBA" w:rsidRPr="00C60BBA" w:rsidRDefault="00C60BBA" w:rsidP="00C60BBA">
      <w:pPr>
        <w:spacing w:line="240" w:lineRule="auto"/>
        <w:rPr>
          <w:rFonts w:eastAsia="Times New Roman" w:cs="Arial"/>
          <w:lang w:eastAsia="bg-BG"/>
        </w:rPr>
      </w:pPr>
      <w:r w:rsidRPr="00C60BBA">
        <w:rPr>
          <w:rFonts w:eastAsia="Times New Roman" w:cs="Arial"/>
          <w:i/>
          <w:iCs/>
          <w:color w:val="000000"/>
          <w:lang w:eastAsia="bg-BG"/>
        </w:rPr>
        <w:t>Бъбречно/чернодробно увреждане</w:t>
      </w:r>
    </w:p>
    <w:p w14:paraId="369EC9DB" w14:textId="77777777" w:rsidR="00C60BBA" w:rsidRPr="00C60BBA" w:rsidRDefault="00C60BBA" w:rsidP="00C60BBA">
      <w:pPr>
        <w:spacing w:line="240" w:lineRule="auto"/>
        <w:rPr>
          <w:rFonts w:eastAsia="Times New Roman" w:cs="Arial"/>
          <w:lang w:eastAsia="bg-BG"/>
        </w:rPr>
      </w:pPr>
      <w:r w:rsidRPr="00C60BBA">
        <w:rPr>
          <w:rFonts w:eastAsia="Times New Roman" w:cs="Arial"/>
          <w:color w:val="000000"/>
          <w:lang w:eastAsia="bg-BG"/>
        </w:rPr>
        <w:t>Не е необходима корекция на дозировката при пациенти с лека до тежка степен увредена бъбречна функция или при пациенти на хронична диализа напр. хемодиализа и продължителна амбулаторно провеждана перитонеална диализа (вижте точка 5.2 за повече информация).</w:t>
      </w:r>
    </w:p>
    <w:p w14:paraId="5D6C4A20" w14:textId="77777777" w:rsidR="00C60BBA" w:rsidRPr="00C60BBA" w:rsidRDefault="00C60BBA" w:rsidP="00C60BBA">
      <w:pPr>
        <w:spacing w:line="240" w:lineRule="auto"/>
        <w:rPr>
          <w:rFonts w:eastAsia="Times New Roman" w:cs="Arial"/>
          <w:color w:val="000000"/>
          <w:lang w:eastAsia="bg-BG"/>
        </w:rPr>
      </w:pPr>
    </w:p>
    <w:p w14:paraId="04B2BA84" w14:textId="3214A78B" w:rsidR="00C60BBA" w:rsidRPr="00C60BBA" w:rsidRDefault="00C60BBA" w:rsidP="00C60BBA">
      <w:pPr>
        <w:spacing w:line="240" w:lineRule="auto"/>
        <w:rPr>
          <w:rFonts w:eastAsia="Times New Roman" w:cs="Arial"/>
          <w:lang w:eastAsia="bg-BG"/>
        </w:rPr>
      </w:pPr>
      <w:r w:rsidRPr="00C60BBA">
        <w:rPr>
          <w:rFonts w:eastAsia="Times New Roman" w:cs="Arial"/>
          <w:color w:val="000000"/>
          <w:lang w:eastAsia="bg-BG"/>
        </w:rPr>
        <w:t>Няма достатъчно данни за пациенти с нарушена чернодробна функция (вижте точка 4.3)</w:t>
      </w:r>
    </w:p>
    <w:p w14:paraId="6A3306B8" w14:textId="77777777" w:rsidR="00C60BBA" w:rsidRPr="00C60BBA" w:rsidRDefault="00C60BBA" w:rsidP="00C60BBA">
      <w:pPr>
        <w:spacing w:line="240" w:lineRule="auto"/>
        <w:rPr>
          <w:rFonts w:eastAsia="Times New Roman" w:cs="Arial"/>
          <w:i/>
          <w:iCs/>
          <w:color w:val="000000"/>
          <w:lang w:eastAsia="bg-BG"/>
        </w:rPr>
      </w:pPr>
    </w:p>
    <w:p w14:paraId="57AA1944" w14:textId="036C3B7E" w:rsidR="00C60BBA" w:rsidRPr="00C60BBA" w:rsidRDefault="00C60BBA" w:rsidP="00C60BBA">
      <w:pPr>
        <w:spacing w:line="240" w:lineRule="auto"/>
        <w:rPr>
          <w:rFonts w:eastAsia="Times New Roman" w:cs="Arial"/>
          <w:lang w:eastAsia="bg-BG"/>
        </w:rPr>
      </w:pPr>
      <w:r w:rsidRPr="00C60BBA">
        <w:rPr>
          <w:rFonts w:eastAsia="Times New Roman" w:cs="Arial"/>
          <w:i/>
          <w:iCs/>
          <w:color w:val="000000"/>
          <w:lang w:eastAsia="bg-BG"/>
        </w:rPr>
        <w:t>Други специални популации</w:t>
      </w:r>
    </w:p>
    <w:p w14:paraId="33983233" w14:textId="77777777" w:rsidR="00C60BBA" w:rsidRPr="00C60BBA" w:rsidRDefault="00C60BBA" w:rsidP="00C60BBA">
      <w:pPr>
        <w:spacing w:line="240" w:lineRule="auto"/>
        <w:rPr>
          <w:rFonts w:eastAsia="Times New Roman" w:cs="Arial"/>
          <w:lang w:eastAsia="bg-BG"/>
        </w:rPr>
      </w:pPr>
      <w:r w:rsidRPr="00C60BBA">
        <w:rPr>
          <w:rFonts w:eastAsia="Times New Roman" w:cs="Arial"/>
          <w:color w:val="000000"/>
          <w:lang w:eastAsia="bg-BG"/>
        </w:rPr>
        <w:t>Не е необходима корекция на дозировката в старческа възраст и при ниско телесно тегло.</w:t>
      </w:r>
    </w:p>
    <w:p w14:paraId="60BE666D" w14:textId="77777777" w:rsidR="00C60BBA" w:rsidRPr="00C60BBA" w:rsidRDefault="00C60BBA" w:rsidP="00C60BBA">
      <w:pPr>
        <w:spacing w:line="240" w:lineRule="auto"/>
        <w:rPr>
          <w:rFonts w:eastAsia="Times New Roman" w:cs="Arial"/>
          <w:i/>
          <w:iCs/>
          <w:color w:val="000000"/>
          <w:lang w:eastAsia="bg-BG"/>
        </w:rPr>
      </w:pPr>
    </w:p>
    <w:p w14:paraId="70CAA8F7" w14:textId="11B8270A" w:rsidR="00C60BBA" w:rsidRPr="00C60BBA" w:rsidRDefault="00C60BBA" w:rsidP="00C60BBA">
      <w:pPr>
        <w:spacing w:line="240" w:lineRule="auto"/>
        <w:rPr>
          <w:rFonts w:eastAsia="Times New Roman" w:cs="Arial"/>
          <w:lang w:eastAsia="bg-BG"/>
        </w:rPr>
      </w:pPr>
      <w:r w:rsidRPr="00C60BBA">
        <w:rPr>
          <w:rFonts w:eastAsia="Times New Roman" w:cs="Arial"/>
          <w:i/>
          <w:iCs/>
          <w:color w:val="000000"/>
          <w:lang w:eastAsia="bg-BG"/>
        </w:rPr>
        <w:t>Педиатрична популация</w:t>
      </w:r>
    </w:p>
    <w:p w14:paraId="29C0EECA" w14:textId="77777777" w:rsidR="00C60BBA" w:rsidRPr="00C60BBA" w:rsidRDefault="00C60BBA" w:rsidP="00C60BBA">
      <w:pPr>
        <w:spacing w:line="240" w:lineRule="auto"/>
        <w:rPr>
          <w:rFonts w:eastAsia="Times New Roman" w:cs="Arial"/>
          <w:lang w:eastAsia="bg-BG"/>
        </w:rPr>
      </w:pPr>
      <w:r w:rsidRPr="00C60BBA">
        <w:rPr>
          <w:rFonts w:eastAsia="Times New Roman" w:cs="Arial"/>
          <w:color w:val="000000"/>
          <w:lang w:eastAsia="bg-BG"/>
        </w:rPr>
        <w:t>Моксифлоксацин е противопоказан при деца и юноши (&lt; 18 години). Ефикасността и безопасността на моксифлоксацин при деца и юноши не е установена (вижте точка 4.3).</w:t>
      </w:r>
    </w:p>
    <w:p w14:paraId="3A921839" w14:textId="77777777" w:rsidR="00C60BBA" w:rsidRPr="00C60BBA" w:rsidRDefault="00C60BBA" w:rsidP="00C60BBA">
      <w:pPr>
        <w:spacing w:line="240" w:lineRule="auto"/>
        <w:rPr>
          <w:rFonts w:eastAsia="Times New Roman" w:cs="Arial"/>
          <w:color w:val="000000"/>
          <w:u w:val="single"/>
          <w:lang w:eastAsia="bg-BG"/>
        </w:rPr>
      </w:pPr>
    </w:p>
    <w:p w14:paraId="699573F4" w14:textId="7F4CA63B" w:rsidR="00C60BBA" w:rsidRPr="00C60BBA" w:rsidRDefault="00C60BBA" w:rsidP="00C60BBA">
      <w:pPr>
        <w:pStyle w:val="Heading3"/>
        <w:rPr>
          <w:rFonts w:eastAsia="Times New Roman"/>
          <w:u w:val="single"/>
          <w:lang w:eastAsia="bg-BG"/>
        </w:rPr>
      </w:pPr>
      <w:r w:rsidRPr="00C60BBA">
        <w:rPr>
          <w:rFonts w:eastAsia="Times New Roman"/>
          <w:u w:val="single"/>
          <w:lang w:eastAsia="bg-BG"/>
        </w:rPr>
        <w:lastRenderedPageBreak/>
        <w:t>Начин на приложение</w:t>
      </w:r>
    </w:p>
    <w:p w14:paraId="258E36CD" w14:textId="77777777" w:rsidR="00C60BBA" w:rsidRPr="00C60BBA" w:rsidRDefault="00C60BBA" w:rsidP="00C60BBA">
      <w:pPr>
        <w:spacing w:line="240" w:lineRule="auto"/>
        <w:rPr>
          <w:rFonts w:eastAsia="Times New Roman" w:cs="Arial"/>
          <w:lang w:eastAsia="bg-BG"/>
        </w:rPr>
      </w:pPr>
      <w:r w:rsidRPr="00C60BBA">
        <w:rPr>
          <w:rFonts w:eastAsia="Times New Roman" w:cs="Arial"/>
          <w:color w:val="000000"/>
          <w:lang w:eastAsia="bg-BG"/>
        </w:rPr>
        <w:t>Филмираните таблетки трябва да се гълтат цели, с достатъчно течност и могат да се приемат със или без храна.</w:t>
      </w:r>
    </w:p>
    <w:p w14:paraId="5B74911E" w14:textId="77777777" w:rsidR="00C60BBA" w:rsidRPr="00C60BBA" w:rsidRDefault="00C60BBA" w:rsidP="00C60BBA">
      <w:pPr>
        <w:spacing w:line="240" w:lineRule="auto"/>
        <w:rPr>
          <w:rFonts w:eastAsia="Times New Roman" w:cs="Arial"/>
          <w:color w:val="000000"/>
          <w:u w:val="single"/>
          <w:lang w:eastAsia="bg-BG"/>
        </w:rPr>
      </w:pPr>
    </w:p>
    <w:p w14:paraId="5BD9242C" w14:textId="112F3799" w:rsidR="00C60BBA" w:rsidRPr="00C60BBA" w:rsidRDefault="00C60BBA" w:rsidP="00C60BBA">
      <w:pPr>
        <w:spacing w:line="240" w:lineRule="auto"/>
        <w:rPr>
          <w:rFonts w:eastAsia="Times New Roman" w:cs="Arial"/>
          <w:lang w:eastAsia="bg-BG"/>
        </w:rPr>
      </w:pPr>
      <w:r w:rsidRPr="00C60BBA">
        <w:rPr>
          <w:rFonts w:eastAsia="Times New Roman" w:cs="Arial"/>
          <w:color w:val="000000"/>
          <w:u w:val="single"/>
          <w:lang w:eastAsia="bg-BG"/>
        </w:rPr>
        <w:t>Продължителност на употреба</w:t>
      </w:r>
    </w:p>
    <w:p w14:paraId="7FBF1BCE" w14:textId="21F01001" w:rsidR="00EC41ED" w:rsidRPr="00C60BBA" w:rsidRDefault="00C60BBA" w:rsidP="00C60BBA">
      <w:pPr>
        <w:rPr>
          <w:rFonts w:eastAsia="Times New Roman" w:cs="Arial"/>
          <w:color w:val="000000"/>
          <w:lang w:eastAsia="bg-BG"/>
        </w:rPr>
      </w:pPr>
      <w:r w:rsidRPr="00C60BBA">
        <w:rPr>
          <w:rFonts w:eastAsia="Times New Roman" w:cs="Arial"/>
          <w:color w:val="000000"/>
          <w:lang w:eastAsia="bg-BG"/>
        </w:rPr>
        <w:t>Моксифлоксацин трябва да се приема със следната продължителност:</w:t>
      </w:r>
    </w:p>
    <w:p w14:paraId="11A2C39E" w14:textId="2C37424A" w:rsidR="00C60BBA" w:rsidRPr="00C60BBA" w:rsidRDefault="00C60BBA" w:rsidP="00C60BBA">
      <w:pPr>
        <w:rPr>
          <w:rFonts w:eastAsia="Times New Roman" w:cs="Arial"/>
          <w:color w:val="000000"/>
          <w:lang w:eastAsia="bg-BG"/>
        </w:rPr>
      </w:pPr>
    </w:p>
    <w:tbl>
      <w:tblPr>
        <w:tblStyle w:val="TableGrid"/>
        <w:tblW w:w="0" w:type="auto"/>
        <w:tblLook w:val="04A0" w:firstRow="1" w:lastRow="0" w:firstColumn="1" w:lastColumn="0" w:noHBand="0" w:noVBand="1"/>
      </w:tblPr>
      <w:tblGrid>
        <w:gridCol w:w="4675"/>
        <w:gridCol w:w="4675"/>
      </w:tblGrid>
      <w:tr w:rsidR="00C60BBA" w:rsidRPr="00C60BBA" w14:paraId="6A25DC46" w14:textId="77777777" w:rsidTr="00C60BBA">
        <w:tc>
          <w:tcPr>
            <w:tcW w:w="4675" w:type="dxa"/>
          </w:tcPr>
          <w:p w14:paraId="60348B9D" w14:textId="12B96893" w:rsidR="00C60BBA" w:rsidRPr="00C60BBA" w:rsidRDefault="00C60BBA" w:rsidP="00C60BBA">
            <w:pPr>
              <w:rPr>
                <w:rFonts w:cs="Arial"/>
              </w:rPr>
            </w:pPr>
            <w:r w:rsidRPr="00C60BBA">
              <w:rPr>
                <w:rFonts w:cs="Arial"/>
              </w:rPr>
              <w:t>Остра екзац ербация на хроничен бронхит</w:t>
            </w:r>
          </w:p>
        </w:tc>
        <w:tc>
          <w:tcPr>
            <w:tcW w:w="4675" w:type="dxa"/>
          </w:tcPr>
          <w:p w14:paraId="5ADCF813" w14:textId="6DED8F9D" w:rsidR="00C60BBA" w:rsidRPr="00C60BBA" w:rsidRDefault="00C60BBA" w:rsidP="00C60BBA">
            <w:pPr>
              <w:rPr>
                <w:rFonts w:cs="Arial"/>
              </w:rPr>
            </w:pPr>
            <w:r w:rsidRPr="00C60BBA">
              <w:rPr>
                <w:rFonts w:cs="Arial"/>
              </w:rPr>
              <w:t>5 - 10 дни</w:t>
            </w:r>
          </w:p>
        </w:tc>
      </w:tr>
      <w:tr w:rsidR="00C60BBA" w:rsidRPr="00C60BBA" w14:paraId="75A9F0C1" w14:textId="77777777" w:rsidTr="00C60BBA">
        <w:tc>
          <w:tcPr>
            <w:tcW w:w="4675" w:type="dxa"/>
          </w:tcPr>
          <w:p w14:paraId="49804E6F" w14:textId="4DAB6D6D" w:rsidR="00C60BBA" w:rsidRPr="00C60BBA" w:rsidRDefault="00C60BBA" w:rsidP="00C60BBA">
            <w:pPr>
              <w:rPr>
                <w:rFonts w:cs="Arial"/>
              </w:rPr>
            </w:pPr>
            <w:r w:rsidRPr="00C60BBA">
              <w:rPr>
                <w:rFonts w:cs="Arial"/>
              </w:rPr>
              <w:t>Придобита в обществото пневмония</w:t>
            </w:r>
          </w:p>
        </w:tc>
        <w:tc>
          <w:tcPr>
            <w:tcW w:w="4675" w:type="dxa"/>
          </w:tcPr>
          <w:p w14:paraId="5A4DCC78" w14:textId="4491BDF2" w:rsidR="00C60BBA" w:rsidRPr="00C60BBA" w:rsidRDefault="00C60BBA" w:rsidP="00C60BBA">
            <w:pPr>
              <w:rPr>
                <w:rFonts w:cs="Arial"/>
              </w:rPr>
            </w:pPr>
            <w:r w:rsidRPr="00C60BBA">
              <w:rPr>
                <w:rFonts w:cs="Arial"/>
              </w:rPr>
              <w:t>10 дни</w:t>
            </w:r>
          </w:p>
        </w:tc>
      </w:tr>
      <w:tr w:rsidR="00C60BBA" w:rsidRPr="00C60BBA" w14:paraId="7BEEB8D0" w14:textId="77777777" w:rsidTr="00C60BBA">
        <w:tc>
          <w:tcPr>
            <w:tcW w:w="4675" w:type="dxa"/>
          </w:tcPr>
          <w:p w14:paraId="1386222A" w14:textId="2630D478" w:rsidR="00C60BBA" w:rsidRPr="00C60BBA" w:rsidRDefault="00C60BBA" w:rsidP="00C60BBA">
            <w:pPr>
              <w:rPr>
                <w:rFonts w:cs="Arial"/>
              </w:rPr>
            </w:pPr>
            <w:r w:rsidRPr="00C60BBA">
              <w:rPr>
                <w:rFonts w:cs="Arial"/>
              </w:rPr>
              <w:t>Остър бактериален синузит</w:t>
            </w:r>
          </w:p>
        </w:tc>
        <w:tc>
          <w:tcPr>
            <w:tcW w:w="4675" w:type="dxa"/>
          </w:tcPr>
          <w:p w14:paraId="1BD95716" w14:textId="3A53B41F" w:rsidR="00C60BBA" w:rsidRPr="00C60BBA" w:rsidRDefault="00C60BBA" w:rsidP="00C60BBA">
            <w:pPr>
              <w:rPr>
                <w:rFonts w:cs="Arial"/>
              </w:rPr>
            </w:pPr>
            <w:r w:rsidRPr="00C60BBA">
              <w:rPr>
                <w:rFonts w:cs="Arial"/>
              </w:rPr>
              <w:t>7 дни</w:t>
            </w:r>
          </w:p>
        </w:tc>
      </w:tr>
      <w:tr w:rsidR="00C60BBA" w:rsidRPr="00C60BBA" w14:paraId="5329C1EF" w14:textId="77777777" w:rsidTr="00C60BBA">
        <w:tc>
          <w:tcPr>
            <w:tcW w:w="4675" w:type="dxa"/>
          </w:tcPr>
          <w:p w14:paraId="1034EAE4" w14:textId="3831C967" w:rsidR="00C60BBA" w:rsidRPr="00C60BBA" w:rsidRDefault="00C60BBA" w:rsidP="00C60BBA">
            <w:pPr>
              <w:rPr>
                <w:rFonts w:cs="Arial"/>
              </w:rPr>
            </w:pPr>
            <w:r w:rsidRPr="00C60BBA">
              <w:rPr>
                <w:rFonts w:cs="Arial"/>
              </w:rPr>
              <w:t>Лека до умерено изразена тазово възпалителна болест</w:t>
            </w:r>
          </w:p>
        </w:tc>
        <w:tc>
          <w:tcPr>
            <w:tcW w:w="4675" w:type="dxa"/>
          </w:tcPr>
          <w:p w14:paraId="5923F2E3" w14:textId="69083A79" w:rsidR="00C60BBA" w:rsidRPr="00C60BBA" w:rsidRDefault="00C60BBA" w:rsidP="00C60BBA">
            <w:pPr>
              <w:rPr>
                <w:rFonts w:cs="Arial"/>
              </w:rPr>
            </w:pPr>
            <w:r w:rsidRPr="00C60BBA">
              <w:rPr>
                <w:rFonts w:cs="Arial"/>
              </w:rPr>
              <w:t>14 дни</w:t>
            </w:r>
          </w:p>
        </w:tc>
      </w:tr>
    </w:tbl>
    <w:p w14:paraId="5EF6EC12" w14:textId="77777777" w:rsidR="00C60BBA" w:rsidRPr="00C60BBA" w:rsidRDefault="00C60BBA" w:rsidP="00C60BBA">
      <w:pPr>
        <w:rPr>
          <w:rFonts w:cs="Arial"/>
        </w:rPr>
      </w:pPr>
    </w:p>
    <w:p w14:paraId="3B0A8DE8" w14:textId="77777777" w:rsidR="00C60BBA" w:rsidRPr="00C60BBA" w:rsidRDefault="00C60BBA" w:rsidP="00C60BBA">
      <w:pPr>
        <w:spacing w:line="240" w:lineRule="auto"/>
        <w:rPr>
          <w:rFonts w:eastAsia="Times New Roman" w:cs="Arial"/>
          <w:lang w:eastAsia="bg-BG"/>
        </w:rPr>
      </w:pPr>
      <w:r w:rsidRPr="00C60BBA">
        <w:rPr>
          <w:rFonts w:eastAsia="Times New Roman" w:cs="Arial"/>
          <w:color w:val="000000"/>
          <w:lang w:eastAsia="bg-BG"/>
        </w:rPr>
        <w:t>Моксифлоксацин филмирани таблетки са изследвани в клинични проучвания с продължителност на лечението до 14 дни.</w:t>
      </w:r>
    </w:p>
    <w:p w14:paraId="51BFFA93" w14:textId="77777777" w:rsidR="00C60BBA" w:rsidRPr="00C60BBA" w:rsidRDefault="00C60BBA" w:rsidP="00C60BBA">
      <w:pPr>
        <w:spacing w:line="240" w:lineRule="auto"/>
        <w:rPr>
          <w:rFonts w:eastAsia="Times New Roman" w:cs="Arial"/>
          <w:i/>
          <w:iCs/>
          <w:color w:val="000000"/>
          <w:lang w:eastAsia="bg-BG"/>
        </w:rPr>
      </w:pPr>
    </w:p>
    <w:p w14:paraId="1EF2DC84" w14:textId="58FF35CE" w:rsidR="00C60BBA" w:rsidRPr="00C60BBA" w:rsidRDefault="00C60BBA" w:rsidP="00C60BBA">
      <w:pPr>
        <w:spacing w:line="240" w:lineRule="auto"/>
        <w:rPr>
          <w:rFonts w:eastAsia="Times New Roman" w:cs="Arial"/>
          <w:lang w:eastAsia="bg-BG"/>
        </w:rPr>
      </w:pPr>
      <w:r w:rsidRPr="00C60BBA">
        <w:rPr>
          <w:rFonts w:eastAsia="Times New Roman" w:cs="Arial"/>
          <w:i/>
          <w:iCs/>
          <w:color w:val="000000"/>
          <w:lang w:eastAsia="bg-BG"/>
        </w:rPr>
        <w:t>Последователна (интравенозна, последвана от перорална) терапия</w:t>
      </w:r>
    </w:p>
    <w:p w14:paraId="6602889F" w14:textId="77777777" w:rsidR="00C60BBA" w:rsidRPr="00C60BBA" w:rsidRDefault="00C60BBA" w:rsidP="00C60BBA">
      <w:pPr>
        <w:spacing w:line="240" w:lineRule="auto"/>
        <w:rPr>
          <w:rFonts w:eastAsia="Times New Roman" w:cs="Arial"/>
          <w:lang w:eastAsia="bg-BG"/>
        </w:rPr>
      </w:pPr>
      <w:r w:rsidRPr="00C60BBA">
        <w:rPr>
          <w:rFonts w:eastAsia="Times New Roman" w:cs="Arial"/>
          <w:color w:val="000000"/>
          <w:lang w:eastAsia="bg-BG"/>
        </w:rPr>
        <w:t>В клиничните проучвания с последователна терапия по-голямата част от пациентите са преминали от интравенозна на перорална терапия в рамките на 4 дни (за придобита в обществото пневмония) и 6 дни (за усложнени инфекции на кожата и меките тъкани).</w:t>
      </w:r>
    </w:p>
    <w:p w14:paraId="334E7839" w14:textId="77777777" w:rsidR="00C60BBA" w:rsidRPr="00C60BBA" w:rsidRDefault="00C60BBA" w:rsidP="00C60BBA">
      <w:pPr>
        <w:rPr>
          <w:rFonts w:eastAsia="Times New Roman" w:cs="Arial"/>
          <w:lang w:eastAsia="bg-BG"/>
        </w:rPr>
      </w:pPr>
      <w:r w:rsidRPr="00C60BBA">
        <w:rPr>
          <w:rFonts w:eastAsia="Times New Roman" w:cs="Arial"/>
          <w:color w:val="000000"/>
          <w:lang w:eastAsia="bg-BG"/>
        </w:rPr>
        <w:t>Препоръчителната обща продължителност на интравенозната и пероралната терапия е 7-14 дни</w:t>
      </w:r>
      <w:r w:rsidRPr="00C60BBA">
        <w:rPr>
          <w:rFonts w:eastAsia="Times New Roman" w:cs="Arial"/>
          <w:color w:val="000000"/>
          <w:lang w:val="en-US" w:eastAsia="bg-BG"/>
        </w:rPr>
        <w:t xml:space="preserve"> </w:t>
      </w:r>
      <w:r w:rsidRPr="00C60BBA">
        <w:rPr>
          <w:rFonts w:eastAsia="Times New Roman" w:cs="Arial"/>
          <w:color w:val="000000"/>
          <w:lang w:eastAsia="bg-BG"/>
        </w:rPr>
        <w:t>за придобита в обществото пневмония и 7-21 дни за усложнени инфекции на кожата и меките тъкани.</w:t>
      </w:r>
    </w:p>
    <w:p w14:paraId="17536D11" w14:textId="77777777" w:rsidR="00C60BBA" w:rsidRPr="00C60BBA" w:rsidRDefault="00C60BBA" w:rsidP="00C60BBA">
      <w:pPr>
        <w:rPr>
          <w:rFonts w:eastAsia="Times New Roman" w:cs="Arial"/>
          <w:color w:val="000000"/>
          <w:lang w:eastAsia="bg-BG"/>
        </w:rPr>
      </w:pPr>
    </w:p>
    <w:p w14:paraId="132F3111" w14:textId="5A0545CB" w:rsidR="005B0F27" w:rsidRPr="00C60BBA" w:rsidRDefault="00C60BBA" w:rsidP="00C60BBA">
      <w:pPr>
        <w:rPr>
          <w:rFonts w:eastAsia="Times New Roman" w:cs="Arial"/>
          <w:color w:val="000000"/>
          <w:lang w:val="en-US" w:eastAsia="bg-BG"/>
        </w:rPr>
      </w:pPr>
      <w:r w:rsidRPr="00C60BBA">
        <w:rPr>
          <w:rFonts w:eastAsia="Times New Roman" w:cs="Arial"/>
          <w:color w:val="000000"/>
          <w:lang w:eastAsia="bg-BG"/>
        </w:rPr>
        <w:t xml:space="preserve">Препоръчваната доза (400 </w:t>
      </w:r>
      <w:r w:rsidRPr="00C60BBA">
        <w:rPr>
          <w:rFonts w:eastAsia="Times New Roman" w:cs="Arial"/>
          <w:color w:val="000000"/>
          <w:lang w:val="en-US"/>
        </w:rPr>
        <w:t xml:space="preserve">mg </w:t>
      </w:r>
      <w:r w:rsidRPr="00C60BBA">
        <w:rPr>
          <w:rFonts w:eastAsia="Times New Roman" w:cs="Arial"/>
          <w:color w:val="000000"/>
          <w:lang w:eastAsia="bg-BG"/>
        </w:rPr>
        <w:t>веднъж дневно) и продължителността на терапията за съответното показание не трябва да се превишават.</w:t>
      </w:r>
    </w:p>
    <w:p w14:paraId="55553F69" w14:textId="48203DF9" w:rsidR="00C60BBA" w:rsidRPr="0091385D" w:rsidRDefault="00C60BBA" w:rsidP="0091385D"/>
    <w:p w14:paraId="28C984E8" w14:textId="0756AE28" w:rsidR="008134C8" w:rsidRDefault="002C50EE" w:rsidP="004A448E">
      <w:pPr>
        <w:pStyle w:val="Heading2"/>
      </w:pPr>
      <w:r>
        <w:t>4.3. Противопоказания</w:t>
      </w:r>
    </w:p>
    <w:p w14:paraId="2363D607" w14:textId="619A99CE" w:rsidR="0091385D" w:rsidRDefault="0091385D" w:rsidP="0091385D"/>
    <w:p w14:paraId="2604CD5B" w14:textId="77777777" w:rsidR="00C60BBA" w:rsidRPr="00C60BBA" w:rsidRDefault="00C60BBA" w:rsidP="00C60BBA">
      <w:pPr>
        <w:pStyle w:val="ListParagraph"/>
        <w:numPr>
          <w:ilvl w:val="0"/>
          <w:numId w:val="38"/>
        </w:numPr>
        <w:spacing w:line="240" w:lineRule="auto"/>
        <w:rPr>
          <w:rFonts w:eastAsia="Times New Roman" w:cs="Arial"/>
          <w:lang w:eastAsia="bg-BG"/>
        </w:rPr>
      </w:pPr>
      <w:r w:rsidRPr="00C60BBA">
        <w:rPr>
          <w:rFonts w:eastAsia="Times New Roman" w:cs="Arial"/>
          <w:color w:val="000000"/>
          <w:lang w:eastAsia="bg-BG"/>
        </w:rPr>
        <w:t>Свръхчувствителност към моксифлоксацин, други хинолони или някое от помощните вещества, изброени в точка 6.1.</w:t>
      </w:r>
    </w:p>
    <w:p w14:paraId="1589E392" w14:textId="77777777" w:rsidR="00C60BBA" w:rsidRPr="00C60BBA" w:rsidRDefault="00C60BBA" w:rsidP="00C60BBA">
      <w:pPr>
        <w:pStyle w:val="ListParagraph"/>
        <w:numPr>
          <w:ilvl w:val="0"/>
          <w:numId w:val="38"/>
        </w:numPr>
        <w:spacing w:line="240" w:lineRule="auto"/>
        <w:rPr>
          <w:rFonts w:eastAsia="Times New Roman" w:cs="Arial"/>
          <w:lang w:eastAsia="bg-BG"/>
        </w:rPr>
      </w:pPr>
      <w:r w:rsidRPr="00C60BBA">
        <w:rPr>
          <w:rFonts w:eastAsia="Times New Roman" w:cs="Arial"/>
          <w:color w:val="000000"/>
          <w:lang w:eastAsia="bg-BG"/>
        </w:rPr>
        <w:t>Бременност и кърмене (вижте точка 4.6).</w:t>
      </w:r>
    </w:p>
    <w:p w14:paraId="499F5CB8" w14:textId="77777777" w:rsidR="00C60BBA" w:rsidRPr="00C60BBA" w:rsidRDefault="00C60BBA" w:rsidP="00C60BBA">
      <w:pPr>
        <w:pStyle w:val="ListParagraph"/>
        <w:numPr>
          <w:ilvl w:val="0"/>
          <w:numId w:val="38"/>
        </w:numPr>
        <w:spacing w:line="240" w:lineRule="auto"/>
        <w:rPr>
          <w:rFonts w:eastAsia="Times New Roman" w:cs="Arial"/>
          <w:lang w:eastAsia="bg-BG"/>
        </w:rPr>
      </w:pPr>
      <w:r w:rsidRPr="00C60BBA">
        <w:rPr>
          <w:rFonts w:eastAsia="Times New Roman" w:cs="Arial"/>
          <w:color w:val="000000"/>
          <w:lang w:eastAsia="bg-BG"/>
        </w:rPr>
        <w:t>Пациенти под 18-годишна възраст.</w:t>
      </w:r>
    </w:p>
    <w:p w14:paraId="518551F5" w14:textId="2D8E5D55" w:rsidR="00C60BBA" w:rsidRPr="00C60BBA" w:rsidRDefault="00C60BBA" w:rsidP="00C60BBA">
      <w:pPr>
        <w:pStyle w:val="ListParagraph"/>
        <w:numPr>
          <w:ilvl w:val="0"/>
          <w:numId w:val="38"/>
        </w:numPr>
        <w:spacing w:line="240" w:lineRule="auto"/>
        <w:rPr>
          <w:rFonts w:eastAsia="Times New Roman" w:cs="Arial"/>
          <w:lang w:eastAsia="bg-BG"/>
        </w:rPr>
      </w:pPr>
      <w:r w:rsidRPr="00C60BBA">
        <w:rPr>
          <w:rFonts w:eastAsia="Times New Roman" w:cs="Arial"/>
          <w:color w:val="000000"/>
          <w:lang w:eastAsia="bg-BG"/>
        </w:rPr>
        <w:t>Пациенти с анамнеза за възпаление на сухожилия/нарушение, свързано с лечение с хинолони.</w:t>
      </w:r>
    </w:p>
    <w:p w14:paraId="1F81D360" w14:textId="77777777" w:rsidR="00C60BBA" w:rsidRPr="00C60BBA" w:rsidRDefault="00C60BBA" w:rsidP="00C60BBA">
      <w:pPr>
        <w:spacing w:line="240" w:lineRule="auto"/>
        <w:rPr>
          <w:rFonts w:eastAsia="Times New Roman" w:cs="Arial"/>
          <w:color w:val="000000"/>
          <w:lang w:eastAsia="bg-BG"/>
        </w:rPr>
      </w:pPr>
    </w:p>
    <w:p w14:paraId="02A5F95A" w14:textId="7D50CAD2" w:rsidR="00C60BBA" w:rsidRPr="00C60BBA" w:rsidRDefault="00C60BBA" w:rsidP="00C60BBA">
      <w:pPr>
        <w:spacing w:line="240" w:lineRule="auto"/>
        <w:rPr>
          <w:rFonts w:eastAsia="Times New Roman" w:cs="Arial"/>
          <w:lang w:eastAsia="bg-BG"/>
        </w:rPr>
      </w:pPr>
      <w:r w:rsidRPr="00C60BBA">
        <w:rPr>
          <w:rFonts w:eastAsia="Times New Roman" w:cs="Arial"/>
          <w:color w:val="000000"/>
          <w:lang w:eastAsia="bg-BG"/>
        </w:rPr>
        <w:t xml:space="preserve">В предклинични проучвания и при хора са наблюдавани промени в сърдечната електрофизиология след приемане на моксифлоксацин, под формата на удължаване на </w:t>
      </w:r>
      <w:r w:rsidRPr="00C60BBA">
        <w:rPr>
          <w:rFonts w:eastAsia="Times New Roman" w:cs="Arial"/>
          <w:color w:val="000000"/>
          <w:lang w:val="en-US"/>
        </w:rPr>
        <w:t xml:space="preserve">QT- </w:t>
      </w:r>
      <w:r w:rsidRPr="00C60BBA">
        <w:rPr>
          <w:rFonts w:eastAsia="Times New Roman" w:cs="Arial"/>
          <w:color w:val="000000"/>
          <w:lang w:eastAsia="bg-BG"/>
        </w:rPr>
        <w:t>интервала. Във връзка с безопасността на продукта Моксифлоксацин е противопоказан при пациенти с:</w:t>
      </w:r>
    </w:p>
    <w:p w14:paraId="64782B96" w14:textId="77777777" w:rsidR="00C60BBA" w:rsidRPr="00C60BBA" w:rsidRDefault="00C60BBA" w:rsidP="00C60BBA">
      <w:pPr>
        <w:pStyle w:val="ListParagraph"/>
        <w:numPr>
          <w:ilvl w:val="0"/>
          <w:numId w:val="39"/>
        </w:numPr>
        <w:spacing w:line="240" w:lineRule="auto"/>
        <w:rPr>
          <w:rFonts w:eastAsia="Times New Roman" w:cs="Arial"/>
          <w:lang w:eastAsia="bg-BG"/>
        </w:rPr>
      </w:pPr>
      <w:r w:rsidRPr="00C60BBA">
        <w:rPr>
          <w:rFonts w:eastAsia="Times New Roman" w:cs="Arial"/>
          <w:color w:val="000000"/>
          <w:lang w:eastAsia="bg-BG"/>
        </w:rPr>
        <w:t xml:space="preserve">вродено или документирано придобито състояние на удължен </w:t>
      </w:r>
      <w:r w:rsidRPr="00C60BBA">
        <w:rPr>
          <w:rFonts w:eastAsia="Times New Roman" w:cs="Arial"/>
          <w:color w:val="000000"/>
          <w:lang w:val="en-US"/>
        </w:rPr>
        <w:t>QT</w:t>
      </w:r>
      <w:r w:rsidRPr="00C60BBA">
        <w:rPr>
          <w:rFonts w:eastAsia="Times New Roman" w:cs="Arial"/>
          <w:color w:val="000000"/>
          <w:lang w:eastAsia="bg-BG"/>
        </w:rPr>
        <w:t xml:space="preserve">-интервал </w:t>
      </w:r>
    </w:p>
    <w:p w14:paraId="089817B1" w14:textId="77777777" w:rsidR="00C60BBA" w:rsidRPr="00C60BBA" w:rsidRDefault="00C60BBA" w:rsidP="00C60BBA">
      <w:pPr>
        <w:pStyle w:val="ListParagraph"/>
        <w:numPr>
          <w:ilvl w:val="0"/>
          <w:numId w:val="39"/>
        </w:numPr>
        <w:spacing w:line="240" w:lineRule="auto"/>
        <w:rPr>
          <w:rFonts w:eastAsia="Times New Roman" w:cs="Arial"/>
          <w:lang w:eastAsia="bg-BG"/>
        </w:rPr>
      </w:pPr>
      <w:r w:rsidRPr="00C60BBA">
        <w:rPr>
          <w:rFonts w:eastAsia="Times New Roman" w:cs="Arial"/>
          <w:color w:val="000000"/>
          <w:lang w:eastAsia="bg-BG"/>
        </w:rPr>
        <w:t xml:space="preserve">електролитни нарушения, особено некоригирана хипокалиемия </w:t>
      </w:r>
    </w:p>
    <w:p w14:paraId="5A184864" w14:textId="77777777" w:rsidR="00C60BBA" w:rsidRPr="00C60BBA" w:rsidRDefault="00C60BBA" w:rsidP="00C60BBA">
      <w:pPr>
        <w:pStyle w:val="ListParagraph"/>
        <w:numPr>
          <w:ilvl w:val="0"/>
          <w:numId w:val="39"/>
        </w:numPr>
        <w:spacing w:line="240" w:lineRule="auto"/>
        <w:rPr>
          <w:rFonts w:eastAsia="Times New Roman" w:cs="Arial"/>
          <w:lang w:eastAsia="bg-BG"/>
        </w:rPr>
      </w:pPr>
      <w:r w:rsidRPr="00C60BBA">
        <w:rPr>
          <w:rFonts w:eastAsia="Times New Roman" w:cs="Arial"/>
          <w:color w:val="000000"/>
          <w:lang w:eastAsia="bg-BG"/>
        </w:rPr>
        <w:t>клинично значима брадикардия</w:t>
      </w:r>
    </w:p>
    <w:p w14:paraId="4C5204D1" w14:textId="77777777" w:rsidR="00C60BBA" w:rsidRPr="00C60BBA" w:rsidRDefault="00C60BBA" w:rsidP="00C60BBA">
      <w:pPr>
        <w:pStyle w:val="ListParagraph"/>
        <w:numPr>
          <w:ilvl w:val="0"/>
          <w:numId w:val="39"/>
        </w:numPr>
        <w:spacing w:line="240" w:lineRule="auto"/>
        <w:rPr>
          <w:rFonts w:eastAsia="Times New Roman" w:cs="Arial"/>
          <w:lang w:eastAsia="bg-BG"/>
        </w:rPr>
      </w:pPr>
      <w:r w:rsidRPr="00C60BBA">
        <w:rPr>
          <w:rFonts w:eastAsia="Times New Roman" w:cs="Arial"/>
          <w:color w:val="000000"/>
          <w:lang w:eastAsia="bg-BG"/>
        </w:rPr>
        <w:t>клинично значима сърдечна недостатъчност с намалена левокамерна фракция на изтласкване</w:t>
      </w:r>
    </w:p>
    <w:p w14:paraId="24E13BA8" w14:textId="44A36B23" w:rsidR="00C60BBA" w:rsidRPr="00C60BBA" w:rsidRDefault="00C60BBA" w:rsidP="00C60BBA">
      <w:pPr>
        <w:pStyle w:val="ListParagraph"/>
        <w:numPr>
          <w:ilvl w:val="0"/>
          <w:numId w:val="39"/>
        </w:numPr>
        <w:spacing w:line="240" w:lineRule="auto"/>
        <w:rPr>
          <w:rFonts w:eastAsia="Times New Roman" w:cs="Arial"/>
          <w:lang w:eastAsia="bg-BG"/>
        </w:rPr>
      </w:pPr>
      <w:r w:rsidRPr="00C60BBA">
        <w:rPr>
          <w:rFonts w:eastAsia="Times New Roman" w:cs="Arial"/>
          <w:color w:val="000000"/>
          <w:lang w:eastAsia="bg-BG"/>
        </w:rPr>
        <w:t>анамнеза за симптоматични аритмии.</w:t>
      </w:r>
    </w:p>
    <w:p w14:paraId="1FD65A3E" w14:textId="77777777" w:rsidR="00C60BBA" w:rsidRPr="00C60BBA" w:rsidRDefault="00C60BBA" w:rsidP="00C60BBA">
      <w:pPr>
        <w:spacing w:line="240" w:lineRule="auto"/>
        <w:rPr>
          <w:rFonts w:eastAsia="Times New Roman" w:cs="Arial"/>
          <w:color w:val="000000"/>
          <w:lang w:eastAsia="bg-BG"/>
        </w:rPr>
      </w:pPr>
    </w:p>
    <w:p w14:paraId="6FBA7232" w14:textId="19D87392" w:rsidR="00C60BBA" w:rsidRPr="00C60BBA" w:rsidRDefault="00C60BBA" w:rsidP="00C60BBA">
      <w:pPr>
        <w:spacing w:line="240" w:lineRule="auto"/>
        <w:rPr>
          <w:rFonts w:eastAsia="Times New Roman" w:cs="Arial"/>
          <w:lang w:eastAsia="bg-BG"/>
        </w:rPr>
      </w:pPr>
      <w:r w:rsidRPr="00C60BBA">
        <w:rPr>
          <w:rFonts w:eastAsia="Times New Roman" w:cs="Arial"/>
          <w:color w:val="000000"/>
          <w:lang w:eastAsia="bg-BG"/>
        </w:rPr>
        <w:lastRenderedPageBreak/>
        <w:t xml:space="preserve">Моксифлоксацин не трябва да се използва заедно с други лекарства, които удължават </w:t>
      </w:r>
      <w:r w:rsidRPr="00C60BBA">
        <w:rPr>
          <w:rFonts w:eastAsia="Times New Roman" w:cs="Arial"/>
          <w:color w:val="000000"/>
          <w:lang w:val="en-US"/>
        </w:rPr>
        <w:t xml:space="preserve">QT- </w:t>
      </w:r>
      <w:r w:rsidRPr="00C60BBA">
        <w:rPr>
          <w:rFonts w:eastAsia="Times New Roman" w:cs="Arial"/>
          <w:color w:val="000000"/>
          <w:lang w:eastAsia="bg-BG"/>
        </w:rPr>
        <w:t>интервала (вижте точка 4.5).</w:t>
      </w:r>
    </w:p>
    <w:p w14:paraId="2A1C46E4" w14:textId="77777777" w:rsidR="00C60BBA" w:rsidRPr="00C60BBA" w:rsidRDefault="00C60BBA" w:rsidP="00C60BBA">
      <w:pPr>
        <w:rPr>
          <w:rFonts w:eastAsia="Times New Roman" w:cs="Arial"/>
          <w:color w:val="000000"/>
          <w:lang w:eastAsia="bg-BG"/>
        </w:rPr>
      </w:pPr>
    </w:p>
    <w:p w14:paraId="030B6A4D" w14:textId="69277765" w:rsidR="00EC41ED" w:rsidRPr="00C60BBA" w:rsidRDefault="00C60BBA" w:rsidP="00C60BBA">
      <w:pPr>
        <w:rPr>
          <w:rFonts w:cs="Arial"/>
        </w:rPr>
      </w:pPr>
      <w:r w:rsidRPr="00C60BBA">
        <w:rPr>
          <w:rFonts w:eastAsia="Times New Roman" w:cs="Arial"/>
          <w:color w:val="000000"/>
          <w:lang w:eastAsia="bg-BG"/>
        </w:rPr>
        <w:t xml:space="preserve">Поради ограничените клинични данни, моксифлоксацин е също противопоказан при пациенти с увредена чернодробна функция </w:t>
      </w:r>
      <w:r w:rsidRPr="00C60BBA">
        <w:rPr>
          <w:rFonts w:eastAsia="Times New Roman" w:cs="Arial"/>
          <w:color w:val="000000"/>
          <w:lang w:val="en-US"/>
        </w:rPr>
        <w:t xml:space="preserve">(Child Pugh </w:t>
      </w:r>
      <w:r w:rsidRPr="00C60BBA">
        <w:rPr>
          <w:rFonts w:eastAsia="Times New Roman" w:cs="Arial"/>
          <w:color w:val="000000"/>
          <w:lang w:eastAsia="bg-BG"/>
        </w:rPr>
        <w:t>С) и при пациенти с повишени трансаминази повече от 5 пъта над горната граница на нормата.</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1E0703C7" w:rsidR="0091385D" w:rsidRDefault="0091385D" w:rsidP="0091385D"/>
    <w:p w14:paraId="048A58AC" w14:textId="77777777" w:rsidR="00C60BBA" w:rsidRPr="00C60BBA" w:rsidRDefault="00C60BBA" w:rsidP="00C60BBA">
      <w:pPr>
        <w:spacing w:line="240" w:lineRule="auto"/>
        <w:rPr>
          <w:rFonts w:eastAsia="Times New Roman" w:cs="Arial"/>
          <w:lang w:eastAsia="bg-BG"/>
        </w:rPr>
      </w:pPr>
      <w:r w:rsidRPr="00C60BBA">
        <w:rPr>
          <w:rFonts w:eastAsia="Times New Roman" w:cs="Arial"/>
          <w:color w:val="000000"/>
          <w:lang w:eastAsia="bg-BG"/>
        </w:rPr>
        <w:t>Употребата на моксифлоксацин трябва да се избягва при пациенти, които са имали сериозни нежелани реакции в миналото при употреба на продукти, съдържащи хинолони или флуорохинолони (вж. точка 4.8). Лечението на тези пациенти с моксифлоксацин трябва да се започва само при липса на алтернативни възможности за лечение и след внимателна оценка на съотношението полза/риск (вж. също точка 4.3).</w:t>
      </w:r>
    </w:p>
    <w:p w14:paraId="655F9675" w14:textId="77777777" w:rsidR="00C60BBA" w:rsidRPr="00C60BBA" w:rsidRDefault="00C60BBA" w:rsidP="00C60BBA">
      <w:pPr>
        <w:spacing w:line="240" w:lineRule="auto"/>
        <w:rPr>
          <w:rFonts w:eastAsia="Times New Roman" w:cs="Arial"/>
          <w:color w:val="000000"/>
          <w:u w:val="single"/>
          <w:lang w:eastAsia="bg-BG"/>
        </w:rPr>
      </w:pPr>
    </w:p>
    <w:p w14:paraId="4A78728F" w14:textId="70F4409C" w:rsidR="00C60BBA" w:rsidRPr="00C60BBA" w:rsidRDefault="00C60BBA" w:rsidP="00C60BBA">
      <w:pPr>
        <w:spacing w:line="240" w:lineRule="auto"/>
        <w:rPr>
          <w:rFonts w:eastAsia="Times New Roman" w:cs="Arial"/>
          <w:lang w:eastAsia="bg-BG"/>
        </w:rPr>
      </w:pPr>
      <w:r w:rsidRPr="00C60BBA">
        <w:rPr>
          <w:rFonts w:eastAsia="Times New Roman" w:cs="Arial"/>
          <w:color w:val="000000"/>
          <w:u w:val="single"/>
          <w:lang w:eastAsia="bg-BG"/>
        </w:rPr>
        <w:t>Продължителни, инвалидизирашии и потенциално необратими сериозни нежелани лекарствени реакции</w:t>
      </w:r>
    </w:p>
    <w:p w14:paraId="09CFBB02" w14:textId="77777777" w:rsidR="00C60BBA" w:rsidRPr="00C60BBA" w:rsidRDefault="00C60BBA" w:rsidP="00C60BBA">
      <w:pPr>
        <w:spacing w:line="240" w:lineRule="auto"/>
        <w:rPr>
          <w:rFonts w:eastAsia="Times New Roman" w:cs="Arial"/>
          <w:lang w:eastAsia="bg-BG"/>
        </w:rPr>
      </w:pPr>
      <w:r w:rsidRPr="00C60BBA">
        <w:rPr>
          <w:rFonts w:eastAsia="Times New Roman" w:cs="Arial"/>
          <w:color w:val="000000"/>
          <w:lang w:eastAsia="bg-BG"/>
        </w:rPr>
        <w:t>Съобщава се за много редки случаи на продължителни (продължаващи месеци или години), инвалидизиращи и потенциално необратими сериозни нежелани лекарствени реакции, засягащи различни, понякога много системи в организма (мускулно-скелетна, нервна система, психика и сетивни органи) при пациенти, получаващи хинолонии и флуорохинолони, независимо от тяхната възраст и вече съществуващите рискови фактори. Моксифлоксацин трябва да се спре незабавно при първите признаци или симптоми на всяка сериозна нежелана реакция като пациентите трябва да се посъветват да се свържат с техния лекар, предписал лекарството, за съвет.</w:t>
      </w:r>
    </w:p>
    <w:p w14:paraId="614A0D7C" w14:textId="77777777" w:rsidR="00C60BBA" w:rsidRPr="00C60BBA" w:rsidRDefault="00C60BBA" w:rsidP="00C60BBA">
      <w:pPr>
        <w:rPr>
          <w:rFonts w:eastAsia="Times New Roman" w:cs="Arial"/>
          <w:color w:val="000000"/>
          <w:lang w:eastAsia="bg-BG"/>
        </w:rPr>
      </w:pPr>
    </w:p>
    <w:p w14:paraId="0E28BBDE" w14:textId="73B42706" w:rsidR="007A2185" w:rsidRPr="00C60BBA" w:rsidRDefault="00C60BBA" w:rsidP="00C60BBA">
      <w:pPr>
        <w:rPr>
          <w:rFonts w:cs="Arial"/>
        </w:rPr>
      </w:pPr>
      <w:r w:rsidRPr="00C60BBA">
        <w:rPr>
          <w:rFonts w:eastAsia="Times New Roman" w:cs="Arial"/>
          <w:color w:val="000000"/>
          <w:lang w:eastAsia="bg-BG"/>
        </w:rPr>
        <w:t>Ползата от лечението с моксифлоксацин, особено при нетежки инфекции, трябва да бъде внимателно съобразена с информацията, съдържаща се в точка “Специални предупреждения и предпазни мерки при употреба”.</w:t>
      </w:r>
    </w:p>
    <w:p w14:paraId="24E3E82F" w14:textId="48AB9FC0" w:rsidR="0091385D" w:rsidRDefault="0091385D" w:rsidP="0091385D"/>
    <w:p w14:paraId="6C0778CA" w14:textId="77777777" w:rsidR="00C60BBA" w:rsidRPr="00C60BBA" w:rsidRDefault="00C60BBA" w:rsidP="00C60BBA">
      <w:pPr>
        <w:spacing w:line="240" w:lineRule="auto"/>
        <w:rPr>
          <w:rFonts w:eastAsia="Times New Roman" w:cs="Arial"/>
          <w:lang w:eastAsia="bg-BG"/>
        </w:rPr>
      </w:pPr>
      <w:r w:rsidRPr="00C60BBA">
        <w:rPr>
          <w:rFonts w:eastAsia="Times New Roman" w:cs="Arial"/>
          <w:color w:val="000000"/>
          <w:u w:val="single"/>
          <w:lang w:eastAsia="bg-BG"/>
        </w:rPr>
        <w:t>Удължаване на ОТс-интервала и възможни клинични състояния, свързани с удължаването на ОТс-интервала</w:t>
      </w:r>
    </w:p>
    <w:p w14:paraId="75B1D68A" w14:textId="77777777" w:rsidR="00C60BBA" w:rsidRPr="00C60BBA" w:rsidRDefault="00C60BBA" w:rsidP="00C60BBA">
      <w:pPr>
        <w:spacing w:line="240" w:lineRule="auto"/>
        <w:rPr>
          <w:rFonts w:eastAsia="Times New Roman" w:cs="Arial"/>
          <w:lang w:eastAsia="bg-BG"/>
        </w:rPr>
      </w:pPr>
      <w:r w:rsidRPr="00C60BBA">
        <w:rPr>
          <w:rFonts w:eastAsia="Times New Roman" w:cs="Arial"/>
          <w:color w:val="000000"/>
          <w:lang w:eastAsia="bg-BG"/>
        </w:rPr>
        <w:t xml:space="preserve">Установено е, че при някои пациенти моксифлоксацин удължава </w:t>
      </w:r>
      <w:proofErr w:type="spellStart"/>
      <w:r w:rsidRPr="00C60BBA">
        <w:rPr>
          <w:rFonts w:eastAsia="Times New Roman" w:cs="Arial"/>
          <w:color w:val="000000"/>
          <w:lang w:val="en-US"/>
        </w:rPr>
        <w:t>QTc</w:t>
      </w:r>
      <w:proofErr w:type="spellEnd"/>
      <w:r w:rsidRPr="00C60BBA">
        <w:rPr>
          <w:rFonts w:eastAsia="Times New Roman" w:cs="Arial"/>
          <w:color w:val="000000"/>
          <w:lang w:val="en-US"/>
        </w:rPr>
        <w:t xml:space="preserve"> </w:t>
      </w:r>
      <w:r w:rsidRPr="00C60BBA">
        <w:rPr>
          <w:rFonts w:eastAsia="Times New Roman" w:cs="Arial"/>
          <w:color w:val="000000"/>
          <w:lang w:eastAsia="bg-BG"/>
        </w:rPr>
        <w:t xml:space="preserve">интервала на електрокардиограмата. При анализ на ЕКГ изследванията, получени в хода на клинична програма, удължаването на, </w:t>
      </w:r>
      <w:proofErr w:type="spellStart"/>
      <w:r w:rsidRPr="00C60BBA">
        <w:rPr>
          <w:rFonts w:eastAsia="Times New Roman" w:cs="Arial"/>
          <w:color w:val="000000"/>
          <w:lang w:val="en-US"/>
        </w:rPr>
        <w:t>QTc</w:t>
      </w:r>
      <w:proofErr w:type="spellEnd"/>
      <w:r w:rsidRPr="00C60BBA">
        <w:rPr>
          <w:rFonts w:eastAsia="Times New Roman" w:cs="Arial"/>
          <w:color w:val="000000"/>
          <w:lang w:val="en-US"/>
        </w:rPr>
        <w:t xml:space="preserve"> </w:t>
      </w:r>
      <w:r w:rsidRPr="00C60BBA">
        <w:rPr>
          <w:rFonts w:eastAsia="Times New Roman" w:cs="Arial"/>
          <w:color w:val="000000"/>
          <w:lang w:eastAsia="bg-BG"/>
        </w:rPr>
        <w:t xml:space="preserve">при моксифлоксацин е 6 </w:t>
      </w:r>
      <w:proofErr w:type="spellStart"/>
      <w:r w:rsidRPr="00C60BBA">
        <w:rPr>
          <w:rFonts w:eastAsia="Times New Roman" w:cs="Arial"/>
          <w:color w:val="000000"/>
          <w:lang w:val="en-US"/>
        </w:rPr>
        <w:t>msec</w:t>
      </w:r>
      <w:proofErr w:type="spellEnd"/>
      <w:r w:rsidRPr="00C60BBA">
        <w:rPr>
          <w:rFonts w:eastAsia="Times New Roman" w:cs="Arial"/>
          <w:color w:val="000000"/>
          <w:lang w:val="en-US"/>
        </w:rPr>
        <w:t xml:space="preserve"> </w:t>
      </w:r>
      <w:r w:rsidRPr="00C60BBA">
        <w:rPr>
          <w:rFonts w:eastAsia="Times New Roman" w:cs="Arial"/>
          <w:color w:val="000000"/>
          <w:lang w:eastAsia="bg-BG"/>
        </w:rPr>
        <w:t xml:space="preserve">± 26 </w:t>
      </w:r>
      <w:proofErr w:type="spellStart"/>
      <w:r w:rsidRPr="00C60BBA">
        <w:rPr>
          <w:rFonts w:eastAsia="Times New Roman" w:cs="Arial"/>
          <w:color w:val="000000"/>
          <w:lang w:val="en-US"/>
        </w:rPr>
        <w:t>msec</w:t>
      </w:r>
      <w:proofErr w:type="spellEnd"/>
      <w:r w:rsidRPr="00C60BBA">
        <w:rPr>
          <w:rFonts w:eastAsia="Times New Roman" w:cs="Arial"/>
          <w:color w:val="000000"/>
          <w:lang w:val="en-US"/>
        </w:rPr>
        <w:t xml:space="preserve">, </w:t>
      </w:r>
      <w:r w:rsidRPr="00C60BBA">
        <w:rPr>
          <w:rFonts w:eastAsia="Times New Roman" w:cs="Arial"/>
          <w:color w:val="000000"/>
          <w:lang w:eastAsia="bg-BG"/>
        </w:rPr>
        <w:t xml:space="preserve">1.4% в сравнение с началната стойност. Тъй като съществува тенденция жените да имат по-дълъг изходен </w:t>
      </w:r>
      <w:proofErr w:type="spellStart"/>
      <w:r w:rsidRPr="00C60BBA">
        <w:rPr>
          <w:rFonts w:eastAsia="Times New Roman" w:cs="Arial"/>
          <w:color w:val="000000"/>
          <w:lang w:val="en-US"/>
        </w:rPr>
        <w:t>QTc</w:t>
      </w:r>
      <w:proofErr w:type="spellEnd"/>
      <w:r w:rsidRPr="00C60BBA">
        <w:rPr>
          <w:rFonts w:eastAsia="Times New Roman" w:cs="Arial"/>
          <w:color w:val="000000"/>
          <w:lang w:val="en-US"/>
        </w:rPr>
        <w:t xml:space="preserve"> </w:t>
      </w:r>
      <w:r w:rsidRPr="00C60BBA">
        <w:rPr>
          <w:rFonts w:eastAsia="Times New Roman" w:cs="Arial"/>
          <w:color w:val="000000"/>
          <w:lang w:eastAsia="bg-BG"/>
        </w:rPr>
        <w:t xml:space="preserve">интервал в сравнение с мъжете, е възможно те да са по-чувствителни към лекарства, удължаващи </w:t>
      </w:r>
      <w:proofErr w:type="spellStart"/>
      <w:r w:rsidRPr="00C60BBA">
        <w:rPr>
          <w:rFonts w:eastAsia="Times New Roman" w:cs="Arial"/>
          <w:color w:val="000000"/>
          <w:lang w:val="en-US"/>
        </w:rPr>
        <w:t>QTc</w:t>
      </w:r>
      <w:proofErr w:type="spellEnd"/>
      <w:r w:rsidRPr="00C60BBA">
        <w:rPr>
          <w:rFonts w:eastAsia="Times New Roman" w:cs="Arial"/>
          <w:color w:val="000000"/>
          <w:lang w:val="en-US"/>
        </w:rPr>
        <w:t>-</w:t>
      </w:r>
      <w:r w:rsidRPr="00C60BBA">
        <w:rPr>
          <w:rFonts w:eastAsia="Times New Roman" w:cs="Arial"/>
          <w:color w:val="000000"/>
          <w:lang w:eastAsia="bg-BG"/>
        </w:rPr>
        <w:t xml:space="preserve">интервала. Възможно е пациентите в старческа възраст също да са по- чувствителни към свързани с лекарството ефекти върху </w:t>
      </w:r>
      <w:r w:rsidRPr="00C60BBA">
        <w:rPr>
          <w:rFonts w:eastAsia="Times New Roman" w:cs="Arial"/>
          <w:color w:val="000000"/>
          <w:lang w:val="en-US"/>
        </w:rPr>
        <w:t>QT</w:t>
      </w:r>
      <w:r w:rsidRPr="00C60BBA">
        <w:rPr>
          <w:rFonts w:eastAsia="Times New Roman" w:cs="Arial"/>
          <w:color w:val="000000"/>
          <w:lang w:eastAsia="bg-BG"/>
        </w:rPr>
        <w:t>-интервала.</w:t>
      </w:r>
    </w:p>
    <w:p w14:paraId="268B0B3F" w14:textId="77777777" w:rsidR="00C60BBA" w:rsidRPr="00C60BBA" w:rsidRDefault="00C60BBA" w:rsidP="00C60BBA">
      <w:pPr>
        <w:spacing w:line="240" w:lineRule="auto"/>
        <w:rPr>
          <w:rFonts w:eastAsia="Times New Roman" w:cs="Arial"/>
          <w:color w:val="000000"/>
          <w:lang w:eastAsia="bg-BG"/>
        </w:rPr>
      </w:pPr>
    </w:p>
    <w:p w14:paraId="42806165" w14:textId="124CC76B" w:rsidR="00C60BBA" w:rsidRPr="00C60BBA" w:rsidRDefault="00C60BBA" w:rsidP="00C60BBA">
      <w:pPr>
        <w:spacing w:line="240" w:lineRule="auto"/>
        <w:rPr>
          <w:rFonts w:eastAsia="Times New Roman" w:cs="Arial"/>
          <w:lang w:eastAsia="bg-BG"/>
        </w:rPr>
      </w:pPr>
      <w:r w:rsidRPr="00C60BBA">
        <w:rPr>
          <w:rFonts w:eastAsia="Times New Roman" w:cs="Arial"/>
          <w:color w:val="000000"/>
          <w:lang w:eastAsia="bg-BG"/>
        </w:rPr>
        <w:t>Лечение, което намалява нивата на калий, следва да се прилага внимателно при пациенти, получаващи моксифлоксацин (вижте точка 4.3 и 4.5).</w:t>
      </w:r>
    </w:p>
    <w:p w14:paraId="64D9CAFA" w14:textId="77777777" w:rsidR="00C60BBA" w:rsidRPr="00C60BBA" w:rsidRDefault="00C60BBA" w:rsidP="00C60BBA">
      <w:pPr>
        <w:spacing w:line="240" w:lineRule="auto"/>
        <w:rPr>
          <w:rFonts w:eastAsia="Times New Roman" w:cs="Arial"/>
          <w:color w:val="000000"/>
          <w:lang w:eastAsia="bg-BG"/>
        </w:rPr>
      </w:pPr>
    </w:p>
    <w:p w14:paraId="522543DF" w14:textId="5B4E45D4" w:rsidR="00C60BBA" w:rsidRPr="00C60BBA" w:rsidRDefault="00C60BBA" w:rsidP="00C60BBA">
      <w:pPr>
        <w:spacing w:line="240" w:lineRule="auto"/>
        <w:rPr>
          <w:rFonts w:eastAsia="Times New Roman" w:cs="Arial"/>
          <w:lang w:eastAsia="bg-BG"/>
        </w:rPr>
      </w:pPr>
      <w:r w:rsidRPr="00C60BBA">
        <w:rPr>
          <w:rFonts w:eastAsia="Times New Roman" w:cs="Arial"/>
          <w:color w:val="000000"/>
          <w:lang w:eastAsia="bg-BG"/>
        </w:rPr>
        <w:t xml:space="preserve">Моксифлоксацин трябва да се използва внимателно при пациенти с проаритмични състояния (особено жени и пациенти в старческа възраст), като остра исхемия на миокарда или удължаване на </w:t>
      </w:r>
      <w:r w:rsidRPr="00C60BBA">
        <w:rPr>
          <w:rFonts w:eastAsia="Times New Roman" w:cs="Arial"/>
          <w:color w:val="000000"/>
          <w:lang w:val="en-US"/>
        </w:rPr>
        <w:t xml:space="preserve">QT, </w:t>
      </w:r>
      <w:r w:rsidRPr="00C60BBA">
        <w:rPr>
          <w:rFonts w:eastAsia="Times New Roman" w:cs="Arial"/>
          <w:color w:val="000000"/>
          <w:lang w:eastAsia="bg-BG"/>
        </w:rPr>
        <w:t xml:space="preserve">тъй като това може да доведе до повишен риск от камерни аритмии (вкл. </w:t>
      </w:r>
      <w:proofErr w:type="gramStart"/>
      <w:r w:rsidRPr="00C60BBA">
        <w:rPr>
          <w:rFonts w:eastAsia="Times New Roman" w:cs="Arial"/>
          <w:color w:val="000000"/>
          <w:lang w:val="en-US"/>
        </w:rPr>
        <w:t>torsade</w:t>
      </w:r>
      <w:proofErr w:type="gramEnd"/>
      <w:r w:rsidRPr="00C60BBA">
        <w:rPr>
          <w:rFonts w:eastAsia="Times New Roman" w:cs="Arial"/>
          <w:color w:val="000000"/>
          <w:lang w:val="en-US"/>
        </w:rPr>
        <w:t xml:space="preserve"> de pointes) </w:t>
      </w:r>
      <w:r w:rsidRPr="00C60BBA">
        <w:rPr>
          <w:rFonts w:eastAsia="Times New Roman" w:cs="Arial"/>
          <w:color w:val="000000"/>
          <w:lang w:eastAsia="bg-BG"/>
        </w:rPr>
        <w:t xml:space="preserve">и сърдечен арест (вижте също точка 4.3). Степента на удължаване на </w:t>
      </w:r>
      <w:r w:rsidRPr="00C60BBA">
        <w:rPr>
          <w:rFonts w:eastAsia="Times New Roman" w:cs="Arial"/>
          <w:color w:val="000000"/>
          <w:lang w:val="en-US"/>
        </w:rPr>
        <w:t xml:space="preserve">QT </w:t>
      </w:r>
      <w:r w:rsidRPr="00C60BBA">
        <w:rPr>
          <w:rFonts w:eastAsia="Times New Roman" w:cs="Arial"/>
          <w:color w:val="000000"/>
          <w:lang w:eastAsia="bg-BG"/>
        </w:rPr>
        <w:t>интервала може да се повиши с повишаване на концентрацията на лекарството. Следователно препоръчителната доза не трябва да се превишава.</w:t>
      </w:r>
    </w:p>
    <w:p w14:paraId="783318E0" w14:textId="77777777" w:rsidR="00C60BBA" w:rsidRPr="00C60BBA" w:rsidRDefault="00C60BBA" w:rsidP="00C60BBA">
      <w:pPr>
        <w:spacing w:line="240" w:lineRule="auto"/>
        <w:rPr>
          <w:rFonts w:eastAsia="Times New Roman" w:cs="Arial"/>
          <w:color w:val="000000"/>
          <w:lang w:eastAsia="bg-BG"/>
        </w:rPr>
      </w:pPr>
    </w:p>
    <w:p w14:paraId="7AA9963A" w14:textId="6A7A7DA5" w:rsidR="00C60BBA" w:rsidRPr="00C60BBA" w:rsidRDefault="00C60BBA" w:rsidP="00C60BBA">
      <w:pPr>
        <w:spacing w:line="240" w:lineRule="auto"/>
        <w:rPr>
          <w:rFonts w:eastAsia="Times New Roman" w:cs="Arial"/>
          <w:lang w:eastAsia="bg-BG"/>
        </w:rPr>
      </w:pPr>
      <w:r w:rsidRPr="00C60BBA">
        <w:rPr>
          <w:rFonts w:eastAsia="Times New Roman" w:cs="Arial"/>
          <w:color w:val="000000"/>
          <w:lang w:eastAsia="bg-BG"/>
        </w:rPr>
        <w:t>При поява на симптоми за сърдечна аритмия по време на терапията с моксифлоксацин, лечението трябва да се преустанови и да се направи ЕКГ.</w:t>
      </w:r>
    </w:p>
    <w:p w14:paraId="67B01DF7" w14:textId="77777777" w:rsidR="00C60BBA" w:rsidRPr="00C60BBA" w:rsidRDefault="00C60BBA" w:rsidP="00C60BBA">
      <w:pPr>
        <w:spacing w:line="240" w:lineRule="auto"/>
        <w:rPr>
          <w:rFonts w:eastAsia="Times New Roman" w:cs="Arial"/>
          <w:color w:val="000000"/>
          <w:u w:val="single"/>
          <w:lang w:eastAsia="bg-BG"/>
        </w:rPr>
      </w:pPr>
    </w:p>
    <w:p w14:paraId="56F53591" w14:textId="518147E6" w:rsidR="00C60BBA" w:rsidRPr="00C60BBA" w:rsidRDefault="00C60BBA" w:rsidP="00C60BBA">
      <w:pPr>
        <w:spacing w:line="240" w:lineRule="auto"/>
        <w:rPr>
          <w:rFonts w:eastAsia="Times New Roman" w:cs="Arial"/>
          <w:lang w:eastAsia="bg-BG"/>
        </w:rPr>
      </w:pPr>
      <w:r w:rsidRPr="00C60BBA">
        <w:rPr>
          <w:rFonts w:eastAsia="Times New Roman" w:cs="Arial"/>
          <w:color w:val="000000"/>
          <w:u w:val="single"/>
          <w:lang w:eastAsia="bg-BG"/>
        </w:rPr>
        <w:t>Реакции на свръхчувствителност/алергични реакции</w:t>
      </w:r>
    </w:p>
    <w:p w14:paraId="1814D751" w14:textId="77777777" w:rsidR="00C60BBA" w:rsidRPr="00C60BBA" w:rsidRDefault="00C60BBA" w:rsidP="00C60BBA">
      <w:pPr>
        <w:spacing w:line="240" w:lineRule="auto"/>
        <w:rPr>
          <w:rFonts w:eastAsia="Times New Roman" w:cs="Arial"/>
          <w:lang w:eastAsia="bg-BG"/>
        </w:rPr>
      </w:pPr>
      <w:r w:rsidRPr="00C60BBA">
        <w:rPr>
          <w:rFonts w:eastAsia="Times New Roman" w:cs="Arial"/>
          <w:color w:val="000000"/>
          <w:lang w:eastAsia="bg-BG"/>
        </w:rPr>
        <w:t>Съобщава се за реакции на свръхчувствителност и алергични реакции след първото прилагане, свързани с флуорохинолони, включително моксифлоксацин. Анафилактичните реакции могат да предизвикат животозастрашаващ шок, дори след първото прилагане. В случаи на клинични прояви на тежки реакции на свръхчувствителност, приемът на моксифлоксацин трябва да се преустанови и да се започне подходящо лечение (напр. лечение за шок).</w:t>
      </w:r>
    </w:p>
    <w:p w14:paraId="13EBA0B7" w14:textId="77777777" w:rsidR="00C60BBA" w:rsidRPr="00C60BBA" w:rsidRDefault="00C60BBA" w:rsidP="00C60BBA">
      <w:pPr>
        <w:spacing w:line="240" w:lineRule="auto"/>
        <w:rPr>
          <w:rFonts w:eastAsia="Times New Roman" w:cs="Arial"/>
          <w:color w:val="000000"/>
          <w:u w:val="single"/>
          <w:lang w:eastAsia="bg-BG"/>
        </w:rPr>
      </w:pPr>
    </w:p>
    <w:p w14:paraId="7294F785" w14:textId="1E1B2F20" w:rsidR="00C60BBA" w:rsidRPr="00C60BBA" w:rsidRDefault="00C60BBA" w:rsidP="00C60BBA">
      <w:pPr>
        <w:spacing w:line="240" w:lineRule="auto"/>
        <w:rPr>
          <w:rFonts w:eastAsia="Times New Roman" w:cs="Arial"/>
          <w:lang w:eastAsia="bg-BG"/>
        </w:rPr>
      </w:pPr>
      <w:r w:rsidRPr="00C60BBA">
        <w:rPr>
          <w:rFonts w:eastAsia="Times New Roman" w:cs="Arial"/>
          <w:color w:val="000000"/>
          <w:u w:val="single"/>
          <w:lang w:eastAsia="bg-BG"/>
        </w:rPr>
        <w:t>Тежки чернодробни увреждания</w:t>
      </w:r>
    </w:p>
    <w:p w14:paraId="57E892E4" w14:textId="77777777" w:rsidR="00C60BBA" w:rsidRPr="00C60BBA" w:rsidRDefault="00C60BBA" w:rsidP="00C60BBA">
      <w:pPr>
        <w:spacing w:line="240" w:lineRule="auto"/>
        <w:rPr>
          <w:rFonts w:eastAsia="Times New Roman" w:cs="Arial"/>
          <w:lang w:eastAsia="bg-BG"/>
        </w:rPr>
      </w:pPr>
      <w:r w:rsidRPr="00C60BBA">
        <w:rPr>
          <w:rFonts w:eastAsia="Times New Roman" w:cs="Arial"/>
          <w:color w:val="000000"/>
          <w:lang w:eastAsia="bg-BG"/>
        </w:rPr>
        <w:t>Докладвани са случаи на фулминантен хепатит, потенциално водещи до животозастрашаваща чернодробна недостатъчност (вкл. случаи с фатален изход) (вижте точка 4.8). Пациентите следва да знаят, че трябва да уведомят своя лекар преди да продължат лечението, ако се появят прояви и симптоми на фулминантен хепатит, като бързо развиваща се астения, свързана с жълтеница, тъмна урина, склонност към кървене или чернодробна енцефалопатия.</w:t>
      </w:r>
    </w:p>
    <w:p w14:paraId="10580C1F" w14:textId="77777777" w:rsidR="00C60BBA" w:rsidRPr="00C60BBA" w:rsidRDefault="00C60BBA" w:rsidP="00C60BBA">
      <w:pPr>
        <w:spacing w:line="240" w:lineRule="auto"/>
        <w:rPr>
          <w:rFonts w:eastAsia="Times New Roman" w:cs="Arial"/>
          <w:lang w:eastAsia="bg-BG"/>
        </w:rPr>
      </w:pPr>
      <w:r w:rsidRPr="00C60BBA">
        <w:rPr>
          <w:rFonts w:eastAsia="Times New Roman" w:cs="Arial"/>
          <w:color w:val="000000"/>
          <w:lang w:eastAsia="bg-BG"/>
        </w:rPr>
        <w:t>При поява на индикации за чернодробно увреждане трябва да се направят чернодробни функционални изследвания.</w:t>
      </w:r>
    </w:p>
    <w:p w14:paraId="5A6CE1B1" w14:textId="77777777" w:rsidR="00C60BBA" w:rsidRPr="00C60BBA" w:rsidRDefault="00C60BBA" w:rsidP="00C60BBA">
      <w:pPr>
        <w:spacing w:line="240" w:lineRule="auto"/>
        <w:rPr>
          <w:rFonts w:eastAsia="Times New Roman" w:cs="Arial"/>
          <w:color w:val="000000"/>
          <w:u w:val="single"/>
          <w:lang w:eastAsia="bg-BG"/>
        </w:rPr>
      </w:pPr>
    </w:p>
    <w:p w14:paraId="1CD5CC31" w14:textId="6F4C3A7E" w:rsidR="00C60BBA" w:rsidRPr="00C60BBA" w:rsidRDefault="00C60BBA" w:rsidP="00C60BBA">
      <w:pPr>
        <w:spacing w:line="240" w:lineRule="auto"/>
        <w:rPr>
          <w:rFonts w:eastAsia="Times New Roman" w:cs="Arial"/>
          <w:lang w:eastAsia="bg-BG"/>
        </w:rPr>
      </w:pPr>
      <w:r w:rsidRPr="00C60BBA">
        <w:rPr>
          <w:rFonts w:eastAsia="Times New Roman" w:cs="Arial"/>
          <w:color w:val="000000"/>
          <w:u w:val="single"/>
          <w:lang w:eastAsia="bg-BG"/>
        </w:rPr>
        <w:t>Тежки кожни нежелани реакции</w:t>
      </w:r>
    </w:p>
    <w:p w14:paraId="51073FDA" w14:textId="77777777" w:rsidR="00C60BBA" w:rsidRPr="00C60BBA" w:rsidRDefault="00C60BBA" w:rsidP="00C60BBA">
      <w:pPr>
        <w:spacing w:line="240" w:lineRule="auto"/>
        <w:rPr>
          <w:rFonts w:eastAsia="Times New Roman" w:cs="Arial"/>
          <w:lang w:eastAsia="bg-BG"/>
        </w:rPr>
      </w:pPr>
      <w:r w:rsidRPr="00C60BBA">
        <w:rPr>
          <w:rFonts w:eastAsia="Times New Roman" w:cs="Arial"/>
          <w:color w:val="000000"/>
          <w:lang w:eastAsia="bg-BG"/>
        </w:rPr>
        <w:t xml:space="preserve">Тежки кожни нежелани реакции </w:t>
      </w:r>
      <w:r w:rsidRPr="00C60BBA">
        <w:rPr>
          <w:rFonts w:eastAsia="Times New Roman" w:cs="Arial"/>
          <w:color w:val="000000"/>
          <w:lang w:val="en-US"/>
        </w:rPr>
        <w:t xml:space="preserve">(severe cutaneous adverse reactions, SCARs), </w:t>
      </w:r>
      <w:r w:rsidRPr="00C60BBA">
        <w:rPr>
          <w:rFonts w:eastAsia="Times New Roman" w:cs="Arial"/>
          <w:color w:val="000000"/>
          <w:lang w:eastAsia="bg-BG"/>
        </w:rPr>
        <w:t xml:space="preserve">включително токсична епидермална некролиза </w:t>
      </w:r>
      <w:r w:rsidRPr="00C60BBA">
        <w:rPr>
          <w:rFonts w:eastAsia="Times New Roman" w:cs="Arial"/>
          <w:color w:val="000000"/>
          <w:lang w:val="en-US"/>
        </w:rPr>
        <w:t xml:space="preserve">(toxic epidermal necrolysis, TEN: </w:t>
      </w:r>
      <w:r w:rsidRPr="00C60BBA">
        <w:rPr>
          <w:rFonts w:eastAsia="Times New Roman" w:cs="Arial"/>
          <w:color w:val="000000"/>
          <w:lang w:eastAsia="bg-BG"/>
        </w:rPr>
        <w:t xml:space="preserve">известна още като синдром на </w:t>
      </w:r>
      <w:r w:rsidRPr="00C60BBA">
        <w:rPr>
          <w:rFonts w:eastAsia="Times New Roman" w:cs="Arial"/>
          <w:color w:val="000000"/>
          <w:lang w:val="en-US"/>
        </w:rPr>
        <w:t xml:space="preserve">Lyell), </w:t>
      </w:r>
      <w:r w:rsidRPr="00C60BBA">
        <w:rPr>
          <w:rFonts w:eastAsia="Times New Roman" w:cs="Arial"/>
          <w:color w:val="000000"/>
          <w:lang w:eastAsia="bg-BG"/>
        </w:rPr>
        <w:t xml:space="preserve">синдром на </w:t>
      </w:r>
      <w:r w:rsidRPr="00C60BBA">
        <w:rPr>
          <w:rFonts w:eastAsia="Times New Roman" w:cs="Arial"/>
          <w:color w:val="000000"/>
          <w:lang w:val="en-US"/>
        </w:rPr>
        <w:t xml:space="preserve">Stevens Johnson (Stevens Johnson syndrome, SJS) </w:t>
      </w:r>
      <w:r w:rsidRPr="00C60BBA">
        <w:rPr>
          <w:rFonts w:eastAsia="Times New Roman" w:cs="Arial"/>
          <w:color w:val="000000"/>
          <w:lang w:eastAsia="bg-BG"/>
        </w:rPr>
        <w:t xml:space="preserve">и остра генерализирана екзантематозна пустулоза </w:t>
      </w:r>
      <w:r w:rsidRPr="00C60BBA">
        <w:rPr>
          <w:rFonts w:eastAsia="Times New Roman" w:cs="Arial"/>
          <w:color w:val="000000"/>
          <w:lang w:val="en-US"/>
        </w:rPr>
        <w:t xml:space="preserve">(acute </w:t>
      </w:r>
      <w:proofErr w:type="spellStart"/>
      <w:r w:rsidRPr="00C60BBA">
        <w:rPr>
          <w:rFonts w:eastAsia="Times New Roman" w:cs="Arial"/>
          <w:color w:val="000000"/>
          <w:lang w:val="en-US"/>
        </w:rPr>
        <w:t>generalised</w:t>
      </w:r>
      <w:proofErr w:type="spellEnd"/>
      <w:r w:rsidRPr="00C60BBA">
        <w:rPr>
          <w:rFonts w:eastAsia="Times New Roman" w:cs="Arial"/>
          <w:color w:val="000000"/>
          <w:lang w:val="en-US"/>
        </w:rPr>
        <w:t xml:space="preserve"> </w:t>
      </w:r>
      <w:proofErr w:type="spellStart"/>
      <w:r w:rsidRPr="00C60BBA">
        <w:rPr>
          <w:rFonts w:eastAsia="Times New Roman" w:cs="Arial"/>
          <w:color w:val="000000"/>
          <w:lang w:val="en-US"/>
        </w:rPr>
        <w:t>exanthematous</w:t>
      </w:r>
      <w:proofErr w:type="spellEnd"/>
      <w:r w:rsidRPr="00C60BBA">
        <w:rPr>
          <w:rFonts w:eastAsia="Times New Roman" w:cs="Arial"/>
          <w:color w:val="000000"/>
          <w:lang w:val="en-US"/>
        </w:rPr>
        <w:t xml:space="preserve"> </w:t>
      </w:r>
      <w:proofErr w:type="spellStart"/>
      <w:r w:rsidRPr="00C60BBA">
        <w:rPr>
          <w:rFonts w:eastAsia="Times New Roman" w:cs="Arial"/>
          <w:color w:val="000000"/>
          <w:lang w:val="en-US"/>
        </w:rPr>
        <w:t>pustulosis</w:t>
      </w:r>
      <w:proofErr w:type="spellEnd"/>
      <w:r w:rsidRPr="00C60BBA">
        <w:rPr>
          <w:rFonts w:eastAsia="Times New Roman" w:cs="Arial"/>
          <w:color w:val="000000"/>
          <w:lang w:val="en-US"/>
        </w:rPr>
        <w:t xml:space="preserve">, AGEP), </w:t>
      </w:r>
      <w:r w:rsidRPr="00C60BBA">
        <w:rPr>
          <w:rFonts w:eastAsia="Times New Roman" w:cs="Arial"/>
          <w:color w:val="000000"/>
          <w:lang w:eastAsia="bg-BG"/>
        </w:rPr>
        <w:t>които могат да бъдат животозастрашаващи или с летален изход, са съобщавани при приложение на моксифлоксацин (вж. точка 4.8). Към момента на предписване пациентът трябва да бъде информиран относно признаците и симптомите на тежки кожни реакции, и да бъде внимателно проследяван. Ако се появят признаци и симптоми, показателни за тези реакции, приложението на моксифлоксацин трябва бъде преустановено незабавно, и да се обмисли алтернативно</w:t>
      </w:r>
      <w:r w:rsidRPr="00C60BBA">
        <w:rPr>
          <w:rFonts w:eastAsia="Times New Roman" w:cs="Arial"/>
          <w:color w:val="000000"/>
          <w:u w:val="single"/>
          <w:lang w:eastAsia="bg-BG"/>
        </w:rPr>
        <w:t xml:space="preserve"> </w:t>
      </w:r>
      <w:r w:rsidRPr="00C60BBA">
        <w:rPr>
          <w:rFonts w:eastAsia="Times New Roman" w:cs="Arial"/>
          <w:color w:val="000000"/>
          <w:lang w:eastAsia="bg-BG"/>
        </w:rPr>
        <w:t xml:space="preserve">лечение. Ако пациентът е развил сериозна реакция като </w:t>
      </w:r>
      <w:r w:rsidRPr="00C60BBA">
        <w:rPr>
          <w:rFonts w:eastAsia="Times New Roman" w:cs="Arial"/>
          <w:color w:val="000000"/>
          <w:lang w:val="en-US"/>
        </w:rPr>
        <w:t xml:space="preserve">SJS, TEN </w:t>
      </w:r>
      <w:r w:rsidRPr="00C60BBA">
        <w:rPr>
          <w:rFonts w:eastAsia="Times New Roman" w:cs="Arial"/>
          <w:color w:val="000000"/>
          <w:lang w:eastAsia="bg-BG"/>
        </w:rPr>
        <w:t xml:space="preserve">или </w:t>
      </w:r>
      <w:r w:rsidRPr="00C60BBA">
        <w:rPr>
          <w:rFonts w:eastAsia="Times New Roman" w:cs="Arial"/>
          <w:color w:val="000000"/>
          <w:lang w:val="en-US"/>
        </w:rPr>
        <w:t xml:space="preserve">AGEP </w:t>
      </w:r>
      <w:r w:rsidRPr="00C60BBA">
        <w:rPr>
          <w:rFonts w:eastAsia="Times New Roman" w:cs="Arial"/>
          <w:color w:val="000000"/>
          <w:lang w:eastAsia="bg-BG"/>
        </w:rPr>
        <w:t>при приложение на моксифлоксацин, лечението с моксифлоксацин при този пациент никога не трябва да се възобновява.</w:t>
      </w:r>
    </w:p>
    <w:p w14:paraId="1E29760C" w14:textId="77777777" w:rsidR="00C60BBA" w:rsidRPr="00C60BBA" w:rsidRDefault="00C60BBA" w:rsidP="00C60BBA">
      <w:pPr>
        <w:spacing w:line="240" w:lineRule="auto"/>
        <w:rPr>
          <w:rFonts w:eastAsia="Times New Roman" w:cs="Arial"/>
          <w:lang w:eastAsia="bg-BG"/>
        </w:rPr>
      </w:pPr>
    </w:p>
    <w:p w14:paraId="7B1C6189" w14:textId="37A27AC2" w:rsidR="00C60BBA" w:rsidRPr="00C60BBA" w:rsidRDefault="00C60BBA" w:rsidP="00C60BBA">
      <w:pPr>
        <w:rPr>
          <w:rFonts w:cs="Arial"/>
        </w:rPr>
      </w:pPr>
      <w:r w:rsidRPr="00C60BBA">
        <w:rPr>
          <w:rFonts w:eastAsia="Times New Roman" w:cs="Arial"/>
          <w:color w:val="000000"/>
          <w:u w:val="single"/>
          <w:lang w:eastAsia="bg-BG"/>
        </w:rPr>
        <w:t>Пациенти, предразположени към гърчове</w:t>
      </w:r>
    </w:p>
    <w:p w14:paraId="58D7A93C" w14:textId="77777777" w:rsidR="00C60BBA" w:rsidRPr="00C60BBA" w:rsidRDefault="00C60BBA" w:rsidP="00C60BBA">
      <w:pPr>
        <w:spacing w:line="240" w:lineRule="auto"/>
        <w:rPr>
          <w:rFonts w:eastAsia="Times New Roman" w:cs="Arial"/>
          <w:lang w:eastAsia="bg-BG"/>
        </w:rPr>
      </w:pPr>
      <w:r w:rsidRPr="00C60BBA">
        <w:rPr>
          <w:rFonts w:eastAsia="Times New Roman" w:cs="Arial"/>
          <w:color w:val="000000"/>
          <w:lang w:eastAsia="bg-BG"/>
        </w:rPr>
        <w:t>Известно е, че хинолоните причиняват гърчове. Използването трябва да бъде внимателно при пациенти с нарушения на ЦНС или при наличието на други рискови фактори, които могат да предразполагат към гърчове или снижават прага на възбудимост. В случай на гърчове, лечението с моксифлоксацин трябва да бъде преустановено и да се вземат съответните мерки.</w:t>
      </w:r>
    </w:p>
    <w:p w14:paraId="63B51135" w14:textId="77777777" w:rsidR="00C60BBA" w:rsidRPr="00C60BBA" w:rsidRDefault="00C60BBA" w:rsidP="00C60BBA">
      <w:pPr>
        <w:spacing w:line="240" w:lineRule="auto"/>
        <w:rPr>
          <w:rFonts w:eastAsia="Times New Roman" w:cs="Arial"/>
          <w:color w:val="000000"/>
          <w:u w:val="single"/>
          <w:lang w:eastAsia="bg-BG"/>
        </w:rPr>
      </w:pPr>
    </w:p>
    <w:p w14:paraId="64844540" w14:textId="5B8A4CE7" w:rsidR="00C60BBA" w:rsidRPr="00C60BBA" w:rsidRDefault="00C60BBA" w:rsidP="00C60BBA">
      <w:pPr>
        <w:spacing w:line="240" w:lineRule="auto"/>
        <w:rPr>
          <w:rFonts w:eastAsia="Times New Roman" w:cs="Arial"/>
          <w:lang w:eastAsia="bg-BG"/>
        </w:rPr>
      </w:pPr>
      <w:r w:rsidRPr="00C60BBA">
        <w:rPr>
          <w:rFonts w:eastAsia="Times New Roman" w:cs="Arial"/>
          <w:color w:val="000000"/>
          <w:u w:val="single"/>
          <w:lang w:eastAsia="bg-BG"/>
        </w:rPr>
        <w:t>Периферна невропатия</w:t>
      </w:r>
    </w:p>
    <w:p w14:paraId="41619C04" w14:textId="77777777" w:rsidR="00C60BBA" w:rsidRPr="00C60BBA" w:rsidRDefault="00C60BBA" w:rsidP="00C60BBA">
      <w:pPr>
        <w:spacing w:line="240" w:lineRule="auto"/>
        <w:rPr>
          <w:rFonts w:eastAsia="Times New Roman" w:cs="Arial"/>
          <w:lang w:eastAsia="bg-BG"/>
        </w:rPr>
      </w:pPr>
      <w:r w:rsidRPr="00C60BBA">
        <w:rPr>
          <w:rFonts w:eastAsia="Times New Roman" w:cs="Arial"/>
          <w:color w:val="000000"/>
          <w:lang w:eastAsia="bg-BG"/>
        </w:rPr>
        <w:t>Съобщава се за случаи на сензорна или сензомоторна полиневропатия, водещи до парестезии, хипоестезии, дизестезии или слабост при пациенти, приемащи хинолони и флуорохинолони, включително моксифлоксацин. Преди да продължат лечението, пациентите, които приемат моксифлоксацин, трябва да бъдат посъветвани да информират своя лекар, ако развият симптоми на невропатия, като болка, парене, мравучкане, изтръпване или слабост, за да се предотврати достигането на потенциално необратимо състояние (вж. точка 4.8).</w:t>
      </w:r>
    </w:p>
    <w:p w14:paraId="22BD8454" w14:textId="77777777" w:rsidR="00C60BBA" w:rsidRPr="00C60BBA" w:rsidRDefault="00C60BBA" w:rsidP="00C60BBA">
      <w:pPr>
        <w:spacing w:line="240" w:lineRule="auto"/>
        <w:rPr>
          <w:rFonts w:eastAsia="Times New Roman" w:cs="Arial"/>
          <w:color w:val="000000"/>
          <w:u w:val="single"/>
          <w:lang w:eastAsia="bg-BG"/>
        </w:rPr>
      </w:pPr>
    </w:p>
    <w:p w14:paraId="58AB1148" w14:textId="38B21432" w:rsidR="00C60BBA" w:rsidRPr="00C60BBA" w:rsidRDefault="00C60BBA" w:rsidP="00C60BBA">
      <w:pPr>
        <w:spacing w:line="240" w:lineRule="auto"/>
        <w:rPr>
          <w:rFonts w:eastAsia="Times New Roman" w:cs="Arial"/>
          <w:lang w:eastAsia="bg-BG"/>
        </w:rPr>
      </w:pPr>
      <w:r w:rsidRPr="00C60BBA">
        <w:rPr>
          <w:rFonts w:eastAsia="Times New Roman" w:cs="Arial"/>
          <w:color w:val="000000"/>
          <w:u w:val="single"/>
          <w:lang w:eastAsia="bg-BG"/>
        </w:rPr>
        <w:t>Психични реакции</w:t>
      </w:r>
    </w:p>
    <w:p w14:paraId="35C2CA1A" w14:textId="77777777" w:rsidR="00C60BBA" w:rsidRPr="00C60BBA" w:rsidRDefault="00C60BBA" w:rsidP="00C60BBA">
      <w:pPr>
        <w:spacing w:line="240" w:lineRule="auto"/>
        <w:rPr>
          <w:rFonts w:eastAsia="Times New Roman" w:cs="Arial"/>
          <w:lang w:eastAsia="bg-BG"/>
        </w:rPr>
      </w:pPr>
      <w:r w:rsidRPr="00C60BBA">
        <w:rPr>
          <w:rFonts w:eastAsia="Times New Roman" w:cs="Arial"/>
          <w:color w:val="000000"/>
          <w:lang w:eastAsia="bg-BG"/>
        </w:rPr>
        <w:t>Психични реакции могат да се проявят дори след първия прием на хинолони, включително моксифлоксацин. В много редки случаи депресията или психотичните реакции са прогресирали до мисли за самоубийство и самонараняващо поведение, напр. опити за самоубийство (вижте точка 4.8). В случай че при пациента се проявят такива реакции, трябва да се спре приемът на моксифлоксацин и да се предприемат подходящи мерки. Препоръчва се повишено внимание, ако моксифлоксацин се използва при психотични пациенти или пациенти с анамнеза за психично заболяване.</w:t>
      </w:r>
    </w:p>
    <w:p w14:paraId="5E9296DA" w14:textId="77777777" w:rsidR="00C60BBA" w:rsidRPr="00C60BBA" w:rsidRDefault="00C60BBA" w:rsidP="00C60BBA">
      <w:pPr>
        <w:spacing w:line="240" w:lineRule="auto"/>
        <w:rPr>
          <w:rFonts w:eastAsia="Times New Roman" w:cs="Arial"/>
          <w:color w:val="000000"/>
          <w:u w:val="single"/>
          <w:lang w:eastAsia="bg-BG"/>
        </w:rPr>
      </w:pPr>
    </w:p>
    <w:p w14:paraId="0CD02436" w14:textId="192C9666" w:rsidR="00C60BBA" w:rsidRPr="00C60BBA" w:rsidRDefault="00C60BBA" w:rsidP="00C60BBA">
      <w:pPr>
        <w:spacing w:line="240" w:lineRule="auto"/>
        <w:rPr>
          <w:rFonts w:eastAsia="Times New Roman" w:cs="Arial"/>
          <w:lang w:eastAsia="bg-BG"/>
        </w:rPr>
      </w:pPr>
      <w:r w:rsidRPr="00C60BBA">
        <w:rPr>
          <w:rFonts w:eastAsia="Times New Roman" w:cs="Arial"/>
          <w:color w:val="000000"/>
          <w:u w:val="single"/>
          <w:lang w:eastAsia="bg-BG"/>
        </w:rPr>
        <w:t>Свързана с антибиотика диария, вкл, колит</w:t>
      </w:r>
    </w:p>
    <w:p w14:paraId="2809DA26" w14:textId="77777777" w:rsidR="00C60BBA" w:rsidRPr="00C60BBA" w:rsidRDefault="00C60BBA" w:rsidP="00C60BBA">
      <w:pPr>
        <w:spacing w:line="240" w:lineRule="auto"/>
        <w:rPr>
          <w:rFonts w:eastAsia="Times New Roman" w:cs="Arial"/>
          <w:lang w:eastAsia="bg-BG"/>
        </w:rPr>
      </w:pPr>
      <w:r w:rsidRPr="00C60BBA">
        <w:rPr>
          <w:rFonts w:eastAsia="Times New Roman" w:cs="Arial"/>
          <w:color w:val="000000"/>
          <w:lang w:eastAsia="bg-BG"/>
        </w:rPr>
        <w:t xml:space="preserve">Има съобщения за свързана с антибиотика диария </w:t>
      </w:r>
      <w:r w:rsidRPr="00C60BBA">
        <w:rPr>
          <w:rFonts w:eastAsia="Times New Roman" w:cs="Arial"/>
          <w:color w:val="000000"/>
          <w:lang w:val="en-US"/>
        </w:rPr>
        <w:t xml:space="preserve">(AAD) </w:t>
      </w:r>
      <w:r w:rsidRPr="00C60BBA">
        <w:rPr>
          <w:rFonts w:eastAsia="Times New Roman" w:cs="Arial"/>
          <w:color w:val="000000"/>
          <w:lang w:eastAsia="bg-BG"/>
        </w:rPr>
        <w:t xml:space="preserve">и свързан с антибиотика колит (ААС), включително псевдомембранозен колит, и свързана с </w:t>
      </w:r>
      <w:r w:rsidRPr="00C60BBA">
        <w:rPr>
          <w:rFonts w:eastAsia="Times New Roman" w:cs="Arial"/>
          <w:i/>
          <w:iCs/>
          <w:color w:val="000000"/>
          <w:lang w:val="en-US"/>
        </w:rPr>
        <w:t>Clostridium difficile</w:t>
      </w:r>
      <w:r w:rsidRPr="00C60BBA">
        <w:rPr>
          <w:rFonts w:eastAsia="Times New Roman" w:cs="Arial"/>
          <w:color w:val="000000"/>
          <w:lang w:val="en-US"/>
        </w:rPr>
        <w:t xml:space="preserve"> </w:t>
      </w:r>
      <w:r w:rsidRPr="00C60BBA">
        <w:rPr>
          <w:rFonts w:eastAsia="Times New Roman" w:cs="Arial"/>
          <w:color w:val="000000"/>
          <w:lang w:eastAsia="bg-BG"/>
        </w:rPr>
        <w:t>диария, при използването на широко-спектърни антибиотици, включително моксифлоксацин, които могат да варират по тежест от лека диария до фатален колит. Поради това е важно да се има предвид тази диагноза при пациенти, които имат тежка диария по време или след използването на моксифлоксацин. Ако се подозира или потвърди свързана с антибиотика диария или свързан с антибиотика колит, трябва да се прекрати провежданото в момента лечение с антибактериални средства, включително моксифлоксацин, и незабавно да се предприемат адекватни терапевтични мерки. Допълнително трябва да бъдат предприети подходящи мерки за контрол на инфекцията, за да се намали рискът от предаването й. Лекарства, които потискат перисталтиката, са противопоказани при пациенти, които имат тежка диария</w:t>
      </w:r>
    </w:p>
    <w:p w14:paraId="41BD6085" w14:textId="77777777" w:rsidR="00C60BBA" w:rsidRPr="00C60BBA" w:rsidRDefault="00C60BBA" w:rsidP="00C60BBA">
      <w:pPr>
        <w:spacing w:line="240" w:lineRule="auto"/>
        <w:rPr>
          <w:rFonts w:eastAsia="Times New Roman" w:cs="Arial"/>
          <w:color w:val="000000"/>
          <w:u w:val="single"/>
          <w:lang w:eastAsia="bg-BG"/>
        </w:rPr>
      </w:pPr>
    </w:p>
    <w:p w14:paraId="1D02B5EE" w14:textId="1F2AA309" w:rsidR="00C60BBA" w:rsidRPr="00C60BBA" w:rsidRDefault="00C60BBA" w:rsidP="00C60BBA">
      <w:pPr>
        <w:spacing w:line="240" w:lineRule="auto"/>
        <w:rPr>
          <w:rFonts w:eastAsia="Times New Roman" w:cs="Arial"/>
          <w:lang w:eastAsia="bg-BG"/>
        </w:rPr>
      </w:pPr>
      <w:r w:rsidRPr="00C60BBA">
        <w:rPr>
          <w:rFonts w:eastAsia="Times New Roman" w:cs="Arial"/>
          <w:color w:val="000000"/>
          <w:u w:val="single"/>
          <w:lang w:eastAsia="bg-BG"/>
        </w:rPr>
        <w:t>Пациенти с миастения гравис</w:t>
      </w:r>
    </w:p>
    <w:p w14:paraId="0C0A21F0" w14:textId="77777777" w:rsidR="00C60BBA" w:rsidRPr="00C60BBA" w:rsidRDefault="00C60BBA" w:rsidP="00C60BBA">
      <w:pPr>
        <w:spacing w:line="240" w:lineRule="auto"/>
        <w:rPr>
          <w:rFonts w:eastAsia="Times New Roman" w:cs="Arial"/>
          <w:lang w:eastAsia="bg-BG"/>
        </w:rPr>
      </w:pPr>
      <w:r w:rsidRPr="00C60BBA">
        <w:rPr>
          <w:rFonts w:eastAsia="Times New Roman" w:cs="Arial"/>
          <w:color w:val="000000"/>
          <w:lang w:eastAsia="bg-BG"/>
        </w:rPr>
        <w:t>Моксифлоксацин трябва да се използва с повишено внимание при пациенти с миастения гравис, тъй като може да засили симптомите им.</w:t>
      </w:r>
    </w:p>
    <w:p w14:paraId="72DCE42E" w14:textId="77777777" w:rsidR="00C60BBA" w:rsidRPr="00C60BBA" w:rsidRDefault="00C60BBA" w:rsidP="00C60BBA">
      <w:pPr>
        <w:spacing w:line="240" w:lineRule="auto"/>
        <w:rPr>
          <w:rFonts w:eastAsia="Times New Roman" w:cs="Arial"/>
          <w:color w:val="000000"/>
          <w:u w:val="single"/>
          <w:lang w:eastAsia="bg-BG"/>
        </w:rPr>
      </w:pPr>
    </w:p>
    <w:p w14:paraId="7BC4A9AF" w14:textId="1F64A364" w:rsidR="00C60BBA" w:rsidRPr="00C60BBA" w:rsidRDefault="00C60BBA" w:rsidP="00C60BBA">
      <w:pPr>
        <w:spacing w:line="240" w:lineRule="auto"/>
        <w:rPr>
          <w:rFonts w:eastAsia="Times New Roman" w:cs="Arial"/>
          <w:lang w:eastAsia="bg-BG"/>
        </w:rPr>
      </w:pPr>
      <w:r w:rsidRPr="00C60BBA">
        <w:rPr>
          <w:rFonts w:eastAsia="Times New Roman" w:cs="Arial"/>
          <w:color w:val="000000"/>
          <w:u w:val="single"/>
          <w:lang w:eastAsia="bg-BG"/>
        </w:rPr>
        <w:t>Тендинит и разкъсване на сухожилие</w:t>
      </w:r>
    </w:p>
    <w:p w14:paraId="42AE92F0" w14:textId="77777777" w:rsidR="00C60BBA" w:rsidRPr="00C60BBA" w:rsidRDefault="00C60BBA" w:rsidP="00C60BBA">
      <w:pPr>
        <w:spacing w:line="240" w:lineRule="auto"/>
        <w:rPr>
          <w:rFonts w:eastAsia="Times New Roman" w:cs="Arial"/>
          <w:lang w:eastAsia="bg-BG"/>
        </w:rPr>
      </w:pPr>
      <w:r w:rsidRPr="00C60BBA">
        <w:rPr>
          <w:rFonts w:eastAsia="Times New Roman" w:cs="Arial"/>
          <w:color w:val="000000"/>
          <w:lang w:eastAsia="bg-BG"/>
        </w:rPr>
        <w:t>Тендинит и разкъсване на сухожилие (по-специално ахилесово сухожилие, но без да се ограничава само до него), понякога двустранно, може да се получи още в рамките на 48 часа от започване на лечението с хинолони и флуорохинолони като има съобщения за такива, развили се дори до няколко месеца след прекратяване на лечението. Рискът от тендинит и разкъсване на сухожилие се повишава при по-възрастни пациенти, пациенти с бъбречно увреждане, пациенти с трансплантиран солиден орган и такива, лекувани съпътстващо с кортикостероиди. По тази причина съпътстващата употреба на кортикостероиди трябва да се избягва.</w:t>
      </w:r>
    </w:p>
    <w:p w14:paraId="3E47DE79" w14:textId="77777777" w:rsidR="00C60BBA" w:rsidRPr="00C60BBA" w:rsidRDefault="00C60BBA" w:rsidP="00C60BBA">
      <w:pPr>
        <w:spacing w:line="240" w:lineRule="auto"/>
        <w:rPr>
          <w:rFonts w:eastAsia="Times New Roman" w:cs="Arial"/>
          <w:lang w:eastAsia="bg-BG"/>
        </w:rPr>
      </w:pPr>
      <w:r w:rsidRPr="00C60BBA">
        <w:rPr>
          <w:rFonts w:eastAsia="Times New Roman" w:cs="Arial"/>
          <w:color w:val="000000"/>
          <w:lang w:eastAsia="bg-BG"/>
        </w:rPr>
        <w:t>При първия признак на тендинит (напр. болезнено подуване, възпаление) лечението с моксифлоксацин трябва да се прекрати и да се обмисли алтернативно лечение. Засегнатият(те) крайник(ци) трябва да бъде(ат) лекуван(и) по подходящ начин (напр. обездвижване).</w:t>
      </w:r>
      <w:r w:rsidRPr="00C60BBA">
        <w:rPr>
          <w:rFonts w:eastAsia="Times New Roman" w:cs="Arial"/>
          <w:color w:val="000000"/>
          <w:lang w:val="en-US"/>
        </w:rPr>
        <w:t xml:space="preserve"> </w:t>
      </w:r>
      <w:r w:rsidRPr="00C60BBA">
        <w:rPr>
          <w:rFonts w:eastAsia="Times New Roman" w:cs="Arial"/>
          <w:color w:val="000000"/>
          <w:lang w:eastAsia="bg-BG"/>
        </w:rPr>
        <w:t xml:space="preserve">Не трябва да се използват кортикостероиди, ако се появят признаци на тендинопатия. </w:t>
      </w:r>
    </w:p>
    <w:p w14:paraId="232D6411" w14:textId="77777777" w:rsidR="00C60BBA" w:rsidRPr="00C60BBA" w:rsidRDefault="00C60BBA" w:rsidP="00C60BBA">
      <w:pPr>
        <w:rPr>
          <w:rFonts w:eastAsia="Times New Roman" w:cs="Arial"/>
          <w:color w:val="000000"/>
          <w:u w:val="single"/>
          <w:lang w:eastAsia="bg-BG"/>
        </w:rPr>
      </w:pPr>
    </w:p>
    <w:p w14:paraId="6DB6A5F6" w14:textId="26D3B758" w:rsidR="00C60BBA" w:rsidRPr="00C60BBA" w:rsidRDefault="00C60BBA" w:rsidP="00C60BBA">
      <w:pPr>
        <w:rPr>
          <w:rFonts w:cs="Arial"/>
        </w:rPr>
      </w:pPr>
      <w:r w:rsidRPr="00C60BBA">
        <w:rPr>
          <w:rFonts w:eastAsia="Times New Roman" w:cs="Arial"/>
          <w:color w:val="000000"/>
          <w:u w:val="single"/>
          <w:lang w:eastAsia="bg-BG"/>
        </w:rPr>
        <w:t>Пациенти с бъбречно увреждане</w:t>
      </w:r>
    </w:p>
    <w:p w14:paraId="79090D01" w14:textId="77777777" w:rsidR="00C60BBA" w:rsidRPr="00C60BBA" w:rsidRDefault="00C60BBA" w:rsidP="00C60BBA">
      <w:pPr>
        <w:spacing w:line="240" w:lineRule="auto"/>
        <w:rPr>
          <w:rFonts w:eastAsia="Times New Roman" w:cs="Arial"/>
          <w:lang w:eastAsia="bg-BG"/>
        </w:rPr>
      </w:pPr>
      <w:r w:rsidRPr="00C60BBA">
        <w:rPr>
          <w:rFonts w:eastAsia="Times New Roman" w:cs="Arial"/>
          <w:color w:val="000000"/>
          <w:lang w:eastAsia="bg-BG"/>
        </w:rPr>
        <w:t>Пациенти в старческа възраст с бъбречни нарушения трябва да използват моксифлоксацин внимателно, ако не могат да поддържат адекватен прием на течности, защото дехидратацията може да повиши риска от бъбречна недостатъчност.</w:t>
      </w:r>
    </w:p>
    <w:p w14:paraId="407D80C6" w14:textId="77777777" w:rsidR="00C60BBA" w:rsidRPr="00C60BBA" w:rsidRDefault="00C60BBA" w:rsidP="00C60BBA">
      <w:pPr>
        <w:spacing w:line="240" w:lineRule="auto"/>
        <w:rPr>
          <w:rFonts w:eastAsia="Times New Roman" w:cs="Arial"/>
          <w:color w:val="000000"/>
          <w:u w:val="single"/>
          <w:lang w:eastAsia="bg-BG"/>
        </w:rPr>
      </w:pPr>
    </w:p>
    <w:p w14:paraId="6B44E8EE" w14:textId="6B6C9ADA" w:rsidR="00C60BBA" w:rsidRPr="00C60BBA" w:rsidRDefault="00C60BBA" w:rsidP="00C60BBA">
      <w:pPr>
        <w:spacing w:line="240" w:lineRule="auto"/>
        <w:rPr>
          <w:rFonts w:eastAsia="Times New Roman" w:cs="Arial"/>
          <w:lang w:eastAsia="bg-BG"/>
        </w:rPr>
      </w:pPr>
      <w:r w:rsidRPr="00C60BBA">
        <w:rPr>
          <w:rFonts w:eastAsia="Times New Roman" w:cs="Arial"/>
          <w:color w:val="000000"/>
          <w:u w:val="single"/>
          <w:lang w:eastAsia="bg-BG"/>
        </w:rPr>
        <w:t xml:space="preserve">Аневризма и дисекация на аортата и регургитация/недостатъчност на сърдечните клапи </w:t>
      </w:r>
      <w:r w:rsidRPr="00C60BBA">
        <w:rPr>
          <w:rFonts w:eastAsia="Times New Roman" w:cs="Arial"/>
          <w:color w:val="000000"/>
          <w:lang w:eastAsia="bg-BG"/>
        </w:rPr>
        <w:t xml:space="preserve">Епидемиологични проучвания показват повишен риск от аневризма и дисекация на аортата, особено при пациенти в старческа възраст, както и от регургитация на аортната </w:t>
      </w:r>
      <w:r w:rsidRPr="00C60BBA">
        <w:rPr>
          <w:rFonts w:eastAsia="Times New Roman" w:cs="Arial"/>
          <w:color w:val="000000"/>
          <w:lang w:eastAsia="bg-BG"/>
        </w:rPr>
        <w:lastRenderedPageBreak/>
        <w:t>и митралната клапа след прием на флуорохинолони. Съобщени са случаи на аневризма и дисекация на аортата, понякога усложнени поради разкъсване (включително с летален изход) и регургитация/недостатъчност на някои от сърдечните клапи при пациенти, приемащи флуорохинолони (вж. точка 4.8).</w:t>
      </w:r>
    </w:p>
    <w:p w14:paraId="15B44D9A" w14:textId="77777777" w:rsidR="00C60BBA" w:rsidRPr="00C60BBA" w:rsidRDefault="00C60BBA" w:rsidP="00C60BBA">
      <w:pPr>
        <w:spacing w:line="240" w:lineRule="auto"/>
        <w:rPr>
          <w:rFonts w:eastAsia="Times New Roman" w:cs="Arial"/>
          <w:color w:val="000000"/>
          <w:lang w:eastAsia="bg-BG"/>
        </w:rPr>
      </w:pPr>
    </w:p>
    <w:p w14:paraId="4DA8DF2E" w14:textId="29C21535" w:rsidR="00C60BBA" w:rsidRPr="00C60BBA" w:rsidRDefault="00C60BBA" w:rsidP="00C60BBA">
      <w:pPr>
        <w:spacing w:line="240" w:lineRule="auto"/>
        <w:rPr>
          <w:rFonts w:eastAsia="Times New Roman" w:cs="Arial"/>
          <w:lang w:eastAsia="bg-BG"/>
        </w:rPr>
      </w:pPr>
      <w:r w:rsidRPr="00C60BBA">
        <w:rPr>
          <w:rFonts w:eastAsia="Times New Roman" w:cs="Arial"/>
          <w:color w:val="000000"/>
          <w:lang w:eastAsia="bg-BG"/>
        </w:rPr>
        <w:t>Затова, флуорохинолоните трябва да се използват само след внимателна оценка на съотношението полза-риск и след обмисляне на други терапевтични възможности при пациентите с положителна фамилна анамнеза за аневризма или вродено заболяване на сърдечните клапи, както и при пациенти с диагностицирана предшестваща аневризма и/или дисекация на аортата или заболяване на сърдечните клапи, а също и при наличието на други рискови фактори или състояния, предразполагащи</w:t>
      </w:r>
    </w:p>
    <w:p w14:paraId="6040CA37" w14:textId="77777777" w:rsidR="00C60BBA" w:rsidRPr="00C60BBA" w:rsidRDefault="00C60BBA" w:rsidP="00C60BBA">
      <w:pPr>
        <w:spacing w:line="240" w:lineRule="auto"/>
        <w:rPr>
          <w:rFonts w:eastAsia="Times New Roman" w:cs="Arial"/>
          <w:color w:val="000000"/>
          <w:lang w:eastAsia="bg-BG"/>
        </w:rPr>
      </w:pPr>
    </w:p>
    <w:p w14:paraId="6286D721" w14:textId="4111BB07" w:rsidR="00C60BBA" w:rsidRPr="00C60BBA" w:rsidRDefault="00C60BBA" w:rsidP="00C60BBA">
      <w:pPr>
        <w:pStyle w:val="ListParagraph"/>
        <w:spacing w:line="240" w:lineRule="auto"/>
        <w:rPr>
          <w:rFonts w:eastAsia="Times New Roman" w:cs="Arial"/>
          <w:lang w:eastAsia="bg-BG"/>
        </w:rPr>
      </w:pPr>
      <w:r w:rsidRPr="00C60BBA">
        <w:rPr>
          <w:rFonts w:eastAsia="Times New Roman" w:cs="Arial"/>
          <w:color w:val="000000"/>
          <w:lang w:eastAsia="bg-BG"/>
        </w:rPr>
        <w:t xml:space="preserve">както за аневризма, така и за дисекация на аортата и за регургитация/недостатъчност на сърдечните клапи (напр. нарушения на съединителната тъкан, напр. Синдром на Марфан или синдром на </w:t>
      </w:r>
      <w:r w:rsidRPr="00C60BBA">
        <w:rPr>
          <w:rFonts w:eastAsia="Times New Roman" w:cs="Arial"/>
          <w:color w:val="000000"/>
          <w:lang w:val="en-US"/>
        </w:rPr>
        <w:t>Ehlers-</w:t>
      </w:r>
      <w:proofErr w:type="spellStart"/>
      <w:r w:rsidRPr="00C60BBA">
        <w:rPr>
          <w:rFonts w:eastAsia="Times New Roman" w:cs="Arial"/>
          <w:color w:val="000000"/>
          <w:lang w:val="en-US"/>
        </w:rPr>
        <w:t>Danlos</w:t>
      </w:r>
      <w:proofErr w:type="spellEnd"/>
      <w:r w:rsidRPr="00C60BBA">
        <w:rPr>
          <w:rFonts w:eastAsia="Times New Roman" w:cs="Arial"/>
          <w:color w:val="000000"/>
          <w:lang w:val="en-US"/>
        </w:rPr>
        <w:t xml:space="preserve">, </w:t>
      </w:r>
      <w:r w:rsidRPr="00C60BBA">
        <w:rPr>
          <w:rFonts w:eastAsia="Times New Roman" w:cs="Arial"/>
          <w:color w:val="000000"/>
          <w:lang w:eastAsia="bg-BG"/>
        </w:rPr>
        <w:t xml:space="preserve">синдром на </w:t>
      </w:r>
      <w:r w:rsidRPr="00C60BBA">
        <w:rPr>
          <w:rFonts w:eastAsia="Times New Roman" w:cs="Arial"/>
          <w:color w:val="000000"/>
          <w:lang w:val="en-US"/>
        </w:rPr>
        <w:t xml:space="preserve">Turner, </w:t>
      </w:r>
      <w:r w:rsidRPr="00C60BBA">
        <w:rPr>
          <w:rFonts w:eastAsia="Times New Roman" w:cs="Arial"/>
          <w:color w:val="000000"/>
          <w:lang w:eastAsia="bg-BG"/>
        </w:rPr>
        <w:t>болест на Бехчет, хипертония, ревматоиден артрит) или допълнително</w:t>
      </w:r>
    </w:p>
    <w:p w14:paraId="66F1BE17" w14:textId="4B154640" w:rsidR="00C60BBA" w:rsidRPr="00C60BBA" w:rsidRDefault="00C60BBA" w:rsidP="00C60BBA">
      <w:pPr>
        <w:pStyle w:val="ListParagraph"/>
        <w:numPr>
          <w:ilvl w:val="0"/>
          <w:numId w:val="41"/>
        </w:numPr>
        <w:spacing w:line="240" w:lineRule="auto"/>
        <w:rPr>
          <w:rFonts w:eastAsia="Times New Roman" w:cs="Arial"/>
          <w:lang w:eastAsia="bg-BG"/>
        </w:rPr>
      </w:pPr>
      <w:r w:rsidRPr="00C60BBA">
        <w:rPr>
          <w:rFonts w:eastAsia="Times New Roman" w:cs="Arial"/>
          <w:color w:val="000000"/>
          <w:lang w:eastAsia="bg-BG"/>
        </w:rPr>
        <w:t xml:space="preserve">при аневризма и дисекация на аортата (напр. съдови нарушения, напр. артериит на </w:t>
      </w:r>
      <w:proofErr w:type="spellStart"/>
      <w:r w:rsidRPr="00C60BBA">
        <w:rPr>
          <w:rFonts w:eastAsia="Times New Roman" w:cs="Arial"/>
          <w:color w:val="000000"/>
          <w:lang w:val="en-US"/>
        </w:rPr>
        <w:t>Takayasu</w:t>
      </w:r>
      <w:proofErr w:type="spellEnd"/>
      <w:r w:rsidRPr="00C60BBA">
        <w:rPr>
          <w:rFonts w:eastAsia="Times New Roman" w:cs="Arial"/>
          <w:color w:val="000000"/>
          <w:lang w:val="en-US"/>
        </w:rPr>
        <w:t xml:space="preserve">, </w:t>
      </w:r>
      <w:r w:rsidRPr="00C60BBA">
        <w:rPr>
          <w:rFonts w:eastAsia="Times New Roman" w:cs="Arial"/>
          <w:color w:val="000000"/>
          <w:lang w:eastAsia="bg-BG"/>
        </w:rPr>
        <w:t>гигантоклетъчен артериит, или известна атеросклероза или синдром на</w:t>
      </w:r>
      <w:r w:rsidRPr="00C60BBA">
        <w:rPr>
          <w:rFonts w:eastAsia="Times New Roman" w:cs="Arial"/>
          <w:color w:val="000000"/>
          <w:lang w:val="en-US" w:eastAsia="bg-BG"/>
        </w:rPr>
        <w:t xml:space="preserve"> </w:t>
      </w:r>
      <w:r w:rsidRPr="00C60BBA">
        <w:rPr>
          <w:rFonts w:eastAsia="Times New Roman" w:cs="Arial"/>
          <w:color w:val="000000"/>
          <w:lang w:eastAsia="bg-BG"/>
        </w:rPr>
        <w:t>Sjögren</w:t>
      </w:r>
      <w:r w:rsidRPr="00C60BBA">
        <w:rPr>
          <w:rFonts w:eastAsia="Times New Roman" w:cs="Arial"/>
          <w:color w:val="000000"/>
          <w:lang w:val="en-US"/>
        </w:rPr>
        <w:t xml:space="preserve">), </w:t>
      </w:r>
      <w:r w:rsidRPr="00C60BBA">
        <w:rPr>
          <w:rFonts w:eastAsia="Times New Roman" w:cs="Arial"/>
          <w:color w:val="000000"/>
          <w:lang w:eastAsia="bg-BG"/>
        </w:rPr>
        <w:t>или допълнително</w:t>
      </w:r>
    </w:p>
    <w:p w14:paraId="631665C0" w14:textId="64DBEF91" w:rsidR="00C60BBA" w:rsidRPr="00C60BBA" w:rsidRDefault="00C60BBA" w:rsidP="00C60BBA">
      <w:pPr>
        <w:pStyle w:val="ListParagraph"/>
        <w:numPr>
          <w:ilvl w:val="0"/>
          <w:numId w:val="41"/>
        </w:numPr>
        <w:spacing w:line="240" w:lineRule="auto"/>
        <w:rPr>
          <w:rFonts w:eastAsia="Times New Roman" w:cs="Arial"/>
          <w:lang w:eastAsia="bg-BG"/>
        </w:rPr>
      </w:pPr>
      <w:r w:rsidRPr="00C60BBA">
        <w:rPr>
          <w:rFonts w:eastAsia="Times New Roman" w:cs="Arial"/>
          <w:color w:val="000000"/>
          <w:lang w:eastAsia="bg-BG"/>
        </w:rPr>
        <w:t>при регургитация/недостатъчност на сърдечните клапи (напр. инфекциозен ендокардит).</w:t>
      </w:r>
    </w:p>
    <w:p w14:paraId="3567CF1C" w14:textId="77777777" w:rsidR="00C60BBA" w:rsidRPr="00C60BBA" w:rsidRDefault="00C60BBA" w:rsidP="00C60BBA">
      <w:pPr>
        <w:spacing w:line="240" w:lineRule="auto"/>
        <w:rPr>
          <w:rFonts w:eastAsia="Times New Roman" w:cs="Arial"/>
          <w:color w:val="000000"/>
          <w:lang w:eastAsia="bg-BG"/>
        </w:rPr>
      </w:pPr>
    </w:p>
    <w:p w14:paraId="6D4A5814" w14:textId="309A958B" w:rsidR="00C60BBA" w:rsidRPr="00C60BBA" w:rsidRDefault="00C60BBA" w:rsidP="00C60BBA">
      <w:pPr>
        <w:spacing w:line="240" w:lineRule="auto"/>
        <w:rPr>
          <w:rFonts w:eastAsia="Times New Roman" w:cs="Arial"/>
          <w:lang w:eastAsia="bg-BG"/>
        </w:rPr>
      </w:pPr>
      <w:r w:rsidRPr="00C60BBA">
        <w:rPr>
          <w:rFonts w:eastAsia="Times New Roman" w:cs="Arial"/>
          <w:color w:val="000000"/>
          <w:lang w:eastAsia="bg-BG"/>
        </w:rPr>
        <w:t>Рискът от аневризма и дисекация на аортата и тяхното разкъсване може също да се повиши при пациенти, лекувани едновременно със системни кортикостероиди..</w:t>
      </w:r>
    </w:p>
    <w:p w14:paraId="78225111" w14:textId="77777777" w:rsidR="00C60BBA" w:rsidRPr="00C60BBA" w:rsidRDefault="00C60BBA" w:rsidP="00C60BBA">
      <w:pPr>
        <w:spacing w:line="240" w:lineRule="auto"/>
        <w:rPr>
          <w:rFonts w:eastAsia="Times New Roman" w:cs="Arial"/>
          <w:color w:val="000000"/>
          <w:lang w:eastAsia="bg-BG"/>
        </w:rPr>
      </w:pPr>
    </w:p>
    <w:p w14:paraId="57B7BF6E" w14:textId="77777777" w:rsidR="00C60BBA" w:rsidRPr="00C60BBA" w:rsidRDefault="00C60BBA" w:rsidP="00C60BBA">
      <w:pPr>
        <w:spacing w:line="240" w:lineRule="auto"/>
        <w:rPr>
          <w:rFonts w:eastAsia="Times New Roman" w:cs="Arial"/>
          <w:color w:val="000000"/>
          <w:lang w:eastAsia="bg-BG"/>
        </w:rPr>
      </w:pPr>
    </w:p>
    <w:p w14:paraId="5821F598" w14:textId="578D02F8" w:rsidR="00C60BBA" w:rsidRPr="00C60BBA" w:rsidRDefault="00C60BBA" w:rsidP="00C60BBA">
      <w:pPr>
        <w:spacing w:line="240" w:lineRule="auto"/>
        <w:rPr>
          <w:rFonts w:eastAsia="Times New Roman" w:cs="Arial"/>
          <w:lang w:eastAsia="bg-BG"/>
        </w:rPr>
      </w:pPr>
      <w:r w:rsidRPr="00C60BBA">
        <w:rPr>
          <w:rFonts w:eastAsia="Times New Roman" w:cs="Arial"/>
          <w:color w:val="000000"/>
          <w:lang w:eastAsia="bg-BG"/>
        </w:rPr>
        <w:t>В случай на внезапна коремна, гръдна болка или болки в гърба, пациентите трябва да бъдат посъветвани незабавно да се консултират с лекар в спешен център.</w:t>
      </w:r>
    </w:p>
    <w:p w14:paraId="105DA7E1" w14:textId="77777777" w:rsidR="00C60BBA" w:rsidRPr="00C60BBA" w:rsidRDefault="00C60BBA" w:rsidP="00C60BBA">
      <w:pPr>
        <w:spacing w:line="240" w:lineRule="auto"/>
        <w:rPr>
          <w:rFonts w:eastAsia="Times New Roman" w:cs="Arial"/>
          <w:color w:val="000000"/>
          <w:lang w:eastAsia="bg-BG"/>
        </w:rPr>
      </w:pPr>
    </w:p>
    <w:p w14:paraId="29D7ABA6" w14:textId="5D2C87AC" w:rsidR="00C60BBA" w:rsidRPr="00C60BBA" w:rsidRDefault="00C60BBA" w:rsidP="00C60BBA">
      <w:pPr>
        <w:spacing w:line="240" w:lineRule="auto"/>
        <w:rPr>
          <w:rFonts w:eastAsia="Times New Roman" w:cs="Arial"/>
          <w:lang w:eastAsia="bg-BG"/>
        </w:rPr>
      </w:pPr>
      <w:r w:rsidRPr="00C60BBA">
        <w:rPr>
          <w:rFonts w:eastAsia="Times New Roman" w:cs="Arial"/>
          <w:color w:val="000000"/>
          <w:lang w:eastAsia="bg-BG"/>
        </w:rPr>
        <w:t>Пациентите трябва да бъдат посъветвани да потърсят незабавно медицинска помощ в случай на остра диспнея, поява на сърцебиене (палпитации) или развитие на оток на корема или долните крайници.</w:t>
      </w:r>
    </w:p>
    <w:p w14:paraId="7CBF97B9" w14:textId="77777777" w:rsidR="00C60BBA" w:rsidRPr="00C60BBA" w:rsidRDefault="00C60BBA" w:rsidP="00C60BBA">
      <w:pPr>
        <w:spacing w:line="240" w:lineRule="auto"/>
        <w:rPr>
          <w:rFonts w:eastAsia="Times New Roman" w:cs="Arial"/>
          <w:color w:val="000000"/>
          <w:u w:val="single"/>
          <w:lang w:eastAsia="bg-BG"/>
        </w:rPr>
      </w:pPr>
    </w:p>
    <w:p w14:paraId="51E0DA91" w14:textId="6A81484D" w:rsidR="00C60BBA" w:rsidRPr="00C60BBA" w:rsidRDefault="00C60BBA" w:rsidP="00C60BBA">
      <w:pPr>
        <w:spacing w:line="240" w:lineRule="auto"/>
        <w:rPr>
          <w:rFonts w:eastAsia="Times New Roman" w:cs="Arial"/>
          <w:lang w:eastAsia="bg-BG"/>
        </w:rPr>
      </w:pPr>
      <w:r w:rsidRPr="00C60BBA">
        <w:rPr>
          <w:rFonts w:eastAsia="Times New Roman" w:cs="Arial"/>
          <w:color w:val="000000"/>
          <w:u w:val="single"/>
          <w:lang w:eastAsia="bg-BG"/>
        </w:rPr>
        <w:t>Зрителни нарушения</w:t>
      </w:r>
    </w:p>
    <w:p w14:paraId="3A2DCFA8" w14:textId="77777777" w:rsidR="00C60BBA" w:rsidRPr="00C60BBA" w:rsidRDefault="00C60BBA" w:rsidP="00C60BBA">
      <w:pPr>
        <w:spacing w:line="240" w:lineRule="auto"/>
        <w:rPr>
          <w:rFonts w:eastAsia="Times New Roman" w:cs="Arial"/>
          <w:lang w:eastAsia="bg-BG"/>
        </w:rPr>
      </w:pPr>
      <w:r w:rsidRPr="00C60BBA">
        <w:rPr>
          <w:rFonts w:eastAsia="Times New Roman" w:cs="Arial"/>
          <w:color w:val="000000"/>
          <w:lang w:eastAsia="bg-BG"/>
        </w:rPr>
        <w:t>При поява на увреждане на зрението или каквито и да е ефекти върху очите, незабавно трябва да се потърси консултация с офталмолог (вижте точки 4.7 и 4.8).</w:t>
      </w:r>
    </w:p>
    <w:p w14:paraId="4CB25B33" w14:textId="77777777" w:rsidR="00C60BBA" w:rsidRPr="00C60BBA" w:rsidRDefault="00C60BBA" w:rsidP="00C60BBA">
      <w:pPr>
        <w:spacing w:line="240" w:lineRule="auto"/>
        <w:rPr>
          <w:rFonts w:eastAsia="Times New Roman" w:cs="Arial"/>
          <w:color w:val="000000"/>
          <w:u w:val="single"/>
          <w:lang w:eastAsia="bg-BG"/>
        </w:rPr>
      </w:pPr>
    </w:p>
    <w:p w14:paraId="0A8437DA" w14:textId="1B19ED53" w:rsidR="00C60BBA" w:rsidRPr="00C60BBA" w:rsidRDefault="00C60BBA" w:rsidP="00C60BBA">
      <w:pPr>
        <w:spacing w:line="240" w:lineRule="auto"/>
        <w:rPr>
          <w:rFonts w:eastAsia="Times New Roman" w:cs="Arial"/>
          <w:lang w:eastAsia="bg-BG"/>
        </w:rPr>
      </w:pPr>
      <w:r w:rsidRPr="00C60BBA">
        <w:rPr>
          <w:rFonts w:eastAsia="Times New Roman" w:cs="Arial"/>
          <w:color w:val="000000"/>
          <w:u w:val="single"/>
          <w:lang w:eastAsia="bg-BG"/>
        </w:rPr>
        <w:t>Дисгликемия</w:t>
      </w:r>
    </w:p>
    <w:p w14:paraId="0D5F552E" w14:textId="77777777" w:rsidR="00C60BBA" w:rsidRPr="00C60BBA" w:rsidRDefault="00C60BBA" w:rsidP="00C60BBA">
      <w:pPr>
        <w:spacing w:line="240" w:lineRule="auto"/>
        <w:rPr>
          <w:rFonts w:eastAsia="Times New Roman" w:cs="Arial"/>
          <w:lang w:eastAsia="bg-BG"/>
        </w:rPr>
      </w:pPr>
      <w:r w:rsidRPr="00C60BBA">
        <w:rPr>
          <w:rFonts w:eastAsia="Times New Roman" w:cs="Arial"/>
          <w:color w:val="000000"/>
          <w:lang w:eastAsia="bg-BG"/>
        </w:rPr>
        <w:t>Както при всички хинолони, са докладвани нарушения в нивата на кръвната захар, включващи както хипогликемия, така и хипергликемия (вижте точка 4.8), обичайно при пациенти с диабет, получаващи съпътстващо лечение с перорално хипогликемично средство (например глибенкламид) или с инсулин. Докладвани са случаи на хипогликемична кома. При пациенти с диабет се препоръчва внимателно мониториране на стойностите на глюкоза в кръвта.</w:t>
      </w:r>
    </w:p>
    <w:p w14:paraId="5A236657" w14:textId="77777777" w:rsidR="00C60BBA" w:rsidRPr="00C60BBA" w:rsidRDefault="00C60BBA" w:rsidP="00C60BBA">
      <w:pPr>
        <w:spacing w:line="240" w:lineRule="auto"/>
        <w:rPr>
          <w:rFonts w:eastAsia="Times New Roman" w:cs="Arial"/>
          <w:color w:val="000000"/>
          <w:u w:val="single"/>
          <w:lang w:eastAsia="bg-BG"/>
        </w:rPr>
      </w:pPr>
    </w:p>
    <w:p w14:paraId="1D5374EB" w14:textId="3F37C8E9" w:rsidR="00C60BBA" w:rsidRPr="00C60BBA" w:rsidRDefault="00C60BBA" w:rsidP="00C60BBA">
      <w:pPr>
        <w:spacing w:line="240" w:lineRule="auto"/>
        <w:rPr>
          <w:rFonts w:eastAsia="Times New Roman" w:cs="Arial"/>
          <w:lang w:eastAsia="bg-BG"/>
        </w:rPr>
      </w:pPr>
      <w:r w:rsidRPr="00C60BBA">
        <w:rPr>
          <w:rFonts w:eastAsia="Times New Roman" w:cs="Arial"/>
          <w:color w:val="000000"/>
          <w:u w:val="single"/>
          <w:lang w:eastAsia="bg-BG"/>
        </w:rPr>
        <w:t>Превенция на реакции на фоточувствителност</w:t>
      </w:r>
    </w:p>
    <w:p w14:paraId="25B91F7C" w14:textId="77777777" w:rsidR="00C60BBA" w:rsidRPr="00C60BBA" w:rsidRDefault="00C60BBA" w:rsidP="00C60BBA">
      <w:pPr>
        <w:spacing w:line="240" w:lineRule="auto"/>
        <w:rPr>
          <w:rFonts w:eastAsia="Times New Roman" w:cs="Arial"/>
          <w:lang w:eastAsia="bg-BG"/>
        </w:rPr>
      </w:pPr>
      <w:r w:rsidRPr="00C60BBA">
        <w:rPr>
          <w:rFonts w:eastAsia="Times New Roman" w:cs="Arial"/>
          <w:color w:val="000000"/>
          <w:lang w:eastAsia="bg-BG"/>
        </w:rPr>
        <w:t>Доказано е, че хинолоните предизвикват реакции на фоточувствителност при</w:t>
      </w:r>
      <w:r w:rsidRPr="00C60BBA">
        <w:rPr>
          <w:rFonts w:eastAsia="Times New Roman" w:cs="Arial"/>
          <w:color w:val="000000"/>
          <w:lang w:val="en-US"/>
        </w:rPr>
        <w:t xml:space="preserve"> </w:t>
      </w:r>
      <w:r w:rsidRPr="00C60BBA">
        <w:rPr>
          <w:rFonts w:eastAsia="Times New Roman" w:cs="Arial"/>
          <w:color w:val="000000"/>
          <w:lang w:eastAsia="bg-BG"/>
        </w:rPr>
        <w:t>пациенти.</w:t>
      </w:r>
    </w:p>
    <w:p w14:paraId="5C1E8911" w14:textId="297630E8" w:rsidR="00C60BBA" w:rsidRPr="00C60BBA" w:rsidRDefault="00C60BBA" w:rsidP="00C60BBA">
      <w:pPr>
        <w:spacing w:line="240" w:lineRule="auto"/>
        <w:rPr>
          <w:rFonts w:eastAsia="Times New Roman" w:cs="Arial"/>
          <w:lang w:eastAsia="bg-BG"/>
        </w:rPr>
      </w:pPr>
      <w:r w:rsidRPr="00C60BBA">
        <w:rPr>
          <w:rFonts w:eastAsia="Times New Roman" w:cs="Arial"/>
          <w:color w:val="000000"/>
          <w:lang w:eastAsia="bg-BG"/>
        </w:rPr>
        <w:t>Проучвания обаче са доказали, че моксифлоксацин се характеризира с по-малък риск от  индуцирането на фоточувствителни реакции. Въпреки това, пациентите трябва да бъдат</w:t>
      </w:r>
      <w:r w:rsidRPr="00C60BBA">
        <w:rPr>
          <w:rFonts w:eastAsia="Times New Roman" w:cs="Arial"/>
          <w:lang w:val="en-US" w:eastAsia="bg-BG"/>
        </w:rPr>
        <w:t xml:space="preserve"> </w:t>
      </w:r>
      <w:r w:rsidRPr="00C60BBA">
        <w:rPr>
          <w:rFonts w:eastAsia="Times New Roman" w:cs="Arial"/>
          <w:color w:val="000000"/>
          <w:lang w:eastAsia="bg-BG"/>
        </w:rPr>
        <w:lastRenderedPageBreak/>
        <w:t>съветвани да избягват УВ лъчи или продължително излагане и/или силна слънчева светлина по време на лечение с моксифлоксацин.</w:t>
      </w:r>
    </w:p>
    <w:p w14:paraId="30FB39EA" w14:textId="7D13C746" w:rsidR="00C60BBA" w:rsidRDefault="00C60BBA" w:rsidP="0091385D"/>
    <w:p w14:paraId="08FFE32F" w14:textId="77777777" w:rsidR="00C60BBA" w:rsidRPr="00C60BBA" w:rsidRDefault="00C60BBA" w:rsidP="00C60BBA">
      <w:pPr>
        <w:spacing w:line="240" w:lineRule="auto"/>
        <w:rPr>
          <w:rFonts w:eastAsia="Times New Roman" w:cs="Arial"/>
          <w:lang w:eastAsia="bg-BG"/>
        </w:rPr>
      </w:pPr>
      <w:r w:rsidRPr="00C60BBA">
        <w:rPr>
          <w:rFonts w:eastAsia="Times New Roman" w:cs="Arial"/>
          <w:color w:val="000000"/>
          <w:u w:val="single"/>
          <w:lang w:eastAsia="bg-BG"/>
        </w:rPr>
        <w:t>Пациенти с глкюкозо-6-фосфат дехидрогеназен дефицит</w:t>
      </w:r>
    </w:p>
    <w:p w14:paraId="5BBB3985" w14:textId="77777777" w:rsidR="00C60BBA" w:rsidRPr="00C60BBA" w:rsidRDefault="00C60BBA" w:rsidP="00C60BBA">
      <w:pPr>
        <w:spacing w:line="240" w:lineRule="auto"/>
        <w:rPr>
          <w:rFonts w:eastAsia="Times New Roman" w:cs="Arial"/>
          <w:lang w:eastAsia="bg-BG"/>
        </w:rPr>
      </w:pPr>
      <w:r w:rsidRPr="00C60BBA">
        <w:rPr>
          <w:rFonts w:eastAsia="Times New Roman" w:cs="Arial"/>
          <w:color w:val="000000"/>
          <w:lang w:eastAsia="bg-BG"/>
        </w:rPr>
        <w:t>Пациенти с фамилна анамнеза или с наличен глкюкозо-6-фосфат дехидрогеназен дефицит са предразположени към поява на хемолитични реакции при терапия с хинолони.</w:t>
      </w:r>
    </w:p>
    <w:p w14:paraId="389A8D0A" w14:textId="77777777" w:rsidR="00C60BBA" w:rsidRPr="00C60BBA" w:rsidRDefault="00C60BBA" w:rsidP="00C60BBA">
      <w:pPr>
        <w:spacing w:line="240" w:lineRule="auto"/>
        <w:rPr>
          <w:rFonts w:eastAsia="Times New Roman" w:cs="Arial"/>
          <w:lang w:eastAsia="bg-BG"/>
        </w:rPr>
      </w:pPr>
      <w:r w:rsidRPr="00C60BBA">
        <w:rPr>
          <w:rFonts w:eastAsia="Times New Roman" w:cs="Arial"/>
          <w:color w:val="000000"/>
          <w:lang w:eastAsia="bg-BG"/>
        </w:rPr>
        <w:t>Следователно, моксифлоксацин трябва да се използва внимателно при тези пациенти.</w:t>
      </w:r>
    </w:p>
    <w:p w14:paraId="16815188" w14:textId="77777777" w:rsidR="00C60BBA" w:rsidRPr="00A54557" w:rsidRDefault="00C60BBA" w:rsidP="00C60BBA">
      <w:pPr>
        <w:spacing w:line="240" w:lineRule="auto"/>
        <w:rPr>
          <w:rFonts w:eastAsia="Times New Roman" w:cs="Arial"/>
          <w:color w:val="000000"/>
          <w:u w:val="single"/>
          <w:lang w:eastAsia="bg-BG"/>
        </w:rPr>
      </w:pPr>
    </w:p>
    <w:p w14:paraId="1C219DCA" w14:textId="1263B772" w:rsidR="00C60BBA" w:rsidRPr="00C60BBA" w:rsidRDefault="00C60BBA" w:rsidP="00C60BBA">
      <w:pPr>
        <w:spacing w:line="240" w:lineRule="auto"/>
        <w:rPr>
          <w:rFonts w:eastAsia="Times New Roman" w:cs="Arial"/>
          <w:lang w:eastAsia="bg-BG"/>
        </w:rPr>
      </w:pPr>
      <w:r w:rsidRPr="00C60BBA">
        <w:rPr>
          <w:rFonts w:eastAsia="Times New Roman" w:cs="Arial"/>
          <w:color w:val="000000"/>
          <w:u w:val="single"/>
          <w:lang w:eastAsia="bg-BG"/>
        </w:rPr>
        <w:t>Пациенти с тазово възпалителна болест</w:t>
      </w:r>
    </w:p>
    <w:p w14:paraId="50AF0A1A" w14:textId="77777777" w:rsidR="00C60BBA" w:rsidRPr="00C60BBA" w:rsidRDefault="00C60BBA" w:rsidP="00C60BBA">
      <w:pPr>
        <w:spacing w:line="240" w:lineRule="auto"/>
        <w:rPr>
          <w:rFonts w:eastAsia="Times New Roman" w:cs="Arial"/>
          <w:lang w:eastAsia="bg-BG"/>
        </w:rPr>
      </w:pPr>
      <w:r w:rsidRPr="00C60BBA">
        <w:rPr>
          <w:rFonts w:eastAsia="Times New Roman" w:cs="Arial"/>
          <w:color w:val="000000"/>
          <w:lang w:eastAsia="bg-BG"/>
        </w:rPr>
        <w:t>При пациенти с усложнена тазово възпалителна болест (напр. свързана с тубо-овариален или тазов абсцес), за които е необходимо интравенозно лечение, лечението с Цимоцинокс не е препоръчително.</w:t>
      </w:r>
    </w:p>
    <w:p w14:paraId="6623585E" w14:textId="77777777" w:rsidR="00C60BBA" w:rsidRPr="00C60BBA" w:rsidRDefault="00C60BBA" w:rsidP="00C60BBA">
      <w:pPr>
        <w:spacing w:line="240" w:lineRule="auto"/>
        <w:rPr>
          <w:rFonts w:eastAsia="Times New Roman" w:cs="Arial"/>
          <w:lang w:eastAsia="bg-BG"/>
        </w:rPr>
      </w:pPr>
      <w:r w:rsidRPr="00C60BBA">
        <w:rPr>
          <w:rFonts w:eastAsia="Times New Roman" w:cs="Arial"/>
          <w:color w:val="000000"/>
          <w:lang w:eastAsia="bg-BG"/>
        </w:rPr>
        <w:t xml:space="preserve">Тазово възпалителна болест може да е причинена от флуорохинолон резистентна </w:t>
      </w:r>
      <w:r w:rsidRPr="00C60BBA">
        <w:rPr>
          <w:rFonts w:eastAsia="Times New Roman" w:cs="Arial"/>
          <w:i/>
          <w:iCs/>
          <w:color w:val="000000"/>
          <w:lang w:val="en-US"/>
        </w:rPr>
        <w:t xml:space="preserve">Neisseria </w:t>
      </w:r>
      <w:proofErr w:type="spellStart"/>
      <w:r w:rsidRPr="00C60BBA">
        <w:rPr>
          <w:rFonts w:eastAsia="Times New Roman" w:cs="Arial"/>
          <w:i/>
          <w:iCs/>
          <w:color w:val="000000"/>
          <w:lang w:val="en-US"/>
        </w:rPr>
        <w:t>gonorrhoeae</w:t>
      </w:r>
      <w:proofErr w:type="spellEnd"/>
      <w:r w:rsidRPr="00C60BBA">
        <w:rPr>
          <w:rFonts w:eastAsia="Times New Roman" w:cs="Arial"/>
          <w:i/>
          <w:iCs/>
          <w:color w:val="000000"/>
          <w:lang w:val="en-US"/>
        </w:rPr>
        <w:t>.</w:t>
      </w:r>
      <w:r w:rsidRPr="00C60BBA">
        <w:rPr>
          <w:rFonts w:eastAsia="Times New Roman" w:cs="Arial"/>
          <w:color w:val="000000"/>
          <w:lang w:val="en-US"/>
        </w:rPr>
        <w:t xml:space="preserve"> </w:t>
      </w:r>
      <w:r w:rsidRPr="00C60BBA">
        <w:rPr>
          <w:rFonts w:eastAsia="Times New Roman" w:cs="Arial"/>
          <w:color w:val="000000"/>
          <w:lang w:eastAsia="bg-BG"/>
        </w:rPr>
        <w:t xml:space="preserve">Следователно в тези случаи моксифлоксацин трябва да се прилага едновременно с друг подходящ антибиотик (напр.цефалоспорин), освен ако може да се изключи моксифлоксацин-резистентна </w:t>
      </w:r>
      <w:r w:rsidRPr="00C60BBA">
        <w:rPr>
          <w:rFonts w:eastAsia="Times New Roman" w:cs="Arial"/>
          <w:i/>
          <w:iCs/>
          <w:color w:val="000000"/>
          <w:lang w:val="en-US"/>
        </w:rPr>
        <w:t xml:space="preserve">Neisseria </w:t>
      </w:r>
      <w:proofErr w:type="spellStart"/>
      <w:r w:rsidRPr="00C60BBA">
        <w:rPr>
          <w:rFonts w:eastAsia="Times New Roman" w:cs="Arial"/>
          <w:i/>
          <w:iCs/>
          <w:color w:val="000000"/>
          <w:lang w:val="en-US"/>
        </w:rPr>
        <w:t>gonorrhoeae</w:t>
      </w:r>
      <w:proofErr w:type="spellEnd"/>
      <w:r w:rsidRPr="00C60BBA">
        <w:rPr>
          <w:rFonts w:eastAsia="Times New Roman" w:cs="Arial"/>
          <w:i/>
          <w:iCs/>
          <w:color w:val="000000"/>
          <w:lang w:val="en-US"/>
        </w:rPr>
        <w:t>.</w:t>
      </w:r>
      <w:r w:rsidRPr="00C60BBA">
        <w:rPr>
          <w:rFonts w:eastAsia="Times New Roman" w:cs="Arial"/>
          <w:color w:val="000000"/>
          <w:lang w:val="en-US"/>
        </w:rPr>
        <w:t xml:space="preserve"> </w:t>
      </w:r>
      <w:r w:rsidRPr="00C60BBA">
        <w:rPr>
          <w:rFonts w:eastAsia="Times New Roman" w:cs="Arial"/>
          <w:color w:val="000000"/>
          <w:lang w:eastAsia="bg-BG"/>
        </w:rPr>
        <w:t>Ако до 3 дни след започване на лечението не се постигне клинично подобрение, терапията трябва да бъде преоценена.</w:t>
      </w:r>
    </w:p>
    <w:p w14:paraId="5E76E608" w14:textId="77777777" w:rsidR="00C60BBA" w:rsidRPr="00A54557" w:rsidRDefault="00C60BBA" w:rsidP="00C60BBA">
      <w:pPr>
        <w:spacing w:line="240" w:lineRule="auto"/>
        <w:rPr>
          <w:rFonts w:eastAsia="Times New Roman" w:cs="Arial"/>
          <w:color w:val="000000"/>
          <w:u w:val="single"/>
          <w:lang w:eastAsia="bg-BG"/>
        </w:rPr>
      </w:pPr>
    </w:p>
    <w:p w14:paraId="7501EE94" w14:textId="3FB0032F" w:rsidR="00C60BBA" w:rsidRPr="00C60BBA" w:rsidRDefault="00C60BBA" w:rsidP="00C60BBA">
      <w:pPr>
        <w:spacing w:line="240" w:lineRule="auto"/>
        <w:rPr>
          <w:rFonts w:eastAsia="Times New Roman" w:cs="Arial"/>
          <w:lang w:eastAsia="bg-BG"/>
        </w:rPr>
      </w:pPr>
      <w:r w:rsidRPr="00C60BBA">
        <w:rPr>
          <w:rFonts w:eastAsia="Times New Roman" w:cs="Arial"/>
          <w:color w:val="000000"/>
          <w:u w:val="single"/>
          <w:lang w:eastAsia="bg-BG"/>
        </w:rPr>
        <w:t xml:space="preserve">Пациенти със специални инфекции на кожата и меките тъкани </w:t>
      </w:r>
      <w:r w:rsidRPr="00C60BBA">
        <w:rPr>
          <w:rFonts w:eastAsia="Times New Roman" w:cs="Arial"/>
          <w:color w:val="000000"/>
          <w:u w:val="single"/>
          <w:lang w:val="en-US"/>
        </w:rPr>
        <w:t>(</w:t>
      </w:r>
      <w:proofErr w:type="spellStart"/>
      <w:r w:rsidRPr="00C60BBA">
        <w:rPr>
          <w:rFonts w:eastAsia="Times New Roman" w:cs="Arial"/>
          <w:color w:val="000000"/>
          <w:u w:val="single"/>
          <w:lang w:val="en-US"/>
        </w:rPr>
        <w:t>cSSSI</w:t>
      </w:r>
      <w:proofErr w:type="spellEnd"/>
      <w:r w:rsidRPr="00C60BBA">
        <w:rPr>
          <w:rFonts w:eastAsia="Times New Roman" w:cs="Arial"/>
          <w:color w:val="000000"/>
          <w:u w:val="single"/>
          <w:lang w:val="en-US"/>
        </w:rPr>
        <w:t>)</w:t>
      </w:r>
    </w:p>
    <w:p w14:paraId="662A9B33" w14:textId="77777777" w:rsidR="00C60BBA" w:rsidRPr="00C60BBA" w:rsidRDefault="00C60BBA" w:rsidP="00C60BBA">
      <w:pPr>
        <w:spacing w:line="240" w:lineRule="auto"/>
        <w:rPr>
          <w:rFonts w:eastAsia="Times New Roman" w:cs="Arial"/>
          <w:lang w:eastAsia="bg-BG"/>
        </w:rPr>
      </w:pPr>
      <w:r w:rsidRPr="00C60BBA">
        <w:rPr>
          <w:rFonts w:eastAsia="Times New Roman" w:cs="Arial"/>
          <w:color w:val="000000"/>
          <w:lang w:eastAsia="bg-BG"/>
        </w:rPr>
        <w:t>Клиничната ефикасност на интравенозния моксифлоксацин при лечение на тежки инфекции вследствие на изгаряния, фасциити и инфекции на диабетно стъпало с остеомиелит не е установена.</w:t>
      </w:r>
    </w:p>
    <w:p w14:paraId="26344E63" w14:textId="77777777" w:rsidR="00C60BBA" w:rsidRPr="00A54557" w:rsidRDefault="00C60BBA" w:rsidP="00C60BBA">
      <w:pPr>
        <w:spacing w:line="240" w:lineRule="auto"/>
        <w:rPr>
          <w:rFonts w:eastAsia="Times New Roman" w:cs="Arial"/>
          <w:color w:val="000000"/>
          <w:u w:val="single"/>
          <w:lang w:eastAsia="bg-BG"/>
        </w:rPr>
      </w:pPr>
    </w:p>
    <w:p w14:paraId="0B90E20D" w14:textId="398B0B11" w:rsidR="00C60BBA" w:rsidRPr="00C60BBA" w:rsidRDefault="00C60BBA" w:rsidP="00C60BBA">
      <w:pPr>
        <w:spacing w:line="240" w:lineRule="auto"/>
        <w:rPr>
          <w:rFonts w:eastAsia="Times New Roman" w:cs="Arial"/>
          <w:lang w:eastAsia="bg-BG"/>
        </w:rPr>
      </w:pPr>
      <w:r w:rsidRPr="00C60BBA">
        <w:rPr>
          <w:rFonts w:eastAsia="Times New Roman" w:cs="Arial"/>
          <w:color w:val="000000"/>
          <w:u w:val="single"/>
          <w:lang w:eastAsia="bg-BG"/>
        </w:rPr>
        <w:t>Взаимодействие с биологични изследвания</w:t>
      </w:r>
    </w:p>
    <w:p w14:paraId="503CBD20" w14:textId="77777777" w:rsidR="00C60BBA" w:rsidRPr="00C60BBA" w:rsidRDefault="00C60BBA" w:rsidP="00C60BBA">
      <w:pPr>
        <w:spacing w:line="240" w:lineRule="auto"/>
        <w:rPr>
          <w:rFonts w:eastAsia="Times New Roman" w:cs="Arial"/>
          <w:lang w:eastAsia="bg-BG"/>
        </w:rPr>
      </w:pPr>
      <w:r w:rsidRPr="00C60BBA">
        <w:rPr>
          <w:rFonts w:eastAsia="Times New Roman" w:cs="Arial"/>
          <w:color w:val="000000"/>
          <w:lang w:eastAsia="bg-BG"/>
        </w:rPr>
        <w:t xml:space="preserve">Възможно е взаимодействие между лечението с моксифлоксацин и микробиологично изследване за </w:t>
      </w:r>
      <w:r w:rsidRPr="00C60BBA">
        <w:rPr>
          <w:rFonts w:eastAsia="Times New Roman" w:cs="Arial"/>
          <w:i/>
          <w:iCs/>
          <w:color w:val="000000"/>
          <w:lang w:val="en-US"/>
        </w:rPr>
        <w:t>Mycobacterium</w:t>
      </w:r>
      <w:r w:rsidRPr="00C60BBA">
        <w:rPr>
          <w:rFonts w:eastAsia="Times New Roman" w:cs="Arial"/>
          <w:color w:val="000000"/>
          <w:lang w:val="en-US"/>
        </w:rPr>
        <w:t xml:space="preserve"> spp. </w:t>
      </w:r>
      <w:r w:rsidRPr="00C60BBA">
        <w:rPr>
          <w:rFonts w:eastAsia="Times New Roman" w:cs="Arial"/>
          <w:color w:val="000000"/>
          <w:lang w:eastAsia="bg-BG"/>
        </w:rPr>
        <w:t>чрез потискане на бактериалния растеж, което може да доведе до фалшиво отрицателни резултати при проби на пациенти, лекувани с моксифлоксацин.</w:t>
      </w:r>
    </w:p>
    <w:p w14:paraId="2E9F8A58" w14:textId="77777777" w:rsidR="00C60BBA" w:rsidRPr="00A54557" w:rsidRDefault="00C60BBA" w:rsidP="00C60BBA">
      <w:pPr>
        <w:spacing w:line="240" w:lineRule="auto"/>
        <w:rPr>
          <w:rFonts w:eastAsia="Times New Roman" w:cs="Arial"/>
          <w:color w:val="000000"/>
          <w:u w:val="single"/>
          <w:lang w:eastAsia="bg-BG"/>
        </w:rPr>
      </w:pPr>
    </w:p>
    <w:p w14:paraId="45305B80" w14:textId="44669644" w:rsidR="00C60BBA" w:rsidRPr="00C60BBA" w:rsidRDefault="00C60BBA" w:rsidP="00C60BBA">
      <w:pPr>
        <w:spacing w:line="240" w:lineRule="auto"/>
        <w:rPr>
          <w:rFonts w:eastAsia="Times New Roman" w:cs="Arial"/>
          <w:lang w:eastAsia="bg-BG"/>
        </w:rPr>
      </w:pPr>
      <w:r w:rsidRPr="00C60BBA">
        <w:rPr>
          <w:rFonts w:eastAsia="Times New Roman" w:cs="Arial"/>
          <w:color w:val="000000"/>
          <w:u w:val="single"/>
          <w:lang w:eastAsia="bg-BG"/>
        </w:rPr>
        <w:t xml:space="preserve">Пациенти с </w:t>
      </w:r>
      <w:r w:rsidRPr="00C60BBA">
        <w:rPr>
          <w:rFonts w:eastAsia="Times New Roman" w:cs="Arial"/>
          <w:color w:val="000000"/>
          <w:u w:val="single"/>
          <w:lang w:val="en-US"/>
        </w:rPr>
        <w:t xml:space="preserve">MRSA </w:t>
      </w:r>
      <w:r w:rsidRPr="00C60BBA">
        <w:rPr>
          <w:rFonts w:eastAsia="Times New Roman" w:cs="Arial"/>
          <w:color w:val="000000"/>
          <w:u w:val="single"/>
          <w:lang w:eastAsia="bg-BG"/>
        </w:rPr>
        <w:t>инфекции</w:t>
      </w:r>
    </w:p>
    <w:p w14:paraId="6B332666" w14:textId="77777777" w:rsidR="00C60BBA" w:rsidRPr="00C60BBA" w:rsidRDefault="00C60BBA" w:rsidP="00C60BBA">
      <w:pPr>
        <w:spacing w:line="240" w:lineRule="auto"/>
        <w:rPr>
          <w:rFonts w:eastAsia="Times New Roman" w:cs="Arial"/>
          <w:lang w:eastAsia="bg-BG"/>
        </w:rPr>
      </w:pPr>
      <w:r w:rsidRPr="00C60BBA">
        <w:rPr>
          <w:rFonts w:eastAsia="Times New Roman" w:cs="Arial"/>
          <w:color w:val="000000"/>
          <w:lang w:eastAsia="bg-BG"/>
        </w:rPr>
        <w:t xml:space="preserve">Моксифлоксацин не е показан за лечение на </w:t>
      </w:r>
      <w:r w:rsidRPr="00C60BBA">
        <w:rPr>
          <w:rFonts w:eastAsia="Times New Roman" w:cs="Arial"/>
          <w:color w:val="000000"/>
          <w:lang w:val="en-US"/>
        </w:rPr>
        <w:t xml:space="preserve">MRSA </w:t>
      </w:r>
      <w:r w:rsidRPr="00C60BBA">
        <w:rPr>
          <w:rFonts w:eastAsia="Times New Roman" w:cs="Arial"/>
          <w:color w:val="000000"/>
          <w:lang w:eastAsia="bg-BG"/>
        </w:rPr>
        <w:t xml:space="preserve">инфекции. В случай на предполагаема или установена инфекция, причинена от </w:t>
      </w:r>
      <w:r w:rsidRPr="00C60BBA">
        <w:rPr>
          <w:rFonts w:eastAsia="Times New Roman" w:cs="Arial"/>
          <w:color w:val="000000"/>
          <w:lang w:val="en-US"/>
        </w:rPr>
        <w:t xml:space="preserve">MRSA, </w:t>
      </w:r>
      <w:r w:rsidRPr="00C60BBA">
        <w:rPr>
          <w:rFonts w:eastAsia="Times New Roman" w:cs="Arial"/>
          <w:color w:val="000000"/>
          <w:lang w:eastAsia="bg-BG"/>
        </w:rPr>
        <w:t>трябва да се започне лечение с подходящ антибиотик (вж. точка 5.1).</w:t>
      </w:r>
    </w:p>
    <w:p w14:paraId="42229979" w14:textId="77777777" w:rsidR="00C60BBA" w:rsidRPr="00A54557" w:rsidRDefault="00C60BBA" w:rsidP="00C60BBA">
      <w:pPr>
        <w:spacing w:line="240" w:lineRule="auto"/>
        <w:rPr>
          <w:rFonts w:eastAsia="Times New Roman" w:cs="Arial"/>
          <w:color w:val="000000"/>
          <w:u w:val="single"/>
          <w:lang w:eastAsia="bg-BG"/>
        </w:rPr>
      </w:pPr>
    </w:p>
    <w:p w14:paraId="2454FC49" w14:textId="217289F1" w:rsidR="00C60BBA" w:rsidRPr="00C60BBA" w:rsidRDefault="00C60BBA" w:rsidP="00C60BBA">
      <w:pPr>
        <w:spacing w:line="240" w:lineRule="auto"/>
        <w:rPr>
          <w:rFonts w:eastAsia="Times New Roman" w:cs="Arial"/>
          <w:lang w:eastAsia="bg-BG"/>
        </w:rPr>
      </w:pPr>
      <w:r w:rsidRPr="00C60BBA">
        <w:rPr>
          <w:rFonts w:eastAsia="Times New Roman" w:cs="Arial"/>
          <w:color w:val="000000"/>
          <w:u w:val="single"/>
          <w:lang w:eastAsia="bg-BG"/>
        </w:rPr>
        <w:t>Педиатрична популация</w:t>
      </w:r>
    </w:p>
    <w:p w14:paraId="6B5F3F47" w14:textId="77777777" w:rsidR="00C60BBA" w:rsidRPr="00C60BBA" w:rsidRDefault="00C60BBA" w:rsidP="00C60BBA">
      <w:pPr>
        <w:spacing w:line="240" w:lineRule="auto"/>
        <w:rPr>
          <w:rFonts w:eastAsia="Times New Roman" w:cs="Arial"/>
          <w:lang w:eastAsia="bg-BG"/>
        </w:rPr>
      </w:pPr>
      <w:r w:rsidRPr="00C60BBA">
        <w:rPr>
          <w:rFonts w:eastAsia="Times New Roman" w:cs="Arial"/>
          <w:color w:val="000000"/>
          <w:lang w:eastAsia="bg-BG"/>
        </w:rPr>
        <w:t>Поради нежеланите реакции върху хрущяла при млади животни (вижте точка 5.3), употребата на моксифлоксацин при деца и юноши под 18 години е противопоказана (вижте точка 4.3).</w:t>
      </w:r>
    </w:p>
    <w:p w14:paraId="708B0CAF" w14:textId="77777777" w:rsidR="00C60BBA" w:rsidRPr="00A54557" w:rsidRDefault="00C60BBA" w:rsidP="00C60BBA">
      <w:pPr>
        <w:rPr>
          <w:rFonts w:eastAsia="Times New Roman" w:cs="Arial"/>
          <w:color w:val="000000"/>
          <w:lang w:eastAsia="bg-BG"/>
        </w:rPr>
      </w:pPr>
    </w:p>
    <w:p w14:paraId="7AD0BED0" w14:textId="145DE0F0" w:rsidR="00C60BBA" w:rsidRPr="00A54557" w:rsidRDefault="00C60BBA" w:rsidP="00C60BBA">
      <w:pPr>
        <w:rPr>
          <w:rFonts w:cs="Arial"/>
        </w:rPr>
      </w:pPr>
      <w:r w:rsidRPr="00A54557">
        <w:rPr>
          <w:rFonts w:eastAsia="Times New Roman" w:cs="Arial"/>
          <w:color w:val="000000"/>
          <w:lang w:eastAsia="bg-BG"/>
        </w:rPr>
        <w:t xml:space="preserve">Този лекарствен продукт съдържа по-малко от 1 </w:t>
      </w:r>
      <w:proofErr w:type="spellStart"/>
      <w:r w:rsidRPr="00A54557">
        <w:rPr>
          <w:rFonts w:eastAsia="Times New Roman" w:cs="Arial"/>
          <w:color w:val="000000"/>
          <w:lang w:val="en-US"/>
        </w:rPr>
        <w:t>mmol</w:t>
      </w:r>
      <w:proofErr w:type="spellEnd"/>
      <w:r w:rsidRPr="00A54557">
        <w:rPr>
          <w:rFonts w:eastAsia="Times New Roman" w:cs="Arial"/>
          <w:color w:val="000000"/>
          <w:lang w:val="en-US"/>
        </w:rPr>
        <w:t xml:space="preserve"> </w:t>
      </w:r>
      <w:r w:rsidRPr="00A54557">
        <w:rPr>
          <w:rFonts w:eastAsia="Times New Roman" w:cs="Arial"/>
          <w:color w:val="000000"/>
          <w:lang w:eastAsia="bg-BG"/>
        </w:rPr>
        <w:t xml:space="preserve">натрий (23 </w:t>
      </w:r>
      <w:r w:rsidRPr="00A54557">
        <w:rPr>
          <w:rFonts w:eastAsia="Times New Roman" w:cs="Arial"/>
          <w:color w:val="000000"/>
          <w:lang w:val="en-US"/>
        </w:rPr>
        <w:t xml:space="preserve">mg) </w:t>
      </w:r>
      <w:r w:rsidRPr="00A54557">
        <w:rPr>
          <w:rFonts w:eastAsia="Times New Roman" w:cs="Arial"/>
          <w:color w:val="000000"/>
          <w:lang w:eastAsia="bg-BG"/>
        </w:rPr>
        <w:t>на дозова единица, т.е практически не съдържа натрий.</w:t>
      </w:r>
    </w:p>
    <w:p w14:paraId="54B77E77" w14:textId="77777777" w:rsidR="00C60BBA" w:rsidRPr="0091385D" w:rsidRDefault="00C60BBA"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2DEDE4D9" w14:textId="77777777" w:rsidR="00C60BBA" w:rsidRPr="00C60BBA" w:rsidRDefault="00C60BBA" w:rsidP="00C60BBA">
      <w:pPr>
        <w:spacing w:line="240" w:lineRule="auto"/>
        <w:rPr>
          <w:rFonts w:eastAsia="Times New Roman" w:cs="Arial"/>
          <w:lang w:eastAsia="bg-BG"/>
        </w:rPr>
      </w:pPr>
      <w:r w:rsidRPr="00C60BBA">
        <w:rPr>
          <w:rFonts w:eastAsia="Times New Roman" w:cs="Arial"/>
          <w:color w:val="000000"/>
          <w:u w:val="single"/>
          <w:lang w:eastAsia="bg-BG"/>
        </w:rPr>
        <w:t>Взаимодействие с лекарствени продукти</w:t>
      </w:r>
    </w:p>
    <w:p w14:paraId="1A712663" w14:textId="77777777" w:rsidR="00C60BBA" w:rsidRPr="00C60BBA" w:rsidRDefault="00C60BBA" w:rsidP="00C60BBA">
      <w:pPr>
        <w:spacing w:line="240" w:lineRule="auto"/>
        <w:rPr>
          <w:rFonts w:eastAsia="Times New Roman" w:cs="Arial"/>
          <w:lang w:eastAsia="bg-BG"/>
        </w:rPr>
      </w:pPr>
      <w:r w:rsidRPr="00C60BBA">
        <w:rPr>
          <w:rFonts w:eastAsia="Times New Roman" w:cs="Arial"/>
          <w:color w:val="000000"/>
          <w:lang w:eastAsia="bg-BG"/>
        </w:rPr>
        <w:t xml:space="preserve">Не може да бъде изключен адитивен ефект върху удължаването на </w:t>
      </w:r>
      <w:r w:rsidRPr="00C60BBA">
        <w:rPr>
          <w:rFonts w:eastAsia="Times New Roman" w:cs="Arial"/>
          <w:color w:val="000000"/>
          <w:lang w:val="en-US"/>
        </w:rPr>
        <w:t xml:space="preserve">QT </w:t>
      </w:r>
      <w:r w:rsidRPr="00C60BBA">
        <w:rPr>
          <w:rFonts w:eastAsia="Times New Roman" w:cs="Arial"/>
          <w:color w:val="000000"/>
          <w:lang w:eastAsia="bg-BG"/>
        </w:rPr>
        <w:t xml:space="preserve">интервала на моксифлоксацин и други лекарствени продукти, които могат да удължат </w:t>
      </w:r>
      <w:proofErr w:type="spellStart"/>
      <w:r w:rsidRPr="00C60BBA">
        <w:rPr>
          <w:rFonts w:eastAsia="Times New Roman" w:cs="Arial"/>
          <w:color w:val="000000"/>
          <w:lang w:val="en-US"/>
        </w:rPr>
        <w:t>QTc</w:t>
      </w:r>
      <w:proofErr w:type="spellEnd"/>
      <w:r w:rsidRPr="00C60BBA">
        <w:rPr>
          <w:rFonts w:eastAsia="Times New Roman" w:cs="Arial"/>
          <w:color w:val="000000"/>
          <w:lang w:val="en-US"/>
        </w:rPr>
        <w:t xml:space="preserve"> </w:t>
      </w:r>
      <w:r w:rsidRPr="00C60BBA">
        <w:rPr>
          <w:rFonts w:eastAsia="Times New Roman" w:cs="Arial"/>
          <w:color w:val="000000"/>
          <w:lang w:eastAsia="bg-BG"/>
        </w:rPr>
        <w:t xml:space="preserve">интервала. </w:t>
      </w:r>
      <w:r w:rsidRPr="00C60BBA">
        <w:rPr>
          <w:rFonts w:eastAsia="Times New Roman" w:cs="Arial"/>
          <w:color w:val="000000"/>
          <w:lang w:eastAsia="bg-BG"/>
        </w:rPr>
        <w:lastRenderedPageBreak/>
        <w:t xml:space="preserve">Този ефект може да доведе до повишен риск от камерни аритмии и по-специално </w:t>
      </w:r>
      <w:r w:rsidRPr="00C60BBA">
        <w:rPr>
          <w:rFonts w:eastAsia="Times New Roman" w:cs="Arial"/>
          <w:i/>
          <w:iCs/>
          <w:color w:val="000000"/>
          <w:lang w:val="en-US"/>
        </w:rPr>
        <w:t xml:space="preserve">torsade de pointes. </w:t>
      </w:r>
      <w:r w:rsidRPr="00C60BBA">
        <w:rPr>
          <w:rFonts w:eastAsia="Times New Roman" w:cs="Arial"/>
          <w:color w:val="000000"/>
          <w:lang w:eastAsia="bg-BG"/>
        </w:rPr>
        <w:t>Поради това е противопоказана едновременната употреба на моксифлоксацин и следните лекарствени продукти (вижте също точка 4.3):</w:t>
      </w:r>
    </w:p>
    <w:p w14:paraId="28DAF18D" w14:textId="77777777" w:rsidR="00C60BBA" w:rsidRPr="00A54557" w:rsidRDefault="00C60BBA" w:rsidP="00C60BBA">
      <w:pPr>
        <w:spacing w:line="240" w:lineRule="auto"/>
        <w:rPr>
          <w:rFonts w:eastAsia="Times New Roman" w:cs="Arial"/>
          <w:color w:val="000000"/>
          <w:lang w:eastAsia="bg-BG"/>
        </w:rPr>
      </w:pPr>
    </w:p>
    <w:p w14:paraId="296CE902" w14:textId="77777777" w:rsidR="00C60BBA" w:rsidRPr="00A54557" w:rsidRDefault="00C60BBA" w:rsidP="00C60BBA">
      <w:pPr>
        <w:pStyle w:val="ListParagraph"/>
        <w:numPr>
          <w:ilvl w:val="0"/>
          <w:numId w:val="42"/>
        </w:numPr>
        <w:spacing w:line="240" w:lineRule="auto"/>
        <w:rPr>
          <w:rFonts w:eastAsia="Times New Roman" w:cs="Arial"/>
          <w:color w:val="000000"/>
          <w:lang w:eastAsia="bg-BG"/>
        </w:rPr>
      </w:pPr>
      <w:r w:rsidRPr="00A54557">
        <w:rPr>
          <w:rFonts w:eastAsia="Times New Roman" w:cs="Arial"/>
          <w:color w:val="000000"/>
          <w:lang w:eastAsia="bg-BG"/>
        </w:rPr>
        <w:t xml:space="preserve">антиаритмични лекарства отклас </w:t>
      </w:r>
      <w:r w:rsidRPr="00A54557">
        <w:rPr>
          <w:rFonts w:eastAsia="Times New Roman" w:cs="Arial"/>
          <w:color w:val="000000"/>
          <w:lang w:val="en-US"/>
        </w:rPr>
        <w:t xml:space="preserve">IA </w:t>
      </w:r>
      <w:r w:rsidRPr="00A54557">
        <w:rPr>
          <w:rFonts w:eastAsia="Times New Roman" w:cs="Arial"/>
          <w:color w:val="000000"/>
          <w:lang w:eastAsia="bg-BG"/>
        </w:rPr>
        <w:t xml:space="preserve">(напр. хинидин, хидрохинидин, дизопирамид); </w:t>
      </w:r>
    </w:p>
    <w:p w14:paraId="3319D734" w14:textId="77777777" w:rsidR="00C60BBA" w:rsidRPr="00A54557" w:rsidRDefault="00C60BBA" w:rsidP="00C60BBA">
      <w:pPr>
        <w:pStyle w:val="ListParagraph"/>
        <w:numPr>
          <w:ilvl w:val="0"/>
          <w:numId w:val="42"/>
        </w:numPr>
        <w:spacing w:line="240" w:lineRule="auto"/>
        <w:rPr>
          <w:rFonts w:eastAsia="Times New Roman" w:cs="Arial"/>
          <w:color w:val="000000"/>
          <w:lang w:eastAsia="bg-BG"/>
        </w:rPr>
      </w:pPr>
      <w:r w:rsidRPr="00A54557">
        <w:rPr>
          <w:rFonts w:eastAsia="Times New Roman" w:cs="Arial"/>
          <w:color w:val="000000"/>
          <w:lang w:eastAsia="bg-BG"/>
        </w:rPr>
        <w:t xml:space="preserve">антиаритмични лекарства от клас </w:t>
      </w:r>
      <w:r w:rsidRPr="00A54557">
        <w:rPr>
          <w:rFonts w:eastAsia="Times New Roman" w:cs="Arial"/>
          <w:color w:val="000000"/>
          <w:lang w:val="en-US"/>
        </w:rPr>
        <w:t>III</w:t>
      </w:r>
      <w:r w:rsidRPr="00A54557">
        <w:rPr>
          <w:rFonts w:eastAsia="Times New Roman" w:cs="Arial"/>
          <w:color w:val="000000"/>
          <w:lang w:eastAsia="bg-BG"/>
        </w:rPr>
        <w:t xml:space="preserve"> (напр. амиодарон, соталол, дофетилид, ибутили</w:t>
      </w:r>
      <w:r w:rsidRPr="00A54557">
        <w:rPr>
          <w:rFonts w:eastAsia="Times New Roman" w:cs="Arial"/>
          <w:color w:val="000000"/>
          <w:u w:val="single"/>
          <w:lang w:eastAsia="bg-BG"/>
        </w:rPr>
        <w:t>д);</w:t>
      </w:r>
    </w:p>
    <w:p w14:paraId="6E6F013C" w14:textId="77777777" w:rsidR="00C60BBA" w:rsidRPr="00A54557" w:rsidRDefault="00C60BBA" w:rsidP="00C60BBA">
      <w:pPr>
        <w:pStyle w:val="ListParagraph"/>
        <w:numPr>
          <w:ilvl w:val="0"/>
          <w:numId w:val="42"/>
        </w:numPr>
        <w:spacing w:line="240" w:lineRule="auto"/>
        <w:rPr>
          <w:rFonts w:eastAsia="Times New Roman" w:cs="Arial"/>
          <w:color w:val="000000"/>
          <w:lang w:eastAsia="bg-BG"/>
        </w:rPr>
      </w:pPr>
      <w:r w:rsidRPr="00A54557">
        <w:rPr>
          <w:rFonts w:eastAsia="Times New Roman" w:cs="Arial"/>
          <w:color w:val="000000"/>
          <w:lang w:eastAsia="bg-BG"/>
        </w:rPr>
        <w:t>невролептици (напр. фенотиазини, пимозид, сертиндол, халоперидол, султоприд);</w:t>
      </w:r>
      <w:r w:rsidRPr="00A54557">
        <w:rPr>
          <w:rFonts w:eastAsia="Times New Roman" w:cs="Arial"/>
          <w:color w:val="000000"/>
          <w:vertAlign w:val="subscript"/>
          <w:lang w:eastAsia="bg-BG"/>
        </w:rPr>
        <w:t xml:space="preserve">х </w:t>
      </w:r>
    </w:p>
    <w:p w14:paraId="350102B9" w14:textId="77777777" w:rsidR="00C60BBA" w:rsidRPr="00A54557" w:rsidRDefault="00C60BBA" w:rsidP="00C60BBA">
      <w:pPr>
        <w:pStyle w:val="ListParagraph"/>
        <w:numPr>
          <w:ilvl w:val="0"/>
          <w:numId w:val="42"/>
        </w:numPr>
        <w:spacing w:line="240" w:lineRule="auto"/>
        <w:rPr>
          <w:rFonts w:eastAsia="Times New Roman" w:cs="Arial"/>
          <w:color w:val="000000"/>
          <w:lang w:eastAsia="bg-BG"/>
        </w:rPr>
      </w:pPr>
      <w:r w:rsidRPr="00A54557">
        <w:rPr>
          <w:rFonts w:eastAsia="Times New Roman" w:cs="Arial"/>
          <w:color w:val="000000"/>
          <w:lang w:eastAsia="bg-BG"/>
        </w:rPr>
        <w:t>трициклични антидепресанти;</w:t>
      </w:r>
    </w:p>
    <w:p w14:paraId="03AAE939" w14:textId="77777777" w:rsidR="00C60BBA" w:rsidRPr="00A54557" w:rsidRDefault="00C60BBA" w:rsidP="00C60BBA">
      <w:pPr>
        <w:pStyle w:val="ListParagraph"/>
        <w:numPr>
          <w:ilvl w:val="0"/>
          <w:numId w:val="42"/>
        </w:numPr>
        <w:spacing w:line="240" w:lineRule="auto"/>
        <w:rPr>
          <w:rFonts w:eastAsia="Times New Roman" w:cs="Arial"/>
          <w:color w:val="000000"/>
          <w:lang w:eastAsia="bg-BG"/>
        </w:rPr>
      </w:pPr>
      <w:r w:rsidRPr="00A54557">
        <w:rPr>
          <w:rFonts w:eastAsia="Times New Roman" w:cs="Arial"/>
          <w:color w:val="000000"/>
          <w:lang w:eastAsia="bg-BG"/>
        </w:rPr>
        <w:t xml:space="preserve">определени антимикробни продукти (саквинавир, спарфлоксацин, еритромицин </w:t>
      </w:r>
      <w:r w:rsidRPr="00A54557">
        <w:rPr>
          <w:rFonts w:eastAsia="Times New Roman" w:cs="Arial"/>
          <w:color w:val="000000"/>
          <w:lang w:val="en-US"/>
        </w:rPr>
        <w:t>IV,</w:t>
      </w:r>
      <w:r w:rsidRPr="00A54557">
        <w:rPr>
          <w:rFonts w:eastAsia="Times New Roman" w:cs="Arial"/>
          <w:color w:val="000000"/>
          <w:lang w:eastAsia="bg-BG"/>
        </w:rPr>
        <w:t xml:space="preserve"> пентамидин, противомаларийни лекарства, и по-специално халофантрин); </w:t>
      </w:r>
      <w:r w:rsidRPr="00A54557">
        <w:rPr>
          <w:rFonts w:eastAsia="Times New Roman" w:cs="Arial"/>
          <w:i/>
          <w:iCs/>
          <w:color w:val="000000"/>
          <w:lang w:val="en-US"/>
        </w:rPr>
        <w:t xml:space="preserve"> </w:t>
      </w:r>
    </w:p>
    <w:p w14:paraId="69BEB115" w14:textId="77777777" w:rsidR="00C60BBA" w:rsidRPr="00A54557" w:rsidRDefault="00C60BBA" w:rsidP="00C60BBA">
      <w:pPr>
        <w:pStyle w:val="ListParagraph"/>
        <w:numPr>
          <w:ilvl w:val="0"/>
          <w:numId w:val="42"/>
        </w:numPr>
        <w:spacing w:line="240" w:lineRule="auto"/>
        <w:rPr>
          <w:rFonts w:eastAsia="Times New Roman" w:cs="Arial"/>
          <w:color w:val="000000"/>
          <w:lang w:eastAsia="bg-BG"/>
        </w:rPr>
      </w:pPr>
      <w:r w:rsidRPr="00A54557">
        <w:rPr>
          <w:rFonts w:eastAsia="Times New Roman" w:cs="Arial"/>
          <w:color w:val="000000"/>
          <w:lang w:eastAsia="bg-BG"/>
        </w:rPr>
        <w:t>някои антихистаминови продукти (терфенадин, астемизол, мизоластин)</w:t>
      </w:r>
    </w:p>
    <w:p w14:paraId="299714AD" w14:textId="4E59D638" w:rsidR="00A54557" w:rsidRPr="00A54557" w:rsidRDefault="00C60BBA" w:rsidP="00A54557">
      <w:pPr>
        <w:pStyle w:val="ListParagraph"/>
        <w:numPr>
          <w:ilvl w:val="0"/>
          <w:numId w:val="42"/>
        </w:numPr>
        <w:spacing w:line="240" w:lineRule="auto"/>
        <w:rPr>
          <w:rFonts w:eastAsia="Times New Roman" w:cs="Arial"/>
          <w:color w:val="000000"/>
          <w:lang w:eastAsia="bg-BG"/>
        </w:rPr>
      </w:pPr>
      <w:r w:rsidRPr="00A54557">
        <w:rPr>
          <w:rFonts w:eastAsia="Times New Roman" w:cs="Arial"/>
          <w:color w:val="000000"/>
          <w:lang w:eastAsia="bg-BG"/>
        </w:rPr>
        <w:t>други(цизаприд,винкамин</w:t>
      </w:r>
      <w:r w:rsidRPr="00A54557">
        <w:rPr>
          <w:rFonts w:eastAsia="Times New Roman" w:cs="Arial"/>
          <w:color w:val="000000"/>
          <w:lang w:val="en-US"/>
        </w:rPr>
        <w:t xml:space="preserve"> </w:t>
      </w:r>
      <w:r w:rsidRPr="00A54557">
        <w:rPr>
          <w:rFonts w:eastAsia="Times New Roman" w:cs="Arial"/>
          <w:color w:val="000000"/>
          <w:lang w:eastAsia="bg-BG"/>
        </w:rPr>
        <w:t>IV,бепридил,дифеманил).</w:t>
      </w:r>
    </w:p>
    <w:p w14:paraId="54EFE66C" w14:textId="77777777" w:rsidR="00A54557" w:rsidRPr="00A54557" w:rsidRDefault="00A54557" w:rsidP="00A54557">
      <w:pPr>
        <w:pStyle w:val="ListParagraph"/>
        <w:numPr>
          <w:ilvl w:val="0"/>
          <w:numId w:val="42"/>
        </w:numPr>
        <w:spacing w:line="240" w:lineRule="auto"/>
        <w:rPr>
          <w:rFonts w:eastAsia="Times New Roman" w:cs="Arial"/>
          <w:lang w:eastAsia="bg-BG"/>
        </w:rPr>
      </w:pPr>
      <w:r w:rsidRPr="00A54557">
        <w:rPr>
          <w:rFonts w:eastAsia="Times New Roman" w:cs="Arial"/>
          <w:color w:val="000000"/>
          <w:lang w:eastAsia="bg-BG"/>
        </w:rPr>
        <w:t>Моксифлоксацин трябва да бъде използван с повишено внимание при пациенти, които приемат лекарства, способни да понижат нивата на калия (напр. бримкови и тиазидни диуретици, лаксативи и клизми (високи дози), кортикостероиди, амфотерицин В) или които са свързани с клинично значима брадикардия.</w:t>
      </w:r>
    </w:p>
    <w:p w14:paraId="1267B14D" w14:textId="6513B04D" w:rsidR="00A54557" w:rsidRPr="00A54557" w:rsidRDefault="00A54557" w:rsidP="00A54557">
      <w:pPr>
        <w:spacing w:line="240" w:lineRule="auto"/>
        <w:rPr>
          <w:rFonts w:eastAsia="Times New Roman" w:cs="Arial"/>
          <w:lang w:eastAsia="bg-BG"/>
        </w:rPr>
      </w:pPr>
      <w:r w:rsidRPr="00A54557">
        <w:rPr>
          <w:rFonts w:eastAsia="Times New Roman" w:cs="Arial"/>
          <w:color w:val="000000"/>
          <w:lang w:eastAsia="bg-BG"/>
        </w:rPr>
        <w:t>Между приема на продукти, съдържащи бивалентни или тривалентни катиони (антиацидни продукти, съдържащи магнезий или алуминий; таблетки диданозин; сукралфат и препарати, съдържащи желязо и цинк) и приема на моксифлоксацин трябва да има интервал от около 6 часа.</w:t>
      </w:r>
    </w:p>
    <w:p w14:paraId="0D0A7413" w14:textId="77777777" w:rsidR="00A54557" w:rsidRPr="00A54557" w:rsidRDefault="00A54557" w:rsidP="00A54557">
      <w:pPr>
        <w:spacing w:line="240" w:lineRule="auto"/>
        <w:rPr>
          <w:rFonts w:eastAsia="Times New Roman" w:cs="Arial"/>
          <w:color w:val="000000"/>
          <w:lang w:eastAsia="bg-BG"/>
        </w:rPr>
      </w:pPr>
    </w:p>
    <w:p w14:paraId="2F099850" w14:textId="0A662E4A" w:rsidR="00A54557" w:rsidRPr="00A54557" w:rsidRDefault="00A54557" w:rsidP="00A54557">
      <w:pPr>
        <w:spacing w:line="240" w:lineRule="auto"/>
        <w:rPr>
          <w:rFonts w:eastAsia="Times New Roman" w:cs="Arial"/>
          <w:lang w:eastAsia="bg-BG"/>
        </w:rPr>
      </w:pPr>
      <w:r w:rsidRPr="00A54557">
        <w:rPr>
          <w:rFonts w:eastAsia="Times New Roman" w:cs="Arial"/>
          <w:color w:val="000000"/>
          <w:lang w:eastAsia="bg-BG"/>
        </w:rPr>
        <w:t xml:space="preserve">Едновременното приложение на въглен с перорална доза от 400 </w:t>
      </w:r>
      <w:r w:rsidRPr="00A54557">
        <w:rPr>
          <w:rFonts w:eastAsia="Times New Roman" w:cs="Arial"/>
          <w:color w:val="000000"/>
          <w:lang w:val="en-US"/>
        </w:rPr>
        <w:t xml:space="preserve">mg </w:t>
      </w:r>
      <w:r w:rsidRPr="00A54557">
        <w:rPr>
          <w:rFonts w:eastAsia="Times New Roman" w:cs="Arial"/>
          <w:color w:val="000000"/>
          <w:lang w:eastAsia="bg-BG"/>
        </w:rPr>
        <w:t>моксифлоксацин е довело до изразено потискане на абсорбцията на лекарството и редуцирана системна наличност на лекарството с повече от 80%. Следователно, едновременната употреба на тези две лекарства не се препоръчва (освен в случаите на предозиране, вижте точка 4.9).</w:t>
      </w:r>
    </w:p>
    <w:p w14:paraId="266BE771" w14:textId="77777777" w:rsidR="00A54557" w:rsidRPr="00A54557" w:rsidRDefault="00A54557" w:rsidP="00A54557">
      <w:pPr>
        <w:spacing w:line="240" w:lineRule="auto"/>
        <w:rPr>
          <w:rFonts w:eastAsia="Times New Roman" w:cs="Arial"/>
          <w:color w:val="000000"/>
          <w:lang w:eastAsia="bg-BG"/>
        </w:rPr>
      </w:pPr>
    </w:p>
    <w:p w14:paraId="1E24F787" w14:textId="7D5E518F" w:rsidR="00A54557" w:rsidRPr="00A54557" w:rsidRDefault="00A54557" w:rsidP="00A54557">
      <w:pPr>
        <w:spacing w:line="240" w:lineRule="auto"/>
        <w:rPr>
          <w:rFonts w:eastAsia="Times New Roman" w:cs="Arial"/>
          <w:lang w:eastAsia="bg-BG"/>
        </w:rPr>
      </w:pPr>
      <w:r w:rsidRPr="00A54557">
        <w:rPr>
          <w:rFonts w:eastAsia="Times New Roman" w:cs="Arial"/>
          <w:color w:val="000000"/>
          <w:lang w:eastAsia="bg-BG"/>
        </w:rPr>
        <w:t>След повторно прилагане при здрави доброволци моксифлоксацин повишава С</w:t>
      </w:r>
      <w:r w:rsidRPr="00A54557">
        <w:rPr>
          <w:rFonts w:eastAsia="Times New Roman" w:cs="Arial"/>
          <w:color w:val="000000"/>
          <w:vertAlign w:val="subscript"/>
          <w:lang w:val="en-US"/>
        </w:rPr>
        <w:t>max</w:t>
      </w:r>
      <w:r w:rsidRPr="00A54557">
        <w:rPr>
          <w:rFonts w:eastAsia="Times New Roman" w:cs="Arial"/>
          <w:color w:val="000000"/>
          <w:lang w:eastAsia="bg-BG"/>
        </w:rPr>
        <w:t xml:space="preserve"> на дигоксин с около 30% без да повлиява </w:t>
      </w:r>
      <w:r w:rsidRPr="00A54557">
        <w:rPr>
          <w:rFonts w:eastAsia="Times New Roman" w:cs="Arial"/>
          <w:color w:val="000000"/>
          <w:lang w:val="en-US"/>
        </w:rPr>
        <w:t xml:space="preserve">AUC </w:t>
      </w:r>
      <w:r w:rsidRPr="00A54557">
        <w:rPr>
          <w:rFonts w:eastAsia="Times New Roman" w:cs="Arial"/>
          <w:color w:val="000000"/>
          <w:lang w:eastAsia="bg-BG"/>
        </w:rPr>
        <w:t xml:space="preserve">или </w:t>
      </w:r>
      <w:r w:rsidRPr="00A54557">
        <w:rPr>
          <w:rFonts w:eastAsia="Times New Roman" w:cs="Arial"/>
          <w:i/>
          <w:iCs/>
          <w:color w:val="000000"/>
          <w:lang w:val="en-US"/>
        </w:rPr>
        <w:t>trough levels.</w:t>
      </w:r>
      <w:r w:rsidRPr="00A54557">
        <w:rPr>
          <w:rFonts w:eastAsia="Times New Roman" w:cs="Arial"/>
          <w:color w:val="000000"/>
          <w:lang w:val="en-US"/>
        </w:rPr>
        <w:t xml:space="preserve"> </w:t>
      </w:r>
      <w:r w:rsidRPr="00A54557">
        <w:rPr>
          <w:rFonts w:eastAsia="Times New Roman" w:cs="Arial"/>
          <w:color w:val="000000"/>
          <w:lang w:eastAsia="bg-BG"/>
        </w:rPr>
        <w:t>Не са необходими предпазни мерки при използването на дигоксин.</w:t>
      </w:r>
    </w:p>
    <w:p w14:paraId="2D09B826" w14:textId="77777777" w:rsidR="00A54557" w:rsidRPr="00A54557" w:rsidRDefault="00A54557" w:rsidP="00A54557">
      <w:pPr>
        <w:spacing w:line="240" w:lineRule="auto"/>
        <w:rPr>
          <w:rFonts w:eastAsia="Times New Roman" w:cs="Arial"/>
          <w:color w:val="000000"/>
          <w:lang w:eastAsia="bg-BG"/>
        </w:rPr>
      </w:pPr>
    </w:p>
    <w:p w14:paraId="0B38ADF1" w14:textId="1F5F7B4B" w:rsidR="00A54557" w:rsidRPr="00A54557" w:rsidRDefault="00A54557" w:rsidP="00A54557">
      <w:pPr>
        <w:spacing w:line="240" w:lineRule="auto"/>
        <w:rPr>
          <w:rFonts w:eastAsia="Times New Roman" w:cs="Arial"/>
          <w:lang w:eastAsia="bg-BG"/>
        </w:rPr>
      </w:pPr>
      <w:r w:rsidRPr="00A54557">
        <w:rPr>
          <w:rFonts w:eastAsia="Times New Roman" w:cs="Arial"/>
          <w:color w:val="000000"/>
          <w:lang w:eastAsia="bg-BG"/>
        </w:rPr>
        <w:t>В проучвания, проведени при диабетици доброволци, едновременното приложение на моксифлоксацин и глибенкламид води до намаление с приблизително 21% на пиковата плазмена концентрация на глибенкламид. Комбинацията на глибенкламид и моксифлоксацин може теоретично да доведе до лека и преходна хипергликемия. Обаче наблюдаваните промени във фармакокинетиката на глибенкламид не водят до промени във фармакодинамични параметри (ниво на кръвната захар, инсулин). Следователно, не е наблюдавано клинично значимо взаимодействие между глибенкламид и моксифлоксацин.</w:t>
      </w:r>
    </w:p>
    <w:p w14:paraId="55EB8FF2" w14:textId="77777777" w:rsidR="00A54557" w:rsidRPr="00A54557" w:rsidRDefault="00A54557" w:rsidP="00A54557">
      <w:pPr>
        <w:spacing w:line="240" w:lineRule="auto"/>
        <w:rPr>
          <w:rFonts w:eastAsia="Times New Roman" w:cs="Arial"/>
          <w:i/>
          <w:iCs/>
          <w:color w:val="000000"/>
          <w:lang w:eastAsia="bg-BG"/>
        </w:rPr>
      </w:pPr>
    </w:p>
    <w:p w14:paraId="5822D346" w14:textId="2808BBEE" w:rsidR="00A54557" w:rsidRPr="00A54557" w:rsidRDefault="00A54557" w:rsidP="00A54557">
      <w:pPr>
        <w:spacing w:line="240" w:lineRule="auto"/>
        <w:rPr>
          <w:rFonts w:eastAsia="Times New Roman" w:cs="Arial"/>
          <w:lang w:eastAsia="bg-BG"/>
        </w:rPr>
      </w:pPr>
      <w:r w:rsidRPr="00A54557">
        <w:rPr>
          <w:rFonts w:eastAsia="Times New Roman" w:cs="Arial"/>
          <w:i/>
          <w:iCs/>
          <w:color w:val="000000"/>
          <w:lang w:eastAsia="bg-BG"/>
        </w:rPr>
        <w:t xml:space="preserve">Промени </w:t>
      </w:r>
      <w:proofErr w:type="spellStart"/>
      <w:r w:rsidRPr="00A54557">
        <w:rPr>
          <w:rFonts w:eastAsia="Times New Roman" w:cs="Arial"/>
          <w:i/>
          <w:iCs/>
          <w:color w:val="000000"/>
          <w:lang w:val="en-US"/>
        </w:rPr>
        <w:t>ua</w:t>
      </w:r>
      <w:proofErr w:type="spellEnd"/>
      <w:r w:rsidRPr="00A54557">
        <w:rPr>
          <w:rFonts w:eastAsia="Times New Roman" w:cs="Arial"/>
          <w:i/>
          <w:iCs/>
          <w:color w:val="000000"/>
          <w:lang w:val="en-US"/>
        </w:rPr>
        <w:t xml:space="preserve"> </w:t>
      </w:r>
      <w:proofErr w:type="spellStart"/>
      <w:r w:rsidRPr="00A54557">
        <w:rPr>
          <w:rFonts w:eastAsia="Times New Roman" w:cs="Arial"/>
          <w:i/>
          <w:iCs/>
          <w:color w:val="000000"/>
          <w:lang w:val="en-US"/>
        </w:rPr>
        <w:t>lNR</w:t>
      </w:r>
      <w:proofErr w:type="spellEnd"/>
    </w:p>
    <w:p w14:paraId="39F2CBD2" w14:textId="77777777" w:rsidR="00A54557" w:rsidRPr="00A54557" w:rsidRDefault="00A54557" w:rsidP="00A54557">
      <w:pPr>
        <w:spacing w:line="240" w:lineRule="auto"/>
        <w:rPr>
          <w:rFonts w:eastAsia="Times New Roman" w:cs="Arial"/>
          <w:lang w:eastAsia="bg-BG"/>
        </w:rPr>
      </w:pPr>
      <w:r w:rsidRPr="00A54557">
        <w:rPr>
          <w:rFonts w:eastAsia="Times New Roman" w:cs="Arial"/>
          <w:color w:val="000000"/>
          <w:lang w:eastAsia="bg-BG"/>
        </w:rPr>
        <w:t xml:space="preserve">Съобщавани са голям брой случаи на повишаване на пероралната антикоагулантна активност при пациенти, получаващи ангибактериални продукти, специално флуорохинолони, макролиди, тетрациклини, котримоксазол и някои цефалоспорини. Изглежда, че факторите, свързани с инфекцията и възпалителния процес, възрастта и общото състояние на пациента са рискови фактори. При тези обстоятелства е трудно да се прецени дали инфекцията или терапията са причинили нарушения в </w:t>
      </w:r>
      <w:r w:rsidRPr="00A54557">
        <w:rPr>
          <w:rFonts w:eastAsia="Times New Roman" w:cs="Arial"/>
          <w:color w:val="000000"/>
          <w:lang w:val="en-US"/>
        </w:rPr>
        <w:t xml:space="preserve">INR </w:t>
      </w:r>
      <w:r w:rsidRPr="00A54557">
        <w:rPr>
          <w:rFonts w:eastAsia="Times New Roman" w:cs="Arial"/>
          <w:color w:val="000000"/>
          <w:lang w:eastAsia="bg-BG"/>
        </w:rPr>
        <w:t xml:space="preserve">(международно нормализирано съотношение). Предпазна мярка е по- честото мониториране на </w:t>
      </w:r>
      <w:r w:rsidRPr="00A54557">
        <w:rPr>
          <w:rFonts w:eastAsia="Times New Roman" w:cs="Arial"/>
          <w:color w:val="000000"/>
          <w:lang w:val="en-US"/>
        </w:rPr>
        <w:t xml:space="preserve">INR. </w:t>
      </w:r>
      <w:r w:rsidRPr="00A54557">
        <w:rPr>
          <w:rFonts w:eastAsia="Times New Roman" w:cs="Arial"/>
          <w:color w:val="000000"/>
          <w:lang w:eastAsia="bg-BG"/>
        </w:rPr>
        <w:t>Ако е необходимо, дозировката на антикоагуланта трябва да бъде съответно коригирана.</w:t>
      </w:r>
    </w:p>
    <w:p w14:paraId="445BFF34" w14:textId="77777777" w:rsidR="00A54557" w:rsidRPr="00A54557" w:rsidRDefault="00A54557" w:rsidP="00A54557">
      <w:pPr>
        <w:spacing w:line="240" w:lineRule="auto"/>
        <w:rPr>
          <w:rFonts w:eastAsia="Times New Roman" w:cs="Arial"/>
          <w:lang w:eastAsia="bg-BG"/>
        </w:rPr>
      </w:pPr>
    </w:p>
    <w:p w14:paraId="09EDEF2A" w14:textId="32821B3F" w:rsidR="00A54557" w:rsidRPr="00A54557" w:rsidRDefault="00A54557" w:rsidP="00A54557">
      <w:pPr>
        <w:spacing w:line="240" w:lineRule="auto"/>
        <w:rPr>
          <w:rFonts w:eastAsia="Times New Roman" w:cs="Arial"/>
          <w:lang w:eastAsia="bg-BG"/>
        </w:rPr>
      </w:pPr>
      <w:r w:rsidRPr="00A54557">
        <w:rPr>
          <w:rFonts w:eastAsia="Times New Roman" w:cs="Arial"/>
          <w:color w:val="000000"/>
          <w:lang w:eastAsia="bg-BG"/>
        </w:rPr>
        <w:t>В клинични проучвания не са установени взаимодействия след едновременен прием на моксифлоксацин с: ранитидин, пробенецид, перорални контрацептиви, калциеви добавки, парентерално приложен морфин, теофилин, циклоспорин или играконазол.</w:t>
      </w:r>
    </w:p>
    <w:p w14:paraId="2B07FAC7" w14:textId="77777777" w:rsidR="00A54557" w:rsidRPr="00A54557" w:rsidRDefault="00A54557" w:rsidP="00A54557">
      <w:pPr>
        <w:spacing w:line="240" w:lineRule="auto"/>
        <w:rPr>
          <w:rFonts w:eastAsia="Times New Roman" w:cs="Arial"/>
          <w:i/>
          <w:iCs/>
          <w:color w:val="000000"/>
          <w:lang w:eastAsia="bg-BG"/>
        </w:rPr>
      </w:pPr>
    </w:p>
    <w:p w14:paraId="07FCDA21" w14:textId="10ABD49B" w:rsidR="00A54557" w:rsidRPr="00A54557" w:rsidRDefault="00A54557" w:rsidP="00A54557">
      <w:pPr>
        <w:spacing w:line="240" w:lineRule="auto"/>
        <w:rPr>
          <w:rFonts w:eastAsia="Times New Roman" w:cs="Arial"/>
          <w:lang w:eastAsia="bg-BG"/>
        </w:rPr>
      </w:pPr>
      <w:r w:rsidRPr="00A54557">
        <w:rPr>
          <w:rFonts w:eastAsia="Times New Roman" w:cs="Arial"/>
          <w:i/>
          <w:iCs/>
          <w:color w:val="000000"/>
          <w:lang w:eastAsia="bg-BG"/>
        </w:rPr>
        <w:t>Ин витро</w:t>
      </w:r>
      <w:r w:rsidRPr="00A54557">
        <w:rPr>
          <w:rFonts w:eastAsia="Times New Roman" w:cs="Arial"/>
          <w:color w:val="000000"/>
          <w:lang w:eastAsia="bg-BG"/>
        </w:rPr>
        <w:t xml:space="preserve"> изследвания с човешки ензими Р-450 потвърждават тези данни. Според тези резултати е малко вероятно метаболитно взаимодействие посредством Р-450 ензимите.</w:t>
      </w:r>
    </w:p>
    <w:p w14:paraId="23FA403E" w14:textId="77777777" w:rsidR="00A54557" w:rsidRPr="00A54557" w:rsidRDefault="00A54557" w:rsidP="00A54557">
      <w:pPr>
        <w:spacing w:line="240" w:lineRule="auto"/>
        <w:rPr>
          <w:rFonts w:eastAsia="Times New Roman" w:cs="Arial"/>
          <w:color w:val="000000"/>
          <w:u w:val="single"/>
          <w:lang w:eastAsia="bg-BG"/>
        </w:rPr>
      </w:pPr>
    </w:p>
    <w:p w14:paraId="0A48DC7D" w14:textId="40C6C181" w:rsidR="00A54557" w:rsidRPr="00A54557" w:rsidRDefault="00A54557" w:rsidP="00A54557">
      <w:pPr>
        <w:spacing w:line="240" w:lineRule="auto"/>
        <w:rPr>
          <w:rFonts w:eastAsia="Times New Roman" w:cs="Arial"/>
          <w:lang w:eastAsia="bg-BG"/>
        </w:rPr>
      </w:pPr>
      <w:r w:rsidRPr="00A54557">
        <w:rPr>
          <w:rFonts w:eastAsia="Times New Roman" w:cs="Arial"/>
          <w:color w:val="000000"/>
          <w:u w:val="single"/>
          <w:lang w:eastAsia="bg-BG"/>
        </w:rPr>
        <w:t>Взаимодействие с храна</w:t>
      </w:r>
    </w:p>
    <w:p w14:paraId="677BF1D7" w14:textId="283F593D" w:rsidR="00A54557" w:rsidRPr="00A54557" w:rsidRDefault="00A54557" w:rsidP="00A54557">
      <w:pPr>
        <w:spacing w:line="240" w:lineRule="auto"/>
        <w:rPr>
          <w:rFonts w:eastAsia="Times New Roman" w:cs="Arial"/>
          <w:color w:val="000000"/>
          <w:lang w:eastAsia="bg-BG"/>
        </w:rPr>
      </w:pPr>
      <w:r w:rsidRPr="00A54557">
        <w:rPr>
          <w:rFonts w:eastAsia="Times New Roman" w:cs="Arial"/>
          <w:color w:val="000000"/>
          <w:lang w:eastAsia="bg-BG"/>
        </w:rPr>
        <w:t>Не е установено клинично значимо взаимодействие между моксифлоксацин и храна, в т.ч. млечни продукти.</w:t>
      </w:r>
    </w:p>
    <w:p w14:paraId="0395BD2E" w14:textId="77777777" w:rsidR="007A2185" w:rsidRPr="0091385D" w:rsidRDefault="007A2185" w:rsidP="0091385D"/>
    <w:p w14:paraId="394A7584" w14:textId="10DEA5B3" w:rsidR="004F498A" w:rsidRDefault="002C50EE" w:rsidP="004A448E">
      <w:pPr>
        <w:pStyle w:val="Heading2"/>
      </w:pPr>
      <w:r>
        <w:t>4.6. Фертилитет, бременност и кърмене</w:t>
      </w:r>
    </w:p>
    <w:p w14:paraId="4887836B" w14:textId="0528FAED" w:rsidR="0091385D" w:rsidRDefault="0091385D" w:rsidP="0091385D"/>
    <w:p w14:paraId="6337FCA5" w14:textId="77777777" w:rsidR="00A54557" w:rsidRPr="00A54557" w:rsidRDefault="00A54557" w:rsidP="00A54557">
      <w:pPr>
        <w:pStyle w:val="Heading3"/>
        <w:rPr>
          <w:rFonts w:eastAsia="Times New Roman"/>
          <w:u w:val="single"/>
          <w:lang w:eastAsia="bg-BG"/>
        </w:rPr>
      </w:pPr>
      <w:r w:rsidRPr="00A54557">
        <w:rPr>
          <w:rFonts w:eastAsia="Times New Roman"/>
          <w:u w:val="single"/>
          <w:lang w:eastAsia="bg-BG"/>
        </w:rPr>
        <w:t>Бреме</w:t>
      </w:r>
      <w:bookmarkStart w:id="1" w:name="_GoBack"/>
      <w:bookmarkEnd w:id="1"/>
      <w:r w:rsidRPr="00A54557">
        <w:rPr>
          <w:rFonts w:eastAsia="Times New Roman"/>
          <w:u w:val="single"/>
          <w:lang w:eastAsia="bg-BG"/>
        </w:rPr>
        <w:t>нност</w:t>
      </w:r>
    </w:p>
    <w:p w14:paraId="102F0D07" w14:textId="4CA3E1D1" w:rsidR="007A2185" w:rsidRPr="00A54557" w:rsidRDefault="00A54557" w:rsidP="00A54557">
      <w:pPr>
        <w:rPr>
          <w:rFonts w:eastAsia="Times New Roman" w:cs="Arial"/>
          <w:color w:val="000000"/>
          <w:lang w:eastAsia="bg-BG"/>
        </w:rPr>
      </w:pPr>
      <w:r w:rsidRPr="00A54557">
        <w:rPr>
          <w:rFonts w:eastAsia="Times New Roman" w:cs="Arial"/>
          <w:color w:val="000000"/>
          <w:lang w:eastAsia="bg-BG"/>
        </w:rPr>
        <w:t>Безопасността на моксифлоксацин по време на бременност при хора не е оценявана. Проучванията при животни показват репродуктивна токсичност (вижте точка 5.5).</w:t>
      </w:r>
    </w:p>
    <w:p w14:paraId="461AF940" w14:textId="13D8DC6D" w:rsidR="00A54557" w:rsidRPr="00A54557" w:rsidRDefault="00A54557" w:rsidP="00A54557">
      <w:pPr>
        <w:rPr>
          <w:rFonts w:eastAsia="Times New Roman" w:cs="Arial"/>
          <w:color w:val="000000"/>
          <w:lang w:eastAsia="bg-BG"/>
        </w:rPr>
      </w:pPr>
    </w:p>
    <w:p w14:paraId="542B901D" w14:textId="77777777" w:rsidR="00A54557" w:rsidRPr="00A54557" w:rsidRDefault="00A54557" w:rsidP="00A54557">
      <w:pPr>
        <w:spacing w:line="240" w:lineRule="auto"/>
        <w:rPr>
          <w:rFonts w:eastAsia="Times New Roman" w:cs="Arial"/>
          <w:lang w:eastAsia="bg-BG"/>
        </w:rPr>
      </w:pPr>
      <w:r w:rsidRPr="00A54557">
        <w:rPr>
          <w:rFonts w:eastAsia="Times New Roman" w:cs="Arial"/>
          <w:color w:val="000000"/>
          <w:lang w:eastAsia="bg-BG"/>
        </w:rPr>
        <w:t>Потенциалният риск при хора не е известен. Поради експерименталния риск от увреждане на хрущяла на носещите стави на незрели животни и обратими ставни контузии при деца, лекувани с някои флуорохинолони, моксифлоксацин не трябва да се прилага при бременни жени (виж точка 4.3).</w:t>
      </w:r>
    </w:p>
    <w:p w14:paraId="73A1B89E" w14:textId="77777777" w:rsidR="00A54557" w:rsidRPr="00A54557" w:rsidRDefault="00A54557" w:rsidP="00A54557">
      <w:pPr>
        <w:spacing w:line="240" w:lineRule="auto"/>
        <w:rPr>
          <w:rFonts w:eastAsia="Times New Roman" w:cs="Arial"/>
          <w:color w:val="000000"/>
          <w:u w:val="single"/>
          <w:lang w:eastAsia="bg-BG"/>
        </w:rPr>
      </w:pPr>
    </w:p>
    <w:p w14:paraId="2644969B" w14:textId="685A84B3" w:rsidR="00A54557" w:rsidRPr="00A54557" w:rsidRDefault="00A54557" w:rsidP="00A54557">
      <w:pPr>
        <w:pStyle w:val="Heading3"/>
        <w:rPr>
          <w:rFonts w:eastAsia="Times New Roman"/>
          <w:u w:val="single"/>
          <w:lang w:eastAsia="bg-BG"/>
        </w:rPr>
      </w:pPr>
      <w:r w:rsidRPr="00A54557">
        <w:rPr>
          <w:rFonts w:eastAsia="Times New Roman"/>
          <w:u w:val="single"/>
          <w:lang w:eastAsia="bg-BG"/>
        </w:rPr>
        <w:t>Кърмене</w:t>
      </w:r>
    </w:p>
    <w:p w14:paraId="30528BA1" w14:textId="77777777" w:rsidR="00A54557" w:rsidRPr="00A54557" w:rsidRDefault="00A54557" w:rsidP="00A54557">
      <w:pPr>
        <w:spacing w:line="240" w:lineRule="auto"/>
        <w:rPr>
          <w:rFonts w:eastAsia="Times New Roman" w:cs="Arial"/>
          <w:lang w:eastAsia="bg-BG"/>
        </w:rPr>
      </w:pPr>
      <w:r w:rsidRPr="00A54557">
        <w:rPr>
          <w:rFonts w:eastAsia="Times New Roman" w:cs="Arial"/>
          <w:color w:val="000000"/>
          <w:lang w:eastAsia="bg-BG"/>
        </w:rPr>
        <w:t>Няма налични данни за употреба при кърмещи жени. Предклиничните данни сочат, че малки количества моксифлоксацин се екскретират в кърмата. Поради липсата на данни за употреба при хора и експерименталния риск от увреждане на хрущяла на носещите стави на незрели животни, причнено от флуорохинолони, кърменето е противопоказано по време на терапията с моксифлоксацин.</w:t>
      </w:r>
    </w:p>
    <w:p w14:paraId="5C52E098" w14:textId="77777777" w:rsidR="00A54557" w:rsidRPr="00A54557" w:rsidRDefault="00A54557" w:rsidP="00A54557">
      <w:pPr>
        <w:spacing w:line="240" w:lineRule="auto"/>
        <w:rPr>
          <w:rFonts w:eastAsia="Times New Roman" w:cs="Arial"/>
          <w:color w:val="000000"/>
          <w:u w:val="single"/>
          <w:lang w:eastAsia="bg-BG"/>
        </w:rPr>
      </w:pPr>
    </w:p>
    <w:p w14:paraId="69C378BA" w14:textId="1E346D54" w:rsidR="00A54557" w:rsidRPr="00A54557" w:rsidRDefault="00A54557" w:rsidP="00A54557">
      <w:pPr>
        <w:pStyle w:val="Heading3"/>
        <w:rPr>
          <w:rFonts w:eastAsia="Times New Roman"/>
          <w:u w:val="single"/>
          <w:lang w:eastAsia="bg-BG"/>
        </w:rPr>
      </w:pPr>
      <w:r w:rsidRPr="00A54557">
        <w:rPr>
          <w:rFonts w:eastAsia="Times New Roman"/>
          <w:u w:val="single"/>
          <w:lang w:eastAsia="bg-BG"/>
        </w:rPr>
        <w:t>Фертилитет</w:t>
      </w:r>
    </w:p>
    <w:p w14:paraId="018D02B7" w14:textId="0AFB5E3A" w:rsidR="00A54557" w:rsidRPr="00A54557" w:rsidRDefault="00A54557" w:rsidP="00A54557">
      <w:pPr>
        <w:rPr>
          <w:rFonts w:cs="Arial"/>
        </w:rPr>
      </w:pPr>
      <w:r w:rsidRPr="00A54557">
        <w:rPr>
          <w:rFonts w:eastAsia="Times New Roman" w:cs="Arial"/>
          <w:color w:val="000000"/>
          <w:lang w:eastAsia="bg-BG"/>
        </w:rPr>
        <w:t>Проучванията при животни не доказват влияние върху фертилитета (вижте точка 5.3).</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78136F1E" w:rsidR="0091385D" w:rsidRDefault="0091385D" w:rsidP="0091385D"/>
    <w:p w14:paraId="1C9ABB96" w14:textId="41D73AC9" w:rsidR="007A2185" w:rsidRPr="00A54557" w:rsidRDefault="00A54557" w:rsidP="0091385D">
      <w:pPr>
        <w:rPr>
          <w:rFonts w:cs="Arial"/>
        </w:rPr>
      </w:pPr>
      <w:r w:rsidRPr="00A54557">
        <w:rPr>
          <w:rFonts w:cs="Arial"/>
        </w:rPr>
        <w:t>Не са провеждани проучвания върху ефектите на моксифлоксацин върху способността за шофиране и работа с машини. Обаче флуорохинолоните, включително моксифлоксацин, могат да доведат до влошаване на способността на пациентите да шофират или да работят с машини поради реакции от страна на ЦНС (напр. замайване, или остра, временна загуба на зрение, вижте точка 4.8) или остра и краткотрайна загуба на съзнание (синкоп, вижте точка 4.8). Пациентите би следвало да бъдат съветвани да проверят как реагират на моксифлоксацин преди да шофират или работят с машини.</w:t>
      </w:r>
    </w:p>
    <w:p w14:paraId="35801A15" w14:textId="77777777" w:rsidR="0091385D" w:rsidRPr="0091385D" w:rsidRDefault="0091385D" w:rsidP="0091385D"/>
    <w:p w14:paraId="4838F52A" w14:textId="058F0B9C" w:rsidR="0091385D" w:rsidRDefault="002C50EE" w:rsidP="007A2185">
      <w:pPr>
        <w:pStyle w:val="Heading2"/>
      </w:pPr>
      <w:r>
        <w:t>4.8. Нежелани лекарствени реакции</w:t>
      </w:r>
    </w:p>
    <w:p w14:paraId="76E0B7A2" w14:textId="5BBD2581" w:rsidR="005B0F27" w:rsidRDefault="005B0F27" w:rsidP="0091385D"/>
    <w:p w14:paraId="6F5AC5AB" w14:textId="77777777" w:rsidR="00A54557" w:rsidRPr="00A54557" w:rsidRDefault="00A54557" w:rsidP="00A54557">
      <w:pPr>
        <w:spacing w:line="240" w:lineRule="auto"/>
        <w:rPr>
          <w:rFonts w:eastAsia="Times New Roman" w:cs="Arial"/>
          <w:lang w:eastAsia="bg-BG"/>
        </w:rPr>
      </w:pPr>
      <w:r w:rsidRPr="00A54557">
        <w:rPr>
          <w:rFonts w:eastAsia="Times New Roman" w:cs="Arial"/>
          <w:color w:val="000000"/>
          <w:lang w:eastAsia="bg-BG"/>
        </w:rPr>
        <w:lastRenderedPageBreak/>
        <w:t xml:space="preserve">По-долу са представени нежеланите реакции от всички клинични изпитвания и получени от постмаркегингови съобщения с моксифлоксацин 400 </w:t>
      </w:r>
      <w:r w:rsidRPr="00A54557">
        <w:rPr>
          <w:rFonts w:eastAsia="Times New Roman" w:cs="Arial"/>
          <w:color w:val="000000"/>
          <w:lang w:val="en-US"/>
        </w:rPr>
        <w:t xml:space="preserve">mg </w:t>
      </w:r>
      <w:r w:rsidRPr="00A54557">
        <w:rPr>
          <w:rFonts w:eastAsia="Times New Roman" w:cs="Arial"/>
          <w:color w:val="000000"/>
          <w:lang w:eastAsia="bg-BG"/>
        </w:rPr>
        <w:t>(прилаган перорално и като последваща терапия), групирани по честота:</w:t>
      </w:r>
    </w:p>
    <w:p w14:paraId="6951A324" w14:textId="77777777" w:rsidR="00A54557" w:rsidRPr="00A54557" w:rsidRDefault="00A54557" w:rsidP="00A54557">
      <w:pPr>
        <w:spacing w:line="240" w:lineRule="auto"/>
        <w:rPr>
          <w:rFonts w:eastAsia="Times New Roman" w:cs="Arial"/>
          <w:color w:val="000000"/>
          <w:lang w:eastAsia="bg-BG"/>
        </w:rPr>
      </w:pPr>
    </w:p>
    <w:p w14:paraId="085E3526" w14:textId="1EBA3A0C" w:rsidR="00A54557" w:rsidRPr="00A54557" w:rsidRDefault="00A54557" w:rsidP="00A54557">
      <w:pPr>
        <w:spacing w:line="240" w:lineRule="auto"/>
        <w:rPr>
          <w:rFonts w:eastAsia="Times New Roman" w:cs="Arial"/>
          <w:lang w:eastAsia="bg-BG"/>
        </w:rPr>
      </w:pPr>
      <w:r w:rsidRPr="00A54557">
        <w:rPr>
          <w:rFonts w:eastAsia="Times New Roman" w:cs="Arial"/>
          <w:color w:val="000000"/>
          <w:lang w:eastAsia="bg-BG"/>
        </w:rPr>
        <w:t>Освен гаденето и диарията, всички нежелани реакции са наблюдавани с честота под 3%.</w:t>
      </w:r>
    </w:p>
    <w:p w14:paraId="4E61F329" w14:textId="77777777" w:rsidR="00A54557" w:rsidRPr="00A54557" w:rsidRDefault="00A54557" w:rsidP="00A54557">
      <w:pPr>
        <w:spacing w:line="240" w:lineRule="auto"/>
        <w:rPr>
          <w:rFonts w:eastAsia="Times New Roman" w:cs="Arial"/>
          <w:color w:val="000000"/>
          <w:lang w:eastAsia="bg-BG"/>
        </w:rPr>
      </w:pPr>
    </w:p>
    <w:p w14:paraId="2129A861" w14:textId="79ABC999" w:rsidR="00A54557" w:rsidRPr="00A54557" w:rsidRDefault="00A54557" w:rsidP="00A54557">
      <w:pPr>
        <w:spacing w:line="240" w:lineRule="auto"/>
        <w:rPr>
          <w:rFonts w:eastAsia="Times New Roman" w:cs="Arial"/>
          <w:lang w:eastAsia="bg-BG"/>
        </w:rPr>
      </w:pPr>
      <w:r w:rsidRPr="00A54557">
        <w:rPr>
          <w:rFonts w:eastAsia="Times New Roman" w:cs="Arial"/>
          <w:color w:val="000000"/>
          <w:lang w:eastAsia="bg-BG"/>
        </w:rPr>
        <w:t>При всяка група по честота, нежеланите лекарствени реакции са изброени в низходящ ред по отношение на тяхната сериозност:</w:t>
      </w:r>
    </w:p>
    <w:p w14:paraId="72FC4210" w14:textId="77777777" w:rsidR="00A54557" w:rsidRPr="00A54557" w:rsidRDefault="00A54557" w:rsidP="00A54557">
      <w:pPr>
        <w:pStyle w:val="ListParagraph"/>
        <w:numPr>
          <w:ilvl w:val="0"/>
          <w:numId w:val="43"/>
        </w:numPr>
        <w:spacing w:line="240" w:lineRule="auto"/>
        <w:rPr>
          <w:rFonts w:eastAsia="Times New Roman" w:cs="Arial"/>
          <w:lang w:eastAsia="bg-BG"/>
        </w:rPr>
      </w:pPr>
      <w:r w:rsidRPr="00A54557">
        <w:rPr>
          <w:rFonts w:eastAsia="Times New Roman" w:cs="Arial"/>
          <w:color w:val="000000"/>
          <w:lang w:eastAsia="bg-BG"/>
        </w:rPr>
        <w:t>чести (≥</w:t>
      </w:r>
      <w:r w:rsidRPr="00A54557">
        <w:rPr>
          <w:rFonts w:eastAsia="Times New Roman" w:cs="Arial"/>
          <w:color w:val="000000"/>
          <w:lang w:val="en-US"/>
        </w:rPr>
        <w:t xml:space="preserve"> </w:t>
      </w:r>
      <w:r w:rsidRPr="00A54557">
        <w:rPr>
          <w:rFonts w:eastAsia="Times New Roman" w:cs="Arial"/>
          <w:color w:val="000000"/>
          <w:lang w:eastAsia="bg-BG"/>
        </w:rPr>
        <w:t>1/100 до &lt; 1/10)</w:t>
      </w:r>
    </w:p>
    <w:p w14:paraId="115462C5" w14:textId="77777777" w:rsidR="00A54557" w:rsidRPr="00A54557" w:rsidRDefault="00A54557" w:rsidP="00A54557">
      <w:pPr>
        <w:pStyle w:val="ListParagraph"/>
        <w:numPr>
          <w:ilvl w:val="0"/>
          <w:numId w:val="43"/>
        </w:numPr>
        <w:spacing w:line="240" w:lineRule="auto"/>
        <w:rPr>
          <w:rFonts w:eastAsia="Times New Roman" w:cs="Arial"/>
          <w:lang w:eastAsia="bg-BG"/>
        </w:rPr>
      </w:pPr>
      <w:r w:rsidRPr="00A54557">
        <w:rPr>
          <w:rFonts w:eastAsia="Times New Roman" w:cs="Arial"/>
          <w:color w:val="000000"/>
          <w:lang w:eastAsia="bg-BG"/>
        </w:rPr>
        <w:t>нечести (≥ 1/1,000 до &lt; 1/100)</w:t>
      </w:r>
    </w:p>
    <w:p w14:paraId="0B118763" w14:textId="77777777" w:rsidR="00A54557" w:rsidRPr="00A54557" w:rsidRDefault="00A54557" w:rsidP="00A54557">
      <w:pPr>
        <w:pStyle w:val="ListParagraph"/>
        <w:numPr>
          <w:ilvl w:val="0"/>
          <w:numId w:val="43"/>
        </w:numPr>
        <w:spacing w:line="240" w:lineRule="auto"/>
        <w:rPr>
          <w:rFonts w:eastAsia="Times New Roman" w:cs="Arial"/>
          <w:lang w:eastAsia="bg-BG"/>
        </w:rPr>
      </w:pPr>
      <w:r w:rsidRPr="00A54557">
        <w:rPr>
          <w:rFonts w:eastAsia="Times New Roman" w:cs="Arial"/>
          <w:color w:val="000000"/>
          <w:lang w:eastAsia="bg-BG"/>
        </w:rPr>
        <w:t>редки (≥ 1/10,000 до &lt; 1/1,000)</w:t>
      </w:r>
    </w:p>
    <w:p w14:paraId="1410318A" w14:textId="77777777" w:rsidR="00A54557" w:rsidRPr="00A54557" w:rsidRDefault="00A54557" w:rsidP="00A54557">
      <w:pPr>
        <w:pStyle w:val="ListParagraph"/>
        <w:numPr>
          <w:ilvl w:val="0"/>
          <w:numId w:val="43"/>
        </w:numPr>
        <w:spacing w:line="240" w:lineRule="auto"/>
        <w:rPr>
          <w:rFonts w:eastAsia="Times New Roman" w:cs="Arial"/>
          <w:lang w:eastAsia="bg-BG"/>
        </w:rPr>
      </w:pPr>
      <w:r w:rsidRPr="00A54557">
        <w:rPr>
          <w:rFonts w:eastAsia="Times New Roman" w:cs="Arial"/>
          <w:color w:val="000000"/>
          <w:lang w:eastAsia="bg-BG"/>
        </w:rPr>
        <w:t>много редки (&lt; 1/10,000)</w:t>
      </w:r>
    </w:p>
    <w:p w14:paraId="0254AACC" w14:textId="3E6DC44A" w:rsidR="007A2185" w:rsidRPr="00A54557" w:rsidRDefault="00A54557" w:rsidP="00A54557">
      <w:pPr>
        <w:pStyle w:val="ListParagraph"/>
        <w:numPr>
          <w:ilvl w:val="0"/>
          <w:numId w:val="43"/>
        </w:numPr>
        <w:spacing w:line="240" w:lineRule="auto"/>
        <w:rPr>
          <w:rFonts w:eastAsia="Times New Roman" w:cs="Arial"/>
          <w:lang w:eastAsia="bg-BG"/>
        </w:rPr>
      </w:pPr>
      <w:r w:rsidRPr="00A54557">
        <w:rPr>
          <w:rFonts w:eastAsia="Times New Roman" w:cs="Arial"/>
          <w:color w:val="000000"/>
          <w:lang w:eastAsia="bg-BG"/>
        </w:rPr>
        <w:t>с неизвестна честота (не може да бъде установена от наличните данни)</w:t>
      </w:r>
    </w:p>
    <w:p w14:paraId="443BC107" w14:textId="781D9D36" w:rsidR="005B0F27" w:rsidRDefault="005B0F27" w:rsidP="0091385D"/>
    <w:tbl>
      <w:tblPr>
        <w:tblStyle w:val="TableGrid"/>
        <w:tblW w:w="0" w:type="auto"/>
        <w:tblLook w:val="04A0" w:firstRow="1" w:lastRow="0" w:firstColumn="1" w:lastColumn="0" w:noHBand="0" w:noVBand="1"/>
      </w:tblPr>
      <w:tblGrid>
        <w:gridCol w:w="1363"/>
        <w:gridCol w:w="1516"/>
        <w:gridCol w:w="1679"/>
        <w:gridCol w:w="1656"/>
        <w:gridCol w:w="1616"/>
        <w:gridCol w:w="1520"/>
      </w:tblGrid>
      <w:tr w:rsidR="008923B3" w14:paraId="1161965B" w14:textId="77777777" w:rsidTr="003971B1">
        <w:tc>
          <w:tcPr>
            <w:tcW w:w="1363" w:type="dxa"/>
          </w:tcPr>
          <w:p w14:paraId="1440C81C" w14:textId="4DE105D5" w:rsidR="008923B3" w:rsidRPr="003971B1" w:rsidRDefault="008923B3" w:rsidP="008923B3">
            <w:pPr>
              <w:rPr>
                <w:rFonts w:cs="Arial"/>
              </w:rPr>
            </w:pPr>
            <w:r w:rsidRPr="003971B1">
              <w:rPr>
                <w:rFonts w:cs="Arial"/>
                <w:b/>
                <w:bCs/>
              </w:rPr>
              <w:t>Системно- органен клас</w:t>
            </w:r>
          </w:p>
        </w:tc>
        <w:tc>
          <w:tcPr>
            <w:tcW w:w="1516" w:type="dxa"/>
          </w:tcPr>
          <w:p w14:paraId="14499EBC" w14:textId="4CA99372" w:rsidR="008923B3" w:rsidRPr="003971B1" w:rsidRDefault="008923B3" w:rsidP="008923B3">
            <w:pPr>
              <w:rPr>
                <w:rFonts w:cs="Arial"/>
              </w:rPr>
            </w:pPr>
            <w:r w:rsidRPr="003971B1">
              <w:rPr>
                <w:rFonts w:cs="Arial"/>
                <w:b/>
                <w:bCs/>
              </w:rPr>
              <w:t>Чести</w:t>
            </w:r>
          </w:p>
        </w:tc>
        <w:tc>
          <w:tcPr>
            <w:tcW w:w="1679" w:type="dxa"/>
          </w:tcPr>
          <w:p w14:paraId="675B4D7D" w14:textId="208A58CE" w:rsidR="008923B3" w:rsidRPr="003971B1" w:rsidRDefault="008923B3" w:rsidP="008923B3">
            <w:pPr>
              <w:rPr>
                <w:rFonts w:cs="Arial"/>
              </w:rPr>
            </w:pPr>
            <w:r w:rsidRPr="003971B1">
              <w:rPr>
                <w:rFonts w:cs="Arial"/>
                <w:b/>
                <w:bCs/>
              </w:rPr>
              <w:t>Нечести</w:t>
            </w:r>
          </w:p>
        </w:tc>
        <w:tc>
          <w:tcPr>
            <w:tcW w:w="1656" w:type="dxa"/>
          </w:tcPr>
          <w:p w14:paraId="34B8A148" w14:textId="767D88E3" w:rsidR="008923B3" w:rsidRPr="003971B1" w:rsidRDefault="008923B3" w:rsidP="008923B3">
            <w:pPr>
              <w:rPr>
                <w:rFonts w:cs="Arial"/>
              </w:rPr>
            </w:pPr>
            <w:r w:rsidRPr="003971B1">
              <w:rPr>
                <w:rFonts w:cs="Arial"/>
                <w:b/>
                <w:bCs/>
              </w:rPr>
              <w:t>Редки</w:t>
            </w:r>
          </w:p>
        </w:tc>
        <w:tc>
          <w:tcPr>
            <w:tcW w:w="1615" w:type="dxa"/>
          </w:tcPr>
          <w:p w14:paraId="2A101E13" w14:textId="48F95331" w:rsidR="008923B3" w:rsidRPr="003971B1" w:rsidRDefault="008923B3" w:rsidP="008923B3">
            <w:pPr>
              <w:rPr>
                <w:rFonts w:cs="Arial"/>
              </w:rPr>
            </w:pPr>
            <w:r w:rsidRPr="003971B1">
              <w:rPr>
                <w:rFonts w:cs="Arial"/>
                <w:b/>
                <w:bCs/>
              </w:rPr>
              <w:t>Много редки</w:t>
            </w:r>
          </w:p>
        </w:tc>
        <w:tc>
          <w:tcPr>
            <w:tcW w:w="1521" w:type="dxa"/>
          </w:tcPr>
          <w:p w14:paraId="475E8D5A" w14:textId="1FF959D7" w:rsidR="008923B3" w:rsidRPr="003971B1" w:rsidRDefault="008923B3" w:rsidP="008923B3">
            <w:pPr>
              <w:rPr>
                <w:rFonts w:cs="Arial"/>
              </w:rPr>
            </w:pPr>
            <w:r w:rsidRPr="003971B1">
              <w:rPr>
                <w:rFonts w:cs="Arial"/>
                <w:b/>
                <w:bCs/>
              </w:rPr>
              <w:t>С неизвестна честота</w:t>
            </w:r>
          </w:p>
        </w:tc>
      </w:tr>
      <w:tr w:rsidR="008923B3" w14:paraId="49A0C297" w14:textId="77777777" w:rsidTr="003971B1">
        <w:tc>
          <w:tcPr>
            <w:tcW w:w="1363" w:type="dxa"/>
          </w:tcPr>
          <w:p w14:paraId="67D1E0AC" w14:textId="3BF85B2E" w:rsidR="008923B3" w:rsidRPr="003971B1" w:rsidRDefault="008923B3" w:rsidP="008923B3">
            <w:pPr>
              <w:rPr>
                <w:rFonts w:cs="Arial"/>
              </w:rPr>
            </w:pPr>
            <w:r w:rsidRPr="003971B1">
              <w:rPr>
                <w:rFonts w:cs="Arial"/>
                <w:b/>
                <w:bCs/>
              </w:rPr>
              <w:t>Инфекции н инфестации</w:t>
            </w:r>
          </w:p>
        </w:tc>
        <w:tc>
          <w:tcPr>
            <w:tcW w:w="1516" w:type="dxa"/>
          </w:tcPr>
          <w:p w14:paraId="79A5087D" w14:textId="41CED7E4" w:rsidR="008923B3" w:rsidRPr="003971B1" w:rsidRDefault="008923B3" w:rsidP="008923B3">
            <w:pPr>
              <w:rPr>
                <w:rFonts w:cs="Arial"/>
              </w:rPr>
            </w:pPr>
            <w:r w:rsidRPr="003971B1">
              <w:rPr>
                <w:rFonts w:cs="Arial"/>
              </w:rPr>
              <w:t>Суперинфекции с резистентни бактерии или гъби, напр. перорална и вагинална кандидоза</w:t>
            </w:r>
          </w:p>
        </w:tc>
        <w:tc>
          <w:tcPr>
            <w:tcW w:w="1679" w:type="dxa"/>
          </w:tcPr>
          <w:p w14:paraId="4B4393BA" w14:textId="77777777" w:rsidR="008923B3" w:rsidRPr="003971B1" w:rsidRDefault="008923B3" w:rsidP="008923B3">
            <w:pPr>
              <w:rPr>
                <w:rFonts w:cs="Arial"/>
              </w:rPr>
            </w:pPr>
          </w:p>
        </w:tc>
        <w:tc>
          <w:tcPr>
            <w:tcW w:w="1656" w:type="dxa"/>
          </w:tcPr>
          <w:p w14:paraId="7A872B32" w14:textId="77777777" w:rsidR="008923B3" w:rsidRPr="003971B1" w:rsidRDefault="008923B3" w:rsidP="008923B3">
            <w:pPr>
              <w:rPr>
                <w:rFonts w:cs="Arial"/>
              </w:rPr>
            </w:pPr>
          </w:p>
        </w:tc>
        <w:tc>
          <w:tcPr>
            <w:tcW w:w="1615" w:type="dxa"/>
          </w:tcPr>
          <w:p w14:paraId="2E911B32" w14:textId="77777777" w:rsidR="008923B3" w:rsidRPr="003971B1" w:rsidRDefault="008923B3" w:rsidP="008923B3">
            <w:pPr>
              <w:rPr>
                <w:rFonts w:cs="Arial"/>
              </w:rPr>
            </w:pPr>
          </w:p>
        </w:tc>
        <w:tc>
          <w:tcPr>
            <w:tcW w:w="1521" w:type="dxa"/>
          </w:tcPr>
          <w:p w14:paraId="0FCD14B9" w14:textId="77777777" w:rsidR="008923B3" w:rsidRPr="003971B1" w:rsidRDefault="008923B3" w:rsidP="008923B3">
            <w:pPr>
              <w:rPr>
                <w:rFonts w:cs="Arial"/>
              </w:rPr>
            </w:pPr>
          </w:p>
        </w:tc>
      </w:tr>
      <w:tr w:rsidR="003971B1" w14:paraId="70136D95" w14:textId="77777777" w:rsidTr="001E7E44">
        <w:trPr>
          <w:trHeight w:val="2944"/>
        </w:trPr>
        <w:tc>
          <w:tcPr>
            <w:tcW w:w="1363" w:type="dxa"/>
          </w:tcPr>
          <w:p w14:paraId="17A37132" w14:textId="77777777" w:rsidR="003971B1" w:rsidRPr="003971B1" w:rsidRDefault="003971B1" w:rsidP="008923B3">
            <w:pPr>
              <w:rPr>
                <w:rFonts w:cs="Arial"/>
              </w:rPr>
            </w:pPr>
            <w:r w:rsidRPr="003971B1">
              <w:rPr>
                <w:rFonts w:cs="Arial"/>
                <w:b/>
                <w:bCs/>
              </w:rPr>
              <w:t>Нарушения на кръвта и</w:t>
            </w:r>
          </w:p>
          <w:p w14:paraId="3755FC57" w14:textId="743A496D" w:rsidR="003971B1" w:rsidRPr="003971B1" w:rsidRDefault="003971B1" w:rsidP="008923B3">
            <w:pPr>
              <w:rPr>
                <w:rFonts w:cs="Arial"/>
              </w:rPr>
            </w:pPr>
            <w:r w:rsidRPr="003971B1">
              <w:rPr>
                <w:rFonts w:cs="Arial"/>
                <w:b/>
                <w:bCs/>
              </w:rPr>
              <w:t>лимфната система</w:t>
            </w:r>
          </w:p>
        </w:tc>
        <w:tc>
          <w:tcPr>
            <w:tcW w:w="1516" w:type="dxa"/>
          </w:tcPr>
          <w:p w14:paraId="78BE5524" w14:textId="77777777" w:rsidR="003971B1" w:rsidRPr="003971B1" w:rsidRDefault="003971B1" w:rsidP="008923B3">
            <w:pPr>
              <w:rPr>
                <w:rFonts w:cs="Arial"/>
              </w:rPr>
            </w:pPr>
          </w:p>
        </w:tc>
        <w:tc>
          <w:tcPr>
            <w:tcW w:w="1679" w:type="dxa"/>
          </w:tcPr>
          <w:p w14:paraId="3E1D1E7E" w14:textId="77777777" w:rsidR="003971B1" w:rsidRPr="003971B1" w:rsidRDefault="003971B1" w:rsidP="008923B3">
            <w:pPr>
              <w:rPr>
                <w:rFonts w:cs="Arial"/>
              </w:rPr>
            </w:pPr>
            <w:r w:rsidRPr="003971B1">
              <w:rPr>
                <w:rFonts w:cs="Arial"/>
              </w:rPr>
              <w:t>Анемия</w:t>
            </w:r>
          </w:p>
          <w:p w14:paraId="6858E244" w14:textId="77777777" w:rsidR="003971B1" w:rsidRPr="003971B1" w:rsidRDefault="003971B1" w:rsidP="008923B3">
            <w:pPr>
              <w:rPr>
                <w:rFonts w:cs="Arial"/>
              </w:rPr>
            </w:pPr>
            <w:r w:rsidRPr="003971B1">
              <w:rPr>
                <w:rFonts w:cs="Arial"/>
              </w:rPr>
              <w:t>Левкопения(и)</w:t>
            </w:r>
          </w:p>
          <w:p w14:paraId="38D5477B" w14:textId="34ED2D3C" w:rsidR="003971B1" w:rsidRPr="003971B1" w:rsidRDefault="003971B1" w:rsidP="008923B3">
            <w:pPr>
              <w:rPr>
                <w:rFonts w:cs="Arial"/>
              </w:rPr>
            </w:pPr>
            <w:r w:rsidRPr="003971B1">
              <w:rPr>
                <w:rFonts w:cs="Arial"/>
              </w:rPr>
              <w:t xml:space="preserve">Неутропения Тромбоцитопения Тромбоцитемия Кръвна еозинофилия Удължено протромбиново време/ повишен </w:t>
            </w:r>
            <w:r w:rsidRPr="003971B1">
              <w:rPr>
                <w:rFonts w:cs="Arial"/>
                <w:lang w:val="en-US"/>
              </w:rPr>
              <w:t>INR</w:t>
            </w:r>
          </w:p>
        </w:tc>
        <w:tc>
          <w:tcPr>
            <w:tcW w:w="1656" w:type="dxa"/>
          </w:tcPr>
          <w:p w14:paraId="692407D5" w14:textId="77777777" w:rsidR="003971B1" w:rsidRPr="003971B1" w:rsidRDefault="003971B1" w:rsidP="008923B3">
            <w:pPr>
              <w:rPr>
                <w:rFonts w:cs="Arial"/>
              </w:rPr>
            </w:pPr>
          </w:p>
        </w:tc>
        <w:tc>
          <w:tcPr>
            <w:tcW w:w="1615" w:type="dxa"/>
          </w:tcPr>
          <w:p w14:paraId="51B1F2BB" w14:textId="77777777" w:rsidR="003971B1" w:rsidRPr="003971B1" w:rsidRDefault="003971B1" w:rsidP="008923B3">
            <w:pPr>
              <w:rPr>
                <w:rFonts w:cs="Arial"/>
              </w:rPr>
            </w:pPr>
            <w:r w:rsidRPr="003971B1">
              <w:rPr>
                <w:rFonts w:cs="Arial"/>
              </w:rPr>
              <w:t>Повишено ниво</w:t>
            </w:r>
          </w:p>
          <w:p w14:paraId="46E85666" w14:textId="77777777" w:rsidR="003971B1" w:rsidRPr="003971B1" w:rsidRDefault="003971B1" w:rsidP="008923B3">
            <w:pPr>
              <w:rPr>
                <w:rFonts w:cs="Arial"/>
              </w:rPr>
            </w:pPr>
            <w:r w:rsidRPr="003971B1">
              <w:rPr>
                <w:rFonts w:cs="Arial"/>
              </w:rPr>
              <w:t>на протромбин</w:t>
            </w:r>
          </w:p>
          <w:p w14:paraId="264D6187" w14:textId="5A476490" w:rsidR="003971B1" w:rsidRPr="003971B1" w:rsidRDefault="003971B1" w:rsidP="008923B3">
            <w:pPr>
              <w:rPr>
                <w:rFonts w:cs="Arial"/>
              </w:rPr>
            </w:pPr>
            <w:r w:rsidRPr="003971B1">
              <w:rPr>
                <w:rFonts w:cs="Arial"/>
              </w:rPr>
              <w:t xml:space="preserve">понижен </w:t>
            </w:r>
            <w:r w:rsidRPr="003971B1">
              <w:rPr>
                <w:rFonts w:cs="Arial"/>
                <w:lang w:val="en-US"/>
              </w:rPr>
              <w:t xml:space="preserve">INR </w:t>
            </w:r>
            <w:r w:rsidRPr="003971B1">
              <w:rPr>
                <w:rFonts w:cs="Arial"/>
              </w:rPr>
              <w:t>Агранулоцигоза, панцитопения</w:t>
            </w:r>
          </w:p>
        </w:tc>
        <w:tc>
          <w:tcPr>
            <w:tcW w:w="1521" w:type="dxa"/>
            <w:textDirection w:val="tbRl"/>
          </w:tcPr>
          <w:p w14:paraId="01A34825" w14:textId="77777777" w:rsidR="003971B1" w:rsidRPr="003971B1" w:rsidRDefault="003971B1" w:rsidP="008923B3">
            <w:pPr>
              <w:rPr>
                <w:rFonts w:cs="Arial"/>
              </w:rPr>
            </w:pPr>
          </w:p>
        </w:tc>
      </w:tr>
      <w:tr w:rsidR="008923B3" w14:paraId="551AC683" w14:textId="77777777" w:rsidTr="003971B1">
        <w:tc>
          <w:tcPr>
            <w:tcW w:w="1363" w:type="dxa"/>
          </w:tcPr>
          <w:p w14:paraId="03A4022B" w14:textId="10F8CF17" w:rsidR="008923B3" w:rsidRPr="003971B1" w:rsidRDefault="008923B3" w:rsidP="008923B3">
            <w:pPr>
              <w:rPr>
                <w:rFonts w:cs="Arial"/>
              </w:rPr>
            </w:pPr>
            <w:r w:rsidRPr="003971B1">
              <w:rPr>
                <w:rFonts w:cs="Arial"/>
                <w:b/>
                <w:bCs/>
              </w:rPr>
              <w:t>Нарушения на имунната система</w:t>
            </w:r>
          </w:p>
        </w:tc>
        <w:tc>
          <w:tcPr>
            <w:tcW w:w="1516" w:type="dxa"/>
          </w:tcPr>
          <w:p w14:paraId="45F3E6D0" w14:textId="77777777" w:rsidR="008923B3" w:rsidRPr="003971B1" w:rsidRDefault="008923B3" w:rsidP="008923B3">
            <w:pPr>
              <w:rPr>
                <w:rFonts w:cs="Arial"/>
              </w:rPr>
            </w:pPr>
          </w:p>
        </w:tc>
        <w:tc>
          <w:tcPr>
            <w:tcW w:w="1679" w:type="dxa"/>
          </w:tcPr>
          <w:p w14:paraId="342D68DE" w14:textId="77777777" w:rsidR="008923B3" w:rsidRPr="003971B1" w:rsidRDefault="008923B3" w:rsidP="008923B3">
            <w:pPr>
              <w:rPr>
                <w:rFonts w:cs="Arial"/>
              </w:rPr>
            </w:pPr>
            <w:r w:rsidRPr="003971B1">
              <w:rPr>
                <w:rFonts w:cs="Arial"/>
              </w:rPr>
              <w:t>Алергична реакция (вж. точка</w:t>
            </w:r>
          </w:p>
          <w:p w14:paraId="38EAA66F" w14:textId="4D1CD960" w:rsidR="008923B3" w:rsidRPr="003971B1" w:rsidRDefault="008923B3" w:rsidP="008923B3">
            <w:pPr>
              <w:rPr>
                <w:rFonts w:cs="Arial"/>
              </w:rPr>
            </w:pPr>
            <w:r w:rsidRPr="003971B1">
              <w:rPr>
                <w:rFonts w:cs="Arial"/>
              </w:rPr>
              <w:t>4.4)</w:t>
            </w:r>
          </w:p>
        </w:tc>
        <w:tc>
          <w:tcPr>
            <w:tcW w:w="1656" w:type="dxa"/>
            <w:vAlign w:val="bottom"/>
          </w:tcPr>
          <w:p w14:paraId="1CFFC73E" w14:textId="66CC11B6" w:rsidR="008923B3" w:rsidRPr="003971B1" w:rsidRDefault="008923B3" w:rsidP="008923B3">
            <w:pPr>
              <w:rPr>
                <w:rFonts w:cs="Arial"/>
              </w:rPr>
            </w:pPr>
            <w:r w:rsidRPr="003971B1">
              <w:rPr>
                <w:rFonts w:cs="Arial"/>
              </w:rPr>
              <w:t xml:space="preserve">Анафилаксия вкл. много рядко животозастраша ващ шок (вж. точка 4.4) Алергичен оток/ </w:t>
            </w:r>
            <w:r w:rsidRPr="003971B1">
              <w:rPr>
                <w:rFonts w:cs="Arial"/>
              </w:rPr>
              <w:lastRenderedPageBreak/>
              <w:t>ангиоедем (вкл. оток на ларинкса, потенциално животозастрашав ащ, вж. точка 4.4)</w:t>
            </w:r>
          </w:p>
        </w:tc>
        <w:tc>
          <w:tcPr>
            <w:tcW w:w="1615" w:type="dxa"/>
          </w:tcPr>
          <w:p w14:paraId="1B8B63FA" w14:textId="77777777" w:rsidR="008923B3" w:rsidRPr="003971B1" w:rsidRDefault="008923B3" w:rsidP="008923B3">
            <w:pPr>
              <w:rPr>
                <w:rFonts w:cs="Arial"/>
              </w:rPr>
            </w:pPr>
          </w:p>
        </w:tc>
        <w:tc>
          <w:tcPr>
            <w:tcW w:w="1521" w:type="dxa"/>
          </w:tcPr>
          <w:p w14:paraId="4D87281D" w14:textId="77777777" w:rsidR="008923B3" w:rsidRPr="003971B1" w:rsidRDefault="008923B3" w:rsidP="008923B3">
            <w:pPr>
              <w:rPr>
                <w:rFonts w:cs="Arial"/>
              </w:rPr>
            </w:pPr>
          </w:p>
        </w:tc>
      </w:tr>
      <w:tr w:rsidR="008923B3" w14:paraId="2B315C32" w14:textId="77777777" w:rsidTr="003971B1">
        <w:tc>
          <w:tcPr>
            <w:tcW w:w="1363" w:type="dxa"/>
          </w:tcPr>
          <w:p w14:paraId="7F3E7198" w14:textId="3DD06B27" w:rsidR="008923B3" w:rsidRPr="003971B1" w:rsidRDefault="008923B3" w:rsidP="008923B3">
            <w:pPr>
              <w:rPr>
                <w:rFonts w:cs="Arial"/>
              </w:rPr>
            </w:pPr>
            <w:r w:rsidRPr="003971B1">
              <w:rPr>
                <w:rFonts w:cs="Arial"/>
                <w:b/>
                <w:bCs/>
              </w:rPr>
              <w:t>Нарушения на метаболизма и храненето</w:t>
            </w:r>
          </w:p>
        </w:tc>
        <w:tc>
          <w:tcPr>
            <w:tcW w:w="1516" w:type="dxa"/>
          </w:tcPr>
          <w:p w14:paraId="1998C48A" w14:textId="77777777" w:rsidR="008923B3" w:rsidRPr="003971B1" w:rsidRDefault="008923B3" w:rsidP="008923B3">
            <w:pPr>
              <w:rPr>
                <w:rFonts w:cs="Arial"/>
              </w:rPr>
            </w:pPr>
          </w:p>
        </w:tc>
        <w:tc>
          <w:tcPr>
            <w:tcW w:w="1679" w:type="dxa"/>
          </w:tcPr>
          <w:p w14:paraId="14B8A067" w14:textId="7FAB908E" w:rsidR="008923B3" w:rsidRPr="003971B1" w:rsidRDefault="008923B3" w:rsidP="008923B3">
            <w:pPr>
              <w:rPr>
                <w:rFonts w:cs="Arial"/>
              </w:rPr>
            </w:pPr>
            <w:r w:rsidRPr="003971B1">
              <w:rPr>
                <w:rFonts w:cs="Arial"/>
              </w:rPr>
              <w:t>Хиперлипидемия</w:t>
            </w:r>
          </w:p>
        </w:tc>
        <w:tc>
          <w:tcPr>
            <w:tcW w:w="1656" w:type="dxa"/>
          </w:tcPr>
          <w:p w14:paraId="73D58C2C" w14:textId="77777777" w:rsidR="008923B3" w:rsidRPr="003971B1" w:rsidRDefault="008923B3" w:rsidP="008923B3">
            <w:pPr>
              <w:rPr>
                <w:rFonts w:cs="Arial"/>
              </w:rPr>
            </w:pPr>
            <w:r w:rsidRPr="003971B1">
              <w:rPr>
                <w:rFonts w:cs="Arial"/>
              </w:rPr>
              <w:t>Хипергликемия</w:t>
            </w:r>
          </w:p>
          <w:p w14:paraId="09EE40B9" w14:textId="626F6619" w:rsidR="008923B3" w:rsidRPr="003971B1" w:rsidRDefault="008923B3" w:rsidP="008923B3">
            <w:pPr>
              <w:rPr>
                <w:rFonts w:cs="Arial"/>
              </w:rPr>
            </w:pPr>
            <w:r w:rsidRPr="003971B1">
              <w:rPr>
                <w:rFonts w:cs="Arial"/>
              </w:rPr>
              <w:t>Хиперурикемия</w:t>
            </w:r>
          </w:p>
        </w:tc>
        <w:tc>
          <w:tcPr>
            <w:tcW w:w="1615" w:type="dxa"/>
          </w:tcPr>
          <w:p w14:paraId="1435C09E" w14:textId="66ACBF7F" w:rsidR="008923B3" w:rsidRPr="003971B1" w:rsidRDefault="008923B3" w:rsidP="008923B3">
            <w:pPr>
              <w:rPr>
                <w:rFonts w:cs="Arial"/>
              </w:rPr>
            </w:pPr>
            <w:r w:rsidRPr="003971B1">
              <w:rPr>
                <w:rFonts w:cs="Arial"/>
              </w:rPr>
              <w:t>Хипогликемия, хипогликемична кома (виж точка 4.4)</w:t>
            </w:r>
          </w:p>
        </w:tc>
        <w:tc>
          <w:tcPr>
            <w:tcW w:w="1521" w:type="dxa"/>
          </w:tcPr>
          <w:p w14:paraId="6D2B24D8" w14:textId="77777777" w:rsidR="008923B3" w:rsidRPr="003971B1" w:rsidRDefault="008923B3" w:rsidP="008923B3">
            <w:pPr>
              <w:rPr>
                <w:rFonts w:cs="Arial"/>
              </w:rPr>
            </w:pPr>
          </w:p>
        </w:tc>
      </w:tr>
      <w:tr w:rsidR="008923B3" w14:paraId="7FAA7ED4" w14:textId="77777777" w:rsidTr="003971B1">
        <w:tc>
          <w:tcPr>
            <w:tcW w:w="1363" w:type="dxa"/>
          </w:tcPr>
          <w:p w14:paraId="1FAAA908" w14:textId="0C3B52FE" w:rsidR="008923B3" w:rsidRPr="003971B1" w:rsidRDefault="008923B3" w:rsidP="008923B3">
            <w:pPr>
              <w:rPr>
                <w:rFonts w:cs="Arial"/>
              </w:rPr>
            </w:pPr>
            <w:r w:rsidRPr="003971B1">
              <w:rPr>
                <w:rFonts w:cs="Arial"/>
                <w:b/>
                <w:bCs/>
              </w:rPr>
              <w:t>Психични нарушения*</w:t>
            </w:r>
          </w:p>
        </w:tc>
        <w:tc>
          <w:tcPr>
            <w:tcW w:w="1516" w:type="dxa"/>
          </w:tcPr>
          <w:p w14:paraId="71235A97" w14:textId="77777777" w:rsidR="008923B3" w:rsidRPr="003971B1" w:rsidRDefault="008923B3" w:rsidP="008923B3">
            <w:pPr>
              <w:rPr>
                <w:rFonts w:cs="Arial"/>
              </w:rPr>
            </w:pPr>
          </w:p>
        </w:tc>
        <w:tc>
          <w:tcPr>
            <w:tcW w:w="1679" w:type="dxa"/>
          </w:tcPr>
          <w:p w14:paraId="74574604" w14:textId="5AEB844F" w:rsidR="008923B3" w:rsidRPr="003971B1" w:rsidRDefault="008923B3" w:rsidP="008923B3">
            <w:pPr>
              <w:rPr>
                <w:rFonts w:cs="Arial"/>
              </w:rPr>
            </w:pPr>
            <w:r w:rsidRPr="003971B1">
              <w:rPr>
                <w:rFonts w:cs="Arial"/>
              </w:rPr>
              <w:t>Тревожни реакции Психомоторна хиперактивност/ възбуда</w:t>
            </w:r>
          </w:p>
        </w:tc>
        <w:tc>
          <w:tcPr>
            <w:tcW w:w="1656" w:type="dxa"/>
          </w:tcPr>
          <w:p w14:paraId="53260EB3" w14:textId="183FA0B8" w:rsidR="008923B3" w:rsidRPr="003971B1" w:rsidRDefault="008923B3" w:rsidP="008923B3">
            <w:pPr>
              <w:rPr>
                <w:rFonts w:cs="Arial"/>
              </w:rPr>
            </w:pPr>
            <w:r w:rsidRPr="003971B1">
              <w:rPr>
                <w:rFonts w:cs="Arial"/>
              </w:rPr>
              <w:t>Емоционална лабилност Депресия (в много редки случаи потенциално кулминираща в себенараняващо поведение, напр. представи, мисли или опити за самоубийство, вж. точка 4.4), Халюцинации, делириум</w:t>
            </w:r>
          </w:p>
        </w:tc>
        <w:tc>
          <w:tcPr>
            <w:tcW w:w="1615" w:type="dxa"/>
          </w:tcPr>
          <w:p w14:paraId="760EBD9E" w14:textId="5C057A66" w:rsidR="008923B3" w:rsidRPr="003971B1" w:rsidRDefault="008923B3" w:rsidP="008923B3">
            <w:pPr>
              <w:rPr>
                <w:rFonts w:cs="Arial"/>
              </w:rPr>
            </w:pPr>
            <w:r w:rsidRPr="003971B1">
              <w:rPr>
                <w:rFonts w:cs="Arial"/>
              </w:rPr>
              <w:t>Деперсонализа- ция Психотични реакции (потенциално кулминираща в себенараняващо поведение, напр. представи, мисли или опити за самоубийство, вж. точка 4.4)</w:t>
            </w:r>
          </w:p>
        </w:tc>
        <w:tc>
          <w:tcPr>
            <w:tcW w:w="1521" w:type="dxa"/>
          </w:tcPr>
          <w:p w14:paraId="2E8D5960" w14:textId="77777777" w:rsidR="008923B3" w:rsidRPr="003971B1" w:rsidRDefault="008923B3" w:rsidP="008923B3">
            <w:pPr>
              <w:rPr>
                <w:rFonts w:cs="Arial"/>
              </w:rPr>
            </w:pPr>
          </w:p>
        </w:tc>
      </w:tr>
      <w:tr w:rsidR="008923B3" w14:paraId="4DC3E79C" w14:textId="77777777" w:rsidTr="003971B1">
        <w:tc>
          <w:tcPr>
            <w:tcW w:w="1363" w:type="dxa"/>
          </w:tcPr>
          <w:p w14:paraId="4AD08BBE" w14:textId="593586CD" w:rsidR="008923B3" w:rsidRPr="003971B1" w:rsidRDefault="008923B3" w:rsidP="008923B3">
            <w:pPr>
              <w:rPr>
                <w:rFonts w:cs="Arial"/>
              </w:rPr>
            </w:pPr>
            <w:r w:rsidRPr="003971B1">
              <w:rPr>
                <w:rFonts w:cs="Arial"/>
                <w:b/>
                <w:bCs/>
              </w:rPr>
              <w:t>Нарушения на ендокрнннат а система</w:t>
            </w:r>
          </w:p>
        </w:tc>
        <w:tc>
          <w:tcPr>
            <w:tcW w:w="1516" w:type="dxa"/>
          </w:tcPr>
          <w:p w14:paraId="3D8DD443" w14:textId="77777777" w:rsidR="008923B3" w:rsidRPr="003971B1" w:rsidRDefault="008923B3" w:rsidP="008923B3">
            <w:pPr>
              <w:rPr>
                <w:rFonts w:cs="Arial"/>
              </w:rPr>
            </w:pPr>
          </w:p>
        </w:tc>
        <w:tc>
          <w:tcPr>
            <w:tcW w:w="1679" w:type="dxa"/>
          </w:tcPr>
          <w:p w14:paraId="0514D8D3" w14:textId="77777777" w:rsidR="008923B3" w:rsidRPr="003971B1" w:rsidRDefault="008923B3" w:rsidP="008923B3">
            <w:pPr>
              <w:rPr>
                <w:rFonts w:cs="Arial"/>
              </w:rPr>
            </w:pPr>
          </w:p>
        </w:tc>
        <w:tc>
          <w:tcPr>
            <w:tcW w:w="1656" w:type="dxa"/>
          </w:tcPr>
          <w:p w14:paraId="0BCEB8E6" w14:textId="77777777" w:rsidR="008923B3" w:rsidRPr="003971B1" w:rsidRDefault="008923B3" w:rsidP="008923B3">
            <w:pPr>
              <w:rPr>
                <w:rFonts w:cs="Arial"/>
              </w:rPr>
            </w:pPr>
          </w:p>
        </w:tc>
        <w:tc>
          <w:tcPr>
            <w:tcW w:w="1615" w:type="dxa"/>
            <w:vAlign w:val="bottom"/>
          </w:tcPr>
          <w:p w14:paraId="14980368" w14:textId="758147F4" w:rsidR="008923B3" w:rsidRPr="003971B1" w:rsidRDefault="008923B3" w:rsidP="008923B3">
            <w:pPr>
              <w:rPr>
                <w:rFonts w:cs="Arial"/>
              </w:rPr>
            </w:pPr>
            <w:r w:rsidRPr="003971B1">
              <w:rPr>
                <w:rFonts w:cs="Arial"/>
              </w:rPr>
              <w:t xml:space="preserve">Синдром на неадекватна секреция на антидиуретичния хормон </w:t>
            </w:r>
            <w:r w:rsidRPr="003971B1">
              <w:rPr>
                <w:rFonts w:cs="Arial"/>
                <w:lang w:val="en-US"/>
              </w:rPr>
              <w:t>(SIADH)</w:t>
            </w:r>
          </w:p>
        </w:tc>
        <w:tc>
          <w:tcPr>
            <w:tcW w:w="1521" w:type="dxa"/>
          </w:tcPr>
          <w:p w14:paraId="26C77AEF" w14:textId="77777777" w:rsidR="008923B3" w:rsidRPr="003971B1" w:rsidRDefault="008923B3" w:rsidP="008923B3">
            <w:pPr>
              <w:rPr>
                <w:rFonts w:cs="Arial"/>
              </w:rPr>
            </w:pPr>
          </w:p>
        </w:tc>
      </w:tr>
      <w:tr w:rsidR="003971B1" w14:paraId="60C78DF5" w14:textId="77777777" w:rsidTr="001E7E44">
        <w:trPr>
          <w:trHeight w:val="6623"/>
        </w:trPr>
        <w:tc>
          <w:tcPr>
            <w:tcW w:w="1363" w:type="dxa"/>
          </w:tcPr>
          <w:p w14:paraId="6F991BC5" w14:textId="5BF2FDB0" w:rsidR="003971B1" w:rsidRPr="003971B1" w:rsidRDefault="003971B1" w:rsidP="008923B3">
            <w:pPr>
              <w:rPr>
                <w:rFonts w:cs="Arial"/>
              </w:rPr>
            </w:pPr>
            <w:r w:rsidRPr="003971B1">
              <w:rPr>
                <w:rFonts w:cs="Arial"/>
                <w:b/>
                <w:bCs/>
              </w:rPr>
              <w:lastRenderedPageBreak/>
              <w:t>Нарушения на нервната система*</w:t>
            </w:r>
          </w:p>
        </w:tc>
        <w:tc>
          <w:tcPr>
            <w:tcW w:w="1516" w:type="dxa"/>
          </w:tcPr>
          <w:p w14:paraId="5FCB3513" w14:textId="13FB3DD4" w:rsidR="003971B1" w:rsidRPr="003971B1" w:rsidRDefault="003971B1" w:rsidP="008923B3">
            <w:pPr>
              <w:rPr>
                <w:rFonts w:cs="Arial"/>
              </w:rPr>
            </w:pPr>
            <w:r w:rsidRPr="003971B1">
              <w:rPr>
                <w:rFonts w:cs="Arial"/>
              </w:rPr>
              <w:t>Главоболие Замайване</w:t>
            </w:r>
          </w:p>
        </w:tc>
        <w:tc>
          <w:tcPr>
            <w:tcW w:w="1679" w:type="dxa"/>
            <w:vAlign w:val="bottom"/>
          </w:tcPr>
          <w:p w14:paraId="7E220D30" w14:textId="77777777" w:rsidR="003971B1" w:rsidRPr="003971B1" w:rsidRDefault="003971B1" w:rsidP="008923B3">
            <w:pPr>
              <w:rPr>
                <w:rFonts w:cs="Arial"/>
              </w:rPr>
            </w:pPr>
            <w:r w:rsidRPr="003971B1">
              <w:rPr>
                <w:rFonts w:cs="Arial"/>
              </w:rPr>
              <w:t>Пар- и дизестезия Нарушен вкус (вкл. в много редки случаи агеузия) Объркване и дезориентация</w:t>
            </w:r>
          </w:p>
          <w:p w14:paraId="11BFF1F2" w14:textId="7B60D3EF" w:rsidR="003971B1" w:rsidRPr="003971B1" w:rsidRDefault="003971B1" w:rsidP="008923B3">
            <w:pPr>
              <w:rPr>
                <w:rFonts w:cs="Arial"/>
              </w:rPr>
            </w:pPr>
            <w:r w:rsidRPr="003971B1">
              <w:rPr>
                <w:rFonts w:cs="Arial"/>
              </w:rPr>
              <w:t>Нарушен сън (предимно безсъние) Тремор Световъртеж Сънливост</w:t>
            </w:r>
          </w:p>
        </w:tc>
        <w:tc>
          <w:tcPr>
            <w:tcW w:w="1656" w:type="dxa"/>
            <w:vAlign w:val="bottom"/>
          </w:tcPr>
          <w:p w14:paraId="20CE3ADF" w14:textId="77777777" w:rsidR="003971B1" w:rsidRPr="003971B1" w:rsidRDefault="003971B1" w:rsidP="008923B3">
            <w:pPr>
              <w:rPr>
                <w:rFonts w:cs="Arial"/>
              </w:rPr>
            </w:pPr>
            <w:r w:rsidRPr="003971B1">
              <w:rPr>
                <w:rFonts w:cs="Arial"/>
              </w:rPr>
              <w:t>Хипоестезия Нарушено обоняние (вкл. аносмия) Абнормни сънища Нарушена</w:t>
            </w:r>
          </w:p>
          <w:p w14:paraId="22B54ADD" w14:textId="77777777" w:rsidR="003971B1" w:rsidRPr="003971B1" w:rsidRDefault="003971B1" w:rsidP="008923B3">
            <w:pPr>
              <w:rPr>
                <w:rFonts w:cs="Arial"/>
              </w:rPr>
            </w:pPr>
            <w:r w:rsidRPr="003971B1">
              <w:rPr>
                <w:rFonts w:cs="Arial"/>
              </w:rPr>
              <w:t>координация (вкл.</w:t>
            </w:r>
          </w:p>
          <w:p w14:paraId="0BB194CD" w14:textId="2005CF90" w:rsidR="003971B1" w:rsidRPr="003971B1" w:rsidRDefault="003971B1" w:rsidP="008923B3">
            <w:pPr>
              <w:rPr>
                <w:rFonts w:cs="Arial"/>
              </w:rPr>
            </w:pPr>
            <w:r w:rsidRPr="003971B1">
              <w:rPr>
                <w:rFonts w:cs="Arial"/>
              </w:rPr>
              <w:t xml:space="preserve">нарушена походка, особено поради замайване или световъртеж) Гърчове, вкл. </w:t>
            </w:r>
            <w:r w:rsidRPr="003971B1">
              <w:rPr>
                <w:rFonts w:cs="Arial"/>
                <w:i/>
                <w:iCs/>
                <w:lang w:val="en-US"/>
              </w:rPr>
              <w:t>grand m</w:t>
            </w:r>
            <w:r w:rsidRPr="003971B1">
              <w:rPr>
                <w:rFonts w:cs="Arial"/>
                <w:i/>
                <w:iCs/>
              </w:rPr>
              <w:t>а</w:t>
            </w:r>
            <w:r w:rsidRPr="003971B1">
              <w:rPr>
                <w:rFonts w:cs="Arial"/>
                <w:i/>
                <w:iCs/>
                <w:lang w:val="en-US"/>
              </w:rPr>
              <w:t xml:space="preserve">l </w:t>
            </w:r>
            <w:r w:rsidRPr="003971B1">
              <w:rPr>
                <w:rFonts w:cs="Arial"/>
              </w:rPr>
              <w:t>гърчове (вж. точка 4.4) Нарушено внимание Нарушен говор Амнезия Периферна невропатия и полиневропатия</w:t>
            </w:r>
          </w:p>
        </w:tc>
        <w:tc>
          <w:tcPr>
            <w:tcW w:w="1615" w:type="dxa"/>
            <w:vAlign w:val="bottom"/>
          </w:tcPr>
          <w:p w14:paraId="36A645AE" w14:textId="11E27AB0" w:rsidR="003971B1" w:rsidRPr="003971B1" w:rsidRDefault="003971B1" w:rsidP="008923B3">
            <w:pPr>
              <w:rPr>
                <w:rFonts w:cs="Arial"/>
              </w:rPr>
            </w:pPr>
            <w:r w:rsidRPr="003971B1">
              <w:rPr>
                <w:rFonts w:cs="Arial"/>
              </w:rPr>
              <w:t>Хиперестезия</w:t>
            </w:r>
          </w:p>
        </w:tc>
        <w:tc>
          <w:tcPr>
            <w:tcW w:w="1521" w:type="dxa"/>
          </w:tcPr>
          <w:p w14:paraId="23CBE972" w14:textId="77777777" w:rsidR="003971B1" w:rsidRPr="003971B1" w:rsidRDefault="003971B1" w:rsidP="008923B3">
            <w:pPr>
              <w:rPr>
                <w:rFonts w:cs="Arial"/>
              </w:rPr>
            </w:pPr>
          </w:p>
        </w:tc>
      </w:tr>
      <w:tr w:rsidR="008923B3" w14:paraId="1C345E09" w14:textId="77777777" w:rsidTr="003971B1">
        <w:tc>
          <w:tcPr>
            <w:tcW w:w="1363" w:type="dxa"/>
          </w:tcPr>
          <w:p w14:paraId="1BC3724A" w14:textId="0D7D7660" w:rsidR="008923B3" w:rsidRPr="003971B1" w:rsidRDefault="008923B3" w:rsidP="008923B3">
            <w:pPr>
              <w:rPr>
                <w:rFonts w:cs="Arial"/>
              </w:rPr>
            </w:pPr>
            <w:r w:rsidRPr="003971B1">
              <w:rPr>
                <w:rFonts w:cs="Arial"/>
                <w:b/>
                <w:bCs/>
              </w:rPr>
              <w:t>Нарушения на очите*</w:t>
            </w:r>
          </w:p>
        </w:tc>
        <w:tc>
          <w:tcPr>
            <w:tcW w:w="1516" w:type="dxa"/>
          </w:tcPr>
          <w:p w14:paraId="3404387B" w14:textId="77777777" w:rsidR="008923B3" w:rsidRPr="003971B1" w:rsidRDefault="008923B3" w:rsidP="008923B3">
            <w:pPr>
              <w:rPr>
                <w:rFonts w:cs="Arial"/>
              </w:rPr>
            </w:pPr>
          </w:p>
        </w:tc>
        <w:tc>
          <w:tcPr>
            <w:tcW w:w="1679" w:type="dxa"/>
            <w:vAlign w:val="bottom"/>
          </w:tcPr>
          <w:p w14:paraId="20F797FC" w14:textId="2132E84A" w:rsidR="008923B3" w:rsidRPr="003971B1" w:rsidRDefault="008923B3" w:rsidP="008923B3">
            <w:pPr>
              <w:rPr>
                <w:rFonts w:cs="Arial"/>
              </w:rPr>
            </w:pPr>
            <w:r w:rsidRPr="003971B1">
              <w:rPr>
                <w:rFonts w:cs="Arial"/>
              </w:rPr>
              <w:t>Визуални смущения вкл. диштопия и нарушена зрителна острота (особено при реакции от ЦНС, вж. точка 4.4)</w:t>
            </w:r>
          </w:p>
        </w:tc>
        <w:tc>
          <w:tcPr>
            <w:tcW w:w="1656" w:type="dxa"/>
          </w:tcPr>
          <w:p w14:paraId="558E5518" w14:textId="77777777" w:rsidR="008923B3" w:rsidRPr="003971B1" w:rsidRDefault="008923B3" w:rsidP="008923B3">
            <w:pPr>
              <w:rPr>
                <w:rFonts w:cs="Arial"/>
              </w:rPr>
            </w:pPr>
          </w:p>
        </w:tc>
        <w:tc>
          <w:tcPr>
            <w:tcW w:w="1615" w:type="dxa"/>
          </w:tcPr>
          <w:p w14:paraId="50635C8C" w14:textId="39062730" w:rsidR="008923B3" w:rsidRPr="003971B1" w:rsidRDefault="008923B3" w:rsidP="008923B3">
            <w:pPr>
              <w:rPr>
                <w:rFonts w:cs="Arial"/>
              </w:rPr>
            </w:pPr>
            <w:r w:rsidRPr="003971B1">
              <w:rPr>
                <w:rFonts w:cs="Arial"/>
              </w:rPr>
              <w:t>Преходна загуба на зрение (особено при реакции от ЦНС, вж. точки 4.4 и 4.7)</w:t>
            </w:r>
          </w:p>
        </w:tc>
        <w:tc>
          <w:tcPr>
            <w:tcW w:w="1521" w:type="dxa"/>
          </w:tcPr>
          <w:p w14:paraId="0EE2571B" w14:textId="77777777" w:rsidR="008923B3" w:rsidRPr="003971B1" w:rsidRDefault="008923B3" w:rsidP="008923B3">
            <w:pPr>
              <w:rPr>
                <w:rFonts w:cs="Arial"/>
              </w:rPr>
            </w:pPr>
          </w:p>
        </w:tc>
      </w:tr>
      <w:tr w:rsidR="008923B3" w14:paraId="57408307" w14:textId="77777777" w:rsidTr="003971B1">
        <w:tc>
          <w:tcPr>
            <w:tcW w:w="1363" w:type="dxa"/>
          </w:tcPr>
          <w:p w14:paraId="20082DBA" w14:textId="3C1A4124" w:rsidR="008923B3" w:rsidRPr="003971B1" w:rsidRDefault="008923B3" w:rsidP="008923B3">
            <w:pPr>
              <w:rPr>
                <w:rFonts w:cs="Arial"/>
              </w:rPr>
            </w:pPr>
            <w:r w:rsidRPr="003971B1">
              <w:rPr>
                <w:rFonts w:cs="Arial"/>
                <w:b/>
                <w:bCs/>
              </w:rPr>
              <w:t>Нарушения на ухото и лабиринта*</w:t>
            </w:r>
          </w:p>
        </w:tc>
        <w:tc>
          <w:tcPr>
            <w:tcW w:w="1516" w:type="dxa"/>
          </w:tcPr>
          <w:p w14:paraId="74CF03B8" w14:textId="77777777" w:rsidR="008923B3" w:rsidRPr="003971B1" w:rsidRDefault="008923B3" w:rsidP="008923B3">
            <w:pPr>
              <w:rPr>
                <w:rFonts w:cs="Arial"/>
              </w:rPr>
            </w:pPr>
          </w:p>
        </w:tc>
        <w:tc>
          <w:tcPr>
            <w:tcW w:w="1679" w:type="dxa"/>
          </w:tcPr>
          <w:p w14:paraId="44CEB12A" w14:textId="5641E0B6" w:rsidR="008923B3" w:rsidRPr="003971B1" w:rsidRDefault="008923B3" w:rsidP="008923B3">
            <w:pPr>
              <w:rPr>
                <w:rFonts w:cs="Arial"/>
              </w:rPr>
            </w:pPr>
            <w:r w:rsidRPr="003971B1">
              <w:rPr>
                <w:rFonts w:cs="Arial"/>
                <w:vertAlign w:val="superscript"/>
              </w:rPr>
              <w:t>1</w:t>
            </w:r>
          </w:p>
        </w:tc>
        <w:tc>
          <w:tcPr>
            <w:tcW w:w="1656" w:type="dxa"/>
          </w:tcPr>
          <w:p w14:paraId="486F73E5" w14:textId="38568FC4" w:rsidR="008923B3" w:rsidRPr="003971B1" w:rsidRDefault="008923B3" w:rsidP="008923B3">
            <w:pPr>
              <w:rPr>
                <w:rFonts w:cs="Arial"/>
              </w:rPr>
            </w:pPr>
            <w:r w:rsidRPr="003971B1">
              <w:rPr>
                <w:rFonts w:cs="Arial"/>
              </w:rPr>
              <w:t>Шум в ушите Нарушен слух, вкл. глухота (обикновено обратима)</w:t>
            </w:r>
          </w:p>
        </w:tc>
        <w:tc>
          <w:tcPr>
            <w:tcW w:w="1615" w:type="dxa"/>
          </w:tcPr>
          <w:p w14:paraId="76BDF7A6" w14:textId="77777777" w:rsidR="008923B3" w:rsidRPr="003971B1" w:rsidRDefault="008923B3" w:rsidP="008923B3">
            <w:pPr>
              <w:rPr>
                <w:rFonts w:cs="Arial"/>
              </w:rPr>
            </w:pPr>
          </w:p>
        </w:tc>
        <w:tc>
          <w:tcPr>
            <w:tcW w:w="1521" w:type="dxa"/>
          </w:tcPr>
          <w:p w14:paraId="70D284E0" w14:textId="77777777" w:rsidR="008923B3" w:rsidRPr="003971B1" w:rsidRDefault="008923B3" w:rsidP="008923B3">
            <w:pPr>
              <w:rPr>
                <w:rFonts w:cs="Arial"/>
              </w:rPr>
            </w:pPr>
          </w:p>
        </w:tc>
      </w:tr>
      <w:tr w:rsidR="008923B3" w14:paraId="49006B19" w14:textId="77777777" w:rsidTr="003971B1">
        <w:tc>
          <w:tcPr>
            <w:tcW w:w="1363" w:type="dxa"/>
          </w:tcPr>
          <w:p w14:paraId="60EF94E8" w14:textId="6BD63063" w:rsidR="008923B3" w:rsidRPr="003971B1" w:rsidRDefault="008923B3" w:rsidP="008923B3">
            <w:pPr>
              <w:rPr>
                <w:rFonts w:cs="Arial"/>
              </w:rPr>
            </w:pPr>
            <w:r w:rsidRPr="003971B1">
              <w:rPr>
                <w:rFonts w:cs="Arial"/>
                <w:b/>
                <w:bCs/>
              </w:rPr>
              <w:lastRenderedPageBreak/>
              <w:t>Сърдечни нарушения**</w:t>
            </w:r>
          </w:p>
        </w:tc>
        <w:tc>
          <w:tcPr>
            <w:tcW w:w="1516" w:type="dxa"/>
          </w:tcPr>
          <w:p w14:paraId="623081AA" w14:textId="130B2C2C" w:rsidR="008923B3" w:rsidRPr="003971B1" w:rsidRDefault="008923B3" w:rsidP="008923B3">
            <w:pPr>
              <w:rPr>
                <w:rFonts w:cs="Arial"/>
              </w:rPr>
            </w:pPr>
            <w:r w:rsidRPr="003971B1">
              <w:rPr>
                <w:rFonts w:cs="Arial"/>
              </w:rPr>
              <w:t xml:space="preserve">Удължаване на </w:t>
            </w:r>
            <w:r w:rsidRPr="003971B1">
              <w:rPr>
                <w:rFonts w:cs="Arial"/>
                <w:lang w:val="en-US"/>
              </w:rPr>
              <w:t xml:space="preserve">QT </w:t>
            </w:r>
            <w:r w:rsidRPr="003971B1">
              <w:rPr>
                <w:rFonts w:cs="Arial"/>
              </w:rPr>
              <w:t>при пациенти с хипокалиемия (вж. точки 4.3 и 4.4)</w:t>
            </w:r>
          </w:p>
        </w:tc>
        <w:tc>
          <w:tcPr>
            <w:tcW w:w="1679" w:type="dxa"/>
          </w:tcPr>
          <w:p w14:paraId="2EAA3E2C" w14:textId="77777777" w:rsidR="008923B3" w:rsidRPr="003971B1" w:rsidRDefault="008923B3" w:rsidP="008923B3">
            <w:pPr>
              <w:rPr>
                <w:rFonts w:cs="Arial"/>
              </w:rPr>
            </w:pPr>
            <w:r w:rsidRPr="003971B1">
              <w:rPr>
                <w:rFonts w:cs="Arial"/>
              </w:rPr>
              <w:t xml:space="preserve">Удължаване на </w:t>
            </w:r>
            <w:r w:rsidRPr="003971B1">
              <w:rPr>
                <w:rFonts w:cs="Arial"/>
                <w:lang w:val="en-US"/>
              </w:rPr>
              <w:t>QT</w:t>
            </w:r>
          </w:p>
          <w:p w14:paraId="79EB3A7C" w14:textId="541FDB93" w:rsidR="008923B3" w:rsidRPr="003971B1" w:rsidRDefault="008923B3" w:rsidP="008923B3">
            <w:pPr>
              <w:rPr>
                <w:rFonts w:cs="Arial"/>
              </w:rPr>
            </w:pPr>
            <w:r w:rsidRPr="003971B1">
              <w:rPr>
                <w:rFonts w:cs="Arial"/>
              </w:rPr>
              <w:t>(вж. точка 4.4) Палпитации Тахикардия Предсърдно мъждене Ангина пекторис</w:t>
            </w:r>
          </w:p>
        </w:tc>
        <w:tc>
          <w:tcPr>
            <w:tcW w:w="1656" w:type="dxa"/>
          </w:tcPr>
          <w:p w14:paraId="502F9E2F" w14:textId="65377C14" w:rsidR="008923B3" w:rsidRPr="003971B1" w:rsidRDefault="008923B3" w:rsidP="008923B3">
            <w:pPr>
              <w:rPr>
                <w:rFonts w:cs="Arial"/>
              </w:rPr>
            </w:pPr>
            <w:r w:rsidRPr="003971B1">
              <w:rPr>
                <w:rFonts w:cs="Arial"/>
              </w:rPr>
              <w:t>Камерни тахиаритмии Синкоп (т.е. остро настъпила и краткотрайна загуба на съзнание)</w:t>
            </w:r>
          </w:p>
        </w:tc>
        <w:tc>
          <w:tcPr>
            <w:tcW w:w="1615" w:type="dxa"/>
          </w:tcPr>
          <w:p w14:paraId="4DD443B8" w14:textId="1C9FF7C4" w:rsidR="008923B3" w:rsidRPr="003971B1" w:rsidRDefault="008923B3" w:rsidP="008923B3">
            <w:pPr>
              <w:rPr>
                <w:rFonts w:cs="Arial"/>
              </w:rPr>
            </w:pPr>
            <w:r w:rsidRPr="003971B1">
              <w:rPr>
                <w:rFonts w:cs="Arial"/>
              </w:rPr>
              <w:t xml:space="preserve">Неопределени аритмии </w:t>
            </w:r>
            <w:r w:rsidRPr="003971B1">
              <w:rPr>
                <w:rFonts w:cs="Arial"/>
                <w:lang w:val="en-US"/>
              </w:rPr>
              <w:t xml:space="preserve">Torsade de Pointes </w:t>
            </w:r>
            <w:r w:rsidRPr="003971B1">
              <w:rPr>
                <w:rFonts w:cs="Arial"/>
              </w:rPr>
              <w:t>(вж. точка 4.4) Сърдечен арест (вж. точка 4.4)</w:t>
            </w:r>
          </w:p>
        </w:tc>
        <w:tc>
          <w:tcPr>
            <w:tcW w:w="1521" w:type="dxa"/>
          </w:tcPr>
          <w:p w14:paraId="6336D118" w14:textId="77777777" w:rsidR="008923B3" w:rsidRPr="003971B1" w:rsidRDefault="008923B3" w:rsidP="008923B3">
            <w:pPr>
              <w:rPr>
                <w:rFonts w:cs="Arial"/>
              </w:rPr>
            </w:pPr>
          </w:p>
        </w:tc>
      </w:tr>
      <w:tr w:rsidR="008923B3" w14:paraId="4C1DD761" w14:textId="77777777" w:rsidTr="003971B1">
        <w:tc>
          <w:tcPr>
            <w:tcW w:w="1363" w:type="dxa"/>
            <w:vAlign w:val="bottom"/>
          </w:tcPr>
          <w:p w14:paraId="30196EB5" w14:textId="3FF0CE47" w:rsidR="008923B3" w:rsidRPr="003971B1" w:rsidRDefault="008923B3" w:rsidP="008923B3">
            <w:pPr>
              <w:rPr>
                <w:rFonts w:cs="Arial"/>
              </w:rPr>
            </w:pPr>
            <w:r w:rsidRPr="003971B1">
              <w:rPr>
                <w:rFonts w:cs="Arial"/>
                <w:b/>
                <w:bCs/>
              </w:rPr>
              <w:t>Съдови нарушения**</w:t>
            </w:r>
          </w:p>
        </w:tc>
        <w:tc>
          <w:tcPr>
            <w:tcW w:w="1516" w:type="dxa"/>
          </w:tcPr>
          <w:p w14:paraId="5AB8DA50" w14:textId="77777777" w:rsidR="008923B3" w:rsidRPr="003971B1" w:rsidRDefault="008923B3" w:rsidP="008923B3">
            <w:pPr>
              <w:rPr>
                <w:rFonts w:cs="Arial"/>
              </w:rPr>
            </w:pPr>
          </w:p>
        </w:tc>
        <w:tc>
          <w:tcPr>
            <w:tcW w:w="1679" w:type="dxa"/>
          </w:tcPr>
          <w:p w14:paraId="009C10A0" w14:textId="14265CDA" w:rsidR="008923B3" w:rsidRPr="003971B1" w:rsidRDefault="008923B3" w:rsidP="008923B3">
            <w:pPr>
              <w:rPr>
                <w:rFonts w:cs="Arial"/>
              </w:rPr>
            </w:pPr>
            <w:r w:rsidRPr="003971B1">
              <w:rPr>
                <w:rFonts w:cs="Arial"/>
              </w:rPr>
              <w:t>Вазодилатация</w:t>
            </w:r>
          </w:p>
        </w:tc>
        <w:tc>
          <w:tcPr>
            <w:tcW w:w="1656" w:type="dxa"/>
            <w:vAlign w:val="bottom"/>
          </w:tcPr>
          <w:p w14:paraId="7E366A44" w14:textId="1EC4CF9E" w:rsidR="008923B3" w:rsidRPr="003971B1" w:rsidRDefault="008923B3" w:rsidP="008923B3">
            <w:pPr>
              <w:rPr>
                <w:rFonts w:cs="Arial"/>
              </w:rPr>
            </w:pPr>
            <w:r w:rsidRPr="003971B1">
              <w:rPr>
                <w:rFonts w:cs="Arial"/>
              </w:rPr>
              <w:t>Хипертония Хипотония</w:t>
            </w:r>
          </w:p>
        </w:tc>
        <w:tc>
          <w:tcPr>
            <w:tcW w:w="1615" w:type="dxa"/>
          </w:tcPr>
          <w:p w14:paraId="0897AFFD" w14:textId="7F5DB19E" w:rsidR="008923B3" w:rsidRPr="003971B1" w:rsidRDefault="008923B3" w:rsidP="008923B3">
            <w:pPr>
              <w:rPr>
                <w:rFonts w:cs="Arial"/>
              </w:rPr>
            </w:pPr>
            <w:r w:rsidRPr="003971B1">
              <w:rPr>
                <w:rFonts w:cs="Arial"/>
              </w:rPr>
              <w:t>Васкулит</w:t>
            </w:r>
          </w:p>
        </w:tc>
        <w:tc>
          <w:tcPr>
            <w:tcW w:w="1521" w:type="dxa"/>
          </w:tcPr>
          <w:p w14:paraId="3E473089" w14:textId="77777777" w:rsidR="008923B3" w:rsidRPr="003971B1" w:rsidRDefault="008923B3" w:rsidP="008923B3">
            <w:pPr>
              <w:rPr>
                <w:rFonts w:cs="Arial"/>
              </w:rPr>
            </w:pPr>
          </w:p>
        </w:tc>
      </w:tr>
      <w:tr w:rsidR="008923B3" w14:paraId="29C88649" w14:textId="77777777" w:rsidTr="003971B1">
        <w:tc>
          <w:tcPr>
            <w:tcW w:w="1363" w:type="dxa"/>
            <w:vAlign w:val="bottom"/>
          </w:tcPr>
          <w:p w14:paraId="2FDC7563" w14:textId="4873F6B4" w:rsidR="008923B3" w:rsidRPr="003971B1" w:rsidRDefault="008923B3" w:rsidP="008923B3">
            <w:pPr>
              <w:rPr>
                <w:rFonts w:cs="Arial"/>
              </w:rPr>
            </w:pPr>
            <w:r w:rsidRPr="003971B1">
              <w:rPr>
                <w:rFonts w:cs="Arial"/>
                <w:b/>
                <w:bCs/>
              </w:rPr>
              <w:t>Респираторн и, гръдни и мед настина лнн нарушения</w:t>
            </w:r>
          </w:p>
        </w:tc>
        <w:tc>
          <w:tcPr>
            <w:tcW w:w="1516" w:type="dxa"/>
          </w:tcPr>
          <w:p w14:paraId="379025F1" w14:textId="77777777" w:rsidR="008923B3" w:rsidRPr="003971B1" w:rsidRDefault="008923B3" w:rsidP="008923B3">
            <w:pPr>
              <w:rPr>
                <w:rFonts w:cs="Arial"/>
              </w:rPr>
            </w:pPr>
          </w:p>
        </w:tc>
        <w:tc>
          <w:tcPr>
            <w:tcW w:w="1679" w:type="dxa"/>
          </w:tcPr>
          <w:p w14:paraId="300C5343" w14:textId="23CC3E6B" w:rsidR="008923B3" w:rsidRPr="003971B1" w:rsidRDefault="008923B3" w:rsidP="008923B3">
            <w:pPr>
              <w:rPr>
                <w:rFonts w:cs="Arial"/>
              </w:rPr>
            </w:pPr>
            <w:r w:rsidRPr="003971B1">
              <w:rPr>
                <w:rFonts w:cs="Arial"/>
              </w:rPr>
              <w:t>Задух (включително астматични състояния)</w:t>
            </w:r>
          </w:p>
        </w:tc>
        <w:tc>
          <w:tcPr>
            <w:tcW w:w="1656" w:type="dxa"/>
          </w:tcPr>
          <w:p w14:paraId="63E2FA78" w14:textId="77777777" w:rsidR="008923B3" w:rsidRPr="003971B1" w:rsidRDefault="008923B3" w:rsidP="008923B3">
            <w:pPr>
              <w:rPr>
                <w:rFonts w:cs="Arial"/>
              </w:rPr>
            </w:pPr>
          </w:p>
        </w:tc>
        <w:tc>
          <w:tcPr>
            <w:tcW w:w="1615" w:type="dxa"/>
          </w:tcPr>
          <w:p w14:paraId="15AFB23A" w14:textId="77777777" w:rsidR="008923B3" w:rsidRPr="003971B1" w:rsidRDefault="008923B3" w:rsidP="008923B3">
            <w:pPr>
              <w:rPr>
                <w:rFonts w:cs="Arial"/>
              </w:rPr>
            </w:pPr>
          </w:p>
        </w:tc>
        <w:tc>
          <w:tcPr>
            <w:tcW w:w="1521" w:type="dxa"/>
          </w:tcPr>
          <w:p w14:paraId="10550C60" w14:textId="77777777" w:rsidR="008923B3" w:rsidRPr="003971B1" w:rsidRDefault="008923B3" w:rsidP="008923B3">
            <w:pPr>
              <w:rPr>
                <w:rFonts w:cs="Arial"/>
              </w:rPr>
            </w:pPr>
          </w:p>
        </w:tc>
      </w:tr>
      <w:tr w:rsidR="003971B1" w14:paraId="37F50256" w14:textId="77777777" w:rsidTr="001E7E44">
        <w:trPr>
          <w:trHeight w:val="3434"/>
        </w:trPr>
        <w:tc>
          <w:tcPr>
            <w:tcW w:w="1363" w:type="dxa"/>
          </w:tcPr>
          <w:p w14:paraId="0CD455F8" w14:textId="6D835F57" w:rsidR="003971B1" w:rsidRPr="003971B1" w:rsidRDefault="003971B1" w:rsidP="008923B3">
            <w:pPr>
              <w:rPr>
                <w:rFonts w:cs="Arial"/>
              </w:rPr>
            </w:pPr>
            <w:r w:rsidRPr="003971B1">
              <w:rPr>
                <w:rFonts w:cs="Arial"/>
                <w:b/>
                <w:bCs/>
              </w:rPr>
              <w:t>Стомашно- чревни нарушения</w:t>
            </w:r>
          </w:p>
        </w:tc>
        <w:tc>
          <w:tcPr>
            <w:tcW w:w="1516" w:type="dxa"/>
            <w:vAlign w:val="bottom"/>
          </w:tcPr>
          <w:p w14:paraId="637577C9" w14:textId="77777777" w:rsidR="003971B1" w:rsidRPr="003971B1" w:rsidRDefault="003971B1" w:rsidP="008923B3">
            <w:pPr>
              <w:rPr>
                <w:rFonts w:cs="Arial"/>
              </w:rPr>
            </w:pPr>
            <w:r w:rsidRPr="003971B1">
              <w:rPr>
                <w:rFonts w:cs="Arial"/>
              </w:rPr>
              <w:t>Гадене Повръщане Стомашно- чревна и коремна</w:t>
            </w:r>
          </w:p>
          <w:p w14:paraId="2C8148C4" w14:textId="77777777" w:rsidR="003971B1" w:rsidRPr="003971B1" w:rsidRDefault="003971B1" w:rsidP="008923B3">
            <w:pPr>
              <w:rPr>
                <w:rFonts w:cs="Arial"/>
              </w:rPr>
            </w:pPr>
            <w:r w:rsidRPr="003971B1">
              <w:rPr>
                <w:rFonts w:cs="Arial"/>
              </w:rPr>
              <w:t>болка</w:t>
            </w:r>
          </w:p>
          <w:p w14:paraId="48F2CE74" w14:textId="76D14C82" w:rsidR="003971B1" w:rsidRPr="003971B1" w:rsidRDefault="003971B1" w:rsidP="008923B3">
            <w:pPr>
              <w:rPr>
                <w:rFonts w:cs="Arial"/>
              </w:rPr>
            </w:pPr>
            <w:r w:rsidRPr="003971B1">
              <w:rPr>
                <w:rFonts w:cs="Arial"/>
              </w:rPr>
              <w:t>Диария</w:t>
            </w:r>
          </w:p>
        </w:tc>
        <w:tc>
          <w:tcPr>
            <w:tcW w:w="1679" w:type="dxa"/>
            <w:vAlign w:val="bottom"/>
          </w:tcPr>
          <w:p w14:paraId="5E3445AA" w14:textId="77777777" w:rsidR="003971B1" w:rsidRPr="003971B1" w:rsidRDefault="003971B1" w:rsidP="008923B3">
            <w:pPr>
              <w:rPr>
                <w:rFonts w:cs="Arial"/>
              </w:rPr>
            </w:pPr>
            <w:r w:rsidRPr="003971B1">
              <w:rPr>
                <w:rFonts w:cs="Arial"/>
              </w:rPr>
              <w:t>Намален апетит и прием на храна Запек Диспепсия Подуване на</w:t>
            </w:r>
          </w:p>
          <w:p w14:paraId="16617203" w14:textId="77777777" w:rsidR="003971B1" w:rsidRPr="003971B1" w:rsidRDefault="003971B1" w:rsidP="008923B3">
            <w:pPr>
              <w:rPr>
                <w:rFonts w:cs="Arial"/>
              </w:rPr>
            </w:pPr>
            <w:r w:rsidRPr="003971B1">
              <w:rPr>
                <w:rFonts w:cs="Arial"/>
              </w:rPr>
              <w:t>корема</w:t>
            </w:r>
          </w:p>
          <w:p w14:paraId="335F9C1B" w14:textId="77777777" w:rsidR="003971B1" w:rsidRPr="003971B1" w:rsidRDefault="003971B1" w:rsidP="008923B3">
            <w:pPr>
              <w:rPr>
                <w:rFonts w:cs="Arial"/>
              </w:rPr>
            </w:pPr>
            <w:r w:rsidRPr="003971B1">
              <w:rPr>
                <w:rFonts w:cs="Arial"/>
              </w:rPr>
              <w:t>Гастрит</w:t>
            </w:r>
          </w:p>
          <w:p w14:paraId="25E71D4C" w14:textId="75F4886E" w:rsidR="003971B1" w:rsidRPr="003971B1" w:rsidRDefault="003971B1" w:rsidP="008923B3">
            <w:pPr>
              <w:rPr>
                <w:rFonts w:cs="Arial"/>
              </w:rPr>
            </w:pPr>
            <w:r w:rsidRPr="003971B1">
              <w:rPr>
                <w:rFonts w:cs="Arial"/>
              </w:rPr>
              <w:t>Повишена амилаза</w:t>
            </w:r>
          </w:p>
        </w:tc>
        <w:tc>
          <w:tcPr>
            <w:tcW w:w="1656" w:type="dxa"/>
            <w:vAlign w:val="bottom"/>
          </w:tcPr>
          <w:p w14:paraId="0B74C3CA" w14:textId="77777777" w:rsidR="003971B1" w:rsidRPr="003971B1" w:rsidRDefault="003971B1" w:rsidP="008923B3">
            <w:pPr>
              <w:rPr>
                <w:rFonts w:cs="Arial"/>
              </w:rPr>
            </w:pPr>
            <w:r w:rsidRPr="003971B1">
              <w:rPr>
                <w:rFonts w:cs="Arial"/>
              </w:rPr>
              <w:t>Дисфагия Стоматит Свързан с антибиотици колит (вкл.</w:t>
            </w:r>
          </w:p>
          <w:p w14:paraId="2E5BA854" w14:textId="1987CE5D" w:rsidR="003971B1" w:rsidRPr="003971B1" w:rsidRDefault="003971B1" w:rsidP="008923B3">
            <w:pPr>
              <w:rPr>
                <w:rFonts w:cs="Arial"/>
              </w:rPr>
            </w:pPr>
            <w:r w:rsidRPr="003971B1">
              <w:rPr>
                <w:rFonts w:cs="Arial"/>
              </w:rPr>
              <w:t>Псевдомембрано -зен колит, в много редки случаи свързан с животозастраша ва-щи усложнения, вж. точка 4.4)</w:t>
            </w:r>
          </w:p>
        </w:tc>
        <w:tc>
          <w:tcPr>
            <w:tcW w:w="1615" w:type="dxa"/>
          </w:tcPr>
          <w:p w14:paraId="0D556F71" w14:textId="77777777" w:rsidR="003971B1" w:rsidRPr="003971B1" w:rsidRDefault="003971B1" w:rsidP="008923B3">
            <w:pPr>
              <w:rPr>
                <w:rFonts w:cs="Arial"/>
              </w:rPr>
            </w:pPr>
          </w:p>
        </w:tc>
        <w:tc>
          <w:tcPr>
            <w:tcW w:w="1521" w:type="dxa"/>
            <w:vAlign w:val="bottom"/>
          </w:tcPr>
          <w:p w14:paraId="21A0FC1F" w14:textId="77777777" w:rsidR="003971B1" w:rsidRPr="003971B1" w:rsidRDefault="003971B1" w:rsidP="008923B3">
            <w:pPr>
              <w:rPr>
                <w:rFonts w:cs="Arial"/>
              </w:rPr>
            </w:pPr>
          </w:p>
        </w:tc>
      </w:tr>
      <w:tr w:rsidR="008923B3" w14:paraId="678C3F6B" w14:textId="77777777" w:rsidTr="003971B1">
        <w:tc>
          <w:tcPr>
            <w:tcW w:w="1363" w:type="dxa"/>
          </w:tcPr>
          <w:p w14:paraId="4019A981" w14:textId="2D03C568" w:rsidR="008923B3" w:rsidRPr="003971B1" w:rsidRDefault="008923B3" w:rsidP="008923B3">
            <w:pPr>
              <w:rPr>
                <w:rFonts w:cs="Arial"/>
              </w:rPr>
            </w:pPr>
            <w:r w:rsidRPr="003971B1">
              <w:rPr>
                <w:rFonts w:cs="Arial"/>
                <w:b/>
                <w:bCs/>
              </w:rPr>
              <w:t>Хепато- билиарни нарушения</w:t>
            </w:r>
          </w:p>
        </w:tc>
        <w:tc>
          <w:tcPr>
            <w:tcW w:w="1516" w:type="dxa"/>
          </w:tcPr>
          <w:p w14:paraId="33889CB2" w14:textId="04B8F8D5" w:rsidR="008923B3" w:rsidRPr="003971B1" w:rsidRDefault="008923B3" w:rsidP="008923B3">
            <w:pPr>
              <w:rPr>
                <w:rFonts w:cs="Arial"/>
              </w:rPr>
            </w:pPr>
            <w:r w:rsidRPr="003971B1">
              <w:rPr>
                <w:rFonts w:cs="Arial"/>
              </w:rPr>
              <w:t>Повишени грансаминази</w:t>
            </w:r>
          </w:p>
        </w:tc>
        <w:tc>
          <w:tcPr>
            <w:tcW w:w="1679" w:type="dxa"/>
            <w:vAlign w:val="bottom"/>
          </w:tcPr>
          <w:p w14:paraId="1AF0228C" w14:textId="472EB2E2" w:rsidR="008923B3" w:rsidRPr="003971B1" w:rsidRDefault="008923B3" w:rsidP="008923B3">
            <w:pPr>
              <w:rPr>
                <w:rFonts w:cs="Arial"/>
              </w:rPr>
            </w:pPr>
            <w:r w:rsidRPr="003971B1">
              <w:rPr>
                <w:rFonts w:cs="Arial"/>
              </w:rPr>
              <w:t xml:space="preserve">Чернодробно увреждане (вкл. повишен </w:t>
            </w:r>
            <w:r w:rsidRPr="003971B1">
              <w:rPr>
                <w:rFonts w:cs="Arial"/>
                <w:lang w:val="en-US"/>
              </w:rPr>
              <w:t xml:space="preserve">LDH) </w:t>
            </w:r>
            <w:r w:rsidRPr="003971B1">
              <w:rPr>
                <w:rFonts w:cs="Arial"/>
              </w:rPr>
              <w:t xml:space="preserve">Повишен билирубин Повишена гама- глутамил- грансфераза Повишение в кръвта на </w:t>
            </w:r>
            <w:r w:rsidRPr="003971B1">
              <w:rPr>
                <w:rFonts w:cs="Arial"/>
              </w:rPr>
              <w:lastRenderedPageBreak/>
              <w:t>алкална фосфатаза</w:t>
            </w:r>
          </w:p>
        </w:tc>
        <w:tc>
          <w:tcPr>
            <w:tcW w:w="1656" w:type="dxa"/>
          </w:tcPr>
          <w:p w14:paraId="096A0C16" w14:textId="65916815" w:rsidR="008923B3" w:rsidRPr="003971B1" w:rsidRDefault="008923B3" w:rsidP="008923B3">
            <w:pPr>
              <w:rPr>
                <w:rFonts w:cs="Arial"/>
              </w:rPr>
            </w:pPr>
            <w:r w:rsidRPr="003971B1">
              <w:rPr>
                <w:rFonts w:cs="Arial"/>
              </w:rPr>
              <w:lastRenderedPageBreak/>
              <w:t>Жълтеница Хепатит (предимно холестатичен)</w:t>
            </w:r>
          </w:p>
        </w:tc>
        <w:tc>
          <w:tcPr>
            <w:tcW w:w="1615" w:type="dxa"/>
            <w:vAlign w:val="bottom"/>
          </w:tcPr>
          <w:p w14:paraId="445E5673" w14:textId="1652E19F" w:rsidR="008923B3" w:rsidRPr="003971B1" w:rsidRDefault="008923B3" w:rsidP="008923B3">
            <w:pPr>
              <w:rPr>
                <w:rFonts w:cs="Arial"/>
              </w:rPr>
            </w:pPr>
            <w:r w:rsidRPr="003971B1">
              <w:rPr>
                <w:rFonts w:cs="Arial"/>
              </w:rPr>
              <w:t>Фулминантен хепатит потенциално водещ до животоза- страшаваща чернодробна недостатъчност (вкл. фатален изход, вж. точка 4.4)</w:t>
            </w:r>
          </w:p>
        </w:tc>
        <w:tc>
          <w:tcPr>
            <w:tcW w:w="1521" w:type="dxa"/>
          </w:tcPr>
          <w:p w14:paraId="722744ED" w14:textId="77777777" w:rsidR="008923B3" w:rsidRPr="003971B1" w:rsidRDefault="008923B3" w:rsidP="008923B3">
            <w:pPr>
              <w:rPr>
                <w:rFonts w:cs="Arial"/>
              </w:rPr>
            </w:pPr>
          </w:p>
        </w:tc>
      </w:tr>
      <w:tr w:rsidR="008923B3" w14:paraId="6C08C6C1" w14:textId="77777777" w:rsidTr="003971B1">
        <w:tc>
          <w:tcPr>
            <w:tcW w:w="1363" w:type="dxa"/>
          </w:tcPr>
          <w:p w14:paraId="0A69C783" w14:textId="04A64B23" w:rsidR="008923B3" w:rsidRPr="003971B1" w:rsidRDefault="008923B3" w:rsidP="008923B3">
            <w:pPr>
              <w:rPr>
                <w:rFonts w:cs="Arial"/>
              </w:rPr>
            </w:pPr>
            <w:r w:rsidRPr="003971B1">
              <w:rPr>
                <w:rFonts w:cs="Arial"/>
                <w:b/>
                <w:bCs/>
              </w:rPr>
              <w:t>Нарушения на кожата и подкожната тъкан</w:t>
            </w:r>
          </w:p>
        </w:tc>
        <w:tc>
          <w:tcPr>
            <w:tcW w:w="1516" w:type="dxa"/>
          </w:tcPr>
          <w:p w14:paraId="1717A5B0" w14:textId="77777777" w:rsidR="008923B3" w:rsidRPr="003971B1" w:rsidRDefault="008923B3" w:rsidP="008923B3">
            <w:pPr>
              <w:rPr>
                <w:rFonts w:cs="Arial"/>
              </w:rPr>
            </w:pPr>
          </w:p>
        </w:tc>
        <w:tc>
          <w:tcPr>
            <w:tcW w:w="1679" w:type="dxa"/>
          </w:tcPr>
          <w:p w14:paraId="013C1427" w14:textId="7A9D1DEE" w:rsidR="008923B3" w:rsidRPr="003971B1" w:rsidRDefault="008923B3" w:rsidP="008923B3">
            <w:pPr>
              <w:rPr>
                <w:rFonts w:cs="Arial"/>
              </w:rPr>
            </w:pPr>
            <w:r w:rsidRPr="003971B1">
              <w:rPr>
                <w:rFonts w:cs="Arial"/>
              </w:rPr>
              <w:t>Сърбеж Обрив Уртикария Суха кожа</w:t>
            </w:r>
          </w:p>
        </w:tc>
        <w:tc>
          <w:tcPr>
            <w:tcW w:w="1656" w:type="dxa"/>
          </w:tcPr>
          <w:p w14:paraId="78DDCD05" w14:textId="77777777" w:rsidR="008923B3" w:rsidRPr="003971B1" w:rsidRDefault="008923B3" w:rsidP="008923B3">
            <w:pPr>
              <w:rPr>
                <w:rFonts w:cs="Arial"/>
              </w:rPr>
            </w:pPr>
          </w:p>
        </w:tc>
        <w:tc>
          <w:tcPr>
            <w:tcW w:w="1615" w:type="dxa"/>
            <w:vAlign w:val="bottom"/>
          </w:tcPr>
          <w:p w14:paraId="700F2323" w14:textId="789237B5" w:rsidR="008923B3" w:rsidRPr="003971B1" w:rsidRDefault="008923B3" w:rsidP="008923B3">
            <w:pPr>
              <w:rPr>
                <w:rFonts w:cs="Arial"/>
              </w:rPr>
            </w:pPr>
            <w:r w:rsidRPr="003971B1">
              <w:rPr>
                <w:rFonts w:cs="Arial"/>
              </w:rPr>
              <w:t>Булозни кожни реакции като синдром на Стивънс- Джонсън или токсична епидермална некролиза (потенциално животоза- страшаваща, вж. точка 4.4)</w:t>
            </w:r>
          </w:p>
        </w:tc>
        <w:tc>
          <w:tcPr>
            <w:tcW w:w="1521" w:type="dxa"/>
          </w:tcPr>
          <w:p w14:paraId="0FC3F7DE" w14:textId="1C700B86" w:rsidR="008923B3" w:rsidRPr="003971B1" w:rsidRDefault="008923B3" w:rsidP="008923B3">
            <w:pPr>
              <w:rPr>
                <w:rFonts w:cs="Arial"/>
              </w:rPr>
            </w:pPr>
            <w:r w:rsidRPr="003971B1">
              <w:rPr>
                <w:rFonts w:cs="Arial"/>
              </w:rPr>
              <w:t xml:space="preserve">Остра генерализирана екзантематозна пустулоза </w:t>
            </w:r>
            <w:r w:rsidRPr="003971B1">
              <w:rPr>
                <w:rFonts w:cs="Arial"/>
                <w:lang w:val="en-US"/>
              </w:rPr>
              <w:t>(AGEP)</w:t>
            </w:r>
          </w:p>
        </w:tc>
      </w:tr>
      <w:tr w:rsidR="003971B1" w14:paraId="67F8B8E2" w14:textId="77777777" w:rsidTr="003971B1">
        <w:tc>
          <w:tcPr>
            <w:tcW w:w="1363" w:type="dxa"/>
          </w:tcPr>
          <w:p w14:paraId="27BDC26A" w14:textId="39EAAE71" w:rsidR="003971B1" w:rsidRPr="003971B1" w:rsidRDefault="003971B1" w:rsidP="003971B1">
            <w:pPr>
              <w:rPr>
                <w:rFonts w:cs="Arial"/>
              </w:rPr>
            </w:pPr>
            <w:r w:rsidRPr="003971B1">
              <w:rPr>
                <w:rFonts w:cs="Arial"/>
                <w:b/>
                <w:bCs/>
              </w:rPr>
              <w:t>Нарушения на мускулно- скелетната система и съединителн ата тъкан*</w:t>
            </w:r>
          </w:p>
        </w:tc>
        <w:tc>
          <w:tcPr>
            <w:tcW w:w="1516" w:type="dxa"/>
          </w:tcPr>
          <w:p w14:paraId="35D8305B" w14:textId="77777777" w:rsidR="003971B1" w:rsidRPr="003971B1" w:rsidRDefault="003971B1" w:rsidP="003971B1">
            <w:pPr>
              <w:rPr>
                <w:rFonts w:cs="Arial"/>
              </w:rPr>
            </w:pPr>
          </w:p>
        </w:tc>
        <w:tc>
          <w:tcPr>
            <w:tcW w:w="1679" w:type="dxa"/>
          </w:tcPr>
          <w:p w14:paraId="7B3304CE" w14:textId="77777777" w:rsidR="003971B1" w:rsidRPr="003971B1" w:rsidRDefault="003971B1" w:rsidP="003971B1">
            <w:pPr>
              <w:rPr>
                <w:rFonts w:cs="Arial"/>
              </w:rPr>
            </w:pPr>
            <w:r w:rsidRPr="003971B1">
              <w:rPr>
                <w:rFonts w:cs="Arial"/>
              </w:rPr>
              <w:t>Артралгия</w:t>
            </w:r>
          </w:p>
          <w:p w14:paraId="41C3D05A" w14:textId="6F4C5848" w:rsidR="003971B1" w:rsidRPr="003971B1" w:rsidRDefault="003971B1" w:rsidP="003971B1">
            <w:pPr>
              <w:rPr>
                <w:rFonts w:cs="Arial"/>
              </w:rPr>
            </w:pPr>
            <w:r w:rsidRPr="003971B1">
              <w:rPr>
                <w:rFonts w:cs="Arial"/>
              </w:rPr>
              <w:t>Миалгия</w:t>
            </w:r>
          </w:p>
        </w:tc>
        <w:tc>
          <w:tcPr>
            <w:tcW w:w="1656" w:type="dxa"/>
          </w:tcPr>
          <w:p w14:paraId="5EE3AF53" w14:textId="77777777" w:rsidR="003971B1" w:rsidRPr="003971B1" w:rsidRDefault="003971B1" w:rsidP="003971B1">
            <w:pPr>
              <w:rPr>
                <w:rFonts w:cs="Arial"/>
              </w:rPr>
            </w:pPr>
            <w:r w:rsidRPr="003971B1">
              <w:rPr>
                <w:rFonts w:cs="Arial"/>
              </w:rPr>
              <w:t>Тендинит (вж.</w:t>
            </w:r>
          </w:p>
          <w:p w14:paraId="5FC9F604" w14:textId="77777777" w:rsidR="003971B1" w:rsidRPr="003971B1" w:rsidRDefault="003971B1" w:rsidP="003971B1">
            <w:pPr>
              <w:rPr>
                <w:rFonts w:cs="Arial"/>
              </w:rPr>
            </w:pPr>
            <w:r w:rsidRPr="003971B1">
              <w:rPr>
                <w:rFonts w:cs="Arial"/>
              </w:rPr>
              <w:t>точка</w:t>
            </w:r>
          </w:p>
          <w:p w14:paraId="61EFE2C0" w14:textId="77777777" w:rsidR="003971B1" w:rsidRPr="003971B1" w:rsidRDefault="003971B1" w:rsidP="003971B1">
            <w:pPr>
              <w:rPr>
                <w:rFonts w:cs="Arial"/>
              </w:rPr>
            </w:pPr>
            <w:r w:rsidRPr="003971B1">
              <w:rPr>
                <w:rFonts w:cs="Arial"/>
              </w:rPr>
              <w:t>4.4)</w:t>
            </w:r>
          </w:p>
          <w:p w14:paraId="4ADABDC9" w14:textId="77777777" w:rsidR="003971B1" w:rsidRPr="003971B1" w:rsidRDefault="003971B1" w:rsidP="003971B1">
            <w:pPr>
              <w:rPr>
                <w:rFonts w:cs="Arial"/>
              </w:rPr>
            </w:pPr>
            <w:r w:rsidRPr="003971B1">
              <w:rPr>
                <w:rFonts w:cs="Arial"/>
              </w:rPr>
              <w:t>Мускулни крампи</w:t>
            </w:r>
          </w:p>
          <w:p w14:paraId="101CD681" w14:textId="44AFA049" w:rsidR="003971B1" w:rsidRPr="003971B1" w:rsidRDefault="003971B1" w:rsidP="003971B1">
            <w:pPr>
              <w:rPr>
                <w:rFonts w:cs="Arial"/>
              </w:rPr>
            </w:pPr>
            <w:r w:rsidRPr="003971B1">
              <w:rPr>
                <w:rFonts w:cs="Arial"/>
              </w:rPr>
              <w:t>Мускулни спазми Мускулна слабост</w:t>
            </w:r>
          </w:p>
        </w:tc>
        <w:tc>
          <w:tcPr>
            <w:tcW w:w="1615" w:type="dxa"/>
            <w:vAlign w:val="bottom"/>
          </w:tcPr>
          <w:p w14:paraId="20A4E950" w14:textId="77777777" w:rsidR="003971B1" w:rsidRPr="003971B1" w:rsidRDefault="003971B1" w:rsidP="003971B1">
            <w:pPr>
              <w:rPr>
                <w:rFonts w:cs="Arial"/>
              </w:rPr>
            </w:pPr>
            <w:r w:rsidRPr="003971B1">
              <w:rPr>
                <w:rFonts w:cs="Arial"/>
              </w:rPr>
              <w:t>Разкъсване на сухожилие (вж. точка 4.4) Артрит Мускулна ригидност Обостряне симптоматиката на</w:t>
            </w:r>
          </w:p>
          <w:p w14:paraId="3D5DC31E" w14:textId="71975EE7" w:rsidR="003971B1" w:rsidRPr="003971B1" w:rsidRDefault="003971B1" w:rsidP="003971B1">
            <w:pPr>
              <w:rPr>
                <w:rFonts w:cs="Arial"/>
              </w:rPr>
            </w:pPr>
            <w:r w:rsidRPr="003971B1">
              <w:rPr>
                <w:rFonts w:cs="Arial"/>
              </w:rPr>
              <w:t>миастения гравис (вж. точка 4.4)</w:t>
            </w:r>
          </w:p>
        </w:tc>
        <w:tc>
          <w:tcPr>
            <w:tcW w:w="1521" w:type="dxa"/>
          </w:tcPr>
          <w:p w14:paraId="51132ED6" w14:textId="5720B0A3" w:rsidR="003971B1" w:rsidRPr="003971B1" w:rsidRDefault="003971B1" w:rsidP="003971B1">
            <w:pPr>
              <w:rPr>
                <w:rFonts w:cs="Arial"/>
              </w:rPr>
            </w:pPr>
            <w:r w:rsidRPr="003971B1">
              <w:rPr>
                <w:rFonts w:cs="Arial"/>
              </w:rPr>
              <w:t>Рабдомиолиза</w:t>
            </w:r>
          </w:p>
        </w:tc>
      </w:tr>
      <w:tr w:rsidR="003971B1" w14:paraId="7609CCEA" w14:textId="77777777" w:rsidTr="003971B1">
        <w:tc>
          <w:tcPr>
            <w:tcW w:w="1363" w:type="dxa"/>
          </w:tcPr>
          <w:p w14:paraId="4BD99A94" w14:textId="1C254CA3" w:rsidR="003971B1" w:rsidRPr="003971B1" w:rsidRDefault="003971B1" w:rsidP="003971B1">
            <w:pPr>
              <w:rPr>
                <w:rFonts w:cs="Arial"/>
              </w:rPr>
            </w:pPr>
            <w:r w:rsidRPr="003971B1">
              <w:rPr>
                <w:rFonts w:cs="Arial"/>
                <w:b/>
                <w:bCs/>
              </w:rPr>
              <w:t>Нарушения на бъбреците и пикочните пътища</w:t>
            </w:r>
          </w:p>
        </w:tc>
        <w:tc>
          <w:tcPr>
            <w:tcW w:w="1516" w:type="dxa"/>
          </w:tcPr>
          <w:p w14:paraId="760C0FDB" w14:textId="77777777" w:rsidR="003971B1" w:rsidRPr="003971B1" w:rsidRDefault="003971B1" w:rsidP="003971B1">
            <w:pPr>
              <w:rPr>
                <w:rFonts w:cs="Arial"/>
              </w:rPr>
            </w:pPr>
          </w:p>
        </w:tc>
        <w:tc>
          <w:tcPr>
            <w:tcW w:w="1679" w:type="dxa"/>
          </w:tcPr>
          <w:p w14:paraId="47C93A92" w14:textId="5DF9C083" w:rsidR="003971B1" w:rsidRPr="003971B1" w:rsidRDefault="003971B1" w:rsidP="003971B1">
            <w:pPr>
              <w:rPr>
                <w:rFonts w:cs="Arial"/>
              </w:rPr>
            </w:pPr>
            <w:r w:rsidRPr="003971B1">
              <w:rPr>
                <w:rFonts w:cs="Arial"/>
              </w:rPr>
              <w:t>Дехидратация</w:t>
            </w:r>
          </w:p>
        </w:tc>
        <w:tc>
          <w:tcPr>
            <w:tcW w:w="1656" w:type="dxa"/>
            <w:vAlign w:val="bottom"/>
          </w:tcPr>
          <w:p w14:paraId="515B3D60" w14:textId="77777777" w:rsidR="003971B1" w:rsidRPr="003971B1" w:rsidRDefault="003971B1" w:rsidP="003971B1">
            <w:pPr>
              <w:rPr>
                <w:rFonts w:cs="Arial"/>
              </w:rPr>
            </w:pPr>
            <w:r w:rsidRPr="003971B1">
              <w:rPr>
                <w:rFonts w:cs="Arial"/>
              </w:rPr>
              <w:t xml:space="preserve">Бъбречно увреждане (вкл. повишени </w:t>
            </w:r>
            <w:r w:rsidRPr="003971B1">
              <w:rPr>
                <w:rFonts w:cs="Arial"/>
                <w:lang w:val="en-US"/>
              </w:rPr>
              <w:t xml:space="preserve">BUN </w:t>
            </w:r>
            <w:r w:rsidRPr="003971B1">
              <w:rPr>
                <w:rFonts w:cs="Arial"/>
              </w:rPr>
              <w:t>икреатинин) Бъбречна недостатъчност (вж.</w:t>
            </w:r>
          </w:p>
          <w:p w14:paraId="0DD8D02E" w14:textId="344E7945" w:rsidR="003971B1" w:rsidRPr="003971B1" w:rsidRDefault="003971B1" w:rsidP="003971B1">
            <w:pPr>
              <w:rPr>
                <w:rFonts w:cs="Arial"/>
              </w:rPr>
            </w:pPr>
            <w:r w:rsidRPr="003971B1">
              <w:rPr>
                <w:rFonts w:cs="Arial"/>
              </w:rPr>
              <w:t>точка 4.4)</w:t>
            </w:r>
          </w:p>
        </w:tc>
        <w:tc>
          <w:tcPr>
            <w:tcW w:w="1615" w:type="dxa"/>
            <w:vAlign w:val="bottom"/>
          </w:tcPr>
          <w:p w14:paraId="51B71FB8" w14:textId="77777777" w:rsidR="003971B1" w:rsidRPr="003971B1" w:rsidRDefault="003971B1" w:rsidP="003971B1">
            <w:pPr>
              <w:rPr>
                <w:rFonts w:cs="Arial"/>
              </w:rPr>
            </w:pPr>
          </w:p>
        </w:tc>
        <w:tc>
          <w:tcPr>
            <w:tcW w:w="1521" w:type="dxa"/>
          </w:tcPr>
          <w:p w14:paraId="7948B9B8" w14:textId="77777777" w:rsidR="003971B1" w:rsidRPr="003971B1" w:rsidRDefault="003971B1" w:rsidP="003971B1">
            <w:pPr>
              <w:rPr>
                <w:rFonts w:cs="Arial"/>
              </w:rPr>
            </w:pPr>
          </w:p>
        </w:tc>
      </w:tr>
      <w:tr w:rsidR="003971B1" w14:paraId="5D7B4CAA" w14:textId="77777777" w:rsidTr="001E7E44">
        <w:trPr>
          <w:trHeight w:val="2698"/>
        </w:trPr>
        <w:tc>
          <w:tcPr>
            <w:tcW w:w="1363" w:type="dxa"/>
            <w:vAlign w:val="bottom"/>
          </w:tcPr>
          <w:p w14:paraId="33383985" w14:textId="77777777" w:rsidR="003971B1" w:rsidRPr="003971B1" w:rsidRDefault="003971B1" w:rsidP="003971B1">
            <w:pPr>
              <w:rPr>
                <w:rFonts w:cs="Arial"/>
              </w:rPr>
            </w:pPr>
            <w:r w:rsidRPr="003971B1">
              <w:rPr>
                <w:rFonts w:cs="Arial"/>
                <w:b/>
                <w:bCs/>
              </w:rPr>
              <w:lastRenderedPageBreak/>
              <w:t>Общи нарушения и ефекти на</w:t>
            </w:r>
          </w:p>
          <w:p w14:paraId="0F03609C" w14:textId="77777777" w:rsidR="003971B1" w:rsidRPr="003971B1" w:rsidRDefault="003971B1" w:rsidP="00A54557">
            <w:pPr>
              <w:rPr>
                <w:rFonts w:cs="Arial"/>
              </w:rPr>
            </w:pPr>
            <w:r w:rsidRPr="003971B1">
              <w:rPr>
                <w:rFonts w:cs="Arial"/>
                <w:b/>
                <w:bCs/>
              </w:rPr>
              <w:t>мястото на</w:t>
            </w:r>
          </w:p>
          <w:p w14:paraId="71071D9F" w14:textId="0F9E0A7B" w:rsidR="003971B1" w:rsidRPr="003971B1" w:rsidRDefault="003971B1" w:rsidP="00A54557">
            <w:pPr>
              <w:rPr>
                <w:rFonts w:cs="Arial"/>
              </w:rPr>
            </w:pPr>
            <w:r w:rsidRPr="003971B1">
              <w:rPr>
                <w:rFonts w:cs="Arial"/>
                <w:b/>
                <w:bCs/>
              </w:rPr>
              <w:t>приложение*</w:t>
            </w:r>
          </w:p>
        </w:tc>
        <w:tc>
          <w:tcPr>
            <w:tcW w:w="1516" w:type="dxa"/>
          </w:tcPr>
          <w:p w14:paraId="39085D44" w14:textId="77777777" w:rsidR="003971B1" w:rsidRPr="003971B1" w:rsidRDefault="003971B1" w:rsidP="003971B1">
            <w:pPr>
              <w:rPr>
                <w:rFonts w:cs="Arial"/>
              </w:rPr>
            </w:pPr>
          </w:p>
        </w:tc>
        <w:tc>
          <w:tcPr>
            <w:tcW w:w="1679" w:type="dxa"/>
            <w:vAlign w:val="bottom"/>
          </w:tcPr>
          <w:p w14:paraId="2311A545" w14:textId="77777777" w:rsidR="003971B1" w:rsidRPr="003971B1" w:rsidRDefault="003971B1" w:rsidP="003971B1">
            <w:pPr>
              <w:rPr>
                <w:rFonts w:cs="Arial"/>
              </w:rPr>
            </w:pPr>
            <w:r w:rsidRPr="003971B1">
              <w:rPr>
                <w:rFonts w:cs="Arial"/>
              </w:rPr>
              <w:t>Общо неразположение (предимно астения</w:t>
            </w:r>
          </w:p>
          <w:p w14:paraId="10EEC0F7" w14:textId="76FE18D6" w:rsidR="003971B1" w:rsidRPr="003971B1" w:rsidRDefault="003971B1" w:rsidP="00A54557">
            <w:pPr>
              <w:rPr>
                <w:rFonts w:cs="Arial"/>
              </w:rPr>
            </w:pPr>
            <w:r w:rsidRPr="003971B1">
              <w:rPr>
                <w:rFonts w:cs="Arial"/>
              </w:rPr>
              <w:t>или умора) Болезнени състояния (вкл. белка в гърба, гърдите, таза и крайниците) Изпотяване</w:t>
            </w:r>
          </w:p>
        </w:tc>
        <w:tc>
          <w:tcPr>
            <w:tcW w:w="1656" w:type="dxa"/>
          </w:tcPr>
          <w:p w14:paraId="326D6D3E" w14:textId="61CEF518" w:rsidR="003971B1" w:rsidRPr="003971B1" w:rsidRDefault="003971B1" w:rsidP="003971B1">
            <w:pPr>
              <w:rPr>
                <w:rFonts w:cs="Arial"/>
              </w:rPr>
            </w:pPr>
            <w:r w:rsidRPr="003971B1">
              <w:rPr>
                <w:rFonts w:cs="Arial"/>
              </w:rPr>
              <w:t>Оток</w:t>
            </w:r>
          </w:p>
        </w:tc>
        <w:tc>
          <w:tcPr>
            <w:tcW w:w="1615" w:type="dxa"/>
          </w:tcPr>
          <w:p w14:paraId="2B04AF21" w14:textId="77777777" w:rsidR="003971B1" w:rsidRPr="003971B1" w:rsidRDefault="003971B1" w:rsidP="003971B1">
            <w:pPr>
              <w:rPr>
                <w:rFonts w:cs="Arial"/>
              </w:rPr>
            </w:pPr>
          </w:p>
        </w:tc>
        <w:tc>
          <w:tcPr>
            <w:tcW w:w="1521" w:type="dxa"/>
            <w:textDirection w:val="tbRl"/>
          </w:tcPr>
          <w:p w14:paraId="6DBF4307" w14:textId="77777777" w:rsidR="003971B1" w:rsidRPr="003971B1" w:rsidRDefault="003971B1" w:rsidP="003971B1">
            <w:pPr>
              <w:rPr>
                <w:rFonts w:cs="Arial"/>
              </w:rPr>
            </w:pPr>
          </w:p>
        </w:tc>
      </w:tr>
    </w:tbl>
    <w:p w14:paraId="2DD16B5D" w14:textId="77777777" w:rsidR="00A54557" w:rsidRPr="00A54557" w:rsidRDefault="00A54557" w:rsidP="00A54557">
      <w:pPr>
        <w:spacing w:line="240" w:lineRule="auto"/>
        <w:rPr>
          <w:rFonts w:eastAsia="Times New Roman" w:cs="Arial"/>
          <w:lang w:eastAsia="bg-BG"/>
        </w:rPr>
      </w:pPr>
      <w:r w:rsidRPr="00A54557">
        <w:rPr>
          <w:rFonts w:eastAsia="Times New Roman" w:cs="Arial"/>
          <w:color w:val="000000"/>
          <w:lang w:eastAsia="bg-BG"/>
        </w:rPr>
        <w:t>*Съобщава се за много редки случаи на продължителни (до месени или години), инвалидизиращи и потенциално необратими сериозни лекарствени реакции, засягащи няколко, понякога много, системо- органни класове и сетива (включително реакции като тендинит, разкъсване на сухожилие, артралгия, болка в крайниците, нарушение на походката, невропатия, свързани с парестезии, депресия, умора, нарушение на паметта, нарушения на съня и увреждане на слуха, зрението, вкуса и обонянието) във връзка с употребата на хинолони и флуорохинолони, в някои случаи независимо от вече съществуващите рискови фактори (вж. точка 4.4).</w:t>
      </w:r>
    </w:p>
    <w:p w14:paraId="56109DE9" w14:textId="77777777" w:rsidR="00A54557" w:rsidRPr="00A54557" w:rsidRDefault="00A54557" w:rsidP="00A54557">
      <w:pPr>
        <w:spacing w:line="240" w:lineRule="auto"/>
        <w:rPr>
          <w:rFonts w:eastAsia="Times New Roman" w:cs="Arial"/>
          <w:lang w:eastAsia="bg-BG"/>
        </w:rPr>
      </w:pPr>
      <w:r w:rsidRPr="00A54557">
        <w:rPr>
          <w:rFonts w:eastAsia="Times New Roman" w:cs="Arial"/>
          <w:color w:val="000000"/>
          <w:lang w:eastAsia="bg-BG"/>
        </w:rPr>
        <w:t>** При пациентите, приемащи флуорохинолони, са съобщени случаи на аневризма и дисекация на аортата, понякога усложнени поради разкъсване (включително с летален изход) и регургитация/недостатъчност на някои от сърдечните клапи (вж. точка 4.4).</w:t>
      </w:r>
    </w:p>
    <w:p w14:paraId="123E3183" w14:textId="77777777" w:rsidR="00A54557" w:rsidRPr="00A54557" w:rsidRDefault="00A54557" w:rsidP="00A54557">
      <w:pPr>
        <w:spacing w:line="240" w:lineRule="auto"/>
        <w:rPr>
          <w:rFonts w:eastAsia="Times New Roman" w:cs="Arial"/>
          <w:color w:val="000000"/>
          <w:lang w:eastAsia="bg-BG"/>
        </w:rPr>
      </w:pPr>
    </w:p>
    <w:p w14:paraId="5686C64A" w14:textId="47EE0B8E" w:rsidR="00A54557" w:rsidRPr="00A54557" w:rsidRDefault="00A54557" w:rsidP="00A54557">
      <w:pPr>
        <w:spacing w:line="240" w:lineRule="auto"/>
        <w:rPr>
          <w:rFonts w:eastAsia="Times New Roman" w:cs="Arial"/>
          <w:lang w:eastAsia="bg-BG"/>
        </w:rPr>
      </w:pPr>
      <w:r w:rsidRPr="00A54557">
        <w:rPr>
          <w:rFonts w:eastAsia="Times New Roman" w:cs="Arial"/>
          <w:color w:val="000000"/>
          <w:lang w:eastAsia="bg-BG"/>
        </w:rPr>
        <w:t>Много рядко се съобщава за следните нежелани реакции след лечение с други флуорохинолони, които е възможно да се появят и при лечение с моксифлоксацин: хипернатриемия, хиперкалциемия, хемолитична анемия, реакции на фотосенсибилизация (вижте точка 4.4).</w:t>
      </w:r>
    </w:p>
    <w:p w14:paraId="0F95CA88" w14:textId="77777777" w:rsidR="00A54557" w:rsidRPr="00A54557" w:rsidRDefault="00A54557" w:rsidP="00A54557">
      <w:pPr>
        <w:spacing w:line="240" w:lineRule="auto"/>
        <w:rPr>
          <w:rFonts w:eastAsia="Times New Roman" w:cs="Arial"/>
          <w:color w:val="000000"/>
          <w:u w:val="single"/>
          <w:lang w:eastAsia="bg-BG"/>
        </w:rPr>
      </w:pPr>
    </w:p>
    <w:p w14:paraId="0B71EC23" w14:textId="76FE29C8" w:rsidR="00A54557" w:rsidRPr="00A54557" w:rsidRDefault="00A54557" w:rsidP="00A54557">
      <w:pPr>
        <w:spacing w:line="240" w:lineRule="auto"/>
        <w:rPr>
          <w:rFonts w:eastAsia="Times New Roman" w:cs="Arial"/>
          <w:lang w:eastAsia="bg-BG"/>
        </w:rPr>
      </w:pPr>
      <w:r w:rsidRPr="00A54557">
        <w:rPr>
          <w:rFonts w:eastAsia="Times New Roman" w:cs="Arial"/>
          <w:color w:val="000000"/>
          <w:u w:val="single"/>
          <w:lang w:eastAsia="bg-BG"/>
        </w:rPr>
        <w:t>Съобщаване на подозирани нежелани реакции</w:t>
      </w:r>
    </w:p>
    <w:p w14:paraId="232514AF" w14:textId="2C7CB9BB" w:rsidR="00A54557" w:rsidRPr="00A54557" w:rsidRDefault="00A54557" w:rsidP="00A54557">
      <w:pPr>
        <w:rPr>
          <w:rFonts w:cs="Arial"/>
        </w:rPr>
      </w:pPr>
      <w:r w:rsidRPr="00A54557">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към Изпълнителната агенция по лекарствата, София 1303, ул. Дамян Груев 8, тел.: +35928903555; факс: +35928903434, </w:t>
      </w:r>
      <w:r w:rsidRPr="00A54557">
        <w:rPr>
          <w:rFonts w:eastAsia="Times New Roman" w:cs="Arial"/>
          <w:color w:val="000000"/>
          <w:lang w:val="en-US"/>
        </w:rPr>
        <w:t xml:space="preserve">e-mail: </w:t>
      </w:r>
      <w:hyperlink r:id="rId5" w:history="1">
        <w:r w:rsidRPr="00A54557">
          <w:rPr>
            <w:rFonts w:eastAsia="Times New Roman" w:cs="Arial"/>
            <w:color w:val="000000"/>
            <w:lang w:val="en-US"/>
          </w:rPr>
          <w:t>bda@bda.bg</w:t>
        </w:r>
      </w:hyperlink>
      <w:r w:rsidRPr="00A54557">
        <w:rPr>
          <w:rFonts w:eastAsia="Times New Roman" w:cs="Arial"/>
          <w:color w:val="000000"/>
          <w:lang w:val="en-US"/>
        </w:rPr>
        <w:t>.</w:t>
      </w:r>
    </w:p>
    <w:p w14:paraId="25583958" w14:textId="77777777" w:rsidR="00A54557" w:rsidRPr="0091385D" w:rsidRDefault="00A54557" w:rsidP="0091385D"/>
    <w:p w14:paraId="0A023CE0" w14:textId="13F87CFD" w:rsidR="00CF77F7" w:rsidRDefault="002C50EE" w:rsidP="004A448E">
      <w:pPr>
        <w:pStyle w:val="Heading2"/>
      </w:pPr>
      <w:r>
        <w:t>4.9. Предозиране</w:t>
      </w:r>
    </w:p>
    <w:p w14:paraId="3EDFC3FC" w14:textId="771B3817" w:rsidR="0091385D" w:rsidRDefault="0091385D" w:rsidP="0091385D"/>
    <w:p w14:paraId="6A43B8F3" w14:textId="7E6199A7" w:rsidR="007A2185" w:rsidRPr="003971B1" w:rsidRDefault="003971B1" w:rsidP="0091385D">
      <w:pPr>
        <w:rPr>
          <w:sz w:val="24"/>
        </w:rPr>
      </w:pPr>
      <w:r w:rsidRPr="003971B1">
        <w:rPr>
          <w:szCs w:val="20"/>
        </w:rPr>
        <w:t xml:space="preserve">Няма специфични предпазни мерки, които да се препоръчат след случайно предозиране. При случай на предозиране трябва да се приложи симптоматично лечение. Трябва да се предприеме наблюдение чрез ЕКГ поради възможно удължаване на </w:t>
      </w:r>
      <w:r w:rsidRPr="003971B1">
        <w:rPr>
          <w:szCs w:val="20"/>
          <w:lang w:val="en-US"/>
        </w:rPr>
        <w:t>QT</w:t>
      </w:r>
      <w:r w:rsidRPr="003971B1">
        <w:rPr>
          <w:szCs w:val="20"/>
        </w:rPr>
        <w:t xml:space="preserve">-интервала. Едновременно приложение на активиран въглен с доза 400 </w:t>
      </w:r>
      <w:r w:rsidRPr="003971B1">
        <w:rPr>
          <w:szCs w:val="20"/>
          <w:lang w:val="en-US"/>
        </w:rPr>
        <w:t xml:space="preserve">mg </w:t>
      </w:r>
      <w:r w:rsidRPr="003971B1">
        <w:rPr>
          <w:szCs w:val="20"/>
        </w:rPr>
        <w:t>перорален моксифлоксацин ще редуцира системната бионаличност на лекарството с повече от 80%. Използването на въглен рано по време на абсорбцията може да е полезно за предпазване от прекомерно повишаване на моксифлоксацин в случаи на перорално предозиране.</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73F11A6B" w:rsidR="0091385D" w:rsidRDefault="0091385D" w:rsidP="0091385D"/>
    <w:p w14:paraId="2439EFEA" w14:textId="77777777" w:rsidR="001E7E44" w:rsidRPr="0026161F" w:rsidRDefault="001E7E44" w:rsidP="001E7E44">
      <w:pPr>
        <w:spacing w:line="240" w:lineRule="auto"/>
        <w:rPr>
          <w:rFonts w:eastAsia="Times New Roman" w:cs="Arial"/>
          <w:sz w:val="28"/>
          <w:szCs w:val="24"/>
          <w:lang w:eastAsia="bg-BG"/>
        </w:rPr>
      </w:pPr>
      <w:r w:rsidRPr="0026161F">
        <w:rPr>
          <w:rFonts w:eastAsia="Times New Roman" w:cs="Arial"/>
          <w:color w:val="000000"/>
          <w:szCs w:val="20"/>
          <w:lang w:eastAsia="bg-BG"/>
        </w:rPr>
        <w:t xml:space="preserve">Фармакотерапевтична група: хинолонови антибактериални, флуорохинолони АТС код: </w:t>
      </w:r>
      <w:r w:rsidRPr="0026161F">
        <w:rPr>
          <w:rFonts w:eastAsia="Times New Roman" w:cs="Arial"/>
          <w:color w:val="000000"/>
          <w:szCs w:val="20"/>
          <w:lang w:val="en-US"/>
        </w:rPr>
        <w:t>J01MA14</w:t>
      </w:r>
    </w:p>
    <w:p w14:paraId="6AE6130B" w14:textId="77777777" w:rsidR="001E7E44" w:rsidRPr="0026161F" w:rsidRDefault="001E7E44" w:rsidP="001E7E44">
      <w:pPr>
        <w:spacing w:line="240" w:lineRule="auto"/>
        <w:rPr>
          <w:rFonts w:eastAsia="Times New Roman" w:cs="Arial"/>
          <w:color w:val="000000"/>
          <w:szCs w:val="20"/>
          <w:u w:val="single"/>
          <w:lang w:eastAsia="bg-BG"/>
        </w:rPr>
      </w:pPr>
    </w:p>
    <w:p w14:paraId="5DB59755" w14:textId="5B33BCFD" w:rsidR="001E7E44" w:rsidRPr="0026161F" w:rsidRDefault="001E7E44" w:rsidP="001E7E44">
      <w:pPr>
        <w:spacing w:line="240" w:lineRule="auto"/>
        <w:rPr>
          <w:rFonts w:eastAsia="Times New Roman" w:cs="Arial"/>
          <w:sz w:val="28"/>
          <w:szCs w:val="24"/>
          <w:lang w:eastAsia="bg-BG"/>
        </w:rPr>
      </w:pPr>
      <w:r w:rsidRPr="0026161F">
        <w:rPr>
          <w:rFonts w:eastAsia="Times New Roman" w:cs="Arial"/>
          <w:color w:val="000000"/>
          <w:szCs w:val="20"/>
          <w:u w:val="single"/>
          <w:lang w:eastAsia="bg-BG"/>
        </w:rPr>
        <w:t>Механизъм на действие</w:t>
      </w:r>
    </w:p>
    <w:p w14:paraId="1A7B81FB" w14:textId="77777777" w:rsidR="001E7E44" w:rsidRPr="0026161F" w:rsidRDefault="001E7E44" w:rsidP="001E7E44">
      <w:pPr>
        <w:spacing w:line="240" w:lineRule="auto"/>
        <w:rPr>
          <w:rFonts w:eastAsia="Times New Roman" w:cs="Arial"/>
          <w:sz w:val="28"/>
          <w:szCs w:val="24"/>
          <w:lang w:eastAsia="bg-BG"/>
        </w:rPr>
      </w:pPr>
      <w:r w:rsidRPr="0026161F">
        <w:rPr>
          <w:rFonts w:eastAsia="Times New Roman" w:cs="Arial"/>
          <w:color w:val="000000"/>
          <w:szCs w:val="20"/>
          <w:lang w:eastAsia="bg-BG"/>
        </w:rPr>
        <w:t xml:space="preserve">Моксифлоксацин притежава активност ин </w:t>
      </w:r>
      <w:r w:rsidRPr="0026161F">
        <w:rPr>
          <w:rFonts w:eastAsia="Times New Roman" w:cs="Arial"/>
          <w:i/>
          <w:iCs/>
          <w:color w:val="000000"/>
          <w:szCs w:val="20"/>
          <w:lang w:eastAsia="bg-BG"/>
        </w:rPr>
        <w:t>витро</w:t>
      </w:r>
      <w:r w:rsidRPr="0026161F">
        <w:rPr>
          <w:rFonts w:eastAsia="Times New Roman" w:cs="Arial"/>
          <w:color w:val="000000"/>
          <w:szCs w:val="20"/>
          <w:lang w:eastAsia="bg-BG"/>
        </w:rPr>
        <w:t xml:space="preserve"> срещу голям брой Грам-положителни и Грам- отрицателни патогени.</w:t>
      </w:r>
    </w:p>
    <w:p w14:paraId="71C63031" w14:textId="77777777" w:rsidR="001E7E44" w:rsidRPr="0026161F" w:rsidRDefault="001E7E44" w:rsidP="001E7E44">
      <w:pPr>
        <w:rPr>
          <w:rFonts w:eastAsia="Times New Roman" w:cs="Arial"/>
          <w:color w:val="000000"/>
          <w:szCs w:val="20"/>
          <w:lang w:eastAsia="bg-BG"/>
        </w:rPr>
      </w:pPr>
    </w:p>
    <w:p w14:paraId="2BE416B0" w14:textId="77777777" w:rsidR="001E7E44" w:rsidRPr="0026161F" w:rsidRDefault="001E7E44" w:rsidP="001E7E44">
      <w:pPr>
        <w:rPr>
          <w:rFonts w:eastAsia="Times New Roman" w:cs="Arial"/>
          <w:sz w:val="28"/>
          <w:szCs w:val="24"/>
          <w:lang w:eastAsia="bg-BG"/>
        </w:rPr>
      </w:pPr>
      <w:r w:rsidRPr="0026161F">
        <w:rPr>
          <w:rFonts w:eastAsia="Times New Roman" w:cs="Arial"/>
          <w:color w:val="000000"/>
          <w:szCs w:val="20"/>
          <w:lang w:eastAsia="bg-BG"/>
        </w:rPr>
        <w:t xml:space="preserve">Бактерицидното действие на моксифлоксацин е резултат от инхибиране на двете тип </w:t>
      </w:r>
      <w:r w:rsidRPr="0026161F">
        <w:rPr>
          <w:rFonts w:eastAsia="Times New Roman" w:cs="Arial"/>
          <w:color w:val="000000"/>
          <w:szCs w:val="20"/>
          <w:lang w:val="en-US"/>
        </w:rPr>
        <w:t>II</w:t>
      </w:r>
      <w:r w:rsidRPr="0026161F">
        <w:rPr>
          <w:rFonts w:eastAsia="Times New Roman" w:cs="Arial"/>
          <w:color w:val="000000"/>
          <w:szCs w:val="20"/>
          <w:lang w:eastAsia="bg-BG"/>
        </w:rPr>
        <w:t xml:space="preserve">  топоизомерази (ДНК гираза и топоизомераза IV), необходими за бактериалната репликация, транскрипция и възстановяване. Изглежда, че С8-метокси групата допринася за повишената активност и по-нисък подбор на резистентни мутанти на Грам-положителните бактерии, в сравнение с С8-Н групата. Наличието на голям бициклоаминен заместител на С-7 позиция предпазва от ефективно навлизане, свързано с </w:t>
      </w:r>
      <w:r w:rsidRPr="0026161F">
        <w:rPr>
          <w:rFonts w:eastAsia="Times New Roman" w:cs="Arial"/>
          <w:i/>
          <w:iCs/>
          <w:color w:val="000000"/>
          <w:szCs w:val="20"/>
          <w:lang w:val="en-US"/>
        </w:rPr>
        <w:t>nor</w:t>
      </w:r>
      <w:r w:rsidRPr="0026161F">
        <w:rPr>
          <w:rFonts w:eastAsia="Times New Roman" w:cs="Arial"/>
          <w:i/>
          <w:iCs/>
          <w:color w:val="000000"/>
          <w:szCs w:val="20"/>
          <w:lang w:eastAsia="bg-BG"/>
        </w:rPr>
        <w:t>А</w:t>
      </w:r>
      <w:r w:rsidRPr="0026161F">
        <w:rPr>
          <w:rFonts w:eastAsia="Times New Roman" w:cs="Arial"/>
          <w:color w:val="000000"/>
          <w:szCs w:val="20"/>
          <w:lang w:eastAsia="bg-BG"/>
        </w:rPr>
        <w:t xml:space="preserve"> ог </w:t>
      </w:r>
      <w:r w:rsidRPr="0026161F">
        <w:rPr>
          <w:rFonts w:eastAsia="Times New Roman" w:cs="Arial"/>
          <w:i/>
          <w:iCs/>
          <w:color w:val="000000"/>
          <w:szCs w:val="20"/>
          <w:lang w:eastAsia="bg-BG"/>
        </w:rPr>
        <w:t>рт</w:t>
      </w:r>
      <w:r w:rsidRPr="0026161F">
        <w:rPr>
          <w:rFonts w:eastAsia="Times New Roman" w:cs="Arial"/>
          <w:i/>
          <w:iCs/>
          <w:color w:val="000000"/>
          <w:szCs w:val="20"/>
          <w:lang w:val="en-US"/>
        </w:rPr>
        <w:t>r</w:t>
      </w:r>
      <w:r w:rsidRPr="0026161F">
        <w:rPr>
          <w:rFonts w:eastAsia="Times New Roman" w:cs="Arial"/>
          <w:i/>
          <w:iCs/>
          <w:color w:val="000000"/>
          <w:szCs w:val="20"/>
          <w:lang w:eastAsia="bg-BG"/>
        </w:rPr>
        <w:t>А</w:t>
      </w:r>
      <w:r w:rsidRPr="0026161F">
        <w:rPr>
          <w:rFonts w:eastAsia="Times New Roman" w:cs="Arial"/>
          <w:color w:val="000000"/>
          <w:szCs w:val="20"/>
          <w:lang w:eastAsia="bg-BG"/>
        </w:rPr>
        <w:t xml:space="preserve"> гени, наблюдавано при определени Грам-положителни бактерии.</w:t>
      </w:r>
    </w:p>
    <w:p w14:paraId="14AB0B51" w14:textId="77777777" w:rsidR="001E7E44" w:rsidRPr="0026161F" w:rsidRDefault="001E7E44" w:rsidP="001E7E44">
      <w:pPr>
        <w:spacing w:line="240" w:lineRule="auto"/>
        <w:rPr>
          <w:rFonts w:eastAsia="Times New Roman" w:cs="Arial"/>
          <w:color w:val="000000"/>
          <w:szCs w:val="20"/>
          <w:lang w:eastAsia="bg-BG"/>
        </w:rPr>
      </w:pPr>
    </w:p>
    <w:p w14:paraId="68471874" w14:textId="70555501" w:rsidR="001E7E44" w:rsidRPr="0026161F" w:rsidRDefault="001E7E44" w:rsidP="001E7E44">
      <w:pPr>
        <w:spacing w:line="240" w:lineRule="auto"/>
        <w:rPr>
          <w:rFonts w:eastAsia="Times New Roman" w:cs="Arial"/>
          <w:sz w:val="28"/>
          <w:szCs w:val="24"/>
          <w:lang w:eastAsia="bg-BG"/>
        </w:rPr>
      </w:pPr>
      <w:r w:rsidRPr="0026161F">
        <w:rPr>
          <w:rFonts w:eastAsia="Times New Roman" w:cs="Arial"/>
          <w:color w:val="000000"/>
          <w:szCs w:val="20"/>
          <w:lang w:eastAsia="bg-BG"/>
        </w:rPr>
        <w:t xml:space="preserve">Фармакодинамични проучвания показват, че моксифлоксацин притежава бактерициден ефект, зависим от концентрацията. Минималните бактерицидни концентрации (МВС) са подобни на минималните инхибиторни концентрации </w:t>
      </w:r>
      <w:r w:rsidRPr="0026161F">
        <w:rPr>
          <w:rFonts w:eastAsia="Times New Roman" w:cs="Arial"/>
          <w:color w:val="000000"/>
          <w:szCs w:val="20"/>
          <w:lang w:val="en-US"/>
        </w:rPr>
        <w:t>(MIC).</w:t>
      </w:r>
    </w:p>
    <w:p w14:paraId="3989A395" w14:textId="77777777" w:rsidR="001E7E44" w:rsidRPr="0026161F" w:rsidRDefault="001E7E44" w:rsidP="001E7E44">
      <w:pPr>
        <w:spacing w:line="240" w:lineRule="auto"/>
        <w:rPr>
          <w:rFonts w:eastAsia="Times New Roman" w:cs="Arial"/>
          <w:color w:val="000000"/>
          <w:szCs w:val="20"/>
          <w:u w:val="single"/>
          <w:lang w:eastAsia="bg-BG"/>
        </w:rPr>
      </w:pPr>
    </w:p>
    <w:p w14:paraId="0A821507" w14:textId="088A37C1" w:rsidR="001E7E44" w:rsidRPr="0026161F" w:rsidRDefault="001E7E44" w:rsidP="001E7E44">
      <w:pPr>
        <w:spacing w:line="240" w:lineRule="auto"/>
        <w:rPr>
          <w:rFonts w:eastAsia="Times New Roman" w:cs="Arial"/>
          <w:sz w:val="28"/>
          <w:szCs w:val="24"/>
          <w:lang w:eastAsia="bg-BG"/>
        </w:rPr>
      </w:pPr>
      <w:r w:rsidRPr="0026161F">
        <w:rPr>
          <w:rFonts w:eastAsia="Times New Roman" w:cs="Arial"/>
          <w:color w:val="000000"/>
          <w:szCs w:val="20"/>
          <w:u w:val="single"/>
          <w:lang w:eastAsia="bg-BG"/>
        </w:rPr>
        <w:t>Влияние върху чревната флора при хора</w:t>
      </w:r>
    </w:p>
    <w:p w14:paraId="3B6D5CD3" w14:textId="77777777" w:rsidR="001E7E44" w:rsidRPr="0026161F" w:rsidRDefault="001E7E44" w:rsidP="001E7E44">
      <w:pPr>
        <w:spacing w:line="240" w:lineRule="auto"/>
        <w:rPr>
          <w:rFonts w:eastAsia="Times New Roman" w:cs="Arial"/>
          <w:sz w:val="28"/>
          <w:szCs w:val="24"/>
          <w:lang w:eastAsia="bg-BG"/>
        </w:rPr>
      </w:pPr>
      <w:r w:rsidRPr="0026161F">
        <w:rPr>
          <w:rFonts w:eastAsia="Times New Roman" w:cs="Arial"/>
          <w:color w:val="000000"/>
          <w:szCs w:val="20"/>
          <w:lang w:eastAsia="bg-BG"/>
        </w:rPr>
        <w:t xml:space="preserve">След перорално приложение на моксифлоксацин при доброволци са наблюдавани следните промени в чревната флора: </w:t>
      </w:r>
      <w:r w:rsidRPr="0026161F">
        <w:rPr>
          <w:rFonts w:eastAsia="Times New Roman" w:cs="Arial"/>
          <w:i/>
          <w:iCs/>
          <w:color w:val="000000"/>
          <w:szCs w:val="20"/>
          <w:lang w:val="en-US"/>
        </w:rPr>
        <w:t>Escherichia coli, Bacillus</w:t>
      </w:r>
      <w:r w:rsidRPr="0026161F">
        <w:rPr>
          <w:rFonts w:eastAsia="Times New Roman" w:cs="Arial"/>
          <w:color w:val="000000"/>
          <w:szCs w:val="20"/>
          <w:lang w:val="en-US"/>
        </w:rPr>
        <w:t xml:space="preserve"> spp., </w:t>
      </w:r>
      <w:r w:rsidRPr="0026161F">
        <w:rPr>
          <w:rFonts w:eastAsia="Times New Roman" w:cs="Arial"/>
          <w:i/>
          <w:iCs/>
          <w:color w:val="000000"/>
          <w:szCs w:val="20"/>
          <w:lang w:val="en-US"/>
        </w:rPr>
        <w:t>Enterococcus</w:t>
      </w:r>
      <w:r w:rsidRPr="0026161F">
        <w:rPr>
          <w:rFonts w:eastAsia="Times New Roman" w:cs="Arial"/>
          <w:color w:val="000000"/>
          <w:szCs w:val="20"/>
          <w:lang w:val="en-US"/>
        </w:rPr>
        <w:t xml:space="preserve"> spp., </w:t>
      </w:r>
      <w:r w:rsidRPr="0026161F">
        <w:rPr>
          <w:rFonts w:eastAsia="Times New Roman" w:cs="Arial"/>
          <w:color w:val="000000"/>
          <w:szCs w:val="20"/>
          <w:lang w:eastAsia="bg-BG"/>
        </w:rPr>
        <w:t xml:space="preserve">и </w:t>
      </w:r>
      <w:proofErr w:type="spellStart"/>
      <w:r w:rsidRPr="0026161F">
        <w:rPr>
          <w:rFonts w:eastAsia="Times New Roman" w:cs="Arial"/>
          <w:i/>
          <w:iCs/>
          <w:color w:val="000000"/>
          <w:szCs w:val="20"/>
          <w:lang w:val="en-US"/>
        </w:rPr>
        <w:t>Klebsiella</w:t>
      </w:r>
      <w:proofErr w:type="spellEnd"/>
      <w:r w:rsidRPr="0026161F">
        <w:rPr>
          <w:rFonts w:eastAsia="Times New Roman" w:cs="Arial"/>
          <w:color w:val="000000"/>
          <w:szCs w:val="20"/>
          <w:lang w:val="en-US"/>
        </w:rPr>
        <w:t xml:space="preserve"> spp. </w:t>
      </w:r>
      <w:r w:rsidRPr="0026161F">
        <w:rPr>
          <w:rFonts w:eastAsia="Times New Roman" w:cs="Arial"/>
          <w:color w:val="000000"/>
          <w:szCs w:val="20"/>
          <w:lang w:eastAsia="bg-BG"/>
        </w:rPr>
        <w:t xml:space="preserve">са редуцирани, както и анаеробиге </w:t>
      </w:r>
      <w:proofErr w:type="spellStart"/>
      <w:r w:rsidRPr="0026161F">
        <w:rPr>
          <w:rFonts w:eastAsia="Times New Roman" w:cs="Arial"/>
          <w:i/>
          <w:iCs/>
          <w:color w:val="000000"/>
          <w:szCs w:val="20"/>
          <w:lang w:val="en-US"/>
        </w:rPr>
        <w:t>Bacteroides</w:t>
      </w:r>
      <w:proofErr w:type="spellEnd"/>
      <w:r w:rsidRPr="0026161F">
        <w:rPr>
          <w:rFonts w:eastAsia="Times New Roman" w:cs="Arial"/>
          <w:i/>
          <w:iCs/>
          <w:color w:val="000000"/>
          <w:szCs w:val="20"/>
          <w:lang w:val="en-US"/>
        </w:rPr>
        <w:t xml:space="preserve"> </w:t>
      </w:r>
      <w:proofErr w:type="spellStart"/>
      <w:r w:rsidRPr="0026161F">
        <w:rPr>
          <w:rFonts w:eastAsia="Times New Roman" w:cs="Arial"/>
          <w:i/>
          <w:iCs/>
          <w:color w:val="000000"/>
          <w:szCs w:val="20"/>
          <w:lang w:val="en-US"/>
        </w:rPr>
        <w:t>vulgatus</w:t>
      </w:r>
      <w:proofErr w:type="spellEnd"/>
      <w:r w:rsidRPr="0026161F">
        <w:rPr>
          <w:rFonts w:eastAsia="Times New Roman" w:cs="Arial"/>
          <w:i/>
          <w:iCs/>
          <w:color w:val="000000"/>
          <w:szCs w:val="20"/>
          <w:lang w:val="en-US"/>
        </w:rPr>
        <w:t xml:space="preserve">, </w:t>
      </w:r>
      <w:proofErr w:type="spellStart"/>
      <w:r w:rsidRPr="0026161F">
        <w:rPr>
          <w:rFonts w:eastAsia="Times New Roman" w:cs="Arial"/>
          <w:i/>
          <w:iCs/>
          <w:color w:val="000000"/>
          <w:szCs w:val="20"/>
          <w:lang w:val="en-US"/>
        </w:rPr>
        <w:t>Bifidobacterium</w:t>
      </w:r>
      <w:proofErr w:type="spellEnd"/>
      <w:r w:rsidRPr="0026161F">
        <w:rPr>
          <w:rFonts w:eastAsia="Times New Roman" w:cs="Arial"/>
          <w:color w:val="000000"/>
          <w:szCs w:val="20"/>
          <w:lang w:val="en-US"/>
        </w:rPr>
        <w:t xml:space="preserve"> spp., </w:t>
      </w:r>
      <w:proofErr w:type="spellStart"/>
      <w:r w:rsidRPr="0026161F">
        <w:rPr>
          <w:rFonts w:eastAsia="Times New Roman" w:cs="Arial"/>
          <w:i/>
          <w:iCs/>
          <w:color w:val="000000"/>
          <w:szCs w:val="20"/>
          <w:lang w:val="en-US"/>
        </w:rPr>
        <w:t>Eubacterium</w:t>
      </w:r>
      <w:proofErr w:type="spellEnd"/>
      <w:r w:rsidRPr="0026161F">
        <w:rPr>
          <w:rFonts w:eastAsia="Times New Roman" w:cs="Arial"/>
          <w:color w:val="000000"/>
          <w:szCs w:val="20"/>
          <w:lang w:val="en-US"/>
        </w:rPr>
        <w:t xml:space="preserve"> spp., </w:t>
      </w:r>
      <w:r w:rsidRPr="0026161F">
        <w:rPr>
          <w:rFonts w:eastAsia="Times New Roman" w:cs="Arial"/>
          <w:color w:val="000000"/>
          <w:szCs w:val="20"/>
          <w:lang w:eastAsia="bg-BG"/>
        </w:rPr>
        <w:t xml:space="preserve">и </w:t>
      </w:r>
      <w:proofErr w:type="spellStart"/>
      <w:r w:rsidRPr="0026161F">
        <w:rPr>
          <w:rFonts w:eastAsia="Times New Roman" w:cs="Arial"/>
          <w:i/>
          <w:iCs/>
          <w:color w:val="000000"/>
          <w:szCs w:val="20"/>
          <w:lang w:val="en-US"/>
        </w:rPr>
        <w:t>Peptostreptococcus</w:t>
      </w:r>
      <w:proofErr w:type="spellEnd"/>
      <w:r w:rsidRPr="0026161F">
        <w:rPr>
          <w:rFonts w:eastAsia="Times New Roman" w:cs="Arial"/>
          <w:color w:val="000000"/>
          <w:szCs w:val="20"/>
          <w:lang w:val="en-US"/>
        </w:rPr>
        <w:t xml:space="preserve"> </w:t>
      </w:r>
      <w:proofErr w:type="gramStart"/>
      <w:r w:rsidRPr="0026161F">
        <w:rPr>
          <w:rFonts w:eastAsia="Times New Roman" w:cs="Arial"/>
          <w:color w:val="000000"/>
          <w:szCs w:val="20"/>
          <w:lang w:val="en-US"/>
        </w:rPr>
        <w:t>spp..</w:t>
      </w:r>
      <w:proofErr w:type="gramEnd"/>
      <w:r w:rsidRPr="0026161F">
        <w:rPr>
          <w:rFonts w:eastAsia="Times New Roman" w:cs="Arial"/>
          <w:color w:val="000000"/>
          <w:szCs w:val="20"/>
          <w:lang w:val="en-US"/>
        </w:rPr>
        <w:t xml:space="preserve"> </w:t>
      </w:r>
      <w:proofErr w:type="spellStart"/>
      <w:r w:rsidRPr="0026161F">
        <w:rPr>
          <w:rFonts w:eastAsia="Times New Roman" w:cs="Arial"/>
          <w:i/>
          <w:iCs/>
          <w:color w:val="000000"/>
          <w:szCs w:val="20"/>
          <w:lang w:val="en-US"/>
        </w:rPr>
        <w:t>Bacteroides</w:t>
      </w:r>
      <w:proofErr w:type="spellEnd"/>
      <w:r w:rsidRPr="0026161F">
        <w:rPr>
          <w:rFonts w:eastAsia="Times New Roman" w:cs="Arial"/>
          <w:i/>
          <w:iCs/>
          <w:color w:val="000000"/>
          <w:szCs w:val="20"/>
          <w:lang w:val="en-US"/>
        </w:rPr>
        <w:t xml:space="preserve"> </w:t>
      </w:r>
      <w:proofErr w:type="spellStart"/>
      <w:r w:rsidRPr="0026161F">
        <w:rPr>
          <w:rFonts w:eastAsia="Times New Roman" w:cs="Arial"/>
          <w:i/>
          <w:iCs/>
          <w:color w:val="000000"/>
          <w:szCs w:val="20"/>
          <w:lang w:val="en-US"/>
        </w:rPr>
        <w:t>jragilis</w:t>
      </w:r>
      <w:proofErr w:type="spellEnd"/>
      <w:r w:rsidRPr="0026161F">
        <w:rPr>
          <w:rFonts w:eastAsia="Times New Roman" w:cs="Arial"/>
          <w:color w:val="000000"/>
          <w:szCs w:val="20"/>
          <w:lang w:val="en-US"/>
        </w:rPr>
        <w:t xml:space="preserve"> </w:t>
      </w:r>
      <w:r w:rsidRPr="0026161F">
        <w:rPr>
          <w:rFonts w:eastAsia="Times New Roman" w:cs="Arial"/>
          <w:color w:val="000000"/>
          <w:szCs w:val="20"/>
          <w:lang w:eastAsia="bg-BG"/>
        </w:rPr>
        <w:t>е повишил броя си. Тези промени се възстановяват в нормалните стойности до две седмици.</w:t>
      </w:r>
    </w:p>
    <w:p w14:paraId="0C5A8AC4" w14:textId="77777777" w:rsidR="001E7E44" w:rsidRPr="0026161F" w:rsidRDefault="001E7E44" w:rsidP="001E7E44">
      <w:pPr>
        <w:spacing w:line="240" w:lineRule="auto"/>
        <w:rPr>
          <w:rFonts w:eastAsia="Times New Roman" w:cs="Arial"/>
          <w:color w:val="000000"/>
          <w:szCs w:val="20"/>
          <w:u w:val="single"/>
          <w:lang w:eastAsia="bg-BG"/>
        </w:rPr>
      </w:pPr>
    </w:p>
    <w:p w14:paraId="6D8ED5BA" w14:textId="1F1539E3" w:rsidR="001E7E44" w:rsidRPr="0026161F" w:rsidRDefault="001E7E44" w:rsidP="001E7E44">
      <w:pPr>
        <w:spacing w:line="240" w:lineRule="auto"/>
        <w:rPr>
          <w:rFonts w:eastAsia="Times New Roman" w:cs="Arial"/>
          <w:sz w:val="28"/>
          <w:szCs w:val="24"/>
          <w:lang w:eastAsia="bg-BG"/>
        </w:rPr>
      </w:pPr>
      <w:r w:rsidRPr="0026161F">
        <w:rPr>
          <w:rFonts w:eastAsia="Times New Roman" w:cs="Arial"/>
          <w:color w:val="000000"/>
          <w:szCs w:val="20"/>
          <w:u w:val="single"/>
          <w:lang w:eastAsia="bg-BG"/>
        </w:rPr>
        <w:t>Механизъм на резистентност</w:t>
      </w:r>
    </w:p>
    <w:p w14:paraId="1BAA40ED" w14:textId="77777777" w:rsidR="001E7E44" w:rsidRPr="0026161F" w:rsidRDefault="001E7E44" w:rsidP="001E7E44">
      <w:pPr>
        <w:spacing w:line="240" w:lineRule="auto"/>
        <w:rPr>
          <w:rFonts w:eastAsia="Times New Roman" w:cs="Arial"/>
          <w:sz w:val="28"/>
          <w:szCs w:val="24"/>
          <w:lang w:eastAsia="bg-BG"/>
        </w:rPr>
      </w:pPr>
      <w:r w:rsidRPr="0026161F">
        <w:rPr>
          <w:rFonts w:eastAsia="Times New Roman" w:cs="Arial"/>
          <w:color w:val="000000"/>
          <w:szCs w:val="20"/>
          <w:lang w:eastAsia="bg-BG"/>
        </w:rPr>
        <w:t xml:space="preserve">Механизмите на резистентност, които инактивират пеницилини, цефалоспорини, аминогликозиди, макролиди и тетрациклини не взаимодействат с ангибактериалната активност на моксифлоксацин. Други механизми на резистентност, като защитни бариери (общи при </w:t>
      </w:r>
      <w:r w:rsidRPr="0026161F">
        <w:rPr>
          <w:rFonts w:eastAsia="Times New Roman" w:cs="Arial"/>
          <w:i/>
          <w:iCs/>
          <w:color w:val="000000"/>
          <w:szCs w:val="20"/>
          <w:lang w:val="en-US"/>
        </w:rPr>
        <w:t>Pseudomonas aeruginosa)</w:t>
      </w:r>
      <w:r w:rsidRPr="0026161F">
        <w:rPr>
          <w:rFonts w:eastAsia="Times New Roman" w:cs="Arial"/>
          <w:color w:val="000000"/>
          <w:szCs w:val="20"/>
          <w:lang w:val="en-US"/>
        </w:rPr>
        <w:t xml:space="preserve"> </w:t>
      </w:r>
      <w:r w:rsidRPr="0026161F">
        <w:rPr>
          <w:rFonts w:eastAsia="Times New Roman" w:cs="Arial"/>
          <w:color w:val="000000"/>
          <w:szCs w:val="20"/>
          <w:lang w:eastAsia="bg-BG"/>
        </w:rPr>
        <w:t>и механизмите на излизане могат да повлияят чувствителността към моксифлоксацин.</w:t>
      </w:r>
    </w:p>
    <w:p w14:paraId="35A892D1" w14:textId="77777777" w:rsidR="001E7E44" w:rsidRPr="0026161F" w:rsidRDefault="001E7E44" w:rsidP="001E7E44">
      <w:pPr>
        <w:spacing w:line="240" w:lineRule="auto"/>
        <w:rPr>
          <w:rFonts w:eastAsia="Times New Roman" w:cs="Arial"/>
          <w:i/>
          <w:iCs/>
          <w:color w:val="000000"/>
          <w:szCs w:val="20"/>
          <w:lang w:eastAsia="bg-BG"/>
        </w:rPr>
      </w:pPr>
    </w:p>
    <w:p w14:paraId="6D897D6A" w14:textId="0E50325B" w:rsidR="001E7E44" w:rsidRPr="0026161F" w:rsidRDefault="001E7E44" w:rsidP="001E7E44">
      <w:pPr>
        <w:spacing w:line="240" w:lineRule="auto"/>
        <w:rPr>
          <w:rFonts w:eastAsia="Times New Roman" w:cs="Arial"/>
          <w:sz w:val="28"/>
          <w:szCs w:val="24"/>
          <w:lang w:eastAsia="bg-BG"/>
        </w:rPr>
      </w:pPr>
      <w:r w:rsidRPr="0026161F">
        <w:rPr>
          <w:rFonts w:eastAsia="Times New Roman" w:cs="Arial"/>
          <w:i/>
          <w:iCs/>
          <w:color w:val="000000"/>
          <w:szCs w:val="20"/>
          <w:lang w:eastAsia="bg-BG"/>
        </w:rPr>
        <w:t>Ин витро</w:t>
      </w:r>
      <w:r w:rsidRPr="0026161F">
        <w:rPr>
          <w:rFonts w:eastAsia="Times New Roman" w:cs="Arial"/>
          <w:color w:val="000000"/>
          <w:szCs w:val="20"/>
          <w:lang w:eastAsia="bg-BG"/>
        </w:rPr>
        <w:t xml:space="preserve"> резистентност към моксифлоксацин се развива постепенно чрез точкови мутации в двете тип </w:t>
      </w:r>
      <w:r w:rsidRPr="0026161F">
        <w:rPr>
          <w:rFonts w:eastAsia="Times New Roman" w:cs="Arial"/>
          <w:color w:val="000000"/>
          <w:szCs w:val="20"/>
          <w:lang w:val="en-US"/>
        </w:rPr>
        <w:t>II</w:t>
      </w:r>
      <w:r w:rsidRPr="0026161F">
        <w:rPr>
          <w:rFonts w:eastAsia="Times New Roman" w:cs="Arial"/>
          <w:color w:val="000000"/>
          <w:szCs w:val="20"/>
          <w:lang w:eastAsia="bg-BG"/>
        </w:rPr>
        <w:t xml:space="preserve"> топоизомерази, ДНК гираза и топоизомераза IV. Моксифлоксацин е субстрат, който трудно преминава чрез механизмите за активно навлизане при Грам-положителните микроорганизми.</w:t>
      </w:r>
    </w:p>
    <w:p w14:paraId="33D505E7" w14:textId="77777777" w:rsidR="001E7E44" w:rsidRPr="0026161F" w:rsidRDefault="001E7E44" w:rsidP="001E7E44">
      <w:pPr>
        <w:spacing w:line="240" w:lineRule="auto"/>
        <w:rPr>
          <w:rFonts w:eastAsia="Times New Roman" w:cs="Arial"/>
          <w:color w:val="000000"/>
          <w:szCs w:val="20"/>
          <w:lang w:eastAsia="bg-BG"/>
        </w:rPr>
      </w:pPr>
    </w:p>
    <w:p w14:paraId="4E9D49FC" w14:textId="568B29F2" w:rsidR="001E7E44" w:rsidRPr="0026161F" w:rsidRDefault="001E7E44" w:rsidP="001E7E44">
      <w:pPr>
        <w:spacing w:line="240" w:lineRule="auto"/>
        <w:rPr>
          <w:rFonts w:eastAsia="Times New Roman" w:cs="Arial"/>
          <w:sz w:val="28"/>
          <w:szCs w:val="24"/>
          <w:lang w:eastAsia="bg-BG"/>
        </w:rPr>
      </w:pPr>
      <w:r w:rsidRPr="0026161F">
        <w:rPr>
          <w:rFonts w:eastAsia="Times New Roman" w:cs="Arial"/>
          <w:color w:val="000000"/>
          <w:szCs w:val="20"/>
          <w:lang w:eastAsia="bg-BG"/>
        </w:rPr>
        <w:t>Кръстосана резистентност е наблюдавана с други хинолони. Обаче, тъй като моксифлоксацин инхибира двете топоизомерази II и IV с подобна активност при Грам-положителните бактерии, тези бактерии могат да са резистентни към други хинолони, но чувствителни към моксифлоксацин.</w:t>
      </w:r>
    </w:p>
    <w:p w14:paraId="618215CC" w14:textId="77777777" w:rsidR="001E7E44" w:rsidRPr="0026161F" w:rsidRDefault="001E7E44" w:rsidP="001E7E44">
      <w:pPr>
        <w:spacing w:line="240" w:lineRule="auto"/>
        <w:rPr>
          <w:rFonts w:eastAsia="Times New Roman" w:cs="Arial"/>
          <w:color w:val="000000"/>
          <w:szCs w:val="20"/>
          <w:u w:val="single"/>
          <w:lang w:eastAsia="bg-BG"/>
        </w:rPr>
      </w:pPr>
    </w:p>
    <w:p w14:paraId="032C39C4" w14:textId="658CB17E" w:rsidR="001E7E44" w:rsidRPr="0026161F" w:rsidRDefault="001E7E44" w:rsidP="001E7E44">
      <w:pPr>
        <w:spacing w:line="240" w:lineRule="auto"/>
        <w:rPr>
          <w:rFonts w:eastAsia="Times New Roman" w:cs="Arial"/>
          <w:sz w:val="28"/>
          <w:szCs w:val="24"/>
          <w:lang w:eastAsia="bg-BG"/>
        </w:rPr>
      </w:pPr>
      <w:r w:rsidRPr="0026161F">
        <w:rPr>
          <w:rFonts w:eastAsia="Times New Roman" w:cs="Arial"/>
          <w:color w:val="000000"/>
          <w:szCs w:val="20"/>
          <w:u w:val="single"/>
          <w:lang w:eastAsia="bg-BG"/>
        </w:rPr>
        <w:lastRenderedPageBreak/>
        <w:t>Гранични стойности</w:t>
      </w:r>
    </w:p>
    <w:p w14:paraId="038F692B" w14:textId="00DDD0F6" w:rsidR="007A2185" w:rsidRPr="0026161F" w:rsidRDefault="001E7E44" w:rsidP="001E7E44">
      <w:pPr>
        <w:rPr>
          <w:rFonts w:eastAsia="Times New Roman" w:cs="Arial"/>
          <w:color w:val="000000"/>
          <w:szCs w:val="20"/>
          <w:lang w:eastAsia="bg-BG"/>
        </w:rPr>
      </w:pPr>
      <w:r w:rsidRPr="0026161F">
        <w:rPr>
          <w:rFonts w:eastAsia="Times New Roman" w:cs="Arial"/>
          <w:color w:val="000000"/>
          <w:szCs w:val="20"/>
          <w:lang w:val="en-US"/>
        </w:rPr>
        <w:t xml:space="preserve">EUCAST </w:t>
      </w:r>
      <w:r w:rsidRPr="0026161F">
        <w:rPr>
          <w:rFonts w:eastAsia="Times New Roman" w:cs="Arial"/>
          <w:color w:val="000000"/>
          <w:szCs w:val="20"/>
          <w:lang w:eastAsia="bg-BG"/>
        </w:rPr>
        <w:t xml:space="preserve">клинични критични концентрации </w:t>
      </w:r>
      <w:r w:rsidRPr="0026161F">
        <w:rPr>
          <w:rFonts w:eastAsia="Times New Roman" w:cs="Arial"/>
          <w:color w:val="000000"/>
          <w:szCs w:val="20"/>
          <w:lang w:val="en-US"/>
        </w:rPr>
        <w:t xml:space="preserve">(MIC) </w:t>
      </w:r>
      <w:r w:rsidRPr="0026161F">
        <w:rPr>
          <w:rFonts w:eastAsia="Times New Roman" w:cs="Arial"/>
          <w:color w:val="000000"/>
          <w:szCs w:val="20"/>
          <w:lang w:eastAsia="bg-BG"/>
        </w:rPr>
        <w:t>и дисково-дифузионни гранични стойности за моксифлоксацин (таблица версия 8.0, валидна от 01.01.2018):</w:t>
      </w:r>
    </w:p>
    <w:tbl>
      <w:tblPr>
        <w:tblStyle w:val="TableGrid"/>
        <w:tblW w:w="0" w:type="auto"/>
        <w:tblLook w:val="04A0" w:firstRow="1" w:lastRow="0" w:firstColumn="1" w:lastColumn="0" w:noHBand="0" w:noVBand="1"/>
      </w:tblPr>
      <w:tblGrid>
        <w:gridCol w:w="3116"/>
        <w:gridCol w:w="3117"/>
        <w:gridCol w:w="3117"/>
      </w:tblGrid>
      <w:tr w:rsidR="0026161F" w:rsidRPr="0026161F" w14:paraId="19B0E51E" w14:textId="77777777" w:rsidTr="001E7E44">
        <w:tc>
          <w:tcPr>
            <w:tcW w:w="3116" w:type="dxa"/>
          </w:tcPr>
          <w:p w14:paraId="2CF0781B" w14:textId="5A83D34F" w:rsidR="0026161F" w:rsidRPr="0026161F" w:rsidRDefault="0026161F" w:rsidP="0026161F">
            <w:pPr>
              <w:rPr>
                <w:rFonts w:cs="Arial"/>
              </w:rPr>
            </w:pPr>
            <w:r w:rsidRPr="0026161F">
              <w:rPr>
                <w:rFonts w:cs="Arial"/>
                <w:b/>
                <w:bCs/>
              </w:rPr>
              <w:t>Щамове</w:t>
            </w:r>
          </w:p>
        </w:tc>
        <w:tc>
          <w:tcPr>
            <w:tcW w:w="3117" w:type="dxa"/>
          </w:tcPr>
          <w:p w14:paraId="203C7E66" w14:textId="0E4E6E2C" w:rsidR="0026161F" w:rsidRPr="0026161F" w:rsidRDefault="0026161F" w:rsidP="0026161F">
            <w:pPr>
              <w:jc w:val="center"/>
              <w:rPr>
                <w:rFonts w:cs="Arial"/>
              </w:rPr>
            </w:pPr>
            <w:r w:rsidRPr="0026161F">
              <w:rPr>
                <w:rFonts w:cs="Arial"/>
                <w:b/>
                <w:bCs/>
              </w:rPr>
              <w:t>Чувствителни</w:t>
            </w:r>
          </w:p>
        </w:tc>
        <w:tc>
          <w:tcPr>
            <w:tcW w:w="3117" w:type="dxa"/>
          </w:tcPr>
          <w:p w14:paraId="4BC9D9AF" w14:textId="71E533BF" w:rsidR="0026161F" w:rsidRPr="0026161F" w:rsidRDefault="0026161F" w:rsidP="0026161F">
            <w:pPr>
              <w:jc w:val="center"/>
              <w:rPr>
                <w:rFonts w:cs="Arial"/>
              </w:rPr>
            </w:pPr>
            <w:r w:rsidRPr="0026161F">
              <w:rPr>
                <w:rFonts w:cs="Arial"/>
                <w:b/>
                <w:bCs/>
              </w:rPr>
              <w:t>Резистентни</w:t>
            </w:r>
          </w:p>
        </w:tc>
      </w:tr>
      <w:tr w:rsidR="0026161F" w:rsidRPr="0026161F" w14:paraId="55DFAF00" w14:textId="77777777" w:rsidTr="001E7E44">
        <w:tc>
          <w:tcPr>
            <w:tcW w:w="3116" w:type="dxa"/>
          </w:tcPr>
          <w:p w14:paraId="325281DF" w14:textId="00FF1536" w:rsidR="0026161F" w:rsidRPr="0026161F" w:rsidRDefault="0026161F" w:rsidP="0026161F">
            <w:pPr>
              <w:rPr>
                <w:rFonts w:cs="Arial"/>
              </w:rPr>
            </w:pPr>
            <w:r w:rsidRPr="0026161F">
              <w:rPr>
                <w:rFonts w:cs="Arial"/>
                <w:lang w:val="en-US"/>
              </w:rPr>
              <w:t>S.</w:t>
            </w:r>
            <w:r w:rsidRPr="0026161F">
              <w:rPr>
                <w:rFonts w:cs="Arial"/>
              </w:rPr>
              <w:t xml:space="preserve"> </w:t>
            </w:r>
            <w:r w:rsidRPr="0026161F">
              <w:rPr>
                <w:rFonts w:cs="Arial"/>
                <w:i/>
                <w:iCs/>
                <w:lang w:val="en-US"/>
              </w:rPr>
              <w:t>aureus</w:t>
            </w:r>
          </w:p>
        </w:tc>
        <w:tc>
          <w:tcPr>
            <w:tcW w:w="3117" w:type="dxa"/>
          </w:tcPr>
          <w:p w14:paraId="54DD5E9B" w14:textId="0D951126" w:rsidR="0026161F" w:rsidRPr="0026161F" w:rsidRDefault="0026161F" w:rsidP="0026161F">
            <w:pPr>
              <w:jc w:val="center"/>
              <w:rPr>
                <w:rFonts w:cs="Arial"/>
              </w:rPr>
            </w:pPr>
            <w:r w:rsidRPr="0026161F">
              <w:rPr>
                <w:rFonts w:cs="Arial"/>
              </w:rPr>
              <w:t>≤</w:t>
            </w:r>
            <w:r w:rsidRPr="0026161F">
              <w:rPr>
                <w:rFonts w:cs="Arial"/>
                <w:lang w:val="en-US"/>
              </w:rPr>
              <w:t xml:space="preserve"> </w:t>
            </w:r>
            <w:r w:rsidRPr="0026161F">
              <w:rPr>
                <w:rFonts w:cs="Arial"/>
              </w:rPr>
              <w:t xml:space="preserve">0.25 </w:t>
            </w:r>
            <w:r w:rsidRPr="0026161F">
              <w:rPr>
                <w:rFonts w:cs="Arial"/>
                <w:lang w:val="en-US"/>
              </w:rPr>
              <w:t>mg/l</w:t>
            </w:r>
          </w:p>
          <w:p w14:paraId="224D16EA" w14:textId="4B833DAC" w:rsidR="0026161F" w:rsidRPr="0026161F" w:rsidRDefault="0026161F" w:rsidP="0026161F">
            <w:pPr>
              <w:jc w:val="center"/>
              <w:rPr>
                <w:rFonts w:cs="Arial"/>
              </w:rPr>
            </w:pPr>
            <w:r w:rsidRPr="0026161F">
              <w:rPr>
                <w:rFonts w:cs="Arial"/>
              </w:rPr>
              <w:t xml:space="preserve">≥ 25 </w:t>
            </w:r>
            <w:r w:rsidRPr="0026161F">
              <w:rPr>
                <w:rFonts w:cs="Arial"/>
                <w:lang w:val="en-US"/>
              </w:rPr>
              <w:t>mm</w:t>
            </w:r>
          </w:p>
        </w:tc>
        <w:tc>
          <w:tcPr>
            <w:tcW w:w="3117" w:type="dxa"/>
          </w:tcPr>
          <w:p w14:paraId="04E1BADE" w14:textId="77777777" w:rsidR="0026161F" w:rsidRPr="0026161F" w:rsidRDefault="0026161F" w:rsidP="0026161F">
            <w:pPr>
              <w:jc w:val="center"/>
              <w:rPr>
                <w:rFonts w:cs="Arial"/>
              </w:rPr>
            </w:pPr>
            <w:r w:rsidRPr="0026161F">
              <w:rPr>
                <w:rFonts w:cs="Arial"/>
              </w:rPr>
              <w:t xml:space="preserve">&gt;0,25 </w:t>
            </w:r>
            <w:r w:rsidRPr="0026161F">
              <w:rPr>
                <w:rFonts w:cs="Arial"/>
                <w:lang w:val="en-US"/>
              </w:rPr>
              <w:t>mg/l</w:t>
            </w:r>
          </w:p>
          <w:p w14:paraId="0274CCC1" w14:textId="62CA7FC8" w:rsidR="0026161F" w:rsidRPr="0026161F" w:rsidRDefault="0026161F" w:rsidP="0026161F">
            <w:pPr>
              <w:jc w:val="center"/>
              <w:rPr>
                <w:rFonts w:cs="Arial"/>
              </w:rPr>
            </w:pPr>
            <w:r w:rsidRPr="0026161F">
              <w:rPr>
                <w:rFonts w:cs="Arial"/>
              </w:rPr>
              <w:t xml:space="preserve">&lt;25 </w:t>
            </w:r>
            <w:r w:rsidRPr="0026161F">
              <w:rPr>
                <w:rFonts w:cs="Arial"/>
                <w:lang w:val="en-US"/>
              </w:rPr>
              <w:t>mm</w:t>
            </w:r>
          </w:p>
        </w:tc>
      </w:tr>
      <w:tr w:rsidR="0026161F" w:rsidRPr="0026161F" w14:paraId="0BB9E809" w14:textId="77777777" w:rsidTr="001E7E44">
        <w:tc>
          <w:tcPr>
            <w:tcW w:w="3116" w:type="dxa"/>
          </w:tcPr>
          <w:p w14:paraId="01497743" w14:textId="349BD22F" w:rsidR="0026161F" w:rsidRPr="0026161F" w:rsidRDefault="0026161F" w:rsidP="0026161F">
            <w:pPr>
              <w:rPr>
                <w:rFonts w:cs="Arial"/>
              </w:rPr>
            </w:pPr>
            <w:r w:rsidRPr="0026161F">
              <w:rPr>
                <w:rFonts w:cs="Arial"/>
              </w:rPr>
              <w:t xml:space="preserve">Coagulase-negative </w:t>
            </w:r>
            <w:r w:rsidRPr="0026161F">
              <w:rPr>
                <w:rFonts w:cs="Arial"/>
                <w:i/>
                <w:iCs/>
              </w:rPr>
              <w:t>staphylococci</w:t>
            </w:r>
          </w:p>
        </w:tc>
        <w:tc>
          <w:tcPr>
            <w:tcW w:w="3117" w:type="dxa"/>
          </w:tcPr>
          <w:p w14:paraId="58DB2818" w14:textId="77777777" w:rsidR="0026161F" w:rsidRPr="0026161F" w:rsidRDefault="0026161F" w:rsidP="0026161F">
            <w:pPr>
              <w:jc w:val="center"/>
              <w:rPr>
                <w:rFonts w:cs="Arial"/>
                <w:lang w:eastAsia="bg-BG"/>
              </w:rPr>
            </w:pPr>
            <w:r w:rsidRPr="0026161F">
              <w:rPr>
                <w:rFonts w:cs="Arial"/>
                <w:lang w:eastAsia="bg-BG"/>
              </w:rPr>
              <w:t>≤</w:t>
            </w:r>
            <w:r w:rsidRPr="0026161F">
              <w:rPr>
                <w:rFonts w:cs="Arial"/>
              </w:rPr>
              <w:t xml:space="preserve"> </w:t>
            </w:r>
            <w:r w:rsidRPr="0026161F">
              <w:rPr>
                <w:rFonts w:cs="Arial"/>
                <w:lang w:eastAsia="bg-BG"/>
              </w:rPr>
              <w:t xml:space="preserve">0.25 </w:t>
            </w:r>
            <w:r w:rsidRPr="0026161F">
              <w:rPr>
                <w:rFonts w:cs="Arial"/>
              </w:rPr>
              <w:t>mg/l</w:t>
            </w:r>
          </w:p>
          <w:p w14:paraId="7A70EACD" w14:textId="6A9E0472" w:rsidR="0026161F" w:rsidRPr="0026161F" w:rsidRDefault="0026161F" w:rsidP="0026161F">
            <w:pPr>
              <w:jc w:val="center"/>
              <w:rPr>
                <w:rFonts w:cs="Arial"/>
              </w:rPr>
            </w:pPr>
            <w:r w:rsidRPr="0026161F">
              <w:rPr>
                <w:rFonts w:cs="Arial"/>
                <w:lang w:eastAsia="bg-BG"/>
              </w:rPr>
              <w:t xml:space="preserve">≥28 </w:t>
            </w:r>
            <w:r w:rsidRPr="0026161F">
              <w:rPr>
                <w:rFonts w:cs="Arial"/>
              </w:rPr>
              <w:t>mm</w:t>
            </w:r>
          </w:p>
        </w:tc>
        <w:tc>
          <w:tcPr>
            <w:tcW w:w="3117" w:type="dxa"/>
          </w:tcPr>
          <w:p w14:paraId="4B1D808D" w14:textId="77777777" w:rsidR="0026161F" w:rsidRPr="0026161F" w:rsidRDefault="0026161F" w:rsidP="0026161F">
            <w:pPr>
              <w:jc w:val="center"/>
              <w:rPr>
                <w:rFonts w:cs="Arial"/>
                <w:lang w:eastAsia="bg-BG"/>
              </w:rPr>
            </w:pPr>
            <w:r w:rsidRPr="0026161F">
              <w:rPr>
                <w:rFonts w:cs="Arial"/>
              </w:rPr>
              <w:t>&gt;0.25 mg/l</w:t>
            </w:r>
          </w:p>
          <w:p w14:paraId="58ECB3C8" w14:textId="45D973B8" w:rsidR="0026161F" w:rsidRPr="0026161F" w:rsidRDefault="0026161F" w:rsidP="0026161F">
            <w:pPr>
              <w:jc w:val="center"/>
              <w:rPr>
                <w:rFonts w:cs="Arial"/>
              </w:rPr>
            </w:pPr>
            <w:r w:rsidRPr="0026161F">
              <w:rPr>
                <w:rFonts w:cs="Arial"/>
              </w:rPr>
              <w:t>&lt;28 mm</w:t>
            </w:r>
          </w:p>
        </w:tc>
      </w:tr>
      <w:tr w:rsidR="0026161F" w:rsidRPr="0026161F" w14:paraId="56D70DD6" w14:textId="77777777" w:rsidTr="001E7E44">
        <w:tc>
          <w:tcPr>
            <w:tcW w:w="3116" w:type="dxa"/>
          </w:tcPr>
          <w:p w14:paraId="760755B7" w14:textId="42393329" w:rsidR="0026161F" w:rsidRPr="0026161F" w:rsidRDefault="0026161F" w:rsidP="0026161F">
            <w:pPr>
              <w:rPr>
                <w:rFonts w:cs="Arial"/>
              </w:rPr>
            </w:pPr>
            <w:r w:rsidRPr="0026161F">
              <w:rPr>
                <w:rFonts w:cs="Arial"/>
                <w:i/>
                <w:iCs/>
              </w:rPr>
              <w:t>S. pneumoniae</w:t>
            </w:r>
          </w:p>
        </w:tc>
        <w:tc>
          <w:tcPr>
            <w:tcW w:w="3117" w:type="dxa"/>
          </w:tcPr>
          <w:p w14:paraId="12705361" w14:textId="276C7327" w:rsidR="0026161F" w:rsidRPr="0026161F" w:rsidRDefault="0026161F" w:rsidP="0026161F">
            <w:pPr>
              <w:jc w:val="center"/>
              <w:rPr>
                <w:rFonts w:cs="Arial"/>
              </w:rPr>
            </w:pPr>
            <w:r w:rsidRPr="0026161F">
              <w:rPr>
                <w:rFonts w:cs="Arial"/>
                <w:lang w:eastAsia="bg-BG"/>
              </w:rPr>
              <w:t>≤</w:t>
            </w:r>
            <w:r w:rsidRPr="0026161F">
              <w:rPr>
                <w:rFonts w:cs="Arial"/>
              </w:rPr>
              <w:t xml:space="preserve"> 0.5 mg/l </w:t>
            </w:r>
            <w:r w:rsidRPr="0026161F">
              <w:rPr>
                <w:rFonts w:cs="Arial"/>
                <w:lang w:eastAsia="bg-BG"/>
              </w:rPr>
              <w:t>≥</w:t>
            </w:r>
            <w:r w:rsidRPr="0026161F">
              <w:rPr>
                <w:rFonts w:cs="Arial"/>
              </w:rPr>
              <w:t xml:space="preserve"> 22 mm</w:t>
            </w:r>
          </w:p>
        </w:tc>
        <w:tc>
          <w:tcPr>
            <w:tcW w:w="3117" w:type="dxa"/>
          </w:tcPr>
          <w:p w14:paraId="7A3B7A7D" w14:textId="068A6F0C" w:rsidR="0026161F" w:rsidRPr="0026161F" w:rsidRDefault="0026161F" w:rsidP="0026161F">
            <w:pPr>
              <w:jc w:val="center"/>
              <w:rPr>
                <w:rFonts w:cs="Arial"/>
              </w:rPr>
            </w:pPr>
            <w:r w:rsidRPr="0026161F">
              <w:rPr>
                <w:rFonts w:cs="Arial"/>
              </w:rPr>
              <w:t>&gt; 0.5 mg/l &lt;22 mm</w:t>
            </w:r>
          </w:p>
        </w:tc>
      </w:tr>
      <w:tr w:rsidR="0026161F" w:rsidRPr="0026161F" w14:paraId="60FBBD62" w14:textId="77777777" w:rsidTr="001E7E44">
        <w:tc>
          <w:tcPr>
            <w:tcW w:w="3116" w:type="dxa"/>
          </w:tcPr>
          <w:p w14:paraId="133AB179" w14:textId="07D2C49A" w:rsidR="0026161F" w:rsidRPr="0026161F" w:rsidRDefault="0026161F" w:rsidP="0026161F">
            <w:pPr>
              <w:rPr>
                <w:rFonts w:cs="Arial"/>
              </w:rPr>
            </w:pPr>
            <w:r w:rsidRPr="0026161F">
              <w:rPr>
                <w:rFonts w:cs="Arial"/>
                <w:i/>
                <w:iCs/>
              </w:rPr>
              <w:t>Streptococcus Groups A,B,C,G</w:t>
            </w:r>
          </w:p>
        </w:tc>
        <w:tc>
          <w:tcPr>
            <w:tcW w:w="3117" w:type="dxa"/>
          </w:tcPr>
          <w:p w14:paraId="4DB7238E" w14:textId="3BCD05FD" w:rsidR="0026161F" w:rsidRPr="0026161F" w:rsidRDefault="0026161F" w:rsidP="0026161F">
            <w:pPr>
              <w:jc w:val="center"/>
              <w:rPr>
                <w:rFonts w:cs="Arial"/>
              </w:rPr>
            </w:pPr>
            <w:r w:rsidRPr="0026161F">
              <w:rPr>
                <w:rFonts w:cs="Arial"/>
                <w:lang w:eastAsia="bg-BG"/>
              </w:rPr>
              <w:t>≤</w:t>
            </w:r>
            <w:r w:rsidRPr="0026161F">
              <w:rPr>
                <w:rFonts w:cs="Arial"/>
              </w:rPr>
              <w:t xml:space="preserve"> 0.5 mg/l </w:t>
            </w:r>
            <w:r w:rsidRPr="0026161F">
              <w:rPr>
                <w:rFonts w:cs="Arial"/>
                <w:lang w:eastAsia="bg-BG"/>
              </w:rPr>
              <w:t>≥</w:t>
            </w:r>
            <w:r w:rsidRPr="0026161F">
              <w:rPr>
                <w:rFonts w:cs="Arial"/>
              </w:rPr>
              <w:t xml:space="preserve"> 19 mm</w:t>
            </w:r>
          </w:p>
        </w:tc>
        <w:tc>
          <w:tcPr>
            <w:tcW w:w="3117" w:type="dxa"/>
          </w:tcPr>
          <w:p w14:paraId="05DBEC0F" w14:textId="436B7DAC" w:rsidR="0026161F" w:rsidRPr="0026161F" w:rsidRDefault="0026161F" w:rsidP="0026161F">
            <w:pPr>
              <w:jc w:val="center"/>
              <w:rPr>
                <w:rFonts w:cs="Arial"/>
              </w:rPr>
            </w:pPr>
            <w:r w:rsidRPr="0026161F">
              <w:rPr>
                <w:rFonts w:cs="Arial"/>
              </w:rPr>
              <w:t>&gt; 0,5 mg/l &lt; 19 mm</w:t>
            </w:r>
          </w:p>
        </w:tc>
      </w:tr>
      <w:tr w:rsidR="0026161F" w:rsidRPr="0026161F" w14:paraId="1C91D768" w14:textId="77777777" w:rsidTr="001E7E44">
        <w:tc>
          <w:tcPr>
            <w:tcW w:w="3116" w:type="dxa"/>
          </w:tcPr>
          <w:p w14:paraId="349D52D0" w14:textId="0DC10342" w:rsidR="0026161F" w:rsidRPr="0026161F" w:rsidRDefault="0026161F" w:rsidP="0026161F">
            <w:pPr>
              <w:rPr>
                <w:rFonts w:cs="Arial"/>
              </w:rPr>
            </w:pPr>
            <w:r w:rsidRPr="0026161F">
              <w:rPr>
                <w:rFonts w:cs="Arial"/>
                <w:i/>
                <w:iCs/>
              </w:rPr>
              <w:t>H. influenzae</w:t>
            </w:r>
          </w:p>
        </w:tc>
        <w:tc>
          <w:tcPr>
            <w:tcW w:w="3117" w:type="dxa"/>
          </w:tcPr>
          <w:p w14:paraId="40A6B14D" w14:textId="77777777" w:rsidR="0026161F" w:rsidRPr="0026161F" w:rsidRDefault="0026161F" w:rsidP="0026161F">
            <w:pPr>
              <w:jc w:val="center"/>
              <w:rPr>
                <w:rFonts w:cs="Arial"/>
                <w:lang w:eastAsia="bg-BG"/>
              </w:rPr>
            </w:pPr>
            <w:r w:rsidRPr="0026161F">
              <w:rPr>
                <w:rFonts w:cs="Arial"/>
                <w:lang w:eastAsia="bg-BG"/>
              </w:rPr>
              <w:t>≤</w:t>
            </w:r>
            <w:r w:rsidRPr="0026161F">
              <w:rPr>
                <w:rFonts w:cs="Arial"/>
              </w:rPr>
              <w:t xml:space="preserve"> 0.125 mg/l</w:t>
            </w:r>
          </w:p>
          <w:p w14:paraId="127EB2DB" w14:textId="55ECA4E6" w:rsidR="0026161F" w:rsidRPr="0026161F" w:rsidRDefault="0026161F" w:rsidP="0026161F">
            <w:pPr>
              <w:jc w:val="center"/>
              <w:rPr>
                <w:rFonts w:cs="Arial"/>
              </w:rPr>
            </w:pPr>
            <w:r w:rsidRPr="0026161F">
              <w:rPr>
                <w:rFonts w:cs="Arial"/>
                <w:lang w:eastAsia="bg-BG"/>
              </w:rPr>
              <w:t>≥</w:t>
            </w:r>
            <w:r w:rsidRPr="0026161F">
              <w:rPr>
                <w:rFonts w:cs="Arial"/>
              </w:rPr>
              <w:t xml:space="preserve"> 28 mm</w:t>
            </w:r>
          </w:p>
        </w:tc>
        <w:tc>
          <w:tcPr>
            <w:tcW w:w="3117" w:type="dxa"/>
          </w:tcPr>
          <w:p w14:paraId="727EE1CB" w14:textId="77777777" w:rsidR="0026161F" w:rsidRPr="0026161F" w:rsidRDefault="0026161F" w:rsidP="0026161F">
            <w:pPr>
              <w:jc w:val="center"/>
              <w:rPr>
                <w:rFonts w:cs="Arial"/>
                <w:lang w:eastAsia="bg-BG"/>
              </w:rPr>
            </w:pPr>
            <w:r w:rsidRPr="0026161F">
              <w:rPr>
                <w:rFonts w:cs="Arial"/>
              </w:rPr>
              <w:t>&gt; 0.125 mg/l</w:t>
            </w:r>
          </w:p>
          <w:p w14:paraId="21A0455D" w14:textId="08A92B93" w:rsidR="0026161F" w:rsidRPr="0026161F" w:rsidRDefault="0026161F" w:rsidP="0026161F">
            <w:pPr>
              <w:jc w:val="center"/>
              <w:rPr>
                <w:rFonts w:cs="Arial"/>
              </w:rPr>
            </w:pPr>
            <w:r w:rsidRPr="0026161F">
              <w:rPr>
                <w:rFonts w:cs="Arial"/>
              </w:rPr>
              <w:t>&lt;28 mm</w:t>
            </w:r>
          </w:p>
        </w:tc>
      </w:tr>
      <w:tr w:rsidR="0026161F" w:rsidRPr="0026161F" w14:paraId="2959FE75" w14:textId="77777777" w:rsidTr="001E7E44">
        <w:tc>
          <w:tcPr>
            <w:tcW w:w="3116" w:type="dxa"/>
          </w:tcPr>
          <w:p w14:paraId="2201635C" w14:textId="5CF95F92" w:rsidR="0026161F" w:rsidRPr="0026161F" w:rsidRDefault="0026161F" w:rsidP="0026161F">
            <w:pPr>
              <w:rPr>
                <w:rFonts w:cs="Arial"/>
              </w:rPr>
            </w:pPr>
            <w:r w:rsidRPr="0026161F">
              <w:rPr>
                <w:rFonts w:cs="Arial"/>
                <w:i/>
                <w:iCs/>
              </w:rPr>
              <w:t>M. catarrhalis</w:t>
            </w:r>
          </w:p>
        </w:tc>
        <w:tc>
          <w:tcPr>
            <w:tcW w:w="3117" w:type="dxa"/>
          </w:tcPr>
          <w:p w14:paraId="65D45494" w14:textId="77777777" w:rsidR="0026161F" w:rsidRPr="0026161F" w:rsidRDefault="0026161F" w:rsidP="0026161F">
            <w:pPr>
              <w:jc w:val="center"/>
              <w:rPr>
                <w:rFonts w:cs="Arial"/>
                <w:lang w:eastAsia="bg-BG"/>
              </w:rPr>
            </w:pPr>
            <w:r w:rsidRPr="0026161F">
              <w:rPr>
                <w:rFonts w:cs="Arial"/>
                <w:lang w:eastAsia="bg-BG"/>
              </w:rPr>
              <w:t>≤</w:t>
            </w:r>
            <w:r w:rsidRPr="0026161F">
              <w:rPr>
                <w:rFonts w:cs="Arial"/>
              </w:rPr>
              <w:t xml:space="preserve"> 0.25 mg/l</w:t>
            </w:r>
          </w:p>
          <w:p w14:paraId="2A4D8B34" w14:textId="1DBDAB3A" w:rsidR="0026161F" w:rsidRPr="0026161F" w:rsidRDefault="0026161F" w:rsidP="0026161F">
            <w:pPr>
              <w:jc w:val="center"/>
              <w:rPr>
                <w:rFonts w:cs="Arial"/>
              </w:rPr>
            </w:pPr>
            <w:r w:rsidRPr="0026161F">
              <w:rPr>
                <w:rFonts w:cs="Arial"/>
                <w:lang w:eastAsia="bg-BG"/>
              </w:rPr>
              <w:t>≥</w:t>
            </w:r>
            <w:r w:rsidRPr="0026161F">
              <w:rPr>
                <w:rFonts w:cs="Arial"/>
              </w:rPr>
              <w:t xml:space="preserve"> 26 mm</w:t>
            </w:r>
          </w:p>
        </w:tc>
        <w:tc>
          <w:tcPr>
            <w:tcW w:w="3117" w:type="dxa"/>
          </w:tcPr>
          <w:p w14:paraId="105E9468" w14:textId="77777777" w:rsidR="0026161F" w:rsidRPr="0026161F" w:rsidRDefault="0026161F" w:rsidP="0026161F">
            <w:pPr>
              <w:jc w:val="center"/>
              <w:rPr>
                <w:rFonts w:cs="Arial"/>
                <w:lang w:eastAsia="bg-BG"/>
              </w:rPr>
            </w:pPr>
            <w:r w:rsidRPr="0026161F">
              <w:rPr>
                <w:rFonts w:cs="Arial"/>
              </w:rPr>
              <w:t>&gt; 0.25 mg/l</w:t>
            </w:r>
          </w:p>
          <w:p w14:paraId="7BE20801" w14:textId="17702670" w:rsidR="0026161F" w:rsidRPr="0026161F" w:rsidRDefault="0026161F" w:rsidP="0026161F">
            <w:pPr>
              <w:jc w:val="center"/>
              <w:rPr>
                <w:rFonts w:cs="Arial"/>
              </w:rPr>
            </w:pPr>
            <w:r w:rsidRPr="0026161F">
              <w:rPr>
                <w:rFonts w:cs="Arial"/>
              </w:rPr>
              <w:t>&lt; 26 mm</w:t>
            </w:r>
          </w:p>
        </w:tc>
      </w:tr>
      <w:tr w:rsidR="0026161F" w:rsidRPr="0026161F" w14:paraId="4047697C" w14:textId="77777777" w:rsidTr="001E7E44">
        <w:tc>
          <w:tcPr>
            <w:tcW w:w="3116" w:type="dxa"/>
          </w:tcPr>
          <w:p w14:paraId="7C839E26" w14:textId="447F4332" w:rsidR="0026161F" w:rsidRPr="0026161F" w:rsidRDefault="0026161F" w:rsidP="0026161F">
            <w:pPr>
              <w:rPr>
                <w:rFonts w:cs="Arial"/>
              </w:rPr>
            </w:pPr>
            <w:r w:rsidRPr="0026161F">
              <w:rPr>
                <w:rFonts w:cs="Arial"/>
              </w:rPr>
              <w:t>Enterobacterales</w:t>
            </w:r>
          </w:p>
        </w:tc>
        <w:tc>
          <w:tcPr>
            <w:tcW w:w="3117" w:type="dxa"/>
          </w:tcPr>
          <w:p w14:paraId="60571B3A" w14:textId="6141AAF5" w:rsidR="0026161F" w:rsidRPr="0026161F" w:rsidRDefault="0026161F" w:rsidP="0026161F">
            <w:pPr>
              <w:jc w:val="center"/>
              <w:rPr>
                <w:rFonts w:cs="Arial"/>
              </w:rPr>
            </w:pPr>
            <w:r w:rsidRPr="0026161F">
              <w:rPr>
                <w:rFonts w:cs="Arial"/>
                <w:lang w:eastAsia="bg-BG"/>
              </w:rPr>
              <w:t>≤</w:t>
            </w:r>
            <w:r w:rsidRPr="0026161F">
              <w:rPr>
                <w:rFonts w:cs="Arial"/>
              </w:rPr>
              <w:t xml:space="preserve"> 0.25 mg/l </w:t>
            </w:r>
            <w:r w:rsidRPr="0026161F">
              <w:rPr>
                <w:rFonts w:cs="Arial"/>
                <w:lang w:eastAsia="bg-BG"/>
              </w:rPr>
              <w:t>≥</w:t>
            </w:r>
            <w:r w:rsidRPr="0026161F">
              <w:rPr>
                <w:rFonts w:cs="Arial"/>
              </w:rPr>
              <w:t xml:space="preserve"> 22 mm</w:t>
            </w:r>
          </w:p>
        </w:tc>
        <w:tc>
          <w:tcPr>
            <w:tcW w:w="3117" w:type="dxa"/>
          </w:tcPr>
          <w:p w14:paraId="2F485205" w14:textId="77777777" w:rsidR="0026161F" w:rsidRPr="0026161F" w:rsidRDefault="0026161F" w:rsidP="0026161F">
            <w:pPr>
              <w:jc w:val="center"/>
              <w:rPr>
                <w:rFonts w:cs="Arial"/>
                <w:lang w:eastAsia="bg-BG"/>
              </w:rPr>
            </w:pPr>
            <w:r w:rsidRPr="0026161F">
              <w:rPr>
                <w:rFonts w:cs="Arial"/>
              </w:rPr>
              <w:t>&gt; 0.25 mg/l</w:t>
            </w:r>
          </w:p>
          <w:p w14:paraId="08BC70FE" w14:textId="047F5B91" w:rsidR="0026161F" w:rsidRPr="0026161F" w:rsidRDefault="0026161F" w:rsidP="0026161F">
            <w:pPr>
              <w:jc w:val="center"/>
              <w:rPr>
                <w:rFonts w:cs="Arial"/>
              </w:rPr>
            </w:pPr>
            <w:r w:rsidRPr="0026161F">
              <w:rPr>
                <w:rFonts w:cs="Arial"/>
              </w:rPr>
              <w:t>&lt; 22 mm</w:t>
            </w:r>
          </w:p>
        </w:tc>
      </w:tr>
      <w:tr w:rsidR="0026161F" w:rsidRPr="0026161F" w14:paraId="2628CCE6" w14:textId="77777777" w:rsidTr="001E7E44">
        <w:tc>
          <w:tcPr>
            <w:tcW w:w="3116" w:type="dxa"/>
          </w:tcPr>
          <w:p w14:paraId="0EA69025" w14:textId="24E883AC" w:rsidR="0026161F" w:rsidRPr="0026161F" w:rsidRDefault="0026161F" w:rsidP="0026161F">
            <w:pPr>
              <w:rPr>
                <w:rFonts w:cs="Arial"/>
              </w:rPr>
            </w:pPr>
            <w:r w:rsidRPr="0026161F">
              <w:rPr>
                <w:rFonts w:cs="Arial"/>
                <w:i/>
                <w:iCs/>
                <w:lang w:eastAsia="bg-BG"/>
              </w:rPr>
              <w:t xml:space="preserve">Гранични стойности, несвързани </w:t>
            </w:r>
            <w:r w:rsidRPr="0026161F">
              <w:rPr>
                <w:rFonts w:cs="Arial"/>
                <w:i/>
                <w:iCs/>
              </w:rPr>
              <w:t xml:space="preserve">c </w:t>
            </w:r>
            <w:r w:rsidRPr="0026161F">
              <w:rPr>
                <w:rFonts w:cs="Arial"/>
                <w:i/>
                <w:iCs/>
                <w:lang w:eastAsia="bg-BG"/>
              </w:rPr>
              <w:t>определен вид *</w:t>
            </w:r>
          </w:p>
        </w:tc>
        <w:tc>
          <w:tcPr>
            <w:tcW w:w="3117" w:type="dxa"/>
          </w:tcPr>
          <w:p w14:paraId="26F4839B" w14:textId="07102798" w:rsidR="0026161F" w:rsidRPr="0026161F" w:rsidRDefault="0026161F" w:rsidP="0026161F">
            <w:pPr>
              <w:jc w:val="center"/>
              <w:rPr>
                <w:rFonts w:cs="Arial"/>
              </w:rPr>
            </w:pPr>
            <w:r w:rsidRPr="0026161F">
              <w:rPr>
                <w:rFonts w:cs="Arial"/>
                <w:lang w:eastAsia="bg-BG"/>
              </w:rPr>
              <w:t>≤</w:t>
            </w:r>
            <w:r w:rsidRPr="0026161F">
              <w:rPr>
                <w:rFonts w:cs="Arial"/>
              </w:rPr>
              <w:t xml:space="preserve"> 0.25 mg/l</w:t>
            </w:r>
          </w:p>
        </w:tc>
        <w:tc>
          <w:tcPr>
            <w:tcW w:w="3117" w:type="dxa"/>
          </w:tcPr>
          <w:p w14:paraId="0D699293" w14:textId="11CB97FC" w:rsidR="0026161F" w:rsidRPr="0026161F" w:rsidRDefault="0026161F" w:rsidP="0026161F">
            <w:pPr>
              <w:jc w:val="center"/>
              <w:rPr>
                <w:rFonts w:cs="Arial"/>
              </w:rPr>
            </w:pPr>
            <w:r w:rsidRPr="0026161F">
              <w:rPr>
                <w:rFonts w:cs="Arial"/>
              </w:rPr>
              <w:t>&gt; 0.25 mg/l</w:t>
            </w:r>
          </w:p>
        </w:tc>
      </w:tr>
      <w:tr w:rsidR="001E7E44" w:rsidRPr="0026161F" w14:paraId="691709A2" w14:textId="77777777" w:rsidTr="001E7E44">
        <w:tc>
          <w:tcPr>
            <w:tcW w:w="9350" w:type="dxa"/>
            <w:gridSpan w:val="3"/>
          </w:tcPr>
          <w:p w14:paraId="43DA00D4" w14:textId="77777777" w:rsidR="001E7E44" w:rsidRPr="0026161F" w:rsidRDefault="001E7E44" w:rsidP="001E7E44">
            <w:pPr>
              <w:spacing w:line="240" w:lineRule="auto"/>
              <w:rPr>
                <w:rFonts w:eastAsia="Times New Roman" w:cs="Arial"/>
                <w:lang w:eastAsia="bg-BG"/>
              </w:rPr>
            </w:pPr>
            <w:r w:rsidRPr="0026161F">
              <w:rPr>
                <w:rFonts w:eastAsia="Times New Roman" w:cs="Arial"/>
                <w:i/>
                <w:iCs/>
                <w:color w:val="000000"/>
                <w:lang w:eastAsia="bg-BG"/>
              </w:rPr>
              <w:t>*Тези гранични стойности се използват само когато са налице Гранични стойности, несвързани с определен видили други препоръки(тире или забележка) във видово-</w:t>
            </w:r>
          </w:p>
          <w:p w14:paraId="0C5662C0" w14:textId="1D5EACA5" w:rsidR="001E7E44" w:rsidRPr="0026161F" w:rsidRDefault="001E7E44" w:rsidP="001E7E44">
            <w:pPr>
              <w:rPr>
                <w:rFonts w:cs="Arial"/>
              </w:rPr>
            </w:pPr>
            <w:r w:rsidRPr="0026161F">
              <w:rPr>
                <w:rFonts w:eastAsia="Times New Roman" w:cs="Arial"/>
                <w:color w:val="000000"/>
                <w:lang w:eastAsia="bg-BG"/>
              </w:rPr>
              <w:t xml:space="preserve"> </w:t>
            </w:r>
            <w:r w:rsidRPr="0026161F">
              <w:rPr>
                <w:rFonts w:eastAsia="Times New Roman" w:cs="Arial"/>
                <w:i/>
                <w:iCs/>
                <w:color w:val="000000"/>
                <w:lang w:eastAsia="bg-BG"/>
              </w:rPr>
              <w:t>специфичните таблици</w:t>
            </w:r>
          </w:p>
        </w:tc>
      </w:tr>
    </w:tbl>
    <w:p w14:paraId="58A61920" w14:textId="5411F16F" w:rsidR="001E7E44" w:rsidRPr="0026161F" w:rsidRDefault="001E7E44" w:rsidP="001E7E44">
      <w:pPr>
        <w:rPr>
          <w:rFonts w:cs="Arial"/>
        </w:rPr>
      </w:pPr>
    </w:p>
    <w:p w14:paraId="79BEAE6E" w14:textId="77777777" w:rsidR="001E7E44" w:rsidRPr="0026161F" w:rsidRDefault="001E7E44" w:rsidP="001E7E44">
      <w:pPr>
        <w:spacing w:line="240" w:lineRule="auto"/>
        <w:rPr>
          <w:rFonts w:eastAsia="Times New Roman" w:cs="Arial"/>
          <w:lang w:eastAsia="bg-BG"/>
        </w:rPr>
      </w:pPr>
      <w:r w:rsidRPr="0026161F">
        <w:rPr>
          <w:rFonts w:eastAsia="Times New Roman" w:cs="Arial"/>
          <w:color w:val="000000"/>
          <w:u w:val="single"/>
          <w:lang w:eastAsia="bg-BG"/>
        </w:rPr>
        <w:t>Микробиологична чувствителност</w:t>
      </w:r>
    </w:p>
    <w:p w14:paraId="4F6811B4" w14:textId="23369DB6" w:rsidR="001E7E44" w:rsidRPr="0026161F" w:rsidRDefault="001E7E44" w:rsidP="001E7E44">
      <w:pPr>
        <w:rPr>
          <w:rFonts w:cs="Arial"/>
        </w:rPr>
      </w:pPr>
      <w:r w:rsidRPr="0026161F">
        <w:rPr>
          <w:rFonts w:eastAsia="Times New Roman" w:cs="Arial"/>
          <w:color w:val="000000"/>
          <w:lang w:eastAsia="bg-BG"/>
        </w:rPr>
        <w:t>Преобладаването на придобита резистентност може да варира в зависимост от географската област и във времето при избрани щамове, поради което е желателно да се търси информация за локална резистентност, особено при лечение на тежки инфекции. При необходимост, трябва да се търси експертна консултация, когато местният профил на резистентност е такъв, че ползата от агента в поне някои от видовете инфекции е под въпрос.</w:t>
      </w:r>
    </w:p>
    <w:p w14:paraId="36152471" w14:textId="6FA47994" w:rsidR="0091385D" w:rsidRDefault="0091385D" w:rsidP="0091385D"/>
    <w:tbl>
      <w:tblPr>
        <w:tblStyle w:val="TableGrid"/>
        <w:tblW w:w="0" w:type="auto"/>
        <w:tblLook w:val="04A0" w:firstRow="1" w:lastRow="0" w:firstColumn="1" w:lastColumn="0" w:noHBand="0" w:noVBand="1"/>
      </w:tblPr>
      <w:tblGrid>
        <w:gridCol w:w="9350"/>
      </w:tblGrid>
      <w:tr w:rsidR="0026161F" w14:paraId="7BCFAC53" w14:textId="77777777" w:rsidTr="003F3903">
        <w:tc>
          <w:tcPr>
            <w:tcW w:w="9350" w:type="dxa"/>
            <w:vAlign w:val="center"/>
          </w:tcPr>
          <w:p w14:paraId="29CB6ADF" w14:textId="7391B7E3" w:rsidR="0026161F" w:rsidRPr="0026161F" w:rsidRDefault="0026161F" w:rsidP="0026161F">
            <w:r w:rsidRPr="0026161F">
              <w:rPr>
                <w:b/>
                <w:bCs/>
                <w:szCs w:val="20"/>
                <w:u w:val="single"/>
                <w:lang w:eastAsia="bg-BG"/>
              </w:rPr>
              <w:t>Общо чувствителни видове</w:t>
            </w:r>
          </w:p>
        </w:tc>
      </w:tr>
      <w:tr w:rsidR="0026161F" w14:paraId="130E32BF" w14:textId="77777777" w:rsidTr="003F3903">
        <w:tc>
          <w:tcPr>
            <w:tcW w:w="9350" w:type="dxa"/>
            <w:vAlign w:val="bottom"/>
          </w:tcPr>
          <w:p w14:paraId="6912D8A5" w14:textId="3848758D" w:rsidR="0026161F" w:rsidRPr="0026161F" w:rsidRDefault="0026161F" w:rsidP="0026161F">
            <w:r w:rsidRPr="0026161F">
              <w:rPr>
                <w:b/>
                <w:bCs/>
                <w:szCs w:val="20"/>
                <w:lang w:eastAsia="bg-BG"/>
              </w:rPr>
              <w:t>Аеробни Грам-положителни микроорганизми</w:t>
            </w:r>
          </w:p>
        </w:tc>
      </w:tr>
      <w:tr w:rsidR="0026161F" w14:paraId="5BCD8C0C" w14:textId="77777777" w:rsidTr="003F3903">
        <w:tc>
          <w:tcPr>
            <w:tcW w:w="9350" w:type="dxa"/>
            <w:vAlign w:val="bottom"/>
          </w:tcPr>
          <w:p w14:paraId="4ED28640" w14:textId="77777777" w:rsidR="0026161F" w:rsidRPr="0026161F" w:rsidRDefault="0026161F" w:rsidP="0026161F">
            <w:pPr>
              <w:rPr>
                <w:lang w:eastAsia="bg-BG"/>
              </w:rPr>
            </w:pPr>
            <w:r w:rsidRPr="0026161F">
              <w:rPr>
                <w:i/>
                <w:iCs/>
                <w:szCs w:val="20"/>
              </w:rPr>
              <w:t>Gardnerella vaginalis</w:t>
            </w:r>
          </w:p>
          <w:p w14:paraId="7D7531E5" w14:textId="77777777" w:rsidR="0026161F" w:rsidRPr="0026161F" w:rsidRDefault="0026161F" w:rsidP="0026161F">
            <w:pPr>
              <w:rPr>
                <w:lang w:eastAsia="bg-BG"/>
              </w:rPr>
            </w:pPr>
            <w:r w:rsidRPr="0026161F">
              <w:rPr>
                <w:i/>
                <w:iCs/>
                <w:szCs w:val="20"/>
              </w:rPr>
              <w:t>Staphylococcus aureus</w:t>
            </w:r>
            <w:r w:rsidRPr="0026161F">
              <w:rPr>
                <w:szCs w:val="20"/>
              </w:rPr>
              <w:t xml:space="preserve"> * (methicillin</w:t>
            </w:r>
            <w:r w:rsidRPr="0026161F">
              <w:rPr>
                <w:szCs w:val="20"/>
                <w:lang w:eastAsia="bg-BG"/>
              </w:rPr>
              <w:t>-чувствителен)</w:t>
            </w:r>
          </w:p>
          <w:p w14:paraId="14080692" w14:textId="77777777" w:rsidR="0026161F" w:rsidRPr="0026161F" w:rsidRDefault="0026161F" w:rsidP="0026161F">
            <w:pPr>
              <w:rPr>
                <w:lang w:eastAsia="bg-BG"/>
              </w:rPr>
            </w:pPr>
            <w:r w:rsidRPr="0026161F">
              <w:rPr>
                <w:i/>
                <w:iCs/>
                <w:szCs w:val="20"/>
              </w:rPr>
              <w:t>Streptococcus agalactiae</w:t>
            </w:r>
            <w:r w:rsidRPr="0026161F">
              <w:rPr>
                <w:szCs w:val="20"/>
              </w:rPr>
              <w:t xml:space="preserve"> </w:t>
            </w:r>
            <w:r w:rsidRPr="0026161F">
              <w:rPr>
                <w:szCs w:val="20"/>
                <w:lang w:eastAsia="bg-BG"/>
              </w:rPr>
              <w:t xml:space="preserve">(група </w:t>
            </w:r>
            <w:r w:rsidRPr="0026161F">
              <w:rPr>
                <w:szCs w:val="20"/>
              </w:rPr>
              <w:t>B)</w:t>
            </w:r>
          </w:p>
          <w:p w14:paraId="12F0C391" w14:textId="77777777" w:rsidR="0026161F" w:rsidRPr="0026161F" w:rsidRDefault="0026161F" w:rsidP="0026161F">
            <w:pPr>
              <w:rPr>
                <w:lang w:eastAsia="bg-BG"/>
              </w:rPr>
            </w:pPr>
            <w:r w:rsidRPr="0026161F">
              <w:rPr>
                <w:i/>
                <w:iCs/>
                <w:szCs w:val="20"/>
              </w:rPr>
              <w:t>Streptococcus milleri group * (S. anginosus, S. constellates</w:t>
            </w:r>
            <w:r w:rsidRPr="0026161F">
              <w:rPr>
                <w:szCs w:val="20"/>
              </w:rPr>
              <w:t xml:space="preserve"> </w:t>
            </w:r>
            <w:r w:rsidRPr="0026161F">
              <w:rPr>
                <w:szCs w:val="20"/>
                <w:lang w:eastAsia="bg-BG"/>
              </w:rPr>
              <w:t xml:space="preserve">и </w:t>
            </w:r>
            <w:r w:rsidRPr="0026161F">
              <w:rPr>
                <w:i/>
                <w:iCs/>
                <w:szCs w:val="20"/>
              </w:rPr>
              <w:t>S. intermedius)</w:t>
            </w:r>
          </w:p>
          <w:p w14:paraId="398B51D1" w14:textId="77777777" w:rsidR="0026161F" w:rsidRPr="0026161F" w:rsidRDefault="0026161F" w:rsidP="0026161F">
            <w:pPr>
              <w:rPr>
                <w:lang w:eastAsia="bg-BG"/>
              </w:rPr>
            </w:pPr>
            <w:r w:rsidRPr="0026161F">
              <w:rPr>
                <w:i/>
                <w:iCs/>
                <w:szCs w:val="20"/>
              </w:rPr>
              <w:t>Streptococcus pneumoniae *</w:t>
            </w:r>
          </w:p>
          <w:p w14:paraId="30CE84FC" w14:textId="77777777" w:rsidR="0026161F" w:rsidRPr="0026161F" w:rsidRDefault="0026161F" w:rsidP="0026161F">
            <w:pPr>
              <w:rPr>
                <w:lang w:eastAsia="bg-BG"/>
              </w:rPr>
            </w:pPr>
            <w:r w:rsidRPr="0026161F">
              <w:rPr>
                <w:i/>
                <w:iCs/>
                <w:szCs w:val="20"/>
              </w:rPr>
              <w:t>Streptococcus pyogenes</w:t>
            </w:r>
            <w:r w:rsidRPr="0026161F">
              <w:rPr>
                <w:szCs w:val="20"/>
              </w:rPr>
              <w:t xml:space="preserve"> * </w:t>
            </w:r>
            <w:r w:rsidRPr="0026161F">
              <w:rPr>
                <w:szCs w:val="20"/>
                <w:lang w:eastAsia="bg-BG"/>
              </w:rPr>
              <w:t xml:space="preserve">(група </w:t>
            </w:r>
            <w:r w:rsidRPr="0026161F">
              <w:rPr>
                <w:szCs w:val="20"/>
              </w:rPr>
              <w:t>A)</w:t>
            </w:r>
          </w:p>
          <w:p w14:paraId="22BD8615" w14:textId="7DD08B03" w:rsidR="0026161F" w:rsidRPr="0026161F" w:rsidRDefault="0026161F" w:rsidP="0026161F">
            <w:r w:rsidRPr="0026161F">
              <w:rPr>
                <w:i/>
                <w:iCs/>
                <w:szCs w:val="20"/>
              </w:rPr>
              <w:t>Streptococcus viridans group (S. viridans, S. mutans, S. mitis, S. sanguinis, S. salivarius, S. thermophilus)</w:t>
            </w:r>
          </w:p>
        </w:tc>
      </w:tr>
      <w:tr w:rsidR="0026161F" w14:paraId="693EDCDB" w14:textId="77777777" w:rsidTr="003F3903">
        <w:tc>
          <w:tcPr>
            <w:tcW w:w="9350" w:type="dxa"/>
            <w:vAlign w:val="bottom"/>
          </w:tcPr>
          <w:p w14:paraId="77829FF1" w14:textId="4471FFA1" w:rsidR="0026161F" w:rsidRPr="0026161F" w:rsidRDefault="0026161F" w:rsidP="0026161F">
            <w:r w:rsidRPr="0026161F">
              <w:rPr>
                <w:b/>
                <w:bCs/>
                <w:szCs w:val="20"/>
                <w:lang w:eastAsia="bg-BG"/>
              </w:rPr>
              <w:t>Аеробни Грам-отрицателни микроорганизми</w:t>
            </w:r>
          </w:p>
        </w:tc>
      </w:tr>
      <w:tr w:rsidR="0026161F" w14:paraId="72D5DEF6" w14:textId="77777777" w:rsidTr="001E7E44">
        <w:tc>
          <w:tcPr>
            <w:tcW w:w="9350" w:type="dxa"/>
          </w:tcPr>
          <w:p w14:paraId="6468A1F9" w14:textId="77777777" w:rsidR="0026161F" w:rsidRPr="0026161F" w:rsidRDefault="0026161F" w:rsidP="0026161F">
            <w:pPr>
              <w:rPr>
                <w:lang w:eastAsia="bg-BG"/>
              </w:rPr>
            </w:pPr>
            <w:r w:rsidRPr="0026161F">
              <w:rPr>
                <w:i/>
                <w:iCs/>
                <w:szCs w:val="20"/>
              </w:rPr>
              <w:t>Acinetobacter baumanii</w:t>
            </w:r>
          </w:p>
          <w:p w14:paraId="1D1AA92C" w14:textId="77777777" w:rsidR="0026161F" w:rsidRPr="0026161F" w:rsidRDefault="0026161F" w:rsidP="0026161F">
            <w:pPr>
              <w:rPr>
                <w:lang w:eastAsia="bg-BG"/>
              </w:rPr>
            </w:pPr>
            <w:r w:rsidRPr="0026161F">
              <w:rPr>
                <w:i/>
                <w:iCs/>
                <w:szCs w:val="20"/>
              </w:rPr>
              <w:t>Haemophilus influenzae * Haemophilus parainfluenzae *</w:t>
            </w:r>
          </w:p>
          <w:p w14:paraId="22D8BD0D" w14:textId="77777777" w:rsidR="0026161F" w:rsidRPr="0026161F" w:rsidRDefault="0026161F" w:rsidP="0026161F">
            <w:pPr>
              <w:rPr>
                <w:lang w:eastAsia="bg-BG"/>
              </w:rPr>
            </w:pPr>
            <w:r w:rsidRPr="0026161F">
              <w:rPr>
                <w:i/>
                <w:iCs/>
                <w:szCs w:val="20"/>
              </w:rPr>
              <w:t>Klebsiella pneumoniae *#</w:t>
            </w:r>
          </w:p>
          <w:p w14:paraId="6FD95ACF" w14:textId="77777777" w:rsidR="0026161F" w:rsidRPr="0026161F" w:rsidRDefault="0026161F" w:rsidP="0026161F">
            <w:pPr>
              <w:rPr>
                <w:lang w:eastAsia="bg-BG"/>
              </w:rPr>
            </w:pPr>
            <w:r w:rsidRPr="0026161F">
              <w:rPr>
                <w:i/>
                <w:iCs/>
                <w:szCs w:val="20"/>
              </w:rPr>
              <w:lastRenderedPageBreak/>
              <w:t>Legionella pneumophila</w:t>
            </w:r>
          </w:p>
          <w:p w14:paraId="2BABA496" w14:textId="007DB528" w:rsidR="0026161F" w:rsidRPr="0026161F" w:rsidRDefault="0026161F" w:rsidP="0026161F">
            <w:r w:rsidRPr="0026161F">
              <w:rPr>
                <w:i/>
                <w:iCs/>
                <w:szCs w:val="20"/>
              </w:rPr>
              <w:t>Moraxella (Branhamella) catarrhalis *</w:t>
            </w:r>
          </w:p>
        </w:tc>
      </w:tr>
      <w:tr w:rsidR="0026161F" w14:paraId="1458045B" w14:textId="77777777" w:rsidTr="003F3903">
        <w:tc>
          <w:tcPr>
            <w:tcW w:w="9350" w:type="dxa"/>
            <w:vAlign w:val="bottom"/>
          </w:tcPr>
          <w:p w14:paraId="11D786B8" w14:textId="719B800B" w:rsidR="0026161F" w:rsidRPr="0026161F" w:rsidRDefault="0026161F" w:rsidP="0026161F">
            <w:r w:rsidRPr="0026161F">
              <w:rPr>
                <w:b/>
                <w:bCs/>
                <w:szCs w:val="20"/>
                <w:lang w:eastAsia="bg-BG"/>
              </w:rPr>
              <w:lastRenderedPageBreak/>
              <w:t>Анаеробни микроорганизми</w:t>
            </w:r>
          </w:p>
        </w:tc>
      </w:tr>
      <w:tr w:rsidR="0026161F" w14:paraId="504E6FDC" w14:textId="77777777" w:rsidTr="003F3903">
        <w:tc>
          <w:tcPr>
            <w:tcW w:w="9350" w:type="dxa"/>
            <w:vAlign w:val="bottom"/>
          </w:tcPr>
          <w:p w14:paraId="758C0EE5" w14:textId="77777777" w:rsidR="0026161F" w:rsidRPr="0026161F" w:rsidRDefault="0026161F" w:rsidP="0026161F">
            <w:pPr>
              <w:rPr>
                <w:lang w:eastAsia="bg-BG"/>
              </w:rPr>
            </w:pPr>
            <w:r w:rsidRPr="0026161F">
              <w:rPr>
                <w:i/>
                <w:iCs/>
                <w:szCs w:val="20"/>
              </w:rPr>
              <w:t>Fusobacterium</w:t>
            </w:r>
            <w:r w:rsidRPr="0026161F">
              <w:rPr>
                <w:szCs w:val="20"/>
              </w:rPr>
              <w:t xml:space="preserve"> spp.</w:t>
            </w:r>
          </w:p>
          <w:p w14:paraId="0FABE3CA" w14:textId="192457F6" w:rsidR="0026161F" w:rsidRPr="0026161F" w:rsidRDefault="0026161F" w:rsidP="0026161F">
            <w:r w:rsidRPr="0026161F">
              <w:rPr>
                <w:i/>
                <w:iCs/>
                <w:szCs w:val="20"/>
              </w:rPr>
              <w:t>Prevotella</w:t>
            </w:r>
            <w:r w:rsidRPr="0026161F">
              <w:rPr>
                <w:szCs w:val="20"/>
              </w:rPr>
              <w:t xml:space="preserve"> spp.</w:t>
            </w:r>
          </w:p>
        </w:tc>
      </w:tr>
      <w:tr w:rsidR="0026161F" w14:paraId="0D23CC9D" w14:textId="77777777" w:rsidTr="00E54905">
        <w:tc>
          <w:tcPr>
            <w:tcW w:w="9350" w:type="dxa"/>
            <w:vAlign w:val="bottom"/>
          </w:tcPr>
          <w:p w14:paraId="6C261C97" w14:textId="02D52851" w:rsidR="0026161F" w:rsidRPr="0026161F" w:rsidRDefault="0026161F" w:rsidP="0026161F">
            <w:r w:rsidRPr="0026161F">
              <w:rPr>
                <w:b/>
                <w:bCs/>
                <w:szCs w:val="20"/>
                <w:lang w:eastAsia="bg-BG"/>
              </w:rPr>
              <w:t>Други микроорганизми</w:t>
            </w:r>
          </w:p>
        </w:tc>
      </w:tr>
      <w:tr w:rsidR="0026161F" w14:paraId="48E2052D" w14:textId="77777777" w:rsidTr="001E7E44">
        <w:tc>
          <w:tcPr>
            <w:tcW w:w="9350" w:type="dxa"/>
          </w:tcPr>
          <w:p w14:paraId="46785503" w14:textId="77777777" w:rsidR="0026161F" w:rsidRPr="0026161F" w:rsidRDefault="0026161F" w:rsidP="0026161F">
            <w:pPr>
              <w:rPr>
                <w:lang w:eastAsia="bg-BG"/>
              </w:rPr>
            </w:pPr>
            <w:r w:rsidRPr="0026161F">
              <w:rPr>
                <w:i/>
                <w:iCs/>
                <w:szCs w:val="20"/>
              </w:rPr>
              <w:t>Chlamydophila (Chlamydia) pneumoniae *</w:t>
            </w:r>
          </w:p>
          <w:p w14:paraId="116226AB" w14:textId="77777777" w:rsidR="0026161F" w:rsidRPr="0026161F" w:rsidRDefault="0026161F" w:rsidP="0026161F">
            <w:pPr>
              <w:rPr>
                <w:lang w:eastAsia="bg-BG"/>
              </w:rPr>
            </w:pPr>
            <w:r w:rsidRPr="0026161F">
              <w:rPr>
                <w:i/>
                <w:iCs/>
                <w:szCs w:val="20"/>
              </w:rPr>
              <w:t>Chlamydia trachomatis *</w:t>
            </w:r>
          </w:p>
          <w:p w14:paraId="7D7218AD" w14:textId="77777777" w:rsidR="0026161F" w:rsidRPr="0026161F" w:rsidRDefault="0026161F" w:rsidP="0026161F">
            <w:pPr>
              <w:rPr>
                <w:lang w:eastAsia="bg-BG"/>
              </w:rPr>
            </w:pPr>
            <w:r w:rsidRPr="0026161F">
              <w:rPr>
                <w:i/>
                <w:iCs/>
                <w:szCs w:val="20"/>
              </w:rPr>
              <w:t>Coxiella burnetii</w:t>
            </w:r>
          </w:p>
          <w:p w14:paraId="316D4AF9" w14:textId="1D29ABA5" w:rsidR="0026161F" w:rsidRPr="0026161F" w:rsidRDefault="0026161F" w:rsidP="0026161F">
            <w:r w:rsidRPr="0026161F">
              <w:rPr>
                <w:i/>
                <w:iCs/>
                <w:szCs w:val="20"/>
              </w:rPr>
              <w:t>Mycoplasma genitalium</w:t>
            </w:r>
          </w:p>
        </w:tc>
      </w:tr>
      <w:tr w:rsidR="0026161F" w14:paraId="2EF704EF" w14:textId="77777777" w:rsidTr="001E7E44">
        <w:tc>
          <w:tcPr>
            <w:tcW w:w="9350" w:type="dxa"/>
          </w:tcPr>
          <w:p w14:paraId="21ED7D92" w14:textId="52768B64" w:rsidR="0026161F" w:rsidRPr="0026161F" w:rsidRDefault="0026161F" w:rsidP="0026161F">
            <w:r w:rsidRPr="0026161F">
              <w:rPr>
                <w:i/>
                <w:iCs/>
                <w:szCs w:val="20"/>
              </w:rPr>
              <w:t>Mycoplasma hominis Mycoplasma pneumoniae *</w:t>
            </w:r>
          </w:p>
        </w:tc>
      </w:tr>
      <w:tr w:rsidR="0026161F" w14:paraId="6DA300B0" w14:textId="77777777" w:rsidTr="001E7E44">
        <w:tc>
          <w:tcPr>
            <w:tcW w:w="9350" w:type="dxa"/>
          </w:tcPr>
          <w:p w14:paraId="558515D2" w14:textId="28CE4B21" w:rsidR="0026161F" w:rsidRPr="0026161F" w:rsidRDefault="0026161F" w:rsidP="0026161F">
            <w:r w:rsidRPr="0026161F">
              <w:rPr>
                <w:b/>
                <w:bCs/>
                <w:szCs w:val="20"/>
                <w:lang w:eastAsia="bg-BG"/>
              </w:rPr>
              <w:t>Видове за които придобитата резистентност може да е проблем</w:t>
            </w:r>
          </w:p>
        </w:tc>
      </w:tr>
      <w:tr w:rsidR="0026161F" w14:paraId="3AACAD12" w14:textId="77777777" w:rsidTr="001E7E44">
        <w:tc>
          <w:tcPr>
            <w:tcW w:w="9350" w:type="dxa"/>
          </w:tcPr>
          <w:p w14:paraId="215E5341" w14:textId="0D24F5A0" w:rsidR="0026161F" w:rsidRPr="0026161F" w:rsidRDefault="0026161F" w:rsidP="0026161F">
            <w:r w:rsidRPr="0026161F">
              <w:rPr>
                <w:b/>
                <w:bCs/>
                <w:szCs w:val="20"/>
                <w:lang w:eastAsia="bg-BG"/>
              </w:rPr>
              <w:t>Аеробни Грам-положителни микроорганизми</w:t>
            </w:r>
          </w:p>
        </w:tc>
      </w:tr>
      <w:tr w:rsidR="0026161F" w14:paraId="5CCDC351" w14:textId="77777777" w:rsidTr="001E7E44">
        <w:tc>
          <w:tcPr>
            <w:tcW w:w="9350" w:type="dxa"/>
          </w:tcPr>
          <w:p w14:paraId="5DEFBD49" w14:textId="77777777" w:rsidR="0026161F" w:rsidRPr="0026161F" w:rsidRDefault="0026161F" w:rsidP="0026161F">
            <w:pPr>
              <w:rPr>
                <w:lang w:eastAsia="bg-BG"/>
              </w:rPr>
            </w:pPr>
            <w:r w:rsidRPr="0026161F">
              <w:rPr>
                <w:i/>
                <w:iCs/>
                <w:szCs w:val="20"/>
              </w:rPr>
              <w:t xml:space="preserve">Enterococcus faecalis </w:t>
            </w:r>
            <w:r w:rsidRPr="0026161F">
              <w:rPr>
                <w:i/>
                <w:iCs/>
                <w:szCs w:val="20"/>
                <w:lang w:eastAsia="bg-BG"/>
              </w:rPr>
              <w:t>*</w:t>
            </w:r>
          </w:p>
          <w:p w14:paraId="513D8245" w14:textId="77777777" w:rsidR="0026161F" w:rsidRPr="0026161F" w:rsidRDefault="0026161F" w:rsidP="0026161F">
            <w:pPr>
              <w:rPr>
                <w:lang w:eastAsia="bg-BG"/>
              </w:rPr>
            </w:pPr>
            <w:r w:rsidRPr="0026161F">
              <w:rPr>
                <w:i/>
                <w:iCs/>
                <w:szCs w:val="20"/>
              </w:rPr>
              <w:t>Enterococcus faecium *</w:t>
            </w:r>
          </w:p>
          <w:p w14:paraId="0D7857D2" w14:textId="3FBB685C" w:rsidR="0026161F" w:rsidRPr="0026161F" w:rsidRDefault="0026161F" w:rsidP="0026161F">
            <w:r w:rsidRPr="0026161F">
              <w:rPr>
                <w:i/>
                <w:iCs/>
                <w:szCs w:val="20"/>
              </w:rPr>
              <w:t>Staphylococcus aureus</w:t>
            </w:r>
            <w:r w:rsidRPr="0026161F">
              <w:rPr>
                <w:szCs w:val="20"/>
              </w:rPr>
              <w:t xml:space="preserve"> </w:t>
            </w:r>
            <w:r w:rsidRPr="0026161F">
              <w:rPr>
                <w:szCs w:val="20"/>
                <w:lang w:eastAsia="bg-BG"/>
              </w:rPr>
              <w:t xml:space="preserve">(митицилин-резистентен) </w:t>
            </w:r>
            <w:r w:rsidRPr="0026161F">
              <w:rPr>
                <w:szCs w:val="20"/>
                <w:vertAlign w:val="superscript"/>
              </w:rPr>
              <w:t>+</w:t>
            </w:r>
          </w:p>
        </w:tc>
      </w:tr>
      <w:tr w:rsidR="0026161F" w14:paraId="6EB949CB" w14:textId="77777777" w:rsidTr="001E7E44">
        <w:tc>
          <w:tcPr>
            <w:tcW w:w="9350" w:type="dxa"/>
          </w:tcPr>
          <w:p w14:paraId="5CCAE4D3" w14:textId="139F5C5A" w:rsidR="0026161F" w:rsidRPr="0026161F" w:rsidRDefault="0026161F" w:rsidP="0026161F">
            <w:r w:rsidRPr="0026161F">
              <w:rPr>
                <w:b/>
                <w:bCs/>
                <w:szCs w:val="20"/>
                <w:lang w:eastAsia="bg-BG"/>
              </w:rPr>
              <w:t>Аеробни Грам-отрицателни микроорганизми</w:t>
            </w:r>
          </w:p>
        </w:tc>
      </w:tr>
      <w:tr w:rsidR="0026161F" w14:paraId="18E5BDE4" w14:textId="77777777" w:rsidTr="001E7E44">
        <w:tc>
          <w:tcPr>
            <w:tcW w:w="9350" w:type="dxa"/>
          </w:tcPr>
          <w:p w14:paraId="5550D41A" w14:textId="63A6B4BF" w:rsidR="0026161F" w:rsidRPr="0026161F" w:rsidRDefault="0026161F" w:rsidP="0026161F">
            <w:r w:rsidRPr="0026161F">
              <w:rPr>
                <w:i/>
                <w:iCs/>
                <w:szCs w:val="20"/>
              </w:rPr>
              <w:t>Enterobacter cloacae * Escherichia coli * Klebsiella pneumonia *</w:t>
            </w:r>
            <w:r w:rsidRPr="0026161F">
              <w:rPr>
                <w:i/>
                <w:iCs/>
                <w:szCs w:val="20"/>
                <w:vertAlign w:val="superscript"/>
              </w:rPr>
              <w:t xml:space="preserve"># </w:t>
            </w:r>
            <w:r w:rsidRPr="0026161F">
              <w:rPr>
                <w:i/>
                <w:iCs/>
                <w:szCs w:val="20"/>
              </w:rPr>
              <w:t xml:space="preserve">Klebsiella oxytoca Neisseria gonorrhoeae * </w:t>
            </w:r>
            <w:r w:rsidRPr="0026161F">
              <w:rPr>
                <w:i/>
                <w:iCs/>
                <w:szCs w:val="20"/>
                <w:vertAlign w:val="superscript"/>
              </w:rPr>
              <w:t xml:space="preserve">+ </w:t>
            </w:r>
            <w:r w:rsidRPr="0026161F">
              <w:rPr>
                <w:i/>
                <w:iCs/>
                <w:szCs w:val="20"/>
              </w:rPr>
              <w:t>Proteus mirabilis *</w:t>
            </w:r>
          </w:p>
        </w:tc>
      </w:tr>
      <w:tr w:rsidR="0026161F" w14:paraId="2010FE11" w14:textId="77777777" w:rsidTr="001E7E44">
        <w:tc>
          <w:tcPr>
            <w:tcW w:w="9350" w:type="dxa"/>
          </w:tcPr>
          <w:p w14:paraId="40B2A281" w14:textId="0D70EB3E" w:rsidR="0026161F" w:rsidRPr="0026161F" w:rsidRDefault="0026161F" w:rsidP="0026161F">
            <w:r w:rsidRPr="0026161F">
              <w:rPr>
                <w:b/>
                <w:bCs/>
                <w:szCs w:val="20"/>
                <w:lang w:eastAsia="bg-BG"/>
              </w:rPr>
              <w:t>Анаеробни микроорганизми</w:t>
            </w:r>
          </w:p>
        </w:tc>
      </w:tr>
      <w:tr w:rsidR="0026161F" w14:paraId="6DDE89BA" w14:textId="77777777" w:rsidTr="001E7E44">
        <w:tc>
          <w:tcPr>
            <w:tcW w:w="9350" w:type="dxa"/>
          </w:tcPr>
          <w:p w14:paraId="6933BFCB" w14:textId="77777777" w:rsidR="0026161F" w:rsidRPr="0026161F" w:rsidRDefault="0026161F" w:rsidP="0026161F">
            <w:proofErr w:type="spellStart"/>
            <w:r w:rsidRPr="0026161F">
              <w:rPr>
                <w:i/>
                <w:iCs/>
                <w:szCs w:val="20"/>
                <w:lang w:val="en-US"/>
              </w:rPr>
              <w:t>Bacteroides</w:t>
            </w:r>
            <w:proofErr w:type="spellEnd"/>
            <w:r w:rsidRPr="0026161F">
              <w:rPr>
                <w:i/>
                <w:iCs/>
                <w:szCs w:val="20"/>
                <w:lang w:val="en-US"/>
              </w:rPr>
              <w:t xml:space="preserve"> </w:t>
            </w:r>
            <w:proofErr w:type="spellStart"/>
            <w:r w:rsidRPr="0026161F">
              <w:rPr>
                <w:i/>
                <w:iCs/>
                <w:szCs w:val="20"/>
                <w:lang w:val="en-US"/>
              </w:rPr>
              <w:t>fragilis</w:t>
            </w:r>
            <w:proofErr w:type="spellEnd"/>
            <w:r w:rsidRPr="0026161F">
              <w:rPr>
                <w:i/>
                <w:iCs/>
                <w:szCs w:val="20"/>
                <w:lang w:val="en-US"/>
              </w:rPr>
              <w:t xml:space="preserve"> *</w:t>
            </w:r>
          </w:p>
          <w:p w14:paraId="46EF856D" w14:textId="0151C643" w:rsidR="0026161F" w:rsidRPr="0026161F" w:rsidRDefault="0026161F" w:rsidP="0026161F">
            <w:proofErr w:type="spellStart"/>
            <w:r w:rsidRPr="0026161F">
              <w:rPr>
                <w:i/>
                <w:iCs/>
                <w:szCs w:val="20"/>
                <w:lang w:val="en-US"/>
              </w:rPr>
              <w:t>Peptostreptococcus</w:t>
            </w:r>
            <w:proofErr w:type="spellEnd"/>
            <w:r w:rsidRPr="0026161F">
              <w:rPr>
                <w:szCs w:val="20"/>
                <w:lang w:val="en-US"/>
              </w:rPr>
              <w:t xml:space="preserve"> spp.*</w:t>
            </w:r>
          </w:p>
        </w:tc>
      </w:tr>
      <w:tr w:rsidR="0026161F" w14:paraId="4C055F67" w14:textId="77777777" w:rsidTr="001E7E44">
        <w:tc>
          <w:tcPr>
            <w:tcW w:w="9350" w:type="dxa"/>
          </w:tcPr>
          <w:p w14:paraId="0D568A54" w14:textId="392FA0F4" w:rsidR="0026161F" w:rsidRPr="0026161F" w:rsidRDefault="0026161F" w:rsidP="0026161F">
            <w:r w:rsidRPr="0026161F">
              <w:rPr>
                <w:b/>
                <w:bCs/>
                <w:szCs w:val="20"/>
              </w:rPr>
              <w:t>Наследствено резистентни микроорганизми</w:t>
            </w:r>
          </w:p>
        </w:tc>
      </w:tr>
      <w:tr w:rsidR="0026161F" w14:paraId="311D5FAC" w14:textId="77777777" w:rsidTr="001E7E44">
        <w:tc>
          <w:tcPr>
            <w:tcW w:w="9350" w:type="dxa"/>
          </w:tcPr>
          <w:p w14:paraId="0529D6AD" w14:textId="733E7559" w:rsidR="0026161F" w:rsidRPr="0026161F" w:rsidRDefault="0026161F" w:rsidP="0026161F">
            <w:r w:rsidRPr="0026161F">
              <w:rPr>
                <w:b/>
                <w:bCs/>
                <w:szCs w:val="20"/>
              </w:rPr>
              <w:t>Аеробни Грам-отрицателни микроорганизми</w:t>
            </w:r>
          </w:p>
        </w:tc>
      </w:tr>
      <w:tr w:rsidR="0026161F" w14:paraId="54675513" w14:textId="77777777" w:rsidTr="001E7E44">
        <w:tc>
          <w:tcPr>
            <w:tcW w:w="9350" w:type="dxa"/>
          </w:tcPr>
          <w:p w14:paraId="4EEC257F" w14:textId="3E28D24A" w:rsidR="0026161F" w:rsidRPr="0026161F" w:rsidRDefault="0026161F" w:rsidP="0026161F">
            <w:proofErr w:type="spellStart"/>
            <w:r w:rsidRPr="0026161F">
              <w:rPr>
                <w:i/>
                <w:iCs/>
                <w:szCs w:val="20"/>
                <w:lang w:val="en-US"/>
              </w:rPr>
              <w:t>Peudomonas</w:t>
            </w:r>
            <w:proofErr w:type="spellEnd"/>
            <w:r w:rsidRPr="0026161F">
              <w:rPr>
                <w:i/>
                <w:iCs/>
                <w:szCs w:val="20"/>
                <w:lang w:val="en-US"/>
              </w:rPr>
              <w:t xml:space="preserve"> aeruginosa</w:t>
            </w:r>
          </w:p>
        </w:tc>
      </w:tr>
    </w:tbl>
    <w:p w14:paraId="13D90A9F" w14:textId="1B378EE0" w:rsidR="001E7E44" w:rsidRDefault="001E7E44" w:rsidP="0091385D"/>
    <w:p w14:paraId="5931B31E" w14:textId="77777777" w:rsidR="001E7E44" w:rsidRPr="0026161F" w:rsidRDefault="001E7E44" w:rsidP="001E7E44">
      <w:pPr>
        <w:spacing w:line="240" w:lineRule="auto"/>
        <w:rPr>
          <w:rFonts w:eastAsia="Times New Roman" w:cs="Arial"/>
          <w:sz w:val="28"/>
          <w:szCs w:val="24"/>
          <w:lang w:eastAsia="bg-BG"/>
        </w:rPr>
      </w:pPr>
      <w:r w:rsidRPr="0026161F">
        <w:rPr>
          <w:rFonts w:eastAsia="Times New Roman" w:cs="Arial"/>
          <w:color w:val="000000"/>
          <w:szCs w:val="20"/>
          <w:lang w:eastAsia="bg-BG"/>
        </w:rPr>
        <w:t>* Активността е задоволително демонстрирана на чувствителни щамове при клинични проучвания на одобрени клинични показания.</w:t>
      </w:r>
    </w:p>
    <w:p w14:paraId="62B17A56" w14:textId="77777777" w:rsidR="001E7E44" w:rsidRPr="0026161F" w:rsidRDefault="001E7E44" w:rsidP="001E7E44">
      <w:pPr>
        <w:spacing w:line="240" w:lineRule="auto"/>
        <w:rPr>
          <w:rFonts w:eastAsia="Times New Roman" w:cs="Arial"/>
          <w:sz w:val="28"/>
          <w:szCs w:val="24"/>
          <w:lang w:eastAsia="bg-BG"/>
        </w:rPr>
      </w:pPr>
      <w:r w:rsidRPr="0026161F">
        <w:rPr>
          <w:rFonts w:eastAsia="Times New Roman" w:cs="Arial"/>
          <w:color w:val="000000"/>
          <w:szCs w:val="20"/>
          <w:vertAlign w:val="superscript"/>
          <w:lang w:eastAsia="bg-BG"/>
        </w:rPr>
        <w:t>#</w:t>
      </w:r>
      <w:r w:rsidRPr="0026161F">
        <w:rPr>
          <w:rFonts w:eastAsia="Times New Roman" w:cs="Arial"/>
          <w:color w:val="000000"/>
          <w:szCs w:val="20"/>
          <w:lang w:eastAsia="bg-BG"/>
        </w:rPr>
        <w:t xml:space="preserve"> </w:t>
      </w:r>
      <w:r w:rsidRPr="0026161F">
        <w:rPr>
          <w:rFonts w:eastAsia="Times New Roman" w:cs="Arial"/>
          <w:color w:val="000000"/>
          <w:szCs w:val="20"/>
          <w:lang w:val="en-US"/>
        </w:rPr>
        <w:t xml:space="preserve">ESBL- </w:t>
      </w:r>
      <w:r w:rsidRPr="0026161F">
        <w:rPr>
          <w:rFonts w:eastAsia="Times New Roman" w:cs="Arial"/>
          <w:color w:val="000000"/>
          <w:szCs w:val="20"/>
          <w:lang w:eastAsia="bg-BG"/>
        </w:rPr>
        <w:t>произвеждащи щамове са обикновено резистентни към флуорохинолони.</w:t>
      </w:r>
    </w:p>
    <w:p w14:paraId="3D70DA1A" w14:textId="4DAF24E3" w:rsidR="001E7E44" w:rsidRPr="0026161F" w:rsidRDefault="001E7E44" w:rsidP="001E7E44">
      <w:pPr>
        <w:rPr>
          <w:rFonts w:cs="Arial"/>
          <w:sz w:val="24"/>
        </w:rPr>
      </w:pPr>
      <w:r w:rsidRPr="0026161F">
        <w:rPr>
          <w:rFonts w:eastAsia="Times New Roman" w:cs="Arial"/>
          <w:color w:val="000000"/>
          <w:szCs w:val="20"/>
          <w:vertAlign w:val="superscript"/>
          <w:lang w:eastAsia="bg-BG"/>
        </w:rPr>
        <w:t>+</w:t>
      </w:r>
      <w:r w:rsidRPr="0026161F">
        <w:rPr>
          <w:rFonts w:eastAsia="Times New Roman" w:cs="Arial"/>
          <w:color w:val="000000"/>
          <w:szCs w:val="20"/>
          <w:lang w:eastAsia="bg-BG"/>
        </w:rPr>
        <w:t>Честота на резистентност &gt; 50% в една или повече страни.</w:t>
      </w:r>
    </w:p>
    <w:p w14:paraId="2E9D9D33" w14:textId="77777777" w:rsidR="001E7E44" w:rsidRPr="0091385D" w:rsidRDefault="001E7E44" w:rsidP="0091385D"/>
    <w:p w14:paraId="5031193D" w14:textId="408B9A83" w:rsidR="0091385D" w:rsidRDefault="002C50EE" w:rsidP="007A2185">
      <w:pPr>
        <w:pStyle w:val="Heading2"/>
      </w:pPr>
      <w:r>
        <w:t>5.2. Фармакокинетични свойства</w:t>
      </w:r>
    </w:p>
    <w:p w14:paraId="46B35D05" w14:textId="6A0462F4" w:rsidR="007A2185" w:rsidRDefault="007A2185" w:rsidP="007A2185"/>
    <w:p w14:paraId="44C4BEFC" w14:textId="77777777" w:rsidR="00AF0F55" w:rsidRPr="00AF0F55" w:rsidRDefault="00AF0F55" w:rsidP="00AF0F55">
      <w:pPr>
        <w:pStyle w:val="Heading3"/>
        <w:rPr>
          <w:rFonts w:eastAsia="Times New Roman"/>
          <w:sz w:val="28"/>
          <w:u w:val="single"/>
          <w:lang w:eastAsia="bg-BG"/>
        </w:rPr>
      </w:pPr>
      <w:r w:rsidRPr="00AF0F55">
        <w:rPr>
          <w:rFonts w:eastAsia="Times New Roman"/>
          <w:u w:val="single"/>
          <w:lang w:eastAsia="bg-BG"/>
        </w:rPr>
        <w:t>Абсорбция и бионаличност</w:t>
      </w:r>
    </w:p>
    <w:p w14:paraId="4ADFA8EE" w14:textId="77777777" w:rsidR="00AF0F55" w:rsidRPr="00AF0F55" w:rsidRDefault="00AF0F55" w:rsidP="00AF0F55">
      <w:pPr>
        <w:spacing w:line="240" w:lineRule="auto"/>
        <w:rPr>
          <w:rFonts w:eastAsia="Times New Roman" w:cs="Arial"/>
          <w:sz w:val="28"/>
          <w:szCs w:val="24"/>
          <w:lang w:eastAsia="bg-BG"/>
        </w:rPr>
      </w:pPr>
      <w:r w:rsidRPr="00AF0F55">
        <w:rPr>
          <w:rFonts w:eastAsia="Times New Roman" w:cs="Arial"/>
          <w:color w:val="000000"/>
          <w:szCs w:val="20"/>
          <w:lang w:eastAsia="bg-BG"/>
        </w:rPr>
        <w:t>След перорално приложение моксифлоксацин се абсорбира бързо и почти напълно. Абсолютната бионаличност представлява приблизително 91%.</w:t>
      </w:r>
    </w:p>
    <w:p w14:paraId="01609512" w14:textId="77777777" w:rsidR="00AF0F55" w:rsidRPr="00AF0F55" w:rsidRDefault="00AF0F55" w:rsidP="00AF0F55">
      <w:pPr>
        <w:spacing w:line="240" w:lineRule="auto"/>
        <w:rPr>
          <w:rFonts w:eastAsia="Times New Roman" w:cs="Arial"/>
          <w:sz w:val="28"/>
          <w:szCs w:val="24"/>
          <w:lang w:eastAsia="bg-BG"/>
        </w:rPr>
      </w:pPr>
      <w:r w:rsidRPr="00AF0F55">
        <w:rPr>
          <w:rFonts w:eastAsia="Times New Roman" w:cs="Arial"/>
          <w:color w:val="000000"/>
          <w:szCs w:val="20"/>
          <w:lang w:eastAsia="bg-BG"/>
        </w:rPr>
        <w:t xml:space="preserve">Фармакокинетиките са линейни при еднократна доза 50 - 800 </w:t>
      </w:r>
      <w:r w:rsidRPr="00AF0F55">
        <w:rPr>
          <w:rFonts w:eastAsia="Times New Roman" w:cs="Arial"/>
          <w:color w:val="000000"/>
          <w:szCs w:val="20"/>
          <w:lang w:val="en-US"/>
        </w:rPr>
        <w:t xml:space="preserve">mg </w:t>
      </w:r>
      <w:r w:rsidRPr="00AF0F55">
        <w:rPr>
          <w:rFonts w:eastAsia="Times New Roman" w:cs="Arial"/>
          <w:color w:val="000000"/>
          <w:szCs w:val="20"/>
          <w:lang w:eastAsia="bg-BG"/>
        </w:rPr>
        <w:t xml:space="preserve">и до 600 </w:t>
      </w:r>
      <w:r w:rsidRPr="00AF0F55">
        <w:rPr>
          <w:rFonts w:eastAsia="Times New Roman" w:cs="Arial"/>
          <w:color w:val="000000"/>
          <w:szCs w:val="20"/>
          <w:lang w:val="en-US"/>
        </w:rPr>
        <w:t xml:space="preserve">mg </w:t>
      </w:r>
      <w:r w:rsidRPr="00AF0F55">
        <w:rPr>
          <w:rFonts w:eastAsia="Times New Roman" w:cs="Arial"/>
          <w:color w:val="000000"/>
          <w:szCs w:val="20"/>
          <w:lang w:eastAsia="bg-BG"/>
        </w:rPr>
        <w:t xml:space="preserve">веднъж дневно в продължение на повече от 10 дни. След 400 </w:t>
      </w:r>
      <w:r w:rsidRPr="00AF0F55">
        <w:rPr>
          <w:rFonts w:eastAsia="Times New Roman" w:cs="Arial"/>
          <w:color w:val="000000"/>
          <w:szCs w:val="20"/>
          <w:lang w:val="en-US"/>
        </w:rPr>
        <w:t xml:space="preserve">mg </w:t>
      </w:r>
      <w:r w:rsidRPr="00AF0F55">
        <w:rPr>
          <w:rFonts w:eastAsia="Times New Roman" w:cs="Arial"/>
          <w:color w:val="000000"/>
          <w:szCs w:val="20"/>
          <w:lang w:eastAsia="bg-BG"/>
        </w:rPr>
        <w:t xml:space="preserve">перорална доза максималните концентрации 3.1 </w:t>
      </w:r>
      <w:r w:rsidRPr="00AF0F55">
        <w:rPr>
          <w:rFonts w:eastAsia="Times New Roman" w:cs="Arial"/>
          <w:color w:val="000000"/>
          <w:szCs w:val="20"/>
          <w:lang w:val="en-US"/>
        </w:rPr>
        <w:t xml:space="preserve">mg/1 </w:t>
      </w:r>
      <w:r w:rsidRPr="00AF0F55">
        <w:rPr>
          <w:rFonts w:eastAsia="Times New Roman" w:cs="Arial"/>
          <w:color w:val="000000"/>
          <w:szCs w:val="20"/>
          <w:lang w:eastAsia="bg-BG"/>
        </w:rPr>
        <w:t xml:space="preserve">се постигат 0,5 - 4 ч. след приложение. Пиковите и постоянните равновесни плазмени концентрации (400 </w:t>
      </w:r>
      <w:r w:rsidRPr="00AF0F55">
        <w:rPr>
          <w:rFonts w:eastAsia="Times New Roman" w:cs="Arial"/>
          <w:color w:val="000000"/>
          <w:szCs w:val="20"/>
          <w:lang w:val="en-US"/>
        </w:rPr>
        <w:t xml:space="preserve">mg </w:t>
      </w:r>
      <w:r w:rsidRPr="00AF0F55">
        <w:rPr>
          <w:rFonts w:eastAsia="Times New Roman" w:cs="Arial"/>
          <w:color w:val="000000"/>
          <w:szCs w:val="20"/>
          <w:lang w:eastAsia="bg-BG"/>
        </w:rPr>
        <w:t xml:space="preserve">веднъж дневно) са съответно 3,2 и 0,6 </w:t>
      </w:r>
      <w:r w:rsidRPr="00AF0F55">
        <w:rPr>
          <w:rFonts w:eastAsia="Times New Roman" w:cs="Arial"/>
          <w:color w:val="000000"/>
          <w:szCs w:val="20"/>
          <w:lang w:val="en-US"/>
        </w:rPr>
        <w:t xml:space="preserve">mg/l. </w:t>
      </w:r>
      <w:r w:rsidRPr="00AF0F55">
        <w:rPr>
          <w:rFonts w:eastAsia="Times New Roman" w:cs="Arial"/>
          <w:color w:val="000000"/>
          <w:szCs w:val="20"/>
          <w:lang w:eastAsia="bg-BG"/>
        </w:rPr>
        <w:t>В равновесна концентрация експозицията в рамките на дозовия интервал е около 30% по-висока в сравнение с първата доза.</w:t>
      </w:r>
    </w:p>
    <w:p w14:paraId="3CA45D10" w14:textId="77777777" w:rsidR="00AF0F55" w:rsidRPr="00AF0F55" w:rsidRDefault="00AF0F55" w:rsidP="00AF0F55">
      <w:pPr>
        <w:spacing w:line="240" w:lineRule="auto"/>
        <w:rPr>
          <w:rFonts w:eastAsia="Times New Roman" w:cs="Arial"/>
          <w:color w:val="000000"/>
          <w:szCs w:val="20"/>
          <w:u w:val="single"/>
          <w:lang w:eastAsia="bg-BG"/>
        </w:rPr>
      </w:pPr>
    </w:p>
    <w:p w14:paraId="71438883" w14:textId="6134AB81" w:rsidR="00AF0F55" w:rsidRPr="00AF0F55" w:rsidRDefault="00AF0F55" w:rsidP="00AF0F55">
      <w:pPr>
        <w:pStyle w:val="Heading3"/>
        <w:rPr>
          <w:rFonts w:eastAsia="Times New Roman"/>
          <w:sz w:val="28"/>
          <w:u w:val="single"/>
          <w:lang w:eastAsia="bg-BG"/>
        </w:rPr>
      </w:pPr>
      <w:r w:rsidRPr="00AF0F55">
        <w:rPr>
          <w:rFonts w:eastAsia="Times New Roman"/>
          <w:u w:val="single"/>
          <w:lang w:eastAsia="bg-BG"/>
        </w:rPr>
        <w:t>Разпределение</w:t>
      </w:r>
    </w:p>
    <w:p w14:paraId="46D8F38A" w14:textId="77777777" w:rsidR="00AF0F55" w:rsidRPr="00AF0F55" w:rsidRDefault="00AF0F55" w:rsidP="00AF0F55">
      <w:pPr>
        <w:spacing w:line="240" w:lineRule="auto"/>
        <w:rPr>
          <w:rFonts w:eastAsia="Times New Roman" w:cs="Arial"/>
          <w:sz w:val="28"/>
          <w:szCs w:val="24"/>
          <w:lang w:eastAsia="bg-BG"/>
        </w:rPr>
      </w:pPr>
      <w:r w:rsidRPr="00AF0F55">
        <w:rPr>
          <w:rFonts w:eastAsia="Times New Roman" w:cs="Arial"/>
          <w:color w:val="000000"/>
          <w:szCs w:val="20"/>
          <w:lang w:eastAsia="bg-BG"/>
        </w:rPr>
        <w:t xml:space="preserve">Моксифлоксацин се разпределя бързо към екстраваскуларното пространство; след доза от 400 </w:t>
      </w:r>
      <w:r w:rsidRPr="00AF0F55">
        <w:rPr>
          <w:rFonts w:eastAsia="Times New Roman" w:cs="Arial"/>
          <w:color w:val="000000"/>
          <w:szCs w:val="20"/>
          <w:lang w:val="en-US"/>
        </w:rPr>
        <w:t xml:space="preserve">mg </w:t>
      </w:r>
      <w:r w:rsidRPr="00AF0F55">
        <w:rPr>
          <w:rFonts w:eastAsia="Times New Roman" w:cs="Arial"/>
          <w:color w:val="000000"/>
          <w:szCs w:val="20"/>
          <w:lang w:eastAsia="bg-BG"/>
        </w:rPr>
        <w:t xml:space="preserve">е установена </w:t>
      </w:r>
      <w:r w:rsidRPr="00AF0F55">
        <w:rPr>
          <w:rFonts w:eastAsia="Times New Roman" w:cs="Arial"/>
          <w:color w:val="000000"/>
          <w:szCs w:val="20"/>
          <w:lang w:val="en-US"/>
        </w:rPr>
        <w:t xml:space="preserve">AUC </w:t>
      </w:r>
      <w:r w:rsidRPr="00AF0F55">
        <w:rPr>
          <w:rFonts w:eastAsia="Times New Roman" w:cs="Arial"/>
          <w:color w:val="000000"/>
          <w:szCs w:val="20"/>
          <w:lang w:eastAsia="bg-BG"/>
        </w:rPr>
        <w:t xml:space="preserve">35 </w:t>
      </w:r>
      <w:proofErr w:type="spellStart"/>
      <w:r w:rsidRPr="00AF0F55">
        <w:rPr>
          <w:rFonts w:eastAsia="Times New Roman" w:cs="Arial"/>
          <w:color w:val="000000"/>
          <w:szCs w:val="20"/>
          <w:lang w:val="en-US"/>
        </w:rPr>
        <w:t>mg.h</w:t>
      </w:r>
      <w:proofErr w:type="spellEnd"/>
      <w:r w:rsidRPr="00AF0F55">
        <w:rPr>
          <w:rFonts w:eastAsia="Times New Roman" w:cs="Arial"/>
          <w:color w:val="000000"/>
          <w:szCs w:val="20"/>
          <w:lang w:val="en-US"/>
        </w:rPr>
        <w:t xml:space="preserve">/l. </w:t>
      </w:r>
      <w:r w:rsidRPr="00AF0F55">
        <w:rPr>
          <w:rFonts w:eastAsia="Times New Roman" w:cs="Arial"/>
          <w:color w:val="000000"/>
          <w:szCs w:val="20"/>
          <w:lang w:eastAsia="bg-BG"/>
        </w:rPr>
        <w:t xml:space="preserve">Наличният обем за разпределение в равновесна концентрация </w:t>
      </w:r>
      <w:r w:rsidRPr="00AF0F55">
        <w:rPr>
          <w:rFonts w:eastAsia="Times New Roman" w:cs="Arial"/>
          <w:color w:val="000000"/>
          <w:szCs w:val="20"/>
          <w:lang w:val="en-US"/>
        </w:rPr>
        <w:t>(</w:t>
      </w:r>
      <w:proofErr w:type="spellStart"/>
      <w:r w:rsidRPr="00AF0F55">
        <w:rPr>
          <w:rFonts w:eastAsia="Times New Roman" w:cs="Arial"/>
          <w:color w:val="000000"/>
          <w:szCs w:val="20"/>
          <w:lang w:val="en-US"/>
        </w:rPr>
        <w:t>Vss</w:t>
      </w:r>
      <w:proofErr w:type="spellEnd"/>
      <w:r w:rsidRPr="00AF0F55">
        <w:rPr>
          <w:rFonts w:eastAsia="Times New Roman" w:cs="Arial"/>
          <w:color w:val="000000"/>
          <w:szCs w:val="20"/>
          <w:lang w:val="en-US"/>
        </w:rPr>
        <w:t xml:space="preserve">) </w:t>
      </w:r>
      <w:r w:rsidRPr="00AF0F55">
        <w:rPr>
          <w:rFonts w:eastAsia="Times New Roman" w:cs="Arial"/>
          <w:color w:val="000000"/>
          <w:szCs w:val="20"/>
          <w:lang w:eastAsia="bg-BG"/>
        </w:rPr>
        <w:t>е приблизително 2</w:t>
      </w:r>
      <w:r w:rsidRPr="00AF0F55">
        <w:rPr>
          <w:rFonts w:eastAsia="Times New Roman" w:cs="Arial"/>
          <w:color w:val="000000"/>
          <w:szCs w:val="20"/>
          <w:lang w:val="en-US"/>
        </w:rPr>
        <w:t xml:space="preserve"> l/kg. </w:t>
      </w:r>
      <w:r w:rsidRPr="00AF0F55">
        <w:rPr>
          <w:rFonts w:eastAsia="Times New Roman" w:cs="Arial"/>
          <w:color w:val="000000"/>
          <w:szCs w:val="20"/>
          <w:lang w:eastAsia="bg-BG"/>
        </w:rPr>
        <w:t xml:space="preserve">Експериментите екс виво и ин витро показват </w:t>
      </w:r>
      <w:r w:rsidRPr="00AF0F55">
        <w:rPr>
          <w:rFonts w:eastAsia="Times New Roman" w:cs="Arial"/>
          <w:color w:val="000000"/>
          <w:szCs w:val="20"/>
          <w:lang w:eastAsia="bg-BG"/>
        </w:rPr>
        <w:lastRenderedPageBreak/>
        <w:t>свързване с протеин приблизително 40-42%, независимо от концентрацията на лекарството.</w:t>
      </w:r>
    </w:p>
    <w:p w14:paraId="7D07A14B" w14:textId="77777777" w:rsidR="00AF0F55" w:rsidRPr="00AF0F55" w:rsidRDefault="00AF0F55" w:rsidP="00AF0F55">
      <w:pPr>
        <w:spacing w:line="240" w:lineRule="auto"/>
        <w:rPr>
          <w:rFonts w:eastAsia="Times New Roman" w:cs="Arial"/>
          <w:sz w:val="28"/>
          <w:szCs w:val="24"/>
          <w:lang w:eastAsia="bg-BG"/>
        </w:rPr>
      </w:pPr>
      <w:r w:rsidRPr="00AF0F55">
        <w:rPr>
          <w:rFonts w:eastAsia="Times New Roman" w:cs="Arial"/>
          <w:color w:val="000000"/>
          <w:szCs w:val="20"/>
          <w:lang w:eastAsia="bg-BG"/>
        </w:rPr>
        <w:t>Моксифлоксацин се свързва главно със серумния албумин.</w:t>
      </w:r>
    </w:p>
    <w:p w14:paraId="7522CA19" w14:textId="77777777" w:rsidR="00AF0F55" w:rsidRPr="00AF0F55" w:rsidRDefault="00AF0F55" w:rsidP="00AF0F55">
      <w:pPr>
        <w:spacing w:line="240" w:lineRule="auto"/>
        <w:rPr>
          <w:rFonts w:eastAsia="Times New Roman" w:cs="Arial"/>
          <w:sz w:val="28"/>
          <w:szCs w:val="24"/>
          <w:lang w:eastAsia="bg-BG"/>
        </w:rPr>
      </w:pPr>
    </w:p>
    <w:p w14:paraId="45551830" w14:textId="28C3A878" w:rsidR="007A2185" w:rsidRPr="00AF0F55" w:rsidRDefault="00AF0F55" w:rsidP="00AF0F55">
      <w:pPr>
        <w:spacing w:line="240" w:lineRule="auto"/>
        <w:rPr>
          <w:rFonts w:eastAsia="Times New Roman" w:cs="Arial"/>
          <w:sz w:val="28"/>
          <w:szCs w:val="24"/>
          <w:lang w:eastAsia="bg-BG"/>
        </w:rPr>
      </w:pPr>
      <w:r w:rsidRPr="00AF0F55">
        <w:rPr>
          <w:rFonts w:eastAsia="Times New Roman" w:cs="Arial"/>
          <w:color w:val="000000"/>
          <w:szCs w:val="20"/>
          <w:lang w:eastAsia="bg-BG"/>
        </w:rPr>
        <w:t xml:space="preserve">Следните пикови концентрации (геометрична стойност) са установени след перорално приложение на еднократна перорална доза от 400 </w:t>
      </w:r>
      <w:r w:rsidRPr="00AF0F55">
        <w:rPr>
          <w:rFonts w:eastAsia="Times New Roman" w:cs="Arial"/>
          <w:color w:val="000000"/>
          <w:szCs w:val="20"/>
          <w:lang w:val="en-US"/>
        </w:rPr>
        <w:t xml:space="preserve">mg </w:t>
      </w:r>
      <w:r w:rsidRPr="00AF0F55">
        <w:rPr>
          <w:rFonts w:eastAsia="Times New Roman" w:cs="Arial"/>
          <w:color w:val="000000"/>
          <w:szCs w:val="20"/>
          <w:lang w:eastAsia="bg-BG"/>
        </w:rPr>
        <w:t>моксифлоксацин:</w:t>
      </w:r>
    </w:p>
    <w:p w14:paraId="4EE1BB0B" w14:textId="406E7274" w:rsidR="0091385D" w:rsidRDefault="0091385D" w:rsidP="0091385D"/>
    <w:tbl>
      <w:tblPr>
        <w:tblStyle w:val="TableGrid"/>
        <w:tblW w:w="0" w:type="auto"/>
        <w:tblLook w:val="04A0" w:firstRow="1" w:lastRow="0" w:firstColumn="1" w:lastColumn="0" w:noHBand="0" w:noVBand="1"/>
      </w:tblPr>
      <w:tblGrid>
        <w:gridCol w:w="3116"/>
        <w:gridCol w:w="3117"/>
        <w:gridCol w:w="3117"/>
      </w:tblGrid>
      <w:tr w:rsidR="00AF0F55" w:rsidRPr="00AF0F55" w14:paraId="7721CD53" w14:textId="77777777" w:rsidTr="003144E5">
        <w:tc>
          <w:tcPr>
            <w:tcW w:w="3116" w:type="dxa"/>
          </w:tcPr>
          <w:p w14:paraId="5148C6C7" w14:textId="4158B01C" w:rsidR="00AF0F55" w:rsidRPr="00AF0F55" w:rsidRDefault="00AF0F55" w:rsidP="00AF0F55">
            <w:pPr>
              <w:rPr>
                <w:rFonts w:cs="Arial"/>
              </w:rPr>
            </w:pPr>
            <w:r w:rsidRPr="00AF0F55">
              <w:rPr>
                <w:rFonts w:cs="Arial"/>
                <w:b/>
                <w:bCs/>
              </w:rPr>
              <w:t>Тъкан</w:t>
            </w:r>
          </w:p>
        </w:tc>
        <w:tc>
          <w:tcPr>
            <w:tcW w:w="3117" w:type="dxa"/>
          </w:tcPr>
          <w:p w14:paraId="6FFEAD89" w14:textId="0268F75F" w:rsidR="00AF0F55" w:rsidRPr="00AF0F55" w:rsidRDefault="00AF0F55" w:rsidP="00AF0F55">
            <w:pPr>
              <w:rPr>
                <w:rFonts w:cs="Arial"/>
              </w:rPr>
            </w:pPr>
            <w:r w:rsidRPr="00AF0F55">
              <w:rPr>
                <w:rFonts w:cs="Arial"/>
                <w:b/>
                <w:bCs/>
              </w:rPr>
              <w:t>Концентрация</w:t>
            </w:r>
          </w:p>
        </w:tc>
        <w:tc>
          <w:tcPr>
            <w:tcW w:w="3117" w:type="dxa"/>
            <w:vAlign w:val="bottom"/>
          </w:tcPr>
          <w:p w14:paraId="18545A88" w14:textId="0FE698C8" w:rsidR="00AF0F55" w:rsidRPr="00AF0F55" w:rsidRDefault="00AF0F55" w:rsidP="00AF0F55">
            <w:pPr>
              <w:rPr>
                <w:rFonts w:cs="Arial"/>
              </w:rPr>
            </w:pPr>
            <w:r w:rsidRPr="00AF0F55">
              <w:rPr>
                <w:rFonts w:cs="Arial"/>
                <w:b/>
                <w:bCs/>
              </w:rPr>
              <w:t xml:space="preserve">Място: плазмено съотношение </w:t>
            </w:r>
          </w:p>
        </w:tc>
      </w:tr>
      <w:tr w:rsidR="00AF0F55" w:rsidRPr="00AF0F55" w14:paraId="3134F4F1" w14:textId="77777777" w:rsidTr="003144E5">
        <w:tc>
          <w:tcPr>
            <w:tcW w:w="3116" w:type="dxa"/>
            <w:vAlign w:val="bottom"/>
          </w:tcPr>
          <w:p w14:paraId="66CED2A6" w14:textId="1C7FFD03" w:rsidR="00AF0F55" w:rsidRPr="00AF0F55" w:rsidRDefault="00AF0F55" w:rsidP="00AF0F55">
            <w:pPr>
              <w:rPr>
                <w:rFonts w:cs="Arial"/>
              </w:rPr>
            </w:pPr>
            <w:r w:rsidRPr="00AF0F55">
              <w:rPr>
                <w:rFonts w:cs="Arial"/>
              </w:rPr>
              <w:t>Плазма</w:t>
            </w:r>
          </w:p>
        </w:tc>
        <w:tc>
          <w:tcPr>
            <w:tcW w:w="3117" w:type="dxa"/>
            <w:vAlign w:val="bottom"/>
          </w:tcPr>
          <w:p w14:paraId="277420EB" w14:textId="751A2A16" w:rsidR="00AF0F55" w:rsidRPr="00AF0F55" w:rsidRDefault="00AF0F55" w:rsidP="00AF0F55">
            <w:pPr>
              <w:rPr>
                <w:rFonts w:cs="Arial"/>
              </w:rPr>
            </w:pPr>
            <w:r w:rsidRPr="00AF0F55">
              <w:rPr>
                <w:rFonts w:cs="Arial"/>
              </w:rPr>
              <w:t xml:space="preserve">3.1 </w:t>
            </w:r>
            <w:r w:rsidRPr="00AF0F55">
              <w:rPr>
                <w:rFonts w:cs="Arial"/>
                <w:lang w:val="en-US"/>
              </w:rPr>
              <w:t>mg/l</w:t>
            </w:r>
          </w:p>
        </w:tc>
        <w:tc>
          <w:tcPr>
            <w:tcW w:w="3117" w:type="dxa"/>
          </w:tcPr>
          <w:p w14:paraId="2D1F9F74" w14:textId="07CD9192" w:rsidR="00AF0F55" w:rsidRPr="00AF0F55" w:rsidRDefault="00AF0F55" w:rsidP="00AF0F55">
            <w:pPr>
              <w:rPr>
                <w:rFonts w:cs="Arial"/>
              </w:rPr>
            </w:pPr>
            <w:r w:rsidRPr="00AF0F55">
              <w:rPr>
                <w:rFonts w:cs="Arial"/>
              </w:rPr>
              <w:t>-</w:t>
            </w:r>
          </w:p>
        </w:tc>
      </w:tr>
      <w:tr w:rsidR="00AF0F55" w:rsidRPr="00AF0F55" w14:paraId="0BDEBB2D" w14:textId="77777777" w:rsidTr="00AF0F55">
        <w:tc>
          <w:tcPr>
            <w:tcW w:w="3116" w:type="dxa"/>
          </w:tcPr>
          <w:p w14:paraId="57A5862F" w14:textId="74564003" w:rsidR="00AF0F55" w:rsidRPr="00AF0F55" w:rsidRDefault="00AF0F55" w:rsidP="00AF0F55">
            <w:pPr>
              <w:rPr>
                <w:rFonts w:cs="Arial"/>
              </w:rPr>
            </w:pPr>
            <w:r w:rsidRPr="00AF0F55">
              <w:rPr>
                <w:rFonts w:cs="Arial"/>
              </w:rPr>
              <w:t>Слюнка</w:t>
            </w:r>
          </w:p>
        </w:tc>
        <w:tc>
          <w:tcPr>
            <w:tcW w:w="3117" w:type="dxa"/>
          </w:tcPr>
          <w:p w14:paraId="0419A19A" w14:textId="2BE2B937" w:rsidR="00AF0F55" w:rsidRPr="00AF0F55" w:rsidRDefault="00AF0F55" w:rsidP="00AF0F55">
            <w:pPr>
              <w:rPr>
                <w:rFonts w:cs="Arial"/>
              </w:rPr>
            </w:pPr>
            <w:r w:rsidRPr="00AF0F55">
              <w:rPr>
                <w:rFonts w:cs="Arial"/>
              </w:rPr>
              <w:t xml:space="preserve">3.6 </w:t>
            </w:r>
            <w:r w:rsidRPr="00AF0F55">
              <w:rPr>
                <w:rFonts w:cs="Arial"/>
                <w:lang w:val="en-US"/>
              </w:rPr>
              <w:t>mg/l</w:t>
            </w:r>
          </w:p>
        </w:tc>
        <w:tc>
          <w:tcPr>
            <w:tcW w:w="3117" w:type="dxa"/>
          </w:tcPr>
          <w:p w14:paraId="66595354" w14:textId="33E82BDA" w:rsidR="00AF0F55" w:rsidRPr="00AF0F55" w:rsidRDefault="00AF0F55" w:rsidP="00AF0F55">
            <w:pPr>
              <w:rPr>
                <w:rFonts w:cs="Arial"/>
              </w:rPr>
            </w:pPr>
            <w:r w:rsidRPr="00AF0F55">
              <w:rPr>
                <w:rFonts w:cs="Arial"/>
              </w:rPr>
              <w:t>0.75</w:t>
            </w:r>
            <w:r w:rsidRPr="00AF0F55">
              <w:rPr>
                <w:rFonts w:cs="Arial"/>
                <w:lang w:val="en-US"/>
              </w:rPr>
              <w:t>-1,3</w:t>
            </w:r>
          </w:p>
        </w:tc>
      </w:tr>
      <w:tr w:rsidR="00AF0F55" w:rsidRPr="00AF0F55" w14:paraId="61287F3D" w14:textId="77777777" w:rsidTr="00AF0F55">
        <w:tc>
          <w:tcPr>
            <w:tcW w:w="3116" w:type="dxa"/>
          </w:tcPr>
          <w:p w14:paraId="7ABF51E9" w14:textId="46A31724" w:rsidR="00AF0F55" w:rsidRPr="00AF0F55" w:rsidRDefault="00AF0F55" w:rsidP="00AF0F55">
            <w:pPr>
              <w:rPr>
                <w:rFonts w:cs="Arial"/>
              </w:rPr>
            </w:pPr>
            <w:r w:rsidRPr="00AF0F55">
              <w:rPr>
                <w:rFonts w:cs="Arial"/>
              </w:rPr>
              <w:t>Мехурна течност</w:t>
            </w:r>
          </w:p>
        </w:tc>
        <w:tc>
          <w:tcPr>
            <w:tcW w:w="3117" w:type="dxa"/>
          </w:tcPr>
          <w:p w14:paraId="18B64A10" w14:textId="79BB9D5C" w:rsidR="00AF0F55" w:rsidRPr="00AF0F55" w:rsidRDefault="00AF0F55" w:rsidP="00AF0F55">
            <w:pPr>
              <w:rPr>
                <w:rFonts w:cs="Arial"/>
              </w:rPr>
            </w:pPr>
            <w:r w:rsidRPr="00AF0F55">
              <w:rPr>
                <w:rFonts w:cs="Arial"/>
              </w:rPr>
              <w:t xml:space="preserve">1.6 </w:t>
            </w:r>
            <w:r w:rsidRPr="00AF0F55">
              <w:rPr>
                <w:rFonts w:cs="Arial"/>
                <w:vertAlign w:val="superscript"/>
              </w:rPr>
              <w:t>1</w:t>
            </w:r>
            <w:r w:rsidRPr="00AF0F55">
              <w:rPr>
                <w:rFonts w:cs="Arial"/>
              </w:rPr>
              <w:t xml:space="preserve"> </w:t>
            </w:r>
            <w:r w:rsidRPr="00AF0F55">
              <w:rPr>
                <w:rFonts w:cs="Arial"/>
                <w:lang w:val="en-US"/>
              </w:rPr>
              <w:t>mg/l</w:t>
            </w:r>
          </w:p>
        </w:tc>
        <w:tc>
          <w:tcPr>
            <w:tcW w:w="3117" w:type="dxa"/>
          </w:tcPr>
          <w:p w14:paraId="24440960" w14:textId="2D90D818" w:rsidR="00AF0F55" w:rsidRPr="00AF0F55" w:rsidRDefault="00AF0F55" w:rsidP="00AF0F55">
            <w:pPr>
              <w:rPr>
                <w:rFonts w:cs="Arial"/>
              </w:rPr>
            </w:pPr>
            <w:r w:rsidRPr="00AF0F55">
              <w:rPr>
                <w:rFonts w:cs="Arial"/>
                <w:lang w:val="en-US"/>
              </w:rPr>
              <w:t xml:space="preserve">1.7 </w:t>
            </w:r>
            <w:r w:rsidRPr="00AF0F55">
              <w:rPr>
                <w:rFonts w:cs="Arial"/>
                <w:vertAlign w:val="superscript"/>
                <w:lang w:val="en-US"/>
              </w:rPr>
              <w:t>1</w:t>
            </w:r>
          </w:p>
        </w:tc>
      </w:tr>
      <w:tr w:rsidR="00AF0F55" w:rsidRPr="00AF0F55" w14:paraId="1E3B12ED" w14:textId="77777777" w:rsidTr="00AF0F55">
        <w:tc>
          <w:tcPr>
            <w:tcW w:w="3116" w:type="dxa"/>
          </w:tcPr>
          <w:p w14:paraId="69A63F6B" w14:textId="28BEEC5C" w:rsidR="00AF0F55" w:rsidRPr="00AF0F55" w:rsidRDefault="00AF0F55" w:rsidP="00AF0F55">
            <w:pPr>
              <w:rPr>
                <w:rFonts w:cs="Arial"/>
              </w:rPr>
            </w:pPr>
            <w:r w:rsidRPr="00AF0F55">
              <w:rPr>
                <w:rFonts w:cs="Arial"/>
              </w:rPr>
              <w:t>Бронхиална мукоза</w:t>
            </w:r>
          </w:p>
        </w:tc>
        <w:tc>
          <w:tcPr>
            <w:tcW w:w="3117" w:type="dxa"/>
          </w:tcPr>
          <w:p w14:paraId="29DBDA2B" w14:textId="3F7E3E85" w:rsidR="00AF0F55" w:rsidRPr="00AF0F55" w:rsidRDefault="00AF0F55" w:rsidP="00AF0F55">
            <w:pPr>
              <w:rPr>
                <w:rFonts w:cs="Arial"/>
              </w:rPr>
            </w:pPr>
            <w:r w:rsidRPr="00AF0F55">
              <w:rPr>
                <w:rFonts w:cs="Arial"/>
              </w:rPr>
              <w:t xml:space="preserve">5.4 </w:t>
            </w:r>
            <w:r w:rsidRPr="00AF0F55">
              <w:rPr>
                <w:rFonts w:cs="Arial"/>
                <w:lang w:val="en-US"/>
              </w:rPr>
              <w:t>mg/kg</w:t>
            </w:r>
          </w:p>
        </w:tc>
        <w:tc>
          <w:tcPr>
            <w:tcW w:w="3117" w:type="dxa"/>
          </w:tcPr>
          <w:p w14:paraId="724D657B" w14:textId="69313786" w:rsidR="00AF0F55" w:rsidRPr="00AF0F55" w:rsidRDefault="00AF0F55" w:rsidP="00AF0F55">
            <w:pPr>
              <w:rPr>
                <w:rFonts w:cs="Arial"/>
              </w:rPr>
            </w:pPr>
            <w:r w:rsidRPr="00AF0F55">
              <w:rPr>
                <w:rFonts w:cs="Arial"/>
                <w:lang w:val="en-US"/>
              </w:rPr>
              <w:t>1.7-2.1</w:t>
            </w:r>
          </w:p>
        </w:tc>
      </w:tr>
      <w:tr w:rsidR="00AF0F55" w:rsidRPr="00AF0F55" w14:paraId="5A34C1AA" w14:textId="77777777" w:rsidTr="00AF0F55">
        <w:tc>
          <w:tcPr>
            <w:tcW w:w="3116" w:type="dxa"/>
          </w:tcPr>
          <w:p w14:paraId="5B51CFA9" w14:textId="202C0D43" w:rsidR="00AF0F55" w:rsidRPr="00AF0F55" w:rsidRDefault="00AF0F55" w:rsidP="00AF0F55">
            <w:pPr>
              <w:rPr>
                <w:rFonts w:cs="Arial"/>
              </w:rPr>
            </w:pPr>
            <w:r w:rsidRPr="00AF0F55">
              <w:rPr>
                <w:rFonts w:cs="Arial"/>
              </w:rPr>
              <w:t>Алвеоларни макрофаги</w:t>
            </w:r>
          </w:p>
        </w:tc>
        <w:tc>
          <w:tcPr>
            <w:tcW w:w="3117" w:type="dxa"/>
          </w:tcPr>
          <w:p w14:paraId="6C985DC2" w14:textId="5505874D" w:rsidR="00AF0F55" w:rsidRPr="00AF0F55" w:rsidRDefault="00AF0F55" w:rsidP="00AF0F55">
            <w:pPr>
              <w:rPr>
                <w:rFonts w:cs="Arial"/>
              </w:rPr>
            </w:pPr>
            <w:r w:rsidRPr="00AF0F55">
              <w:rPr>
                <w:rFonts w:cs="Arial"/>
              </w:rPr>
              <w:t xml:space="preserve">56.7 </w:t>
            </w:r>
            <w:r w:rsidRPr="00AF0F55">
              <w:rPr>
                <w:rFonts w:cs="Arial"/>
                <w:lang w:val="en-US"/>
              </w:rPr>
              <w:t>mg/kg</w:t>
            </w:r>
          </w:p>
        </w:tc>
        <w:tc>
          <w:tcPr>
            <w:tcW w:w="3117" w:type="dxa"/>
          </w:tcPr>
          <w:p w14:paraId="2C51D3BD" w14:textId="50246525" w:rsidR="00AF0F55" w:rsidRPr="00AF0F55" w:rsidRDefault="00AF0F55" w:rsidP="00AF0F55">
            <w:pPr>
              <w:rPr>
                <w:rFonts w:cs="Arial"/>
              </w:rPr>
            </w:pPr>
            <w:r w:rsidRPr="00AF0F55">
              <w:rPr>
                <w:rFonts w:cs="Arial"/>
                <w:lang w:val="en-US"/>
              </w:rPr>
              <w:t>18.6-70.0</w:t>
            </w:r>
          </w:p>
        </w:tc>
      </w:tr>
      <w:tr w:rsidR="00AF0F55" w:rsidRPr="00AF0F55" w14:paraId="0D054088" w14:textId="77777777" w:rsidTr="00AF0F55">
        <w:tc>
          <w:tcPr>
            <w:tcW w:w="3116" w:type="dxa"/>
          </w:tcPr>
          <w:p w14:paraId="34F685F4" w14:textId="1F4923EB" w:rsidR="00AF0F55" w:rsidRPr="00AF0F55" w:rsidRDefault="00AF0F55" w:rsidP="00AF0F55">
            <w:pPr>
              <w:rPr>
                <w:rFonts w:cs="Arial"/>
              </w:rPr>
            </w:pPr>
            <w:r w:rsidRPr="00AF0F55">
              <w:rPr>
                <w:rFonts w:cs="Arial"/>
              </w:rPr>
              <w:t>Течност, покриваща епитела</w:t>
            </w:r>
          </w:p>
        </w:tc>
        <w:tc>
          <w:tcPr>
            <w:tcW w:w="3117" w:type="dxa"/>
          </w:tcPr>
          <w:p w14:paraId="707DAA65" w14:textId="53F3C24A" w:rsidR="00AF0F55" w:rsidRPr="00AF0F55" w:rsidRDefault="00AF0F55" w:rsidP="00AF0F55">
            <w:pPr>
              <w:rPr>
                <w:rFonts w:cs="Arial"/>
              </w:rPr>
            </w:pPr>
            <w:r w:rsidRPr="00AF0F55">
              <w:rPr>
                <w:rFonts w:cs="Arial"/>
              </w:rPr>
              <w:t xml:space="preserve">20.7 </w:t>
            </w:r>
            <w:r w:rsidRPr="00AF0F55">
              <w:rPr>
                <w:rFonts w:cs="Arial"/>
                <w:lang w:val="en-US"/>
              </w:rPr>
              <w:t>mg/l</w:t>
            </w:r>
          </w:p>
        </w:tc>
        <w:tc>
          <w:tcPr>
            <w:tcW w:w="3117" w:type="dxa"/>
          </w:tcPr>
          <w:p w14:paraId="1FFECCD8" w14:textId="49717B81" w:rsidR="00AF0F55" w:rsidRPr="00AF0F55" w:rsidRDefault="00AF0F55" w:rsidP="00AF0F55">
            <w:pPr>
              <w:rPr>
                <w:rFonts w:cs="Arial"/>
              </w:rPr>
            </w:pPr>
            <w:r w:rsidRPr="00AF0F55">
              <w:rPr>
                <w:rFonts w:cs="Arial"/>
                <w:lang w:val="en-US"/>
              </w:rPr>
              <w:t>5-7</w:t>
            </w:r>
          </w:p>
        </w:tc>
      </w:tr>
      <w:tr w:rsidR="00AF0F55" w:rsidRPr="00AF0F55" w14:paraId="2A1BD2C8" w14:textId="77777777" w:rsidTr="00AF0F55">
        <w:tc>
          <w:tcPr>
            <w:tcW w:w="3116" w:type="dxa"/>
          </w:tcPr>
          <w:p w14:paraId="1D894E84" w14:textId="49BBFD49" w:rsidR="00AF0F55" w:rsidRPr="00AF0F55" w:rsidRDefault="00AF0F55" w:rsidP="00AF0F55">
            <w:pPr>
              <w:rPr>
                <w:rFonts w:cs="Arial"/>
              </w:rPr>
            </w:pPr>
            <w:r w:rsidRPr="00AF0F55">
              <w:rPr>
                <w:rFonts w:cs="Arial"/>
              </w:rPr>
              <w:t>Максиларен синус</w:t>
            </w:r>
          </w:p>
        </w:tc>
        <w:tc>
          <w:tcPr>
            <w:tcW w:w="3117" w:type="dxa"/>
          </w:tcPr>
          <w:p w14:paraId="3795DEC4" w14:textId="4BF0BCA6" w:rsidR="00AF0F55" w:rsidRPr="00AF0F55" w:rsidRDefault="00AF0F55" w:rsidP="00AF0F55">
            <w:pPr>
              <w:rPr>
                <w:rFonts w:cs="Arial"/>
              </w:rPr>
            </w:pPr>
            <w:r w:rsidRPr="00AF0F55">
              <w:rPr>
                <w:rFonts w:cs="Arial"/>
                <w:lang w:val="en-US"/>
              </w:rPr>
              <w:t>7.5 mg/kg</w:t>
            </w:r>
          </w:p>
        </w:tc>
        <w:tc>
          <w:tcPr>
            <w:tcW w:w="3117" w:type="dxa"/>
          </w:tcPr>
          <w:p w14:paraId="0B8FE39E" w14:textId="6D82120E" w:rsidR="00AF0F55" w:rsidRPr="00AF0F55" w:rsidRDefault="00AF0F55" w:rsidP="00AF0F55">
            <w:pPr>
              <w:rPr>
                <w:rFonts w:cs="Arial"/>
              </w:rPr>
            </w:pPr>
            <w:r w:rsidRPr="00AF0F55">
              <w:rPr>
                <w:rFonts w:cs="Arial"/>
                <w:lang w:val="en-US"/>
              </w:rPr>
              <w:t>2.0</w:t>
            </w:r>
          </w:p>
        </w:tc>
      </w:tr>
      <w:tr w:rsidR="00AF0F55" w:rsidRPr="00AF0F55" w14:paraId="5E31777B" w14:textId="77777777" w:rsidTr="00AF0F55">
        <w:tc>
          <w:tcPr>
            <w:tcW w:w="3116" w:type="dxa"/>
          </w:tcPr>
          <w:p w14:paraId="087206D8" w14:textId="31FB968D" w:rsidR="00AF0F55" w:rsidRPr="00AF0F55" w:rsidRDefault="00AF0F55" w:rsidP="00AF0F55">
            <w:pPr>
              <w:rPr>
                <w:rFonts w:cs="Arial"/>
              </w:rPr>
            </w:pPr>
            <w:r w:rsidRPr="00AF0F55">
              <w:rPr>
                <w:rFonts w:cs="Arial"/>
              </w:rPr>
              <w:t>Етмоидален синус</w:t>
            </w:r>
          </w:p>
        </w:tc>
        <w:tc>
          <w:tcPr>
            <w:tcW w:w="3117" w:type="dxa"/>
          </w:tcPr>
          <w:p w14:paraId="197D4B30" w14:textId="1BCB759E" w:rsidR="00AF0F55" w:rsidRPr="00AF0F55" w:rsidRDefault="00AF0F55" w:rsidP="00AF0F55">
            <w:pPr>
              <w:rPr>
                <w:rFonts w:cs="Arial"/>
              </w:rPr>
            </w:pPr>
            <w:r w:rsidRPr="00AF0F55">
              <w:rPr>
                <w:rFonts w:cs="Arial"/>
                <w:lang w:val="en-US"/>
              </w:rPr>
              <w:t>8.2 mg/kg</w:t>
            </w:r>
          </w:p>
        </w:tc>
        <w:tc>
          <w:tcPr>
            <w:tcW w:w="3117" w:type="dxa"/>
          </w:tcPr>
          <w:p w14:paraId="76BA252F" w14:textId="676BF26E" w:rsidR="00AF0F55" w:rsidRPr="00AF0F55" w:rsidRDefault="00AF0F55" w:rsidP="00AF0F55">
            <w:pPr>
              <w:rPr>
                <w:rFonts w:cs="Arial"/>
              </w:rPr>
            </w:pPr>
            <w:r w:rsidRPr="00AF0F55">
              <w:rPr>
                <w:rFonts w:cs="Arial"/>
                <w:lang w:val="en-US"/>
              </w:rPr>
              <w:t>2.1</w:t>
            </w:r>
          </w:p>
        </w:tc>
      </w:tr>
      <w:tr w:rsidR="00AF0F55" w:rsidRPr="00AF0F55" w14:paraId="1F31CE41" w14:textId="77777777" w:rsidTr="00AF0F55">
        <w:tc>
          <w:tcPr>
            <w:tcW w:w="3116" w:type="dxa"/>
          </w:tcPr>
          <w:p w14:paraId="2AC189D1" w14:textId="33406378" w:rsidR="00AF0F55" w:rsidRPr="00AF0F55" w:rsidRDefault="00AF0F55" w:rsidP="00AF0F55">
            <w:pPr>
              <w:rPr>
                <w:rFonts w:cs="Arial"/>
              </w:rPr>
            </w:pPr>
            <w:r w:rsidRPr="00AF0F55">
              <w:rPr>
                <w:rFonts w:cs="Arial"/>
              </w:rPr>
              <w:t>Полипи в носа</w:t>
            </w:r>
          </w:p>
        </w:tc>
        <w:tc>
          <w:tcPr>
            <w:tcW w:w="3117" w:type="dxa"/>
          </w:tcPr>
          <w:p w14:paraId="5DD0F27D" w14:textId="4834AF96" w:rsidR="00AF0F55" w:rsidRPr="00AF0F55" w:rsidRDefault="00AF0F55" w:rsidP="00AF0F55">
            <w:pPr>
              <w:rPr>
                <w:rFonts w:cs="Arial"/>
              </w:rPr>
            </w:pPr>
            <w:r w:rsidRPr="00AF0F55">
              <w:rPr>
                <w:rFonts w:cs="Arial"/>
                <w:lang w:val="en-US"/>
              </w:rPr>
              <w:t>9.1 mg/kg</w:t>
            </w:r>
          </w:p>
        </w:tc>
        <w:tc>
          <w:tcPr>
            <w:tcW w:w="3117" w:type="dxa"/>
          </w:tcPr>
          <w:p w14:paraId="33F37DE7" w14:textId="2840E1CA" w:rsidR="00AF0F55" w:rsidRPr="00AF0F55" w:rsidRDefault="00AF0F55" w:rsidP="00AF0F55">
            <w:pPr>
              <w:rPr>
                <w:rFonts w:cs="Arial"/>
              </w:rPr>
            </w:pPr>
            <w:r w:rsidRPr="00AF0F55">
              <w:rPr>
                <w:rFonts w:cs="Arial"/>
                <w:lang w:val="en-US"/>
              </w:rPr>
              <w:t>2.6</w:t>
            </w:r>
          </w:p>
        </w:tc>
      </w:tr>
      <w:tr w:rsidR="00AF0F55" w:rsidRPr="00AF0F55" w14:paraId="6D8B0EF0" w14:textId="77777777" w:rsidTr="00AF0F55">
        <w:tc>
          <w:tcPr>
            <w:tcW w:w="3116" w:type="dxa"/>
          </w:tcPr>
          <w:p w14:paraId="54C24417" w14:textId="5C22C31F" w:rsidR="00AF0F55" w:rsidRPr="00AF0F55" w:rsidRDefault="00AF0F55" w:rsidP="00AF0F55">
            <w:pPr>
              <w:rPr>
                <w:rFonts w:cs="Arial"/>
              </w:rPr>
            </w:pPr>
            <w:r w:rsidRPr="00AF0F55">
              <w:rPr>
                <w:rFonts w:cs="Arial"/>
              </w:rPr>
              <w:t>Интерстициална течност</w:t>
            </w:r>
          </w:p>
        </w:tc>
        <w:tc>
          <w:tcPr>
            <w:tcW w:w="3117" w:type="dxa"/>
          </w:tcPr>
          <w:p w14:paraId="3BBB1433" w14:textId="3CA453B4" w:rsidR="00AF0F55" w:rsidRPr="00AF0F55" w:rsidRDefault="00AF0F55" w:rsidP="00AF0F55">
            <w:pPr>
              <w:rPr>
                <w:rFonts w:cs="Arial"/>
              </w:rPr>
            </w:pPr>
            <w:r w:rsidRPr="00AF0F55">
              <w:rPr>
                <w:rFonts w:cs="Arial"/>
                <w:lang w:val="en-US"/>
              </w:rPr>
              <w:t>1.0</w:t>
            </w:r>
            <w:r w:rsidRPr="00AF0F55">
              <w:rPr>
                <w:rFonts w:cs="Arial"/>
                <w:vertAlign w:val="superscript"/>
                <w:lang w:val="en-US"/>
              </w:rPr>
              <w:t>2</w:t>
            </w:r>
            <w:r w:rsidRPr="00AF0F55">
              <w:rPr>
                <w:rFonts w:cs="Arial"/>
                <w:lang w:val="en-US"/>
              </w:rPr>
              <w:t xml:space="preserve"> mg/l</w:t>
            </w:r>
          </w:p>
        </w:tc>
        <w:tc>
          <w:tcPr>
            <w:tcW w:w="3117" w:type="dxa"/>
          </w:tcPr>
          <w:p w14:paraId="1302CD4F" w14:textId="072BF942" w:rsidR="00AF0F55" w:rsidRPr="00AF0F55" w:rsidRDefault="00AF0F55" w:rsidP="00AF0F55">
            <w:pPr>
              <w:rPr>
                <w:rFonts w:cs="Arial"/>
              </w:rPr>
            </w:pPr>
            <w:r w:rsidRPr="00AF0F55">
              <w:rPr>
                <w:rFonts w:cs="Arial"/>
                <w:lang w:val="en-US"/>
              </w:rPr>
              <w:t xml:space="preserve">0.8-1.4 </w:t>
            </w:r>
            <w:r w:rsidRPr="00AF0F55">
              <w:rPr>
                <w:rFonts w:cs="Arial"/>
                <w:vertAlign w:val="superscript"/>
                <w:lang w:val="en-US"/>
              </w:rPr>
              <w:t>2,3</w:t>
            </w:r>
          </w:p>
        </w:tc>
      </w:tr>
      <w:tr w:rsidR="00AF0F55" w:rsidRPr="00AF0F55" w14:paraId="30238043" w14:textId="77777777" w:rsidTr="00AF0F55">
        <w:tc>
          <w:tcPr>
            <w:tcW w:w="3116" w:type="dxa"/>
          </w:tcPr>
          <w:p w14:paraId="0AC8F2B8" w14:textId="3D061CCA" w:rsidR="00AF0F55" w:rsidRPr="00AF0F55" w:rsidRDefault="00AF0F55" w:rsidP="00AF0F55">
            <w:pPr>
              <w:rPr>
                <w:rFonts w:cs="Arial"/>
              </w:rPr>
            </w:pPr>
            <w:r w:rsidRPr="00AF0F55">
              <w:rPr>
                <w:rFonts w:cs="Arial"/>
              </w:rPr>
              <w:t>Женска полова система *</w:t>
            </w:r>
          </w:p>
        </w:tc>
        <w:tc>
          <w:tcPr>
            <w:tcW w:w="3117" w:type="dxa"/>
          </w:tcPr>
          <w:p w14:paraId="5A14351D" w14:textId="2E8B339F" w:rsidR="00AF0F55" w:rsidRPr="00AF0F55" w:rsidRDefault="00AF0F55" w:rsidP="00AF0F55">
            <w:pPr>
              <w:rPr>
                <w:rFonts w:cs="Arial"/>
              </w:rPr>
            </w:pPr>
            <w:r w:rsidRPr="00AF0F55">
              <w:rPr>
                <w:rFonts w:cs="Arial"/>
                <w:lang w:val="en-US"/>
              </w:rPr>
              <w:t>10.2</w:t>
            </w:r>
            <w:r w:rsidRPr="00AF0F55">
              <w:rPr>
                <w:rFonts w:cs="Arial"/>
                <w:vertAlign w:val="superscript"/>
                <w:lang w:val="en-US"/>
              </w:rPr>
              <w:t>4</w:t>
            </w:r>
            <w:r w:rsidRPr="00AF0F55">
              <w:rPr>
                <w:rFonts w:cs="Arial"/>
                <w:lang w:val="en-US"/>
              </w:rPr>
              <w:t xml:space="preserve"> mg/kg</w:t>
            </w:r>
          </w:p>
        </w:tc>
        <w:tc>
          <w:tcPr>
            <w:tcW w:w="3117" w:type="dxa"/>
          </w:tcPr>
          <w:p w14:paraId="5446832F" w14:textId="2D48241E" w:rsidR="00AF0F55" w:rsidRPr="00AF0F55" w:rsidRDefault="00AF0F55" w:rsidP="00AF0F55">
            <w:pPr>
              <w:rPr>
                <w:rFonts w:cs="Arial"/>
              </w:rPr>
            </w:pPr>
            <w:r w:rsidRPr="00AF0F55">
              <w:rPr>
                <w:rFonts w:cs="Arial"/>
                <w:lang w:val="en-US"/>
              </w:rPr>
              <w:t xml:space="preserve">1.72 </w:t>
            </w:r>
            <w:r w:rsidRPr="00AF0F55">
              <w:rPr>
                <w:rFonts w:cs="Arial"/>
                <w:vertAlign w:val="superscript"/>
                <w:lang w:val="en-US"/>
              </w:rPr>
              <w:t>4</w:t>
            </w:r>
          </w:p>
        </w:tc>
      </w:tr>
    </w:tbl>
    <w:p w14:paraId="6829B21E" w14:textId="22A30AE8" w:rsidR="00AF0F55" w:rsidRPr="00AF0F55" w:rsidRDefault="00AF0F55" w:rsidP="0091385D">
      <w:pPr>
        <w:rPr>
          <w:rFonts w:cs="Arial"/>
        </w:rPr>
      </w:pPr>
    </w:p>
    <w:p w14:paraId="166CA5CC" w14:textId="77777777" w:rsidR="00AF0F55" w:rsidRPr="00AF0F55" w:rsidRDefault="00AF0F55" w:rsidP="00AF0F55">
      <w:pPr>
        <w:spacing w:line="240" w:lineRule="auto"/>
        <w:rPr>
          <w:rFonts w:eastAsia="Times New Roman" w:cs="Arial"/>
          <w:lang w:eastAsia="bg-BG"/>
        </w:rPr>
      </w:pPr>
      <w:r w:rsidRPr="00AF0F55">
        <w:rPr>
          <w:rFonts w:eastAsia="Times New Roman" w:cs="Arial"/>
          <w:color w:val="000000"/>
          <w:lang w:eastAsia="bg-BG"/>
        </w:rPr>
        <w:t xml:space="preserve">* интравенозно приложение на еднократна доза от 400 </w:t>
      </w:r>
      <w:r w:rsidRPr="00AF0F55">
        <w:rPr>
          <w:rFonts w:eastAsia="Times New Roman" w:cs="Arial"/>
          <w:color w:val="000000"/>
          <w:lang w:val="en-US"/>
        </w:rPr>
        <w:t>mg</w:t>
      </w:r>
    </w:p>
    <w:p w14:paraId="7183AA9E" w14:textId="215AF46C" w:rsidR="00AF0F55" w:rsidRPr="00AF0F55" w:rsidRDefault="00AF0F55" w:rsidP="00AF0F55">
      <w:pPr>
        <w:spacing w:line="240" w:lineRule="auto"/>
        <w:rPr>
          <w:rFonts w:eastAsia="Times New Roman" w:cs="Arial"/>
          <w:color w:val="000000"/>
          <w:lang w:eastAsia="bg-BG"/>
        </w:rPr>
      </w:pPr>
      <w:r w:rsidRPr="00AF0F55">
        <w:rPr>
          <w:rFonts w:eastAsia="Times New Roman" w:cs="Arial"/>
          <w:color w:val="000000"/>
          <w:vertAlign w:val="superscript"/>
          <w:lang w:eastAsia="bg-BG"/>
        </w:rPr>
        <w:t xml:space="preserve">1 </w:t>
      </w:r>
      <w:r w:rsidRPr="00AF0F55">
        <w:rPr>
          <w:rFonts w:eastAsia="Times New Roman" w:cs="Arial"/>
          <w:color w:val="000000"/>
          <w:lang w:eastAsia="bg-BG"/>
        </w:rPr>
        <w:t>10 ч след приложение</w:t>
      </w:r>
    </w:p>
    <w:p w14:paraId="54A7AE19" w14:textId="395F97CB" w:rsidR="00AF0F55" w:rsidRPr="00AF0F55" w:rsidRDefault="00AF0F55" w:rsidP="00AF0F55">
      <w:pPr>
        <w:spacing w:line="240" w:lineRule="auto"/>
        <w:rPr>
          <w:rFonts w:eastAsia="Times New Roman" w:cs="Arial"/>
          <w:color w:val="000000"/>
          <w:lang w:eastAsia="bg-BG"/>
        </w:rPr>
      </w:pPr>
      <w:r w:rsidRPr="00AF0F55">
        <w:rPr>
          <w:rFonts w:eastAsia="Times New Roman" w:cs="Arial"/>
          <w:color w:val="000000"/>
          <w:vertAlign w:val="superscript"/>
          <w:lang w:eastAsia="bg-BG"/>
        </w:rPr>
        <w:t xml:space="preserve">2 </w:t>
      </w:r>
      <w:r w:rsidRPr="00AF0F55">
        <w:rPr>
          <w:rFonts w:eastAsia="Times New Roman" w:cs="Arial"/>
          <w:color w:val="000000"/>
          <w:lang w:eastAsia="bg-BG"/>
        </w:rPr>
        <w:t>несвързана концентрация</w:t>
      </w:r>
    </w:p>
    <w:p w14:paraId="3FCEE8EC" w14:textId="234F284E" w:rsidR="00AF0F55" w:rsidRPr="00AF0F55" w:rsidRDefault="00AF0F55" w:rsidP="00AF0F55">
      <w:pPr>
        <w:spacing w:line="240" w:lineRule="auto"/>
        <w:rPr>
          <w:rFonts w:eastAsia="Times New Roman" w:cs="Arial"/>
          <w:color w:val="000000"/>
          <w:lang w:eastAsia="bg-BG"/>
        </w:rPr>
      </w:pPr>
      <w:r w:rsidRPr="00AF0F55">
        <w:rPr>
          <w:rFonts w:eastAsia="Times New Roman" w:cs="Arial"/>
          <w:color w:val="000000"/>
          <w:vertAlign w:val="superscript"/>
          <w:lang w:eastAsia="bg-BG"/>
        </w:rPr>
        <w:t xml:space="preserve">3 </w:t>
      </w:r>
      <w:r w:rsidRPr="00AF0F55">
        <w:rPr>
          <w:rFonts w:eastAsia="Times New Roman" w:cs="Arial"/>
          <w:color w:val="000000"/>
          <w:lang w:eastAsia="bg-BG"/>
        </w:rPr>
        <w:t>от 3 ч до 36 ч след доза</w:t>
      </w:r>
    </w:p>
    <w:p w14:paraId="7FCA7887" w14:textId="2EC9FED8" w:rsidR="00AF0F55" w:rsidRPr="00AF0F55" w:rsidRDefault="00AF0F55" w:rsidP="00AF0F55">
      <w:pPr>
        <w:spacing w:line="240" w:lineRule="auto"/>
        <w:rPr>
          <w:rFonts w:eastAsia="Times New Roman" w:cs="Arial"/>
          <w:color w:val="000000"/>
          <w:lang w:eastAsia="bg-BG"/>
        </w:rPr>
      </w:pPr>
      <w:r w:rsidRPr="00AF0F55">
        <w:rPr>
          <w:rFonts w:eastAsia="Times New Roman" w:cs="Arial"/>
          <w:color w:val="000000"/>
          <w:vertAlign w:val="superscript"/>
          <w:lang w:eastAsia="bg-BG"/>
        </w:rPr>
        <w:t xml:space="preserve">4 </w:t>
      </w:r>
      <w:r w:rsidRPr="00AF0F55">
        <w:rPr>
          <w:rFonts w:eastAsia="Times New Roman" w:cs="Arial"/>
          <w:color w:val="000000"/>
          <w:lang w:eastAsia="bg-BG"/>
        </w:rPr>
        <w:t>в края на инфузията</w:t>
      </w:r>
    </w:p>
    <w:p w14:paraId="021C0A37" w14:textId="77777777" w:rsidR="00AF0F55" w:rsidRPr="00AF0F55" w:rsidRDefault="00AF0F55" w:rsidP="00AF0F55">
      <w:pPr>
        <w:spacing w:line="240" w:lineRule="auto"/>
        <w:rPr>
          <w:rFonts w:eastAsia="Times New Roman" w:cs="Arial"/>
          <w:color w:val="000000"/>
          <w:u w:val="single"/>
          <w:lang w:eastAsia="bg-BG"/>
        </w:rPr>
      </w:pPr>
    </w:p>
    <w:p w14:paraId="157EC83C" w14:textId="57D42F00" w:rsidR="00AF0F55" w:rsidRPr="00AF0F55" w:rsidRDefault="00AF0F55" w:rsidP="00AF0F55">
      <w:pPr>
        <w:pStyle w:val="Heading3"/>
        <w:rPr>
          <w:rFonts w:eastAsia="Times New Roman"/>
          <w:u w:val="single"/>
          <w:lang w:eastAsia="bg-BG"/>
        </w:rPr>
      </w:pPr>
      <w:r w:rsidRPr="00AF0F55">
        <w:rPr>
          <w:rFonts w:eastAsia="Times New Roman"/>
          <w:u w:val="single"/>
          <w:lang w:eastAsia="bg-BG"/>
        </w:rPr>
        <w:t>Биотрансформация</w:t>
      </w:r>
    </w:p>
    <w:p w14:paraId="3BD45C92" w14:textId="77777777" w:rsidR="00AF0F55" w:rsidRPr="00AF0F55" w:rsidRDefault="00AF0F55" w:rsidP="00AF0F55">
      <w:pPr>
        <w:spacing w:line="240" w:lineRule="auto"/>
        <w:rPr>
          <w:rFonts w:eastAsia="Times New Roman" w:cs="Arial"/>
          <w:lang w:eastAsia="bg-BG"/>
        </w:rPr>
      </w:pPr>
      <w:r w:rsidRPr="00AF0F55">
        <w:rPr>
          <w:rFonts w:eastAsia="Times New Roman" w:cs="Arial"/>
          <w:color w:val="000000"/>
          <w:lang w:eastAsia="bg-BG"/>
        </w:rPr>
        <w:t xml:space="preserve">Моксифлоксацин е подложен на биотрансформация фаза </w:t>
      </w:r>
      <w:r w:rsidRPr="00AF0F55">
        <w:rPr>
          <w:rFonts w:eastAsia="Times New Roman" w:cs="Arial"/>
          <w:color w:val="000000"/>
          <w:lang w:val="en-US"/>
        </w:rPr>
        <w:t>II</w:t>
      </w:r>
      <w:r w:rsidRPr="00AF0F55">
        <w:rPr>
          <w:rFonts w:eastAsia="Times New Roman" w:cs="Arial"/>
          <w:color w:val="000000"/>
          <w:lang w:eastAsia="bg-BG"/>
        </w:rPr>
        <w:t xml:space="preserve"> и се екскретира чрез бъбреци и жлъчка/изпражнения като непроменено лекарство, както и под формата на компонент, съдържащ сяра </w:t>
      </w:r>
      <w:r w:rsidRPr="00AF0F55">
        <w:rPr>
          <w:rFonts w:eastAsia="Times New Roman" w:cs="Arial"/>
          <w:color w:val="000000"/>
          <w:lang w:val="en-US"/>
        </w:rPr>
        <w:t xml:space="preserve">(Ml) </w:t>
      </w:r>
      <w:r w:rsidRPr="00AF0F55">
        <w:rPr>
          <w:rFonts w:eastAsia="Times New Roman" w:cs="Arial"/>
          <w:color w:val="000000"/>
          <w:lang w:eastAsia="bg-BG"/>
        </w:rPr>
        <w:t xml:space="preserve">и като глкжуронид (M2). </w:t>
      </w:r>
      <w:r w:rsidRPr="00AF0F55">
        <w:rPr>
          <w:rFonts w:eastAsia="Times New Roman" w:cs="Arial"/>
          <w:color w:val="000000"/>
          <w:lang w:val="en-US"/>
        </w:rPr>
        <w:t xml:space="preserve">Ml </w:t>
      </w:r>
      <w:r w:rsidRPr="00AF0F55">
        <w:rPr>
          <w:rFonts w:eastAsia="Times New Roman" w:cs="Arial"/>
          <w:color w:val="000000"/>
          <w:lang w:eastAsia="bg-BG"/>
        </w:rPr>
        <w:t>и M2 са единствените метаболити, характерни за хората, като и двата са микробиологично неактивни.</w:t>
      </w:r>
    </w:p>
    <w:p w14:paraId="5CF01E69" w14:textId="77777777" w:rsidR="00AF0F55" w:rsidRPr="00AF0F55" w:rsidRDefault="00AF0F55" w:rsidP="00AF0F55">
      <w:pPr>
        <w:spacing w:line="240" w:lineRule="auto"/>
        <w:rPr>
          <w:rFonts w:eastAsia="Times New Roman" w:cs="Arial"/>
          <w:lang w:eastAsia="bg-BG"/>
        </w:rPr>
      </w:pPr>
      <w:r w:rsidRPr="00AF0F55">
        <w:rPr>
          <w:rFonts w:eastAsia="Times New Roman" w:cs="Arial"/>
          <w:color w:val="000000"/>
          <w:lang w:eastAsia="bg-BG"/>
        </w:rPr>
        <w:t>При клинични проучвания I фаза и ин витро проучвания не са наблюдавани метаболитни фармакокинетични взаимодействия с други лекарства, подложени на биотрансформация фаза I, използващи цитохром Р-450 ензими. Няма данни за окислителен метаболизъм.</w:t>
      </w:r>
    </w:p>
    <w:p w14:paraId="6E12870F" w14:textId="77777777" w:rsidR="00AF0F55" w:rsidRPr="00AF0F55" w:rsidRDefault="00AF0F55" w:rsidP="00AF0F55">
      <w:pPr>
        <w:spacing w:line="240" w:lineRule="auto"/>
        <w:rPr>
          <w:rFonts w:eastAsia="Times New Roman" w:cs="Arial"/>
          <w:color w:val="000000"/>
          <w:u w:val="single"/>
          <w:lang w:eastAsia="bg-BG"/>
        </w:rPr>
      </w:pPr>
    </w:p>
    <w:p w14:paraId="02CB8607" w14:textId="5E7949D6" w:rsidR="00AF0F55" w:rsidRPr="00AF0F55" w:rsidRDefault="00AF0F55" w:rsidP="00AF0F55">
      <w:pPr>
        <w:pStyle w:val="Heading3"/>
        <w:rPr>
          <w:rFonts w:eastAsia="Times New Roman"/>
          <w:u w:val="single"/>
          <w:lang w:eastAsia="bg-BG"/>
        </w:rPr>
      </w:pPr>
      <w:r w:rsidRPr="00AF0F55">
        <w:rPr>
          <w:rFonts w:eastAsia="Times New Roman"/>
          <w:u w:val="single"/>
          <w:lang w:eastAsia="bg-BG"/>
        </w:rPr>
        <w:t>Елиминиране</w:t>
      </w:r>
    </w:p>
    <w:p w14:paraId="54E172E3" w14:textId="77777777" w:rsidR="00AF0F55" w:rsidRPr="00AF0F55" w:rsidRDefault="00AF0F55" w:rsidP="00AF0F55">
      <w:pPr>
        <w:spacing w:line="240" w:lineRule="auto"/>
        <w:rPr>
          <w:rFonts w:eastAsia="Times New Roman" w:cs="Arial"/>
          <w:lang w:eastAsia="bg-BG"/>
        </w:rPr>
      </w:pPr>
      <w:r w:rsidRPr="00AF0F55">
        <w:rPr>
          <w:rFonts w:eastAsia="Times New Roman" w:cs="Arial"/>
          <w:color w:val="000000"/>
          <w:lang w:eastAsia="bg-BG"/>
        </w:rPr>
        <w:t xml:space="preserve">Моксифлоксацин се елиминира от плазмата с краен елиминационен полуживот приблизително 12 часа. Стойността на общият телесен клирънс след еднократна доза от 400 </w:t>
      </w:r>
      <w:r w:rsidRPr="00AF0F55">
        <w:rPr>
          <w:rFonts w:eastAsia="Times New Roman" w:cs="Arial"/>
          <w:color w:val="000000"/>
          <w:lang w:val="en-US"/>
        </w:rPr>
        <w:t xml:space="preserve">mg </w:t>
      </w:r>
      <w:r w:rsidRPr="00AF0F55">
        <w:rPr>
          <w:rFonts w:eastAsia="Times New Roman" w:cs="Arial"/>
          <w:color w:val="000000"/>
          <w:lang w:eastAsia="bg-BG"/>
        </w:rPr>
        <w:t xml:space="preserve">варира от 179 до 246 </w:t>
      </w:r>
      <w:r w:rsidRPr="00AF0F55">
        <w:rPr>
          <w:rFonts w:eastAsia="Times New Roman" w:cs="Arial"/>
          <w:color w:val="000000"/>
          <w:lang w:val="en-US"/>
        </w:rPr>
        <w:t xml:space="preserve">ml/min. </w:t>
      </w:r>
      <w:r w:rsidRPr="00AF0F55">
        <w:rPr>
          <w:rFonts w:eastAsia="Times New Roman" w:cs="Arial"/>
          <w:color w:val="000000"/>
          <w:lang w:eastAsia="bg-BG"/>
        </w:rPr>
        <w:t xml:space="preserve">Бъбречният клирънс, възлизащ на около 24-53 </w:t>
      </w:r>
      <w:r w:rsidRPr="00AF0F55">
        <w:rPr>
          <w:rFonts w:eastAsia="Times New Roman" w:cs="Arial"/>
          <w:color w:val="000000"/>
          <w:lang w:val="en-US"/>
        </w:rPr>
        <w:t xml:space="preserve">ml/min, </w:t>
      </w:r>
      <w:r w:rsidRPr="00AF0F55">
        <w:rPr>
          <w:rFonts w:eastAsia="Times New Roman" w:cs="Arial"/>
          <w:color w:val="000000"/>
          <w:lang w:eastAsia="bg-BG"/>
        </w:rPr>
        <w:t>предполага частична тубулна реабсорбция на лекарството от бъбреците.</w:t>
      </w:r>
    </w:p>
    <w:p w14:paraId="1AF805A0" w14:textId="77777777" w:rsidR="00AF0F55" w:rsidRPr="00AF0F55" w:rsidRDefault="00AF0F55" w:rsidP="00AF0F55">
      <w:pPr>
        <w:spacing w:line="240" w:lineRule="auto"/>
        <w:rPr>
          <w:rFonts w:eastAsia="Times New Roman" w:cs="Arial"/>
          <w:color w:val="000000"/>
          <w:lang w:eastAsia="bg-BG"/>
        </w:rPr>
      </w:pPr>
    </w:p>
    <w:p w14:paraId="68015F15" w14:textId="3C68C91C" w:rsidR="00AF0F55" w:rsidRPr="00AF0F55" w:rsidRDefault="00AF0F55" w:rsidP="00AF0F55">
      <w:pPr>
        <w:spacing w:line="240" w:lineRule="auto"/>
        <w:rPr>
          <w:rFonts w:eastAsia="Times New Roman" w:cs="Arial"/>
          <w:lang w:eastAsia="bg-BG"/>
        </w:rPr>
      </w:pPr>
      <w:r w:rsidRPr="00AF0F55">
        <w:rPr>
          <w:rFonts w:eastAsia="Times New Roman" w:cs="Arial"/>
          <w:color w:val="000000"/>
          <w:lang w:eastAsia="bg-BG"/>
        </w:rPr>
        <w:t xml:space="preserve">След доза от 400 </w:t>
      </w:r>
      <w:r w:rsidRPr="00AF0F55">
        <w:rPr>
          <w:rFonts w:eastAsia="Times New Roman" w:cs="Arial"/>
          <w:color w:val="000000"/>
          <w:lang w:val="en-US"/>
        </w:rPr>
        <w:t xml:space="preserve">mg </w:t>
      </w:r>
      <w:r w:rsidRPr="00AF0F55">
        <w:rPr>
          <w:rFonts w:eastAsia="Times New Roman" w:cs="Arial"/>
          <w:color w:val="000000"/>
          <w:lang w:eastAsia="bg-BG"/>
        </w:rPr>
        <w:t xml:space="preserve">възстановяване в урината (приблизително 19% непроменено лекарство, приблизително 2,5% за </w:t>
      </w:r>
      <w:r w:rsidRPr="00AF0F55">
        <w:rPr>
          <w:rFonts w:eastAsia="Times New Roman" w:cs="Arial"/>
          <w:color w:val="000000"/>
          <w:lang w:val="en-US"/>
        </w:rPr>
        <w:t xml:space="preserve">Ml </w:t>
      </w:r>
      <w:r w:rsidRPr="00AF0F55">
        <w:rPr>
          <w:rFonts w:eastAsia="Times New Roman" w:cs="Arial"/>
          <w:color w:val="000000"/>
          <w:lang w:eastAsia="bg-BG"/>
        </w:rPr>
        <w:t xml:space="preserve">и приблизително 14% за M2) и изпражненията (приблизително 25% непроменено лекарство, приблизително 36% за </w:t>
      </w:r>
      <w:r w:rsidRPr="00AF0F55">
        <w:rPr>
          <w:rFonts w:eastAsia="Times New Roman" w:cs="Arial"/>
          <w:color w:val="000000"/>
          <w:lang w:val="en-US"/>
        </w:rPr>
        <w:t xml:space="preserve">Ml, </w:t>
      </w:r>
      <w:r w:rsidRPr="00AF0F55">
        <w:rPr>
          <w:rFonts w:eastAsia="Times New Roman" w:cs="Arial"/>
          <w:color w:val="000000"/>
          <w:lang w:eastAsia="bg-BG"/>
        </w:rPr>
        <w:t>и не се установява за M2) общо приблизително 96%.</w:t>
      </w:r>
    </w:p>
    <w:p w14:paraId="6D973FD9" w14:textId="77777777" w:rsidR="00AF0F55" w:rsidRPr="00AF0F55" w:rsidRDefault="00AF0F55" w:rsidP="00AF0F55">
      <w:pPr>
        <w:spacing w:line="240" w:lineRule="auto"/>
        <w:rPr>
          <w:rFonts w:eastAsia="Times New Roman" w:cs="Arial"/>
          <w:color w:val="000000"/>
          <w:lang w:eastAsia="bg-BG"/>
        </w:rPr>
      </w:pPr>
    </w:p>
    <w:p w14:paraId="17A999B3" w14:textId="37FC856C" w:rsidR="00AF0F55" w:rsidRPr="00AF0F55" w:rsidRDefault="00AF0F55" w:rsidP="00AF0F55">
      <w:pPr>
        <w:spacing w:line="240" w:lineRule="auto"/>
        <w:rPr>
          <w:rFonts w:eastAsia="Times New Roman" w:cs="Arial"/>
          <w:lang w:eastAsia="bg-BG"/>
        </w:rPr>
      </w:pPr>
      <w:r w:rsidRPr="00AF0F55">
        <w:rPr>
          <w:rFonts w:eastAsia="Times New Roman" w:cs="Arial"/>
          <w:color w:val="000000"/>
          <w:lang w:eastAsia="bg-BG"/>
        </w:rPr>
        <w:lastRenderedPageBreak/>
        <w:t>Едновременното приложение на моксифлоксацин с ранитидин или пробенецид не променя бъбречния клирънс на лекарството.</w:t>
      </w:r>
    </w:p>
    <w:p w14:paraId="0D2415E6" w14:textId="77777777" w:rsidR="00AF0F55" w:rsidRPr="00AF0F55" w:rsidRDefault="00AF0F55" w:rsidP="00AF0F55">
      <w:pPr>
        <w:spacing w:line="240" w:lineRule="auto"/>
        <w:rPr>
          <w:rFonts w:eastAsia="Times New Roman" w:cs="Arial"/>
          <w:i/>
          <w:iCs/>
          <w:color w:val="000000"/>
          <w:lang w:eastAsia="bg-BG"/>
        </w:rPr>
      </w:pPr>
    </w:p>
    <w:p w14:paraId="607A1F2C" w14:textId="2EDA70BF" w:rsidR="00AF0F55" w:rsidRPr="00AF0F55" w:rsidRDefault="00AF0F55" w:rsidP="00AF0F55">
      <w:pPr>
        <w:spacing w:line="240" w:lineRule="auto"/>
        <w:rPr>
          <w:rFonts w:eastAsia="Times New Roman" w:cs="Arial"/>
          <w:lang w:eastAsia="bg-BG"/>
        </w:rPr>
      </w:pPr>
      <w:r w:rsidRPr="00AF0F55">
        <w:rPr>
          <w:rFonts w:eastAsia="Times New Roman" w:cs="Arial"/>
          <w:i/>
          <w:iCs/>
          <w:color w:val="000000"/>
          <w:lang w:eastAsia="bg-BG"/>
        </w:rPr>
        <w:t>Старческа възраст и пациенти с ниско телесно тегло</w:t>
      </w:r>
    </w:p>
    <w:p w14:paraId="480ACF33" w14:textId="77777777" w:rsidR="00AF0F55" w:rsidRPr="00AF0F55" w:rsidRDefault="00AF0F55" w:rsidP="00AF0F55">
      <w:pPr>
        <w:spacing w:line="240" w:lineRule="auto"/>
        <w:rPr>
          <w:rFonts w:eastAsia="Times New Roman" w:cs="Arial"/>
          <w:lang w:eastAsia="bg-BG"/>
        </w:rPr>
      </w:pPr>
      <w:r w:rsidRPr="00AF0F55">
        <w:rPr>
          <w:rFonts w:eastAsia="Times New Roman" w:cs="Arial"/>
          <w:color w:val="000000"/>
          <w:lang w:eastAsia="bg-BG"/>
        </w:rPr>
        <w:t>По-високи плазмени концентрации са наблюдавани при здрави доброволци с ниско телесно тегло (като жени) и при доброволци в старческа възраст.</w:t>
      </w:r>
    </w:p>
    <w:p w14:paraId="518678F0" w14:textId="77777777" w:rsidR="00AF0F55" w:rsidRPr="00AF0F55" w:rsidRDefault="00AF0F55" w:rsidP="00AF0F55">
      <w:pPr>
        <w:spacing w:line="240" w:lineRule="auto"/>
        <w:rPr>
          <w:rFonts w:eastAsia="Times New Roman" w:cs="Arial"/>
          <w:i/>
          <w:iCs/>
          <w:color w:val="000000"/>
          <w:lang w:eastAsia="bg-BG"/>
        </w:rPr>
      </w:pPr>
    </w:p>
    <w:p w14:paraId="61BBA6CD" w14:textId="2F725DD5" w:rsidR="00AF0F55" w:rsidRPr="00AF0F55" w:rsidRDefault="00AF0F55" w:rsidP="00AF0F55">
      <w:pPr>
        <w:spacing w:line="240" w:lineRule="auto"/>
        <w:rPr>
          <w:rFonts w:eastAsia="Times New Roman" w:cs="Arial"/>
          <w:lang w:eastAsia="bg-BG"/>
        </w:rPr>
      </w:pPr>
      <w:r w:rsidRPr="00AF0F55">
        <w:rPr>
          <w:rFonts w:eastAsia="Times New Roman" w:cs="Arial"/>
          <w:i/>
          <w:iCs/>
          <w:color w:val="000000"/>
          <w:lang w:eastAsia="bg-BG"/>
        </w:rPr>
        <w:t>Пациенти с бъбречно увреждане</w:t>
      </w:r>
    </w:p>
    <w:p w14:paraId="76FAE70D" w14:textId="77777777" w:rsidR="00AF0F55" w:rsidRPr="00AF0F55" w:rsidRDefault="00AF0F55" w:rsidP="00AF0F55">
      <w:pPr>
        <w:spacing w:line="240" w:lineRule="auto"/>
        <w:rPr>
          <w:rFonts w:eastAsia="Times New Roman" w:cs="Arial"/>
          <w:lang w:eastAsia="bg-BG"/>
        </w:rPr>
      </w:pPr>
      <w:r w:rsidRPr="00AF0F55">
        <w:rPr>
          <w:rFonts w:eastAsia="Times New Roman" w:cs="Arial"/>
          <w:color w:val="000000"/>
          <w:lang w:eastAsia="bg-BG"/>
        </w:rPr>
        <w:t xml:space="preserve">Фармакокинетичните свойства на моксифлоксацин не са значително различни при пациенти с бъбречно увреждане (включително креатининов клирънс &gt; 20 </w:t>
      </w:r>
      <w:r w:rsidRPr="00AF0F55">
        <w:rPr>
          <w:rFonts w:eastAsia="Times New Roman" w:cs="Arial"/>
          <w:color w:val="000000"/>
          <w:lang w:val="en-US"/>
        </w:rPr>
        <w:t>ml/min/1</w:t>
      </w:r>
      <w:r w:rsidRPr="00AF0F55">
        <w:rPr>
          <w:rFonts w:eastAsia="Times New Roman" w:cs="Arial"/>
          <w:color w:val="000000"/>
          <w:lang w:eastAsia="bg-BG"/>
        </w:rPr>
        <w:t xml:space="preserve">.73 </w:t>
      </w:r>
      <w:r w:rsidRPr="00AF0F55">
        <w:rPr>
          <w:rFonts w:eastAsia="Times New Roman" w:cs="Arial"/>
          <w:color w:val="000000"/>
          <w:lang w:val="en-US"/>
        </w:rPr>
        <w:t>m</w:t>
      </w:r>
      <w:r w:rsidRPr="00AF0F55">
        <w:rPr>
          <w:rFonts w:eastAsia="Times New Roman" w:cs="Arial"/>
          <w:color w:val="000000"/>
          <w:vertAlign w:val="superscript"/>
          <w:lang w:val="en-US"/>
        </w:rPr>
        <w:t>2</w:t>
      </w:r>
      <w:r w:rsidRPr="00AF0F55">
        <w:rPr>
          <w:rFonts w:eastAsia="Times New Roman" w:cs="Arial"/>
          <w:color w:val="000000"/>
          <w:lang w:val="en-US"/>
        </w:rPr>
        <w:t xml:space="preserve">). </w:t>
      </w:r>
      <w:r w:rsidRPr="00AF0F55">
        <w:rPr>
          <w:rFonts w:eastAsia="Times New Roman" w:cs="Arial"/>
          <w:color w:val="000000"/>
          <w:lang w:eastAsia="bg-BG"/>
        </w:rPr>
        <w:t xml:space="preserve">Тъй като бъбречната функция се понижава, концентрацията на метаболит M2 (глкжуронид) се повишава с фактор 2,5 (креатининов клирънс &lt; 30 </w:t>
      </w:r>
      <w:r w:rsidRPr="00AF0F55">
        <w:rPr>
          <w:rFonts w:eastAsia="Times New Roman" w:cs="Arial"/>
          <w:color w:val="000000"/>
          <w:lang w:val="en-US"/>
        </w:rPr>
        <w:t>ml/min/</w:t>
      </w:r>
      <w:r w:rsidRPr="00AF0F55">
        <w:rPr>
          <w:rFonts w:eastAsia="Times New Roman" w:cs="Arial"/>
          <w:color w:val="000000"/>
          <w:lang w:eastAsia="bg-BG"/>
        </w:rPr>
        <w:t xml:space="preserve">1.73 </w:t>
      </w:r>
      <w:r w:rsidRPr="00AF0F55">
        <w:rPr>
          <w:rFonts w:eastAsia="Times New Roman" w:cs="Arial"/>
          <w:color w:val="000000"/>
          <w:lang w:val="en-US"/>
        </w:rPr>
        <w:t>m</w:t>
      </w:r>
      <w:r w:rsidRPr="00AF0F55">
        <w:rPr>
          <w:rFonts w:eastAsia="Times New Roman" w:cs="Arial"/>
          <w:color w:val="000000"/>
          <w:vertAlign w:val="superscript"/>
          <w:lang w:val="en-US"/>
        </w:rPr>
        <w:t>2</w:t>
      </w:r>
      <w:r w:rsidRPr="00AF0F55">
        <w:rPr>
          <w:rFonts w:eastAsia="Times New Roman" w:cs="Arial"/>
          <w:color w:val="000000"/>
          <w:lang w:val="en-US"/>
        </w:rPr>
        <w:t>).</w:t>
      </w:r>
    </w:p>
    <w:p w14:paraId="7AABE4B8" w14:textId="77777777" w:rsidR="00AF0F55" w:rsidRPr="00AF0F55" w:rsidRDefault="00AF0F55" w:rsidP="00AF0F55">
      <w:pPr>
        <w:spacing w:line="240" w:lineRule="auto"/>
        <w:rPr>
          <w:rFonts w:eastAsia="Times New Roman" w:cs="Arial"/>
          <w:i/>
          <w:iCs/>
          <w:color w:val="000000"/>
          <w:lang w:eastAsia="bg-BG"/>
        </w:rPr>
      </w:pPr>
    </w:p>
    <w:p w14:paraId="127EE319" w14:textId="39F15738" w:rsidR="00AF0F55" w:rsidRPr="00AF0F55" w:rsidRDefault="00AF0F55" w:rsidP="00AF0F55">
      <w:pPr>
        <w:spacing w:line="240" w:lineRule="auto"/>
        <w:rPr>
          <w:rFonts w:eastAsia="Times New Roman" w:cs="Arial"/>
          <w:lang w:eastAsia="bg-BG"/>
        </w:rPr>
      </w:pPr>
      <w:r w:rsidRPr="00AF0F55">
        <w:rPr>
          <w:rFonts w:eastAsia="Times New Roman" w:cs="Arial"/>
          <w:i/>
          <w:iCs/>
          <w:color w:val="000000"/>
          <w:lang w:eastAsia="bg-BG"/>
        </w:rPr>
        <w:t>Пациенти с чернодробно увреждане</w:t>
      </w:r>
    </w:p>
    <w:p w14:paraId="63E6303C" w14:textId="3729E84E" w:rsidR="00AF0F55" w:rsidRPr="00AF0F55" w:rsidRDefault="00AF0F55" w:rsidP="00AF0F55">
      <w:pPr>
        <w:spacing w:line="240" w:lineRule="auto"/>
        <w:rPr>
          <w:rFonts w:eastAsia="Times New Roman" w:cs="Arial"/>
          <w:lang w:eastAsia="bg-BG"/>
        </w:rPr>
      </w:pPr>
      <w:r w:rsidRPr="00AF0F55">
        <w:rPr>
          <w:rFonts w:eastAsia="Times New Roman" w:cs="Arial"/>
          <w:color w:val="000000"/>
          <w:lang w:eastAsia="bg-BG"/>
        </w:rPr>
        <w:t xml:space="preserve">Въз основа на фармакокинетичните проучвания, проведени до сега при пациенти с чернодробна недостатъчност </w:t>
      </w:r>
      <w:r w:rsidRPr="00AF0F55">
        <w:rPr>
          <w:rFonts w:eastAsia="Times New Roman" w:cs="Arial"/>
          <w:color w:val="000000"/>
          <w:lang w:val="en-US"/>
        </w:rPr>
        <w:t xml:space="preserve">(Child Pugh </w:t>
      </w:r>
      <w:r w:rsidRPr="00AF0F55">
        <w:rPr>
          <w:rFonts w:eastAsia="Times New Roman" w:cs="Arial"/>
          <w:color w:val="000000"/>
          <w:lang w:eastAsia="bg-BG"/>
        </w:rPr>
        <w:t>А, В), не е възможно да се определят</w:t>
      </w:r>
      <w:r w:rsidRPr="00AF0F55">
        <w:rPr>
          <w:rFonts w:eastAsia="Times New Roman" w:cs="Arial"/>
          <w:color w:val="000000"/>
          <w:lang w:val="en-US"/>
        </w:rPr>
        <w:t xml:space="preserve"> </w:t>
      </w:r>
      <w:r w:rsidRPr="00AF0F55">
        <w:rPr>
          <w:rFonts w:eastAsia="Times New Roman" w:cs="Arial"/>
          <w:color w:val="000000"/>
          <w:lang w:eastAsia="bg-BG"/>
        </w:rPr>
        <w:t>дали има различия в сравнение със здрави доброволци. Увредената чернодробна функция е свързана с</w:t>
      </w:r>
      <w:r w:rsidRPr="00AF0F55">
        <w:rPr>
          <w:rFonts w:eastAsia="Times New Roman" w:cs="Arial"/>
          <w:lang w:eastAsia="bg-BG"/>
        </w:rPr>
        <w:t xml:space="preserve"> </w:t>
      </w:r>
      <w:r w:rsidRPr="00AF0F55">
        <w:rPr>
          <w:rFonts w:eastAsia="Times New Roman" w:cs="Arial"/>
          <w:color w:val="000000"/>
          <w:lang w:eastAsia="bg-BG"/>
        </w:rPr>
        <w:t>по-продължителна експозиция с М1 в плазмата, докато експозицията на лекарството е</w:t>
      </w:r>
      <w:r>
        <w:rPr>
          <w:rFonts w:eastAsia="Times New Roman" w:cs="Arial"/>
          <w:color w:val="000000"/>
          <w:lang w:eastAsia="bg-BG"/>
        </w:rPr>
        <w:t xml:space="preserve"> </w:t>
      </w:r>
      <w:r>
        <w:rPr>
          <w:sz w:val="20"/>
          <w:szCs w:val="20"/>
        </w:rPr>
        <w:t>сравнима с експозицията при здрави доброволци. Няма достатъчно опит с клиничната употреба на моксифлоксацин при пациенти с увредена чернодробна функция.</w:t>
      </w:r>
    </w:p>
    <w:p w14:paraId="7997E7DD" w14:textId="77777777" w:rsidR="00AF0F55" w:rsidRPr="0091385D" w:rsidRDefault="00AF0F55" w:rsidP="0091385D"/>
    <w:p w14:paraId="648E39DA" w14:textId="44D16CBD" w:rsidR="00CF77F7" w:rsidRDefault="002C50EE" w:rsidP="004A448E">
      <w:pPr>
        <w:pStyle w:val="Heading2"/>
      </w:pPr>
      <w:r>
        <w:t>5.3. Предклинични данни за безопасност</w:t>
      </w:r>
    </w:p>
    <w:p w14:paraId="20E967BE" w14:textId="751DCF54" w:rsidR="0091385D" w:rsidRDefault="0091385D" w:rsidP="0091385D"/>
    <w:p w14:paraId="6805A10A" w14:textId="77777777" w:rsidR="00AF0F55" w:rsidRPr="00AF0F55" w:rsidRDefault="00AF0F55" w:rsidP="00AF0F55">
      <w:pPr>
        <w:spacing w:line="240" w:lineRule="auto"/>
        <w:rPr>
          <w:rFonts w:eastAsia="Times New Roman" w:cs="Arial"/>
          <w:sz w:val="28"/>
          <w:szCs w:val="24"/>
          <w:lang w:eastAsia="bg-BG"/>
        </w:rPr>
      </w:pPr>
      <w:r w:rsidRPr="00AF0F55">
        <w:rPr>
          <w:rFonts w:eastAsia="Times New Roman" w:cs="Arial"/>
          <w:color w:val="000000"/>
          <w:szCs w:val="20"/>
          <w:lang w:eastAsia="bg-BG"/>
        </w:rPr>
        <w:t>Ефектите върху хемопоетичната система (леко понижаване на броя на еритроцитите и тромбоцитите) са наблюдавани при плъхове и маймуни. Както при другите хинолони, хепатотоксичност (повишени чернодробни ензими и вакуолна дегенерация) е наблюдавана при плъхове, маймуни и кучета. При маймуни е наблюдавана токсичност върху ЦНС (гърчове). Тези ефекти са наблюдавани само след лечение с високи дози или след продължително лечение с моксифлоксацин.</w:t>
      </w:r>
    </w:p>
    <w:p w14:paraId="5A27994D" w14:textId="77777777" w:rsidR="00AF0F55" w:rsidRPr="00AF0F55" w:rsidRDefault="00AF0F55" w:rsidP="00AF0F55">
      <w:pPr>
        <w:spacing w:line="240" w:lineRule="auto"/>
        <w:rPr>
          <w:rFonts w:eastAsia="Times New Roman" w:cs="Arial"/>
          <w:color w:val="000000"/>
          <w:szCs w:val="20"/>
          <w:lang w:eastAsia="bg-BG"/>
        </w:rPr>
      </w:pPr>
    </w:p>
    <w:p w14:paraId="3AFFF92A" w14:textId="39A716EF" w:rsidR="00AF0F55" w:rsidRPr="00AF0F55" w:rsidRDefault="00AF0F55" w:rsidP="00AF0F55">
      <w:pPr>
        <w:spacing w:line="240" w:lineRule="auto"/>
        <w:rPr>
          <w:rFonts w:eastAsia="Times New Roman" w:cs="Arial"/>
          <w:sz w:val="28"/>
          <w:szCs w:val="24"/>
          <w:lang w:eastAsia="bg-BG"/>
        </w:rPr>
      </w:pPr>
      <w:r w:rsidRPr="00AF0F55">
        <w:rPr>
          <w:rFonts w:eastAsia="Times New Roman" w:cs="Arial"/>
          <w:color w:val="000000"/>
          <w:szCs w:val="20"/>
          <w:lang w:eastAsia="bg-BG"/>
        </w:rPr>
        <w:t>Моксифлоксацин, както другите хинолони, е генотоксичен в ин витро тестове с използването на бактерии или клетки от бозайници. Тези ефекти могат да се обяснят с взаимодействието с гиразата в бактериите и - при по-високи концентрации - с взаимодействието с топоизомераза II в клетките на бозайници, могат да се определят прагови концентрации за генотоксичност. При ин виво тестове няма данни за генотоксичност, независимо от факта, че са използвани много високи дози моксифлоксацин. По този начин могат да се установят достатъчни граници на безопасност на терапевтичната доза при хора. Моксифлоксацин не е канцерогенен в проучвания при плъхове.</w:t>
      </w:r>
    </w:p>
    <w:p w14:paraId="3AB7D65A" w14:textId="77777777" w:rsidR="00AF0F55" w:rsidRPr="00AF0F55" w:rsidRDefault="00AF0F55" w:rsidP="00AF0F55">
      <w:pPr>
        <w:spacing w:line="240" w:lineRule="auto"/>
        <w:rPr>
          <w:rFonts w:eastAsia="Times New Roman" w:cs="Arial"/>
          <w:color w:val="000000"/>
          <w:szCs w:val="20"/>
          <w:lang w:eastAsia="bg-BG"/>
        </w:rPr>
      </w:pPr>
    </w:p>
    <w:p w14:paraId="090695C1" w14:textId="30DD73FF" w:rsidR="00AF0F55" w:rsidRPr="00AF0F55" w:rsidRDefault="00AF0F55" w:rsidP="00AF0F55">
      <w:pPr>
        <w:spacing w:line="240" w:lineRule="auto"/>
        <w:rPr>
          <w:rFonts w:eastAsia="Times New Roman" w:cs="Arial"/>
          <w:sz w:val="28"/>
          <w:szCs w:val="24"/>
          <w:lang w:eastAsia="bg-BG"/>
        </w:rPr>
      </w:pPr>
      <w:r w:rsidRPr="00AF0F55">
        <w:rPr>
          <w:rFonts w:eastAsia="Times New Roman" w:cs="Arial"/>
          <w:color w:val="000000"/>
          <w:szCs w:val="20"/>
          <w:lang w:eastAsia="bg-BG"/>
        </w:rPr>
        <w:t>Много хинолони са фоточувствителни и могат да индуцират фототоксични, фотомутагенни и фотоканцерогенни ефекти. Обратно на това, доказано е, че моксифлоксацин няма фототоксични и фотогенотоксични свойства, когато е изследван в обширна програма на ин витро и ин виво проучвания. При същите условия други хинолони предизвикват ефекти.</w:t>
      </w:r>
    </w:p>
    <w:p w14:paraId="54468808" w14:textId="77777777" w:rsidR="00AF0F55" w:rsidRPr="00AF0F55" w:rsidRDefault="00AF0F55" w:rsidP="00AF0F55">
      <w:pPr>
        <w:spacing w:line="240" w:lineRule="auto"/>
        <w:rPr>
          <w:rFonts w:eastAsia="Times New Roman" w:cs="Arial"/>
          <w:color w:val="000000"/>
          <w:szCs w:val="20"/>
          <w:lang w:eastAsia="bg-BG"/>
        </w:rPr>
      </w:pPr>
    </w:p>
    <w:p w14:paraId="5CABCA41" w14:textId="24DD2E50" w:rsidR="00AF0F55" w:rsidRPr="00AF0F55" w:rsidRDefault="00AF0F55" w:rsidP="00AF0F55">
      <w:pPr>
        <w:spacing w:line="240" w:lineRule="auto"/>
        <w:rPr>
          <w:rFonts w:eastAsia="Times New Roman" w:cs="Arial"/>
          <w:sz w:val="28"/>
          <w:szCs w:val="24"/>
          <w:lang w:eastAsia="bg-BG"/>
        </w:rPr>
      </w:pPr>
      <w:r w:rsidRPr="00AF0F55">
        <w:rPr>
          <w:rFonts w:eastAsia="Times New Roman" w:cs="Arial"/>
          <w:color w:val="000000"/>
          <w:szCs w:val="20"/>
          <w:lang w:eastAsia="bg-BG"/>
        </w:rPr>
        <w:t xml:space="preserve">Във високи концентрации моксифлоксацин е инхибитор на бързата компонента на бавното възстановяване на калиевата помпа на сърцето и може да причини удължаване на </w:t>
      </w:r>
      <w:r w:rsidRPr="00AF0F55">
        <w:rPr>
          <w:rFonts w:eastAsia="Times New Roman" w:cs="Arial"/>
          <w:color w:val="000000"/>
          <w:szCs w:val="20"/>
          <w:lang w:val="en-US"/>
        </w:rPr>
        <w:t xml:space="preserve">QT </w:t>
      </w:r>
      <w:r w:rsidRPr="00AF0F55">
        <w:rPr>
          <w:rFonts w:eastAsia="Times New Roman" w:cs="Arial"/>
          <w:color w:val="000000"/>
          <w:szCs w:val="20"/>
          <w:lang w:eastAsia="bg-BG"/>
        </w:rPr>
        <w:t xml:space="preserve">интервала. Токсикологични проучвания на кучета с перорална доза ≥ 90 </w:t>
      </w:r>
      <w:r w:rsidRPr="00AF0F55">
        <w:rPr>
          <w:rFonts w:eastAsia="Times New Roman" w:cs="Arial"/>
          <w:color w:val="000000"/>
          <w:szCs w:val="20"/>
          <w:lang w:val="en-US"/>
        </w:rPr>
        <w:t xml:space="preserve">mg/kg </w:t>
      </w:r>
      <w:r w:rsidRPr="00AF0F55">
        <w:rPr>
          <w:rFonts w:eastAsia="Times New Roman" w:cs="Arial"/>
          <w:color w:val="000000"/>
          <w:szCs w:val="20"/>
          <w:lang w:eastAsia="bg-BG"/>
        </w:rPr>
        <w:t>водещи до плазмени концентрации ≥</w:t>
      </w:r>
      <w:r w:rsidRPr="00AF0F55">
        <w:rPr>
          <w:rFonts w:eastAsia="Times New Roman" w:cs="Arial"/>
          <w:color w:val="000000"/>
          <w:szCs w:val="20"/>
          <w:lang w:val="en-US"/>
        </w:rPr>
        <w:t xml:space="preserve"> </w:t>
      </w:r>
      <w:r w:rsidRPr="00AF0F55">
        <w:rPr>
          <w:rFonts w:eastAsia="Times New Roman" w:cs="Arial"/>
          <w:color w:val="000000"/>
          <w:szCs w:val="20"/>
          <w:lang w:eastAsia="bg-BG"/>
        </w:rPr>
        <w:t xml:space="preserve">16 </w:t>
      </w:r>
      <w:r w:rsidRPr="00AF0F55">
        <w:rPr>
          <w:rFonts w:eastAsia="Times New Roman" w:cs="Arial"/>
          <w:color w:val="000000"/>
          <w:szCs w:val="20"/>
          <w:lang w:val="en-US"/>
        </w:rPr>
        <w:t xml:space="preserve">mg/l </w:t>
      </w:r>
      <w:r w:rsidRPr="00AF0F55">
        <w:rPr>
          <w:rFonts w:eastAsia="Times New Roman" w:cs="Arial"/>
          <w:color w:val="000000"/>
          <w:szCs w:val="20"/>
          <w:lang w:eastAsia="bg-BG"/>
        </w:rPr>
        <w:t xml:space="preserve">причиняват удължаване на </w:t>
      </w:r>
      <w:r w:rsidRPr="00AF0F55">
        <w:rPr>
          <w:rFonts w:eastAsia="Times New Roman" w:cs="Arial"/>
          <w:color w:val="000000"/>
          <w:szCs w:val="20"/>
          <w:lang w:val="en-US"/>
        </w:rPr>
        <w:t xml:space="preserve">QT </w:t>
      </w:r>
      <w:r w:rsidRPr="00AF0F55">
        <w:rPr>
          <w:rFonts w:eastAsia="Times New Roman" w:cs="Arial"/>
          <w:color w:val="000000"/>
          <w:szCs w:val="20"/>
          <w:lang w:eastAsia="bg-BG"/>
        </w:rPr>
        <w:t xml:space="preserve">интервала, но </w:t>
      </w:r>
      <w:r w:rsidRPr="00AF0F55">
        <w:rPr>
          <w:rFonts w:eastAsia="Times New Roman" w:cs="Arial"/>
          <w:color w:val="000000"/>
          <w:szCs w:val="20"/>
          <w:lang w:eastAsia="bg-BG"/>
        </w:rPr>
        <w:lastRenderedPageBreak/>
        <w:t xml:space="preserve">не аритмия. Само след приложение на много високи кумулативни интравенозни дози 50 пъти по-високи от дозата при хора, (&gt; 300 </w:t>
      </w:r>
      <w:r w:rsidRPr="00AF0F55">
        <w:rPr>
          <w:rFonts w:eastAsia="Times New Roman" w:cs="Arial"/>
          <w:color w:val="000000"/>
          <w:szCs w:val="20"/>
          <w:lang w:val="en-US"/>
        </w:rPr>
        <w:t xml:space="preserve">mg/kg), </w:t>
      </w:r>
      <w:r w:rsidRPr="00AF0F55">
        <w:rPr>
          <w:rFonts w:eastAsia="Times New Roman" w:cs="Arial"/>
          <w:color w:val="000000"/>
          <w:szCs w:val="20"/>
          <w:lang w:eastAsia="bg-BG"/>
        </w:rPr>
        <w:t xml:space="preserve">водещи до плазмена концентрация ≥ 200 </w:t>
      </w:r>
      <w:r w:rsidRPr="00AF0F55">
        <w:rPr>
          <w:rFonts w:eastAsia="Times New Roman" w:cs="Arial"/>
          <w:color w:val="000000"/>
          <w:szCs w:val="20"/>
          <w:lang w:val="en-US"/>
        </w:rPr>
        <w:t xml:space="preserve">mg/l </w:t>
      </w:r>
      <w:r w:rsidRPr="00AF0F55">
        <w:rPr>
          <w:rFonts w:eastAsia="Times New Roman" w:cs="Arial"/>
          <w:color w:val="000000"/>
          <w:szCs w:val="20"/>
          <w:lang w:eastAsia="bg-BG"/>
        </w:rPr>
        <w:t>(над 40-кратно увеличение на терапевтично ниво), са наблюдавани обратими, нефатални камерни аритмии.</w:t>
      </w:r>
    </w:p>
    <w:p w14:paraId="02F5DBBC" w14:textId="77777777" w:rsidR="00AF0F55" w:rsidRPr="00AF0F55" w:rsidRDefault="00AF0F55" w:rsidP="00AF0F55">
      <w:pPr>
        <w:spacing w:line="240" w:lineRule="auto"/>
        <w:rPr>
          <w:rFonts w:eastAsia="Times New Roman" w:cs="Arial"/>
          <w:color w:val="000000"/>
          <w:szCs w:val="20"/>
          <w:lang w:eastAsia="bg-BG"/>
        </w:rPr>
      </w:pPr>
    </w:p>
    <w:p w14:paraId="457B01D8" w14:textId="4075D193" w:rsidR="00AF0F55" w:rsidRPr="00AF0F55" w:rsidRDefault="00AF0F55" w:rsidP="00AF0F55">
      <w:pPr>
        <w:spacing w:line="240" w:lineRule="auto"/>
        <w:rPr>
          <w:rFonts w:eastAsia="Times New Roman" w:cs="Arial"/>
          <w:sz w:val="28"/>
          <w:szCs w:val="24"/>
          <w:lang w:eastAsia="bg-BG"/>
        </w:rPr>
      </w:pPr>
      <w:r w:rsidRPr="00AF0F55">
        <w:rPr>
          <w:rFonts w:eastAsia="Times New Roman" w:cs="Arial"/>
          <w:color w:val="000000"/>
          <w:szCs w:val="20"/>
          <w:lang w:eastAsia="bg-BG"/>
        </w:rPr>
        <w:t xml:space="preserve">Известно е, че хинолоните причиняват увреждания на хрущяла на големите свързващи стави при недоносени животни. Най-ниската перорална доза на моксифлоксацин, причиняваща токсичност на ставите при млади кучета, е 4 пъти по-висока от максималната препоръчителната терапевтична доза от 400 </w:t>
      </w:r>
      <w:r w:rsidRPr="00AF0F55">
        <w:rPr>
          <w:rFonts w:eastAsia="Times New Roman" w:cs="Arial"/>
          <w:color w:val="000000"/>
          <w:szCs w:val="20"/>
          <w:lang w:val="en-US"/>
        </w:rPr>
        <w:t xml:space="preserve">mg </w:t>
      </w:r>
      <w:r w:rsidRPr="00AF0F55">
        <w:rPr>
          <w:rFonts w:eastAsia="Times New Roman" w:cs="Arial"/>
          <w:color w:val="000000"/>
          <w:szCs w:val="20"/>
          <w:lang w:eastAsia="bg-BG"/>
        </w:rPr>
        <w:t xml:space="preserve">(за 50 </w:t>
      </w:r>
      <w:r w:rsidRPr="00AF0F55">
        <w:rPr>
          <w:rFonts w:eastAsia="Times New Roman" w:cs="Arial"/>
          <w:color w:val="000000"/>
          <w:szCs w:val="20"/>
          <w:lang w:val="en-US"/>
        </w:rPr>
        <w:t xml:space="preserve">kg </w:t>
      </w:r>
      <w:r w:rsidRPr="00AF0F55">
        <w:rPr>
          <w:rFonts w:eastAsia="Times New Roman" w:cs="Arial"/>
          <w:color w:val="000000"/>
          <w:szCs w:val="20"/>
          <w:lang w:eastAsia="bg-BG"/>
        </w:rPr>
        <w:t xml:space="preserve">телесно тегло) на база </w:t>
      </w:r>
      <w:r w:rsidRPr="00AF0F55">
        <w:rPr>
          <w:rFonts w:eastAsia="Times New Roman" w:cs="Arial"/>
          <w:color w:val="000000"/>
          <w:szCs w:val="20"/>
          <w:lang w:val="en-US"/>
        </w:rPr>
        <w:t xml:space="preserve">mg/kg, </w:t>
      </w:r>
      <w:r w:rsidRPr="00AF0F55">
        <w:rPr>
          <w:rFonts w:eastAsia="Times New Roman" w:cs="Arial"/>
          <w:color w:val="000000"/>
          <w:szCs w:val="20"/>
          <w:lang w:eastAsia="bg-BG"/>
        </w:rPr>
        <w:t>с плазмени концентрации 2 до 3 пъти по-високи от максималната терапевтична доза.</w:t>
      </w:r>
    </w:p>
    <w:p w14:paraId="41DBB5E0" w14:textId="77777777" w:rsidR="00AF0F55" w:rsidRPr="00AF0F55" w:rsidRDefault="00AF0F55" w:rsidP="00AF0F55">
      <w:pPr>
        <w:spacing w:line="240" w:lineRule="auto"/>
        <w:rPr>
          <w:rFonts w:eastAsia="Times New Roman" w:cs="Arial"/>
          <w:color w:val="000000"/>
          <w:szCs w:val="20"/>
          <w:lang w:eastAsia="bg-BG"/>
        </w:rPr>
      </w:pPr>
    </w:p>
    <w:p w14:paraId="1B029A55" w14:textId="2CFB5AEB" w:rsidR="00AF0F55" w:rsidRPr="00AF0F55" w:rsidRDefault="00AF0F55" w:rsidP="00AF0F55">
      <w:pPr>
        <w:spacing w:line="240" w:lineRule="auto"/>
        <w:rPr>
          <w:rFonts w:eastAsia="Times New Roman" w:cs="Arial"/>
          <w:sz w:val="28"/>
          <w:szCs w:val="24"/>
          <w:lang w:eastAsia="bg-BG"/>
        </w:rPr>
      </w:pPr>
      <w:r w:rsidRPr="00AF0F55">
        <w:rPr>
          <w:rFonts w:eastAsia="Times New Roman" w:cs="Arial"/>
          <w:color w:val="000000"/>
          <w:szCs w:val="20"/>
          <w:lang w:eastAsia="bg-BG"/>
        </w:rPr>
        <w:t xml:space="preserve">Изследванията за токсичност при плъхове и маймуни (повторно дозиране до шест месеца), не показват данни за токсичност за очите. При кучета високите перорални дози (≥ 60 </w:t>
      </w:r>
      <w:r w:rsidRPr="00AF0F55">
        <w:rPr>
          <w:rFonts w:eastAsia="Times New Roman" w:cs="Arial"/>
          <w:color w:val="000000"/>
          <w:szCs w:val="20"/>
          <w:lang w:val="en-US"/>
        </w:rPr>
        <w:t xml:space="preserve">mg/kg) </w:t>
      </w:r>
      <w:r w:rsidRPr="00AF0F55">
        <w:rPr>
          <w:rFonts w:eastAsia="Times New Roman" w:cs="Arial"/>
          <w:color w:val="000000"/>
          <w:szCs w:val="20"/>
          <w:lang w:eastAsia="bg-BG"/>
        </w:rPr>
        <w:t xml:space="preserve">водят до плазмени концентрации ≥ 20 </w:t>
      </w:r>
      <w:r w:rsidRPr="00AF0F55">
        <w:rPr>
          <w:rFonts w:eastAsia="Times New Roman" w:cs="Arial"/>
          <w:color w:val="000000"/>
          <w:szCs w:val="20"/>
          <w:lang w:val="en-US"/>
        </w:rPr>
        <w:t xml:space="preserve">mg/l </w:t>
      </w:r>
      <w:r w:rsidRPr="00AF0F55">
        <w:rPr>
          <w:rFonts w:eastAsia="Times New Roman" w:cs="Arial"/>
          <w:color w:val="000000"/>
          <w:szCs w:val="20"/>
          <w:lang w:eastAsia="bg-BG"/>
        </w:rPr>
        <w:t>причиняват промени в елекгроретинограмата и, в отделни случаи, атрофия на ретината.</w:t>
      </w:r>
    </w:p>
    <w:p w14:paraId="40F0B0C4" w14:textId="77777777" w:rsidR="00AF0F55" w:rsidRPr="00AF0F55" w:rsidRDefault="00AF0F55" w:rsidP="00AF0F55">
      <w:pPr>
        <w:rPr>
          <w:rFonts w:eastAsia="Times New Roman" w:cs="Arial"/>
          <w:color w:val="000000"/>
          <w:szCs w:val="20"/>
          <w:lang w:eastAsia="bg-BG"/>
        </w:rPr>
      </w:pPr>
    </w:p>
    <w:p w14:paraId="13A7B62A" w14:textId="20F64643" w:rsidR="007A2185" w:rsidRPr="00AF0F55" w:rsidRDefault="00AF0F55" w:rsidP="00AF0F55">
      <w:pPr>
        <w:rPr>
          <w:rFonts w:cs="Arial"/>
          <w:sz w:val="24"/>
        </w:rPr>
      </w:pPr>
      <w:r w:rsidRPr="00AF0F55">
        <w:rPr>
          <w:rFonts w:eastAsia="Times New Roman" w:cs="Arial"/>
          <w:color w:val="000000"/>
          <w:szCs w:val="20"/>
          <w:lang w:eastAsia="bg-BG"/>
        </w:rPr>
        <w:t>Проучвания върху репродукцията, извършени при плъхове, зайци и маймуни показват преминаване на моксифлоксацин през плацентата. Проучванията при плъхове (перорално и интравенозно) и маймуни (перорално) не представят доказателства за тератогенност или увреждане на фертилитета след приложение на моксифлоксацин. Леко повишена честота на малформации на прешлени и ребра са наблюдавани при зародишите на зайци, но</w:t>
      </w:r>
      <w:r w:rsidRPr="00AF0F55">
        <w:rPr>
          <w:rFonts w:eastAsia="Times New Roman" w:cs="Arial"/>
          <w:color w:val="000000"/>
          <w:szCs w:val="20"/>
          <w:lang w:val="en-US"/>
        </w:rPr>
        <w:t xml:space="preserve"> </w:t>
      </w:r>
      <w:r w:rsidRPr="00AF0F55">
        <w:rPr>
          <w:rFonts w:eastAsia="Times New Roman" w:cs="Arial"/>
          <w:color w:val="000000"/>
          <w:szCs w:val="20"/>
          <w:lang w:eastAsia="bg-BG"/>
        </w:rPr>
        <w:t xml:space="preserve">само при доза (20 </w:t>
      </w:r>
      <w:r w:rsidRPr="00AF0F55">
        <w:rPr>
          <w:rFonts w:eastAsia="Times New Roman" w:cs="Arial"/>
          <w:color w:val="000000"/>
          <w:szCs w:val="20"/>
          <w:lang w:val="en-US"/>
        </w:rPr>
        <w:t xml:space="preserve">mg/kg </w:t>
      </w:r>
      <w:proofErr w:type="spellStart"/>
      <w:r w:rsidRPr="00AF0F55">
        <w:rPr>
          <w:rFonts w:eastAsia="Times New Roman" w:cs="Arial"/>
          <w:color w:val="000000"/>
          <w:szCs w:val="20"/>
          <w:lang w:val="en-US"/>
        </w:rPr>
        <w:t>i.v.</w:t>
      </w:r>
      <w:proofErr w:type="spellEnd"/>
      <w:r w:rsidRPr="00AF0F55">
        <w:rPr>
          <w:rFonts w:eastAsia="Times New Roman" w:cs="Arial"/>
          <w:color w:val="000000"/>
          <w:szCs w:val="20"/>
          <w:lang w:val="en-US"/>
        </w:rPr>
        <w:t xml:space="preserve">) </w:t>
      </w:r>
      <w:r w:rsidRPr="00AF0F55">
        <w:rPr>
          <w:rFonts w:eastAsia="Times New Roman" w:cs="Arial"/>
          <w:color w:val="000000"/>
          <w:szCs w:val="20"/>
          <w:lang w:eastAsia="bg-BG"/>
        </w:rPr>
        <w:t xml:space="preserve">което е свързано с тежка токсичност за майката. Има повишаване на честотата  на абортите при маймуни и зайци с човешки терапевтични плазмени концентрации. При плъхове е установено понижаване на телесното тегло на плода, по-голям брой аборти, леко повишена продължителност на бременността и повишена спонтанна активност при някоя от </w:t>
      </w:r>
      <w:r w:rsidRPr="00AF0F55">
        <w:rPr>
          <w:rFonts w:cs="Arial"/>
          <w:szCs w:val="20"/>
        </w:rPr>
        <w:t xml:space="preserve">потомството от двата пола, при употреба на дози, които са 63 пъти по-високи от максималната препоръчвана доза на база </w:t>
      </w:r>
      <w:r w:rsidRPr="00AF0F55">
        <w:rPr>
          <w:rFonts w:cs="Arial"/>
          <w:szCs w:val="20"/>
          <w:lang w:val="en-US"/>
        </w:rPr>
        <w:t xml:space="preserve">mg/kg </w:t>
      </w:r>
      <w:r w:rsidRPr="00AF0F55">
        <w:rPr>
          <w:rFonts w:cs="Arial"/>
          <w:szCs w:val="20"/>
        </w:rPr>
        <w:t>телесно тегло в сравнение с човешката терапевтична доза.</w:t>
      </w:r>
    </w:p>
    <w:p w14:paraId="12FFA9B2" w14:textId="77777777" w:rsidR="007A2185" w:rsidRPr="0091385D" w:rsidRDefault="007A2185" w:rsidP="0091385D"/>
    <w:p w14:paraId="6A7820AB" w14:textId="353DB6D2" w:rsidR="008A6AF2" w:rsidRDefault="002C50EE" w:rsidP="00395555">
      <w:pPr>
        <w:pStyle w:val="Heading1"/>
      </w:pPr>
      <w:r>
        <w:t>7. ПРИТЕЖАТЕЛ НА РАЗРЕШЕНИЕТО ЗА УПОТРЕБА</w:t>
      </w:r>
    </w:p>
    <w:p w14:paraId="1B9B651E" w14:textId="24042B6C" w:rsidR="0091385D" w:rsidRDefault="0091385D" w:rsidP="0091385D"/>
    <w:p w14:paraId="6DF7F37B" w14:textId="77777777" w:rsidR="00AF0F55" w:rsidRPr="00AF0F55" w:rsidRDefault="00AF0F55" w:rsidP="00AF0F55">
      <w:pPr>
        <w:spacing w:line="240" w:lineRule="auto"/>
        <w:rPr>
          <w:rFonts w:eastAsia="Times New Roman" w:cs="Arial"/>
          <w:sz w:val="28"/>
          <w:szCs w:val="24"/>
          <w:lang w:val="en-US" w:eastAsia="bg-BG"/>
        </w:rPr>
      </w:pPr>
      <w:r w:rsidRPr="00AF0F55">
        <w:rPr>
          <w:rFonts w:eastAsia="Times New Roman" w:cs="Arial"/>
          <w:color w:val="000000"/>
          <w:szCs w:val="20"/>
          <w:lang w:val="en-US"/>
        </w:rPr>
        <w:t xml:space="preserve">Sandoz </w:t>
      </w:r>
      <w:proofErr w:type="spellStart"/>
      <w:r w:rsidRPr="00AF0F55">
        <w:rPr>
          <w:rFonts w:eastAsia="Times New Roman" w:cs="Arial"/>
          <w:color w:val="000000"/>
          <w:szCs w:val="20"/>
          <w:lang w:val="en-US"/>
        </w:rPr>
        <w:t>d.d</w:t>
      </w:r>
      <w:proofErr w:type="spellEnd"/>
      <w:r w:rsidRPr="00AF0F55">
        <w:rPr>
          <w:rFonts w:eastAsia="Times New Roman" w:cs="Arial"/>
          <w:color w:val="000000"/>
          <w:szCs w:val="20"/>
          <w:lang w:val="en-US"/>
        </w:rPr>
        <w:t>.</w:t>
      </w:r>
    </w:p>
    <w:p w14:paraId="6F13FB5A" w14:textId="77777777" w:rsidR="00AF0F55" w:rsidRPr="00AF0F55" w:rsidRDefault="00AF0F55" w:rsidP="00AF0F55">
      <w:pPr>
        <w:rPr>
          <w:rFonts w:eastAsia="Times New Roman" w:cs="Arial"/>
          <w:color w:val="000000"/>
          <w:szCs w:val="20"/>
          <w:lang w:val="en-US"/>
        </w:rPr>
      </w:pPr>
      <w:r w:rsidRPr="00AF0F55">
        <w:rPr>
          <w:rFonts w:eastAsia="Times New Roman" w:cs="Arial"/>
          <w:color w:val="000000"/>
          <w:szCs w:val="20"/>
          <w:lang w:eastAsia="bg-BG"/>
        </w:rPr>
        <w:t>Verovškova</w:t>
      </w:r>
      <w:r w:rsidRPr="00AF0F55">
        <w:rPr>
          <w:rFonts w:eastAsia="Times New Roman" w:cs="Arial"/>
          <w:color w:val="000000"/>
          <w:szCs w:val="20"/>
          <w:lang w:val="en-US"/>
        </w:rPr>
        <w:t xml:space="preserve"> 57, 1000 Ljubljana, </w:t>
      </w:r>
    </w:p>
    <w:p w14:paraId="4F02909F" w14:textId="4E42ADD7" w:rsidR="007A2185" w:rsidRPr="00AF0F55" w:rsidRDefault="00AF0F55" w:rsidP="00AF0F55">
      <w:pPr>
        <w:rPr>
          <w:rFonts w:cs="Arial"/>
          <w:sz w:val="24"/>
        </w:rPr>
      </w:pPr>
      <w:r w:rsidRPr="00AF0F55">
        <w:rPr>
          <w:rFonts w:eastAsia="Times New Roman" w:cs="Arial"/>
          <w:color w:val="000000"/>
          <w:szCs w:val="20"/>
          <w:lang w:eastAsia="bg-BG"/>
        </w:rPr>
        <w:t>Словения</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3072FB0E" w:rsidR="0091385D" w:rsidRDefault="0091385D" w:rsidP="0091385D"/>
    <w:p w14:paraId="46161304" w14:textId="4491D848" w:rsidR="007A2185" w:rsidRPr="00AF0F55" w:rsidRDefault="00AF0F55" w:rsidP="0091385D">
      <w:pPr>
        <w:rPr>
          <w:rFonts w:cs="Arial"/>
          <w:sz w:val="24"/>
        </w:rPr>
      </w:pPr>
      <w:r w:rsidRPr="00AF0F55">
        <w:rPr>
          <w:rFonts w:cs="Arial"/>
          <w:szCs w:val="20"/>
        </w:rPr>
        <w:t>Pe</w:t>
      </w:r>
      <w:r w:rsidRPr="00AF0F55">
        <w:rPr>
          <w:rFonts w:cs="Arial"/>
          <w:szCs w:val="20"/>
          <w:lang w:eastAsia="bg-BG"/>
        </w:rPr>
        <w:t>г</w:t>
      </w:r>
      <w:r w:rsidRPr="00AF0F55">
        <w:rPr>
          <w:rFonts w:cs="Arial"/>
          <w:szCs w:val="20"/>
        </w:rPr>
        <w:t>.№: 20110368</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57E44C81" w:rsidR="0091385D" w:rsidRDefault="0091385D" w:rsidP="0091385D"/>
    <w:p w14:paraId="2FD08844" w14:textId="77777777" w:rsidR="00AF0F55" w:rsidRPr="00AF0F55" w:rsidRDefault="00AF0F55" w:rsidP="00AF0F55">
      <w:pPr>
        <w:spacing w:line="240" w:lineRule="auto"/>
        <w:rPr>
          <w:rFonts w:eastAsia="Times New Roman" w:cs="Arial"/>
          <w:sz w:val="28"/>
          <w:szCs w:val="24"/>
          <w:lang w:eastAsia="bg-BG"/>
        </w:rPr>
      </w:pPr>
      <w:r w:rsidRPr="00AF0F55">
        <w:rPr>
          <w:rFonts w:eastAsia="Times New Roman" w:cs="Arial"/>
          <w:color w:val="000000"/>
          <w:szCs w:val="20"/>
          <w:lang w:eastAsia="bg-BG"/>
        </w:rPr>
        <w:t>Дата на първо разрешаване: 08.06.2011</w:t>
      </w:r>
    </w:p>
    <w:p w14:paraId="6C57D8B6" w14:textId="6E085D8F" w:rsidR="007A2185" w:rsidRPr="00AF0F55" w:rsidRDefault="00AF0F55" w:rsidP="00AF0F55">
      <w:pPr>
        <w:rPr>
          <w:rFonts w:cs="Arial"/>
          <w:sz w:val="24"/>
        </w:rPr>
      </w:pPr>
      <w:r w:rsidRPr="00AF0F55">
        <w:rPr>
          <w:rFonts w:eastAsia="Times New Roman" w:cs="Arial"/>
          <w:color w:val="000000"/>
          <w:szCs w:val="20"/>
          <w:lang w:eastAsia="bg-BG"/>
        </w:rPr>
        <w:lastRenderedPageBreak/>
        <w:t>Подновяване на РУ: 04.01.2019</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0121B4E2" w:rsidR="0091385D" w:rsidRDefault="0091385D" w:rsidP="0091385D"/>
    <w:p w14:paraId="0524F1D6" w14:textId="7E644E75" w:rsidR="007A2185" w:rsidRPr="00AF0F55" w:rsidRDefault="00AF0F55" w:rsidP="0091385D">
      <w:pPr>
        <w:rPr>
          <w:rFonts w:cs="Arial"/>
          <w:sz w:val="24"/>
        </w:rPr>
      </w:pPr>
      <w:r w:rsidRPr="00AF0F55">
        <w:rPr>
          <w:rFonts w:cs="Arial"/>
          <w:szCs w:val="20"/>
        </w:rPr>
        <w:t>09/2020</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1613E"/>
    <w:multiLevelType w:val="hybridMultilevel"/>
    <w:tmpl w:val="AAA02ABE"/>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9172A"/>
    <w:multiLevelType w:val="hybridMultilevel"/>
    <w:tmpl w:val="16EE2CB6"/>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AF00150"/>
    <w:multiLevelType w:val="hybridMultilevel"/>
    <w:tmpl w:val="0D76DC1E"/>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25E6D"/>
    <w:multiLevelType w:val="hybridMultilevel"/>
    <w:tmpl w:val="6778E0E6"/>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33A6795"/>
    <w:multiLevelType w:val="hybridMultilevel"/>
    <w:tmpl w:val="0540A0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CC64D2"/>
    <w:multiLevelType w:val="hybridMultilevel"/>
    <w:tmpl w:val="15746FE6"/>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6"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FF5679"/>
    <w:multiLevelType w:val="hybridMultilevel"/>
    <w:tmpl w:val="5F72ED0C"/>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6045E0"/>
    <w:multiLevelType w:val="hybridMultilevel"/>
    <w:tmpl w:val="B6B0026C"/>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EB3DBE"/>
    <w:multiLevelType w:val="hybridMultilevel"/>
    <w:tmpl w:val="A7E23CF6"/>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3"/>
  </w:num>
  <w:num w:numId="2">
    <w:abstractNumId w:val="0"/>
  </w:num>
  <w:num w:numId="3">
    <w:abstractNumId w:val="15"/>
  </w:num>
  <w:num w:numId="4">
    <w:abstractNumId w:val="3"/>
  </w:num>
  <w:num w:numId="5">
    <w:abstractNumId w:val="1"/>
  </w:num>
  <w:num w:numId="6">
    <w:abstractNumId w:val="20"/>
  </w:num>
  <w:num w:numId="7">
    <w:abstractNumId w:val="12"/>
  </w:num>
  <w:num w:numId="8">
    <w:abstractNumId w:val="19"/>
  </w:num>
  <w:num w:numId="9">
    <w:abstractNumId w:val="2"/>
  </w:num>
  <w:num w:numId="10">
    <w:abstractNumId w:val="4"/>
  </w:num>
  <w:num w:numId="11">
    <w:abstractNumId w:val="36"/>
  </w:num>
  <w:num w:numId="12">
    <w:abstractNumId w:val="18"/>
  </w:num>
  <w:num w:numId="13">
    <w:abstractNumId w:val="23"/>
  </w:num>
  <w:num w:numId="14">
    <w:abstractNumId w:val="14"/>
  </w:num>
  <w:num w:numId="15">
    <w:abstractNumId w:val="35"/>
  </w:num>
  <w:num w:numId="16">
    <w:abstractNumId w:val="11"/>
  </w:num>
  <w:num w:numId="17">
    <w:abstractNumId w:val="29"/>
  </w:num>
  <w:num w:numId="18">
    <w:abstractNumId w:val="7"/>
  </w:num>
  <w:num w:numId="19">
    <w:abstractNumId w:val="31"/>
  </w:num>
  <w:num w:numId="20">
    <w:abstractNumId w:val="28"/>
  </w:num>
  <w:num w:numId="21">
    <w:abstractNumId w:val="21"/>
  </w:num>
  <w:num w:numId="22">
    <w:abstractNumId w:val="30"/>
  </w:num>
  <w:num w:numId="23">
    <w:abstractNumId w:val="22"/>
  </w:num>
  <w:num w:numId="24">
    <w:abstractNumId w:val="9"/>
  </w:num>
  <w:num w:numId="25">
    <w:abstractNumId w:val="27"/>
  </w:num>
  <w:num w:numId="26">
    <w:abstractNumId w:val="26"/>
  </w:num>
  <w:num w:numId="27">
    <w:abstractNumId w:val="38"/>
  </w:num>
  <w:num w:numId="28">
    <w:abstractNumId w:val="6"/>
  </w:num>
  <w:num w:numId="29">
    <w:abstractNumId w:val="25"/>
  </w:num>
  <w:num w:numId="30">
    <w:abstractNumId w:val="42"/>
  </w:num>
  <w:num w:numId="31">
    <w:abstractNumId w:val="5"/>
  </w:num>
  <w:num w:numId="32">
    <w:abstractNumId w:val="40"/>
  </w:num>
  <w:num w:numId="33">
    <w:abstractNumId w:val="34"/>
  </w:num>
  <w:num w:numId="34">
    <w:abstractNumId w:val="39"/>
  </w:num>
  <w:num w:numId="35">
    <w:abstractNumId w:val="17"/>
  </w:num>
  <w:num w:numId="36">
    <w:abstractNumId w:val="32"/>
  </w:num>
  <w:num w:numId="37">
    <w:abstractNumId w:val="10"/>
  </w:num>
  <w:num w:numId="38">
    <w:abstractNumId w:val="13"/>
  </w:num>
  <w:num w:numId="39">
    <w:abstractNumId w:val="24"/>
  </w:num>
  <w:num w:numId="40">
    <w:abstractNumId w:val="37"/>
  </w:num>
  <w:num w:numId="41">
    <w:abstractNumId w:val="8"/>
  </w:num>
  <w:num w:numId="42">
    <w:abstractNumId w:val="16"/>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858DE"/>
    <w:rsid w:val="00185A46"/>
    <w:rsid w:val="001915B6"/>
    <w:rsid w:val="001D1B23"/>
    <w:rsid w:val="001E7E44"/>
    <w:rsid w:val="0026161F"/>
    <w:rsid w:val="002B3C38"/>
    <w:rsid w:val="002B4DBB"/>
    <w:rsid w:val="002C50EE"/>
    <w:rsid w:val="00340A0A"/>
    <w:rsid w:val="003765DC"/>
    <w:rsid w:val="00395555"/>
    <w:rsid w:val="003971B1"/>
    <w:rsid w:val="003E3126"/>
    <w:rsid w:val="00426E5F"/>
    <w:rsid w:val="004A448E"/>
    <w:rsid w:val="004D4D6B"/>
    <w:rsid w:val="004F1CE7"/>
    <w:rsid w:val="004F498A"/>
    <w:rsid w:val="00517A5B"/>
    <w:rsid w:val="00593A00"/>
    <w:rsid w:val="005A66D9"/>
    <w:rsid w:val="005B0F27"/>
    <w:rsid w:val="00605BCA"/>
    <w:rsid w:val="006158A1"/>
    <w:rsid w:val="00617B1F"/>
    <w:rsid w:val="00672487"/>
    <w:rsid w:val="00672600"/>
    <w:rsid w:val="00681D4A"/>
    <w:rsid w:val="00682341"/>
    <w:rsid w:val="00685882"/>
    <w:rsid w:val="0075649D"/>
    <w:rsid w:val="007A2185"/>
    <w:rsid w:val="007C605B"/>
    <w:rsid w:val="008134C8"/>
    <w:rsid w:val="00814073"/>
    <w:rsid w:val="00826F0D"/>
    <w:rsid w:val="008923B3"/>
    <w:rsid w:val="00893B92"/>
    <w:rsid w:val="008A6AF2"/>
    <w:rsid w:val="008C70A2"/>
    <w:rsid w:val="008F1AF3"/>
    <w:rsid w:val="0091385D"/>
    <w:rsid w:val="009773E4"/>
    <w:rsid w:val="009B171C"/>
    <w:rsid w:val="009F1313"/>
    <w:rsid w:val="00A20351"/>
    <w:rsid w:val="00A54557"/>
    <w:rsid w:val="00A65A81"/>
    <w:rsid w:val="00A73575"/>
    <w:rsid w:val="00AA23EC"/>
    <w:rsid w:val="00AC63CE"/>
    <w:rsid w:val="00AE2107"/>
    <w:rsid w:val="00AF0F55"/>
    <w:rsid w:val="00B275A8"/>
    <w:rsid w:val="00BB3B9C"/>
    <w:rsid w:val="00BF2600"/>
    <w:rsid w:val="00C0049F"/>
    <w:rsid w:val="00C07B84"/>
    <w:rsid w:val="00C33464"/>
    <w:rsid w:val="00C40420"/>
    <w:rsid w:val="00C60BBA"/>
    <w:rsid w:val="00C809A7"/>
    <w:rsid w:val="00C83063"/>
    <w:rsid w:val="00C87E90"/>
    <w:rsid w:val="00CA1B57"/>
    <w:rsid w:val="00CF77F7"/>
    <w:rsid w:val="00D05D0F"/>
    <w:rsid w:val="00D86297"/>
    <w:rsid w:val="00DD466D"/>
    <w:rsid w:val="00EB6364"/>
    <w:rsid w:val="00EC41ED"/>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da@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6792</Words>
  <Characters>38717</Characters>
  <Application>Microsoft Office Word</Application>
  <DocSecurity>0</DocSecurity>
  <Lines>322</Lines>
  <Paragraphs>90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2023-02-05T18:50:00Z</dcterms:created>
  <dcterms:modified xsi:type="dcterms:W3CDTF">2023-02-05T18:50:00Z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