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2BC22F8F" w:rsidR="00DB32D3" w:rsidRDefault="00DD466D" w:rsidP="005726E3">
      <w:pPr>
        <w:pStyle w:val="Heading1"/>
      </w:pPr>
      <w:r>
        <w:t>1.ИМЕ НА ЛЕКАРСТВЕНИЯ ПРОДУКТ</w:t>
      </w:r>
    </w:p>
    <w:p w14:paraId="53A750BF" w14:textId="54D19A62" w:rsidR="005B207E" w:rsidRDefault="005B207E" w:rsidP="005B207E"/>
    <w:p w14:paraId="1CDAD685" w14:textId="77777777" w:rsidR="005B207E" w:rsidRDefault="005B207E" w:rsidP="005B207E">
      <w:pPr>
        <w:rPr>
          <w:lang w:eastAsia="bg-BG"/>
        </w:rPr>
      </w:pPr>
      <w:r w:rsidRPr="005B207E">
        <w:rPr>
          <w:lang w:eastAsia="bg-BG"/>
        </w:rPr>
        <w:t xml:space="preserve">Ципробай 250 </w:t>
      </w:r>
      <w:r w:rsidRPr="005B207E">
        <w:rPr>
          <w:lang w:val="en-US"/>
        </w:rPr>
        <w:t>mg</w:t>
      </w:r>
      <w:r w:rsidRPr="005B207E">
        <w:t xml:space="preserve"> </w:t>
      </w:r>
      <w:r w:rsidRPr="005B207E">
        <w:rPr>
          <w:lang w:eastAsia="bg-BG"/>
        </w:rPr>
        <w:t xml:space="preserve">филмирани таблетки </w:t>
      </w:r>
    </w:p>
    <w:p w14:paraId="0696526E" w14:textId="4FE4F013" w:rsidR="005B207E" w:rsidRPr="005B207E" w:rsidRDefault="005B207E" w:rsidP="005B207E">
      <w:pPr>
        <w:rPr>
          <w:sz w:val="24"/>
          <w:szCs w:val="24"/>
        </w:rPr>
      </w:pPr>
      <w:proofErr w:type="spellStart"/>
      <w:r w:rsidRPr="005B207E">
        <w:rPr>
          <w:lang w:val="en-US"/>
        </w:rPr>
        <w:t>Ciprobay</w:t>
      </w:r>
      <w:proofErr w:type="spellEnd"/>
      <w:r w:rsidRPr="005B207E">
        <w:t xml:space="preserve"> </w:t>
      </w:r>
      <w:r w:rsidRPr="005B207E">
        <w:rPr>
          <w:lang w:eastAsia="bg-BG"/>
        </w:rPr>
        <w:t xml:space="preserve">250 </w:t>
      </w:r>
      <w:r w:rsidRPr="005B207E">
        <w:rPr>
          <w:lang w:val="en-US"/>
        </w:rPr>
        <w:t>mg</w:t>
      </w:r>
      <w:r w:rsidRPr="005B207E">
        <w:t xml:space="preserve"> </w:t>
      </w:r>
      <w:r w:rsidRPr="005B207E">
        <w:rPr>
          <w:lang w:val="en-US"/>
        </w:rPr>
        <w:t>film</w:t>
      </w:r>
      <w:r w:rsidRPr="005B207E">
        <w:t>-</w:t>
      </w:r>
      <w:r w:rsidRPr="005B207E">
        <w:rPr>
          <w:lang w:val="en-US"/>
        </w:rPr>
        <w:t>coated</w:t>
      </w:r>
      <w:r w:rsidRPr="005B207E">
        <w:t xml:space="preserve"> </w:t>
      </w:r>
      <w:r w:rsidRPr="005B207E">
        <w:rPr>
          <w:lang w:val="en-US"/>
        </w:rPr>
        <w:t>tablets</w:t>
      </w:r>
    </w:p>
    <w:p w14:paraId="081C8A21" w14:textId="77777777" w:rsidR="005B207E" w:rsidRPr="005B207E" w:rsidRDefault="005B207E" w:rsidP="005B207E"/>
    <w:p w14:paraId="48E6CABE" w14:textId="12647DC4" w:rsidR="00DB32D3" w:rsidRDefault="00DD466D" w:rsidP="005726E3">
      <w:pPr>
        <w:pStyle w:val="Heading1"/>
      </w:pPr>
      <w:r>
        <w:t>2. КАЧЕСТВЕН И КОЛИЧЕСТВЕН СЪСТАВ</w:t>
      </w:r>
    </w:p>
    <w:p w14:paraId="34398CB0" w14:textId="1ED71687" w:rsidR="005B207E" w:rsidRDefault="005B207E" w:rsidP="005B207E"/>
    <w:p w14:paraId="3C8803AC" w14:textId="49816367" w:rsidR="005B207E" w:rsidRPr="005B207E" w:rsidRDefault="005B207E" w:rsidP="005B207E">
      <w:pPr>
        <w:rPr>
          <w:sz w:val="24"/>
          <w:szCs w:val="24"/>
        </w:rPr>
      </w:pPr>
      <w:r w:rsidRPr="005B207E">
        <w:rPr>
          <w:lang w:eastAsia="bg-BG"/>
        </w:rPr>
        <w:t xml:space="preserve">Всяка филмирана таблетка съдържа 250 </w:t>
      </w:r>
      <w:r w:rsidRPr="005B207E">
        <w:rPr>
          <w:lang w:val="en-US"/>
        </w:rPr>
        <w:t>mg</w:t>
      </w:r>
      <w:r w:rsidRPr="005B207E">
        <w:rPr>
          <w:lang w:val="ru-RU"/>
        </w:rPr>
        <w:t xml:space="preserve"> </w:t>
      </w:r>
      <w:r w:rsidRPr="005B207E">
        <w:rPr>
          <w:lang w:eastAsia="bg-BG"/>
        </w:rPr>
        <w:t>ципрофлоксацин (като хидрохлорид).</w:t>
      </w:r>
    </w:p>
    <w:p w14:paraId="614984C4" w14:textId="03CF3F83" w:rsidR="008A6AF2" w:rsidRDefault="00DD466D" w:rsidP="002C50EE">
      <w:pPr>
        <w:pStyle w:val="Heading1"/>
      </w:pPr>
      <w:r>
        <w:t>3. ЛЕКАРСТВЕНА ФОРМА</w:t>
      </w:r>
    </w:p>
    <w:p w14:paraId="40C436F1" w14:textId="427C97CA" w:rsidR="005B207E" w:rsidRDefault="005B207E" w:rsidP="005B207E"/>
    <w:p w14:paraId="54C8B831" w14:textId="77777777" w:rsidR="005B207E" w:rsidRPr="005B207E" w:rsidRDefault="005B207E" w:rsidP="005B207E">
      <w:pPr>
        <w:rPr>
          <w:sz w:val="24"/>
          <w:szCs w:val="24"/>
        </w:rPr>
      </w:pPr>
      <w:r w:rsidRPr="005B207E">
        <w:rPr>
          <w:lang w:eastAsia="bg-BG"/>
        </w:rPr>
        <w:t>Филмирана таблетка.</w:t>
      </w:r>
    </w:p>
    <w:p w14:paraId="6C2F12EA" w14:textId="77777777" w:rsidR="005B207E" w:rsidRDefault="005B207E" w:rsidP="005B207E">
      <w:pPr>
        <w:rPr>
          <w:lang w:eastAsia="bg-BG"/>
        </w:rPr>
      </w:pPr>
    </w:p>
    <w:p w14:paraId="334F10E9" w14:textId="6B7E6D2C" w:rsidR="005B207E" w:rsidRPr="005B207E" w:rsidRDefault="005B207E" w:rsidP="005B207E">
      <w:pPr>
        <w:rPr>
          <w:sz w:val="24"/>
          <w:szCs w:val="24"/>
        </w:rPr>
      </w:pPr>
      <w:r w:rsidRPr="005B207E">
        <w:rPr>
          <w:lang w:eastAsia="bg-BG"/>
        </w:rPr>
        <w:t xml:space="preserve">Кръгли, почти бели до бледо жълтеникави таблетки с отпечатано </w:t>
      </w:r>
      <w:r w:rsidRPr="005B207E">
        <w:rPr>
          <w:lang w:val="ru-RU"/>
        </w:rPr>
        <w:t>“</w:t>
      </w:r>
      <w:r w:rsidRPr="005B207E">
        <w:rPr>
          <w:lang w:val="en-US"/>
        </w:rPr>
        <w:t>CIP</w:t>
      </w:r>
      <w:r w:rsidRPr="005B207E">
        <w:rPr>
          <w:lang w:val="ru-RU"/>
        </w:rPr>
        <w:t xml:space="preserve"> </w:t>
      </w:r>
      <w:r w:rsidRPr="005B207E">
        <w:rPr>
          <w:lang w:val="en-US"/>
        </w:rPr>
        <w:t>score</w:t>
      </w:r>
      <w:r w:rsidRPr="005B207E">
        <w:rPr>
          <w:lang w:val="ru-RU"/>
        </w:rPr>
        <w:t xml:space="preserve"> </w:t>
      </w:r>
      <w:r w:rsidRPr="005B207E">
        <w:rPr>
          <w:lang w:eastAsia="bg-BG"/>
        </w:rPr>
        <w:t xml:space="preserve">250” от едната страна и логото на </w:t>
      </w:r>
      <w:r w:rsidRPr="005B207E">
        <w:rPr>
          <w:lang w:val="ru-RU"/>
        </w:rPr>
        <w:t>“</w:t>
      </w:r>
      <w:r w:rsidRPr="005B207E">
        <w:rPr>
          <w:lang w:val="en-US"/>
        </w:rPr>
        <w:t>BAYER</w:t>
      </w:r>
      <w:r w:rsidRPr="005B207E">
        <w:rPr>
          <w:lang w:val="ru-RU"/>
        </w:rPr>
        <w:t xml:space="preserve">” </w:t>
      </w:r>
      <w:r w:rsidRPr="005B207E">
        <w:rPr>
          <w:lang w:eastAsia="bg-BG"/>
        </w:rPr>
        <w:t>(кръста) на другата страна.</w:t>
      </w:r>
    </w:p>
    <w:p w14:paraId="64249BEB" w14:textId="77777777" w:rsidR="005B207E" w:rsidRDefault="005B207E" w:rsidP="005B207E">
      <w:pPr>
        <w:rPr>
          <w:lang w:eastAsia="bg-BG"/>
        </w:rPr>
      </w:pPr>
    </w:p>
    <w:p w14:paraId="7B487DB4" w14:textId="420F6864" w:rsidR="005B207E" w:rsidRPr="005B207E" w:rsidRDefault="005B207E" w:rsidP="005B207E">
      <w:pPr>
        <w:rPr>
          <w:sz w:val="24"/>
          <w:szCs w:val="24"/>
        </w:rPr>
      </w:pPr>
      <w:r w:rsidRPr="005B207E">
        <w:rPr>
          <w:lang w:eastAsia="bg-BG"/>
        </w:rPr>
        <w:t>Таблетките могат да бъдат разделяни на две равни дози.</w:t>
      </w:r>
    </w:p>
    <w:p w14:paraId="40D7EADD" w14:textId="77777777" w:rsidR="005B207E" w:rsidRPr="005B207E" w:rsidRDefault="005B207E" w:rsidP="005B207E"/>
    <w:p w14:paraId="490FC2C4" w14:textId="77777777" w:rsidR="002C50EE" w:rsidRDefault="002C50EE" w:rsidP="002C50EE">
      <w:pPr>
        <w:pStyle w:val="Heading1"/>
      </w:pPr>
      <w:r>
        <w:t>4. КЛИНИЧНИ ДАННИ</w:t>
      </w:r>
    </w:p>
    <w:p w14:paraId="0771830A" w14:textId="64F5846E" w:rsidR="00DB32D3" w:rsidRDefault="002C50EE" w:rsidP="005726E3">
      <w:pPr>
        <w:pStyle w:val="Heading2"/>
      </w:pPr>
      <w:r>
        <w:t>4.1. Терапевтични показания</w:t>
      </w:r>
    </w:p>
    <w:p w14:paraId="39E65FAE" w14:textId="55F16961" w:rsidR="005B207E" w:rsidRDefault="005B207E" w:rsidP="005B207E"/>
    <w:p w14:paraId="199AD764" w14:textId="77777777"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 xml:space="preserve">Ципробай 250 </w:t>
      </w:r>
      <w:r w:rsidRPr="005B207E">
        <w:rPr>
          <w:rFonts w:eastAsia="Times New Roman" w:cs="Arial"/>
          <w:color w:val="000000"/>
          <w:lang w:val="en-US"/>
        </w:rPr>
        <w:t>mg</w:t>
      </w:r>
      <w:r w:rsidRPr="005B207E">
        <w:rPr>
          <w:rFonts w:eastAsia="Times New Roman" w:cs="Arial"/>
          <w:color w:val="000000"/>
          <w:lang w:val="ru-RU"/>
        </w:rPr>
        <w:t xml:space="preserve"> </w:t>
      </w:r>
      <w:r w:rsidRPr="005B207E">
        <w:rPr>
          <w:rFonts w:eastAsia="Times New Roman" w:cs="Arial"/>
          <w:color w:val="000000"/>
          <w:lang w:eastAsia="bg-BG"/>
        </w:rPr>
        <w:t>филмирани таблетки са предназначени за лечение на следните инфекции (вж. точки</w:t>
      </w:r>
    </w:p>
    <w:p w14:paraId="6445DC56" w14:textId="77777777"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4.4 и 5.1). Преди започване на лечението трябва да се обърне специално внимание на наличната информация за резистентност към ципрофлоксацин.</w:t>
      </w:r>
    </w:p>
    <w:p w14:paraId="6C426519" w14:textId="77777777" w:rsidR="005B207E" w:rsidRPr="005B207E" w:rsidRDefault="005B207E" w:rsidP="005B207E">
      <w:pPr>
        <w:spacing w:line="240" w:lineRule="auto"/>
        <w:rPr>
          <w:rFonts w:eastAsia="Times New Roman" w:cs="Arial"/>
          <w:color w:val="000000"/>
          <w:lang w:eastAsia="bg-BG"/>
        </w:rPr>
      </w:pPr>
    </w:p>
    <w:p w14:paraId="6722B43E" w14:textId="105A1E20"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Трябва да се има предвид официалното ръководство за подходящо използване на антибактериални средства.</w:t>
      </w:r>
    </w:p>
    <w:p w14:paraId="4B002070" w14:textId="77777777" w:rsidR="005B207E" w:rsidRPr="005B207E" w:rsidRDefault="005B207E" w:rsidP="005B207E">
      <w:pPr>
        <w:spacing w:line="240" w:lineRule="auto"/>
        <w:rPr>
          <w:rFonts w:eastAsia="Times New Roman" w:cs="Arial"/>
          <w:color w:val="000000"/>
          <w:u w:val="single"/>
          <w:lang w:eastAsia="bg-BG"/>
        </w:rPr>
      </w:pPr>
    </w:p>
    <w:p w14:paraId="3969A908" w14:textId="4A2D681E" w:rsidR="005B207E" w:rsidRPr="005B207E" w:rsidRDefault="005B207E" w:rsidP="005B207E">
      <w:pPr>
        <w:spacing w:line="240" w:lineRule="auto"/>
        <w:rPr>
          <w:rFonts w:eastAsia="Times New Roman" w:cs="Arial"/>
          <w:sz w:val="24"/>
          <w:szCs w:val="24"/>
        </w:rPr>
      </w:pPr>
      <w:r w:rsidRPr="005B207E">
        <w:rPr>
          <w:rFonts w:eastAsia="Times New Roman" w:cs="Arial"/>
          <w:color w:val="000000"/>
          <w:u w:val="single"/>
          <w:lang w:eastAsia="bg-BG"/>
        </w:rPr>
        <w:t>Възрастни</w:t>
      </w:r>
    </w:p>
    <w:p w14:paraId="25867113" w14:textId="77777777" w:rsidR="005B207E" w:rsidRPr="005B207E" w:rsidRDefault="005B207E" w:rsidP="005B207E">
      <w:pPr>
        <w:pStyle w:val="ListParagraph"/>
        <w:numPr>
          <w:ilvl w:val="0"/>
          <w:numId w:val="37"/>
        </w:numPr>
        <w:spacing w:line="240" w:lineRule="auto"/>
        <w:rPr>
          <w:rFonts w:eastAsia="Times New Roman" w:cs="Arial"/>
          <w:color w:val="000000"/>
          <w:lang w:eastAsia="bg-BG"/>
        </w:rPr>
      </w:pPr>
      <w:r w:rsidRPr="005B207E">
        <w:rPr>
          <w:rFonts w:eastAsia="Times New Roman" w:cs="Arial"/>
          <w:color w:val="000000"/>
          <w:lang w:eastAsia="bg-BG"/>
        </w:rPr>
        <w:t>Инфекции на долните дихателни пътища с Грам-отрицателни бактерии</w:t>
      </w:r>
    </w:p>
    <w:p w14:paraId="0899CC84"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обостряне на хронична обструкгивна белодробна болест. При обостряне на хронична обструктивна белодробна болест Ципробай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4A6EF2C7"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 xml:space="preserve">бронхо-пулмонални инфекции при кистозна фиброза или при бронхиектазия </w:t>
      </w:r>
    </w:p>
    <w:p w14:paraId="466525D3" w14:textId="0F47A418"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пневмония</w:t>
      </w:r>
    </w:p>
    <w:p w14:paraId="640281BD" w14:textId="77777777" w:rsidR="005B207E" w:rsidRPr="005B207E" w:rsidRDefault="005B207E" w:rsidP="005B207E">
      <w:pPr>
        <w:spacing w:line="240" w:lineRule="auto"/>
        <w:rPr>
          <w:rFonts w:eastAsia="Times New Roman" w:cs="Arial"/>
          <w:color w:val="000000"/>
          <w:lang w:eastAsia="bg-BG"/>
        </w:rPr>
      </w:pPr>
    </w:p>
    <w:p w14:paraId="375C6704" w14:textId="77777777" w:rsidR="005B207E" w:rsidRPr="005B207E" w:rsidRDefault="005B207E" w:rsidP="005B207E">
      <w:pPr>
        <w:pStyle w:val="ListParagraph"/>
        <w:numPr>
          <w:ilvl w:val="0"/>
          <w:numId w:val="37"/>
        </w:numPr>
        <w:spacing w:line="240" w:lineRule="auto"/>
        <w:rPr>
          <w:rFonts w:eastAsia="Times New Roman" w:cs="Arial"/>
          <w:color w:val="000000"/>
          <w:lang w:eastAsia="bg-BG"/>
        </w:rPr>
      </w:pPr>
      <w:r w:rsidRPr="005B207E">
        <w:rPr>
          <w:rFonts w:eastAsia="Times New Roman" w:cs="Arial"/>
          <w:color w:val="000000"/>
          <w:lang w:eastAsia="bg-BG"/>
        </w:rPr>
        <w:t>Хронично супуративно възпаление на средното ухо</w:t>
      </w:r>
    </w:p>
    <w:p w14:paraId="19326B00" w14:textId="77777777" w:rsidR="005B207E" w:rsidRPr="005B207E" w:rsidRDefault="005B207E" w:rsidP="005B207E">
      <w:pPr>
        <w:pStyle w:val="ListParagraph"/>
        <w:numPr>
          <w:ilvl w:val="0"/>
          <w:numId w:val="37"/>
        </w:numPr>
        <w:spacing w:line="240" w:lineRule="auto"/>
        <w:rPr>
          <w:rFonts w:eastAsia="Times New Roman" w:cs="Arial"/>
          <w:color w:val="000000"/>
          <w:lang w:eastAsia="bg-BG"/>
        </w:rPr>
      </w:pPr>
      <w:r w:rsidRPr="005B207E">
        <w:rPr>
          <w:rFonts w:eastAsia="Times New Roman" w:cs="Arial"/>
          <w:color w:val="000000"/>
          <w:lang w:eastAsia="bg-BG"/>
        </w:rPr>
        <w:t>Остра екзацербация на хроничен синузит, особено ако е причинена от Грам-отрицателни бактерии</w:t>
      </w:r>
    </w:p>
    <w:p w14:paraId="19952CAC" w14:textId="6C47CA8D" w:rsidR="005B207E" w:rsidRPr="005B207E" w:rsidRDefault="005B207E" w:rsidP="005B207E">
      <w:pPr>
        <w:pStyle w:val="ListParagraph"/>
        <w:numPr>
          <w:ilvl w:val="0"/>
          <w:numId w:val="37"/>
        </w:numPr>
        <w:spacing w:line="240" w:lineRule="auto"/>
        <w:rPr>
          <w:rFonts w:eastAsia="Times New Roman" w:cs="Arial"/>
          <w:color w:val="000000"/>
          <w:lang w:eastAsia="bg-BG"/>
        </w:rPr>
      </w:pPr>
      <w:r w:rsidRPr="005B207E">
        <w:rPr>
          <w:rFonts w:eastAsia="Times New Roman" w:cs="Arial"/>
          <w:color w:val="000000"/>
          <w:lang w:eastAsia="bg-BG"/>
        </w:rPr>
        <w:lastRenderedPageBreak/>
        <w:t>Инфекции на пикочните пътища</w:t>
      </w:r>
    </w:p>
    <w:p w14:paraId="607DDA9D"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Неусложнен остър цистит. При неусложнен остър цистит Ципробай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1A8AA486"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Остър пиелонефрит</w:t>
      </w:r>
    </w:p>
    <w:p w14:paraId="04512266"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Усложнени инфекции на пикочните пътища</w:t>
      </w:r>
    </w:p>
    <w:p w14:paraId="29649FE8" w14:textId="37A145F9"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Бактериален простатит</w:t>
      </w:r>
    </w:p>
    <w:p w14:paraId="41062DA9" w14:textId="7357F68E" w:rsidR="005B207E" w:rsidRPr="005B207E" w:rsidRDefault="005B207E" w:rsidP="005B207E">
      <w:pPr>
        <w:spacing w:line="240" w:lineRule="auto"/>
        <w:rPr>
          <w:rFonts w:eastAsia="Times New Roman" w:cs="Arial"/>
          <w:sz w:val="24"/>
          <w:szCs w:val="24"/>
        </w:rPr>
      </w:pPr>
    </w:p>
    <w:p w14:paraId="3C2FBEFE"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Инфекции на гениталния тракт</w:t>
      </w:r>
    </w:p>
    <w:p w14:paraId="0FFC3710"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 xml:space="preserve">гонококов уретрит и цервицит, причинени от чувствителна към ципрофлоксацин </w:t>
      </w:r>
      <w:r w:rsidRPr="005B207E">
        <w:rPr>
          <w:rFonts w:eastAsia="Times New Roman" w:cs="Arial"/>
          <w:i/>
          <w:iCs/>
          <w:color w:val="000000"/>
          <w:lang w:val="en-US"/>
        </w:rPr>
        <w:t>Neisseria</w:t>
      </w:r>
      <w:r w:rsidRPr="005B207E">
        <w:rPr>
          <w:rFonts w:eastAsia="Times New Roman" w:cs="Arial"/>
          <w:i/>
          <w:iCs/>
          <w:color w:val="000000"/>
        </w:rPr>
        <w:t xml:space="preserve"> </w:t>
      </w:r>
      <w:proofErr w:type="spellStart"/>
      <w:r w:rsidRPr="005B207E">
        <w:rPr>
          <w:rFonts w:eastAsia="Times New Roman" w:cs="Arial"/>
          <w:i/>
          <w:iCs/>
          <w:color w:val="000000"/>
          <w:lang w:val="en-US"/>
        </w:rPr>
        <w:t>gonorrhoeae</w:t>
      </w:r>
      <w:proofErr w:type="spellEnd"/>
    </w:p>
    <w:p w14:paraId="1425C1B6"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 xml:space="preserve">орхиепидидимит, включително случаи, причинени от чувствителна към ципрофлоксацин </w:t>
      </w:r>
      <w:r w:rsidRPr="005B207E">
        <w:rPr>
          <w:rFonts w:eastAsia="Times New Roman" w:cs="Arial"/>
          <w:i/>
          <w:iCs/>
          <w:color w:val="000000"/>
          <w:lang w:val="en-US"/>
        </w:rPr>
        <w:t>Neisseria</w:t>
      </w:r>
      <w:r w:rsidRPr="005B207E">
        <w:rPr>
          <w:rFonts w:eastAsia="Times New Roman" w:cs="Arial"/>
          <w:i/>
          <w:iCs/>
          <w:color w:val="000000"/>
        </w:rPr>
        <w:t xml:space="preserve"> </w:t>
      </w:r>
      <w:proofErr w:type="spellStart"/>
      <w:r w:rsidRPr="005B207E">
        <w:rPr>
          <w:rFonts w:eastAsia="Times New Roman" w:cs="Arial"/>
          <w:i/>
          <w:iCs/>
          <w:color w:val="000000"/>
          <w:lang w:val="en-US"/>
        </w:rPr>
        <w:t>gonorrhoeae</w:t>
      </w:r>
      <w:proofErr w:type="spellEnd"/>
    </w:p>
    <w:p w14:paraId="6A52B15D" w14:textId="3F2BF368"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 xml:space="preserve">тазова възпалителна болест, включително случаи, причинени от чувствителна към ципрофлоксацин </w:t>
      </w:r>
      <w:r w:rsidRPr="005B207E">
        <w:rPr>
          <w:rFonts w:eastAsia="Times New Roman" w:cs="Arial"/>
          <w:i/>
          <w:iCs/>
          <w:color w:val="000000"/>
          <w:lang w:val="en-US"/>
        </w:rPr>
        <w:t>Neisseria</w:t>
      </w:r>
      <w:r w:rsidRPr="005B207E">
        <w:rPr>
          <w:rFonts w:eastAsia="Times New Roman" w:cs="Arial"/>
          <w:i/>
          <w:iCs/>
          <w:color w:val="000000"/>
          <w:lang w:val="ru-RU"/>
        </w:rPr>
        <w:t xml:space="preserve"> </w:t>
      </w:r>
      <w:proofErr w:type="spellStart"/>
      <w:r w:rsidRPr="005B207E">
        <w:rPr>
          <w:rFonts w:eastAsia="Times New Roman" w:cs="Arial"/>
          <w:i/>
          <w:iCs/>
          <w:color w:val="000000"/>
          <w:lang w:val="en-US"/>
        </w:rPr>
        <w:t>gonorrhoeae</w:t>
      </w:r>
      <w:proofErr w:type="spellEnd"/>
    </w:p>
    <w:p w14:paraId="1B9A8A89" w14:textId="77777777" w:rsidR="005B207E" w:rsidRPr="005B207E" w:rsidRDefault="005B207E" w:rsidP="005B207E">
      <w:pPr>
        <w:spacing w:line="240" w:lineRule="auto"/>
        <w:rPr>
          <w:rFonts w:eastAsia="Times New Roman" w:cs="Arial"/>
          <w:color w:val="000000"/>
          <w:lang w:eastAsia="bg-BG"/>
        </w:rPr>
      </w:pPr>
    </w:p>
    <w:p w14:paraId="5E529ECE"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Инфекции на стомашно-чревния тракт (т.н, диария на пътешествениците)</w:t>
      </w:r>
    </w:p>
    <w:p w14:paraId="0B21BA38"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Интраабдоминални инфекции</w:t>
      </w:r>
    </w:p>
    <w:p w14:paraId="228AA19E"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Инфекции на кожата и меките тъкани, причинени от Грам-отрицателни бактерии</w:t>
      </w:r>
    </w:p>
    <w:p w14:paraId="553B2095"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Малигнен външен отит</w:t>
      </w:r>
    </w:p>
    <w:p w14:paraId="54D998DB"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Инфекции на костите и ставите</w:t>
      </w:r>
    </w:p>
    <w:p w14:paraId="5BAAC0E4" w14:textId="40C8AD18"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 xml:space="preserve">Профилактика на инвазивни инфекции, причинени от </w:t>
      </w:r>
      <w:r w:rsidRPr="005B207E">
        <w:rPr>
          <w:rFonts w:eastAsia="Times New Roman" w:cs="Arial"/>
          <w:i/>
          <w:iCs/>
          <w:color w:val="000000"/>
          <w:lang w:val="en-US"/>
        </w:rPr>
        <w:t>Neisseria</w:t>
      </w:r>
      <w:r w:rsidRPr="005B207E">
        <w:rPr>
          <w:rFonts w:eastAsia="Times New Roman" w:cs="Arial"/>
          <w:i/>
          <w:iCs/>
          <w:color w:val="000000"/>
          <w:lang w:val="ru-RU"/>
        </w:rPr>
        <w:t xml:space="preserve"> </w:t>
      </w:r>
      <w:r w:rsidRPr="005B207E">
        <w:rPr>
          <w:rFonts w:eastAsia="Times New Roman" w:cs="Arial"/>
          <w:i/>
          <w:iCs/>
          <w:color w:val="000000"/>
          <w:lang w:val="en-US"/>
        </w:rPr>
        <w:t>meningitides</w:t>
      </w:r>
    </w:p>
    <w:p w14:paraId="031840CD" w14:textId="2627B07F"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Инхалаторен антракс (постекспозиционна профилактика и лечение)</w:t>
      </w:r>
    </w:p>
    <w:p w14:paraId="764581AA" w14:textId="77777777" w:rsidR="005B207E" w:rsidRPr="005B207E" w:rsidRDefault="005B207E" w:rsidP="005B207E">
      <w:pPr>
        <w:spacing w:line="240" w:lineRule="auto"/>
        <w:rPr>
          <w:rFonts w:eastAsia="Times New Roman" w:cs="Arial"/>
          <w:color w:val="000000"/>
          <w:lang w:eastAsia="bg-BG"/>
        </w:rPr>
      </w:pPr>
    </w:p>
    <w:p w14:paraId="547AAE45" w14:textId="6DA53740"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Ципрофлоксацин може да бъде използван при лечението на неутропенични пациенти с повишена температура, когато се предполага че причината е бактериална инфекция.</w:t>
      </w:r>
    </w:p>
    <w:p w14:paraId="1A866664" w14:textId="77777777" w:rsidR="005B207E" w:rsidRPr="005B207E" w:rsidRDefault="005B207E" w:rsidP="005B207E">
      <w:pPr>
        <w:spacing w:line="240" w:lineRule="auto"/>
        <w:rPr>
          <w:rFonts w:eastAsia="Times New Roman" w:cs="Arial"/>
          <w:color w:val="000000"/>
          <w:u w:val="single"/>
          <w:lang w:eastAsia="bg-BG"/>
        </w:rPr>
      </w:pPr>
    </w:p>
    <w:p w14:paraId="017C76F2" w14:textId="638C5ADB" w:rsidR="005B207E" w:rsidRPr="005B207E" w:rsidRDefault="005B207E" w:rsidP="005B207E">
      <w:pPr>
        <w:spacing w:line="240" w:lineRule="auto"/>
        <w:rPr>
          <w:rFonts w:eastAsia="Times New Roman" w:cs="Arial"/>
          <w:sz w:val="24"/>
          <w:szCs w:val="24"/>
        </w:rPr>
      </w:pPr>
      <w:r w:rsidRPr="005B207E">
        <w:rPr>
          <w:rFonts w:eastAsia="Times New Roman" w:cs="Arial"/>
          <w:color w:val="000000"/>
          <w:u w:val="single"/>
          <w:lang w:eastAsia="bg-BG"/>
        </w:rPr>
        <w:t>Деца и юноши</w:t>
      </w:r>
    </w:p>
    <w:p w14:paraId="032E1801" w14:textId="77777777" w:rsidR="005B207E" w:rsidRPr="005B207E" w:rsidRDefault="005B207E" w:rsidP="005B207E">
      <w:pPr>
        <w:pStyle w:val="ListParagraph"/>
        <w:numPr>
          <w:ilvl w:val="0"/>
          <w:numId w:val="40"/>
        </w:numPr>
        <w:spacing w:line="240" w:lineRule="auto"/>
        <w:rPr>
          <w:rFonts w:eastAsia="Times New Roman" w:cs="Arial"/>
          <w:color w:val="000000"/>
          <w:lang w:eastAsia="bg-BG"/>
        </w:rPr>
      </w:pPr>
      <w:r w:rsidRPr="005B207E">
        <w:rPr>
          <w:rFonts w:eastAsia="Times New Roman" w:cs="Arial"/>
          <w:color w:val="000000"/>
          <w:lang w:eastAsia="bg-BG"/>
        </w:rPr>
        <w:t xml:space="preserve">Бронхо-пулмонални инфекции, причинени от </w:t>
      </w:r>
      <w:r w:rsidRPr="005B207E">
        <w:rPr>
          <w:rFonts w:eastAsia="Times New Roman" w:cs="Arial"/>
          <w:i/>
          <w:iCs/>
          <w:color w:val="000000"/>
          <w:lang w:val="en-US"/>
        </w:rPr>
        <w:t>Pseudomonas</w:t>
      </w:r>
      <w:r w:rsidRPr="005B207E">
        <w:rPr>
          <w:rFonts w:eastAsia="Times New Roman" w:cs="Arial"/>
          <w:i/>
          <w:iCs/>
          <w:color w:val="000000"/>
          <w:lang w:val="ru-RU"/>
        </w:rPr>
        <w:t xml:space="preserve"> </w:t>
      </w:r>
      <w:r w:rsidRPr="005B207E">
        <w:rPr>
          <w:rFonts w:eastAsia="Times New Roman" w:cs="Arial"/>
          <w:i/>
          <w:iCs/>
          <w:color w:val="000000"/>
          <w:lang w:val="en-US"/>
        </w:rPr>
        <w:t>aeruginosa</w:t>
      </w:r>
      <w:r w:rsidRPr="005B207E">
        <w:rPr>
          <w:rFonts w:eastAsia="Times New Roman" w:cs="Arial"/>
          <w:i/>
          <w:iCs/>
          <w:color w:val="000000"/>
          <w:lang w:val="ru-RU"/>
        </w:rPr>
        <w:t>,</w:t>
      </w:r>
      <w:r w:rsidRPr="005B207E">
        <w:rPr>
          <w:rFonts w:eastAsia="Times New Roman" w:cs="Arial"/>
          <w:color w:val="000000"/>
          <w:lang w:val="ru-RU"/>
        </w:rPr>
        <w:t xml:space="preserve"> </w:t>
      </w:r>
      <w:r w:rsidRPr="005B207E">
        <w:rPr>
          <w:rFonts w:eastAsia="Times New Roman" w:cs="Arial"/>
          <w:color w:val="000000"/>
          <w:lang w:eastAsia="bg-BG"/>
        </w:rPr>
        <w:t>при пациенти с кистозна фиброза</w:t>
      </w:r>
    </w:p>
    <w:p w14:paraId="1F1BD284" w14:textId="77777777" w:rsidR="005B207E" w:rsidRPr="005B207E" w:rsidRDefault="005B207E" w:rsidP="005B207E">
      <w:pPr>
        <w:pStyle w:val="ListParagraph"/>
        <w:numPr>
          <w:ilvl w:val="0"/>
          <w:numId w:val="40"/>
        </w:numPr>
        <w:spacing w:line="240" w:lineRule="auto"/>
        <w:rPr>
          <w:rFonts w:eastAsia="Times New Roman" w:cs="Arial"/>
          <w:color w:val="000000"/>
          <w:lang w:eastAsia="bg-BG"/>
        </w:rPr>
      </w:pPr>
      <w:r w:rsidRPr="005B207E">
        <w:rPr>
          <w:rFonts w:eastAsia="Times New Roman" w:cs="Arial"/>
          <w:color w:val="000000"/>
          <w:lang w:eastAsia="bg-BG"/>
        </w:rPr>
        <w:t>Усложнени инфекции на пикочните пътища и остър пиелонефрит</w:t>
      </w:r>
    </w:p>
    <w:p w14:paraId="3F749175" w14:textId="5FBADF77" w:rsidR="005B207E" w:rsidRPr="005B207E" w:rsidRDefault="005B207E" w:rsidP="005B207E">
      <w:pPr>
        <w:pStyle w:val="ListParagraph"/>
        <w:numPr>
          <w:ilvl w:val="0"/>
          <w:numId w:val="40"/>
        </w:numPr>
        <w:spacing w:line="240" w:lineRule="auto"/>
        <w:rPr>
          <w:rFonts w:eastAsia="Times New Roman" w:cs="Arial"/>
          <w:color w:val="000000"/>
          <w:lang w:eastAsia="bg-BG"/>
        </w:rPr>
      </w:pPr>
      <w:r w:rsidRPr="005B207E">
        <w:rPr>
          <w:rFonts w:eastAsia="Times New Roman" w:cs="Arial"/>
          <w:color w:val="000000"/>
          <w:lang w:eastAsia="bg-BG"/>
        </w:rPr>
        <w:t>Инхалаторен антракс (постекспозиционна профилактика и лечение)</w:t>
      </w:r>
    </w:p>
    <w:p w14:paraId="6F91C1A9" w14:textId="77777777" w:rsidR="005B207E" w:rsidRPr="005B207E" w:rsidRDefault="005B207E" w:rsidP="005B207E">
      <w:pPr>
        <w:spacing w:line="240" w:lineRule="auto"/>
        <w:rPr>
          <w:rFonts w:eastAsia="Times New Roman" w:cs="Arial"/>
          <w:color w:val="000000"/>
          <w:lang w:eastAsia="bg-BG"/>
        </w:rPr>
      </w:pPr>
    </w:p>
    <w:p w14:paraId="75FD1D80" w14:textId="0967D637"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Ципрофлоксацин може да се използва за лечение на тежки инфекции при деца и юноши, когато се счита, че това е необходимо.</w:t>
      </w:r>
    </w:p>
    <w:p w14:paraId="5BE2343E" w14:textId="77777777" w:rsidR="005B207E" w:rsidRPr="005B207E" w:rsidRDefault="005B207E" w:rsidP="005B207E">
      <w:pPr>
        <w:spacing w:line="240" w:lineRule="auto"/>
        <w:rPr>
          <w:rFonts w:eastAsia="Times New Roman" w:cs="Arial"/>
          <w:color w:val="000000"/>
          <w:lang w:eastAsia="bg-BG"/>
        </w:rPr>
      </w:pPr>
    </w:p>
    <w:p w14:paraId="0A61BC34" w14:textId="45BF6DC0"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Лечението трябва да бъде започнато само от лекари с опит в лечението на кистозна фиброза и/или тежки инфекции при деца и юноши (вж. точки 4.4 и 5.1).</w:t>
      </w:r>
    </w:p>
    <w:p w14:paraId="109A8EA3" w14:textId="77777777" w:rsidR="005B207E" w:rsidRPr="005B207E" w:rsidRDefault="005B207E" w:rsidP="005B207E">
      <w:pPr>
        <w:spacing w:line="240" w:lineRule="auto"/>
        <w:rPr>
          <w:rFonts w:ascii="Times New Roman" w:eastAsia="Times New Roman" w:hAnsi="Times New Roman" w:cs="Times New Roman"/>
          <w:sz w:val="24"/>
          <w:szCs w:val="24"/>
        </w:rPr>
      </w:pPr>
    </w:p>
    <w:p w14:paraId="7647A102" w14:textId="75D01439" w:rsidR="00DB32D3" w:rsidRDefault="002C50EE" w:rsidP="005726E3">
      <w:pPr>
        <w:pStyle w:val="Heading2"/>
      </w:pPr>
      <w:r>
        <w:t>4.2. Дозировка и начин на приложение</w:t>
      </w:r>
    </w:p>
    <w:p w14:paraId="4AA4B608" w14:textId="2BE83D54" w:rsidR="005B207E" w:rsidRDefault="005B207E" w:rsidP="005B207E"/>
    <w:p w14:paraId="44601525" w14:textId="77777777" w:rsidR="005B207E" w:rsidRPr="005B207E" w:rsidRDefault="005B207E" w:rsidP="005B207E">
      <w:pPr>
        <w:pStyle w:val="Heading3"/>
        <w:rPr>
          <w:rFonts w:eastAsia="Times New Roman"/>
          <w:u w:val="single"/>
        </w:rPr>
      </w:pPr>
      <w:r w:rsidRPr="005B207E">
        <w:rPr>
          <w:rFonts w:eastAsia="Times New Roman"/>
          <w:u w:val="single"/>
          <w:lang w:eastAsia="bg-BG"/>
        </w:rPr>
        <w:t>Дозировка</w:t>
      </w:r>
    </w:p>
    <w:p w14:paraId="35180D53" w14:textId="77777777"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Дозировката се определя от показанията, тежестта и мястото на инфекцията, чувствителността на причинителя към ципрофлоксацин, бъбречната функция на пациента и телесното тегло при деца и юноши.</w:t>
      </w:r>
    </w:p>
    <w:p w14:paraId="3F8A5C09" w14:textId="77777777" w:rsidR="005B207E" w:rsidRPr="005B207E" w:rsidRDefault="005B207E" w:rsidP="005B207E">
      <w:pPr>
        <w:spacing w:line="240" w:lineRule="auto"/>
        <w:rPr>
          <w:rFonts w:eastAsia="Times New Roman" w:cs="Arial"/>
          <w:color w:val="000000"/>
          <w:lang w:eastAsia="bg-BG"/>
        </w:rPr>
      </w:pPr>
    </w:p>
    <w:p w14:paraId="76C3FDAB" w14:textId="67EB0E24"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Продължителността на лечението зависи от тежестта на заболяването, от клиничното протичане и бактериологичното развитие.</w:t>
      </w:r>
    </w:p>
    <w:p w14:paraId="38990400" w14:textId="77777777" w:rsidR="005B207E" w:rsidRPr="005B207E" w:rsidRDefault="005B207E" w:rsidP="005B207E">
      <w:pPr>
        <w:spacing w:line="240" w:lineRule="auto"/>
        <w:rPr>
          <w:rFonts w:eastAsia="Times New Roman" w:cs="Arial"/>
          <w:color w:val="000000"/>
          <w:lang w:eastAsia="bg-BG"/>
        </w:rPr>
      </w:pPr>
    </w:p>
    <w:p w14:paraId="57E78520" w14:textId="39F9A0C2"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 xml:space="preserve">Лечението на инфекции, причинени от определени бактерии (напр. </w:t>
      </w:r>
      <w:r w:rsidRPr="005B207E">
        <w:rPr>
          <w:rFonts w:eastAsia="Times New Roman" w:cs="Arial"/>
          <w:i/>
          <w:iCs/>
          <w:color w:val="000000"/>
          <w:lang w:val="en-US"/>
        </w:rPr>
        <w:t>Pseudomonas</w:t>
      </w:r>
      <w:r w:rsidRPr="005B207E">
        <w:rPr>
          <w:rFonts w:eastAsia="Times New Roman" w:cs="Arial"/>
          <w:i/>
          <w:iCs/>
          <w:color w:val="000000"/>
          <w:lang w:val="ru-RU"/>
        </w:rPr>
        <w:t xml:space="preserve"> </w:t>
      </w:r>
      <w:r w:rsidRPr="005B207E">
        <w:rPr>
          <w:rFonts w:eastAsia="Times New Roman" w:cs="Arial"/>
          <w:i/>
          <w:iCs/>
          <w:color w:val="000000"/>
          <w:lang w:val="en-US"/>
        </w:rPr>
        <w:t>aeruginos</w:t>
      </w:r>
      <w:r w:rsidRPr="005B207E">
        <w:rPr>
          <w:rFonts w:eastAsia="Times New Roman" w:cs="Arial"/>
          <w:i/>
          <w:iCs/>
          <w:color w:val="000000"/>
          <w:u w:val="single"/>
          <w:lang w:val="en-US"/>
        </w:rPr>
        <w:t>a</w:t>
      </w:r>
      <w:r w:rsidRPr="005B207E">
        <w:rPr>
          <w:rFonts w:eastAsia="Times New Roman" w:cs="Arial"/>
          <w:i/>
          <w:iCs/>
          <w:color w:val="000000"/>
          <w:u w:val="single"/>
          <w:lang w:val="ru-RU"/>
        </w:rPr>
        <w:t xml:space="preserve">, </w:t>
      </w:r>
      <w:proofErr w:type="spellStart"/>
      <w:r w:rsidRPr="005B207E">
        <w:rPr>
          <w:rFonts w:eastAsia="Times New Roman" w:cs="Arial"/>
          <w:i/>
          <w:iCs/>
          <w:color w:val="000000"/>
          <w:lang w:val="en-US"/>
        </w:rPr>
        <w:t>Acinetobacter</w:t>
      </w:r>
      <w:proofErr w:type="spellEnd"/>
      <w:r w:rsidRPr="005B207E">
        <w:rPr>
          <w:rFonts w:eastAsia="Times New Roman" w:cs="Arial"/>
          <w:color w:val="000000"/>
          <w:lang w:val="ru-RU"/>
        </w:rPr>
        <w:t xml:space="preserve"> </w:t>
      </w:r>
      <w:r w:rsidRPr="005B207E">
        <w:rPr>
          <w:rFonts w:eastAsia="Times New Roman" w:cs="Arial"/>
          <w:color w:val="000000"/>
          <w:lang w:eastAsia="bg-BG"/>
        </w:rPr>
        <w:t xml:space="preserve">или </w:t>
      </w:r>
      <w:r w:rsidRPr="005B207E">
        <w:rPr>
          <w:rFonts w:eastAsia="Times New Roman" w:cs="Arial"/>
          <w:i/>
          <w:iCs/>
          <w:color w:val="000000"/>
          <w:lang w:val="en-US"/>
        </w:rPr>
        <w:t>Staphylococci</w:t>
      </w:r>
      <w:r w:rsidRPr="005B207E">
        <w:rPr>
          <w:rFonts w:eastAsia="Times New Roman" w:cs="Arial"/>
          <w:i/>
          <w:iCs/>
          <w:color w:val="000000"/>
          <w:lang w:val="ru-RU"/>
        </w:rPr>
        <w:t>),</w:t>
      </w:r>
      <w:r w:rsidRPr="005B207E">
        <w:rPr>
          <w:rFonts w:eastAsia="Times New Roman" w:cs="Arial"/>
          <w:color w:val="000000"/>
          <w:lang w:val="ru-RU"/>
        </w:rPr>
        <w:t xml:space="preserve"> </w:t>
      </w:r>
      <w:r w:rsidRPr="005B207E">
        <w:rPr>
          <w:rFonts w:eastAsia="Times New Roman" w:cs="Arial"/>
          <w:color w:val="000000"/>
          <w:lang w:eastAsia="bg-BG"/>
        </w:rPr>
        <w:t>може да изисква по-високи дози ципрофлоксацин и едновременното приложение на други подходящи антибактериални средства.</w:t>
      </w:r>
    </w:p>
    <w:p w14:paraId="078592FD" w14:textId="613B3F73" w:rsidR="005B207E" w:rsidRPr="005B207E" w:rsidRDefault="005B207E" w:rsidP="005B207E">
      <w:pPr>
        <w:rPr>
          <w:rFonts w:cs="Arial"/>
        </w:rPr>
      </w:pPr>
    </w:p>
    <w:p w14:paraId="149CCAF9" w14:textId="77777777"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Лечението на някои инфекции (напр. тазова възпалителна болест, интраабдоминални инфекции, инфекции при неутропенични пациенти и инфекции на костите и ставите) може да изисква едновременно прилагане на други подходящи антибактериални средства в зависимост от съответните патогени.</w:t>
      </w:r>
    </w:p>
    <w:p w14:paraId="6524634E" w14:textId="77777777" w:rsidR="005B207E" w:rsidRPr="005B207E" w:rsidRDefault="005B207E" w:rsidP="005B207E">
      <w:pPr>
        <w:spacing w:line="240" w:lineRule="auto"/>
        <w:rPr>
          <w:rFonts w:eastAsia="Times New Roman" w:cs="Arial"/>
          <w:i/>
          <w:iCs/>
          <w:color w:val="000000"/>
          <w:u w:val="single"/>
          <w:lang w:eastAsia="bg-BG"/>
        </w:rPr>
      </w:pPr>
    </w:p>
    <w:p w14:paraId="5E236149" w14:textId="100069DB" w:rsidR="005B207E" w:rsidRDefault="005B207E" w:rsidP="005B207E">
      <w:pPr>
        <w:spacing w:line="240" w:lineRule="auto"/>
        <w:rPr>
          <w:rFonts w:eastAsia="Times New Roman" w:cs="Arial"/>
          <w:i/>
          <w:iCs/>
          <w:color w:val="000000"/>
          <w:u w:val="single"/>
          <w:lang w:eastAsia="bg-BG"/>
        </w:rPr>
      </w:pPr>
      <w:r w:rsidRPr="005B207E">
        <w:rPr>
          <w:rFonts w:eastAsia="Times New Roman" w:cs="Arial"/>
          <w:i/>
          <w:iCs/>
          <w:color w:val="000000"/>
          <w:u w:val="single"/>
          <w:lang w:eastAsia="bg-BG"/>
        </w:rPr>
        <w:t>Възрастни</w:t>
      </w:r>
    </w:p>
    <w:tbl>
      <w:tblPr>
        <w:tblStyle w:val="TableGrid"/>
        <w:tblW w:w="0" w:type="auto"/>
        <w:tblLook w:val="04A0" w:firstRow="1" w:lastRow="0" w:firstColumn="1" w:lastColumn="0" w:noHBand="0" w:noVBand="1"/>
      </w:tblPr>
      <w:tblGrid>
        <w:gridCol w:w="2354"/>
        <w:gridCol w:w="2246"/>
        <w:gridCol w:w="2392"/>
        <w:gridCol w:w="2358"/>
      </w:tblGrid>
      <w:tr w:rsidR="005B207E" w14:paraId="31FB6822" w14:textId="086697D6" w:rsidTr="005B207E">
        <w:tc>
          <w:tcPr>
            <w:tcW w:w="4644" w:type="dxa"/>
            <w:gridSpan w:val="2"/>
          </w:tcPr>
          <w:p w14:paraId="23248FA0" w14:textId="217633C8" w:rsidR="005B207E" w:rsidRPr="005B207E" w:rsidRDefault="005B207E" w:rsidP="005B207E">
            <w:pPr>
              <w:spacing w:line="240" w:lineRule="auto"/>
              <w:rPr>
                <w:rFonts w:eastAsia="Times New Roman" w:cs="Arial"/>
              </w:rPr>
            </w:pPr>
            <w:r w:rsidRPr="005B207E">
              <w:rPr>
                <w:rFonts w:cs="Arial"/>
                <w:b/>
                <w:bCs/>
              </w:rPr>
              <w:t>Показания</w:t>
            </w:r>
          </w:p>
        </w:tc>
        <w:tc>
          <w:tcPr>
            <w:tcW w:w="2538" w:type="dxa"/>
          </w:tcPr>
          <w:p w14:paraId="4CA6B1AF" w14:textId="4EAD3561" w:rsidR="005B207E" w:rsidRPr="005B207E" w:rsidRDefault="005B207E" w:rsidP="005B207E">
            <w:pPr>
              <w:spacing w:line="240" w:lineRule="auto"/>
              <w:rPr>
                <w:rFonts w:eastAsia="Times New Roman" w:cs="Arial"/>
              </w:rPr>
            </w:pPr>
            <w:r w:rsidRPr="005B207E">
              <w:rPr>
                <w:rFonts w:cs="Arial"/>
                <w:b/>
                <w:bCs/>
              </w:rPr>
              <w:t xml:space="preserve">Дневна доза в </w:t>
            </w:r>
            <w:r w:rsidRPr="005B207E">
              <w:rPr>
                <w:rFonts w:cs="Arial"/>
                <w:b/>
                <w:bCs/>
                <w:lang w:val="en-US"/>
              </w:rPr>
              <w:t>mg</w:t>
            </w:r>
          </w:p>
        </w:tc>
        <w:tc>
          <w:tcPr>
            <w:tcW w:w="2394" w:type="dxa"/>
          </w:tcPr>
          <w:p w14:paraId="62DB9D25" w14:textId="65E5AD24" w:rsidR="005B207E" w:rsidRPr="005B207E" w:rsidRDefault="005B207E" w:rsidP="005B207E">
            <w:pPr>
              <w:spacing w:line="240" w:lineRule="auto"/>
              <w:rPr>
                <w:rFonts w:eastAsia="Times New Roman" w:cs="Arial"/>
              </w:rPr>
            </w:pPr>
            <w:r w:rsidRPr="005B207E">
              <w:rPr>
                <w:rFonts w:cs="Arial"/>
                <w:b/>
                <w:bCs/>
              </w:rPr>
              <w:t>Обща продължителност на лечение (потенциално включващо начално парентерално лечение с ципрофлоксацин)</w:t>
            </w:r>
          </w:p>
        </w:tc>
      </w:tr>
      <w:tr w:rsidR="005B207E" w14:paraId="6F4F523E" w14:textId="1E287B52" w:rsidTr="005B207E">
        <w:tc>
          <w:tcPr>
            <w:tcW w:w="4644" w:type="dxa"/>
            <w:gridSpan w:val="2"/>
          </w:tcPr>
          <w:p w14:paraId="09CC1CD8" w14:textId="74615D11" w:rsidR="005B207E" w:rsidRPr="005B207E" w:rsidRDefault="005B207E" w:rsidP="005B207E">
            <w:pPr>
              <w:spacing w:line="240" w:lineRule="auto"/>
              <w:rPr>
                <w:rFonts w:eastAsia="Times New Roman" w:cs="Arial"/>
              </w:rPr>
            </w:pPr>
            <w:r w:rsidRPr="005B207E">
              <w:rPr>
                <w:rFonts w:cs="Arial"/>
              </w:rPr>
              <w:t>Инфекции на долните дихателни пътища</w:t>
            </w:r>
          </w:p>
        </w:tc>
        <w:tc>
          <w:tcPr>
            <w:tcW w:w="2538" w:type="dxa"/>
          </w:tcPr>
          <w:p w14:paraId="767B328D" w14:textId="563C553A"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120FBB54" w14:textId="639E7C3E" w:rsidR="005B207E" w:rsidRPr="005B207E" w:rsidRDefault="005B207E" w:rsidP="005B207E">
            <w:pPr>
              <w:spacing w:line="240" w:lineRule="auto"/>
              <w:rPr>
                <w:rFonts w:eastAsia="Times New Roman" w:cs="Arial"/>
              </w:rPr>
            </w:pPr>
            <w:r w:rsidRPr="005B207E">
              <w:rPr>
                <w:rFonts w:cs="Arial"/>
              </w:rPr>
              <w:t>7 до 14 дни</w:t>
            </w:r>
          </w:p>
        </w:tc>
      </w:tr>
      <w:tr w:rsidR="005B207E" w14:paraId="13955690" w14:textId="00924462" w:rsidTr="005B207E">
        <w:tc>
          <w:tcPr>
            <w:tcW w:w="2394" w:type="dxa"/>
            <w:vMerge w:val="restart"/>
          </w:tcPr>
          <w:p w14:paraId="5112FAA6" w14:textId="6220EA54" w:rsidR="005B207E" w:rsidRPr="005B207E" w:rsidRDefault="005B207E" w:rsidP="005B207E">
            <w:pPr>
              <w:spacing w:line="240" w:lineRule="auto"/>
              <w:rPr>
                <w:rFonts w:eastAsia="Times New Roman" w:cs="Arial"/>
              </w:rPr>
            </w:pPr>
            <w:r w:rsidRPr="005B207E">
              <w:rPr>
                <w:rFonts w:cs="Arial"/>
              </w:rPr>
              <w:t>Инфекции на горните дихателни пътища</w:t>
            </w:r>
          </w:p>
        </w:tc>
        <w:tc>
          <w:tcPr>
            <w:tcW w:w="2250" w:type="dxa"/>
          </w:tcPr>
          <w:p w14:paraId="6026A252" w14:textId="23CA7966" w:rsidR="005B207E" w:rsidRPr="005B207E" w:rsidRDefault="005B207E" w:rsidP="005B207E">
            <w:pPr>
              <w:spacing w:line="240" w:lineRule="auto"/>
              <w:rPr>
                <w:rFonts w:eastAsia="Times New Roman" w:cs="Arial"/>
              </w:rPr>
            </w:pPr>
            <w:r w:rsidRPr="005B207E">
              <w:rPr>
                <w:rFonts w:cs="Arial"/>
              </w:rPr>
              <w:t>Остро обостряне на хроничен синузит</w:t>
            </w:r>
          </w:p>
        </w:tc>
        <w:tc>
          <w:tcPr>
            <w:tcW w:w="2538" w:type="dxa"/>
          </w:tcPr>
          <w:p w14:paraId="452E12D5" w14:textId="29A01293"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0656264B" w14:textId="7CF5670B" w:rsidR="005B207E" w:rsidRPr="005B207E" w:rsidRDefault="005B207E" w:rsidP="005B207E">
            <w:pPr>
              <w:spacing w:line="240" w:lineRule="auto"/>
              <w:rPr>
                <w:rFonts w:eastAsia="Times New Roman" w:cs="Arial"/>
              </w:rPr>
            </w:pPr>
            <w:r w:rsidRPr="005B207E">
              <w:rPr>
                <w:rFonts w:cs="Arial"/>
              </w:rPr>
              <w:t>7 до 14 дни</w:t>
            </w:r>
          </w:p>
        </w:tc>
      </w:tr>
      <w:tr w:rsidR="005B207E" w14:paraId="7CABF593" w14:textId="3207B1B0" w:rsidTr="005B207E">
        <w:tc>
          <w:tcPr>
            <w:tcW w:w="2394" w:type="dxa"/>
            <w:vMerge/>
          </w:tcPr>
          <w:p w14:paraId="63269C57" w14:textId="77777777" w:rsidR="005B207E" w:rsidRPr="005B207E" w:rsidRDefault="005B207E" w:rsidP="005B207E">
            <w:pPr>
              <w:spacing w:line="240" w:lineRule="auto"/>
              <w:rPr>
                <w:rFonts w:eastAsia="Times New Roman" w:cs="Arial"/>
              </w:rPr>
            </w:pPr>
          </w:p>
        </w:tc>
        <w:tc>
          <w:tcPr>
            <w:tcW w:w="2250" w:type="dxa"/>
          </w:tcPr>
          <w:p w14:paraId="5B48A120" w14:textId="6D7F026F" w:rsidR="005B207E" w:rsidRPr="005B207E" w:rsidRDefault="005B207E" w:rsidP="005B207E">
            <w:pPr>
              <w:spacing w:line="240" w:lineRule="auto"/>
              <w:rPr>
                <w:rFonts w:eastAsia="Times New Roman" w:cs="Arial"/>
              </w:rPr>
            </w:pPr>
            <w:r w:rsidRPr="005B207E">
              <w:rPr>
                <w:rFonts w:cs="Arial"/>
              </w:rPr>
              <w:t>Хронично супуративно възпаление на средното ухо</w:t>
            </w:r>
          </w:p>
        </w:tc>
        <w:tc>
          <w:tcPr>
            <w:tcW w:w="2538" w:type="dxa"/>
          </w:tcPr>
          <w:p w14:paraId="0C5A3B92" w14:textId="3C8D5CD4"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6C3872E0" w14:textId="162EF846" w:rsidR="005B207E" w:rsidRPr="005B207E" w:rsidRDefault="005B207E" w:rsidP="005B207E">
            <w:pPr>
              <w:spacing w:line="240" w:lineRule="auto"/>
              <w:rPr>
                <w:rFonts w:eastAsia="Times New Roman" w:cs="Arial"/>
              </w:rPr>
            </w:pPr>
            <w:r w:rsidRPr="005B207E">
              <w:rPr>
                <w:rFonts w:cs="Arial"/>
              </w:rPr>
              <w:t>7 до 14 дни</w:t>
            </w:r>
          </w:p>
        </w:tc>
      </w:tr>
      <w:tr w:rsidR="005B207E" w14:paraId="5FD3AEB3" w14:textId="4C9BF64B" w:rsidTr="005B207E">
        <w:tc>
          <w:tcPr>
            <w:tcW w:w="2394" w:type="dxa"/>
            <w:vMerge/>
          </w:tcPr>
          <w:p w14:paraId="6BF908AD" w14:textId="77777777" w:rsidR="005B207E" w:rsidRPr="005B207E" w:rsidRDefault="005B207E" w:rsidP="005B207E">
            <w:pPr>
              <w:spacing w:line="240" w:lineRule="auto"/>
              <w:rPr>
                <w:rFonts w:eastAsia="Times New Roman" w:cs="Arial"/>
              </w:rPr>
            </w:pPr>
          </w:p>
        </w:tc>
        <w:tc>
          <w:tcPr>
            <w:tcW w:w="2250" w:type="dxa"/>
          </w:tcPr>
          <w:p w14:paraId="4BCED3DA" w14:textId="22F7654E" w:rsidR="005B207E" w:rsidRPr="005B207E" w:rsidRDefault="005B207E" w:rsidP="005B207E">
            <w:pPr>
              <w:spacing w:line="240" w:lineRule="auto"/>
              <w:rPr>
                <w:rFonts w:eastAsia="Times New Roman" w:cs="Arial"/>
              </w:rPr>
            </w:pPr>
            <w:r w:rsidRPr="005B207E">
              <w:rPr>
                <w:rFonts w:cs="Arial"/>
              </w:rPr>
              <w:t>Малигнен външен отит</w:t>
            </w:r>
          </w:p>
        </w:tc>
        <w:tc>
          <w:tcPr>
            <w:tcW w:w="2538" w:type="dxa"/>
          </w:tcPr>
          <w:p w14:paraId="58A2278A" w14:textId="07F62CF1" w:rsidR="005B207E" w:rsidRPr="005B207E" w:rsidRDefault="005B207E" w:rsidP="005B207E">
            <w:pPr>
              <w:spacing w:line="240" w:lineRule="auto"/>
              <w:rPr>
                <w:rFonts w:eastAsia="Times New Roman" w:cs="Arial"/>
              </w:rPr>
            </w:pPr>
            <w:r w:rsidRPr="005B207E">
              <w:rPr>
                <w:rFonts w:cs="Arial"/>
              </w:rPr>
              <w:t xml:space="preserve">750 </w:t>
            </w:r>
            <w:r w:rsidRPr="005B207E">
              <w:rPr>
                <w:rFonts w:cs="Arial"/>
                <w:lang w:val="en-US"/>
              </w:rPr>
              <w:t xml:space="preserve">mg </w:t>
            </w:r>
            <w:r w:rsidRPr="005B207E">
              <w:rPr>
                <w:rFonts w:cs="Arial"/>
              </w:rPr>
              <w:t>два пъти дневно</w:t>
            </w:r>
          </w:p>
        </w:tc>
        <w:tc>
          <w:tcPr>
            <w:tcW w:w="2394" w:type="dxa"/>
          </w:tcPr>
          <w:p w14:paraId="164487AC" w14:textId="0A26D798" w:rsidR="005B207E" w:rsidRPr="005B207E" w:rsidRDefault="005B207E" w:rsidP="005B207E">
            <w:pPr>
              <w:spacing w:line="240" w:lineRule="auto"/>
              <w:rPr>
                <w:rFonts w:eastAsia="Times New Roman" w:cs="Arial"/>
              </w:rPr>
            </w:pPr>
            <w:r w:rsidRPr="005B207E">
              <w:rPr>
                <w:rFonts w:cs="Arial"/>
              </w:rPr>
              <w:t xml:space="preserve">28 дни до </w:t>
            </w:r>
            <w:r w:rsidRPr="005B207E">
              <w:rPr>
                <w:rFonts w:cs="Arial"/>
                <w:i/>
                <w:iCs/>
              </w:rPr>
              <w:t>3</w:t>
            </w:r>
            <w:r w:rsidRPr="005B207E">
              <w:rPr>
                <w:rFonts w:cs="Arial"/>
              </w:rPr>
              <w:t xml:space="preserve"> месеца</w:t>
            </w:r>
          </w:p>
        </w:tc>
      </w:tr>
      <w:tr w:rsidR="005B207E" w14:paraId="42FBA6F3" w14:textId="5E157E97" w:rsidTr="005B207E">
        <w:tc>
          <w:tcPr>
            <w:tcW w:w="2394" w:type="dxa"/>
            <w:vMerge w:val="restart"/>
          </w:tcPr>
          <w:p w14:paraId="56E1F380" w14:textId="277D662F" w:rsidR="005B207E" w:rsidRPr="005B207E" w:rsidRDefault="005B207E" w:rsidP="005B207E">
            <w:pPr>
              <w:spacing w:line="240" w:lineRule="auto"/>
              <w:rPr>
                <w:rFonts w:eastAsia="Times New Roman" w:cs="Arial"/>
              </w:rPr>
            </w:pPr>
            <w:r w:rsidRPr="005B207E">
              <w:rPr>
                <w:rFonts w:eastAsia="Times New Roman" w:cs="Arial"/>
                <w:color w:val="000000"/>
                <w:lang w:eastAsia="bg-BG"/>
              </w:rPr>
              <w:t>Инфекции на пикочните пътища (вж. точка 4.4)</w:t>
            </w:r>
          </w:p>
        </w:tc>
        <w:tc>
          <w:tcPr>
            <w:tcW w:w="2250" w:type="dxa"/>
            <w:vMerge w:val="restart"/>
          </w:tcPr>
          <w:p w14:paraId="3547539C" w14:textId="385128D0" w:rsidR="005B207E" w:rsidRPr="005B207E" w:rsidRDefault="005B207E" w:rsidP="005B207E">
            <w:pPr>
              <w:spacing w:line="240" w:lineRule="auto"/>
              <w:rPr>
                <w:rFonts w:eastAsia="Times New Roman" w:cs="Arial"/>
              </w:rPr>
            </w:pPr>
            <w:r w:rsidRPr="005B207E">
              <w:rPr>
                <w:rFonts w:cs="Arial"/>
              </w:rPr>
              <w:t>Неусложнен остър цистит</w:t>
            </w:r>
          </w:p>
        </w:tc>
        <w:tc>
          <w:tcPr>
            <w:tcW w:w="2538" w:type="dxa"/>
          </w:tcPr>
          <w:p w14:paraId="0C5F66E9" w14:textId="5002E93F" w:rsidR="005B207E" w:rsidRPr="005B207E" w:rsidRDefault="005B207E" w:rsidP="005B207E">
            <w:pPr>
              <w:spacing w:line="240" w:lineRule="auto"/>
              <w:rPr>
                <w:rFonts w:eastAsia="Times New Roman" w:cs="Arial"/>
              </w:rPr>
            </w:pPr>
            <w:r w:rsidRPr="005B207E">
              <w:rPr>
                <w:rFonts w:cs="Arial"/>
              </w:rPr>
              <w:t xml:space="preserve">250 </w:t>
            </w:r>
            <w:r w:rsidRPr="005B207E">
              <w:rPr>
                <w:rFonts w:cs="Arial"/>
                <w:lang w:val="en-US"/>
              </w:rPr>
              <w:t>mg</w:t>
            </w:r>
            <w:r w:rsidRPr="005B207E">
              <w:rPr>
                <w:rFonts w:cs="Arial"/>
                <w:lang w:val="ru-RU"/>
              </w:rPr>
              <w:t xml:space="preserve"> </w:t>
            </w:r>
            <w:r w:rsidRPr="005B207E">
              <w:rPr>
                <w:rFonts w:cs="Arial"/>
              </w:rPr>
              <w:t xml:space="preserve">два пъти дневно до 500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79A64E07" w14:textId="1ABB0528" w:rsidR="005B207E" w:rsidRPr="005B207E" w:rsidRDefault="005B207E" w:rsidP="005B207E">
            <w:pPr>
              <w:spacing w:line="240" w:lineRule="auto"/>
              <w:rPr>
                <w:rFonts w:eastAsia="Times New Roman" w:cs="Arial"/>
              </w:rPr>
            </w:pPr>
            <w:r w:rsidRPr="005B207E">
              <w:rPr>
                <w:rFonts w:cs="Arial"/>
              </w:rPr>
              <w:t>3 дни</w:t>
            </w:r>
          </w:p>
        </w:tc>
      </w:tr>
      <w:tr w:rsidR="005B207E" w14:paraId="4412408C" w14:textId="7C0C6750" w:rsidTr="005B207E">
        <w:tc>
          <w:tcPr>
            <w:tcW w:w="2394" w:type="dxa"/>
            <w:vMerge/>
          </w:tcPr>
          <w:p w14:paraId="4B409BDB" w14:textId="77777777" w:rsidR="005B207E" w:rsidRPr="005B207E" w:rsidRDefault="005B207E" w:rsidP="005B207E">
            <w:pPr>
              <w:spacing w:line="240" w:lineRule="auto"/>
              <w:rPr>
                <w:rFonts w:eastAsia="Times New Roman" w:cs="Arial"/>
              </w:rPr>
            </w:pPr>
          </w:p>
        </w:tc>
        <w:tc>
          <w:tcPr>
            <w:tcW w:w="2250" w:type="dxa"/>
            <w:vMerge/>
          </w:tcPr>
          <w:p w14:paraId="08A809C3" w14:textId="77777777" w:rsidR="005B207E" w:rsidRPr="005B207E" w:rsidRDefault="005B207E" w:rsidP="005B207E">
            <w:pPr>
              <w:spacing w:line="240" w:lineRule="auto"/>
              <w:rPr>
                <w:rFonts w:eastAsia="Times New Roman" w:cs="Arial"/>
              </w:rPr>
            </w:pPr>
          </w:p>
        </w:tc>
        <w:tc>
          <w:tcPr>
            <w:tcW w:w="4932" w:type="dxa"/>
            <w:gridSpan w:val="2"/>
          </w:tcPr>
          <w:p w14:paraId="02E4632C" w14:textId="6A326501"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При жени в пременопауза може да се използва 500 </w:t>
            </w:r>
            <w:r w:rsidRPr="005B207E">
              <w:rPr>
                <w:rFonts w:eastAsia="Times New Roman" w:cs="Arial"/>
                <w:color w:val="000000"/>
                <w:lang w:val="en-US"/>
              </w:rPr>
              <w:t>mg</w:t>
            </w:r>
            <w:r w:rsidRPr="005B207E">
              <w:rPr>
                <w:rFonts w:eastAsia="Times New Roman" w:cs="Arial"/>
                <w:color w:val="000000"/>
                <w:lang w:val="ru-RU"/>
              </w:rPr>
              <w:t xml:space="preserve"> </w:t>
            </w:r>
            <w:r w:rsidRPr="005B207E">
              <w:rPr>
                <w:rFonts w:eastAsia="Times New Roman" w:cs="Arial"/>
                <w:color w:val="000000"/>
                <w:lang w:eastAsia="bg-BG"/>
              </w:rPr>
              <w:t>еднократна доза</w:t>
            </w:r>
          </w:p>
        </w:tc>
      </w:tr>
      <w:tr w:rsidR="005B207E" w14:paraId="6E493BDE" w14:textId="0EBD533F" w:rsidTr="005B207E">
        <w:tc>
          <w:tcPr>
            <w:tcW w:w="2394" w:type="dxa"/>
            <w:vMerge/>
          </w:tcPr>
          <w:p w14:paraId="0B43092A" w14:textId="77777777" w:rsidR="005B207E" w:rsidRPr="005B207E" w:rsidRDefault="005B207E" w:rsidP="005B207E">
            <w:pPr>
              <w:spacing w:line="240" w:lineRule="auto"/>
              <w:rPr>
                <w:rFonts w:eastAsia="Times New Roman" w:cs="Arial"/>
              </w:rPr>
            </w:pPr>
          </w:p>
        </w:tc>
        <w:tc>
          <w:tcPr>
            <w:tcW w:w="2250" w:type="dxa"/>
          </w:tcPr>
          <w:p w14:paraId="25C33C9E" w14:textId="1C9776A0" w:rsidR="005B207E" w:rsidRPr="005B207E" w:rsidRDefault="005B207E" w:rsidP="005B207E">
            <w:pPr>
              <w:spacing w:line="240" w:lineRule="auto"/>
              <w:rPr>
                <w:rFonts w:eastAsia="Times New Roman" w:cs="Arial"/>
              </w:rPr>
            </w:pPr>
            <w:r w:rsidRPr="005B207E">
              <w:rPr>
                <w:rFonts w:cs="Arial"/>
              </w:rPr>
              <w:t>Усложнен цистит, Остър пиелонефрит</w:t>
            </w:r>
          </w:p>
        </w:tc>
        <w:tc>
          <w:tcPr>
            <w:tcW w:w="2538" w:type="dxa"/>
          </w:tcPr>
          <w:p w14:paraId="4DF94141" w14:textId="090A1856"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394" w:type="dxa"/>
          </w:tcPr>
          <w:p w14:paraId="102F5D93" w14:textId="635456CF" w:rsidR="005B207E" w:rsidRPr="005B207E" w:rsidRDefault="005B207E" w:rsidP="005B207E">
            <w:pPr>
              <w:spacing w:line="240" w:lineRule="auto"/>
              <w:rPr>
                <w:rFonts w:eastAsia="Times New Roman" w:cs="Arial"/>
              </w:rPr>
            </w:pPr>
            <w:r w:rsidRPr="005B207E">
              <w:rPr>
                <w:rFonts w:cs="Arial"/>
              </w:rPr>
              <w:t>7 дни</w:t>
            </w:r>
          </w:p>
        </w:tc>
      </w:tr>
      <w:tr w:rsidR="005B207E" w14:paraId="452C80D2" w14:textId="0425980A" w:rsidTr="005B207E">
        <w:tc>
          <w:tcPr>
            <w:tcW w:w="2394" w:type="dxa"/>
            <w:vMerge/>
          </w:tcPr>
          <w:p w14:paraId="0A8AAB03" w14:textId="77777777" w:rsidR="005B207E" w:rsidRPr="005B207E" w:rsidRDefault="005B207E" w:rsidP="005B207E">
            <w:pPr>
              <w:spacing w:line="240" w:lineRule="auto"/>
              <w:rPr>
                <w:rFonts w:eastAsia="Times New Roman" w:cs="Arial"/>
              </w:rPr>
            </w:pPr>
          </w:p>
        </w:tc>
        <w:tc>
          <w:tcPr>
            <w:tcW w:w="2250" w:type="dxa"/>
          </w:tcPr>
          <w:p w14:paraId="04CF5335" w14:textId="79AEA167" w:rsidR="005B207E" w:rsidRPr="005B207E" w:rsidRDefault="005B207E" w:rsidP="005B207E">
            <w:pPr>
              <w:spacing w:line="240" w:lineRule="auto"/>
              <w:rPr>
                <w:rFonts w:eastAsia="Times New Roman" w:cs="Arial"/>
              </w:rPr>
            </w:pPr>
            <w:r w:rsidRPr="005B207E">
              <w:rPr>
                <w:rFonts w:cs="Arial"/>
              </w:rPr>
              <w:t>Усложнен пиелонефрит</w:t>
            </w:r>
          </w:p>
        </w:tc>
        <w:tc>
          <w:tcPr>
            <w:tcW w:w="2538" w:type="dxa"/>
          </w:tcPr>
          <w:p w14:paraId="20B7C5D0" w14:textId="35932C8D"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31465D9F" w14:textId="6A20DF88" w:rsidR="005B207E" w:rsidRPr="005B207E" w:rsidRDefault="005B207E" w:rsidP="005B207E">
            <w:pPr>
              <w:spacing w:line="240" w:lineRule="auto"/>
              <w:rPr>
                <w:rFonts w:eastAsia="Times New Roman" w:cs="Arial"/>
              </w:rPr>
            </w:pPr>
            <w:r w:rsidRPr="005B207E">
              <w:rPr>
                <w:rFonts w:cs="Arial"/>
              </w:rPr>
              <w:t>минимум 10 дни, може да бъде продължено до повече от 21 дни в някои особени случаи (напр. абсцеси)</w:t>
            </w:r>
          </w:p>
        </w:tc>
      </w:tr>
      <w:tr w:rsidR="005B207E" w14:paraId="3DAC3F84" w14:textId="73827A1F" w:rsidTr="005B207E">
        <w:tc>
          <w:tcPr>
            <w:tcW w:w="2394" w:type="dxa"/>
            <w:vMerge/>
          </w:tcPr>
          <w:p w14:paraId="5756E456" w14:textId="77777777" w:rsidR="005B207E" w:rsidRPr="005B207E" w:rsidRDefault="005B207E" w:rsidP="005B207E">
            <w:pPr>
              <w:spacing w:line="240" w:lineRule="auto"/>
              <w:rPr>
                <w:rFonts w:eastAsia="Times New Roman" w:cs="Arial"/>
              </w:rPr>
            </w:pPr>
          </w:p>
        </w:tc>
        <w:tc>
          <w:tcPr>
            <w:tcW w:w="2250" w:type="dxa"/>
          </w:tcPr>
          <w:p w14:paraId="3B828E3C" w14:textId="3B72DEFC" w:rsidR="005B207E" w:rsidRPr="005B207E" w:rsidRDefault="005B207E" w:rsidP="005B207E">
            <w:pPr>
              <w:spacing w:line="240" w:lineRule="auto"/>
              <w:rPr>
                <w:rFonts w:eastAsia="Times New Roman" w:cs="Arial"/>
              </w:rPr>
            </w:pPr>
            <w:r w:rsidRPr="005B207E">
              <w:rPr>
                <w:rFonts w:cs="Arial"/>
              </w:rPr>
              <w:t>Бактериален простатит</w:t>
            </w:r>
          </w:p>
        </w:tc>
        <w:tc>
          <w:tcPr>
            <w:tcW w:w="2538" w:type="dxa"/>
          </w:tcPr>
          <w:p w14:paraId="1A976938" w14:textId="0A2C5B19"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6F93DD89" w14:textId="62AF76C4" w:rsidR="005B207E" w:rsidRPr="005B207E" w:rsidRDefault="005B207E" w:rsidP="005B207E">
            <w:pPr>
              <w:spacing w:line="240" w:lineRule="auto"/>
              <w:rPr>
                <w:rFonts w:eastAsia="Times New Roman" w:cs="Arial"/>
              </w:rPr>
            </w:pPr>
            <w:r w:rsidRPr="005B207E">
              <w:rPr>
                <w:rFonts w:cs="Arial"/>
              </w:rPr>
              <w:t>2-4 седмици (остър) до 4-6 седмици (хроничен)</w:t>
            </w:r>
          </w:p>
        </w:tc>
      </w:tr>
      <w:tr w:rsidR="005B207E" w14:paraId="6848BD6D" w14:textId="16A6CEBA" w:rsidTr="005B207E">
        <w:tc>
          <w:tcPr>
            <w:tcW w:w="2394" w:type="dxa"/>
            <w:vMerge w:val="restart"/>
          </w:tcPr>
          <w:p w14:paraId="140D914F" w14:textId="0A4F0813" w:rsidR="005B207E" w:rsidRPr="005B207E" w:rsidRDefault="005B207E" w:rsidP="005B207E">
            <w:pPr>
              <w:spacing w:line="240" w:lineRule="auto"/>
              <w:rPr>
                <w:rFonts w:eastAsia="Times New Roman" w:cs="Arial"/>
              </w:rPr>
            </w:pPr>
            <w:r w:rsidRPr="005B207E">
              <w:rPr>
                <w:rFonts w:cs="Arial"/>
              </w:rPr>
              <w:t>Инфекции на гениталния тракт</w:t>
            </w:r>
          </w:p>
        </w:tc>
        <w:tc>
          <w:tcPr>
            <w:tcW w:w="2250" w:type="dxa"/>
          </w:tcPr>
          <w:p w14:paraId="678C3BD2" w14:textId="14F585FD" w:rsidR="005B207E" w:rsidRPr="005B207E" w:rsidRDefault="005B207E" w:rsidP="005B207E">
            <w:pPr>
              <w:spacing w:line="240" w:lineRule="auto"/>
              <w:rPr>
                <w:rFonts w:eastAsia="Times New Roman" w:cs="Arial"/>
              </w:rPr>
            </w:pPr>
            <w:r w:rsidRPr="005B207E">
              <w:rPr>
                <w:rFonts w:cs="Arial"/>
              </w:rPr>
              <w:t xml:space="preserve">Гонококов уретрит и цервицит, причинени от чувствителна </w:t>
            </w:r>
            <w:r w:rsidRPr="005B207E">
              <w:rPr>
                <w:rFonts w:cs="Arial"/>
                <w:i/>
                <w:iCs/>
                <w:lang w:val="en-US"/>
              </w:rPr>
              <w:t>Neisseria</w:t>
            </w:r>
            <w:r w:rsidRPr="005B207E">
              <w:rPr>
                <w:rFonts w:cs="Arial"/>
                <w:i/>
                <w:iCs/>
                <w:lang w:val="ru-RU"/>
              </w:rPr>
              <w:t xml:space="preserve"> </w:t>
            </w:r>
            <w:proofErr w:type="spellStart"/>
            <w:r w:rsidRPr="005B207E">
              <w:rPr>
                <w:rFonts w:cs="Arial"/>
                <w:i/>
                <w:iCs/>
                <w:lang w:val="en-US"/>
              </w:rPr>
              <w:t>gonorrhoeae</w:t>
            </w:r>
            <w:proofErr w:type="spellEnd"/>
          </w:p>
        </w:tc>
        <w:tc>
          <w:tcPr>
            <w:tcW w:w="2538" w:type="dxa"/>
          </w:tcPr>
          <w:p w14:paraId="09DFC301" w14:textId="2A220085"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като еднократна доза</w:t>
            </w:r>
          </w:p>
        </w:tc>
        <w:tc>
          <w:tcPr>
            <w:tcW w:w="2394" w:type="dxa"/>
          </w:tcPr>
          <w:p w14:paraId="18557616" w14:textId="757ABE56" w:rsidR="005B207E" w:rsidRPr="005B207E" w:rsidRDefault="005B207E" w:rsidP="005B207E">
            <w:pPr>
              <w:spacing w:line="240" w:lineRule="auto"/>
              <w:rPr>
                <w:rFonts w:eastAsia="Times New Roman" w:cs="Arial"/>
              </w:rPr>
            </w:pPr>
            <w:r w:rsidRPr="005B207E">
              <w:rPr>
                <w:rFonts w:cs="Arial"/>
              </w:rPr>
              <w:t>1 ден (еднократна доза)</w:t>
            </w:r>
          </w:p>
        </w:tc>
      </w:tr>
      <w:tr w:rsidR="005B207E" w14:paraId="0AC08538" w14:textId="219FEC88" w:rsidTr="005B207E">
        <w:tc>
          <w:tcPr>
            <w:tcW w:w="2394" w:type="dxa"/>
            <w:vMerge/>
          </w:tcPr>
          <w:p w14:paraId="4997E40D" w14:textId="77777777" w:rsidR="005B207E" w:rsidRPr="005B207E" w:rsidRDefault="005B207E" w:rsidP="005B207E">
            <w:pPr>
              <w:spacing w:line="240" w:lineRule="auto"/>
              <w:rPr>
                <w:rFonts w:eastAsia="Times New Roman" w:cs="Arial"/>
              </w:rPr>
            </w:pPr>
          </w:p>
        </w:tc>
        <w:tc>
          <w:tcPr>
            <w:tcW w:w="2250" w:type="dxa"/>
            <w:vAlign w:val="bottom"/>
          </w:tcPr>
          <w:p w14:paraId="63149E50" w14:textId="41A50B50" w:rsidR="005B207E" w:rsidRPr="005B207E" w:rsidRDefault="005B207E" w:rsidP="005B207E">
            <w:pPr>
              <w:spacing w:line="240" w:lineRule="auto"/>
              <w:rPr>
                <w:rFonts w:eastAsia="Times New Roman" w:cs="Arial"/>
              </w:rPr>
            </w:pPr>
            <w:r w:rsidRPr="005B207E">
              <w:rPr>
                <w:rFonts w:cs="Arial"/>
              </w:rPr>
              <w:t xml:space="preserve">Орхиепидидимит и тазова възпалителна болест, включително случаи, причинени от чувствителна </w:t>
            </w:r>
            <w:r w:rsidRPr="005B207E">
              <w:rPr>
                <w:rFonts w:cs="Arial"/>
                <w:i/>
                <w:iCs/>
                <w:lang w:val="en-US"/>
              </w:rPr>
              <w:t>Neisseria</w:t>
            </w:r>
            <w:r w:rsidRPr="005B207E">
              <w:rPr>
                <w:rFonts w:cs="Arial"/>
                <w:i/>
                <w:iCs/>
                <w:lang w:val="ru-RU"/>
              </w:rPr>
              <w:t xml:space="preserve"> </w:t>
            </w:r>
            <w:proofErr w:type="spellStart"/>
            <w:r w:rsidRPr="005B207E">
              <w:rPr>
                <w:rFonts w:cs="Arial"/>
                <w:i/>
                <w:iCs/>
                <w:lang w:val="en-US"/>
              </w:rPr>
              <w:t>gonorrhoeae</w:t>
            </w:r>
            <w:proofErr w:type="spellEnd"/>
          </w:p>
        </w:tc>
        <w:tc>
          <w:tcPr>
            <w:tcW w:w="2538" w:type="dxa"/>
          </w:tcPr>
          <w:p w14:paraId="290A49DE" w14:textId="73AFCFE8"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0F41DC46" w14:textId="3AC7DAF0" w:rsidR="005B207E" w:rsidRPr="005B207E" w:rsidRDefault="005B207E" w:rsidP="005B207E">
            <w:pPr>
              <w:spacing w:line="240" w:lineRule="auto"/>
              <w:rPr>
                <w:rFonts w:eastAsia="Times New Roman" w:cs="Arial"/>
              </w:rPr>
            </w:pPr>
            <w:r w:rsidRPr="005B207E">
              <w:rPr>
                <w:rFonts w:cs="Arial"/>
              </w:rPr>
              <w:t>най-малко 14 дни</w:t>
            </w:r>
          </w:p>
        </w:tc>
      </w:tr>
      <w:tr w:rsidR="005B207E" w14:paraId="59AD31AC" w14:textId="6CAC2C1D" w:rsidTr="005B207E">
        <w:tc>
          <w:tcPr>
            <w:tcW w:w="2394" w:type="dxa"/>
            <w:vMerge w:val="restart"/>
          </w:tcPr>
          <w:p w14:paraId="16C37855" w14:textId="4259F8CB" w:rsidR="005B207E" w:rsidRPr="005B207E" w:rsidRDefault="005B207E" w:rsidP="005B207E">
            <w:pPr>
              <w:spacing w:line="240" w:lineRule="auto"/>
              <w:rPr>
                <w:rFonts w:eastAsia="Times New Roman" w:cs="Arial"/>
              </w:rPr>
            </w:pPr>
            <w:r w:rsidRPr="005B207E">
              <w:rPr>
                <w:rFonts w:cs="Arial"/>
              </w:rPr>
              <w:t>Инфекции на стомашно- чревния тракт и интраабдоминал- ни инфекции</w:t>
            </w:r>
          </w:p>
        </w:tc>
        <w:tc>
          <w:tcPr>
            <w:tcW w:w="2250" w:type="dxa"/>
          </w:tcPr>
          <w:p w14:paraId="10AA4A2F" w14:textId="77777777" w:rsidR="005B207E" w:rsidRPr="005B207E" w:rsidRDefault="005B207E" w:rsidP="005B207E">
            <w:pPr>
              <w:rPr>
                <w:rFonts w:cs="Arial"/>
              </w:rPr>
            </w:pPr>
            <w:r w:rsidRPr="005B207E">
              <w:rPr>
                <w:rFonts w:cs="Arial"/>
              </w:rPr>
              <w:t>Диария, причинена от бактерии, вкл.</w:t>
            </w:r>
          </w:p>
          <w:p w14:paraId="63EC1730" w14:textId="6FEC96A8" w:rsidR="005B207E" w:rsidRPr="005B207E" w:rsidRDefault="005B207E" w:rsidP="005B207E">
            <w:pPr>
              <w:spacing w:line="240" w:lineRule="auto"/>
              <w:rPr>
                <w:rFonts w:eastAsia="Times New Roman" w:cs="Arial"/>
              </w:rPr>
            </w:pPr>
            <w:proofErr w:type="spellStart"/>
            <w:r w:rsidRPr="005B207E">
              <w:rPr>
                <w:rFonts w:cs="Arial"/>
                <w:i/>
                <w:iCs/>
                <w:lang w:val="en-US"/>
              </w:rPr>
              <w:t>Shigella</w:t>
            </w:r>
            <w:proofErr w:type="spellEnd"/>
            <w:r w:rsidRPr="005B207E">
              <w:rPr>
                <w:rFonts w:cs="Arial"/>
                <w:i/>
                <w:iCs/>
                <w:lang w:val="ru-RU"/>
              </w:rPr>
              <w:t xml:space="preserve"> </w:t>
            </w:r>
            <w:proofErr w:type="spellStart"/>
            <w:r w:rsidRPr="005B207E">
              <w:rPr>
                <w:rFonts w:cs="Arial"/>
                <w:i/>
                <w:iCs/>
                <w:lang w:val="en-US"/>
              </w:rPr>
              <w:t>spp</w:t>
            </w:r>
            <w:proofErr w:type="spellEnd"/>
            <w:r w:rsidRPr="005B207E">
              <w:rPr>
                <w:rFonts w:cs="Arial"/>
                <w:i/>
                <w:iCs/>
                <w:lang w:val="ru-RU"/>
              </w:rPr>
              <w:t>,</w:t>
            </w:r>
            <w:r w:rsidRPr="005B207E">
              <w:rPr>
                <w:rFonts w:cs="Arial"/>
                <w:lang w:val="ru-RU"/>
              </w:rPr>
              <w:t xml:space="preserve"> </w:t>
            </w:r>
            <w:r w:rsidRPr="005B207E">
              <w:rPr>
                <w:rFonts w:cs="Arial"/>
              </w:rPr>
              <w:t xml:space="preserve">различни от </w:t>
            </w:r>
            <w:proofErr w:type="spellStart"/>
            <w:r w:rsidRPr="005B207E">
              <w:rPr>
                <w:rFonts w:cs="Arial"/>
                <w:i/>
                <w:iCs/>
                <w:lang w:val="en-US"/>
              </w:rPr>
              <w:t>Shigella</w:t>
            </w:r>
            <w:proofErr w:type="spellEnd"/>
            <w:r w:rsidRPr="005B207E">
              <w:rPr>
                <w:rFonts w:cs="Arial"/>
                <w:i/>
                <w:iCs/>
                <w:lang w:val="ru-RU"/>
              </w:rPr>
              <w:t xml:space="preserve"> </w:t>
            </w:r>
            <w:proofErr w:type="spellStart"/>
            <w:r w:rsidRPr="005B207E">
              <w:rPr>
                <w:rFonts w:cs="Arial"/>
                <w:i/>
                <w:iCs/>
                <w:lang w:val="en-US"/>
              </w:rPr>
              <w:t>dysenteria</w:t>
            </w:r>
            <w:proofErr w:type="spellEnd"/>
            <w:r w:rsidRPr="005B207E">
              <w:rPr>
                <w:rFonts w:cs="Arial"/>
                <w:i/>
                <w:iCs/>
                <w:lang w:val="ru-RU"/>
              </w:rPr>
              <w:t xml:space="preserve"> </w:t>
            </w:r>
            <w:r w:rsidRPr="005B207E">
              <w:rPr>
                <w:rFonts w:cs="Arial"/>
              </w:rPr>
              <w:t>тип 1 и емпирично лечение на диария на пътешествениците</w:t>
            </w:r>
          </w:p>
        </w:tc>
        <w:tc>
          <w:tcPr>
            <w:tcW w:w="2538" w:type="dxa"/>
          </w:tcPr>
          <w:p w14:paraId="7342831F" w14:textId="625CA3F7"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394" w:type="dxa"/>
          </w:tcPr>
          <w:p w14:paraId="242547B4" w14:textId="170B1B2A" w:rsidR="005B207E" w:rsidRPr="005B207E" w:rsidRDefault="005B207E" w:rsidP="005B207E">
            <w:pPr>
              <w:spacing w:line="240" w:lineRule="auto"/>
              <w:rPr>
                <w:rFonts w:eastAsia="Times New Roman" w:cs="Arial"/>
              </w:rPr>
            </w:pPr>
            <w:r w:rsidRPr="005B207E">
              <w:rPr>
                <w:rFonts w:cs="Arial"/>
              </w:rPr>
              <w:t>1 ден</w:t>
            </w:r>
          </w:p>
        </w:tc>
      </w:tr>
      <w:tr w:rsidR="005B207E" w14:paraId="4549B7EB" w14:textId="453C7EE9" w:rsidTr="005B207E">
        <w:tc>
          <w:tcPr>
            <w:tcW w:w="2394" w:type="dxa"/>
            <w:vMerge/>
          </w:tcPr>
          <w:p w14:paraId="64578599" w14:textId="77777777" w:rsidR="005B207E" w:rsidRPr="005B207E" w:rsidRDefault="005B207E" w:rsidP="005B207E">
            <w:pPr>
              <w:spacing w:line="240" w:lineRule="auto"/>
              <w:rPr>
                <w:rFonts w:eastAsia="Times New Roman" w:cs="Arial"/>
              </w:rPr>
            </w:pPr>
          </w:p>
        </w:tc>
        <w:tc>
          <w:tcPr>
            <w:tcW w:w="2250" w:type="dxa"/>
          </w:tcPr>
          <w:p w14:paraId="0CAD30ED" w14:textId="201DEB55" w:rsidR="005B207E" w:rsidRPr="005B207E" w:rsidRDefault="005B207E" w:rsidP="005B207E">
            <w:pPr>
              <w:spacing w:line="240" w:lineRule="auto"/>
              <w:rPr>
                <w:rFonts w:eastAsia="Times New Roman" w:cs="Arial"/>
              </w:rPr>
            </w:pPr>
            <w:r w:rsidRPr="005B207E">
              <w:rPr>
                <w:rFonts w:cs="Arial"/>
              </w:rPr>
              <w:t xml:space="preserve">Диария, причинена от </w:t>
            </w:r>
            <w:proofErr w:type="spellStart"/>
            <w:r w:rsidRPr="005B207E">
              <w:rPr>
                <w:rFonts w:cs="Arial"/>
                <w:i/>
                <w:iCs/>
                <w:lang w:val="en-US"/>
              </w:rPr>
              <w:t>Shigella</w:t>
            </w:r>
            <w:proofErr w:type="spellEnd"/>
            <w:r w:rsidRPr="005B207E">
              <w:rPr>
                <w:rFonts w:cs="Arial"/>
                <w:i/>
                <w:iCs/>
                <w:lang w:val="ru-RU"/>
              </w:rPr>
              <w:t xml:space="preserve"> </w:t>
            </w:r>
            <w:proofErr w:type="spellStart"/>
            <w:r w:rsidRPr="005B207E">
              <w:rPr>
                <w:rFonts w:cs="Arial"/>
                <w:i/>
                <w:iCs/>
                <w:lang w:val="en-US"/>
              </w:rPr>
              <w:t>dysenteriae</w:t>
            </w:r>
            <w:proofErr w:type="spellEnd"/>
            <w:r w:rsidRPr="005B207E">
              <w:rPr>
                <w:rFonts w:cs="Arial"/>
                <w:i/>
                <w:iCs/>
                <w:lang w:val="ru-RU"/>
              </w:rPr>
              <w:t xml:space="preserve"> </w:t>
            </w:r>
            <w:r w:rsidRPr="005B207E">
              <w:rPr>
                <w:rFonts w:cs="Arial"/>
              </w:rPr>
              <w:t>тип 1</w:t>
            </w:r>
          </w:p>
        </w:tc>
        <w:tc>
          <w:tcPr>
            <w:tcW w:w="2538" w:type="dxa"/>
          </w:tcPr>
          <w:p w14:paraId="6B3AAE9D" w14:textId="36D9E3E3"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394" w:type="dxa"/>
          </w:tcPr>
          <w:p w14:paraId="3CDD852A" w14:textId="6008444B" w:rsidR="005B207E" w:rsidRPr="005B207E" w:rsidRDefault="005B207E" w:rsidP="005B207E">
            <w:pPr>
              <w:spacing w:line="240" w:lineRule="auto"/>
              <w:rPr>
                <w:rFonts w:eastAsia="Times New Roman" w:cs="Arial"/>
              </w:rPr>
            </w:pPr>
            <w:r w:rsidRPr="005B207E">
              <w:rPr>
                <w:rFonts w:cs="Arial"/>
              </w:rPr>
              <w:t>5 дни</w:t>
            </w:r>
          </w:p>
        </w:tc>
      </w:tr>
      <w:tr w:rsidR="005B207E" w14:paraId="042F9D61" w14:textId="194A71E7" w:rsidTr="005B207E">
        <w:tc>
          <w:tcPr>
            <w:tcW w:w="2394" w:type="dxa"/>
            <w:vMerge/>
          </w:tcPr>
          <w:p w14:paraId="38218804" w14:textId="77777777" w:rsidR="005B207E" w:rsidRPr="005B207E" w:rsidRDefault="005B207E" w:rsidP="005B207E">
            <w:pPr>
              <w:spacing w:line="240" w:lineRule="auto"/>
              <w:rPr>
                <w:rFonts w:eastAsia="Times New Roman" w:cs="Arial"/>
              </w:rPr>
            </w:pPr>
          </w:p>
        </w:tc>
        <w:tc>
          <w:tcPr>
            <w:tcW w:w="2250" w:type="dxa"/>
          </w:tcPr>
          <w:p w14:paraId="796BCC87" w14:textId="3830E05E" w:rsidR="005B207E" w:rsidRPr="005B207E" w:rsidRDefault="005B207E" w:rsidP="005B207E">
            <w:pPr>
              <w:spacing w:line="240" w:lineRule="auto"/>
              <w:rPr>
                <w:rFonts w:eastAsia="Times New Roman" w:cs="Arial"/>
              </w:rPr>
            </w:pPr>
            <w:r w:rsidRPr="005B207E">
              <w:rPr>
                <w:rFonts w:cs="Arial"/>
              </w:rPr>
              <w:t xml:space="preserve">Диария, причинена от </w:t>
            </w:r>
            <w:r w:rsidRPr="005B207E">
              <w:rPr>
                <w:rFonts w:cs="Arial"/>
                <w:i/>
                <w:iCs/>
                <w:lang w:val="en-US"/>
              </w:rPr>
              <w:t>Vibrio</w:t>
            </w:r>
            <w:r w:rsidRPr="005B207E">
              <w:rPr>
                <w:rFonts w:cs="Arial"/>
                <w:i/>
                <w:iCs/>
                <w:lang w:val="ru-RU"/>
              </w:rPr>
              <w:t xml:space="preserve"> </w:t>
            </w:r>
            <w:proofErr w:type="spellStart"/>
            <w:r w:rsidRPr="005B207E">
              <w:rPr>
                <w:rFonts w:cs="Arial"/>
                <w:i/>
                <w:iCs/>
                <w:lang w:val="en-US"/>
              </w:rPr>
              <w:t>cholerae</w:t>
            </w:r>
            <w:proofErr w:type="spellEnd"/>
          </w:p>
        </w:tc>
        <w:tc>
          <w:tcPr>
            <w:tcW w:w="2538" w:type="dxa"/>
          </w:tcPr>
          <w:p w14:paraId="37925765" w14:textId="461C37EF"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394" w:type="dxa"/>
          </w:tcPr>
          <w:p w14:paraId="580075FF" w14:textId="439AB819" w:rsidR="005B207E" w:rsidRPr="005B207E" w:rsidRDefault="005B207E" w:rsidP="005B207E">
            <w:pPr>
              <w:spacing w:line="240" w:lineRule="auto"/>
              <w:rPr>
                <w:rFonts w:eastAsia="Times New Roman" w:cs="Arial"/>
              </w:rPr>
            </w:pPr>
            <w:r w:rsidRPr="005B207E">
              <w:rPr>
                <w:rFonts w:cs="Arial"/>
              </w:rPr>
              <w:t>3 дни</w:t>
            </w:r>
          </w:p>
        </w:tc>
      </w:tr>
      <w:tr w:rsidR="005B207E" w14:paraId="2B285B83" w14:textId="24BB91A1" w:rsidTr="005B207E">
        <w:tc>
          <w:tcPr>
            <w:tcW w:w="2394" w:type="dxa"/>
            <w:vMerge/>
          </w:tcPr>
          <w:p w14:paraId="31B543FE" w14:textId="77777777" w:rsidR="005B207E" w:rsidRPr="005B207E" w:rsidRDefault="005B207E" w:rsidP="005B207E">
            <w:pPr>
              <w:spacing w:line="240" w:lineRule="auto"/>
              <w:rPr>
                <w:rFonts w:eastAsia="Times New Roman" w:cs="Arial"/>
              </w:rPr>
            </w:pPr>
          </w:p>
        </w:tc>
        <w:tc>
          <w:tcPr>
            <w:tcW w:w="2250" w:type="dxa"/>
          </w:tcPr>
          <w:p w14:paraId="11FE3221" w14:textId="21955C9E" w:rsidR="005B207E" w:rsidRPr="005B207E" w:rsidRDefault="005B207E" w:rsidP="005B207E">
            <w:pPr>
              <w:spacing w:line="240" w:lineRule="auto"/>
              <w:rPr>
                <w:rFonts w:eastAsia="Times New Roman" w:cs="Arial"/>
              </w:rPr>
            </w:pPr>
            <w:r w:rsidRPr="005B207E">
              <w:rPr>
                <w:rFonts w:cs="Arial"/>
              </w:rPr>
              <w:t>Тифоидна треска</w:t>
            </w:r>
          </w:p>
        </w:tc>
        <w:tc>
          <w:tcPr>
            <w:tcW w:w="2538" w:type="dxa"/>
            <w:vAlign w:val="bottom"/>
          </w:tcPr>
          <w:p w14:paraId="5FD5E112" w14:textId="7A0EE273"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394" w:type="dxa"/>
          </w:tcPr>
          <w:p w14:paraId="4ACE86BC" w14:textId="281259CE" w:rsidR="005B207E" w:rsidRPr="005B207E" w:rsidRDefault="005B207E" w:rsidP="005B207E">
            <w:pPr>
              <w:spacing w:line="240" w:lineRule="auto"/>
              <w:rPr>
                <w:rFonts w:eastAsia="Times New Roman" w:cs="Arial"/>
              </w:rPr>
            </w:pPr>
            <w:r w:rsidRPr="005B207E">
              <w:rPr>
                <w:rFonts w:cs="Arial"/>
              </w:rPr>
              <w:t>7 дни</w:t>
            </w:r>
          </w:p>
        </w:tc>
      </w:tr>
      <w:tr w:rsidR="005B207E" w14:paraId="4A69D530" w14:textId="7013AB71" w:rsidTr="005B207E">
        <w:tc>
          <w:tcPr>
            <w:tcW w:w="2394" w:type="dxa"/>
            <w:vMerge/>
          </w:tcPr>
          <w:p w14:paraId="464B809D" w14:textId="77777777" w:rsidR="005B207E" w:rsidRPr="005B207E" w:rsidRDefault="005B207E" w:rsidP="005B207E">
            <w:pPr>
              <w:spacing w:line="240" w:lineRule="auto"/>
              <w:rPr>
                <w:rFonts w:eastAsia="Times New Roman" w:cs="Arial"/>
              </w:rPr>
            </w:pPr>
          </w:p>
        </w:tc>
        <w:tc>
          <w:tcPr>
            <w:tcW w:w="2250" w:type="dxa"/>
          </w:tcPr>
          <w:p w14:paraId="5991E093" w14:textId="630BE968" w:rsidR="005B207E" w:rsidRPr="005B207E" w:rsidRDefault="005B207E" w:rsidP="005B207E">
            <w:pPr>
              <w:spacing w:line="240" w:lineRule="auto"/>
              <w:rPr>
                <w:rFonts w:eastAsia="Times New Roman" w:cs="Arial"/>
              </w:rPr>
            </w:pPr>
            <w:r w:rsidRPr="005B207E">
              <w:rPr>
                <w:rFonts w:cs="Arial"/>
              </w:rPr>
              <w:t>Интраабдоминални инфекции, причинени от Грам-отрицателни бактерии</w:t>
            </w:r>
          </w:p>
        </w:tc>
        <w:tc>
          <w:tcPr>
            <w:tcW w:w="2538" w:type="dxa"/>
          </w:tcPr>
          <w:p w14:paraId="4C614390" w14:textId="5B06361D"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3DA50364" w14:textId="1856CFA1" w:rsidR="005B207E" w:rsidRPr="005B207E" w:rsidRDefault="005B207E" w:rsidP="005B207E">
            <w:pPr>
              <w:spacing w:line="240" w:lineRule="auto"/>
              <w:rPr>
                <w:rFonts w:eastAsia="Times New Roman" w:cs="Arial"/>
              </w:rPr>
            </w:pPr>
            <w:r w:rsidRPr="005B207E">
              <w:rPr>
                <w:rFonts w:cs="Arial"/>
              </w:rPr>
              <w:t>5 до 14 дни</w:t>
            </w:r>
          </w:p>
        </w:tc>
      </w:tr>
      <w:tr w:rsidR="005B207E" w14:paraId="59D4FD80" w14:textId="7E7FD82F" w:rsidTr="005B207E">
        <w:tc>
          <w:tcPr>
            <w:tcW w:w="2394" w:type="dxa"/>
          </w:tcPr>
          <w:p w14:paraId="59245F2A" w14:textId="23DEB22E" w:rsidR="005B207E" w:rsidRPr="005B207E" w:rsidRDefault="005B207E" w:rsidP="005B207E">
            <w:pPr>
              <w:spacing w:line="240" w:lineRule="auto"/>
              <w:rPr>
                <w:rFonts w:eastAsia="Times New Roman" w:cs="Arial"/>
              </w:rPr>
            </w:pPr>
            <w:r w:rsidRPr="005B207E">
              <w:rPr>
                <w:rFonts w:cs="Arial"/>
              </w:rPr>
              <w:t>Инфекции на кожата и меките тъкани, причинени от Грам-отрицателни бактерии</w:t>
            </w:r>
          </w:p>
        </w:tc>
        <w:tc>
          <w:tcPr>
            <w:tcW w:w="2250" w:type="dxa"/>
          </w:tcPr>
          <w:p w14:paraId="6363A818" w14:textId="3166646E"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538" w:type="dxa"/>
          </w:tcPr>
          <w:p w14:paraId="013498C2" w14:textId="4027A202" w:rsidR="005B207E" w:rsidRPr="005B207E" w:rsidRDefault="005B207E" w:rsidP="005B207E">
            <w:pPr>
              <w:spacing w:line="240" w:lineRule="auto"/>
              <w:rPr>
                <w:rFonts w:eastAsia="Times New Roman" w:cs="Arial"/>
              </w:rPr>
            </w:pPr>
            <w:r w:rsidRPr="005B207E">
              <w:rPr>
                <w:rFonts w:cs="Arial"/>
              </w:rPr>
              <w:t>7 до 14 дни</w:t>
            </w:r>
          </w:p>
        </w:tc>
        <w:tc>
          <w:tcPr>
            <w:tcW w:w="2394" w:type="dxa"/>
          </w:tcPr>
          <w:p w14:paraId="09958082" w14:textId="2D84CFB1" w:rsidR="005B207E" w:rsidRPr="005B207E" w:rsidRDefault="005B207E" w:rsidP="005B207E">
            <w:pPr>
              <w:spacing w:line="240" w:lineRule="auto"/>
              <w:rPr>
                <w:rFonts w:eastAsia="Times New Roman" w:cs="Arial"/>
              </w:rPr>
            </w:pPr>
            <w:r w:rsidRPr="005B207E">
              <w:rPr>
                <w:rFonts w:cs="Arial"/>
              </w:rPr>
              <w:t>Инфекции на кожата и меките тъкани, причинени от Грам-отрицателни бактерии</w:t>
            </w:r>
          </w:p>
        </w:tc>
      </w:tr>
      <w:tr w:rsidR="005B207E" w14:paraId="02350BF6" w14:textId="476FB166" w:rsidTr="005B207E">
        <w:tc>
          <w:tcPr>
            <w:tcW w:w="2394" w:type="dxa"/>
          </w:tcPr>
          <w:p w14:paraId="5B0E0C17" w14:textId="4B7EFC98" w:rsidR="005B207E" w:rsidRPr="005B207E" w:rsidRDefault="005B207E" w:rsidP="005B207E">
            <w:pPr>
              <w:spacing w:line="240" w:lineRule="auto"/>
              <w:rPr>
                <w:rFonts w:eastAsia="Times New Roman" w:cs="Arial"/>
              </w:rPr>
            </w:pPr>
            <w:r w:rsidRPr="005B207E">
              <w:rPr>
                <w:rFonts w:cs="Arial"/>
              </w:rPr>
              <w:t>Инфекции на костите и ставите</w:t>
            </w:r>
          </w:p>
        </w:tc>
        <w:tc>
          <w:tcPr>
            <w:tcW w:w="2250" w:type="dxa"/>
          </w:tcPr>
          <w:p w14:paraId="44F2A592" w14:textId="61AD3333"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538" w:type="dxa"/>
          </w:tcPr>
          <w:p w14:paraId="2BC6BC5D" w14:textId="4C921F84" w:rsidR="005B207E" w:rsidRPr="005B207E" w:rsidRDefault="005B207E" w:rsidP="005B207E">
            <w:pPr>
              <w:spacing w:line="240" w:lineRule="auto"/>
              <w:rPr>
                <w:rFonts w:eastAsia="Times New Roman" w:cs="Arial"/>
              </w:rPr>
            </w:pPr>
            <w:r w:rsidRPr="005B207E">
              <w:rPr>
                <w:rFonts w:cs="Arial"/>
              </w:rPr>
              <w:t>максимално 3 месеца</w:t>
            </w:r>
          </w:p>
        </w:tc>
        <w:tc>
          <w:tcPr>
            <w:tcW w:w="2394" w:type="dxa"/>
          </w:tcPr>
          <w:p w14:paraId="22F57C69" w14:textId="5B207C96" w:rsidR="005B207E" w:rsidRPr="005B207E" w:rsidRDefault="005B207E" w:rsidP="005B207E">
            <w:pPr>
              <w:spacing w:line="240" w:lineRule="auto"/>
              <w:rPr>
                <w:rFonts w:eastAsia="Times New Roman" w:cs="Arial"/>
              </w:rPr>
            </w:pPr>
            <w:r w:rsidRPr="005B207E">
              <w:rPr>
                <w:rFonts w:cs="Arial"/>
              </w:rPr>
              <w:t>Инфекции на костите и ставите</w:t>
            </w:r>
          </w:p>
        </w:tc>
      </w:tr>
      <w:tr w:rsidR="005B207E" w14:paraId="79C4482A" w14:textId="3EB28044" w:rsidTr="005B207E">
        <w:tc>
          <w:tcPr>
            <w:tcW w:w="2394" w:type="dxa"/>
          </w:tcPr>
          <w:p w14:paraId="48189D7B" w14:textId="1CCFEBB0" w:rsidR="005B207E" w:rsidRPr="005B207E" w:rsidRDefault="005B207E" w:rsidP="005B207E">
            <w:pPr>
              <w:spacing w:line="240" w:lineRule="auto"/>
              <w:rPr>
                <w:rFonts w:eastAsia="Times New Roman" w:cs="Arial"/>
              </w:rPr>
            </w:pPr>
            <w:r w:rsidRPr="005B207E">
              <w:rPr>
                <w:rFonts w:cs="Arial"/>
              </w:rPr>
              <w:t xml:space="preserve">Неутропенични пациенти с повишена </w:t>
            </w:r>
            <w:r w:rsidRPr="005B207E">
              <w:rPr>
                <w:rFonts w:cs="Arial"/>
              </w:rPr>
              <w:lastRenderedPageBreak/>
              <w:t>температура, когато се предполага че причината е бактериална инфекция. Ципрофлоксацин трябва да се комбинира с други подходящи антибактериални средства в съответствие с официалното ръководство.</w:t>
            </w:r>
          </w:p>
        </w:tc>
        <w:tc>
          <w:tcPr>
            <w:tcW w:w="2250" w:type="dxa"/>
          </w:tcPr>
          <w:p w14:paraId="735E4B9A" w14:textId="6F918584" w:rsidR="005B207E" w:rsidRPr="005B207E" w:rsidRDefault="005B207E" w:rsidP="005B207E">
            <w:pPr>
              <w:spacing w:line="240" w:lineRule="auto"/>
              <w:rPr>
                <w:rFonts w:eastAsia="Times New Roman" w:cs="Arial"/>
              </w:rPr>
            </w:pPr>
            <w:r w:rsidRPr="005B207E">
              <w:rPr>
                <w:rFonts w:cs="Arial"/>
              </w:rPr>
              <w:lastRenderedPageBreak/>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538" w:type="dxa"/>
          </w:tcPr>
          <w:p w14:paraId="03875493" w14:textId="3CBC1D34" w:rsidR="005B207E" w:rsidRPr="005B207E" w:rsidRDefault="005B207E" w:rsidP="005B207E">
            <w:pPr>
              <w:spacing w:line="240" w:lineRule="auto"/>
              <w:rPr>
                <w:rFonts w:eastAsia="Times New Roman" w:cs="Arial"/>
              </w:rPr>
            </w:pPr>
            <w:r w:rsidRPr="005B207E">
              <w:rPr>
                <w:rFonts w:cs="Arial"/>
              </w:rPr>
              <w:t xml:space="preserve">Лечението трябва да продължи през </w:t>
            </w:r>
            <w:r w:rsidRPr="005B207E">
              <w:rPr>
                <w:rFonts w:cs="Arial"/>
              </w:rPr>
              <w:lastRenderedPageBreak/>
              <w:t>целия период на неутропенията</w:t>
            </w:r>
          </w:p>
        </w:tc>
        <w:tc>
          <w:tcPr>
            <w:tcW w:w="2394" w:type="dxa"/>
          </w:tcPr>
          <w:p w14:paraId="60EF8C6A" w14:textId="085864AE" w:rsidR="005B207E" w:rsidRPr="005B207E" w:rsidRDefault="005B207E" w:rsidP="005B207E">
            <w:pPr>
              <w:spacing w:line="240" w:lineRule="auto"/>
              <w:rPr>
                <w:rFonts w:eastAsia="Times New Roman" w:cs="Arial"/>
              </w:rPr>
            </w:pPr>
            <w:r w:rsidRPr="005B207E">
              <w:rPr>
                <w:rFonts w:cs="Arial"/>
              </w:rPr>
              <w:lastRenderedPageBreak/>
              <w:t xml:space="preserve">Неутропенични пациенти с повишена </w:t>
            </w:r>
            <w:r w:rsidRPr="005B207E">
              <w:rPr>
                <w:rFonts w:cs="Arial"/>
              </w:rPr>
              <w:lastRenderedPageBreak/>
              <w:t>температура, когато се предполага че причината е бактериална инфекция. Ципрофлоксацин трябва да се комбинира с други подходящи антибактериални средства в съответствие с официалното ръководство.</w:t>
            </w:r>
          </w:p>
        </w:tc>
      </w:tr>
      <w:tr w:rsidR="005B207E" w14:paraId="75F030CB" w14:textId="60EAA4EF" w:rsidTr="005B207E">
        <w:tc>
          <w:tcPr>
            <w:tcW w:w="2394" w:type="dxa"/>
          </w:tcPr>
          <w:p w14:paraId="7A117F5F" w14:textId="17B91E4C" w:rsidR="005B207E" w:rsidRPr="005B207E" w:rsidRDefault="005B207E" w:rsidP="005B207E">
            <w:pPr>
              <w:spacing w:line="240" w:lineRule="auto"/>
              <w:rPr>
                <w:rFonts w:eastAsia="Times New Roman" w:cs="Arial"/>
              </w:rPr>
            </w:pPr>
            <w:r w:rsidRPr="005B207E">
              <w:rPr>
                <w:rFonts w:cs="Arial"/>
              </w:rPr>
              <w:lastRenderedPageBreak/>
              <w:t xml:space="preserve">Профилактика на инвазивни инфекции с </w:t>
            </w:r>
            <w:r w:rsidRPr="005B207E">
              <w:rPr>
                <w:rFonts w:cs="Arial"/>
                <w:i/>
                <w:iCs/>
                <w:lang w:val="en-US"/>
              </w:rPr>
              <w:t>Neisseria</w:t>
            </w:r>
            <w:r w:rsidRPr="005B207E">
              <w:rPr>
                <w:rFonts w:cs="Arial"/>
                <w:i/>
                <w:iCs/>
                <w:lang w:val="ru-RU"/>
              </w:rPr>
              <w:t xml:space="preserve"> </w:t>
            </w:r>
            <w:proofErr w:type="spellStart"/>
            <w:r w:rsidRPr="005B207E">
              <w:rPr>
                <w:rFonts w:cs="Arial"/>
                <w:i/>
                <w:iCs/>
                <w:lang w:val="en-US"/>
              </w:rPr>
              <w:t>meningitidis</w:t>
            </w:r>
            <w:proofErr w:type="spellEnd"/>
          </w:p>
        </w:tc>
        <w:tc>
          <w:tcPr>
            <w:tcW w:w="2250" w:type="dxa"/>
          </w:tcPr>
          <w:p w14:paraId="0C505321" w14:textId="33CC0B3F"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като еднократна доза</w:t>
            </w:r>
          </w:p>
        </w:tc>
        <w:tc>
          <w:tcPr>
            <w:tcW w:w="2538" w:type="dxa"/>
          </w:tcPr>
          <w:p w14:paraId="0091D6F5" w14:textId="35D84E39" w:rsidR="005B207E" w:rsidRPr="005B207E" w:rsidRDefault="005B207E" w:rsidP="005B207E">
            <w:pPr>
              <w:spacing w:line="240" w:lineRule="auto"/>
              <w:rPr>
                <w:rFonts w:eastAsia="Times New Roman" w:cs="Arial"/>
              </w:rPr>
            </w:pPr>
            <w:r w:rsidRPr="005B207E">
              <w:rPr>
                <w:rFonts w:cs="Arial"/>
                <w:i/>
                <w:iCs/>
              </w:rPr>
              <w:t>1</w:t>
            </w:r>
            <w:r w:rsidRPr="005B207E">
              <w:rPr>
                <w:rFonts w:cs="Arial"/>
              </w:rPr>
              <w:t xml:space="preserve"> ден (еднократна доза)</w:t>
            </w:r>
          </w:p>
        </w:tc>
        <w:tc>
          <w:tcPr>
            <w:tcW w:w="2394" w:type="dxa"/>
          </w:tcPr>
          <w:p w14:paraId="24C64A47" w14:textId="421B270D" w:rsidR="005B207E" w:rsidRPr="005B207E" w:rsidRDefault="005B207E" w:rsidP="005B207E">
            <w:pPr>
              <w:spacing w:line="240" w:lineRule="auto"/>
              <w:rPr>
                <w:rFonts w:eastAsia="Times New Roman" w:cs="Arial"/>
              </w:rPr>
            </w:pPr>
            <w:r w:rsidRPr="005B207E">
              <w:rPr>
                <w:rFonts w:cs="Arial"/>
              </w:rPr>
              <w:t xml:space="preserve">Профилактика на инвазивни инфекции с </w:t>
            </w:r>
            <w:r w:rsidRPr="005B207E">
              <w:rPr>
                <w:rFonts w:cs="Arial"/>
                <w:i/>
                <w:iCs/>
                <w:lang w:val="en-US"/>
              </w:rPr>
              <w:t>Neisseria</w:t>
            </w:r>
            <w:r w:rsidRPr="005B207E">
              <w:rPr>
                <w:rFonts w:cs="Arial"/>
                <w:i/>
                <w:iCs/>
                <w:lang w:val="ru-RU"/>
              </w:rPr>
              <w:t xml:space="preserve"> </w:t>
            </w:r>
            <w:proofErr w:type="spellStart"/>
            <w:r w:rsidRPr="005B207E">
              <w:rPr>
                <w:rFonts w:cs="Arial"/>
                <w:i/>
                <w:iCs/>
                <w:lang w:val="en-US"/>
              </w:rPr>
              <w:t>meningitidis</w:t>
            </w:r>
            <w:proofErr w:type="spellEnd"/>
          </w:p>
        </w:tc>
      </w:tr>
      <w:tr w:rsidR="005B207E" w14:paraId="02EE5722" w14:textId="661C5D62" w:rsidTr="005B207E">
        <w:tc>
          <w:tcPr>
            <w:tcW w:w="2394" w:type="dxa"/>
          </w:tcPr>
          <w:p w14:paraId="1A8CDA01" w14:textId="45E9C3B2" w:rsidR="005B207E" w:rsidRPr="005B207E" w:rsidRDefault="005B207E" w:rsidP="005B207E">
            <w:pPr>
              <w:spacing w:line="240" w:lineRule="auto"/>
              <w:rPr>
                <w:rFonts w:eastAsia="Times New Roman" w:cs="Arial"/>
              </w:rPr>
            </w:pPr>
            <w:r w:rsidRPr="005B207E">
              <w:rPr>
                <w:rFonts w:cs="Arial"/>
              </w:rPr>
              <w:t>Инхалаторен антракс - за постекспозиционна профилактика, както и за лечение на лица, които могат да се лекуват чрез перорално приложение, когато това е клинично показано. Прилагането на лекарството трябва да започне колкото е възможно по-скоро след подозиран или потвърден контакт.</w:t>
            </w:r>
          </w:p>
        </w:tc>
        <w:tc>
          <w:tcPr>
            <w:tcW w:w="2250" w:type="dxa"/>
          </w:tcPr>
          <w:p w14:paraId="289419ED" w14:textId="475B935A"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538" w:type="dxa"/>
          </w:tcPr>
          <w:p w14:paraId="54B37077" w14:textId="1F30C867" w:rsidR="005B207E" w:rsidRPr="005B207E" w:rsidRDefault="005B207E" w:rsidP="005B207E">
            <w:pPr>
              <w:spacing w:line="240" w:lineRule="auto"/>
              <w:rPr>
                <w:rFonts w:eastAsia="Times New Roman" w:cs="Arial"/>
              </w:rPr>
            </w:pPr>
            <w:r w:rsidRPr="005B207E">
              <w:rPr>
                <w:rFonts w:cs="Arial"/>
              </w:rPr>
              <w:t xml:space="preserve">60 дена след потвърждаване на експозиция на </w:t>
            </w:r>
            <w:r w:rsidRPr="005B207E">
              <w:rPr>
                <w:rFonts w:cs="Arial"/>
                <w:i/>
                <w:iCs/>
                <w:lang w:val="en-US"/>
              </w:rPr>
              <w:t>Bacillus</w:t>
            </w:r>
            <w:r w:rsidRPr="005B207E">
              <w:rPr>
                <w:rFonts w:cs="Arial"/>
                <w:i/>
                <w:iCs/>
                <w:lang w:val="ru-RU"/>
              </w:rPr>
              <w:t xml:space="preserve"> </w:t>
            </w:r>
            <w:proofErr w:type="spellStart"/>
            <w:r w:rsidRPr="005B207E">
              <w:rPr>
                <w:rFonts w:cs="Arial"/>
                <w:i/>
                <w:iCs/>
                <w:lang w:val="en-US"/>
              </w:rPr>
              <w:t>anthracis</w:t>
            </w:r>
            <w:proofErr w:type="spellEnd"/>
          </w:p>
        </w:tc>
        <w:tc>
          <w:tcPr>
            <w:tcW w:w="2394" w:type="dxa"/>
          </w:tcPr>
          <w:p w14:paraId="69375F67" w14:textId="26B5EE46" w:rsidR="005B207E" w:rsidRPr="005B207E" w:rsidRDefault="005B207E" w:rsidP="005B207E">
            <w:pPr>
              <w:spacing w:line="240" w:lineRule="auto"/>
              <w:rPr>
                <w:rFonts w:eastAsia="Times New Roman" w:cs="Arial"/>
              </w:rPr>
            </w:pPr>
            <w:r w:rsidRPr="005B207E">
              <w:rPr>
                <w:rFonts w:cs="Arial"/>
              </w:rPr>
              <w:t>Инхалаторен антракс - за постекспозиционна профилактика, както и за лечение на лица, които могат да се лекуват чрез перорално приложение,</w:t>
            </w:r>
          </w:p>
        </w:tc>
      </w:tr>
    </w:tbl>
    <w:p w14:paraId="7AE9C023" w14:textId="77777777" w:rsidR="005B207E" w:rsidRPr="005B207E" w:rsidRDefault="005B207E" w:rsidP="005B207E">
      <w:pPr>
        <w:spacing w:line="240" w:lineRule="auto"/>
        <w:rPr>
          <w:rFonts w:eastAsia="Times New Roman" w:cs="Arial"/>
          <w:sz w:val="24"/>
          <w:szCs w:val="24"/>
        </w:rPr>
      </w:pPr>
    </w:p>
    <w:p w14:paraId="28175E9D" w14:textId="3E89E998" w:rsidR="005B207E" w:rsidRDefault="005B207E" w:rsidP="005B207E">
      <w:pPr>
        <w:rPr>
          <w:i/>
          <w:iCs/>
          <w:u w:val="single"/>
        </w:rPr>
      </w:pPr>
      <w:r>
        <w:rPr>
          <w:i/>
          <w:iCs/>
          <w:u w:val="single"/>
        </w:rPr>
        <w:t>Педиатрична популаиия</w:t>
      </w:r>
    </w:p>
    <w:tbl>
      <w:tblPr>
        <w:tblStyle w:val="TableGrid"/>
        <w:tblW w:w="0" w:type="auto"/>
        <w:tblLook w:val="04A0" w:firstRow="1" w:lastRow="0" w:firstColumn="1" w:lastColumn="0" w:noHBand="0" w:noVBand="1"/>
      </w:tblPr>
      <w:tblGrid>
        <w:gridCol w:w="3135"/>
        <w:gridCol w:w="3079"/>
        <w:gridCol w:w="3136"/>
      </w:tblGrid>
      <w:tr w:rsidR="005B207E" w14:paraId="5CE233B4" w14:textId="77777777" w:rsidTr="005B207E">
        <w:tc>
          <w:tcPr>
            <w:tcW w:w="3192" w:type="dxa"/>
          </w:tcPr>
          <w:p w14:paraId="1E508CD8" w14:textId="49FBF4B8" w:rsidR="005B207E" w:rsidRDefault="005B207E" w:rsidP="005B207E">
            <w:r>
              <w:rPr>
                <w:b/>
                <w:bCs/>
              </w:rPr>
              <w:t>Показания</w:t>
            </w:r>
          </w:p>
        </w:tc>
        <w:tc>
          <w:tcPr>
            <w:tcW w:w="3192" w:type="dxa"/>
          </w:tcPr>
          <w:p w14:paraId="133802A1" w14:textId="61E80AE9" w:rsidR="005B207E" w:rsidRDefault="005B207E" w:rsidP="005B207E">
            <w:r>
              <w:rPr>
                <w:b/>
                <w:bCs/>
              </w:rPr>
              <w:t xml:space="preserve">Дневна доза в </w:t>
            </w:r>
            <w:r>
              <w:rPr>
                <w:b/>
                <w:bCs/>
                <w:lang w:val="en-US"/>
              </w:rPr>
              <w:t>mg</w:t>
            </w:r>
          </w:p>
        </w:tc>
        <w:tc>
          <w:tcPr>
            <w:tcW w:w="3192" w:type="dxa"/>
            <w:vAlign w:val="bottom"/>
          </w:tcPr>
          <w:p w14:paraId="66C98AE4" w14:textId="1DF78535" w:rsidR="005B207E" w:rsidRDefault="005B207E" w:rsidP="005B207E">
            <w:r>
              <w:rPr>
                <w:b/>
                <w:bCs/>
              </w:rPr>
              <w:t>Обща продължителност на лечение (потенциално включващо начално парентерално лечение с ципрофлоксацин)</w:t>
            </w:r>
          </w:p>
        </w:tc>
      </w:tr>
      <w:tr w:rsidR="005B207E" w14:paraId="26B9EF62" w14:textId="77777777" w:rsidTr="005B207E">
        <w:tc>
          <w:tcPr>
            <w:tcW w:w="3192" w:type="dxa"/>
          </w:tcPr>
          <w:p w14:paraId="6CE6694A" w14:textId="3BBDFFB2" w:rsidR="005B207E" w:rsidRDefault="005B207E" w:rsidP="005B207E">
            <w:r>
              <w:t>Кистозна фиброза</w:t>
            </w:r>
          </w:p>
        </w:tc>
        <w:tc>
          <w:tcPr>
            <w:tcW w:w="3192" w:type="dxa"/>
          </w:tcPr>
          <w:p w14:paraId="5E62211C" w14:textId="03072769" w:rsidR="005B207E" w:rsidRDefault="005B207E" w:rsidP="005B207E">
            <w:r>
              <w:t xml:space="preserve">20 </w:t>
            </w:r>
            <w:r>
              <w:rPr>
                <w:lang w:val="en-US"/>
              </w:rPr>
              <w:t>mg</w:t>
            </w:r>
            <w:r w:rsidRPr="005B207E">
              <w:rPr>
                <w:lang w:val="ru-RU"/>
              </w:rPr>
              <w:t>/</w:t>
            </w:r>
            <w:r>
              <w:rPr>
                <w:lang w:val="en-US"/>
              </w:rPr>
              <w:t>kg</w:t>
            </w:r>
            <w:r w:rsidRPr="005B207E">
              <w:rPr>
                <w:lang w:val="ru-RU"/>
              </w:rPr>
              <w:t xml:space="preserve"> </w:t>
            </w:r>
            <w:r>
              <w:t xml:space="preserve">телесно тегло два пъти дневно до максимум 750 </w:t>
            </w:r>
            <w:r>
              <w:rPr>
                <w:lang w:val="en-US"/>
              </w:rPr>
              <w:t>mg</w:t>
            </w:r>
            <w:r w:rsidRPr="005B207E">
              <w:rPr>
                <w:lang w:val="ru-RU"/>
              </w:rPr>
              <w:t xml:space="preserve"> </w:t>
            </w:r>
            <w:r>
              <w:t>на доза.</w:t>
            </w:r>
          </w:p>
        </w:tc>
        <w:tc>
          <w:tcPr>
            <w:tcW w:w="3192" w:type="dxa"/>
          </w:tcPr>
          <w:p w14:paraId="759D184B" w14:textId="447F8F28" w:rsidR="005B207E" w:rsidRDefault="005B207E" w:rsidP="005B207E">
            <w:r>
              <w:t>10 до 14 дни</w:t>
            </w:r>
          </w:p>
        </w:tc>
      </w:tr>
      <w:tr w:rsidR="005B207E" w14:paraId="2D7B721A" w14:textId="77777777" w:rsidTr="005B207E">
        <w:tc>
          <w:tcPr>
            <w:tcW w:w="3192" w:type="dxa"/>
          </w:tcPr>
          <w:p w14:paraId="46213913" w14:textId="6CA3CB38" w:rsidR="005B207E" w:rsidRDefault="005B207E" w:rsidP="005B207E">
            <w:r>
              <w:t>Усложнени инфекции на пикочните пътища и остър пиелонефрит</w:t>
            </w:r>
          </w:p>
        </w:tc>
        <w:tc>
          <w:tcPr>
            <w:tcW w:w="3192" w:type="dxa"/>
          </w:tcPr>
          <w:p w14:paraId="039769C5" w14:textId="62B82472" w:rsidR="005B207E" w:rsidRDefault="005B207E" w:rsidP="005B207E">
            <w:r>
              <w:t xml:space="preserve">10 </w:t>
            </w:r>
            <w:r>
              <w:rPr>
                <w:lang w:val="en-US"/>
              </w:rPr>
              <w:t>mg</w:t>
            </w:r>
            <w:r w:rsidRPr="005B207E">
              <w:rPr>
                <w:lang w:val="ru-RU"/>
              </w:rPr>
              <w:t>/</w:t>
            </w:r>
            <w:r>
              <w:rPr>
                <w:lang w:val="en-US"/>
              </w:rPr>
              <w:t>kg</w:t>
            </w:r>
            <w:r w:rsidRPr="005B207E">
              <w:rPr>
                <w:lang w:val="ru-RU"/>
              </w:rPr>
              <w:t xml:space="preserve"> </w:t>
            </w:r>
            <w:r>
              <w:t xml:space="preserve">телесно тегло два пъти дневно до 20 </w:t>
            </w:r>
            <w:r>
              <w:rPr>
                <w:lang w:val="en-US"/>
              </w:rPr>
              <w:t>mg</w:t>
            </w:r>
            <w:r w:rsidRPr="005B207E">
              <w:rPr>
                <w:lang w:val="ru-RU"/>
              </w:rPr>
              <w:t>/</w:t>
            </w:r>
            <w:r>
              <w:rPr>
                <w:lang w:val="en-US"/>
              </w:rPr>
              <w:t>kg</w:t>
            </w:r>
            <w:r w:rsidRPr="005B207E">
              <w:rPr>
                <w:lang w:val="ru-RU"/>
              </w:rPr>
              <w:t xml:space="preserve"> </w:t>
            </w:r>
            <w:r>
              <w:t xml:space="preserve">телесно тегло два пъти </w:t>
            </w:r>
            <w:r>
              <w:lastRenderedPageBreak/>
              <w:t xml:space="preserve">дневно до максимум 750 </w:t>
            </w:r>
            <w:r>
              <w:rPr>
                <w:lang w:val="en-US"/>
              </w:rPr>
              <w:t>mg</w:t>
            </w:r>
            <w:r w:rsidRPr="005B207E">
              <w:rPr>
                <w:lang w:val="ru-RU"/>
              </w:rPr>
              <w:t xml:space="preserve"> </w:t>
            </w:r>
            <w:r>
              <w:t>на доза.</w:t>
            </w:r>
          </w:p>
        </w:tc>
        <w:tc>
          <w:tcPr>
            <w:tcW w:w="3192" w:type="dxa"/>
          </w:tcPr>
          <w:p w14:paraId="62C15234" w14:textId="4D5B020E" w:rsidR="005B207E" w:rsidRDefault="005B207E" w:rsidP="005B207E">
            <w:r>
              <w:lastRenderedPageBreak/>
              <w:t>10 до 21 дни</w:t>
            </w:r>
          </w:p>
        </w:tc>
      </w:tr>
      <w:tr w:rsidR="005B207E" w14:paraId="52D28DB6" w14:textId="77777777" w:rsidTr="005B207E">
        <w:tc>
          <w:tcPr>
            <w:tcW w:w="3192" w:type="dxa"/>
          </w:tcPr>
          <w:p w14:paraId="73D527C8" w14:textId="575F0B79" w:rsidR="005B207E" w:rsidRDefault="005B207E" w:rsidP="005B207E">
            <w:r>
              <w:t>Инхалаторен антракс - за постекспозиционна профилактика, както и за лечение на лица, които могат да се лекуват чрез перорално приложение, когато това е клинично показано. Прилагането на лекарството трябва да започне колкото е възможно по-скоро след подозиран или потвърден контакт.</w:t>
            </w:r>
          </w:p>
        </w:tc>
        <w:tc>
          <w:tcPr>
            <w:tcW w:w="3192" w:type="dxa"/>
          </w:tcPr>
          <w:p w14:paraId="536429C7" w14:textId="11C979A9" w:rsidR="005B207E" w:rsidRDefault="005B207E" w:rsidP="005B207E">
            <w:r>
              <w:t xml:space="preserve">10 </w:t>
            </w:r>
            <w:r>
              <w:rPr>
                <w:lang w:val="en-US"/>
              </w:rPr>
              <w:t>mg</w:t>
            </w:r>
            <w:r w:rsidRPr="005B207E">
              <w:rPr>
                <w:lang w:val="ru-RU"/>
              </w:rPr>
              <w:t>/</w:t>
            </w:r>
            <w:r>
              <w:rPr>
                <w:lang w:val="en-US"/>
              </w:rPr>
              <w:t>kg</w:t>
            </w:r>
            <w:r w:rsidRPr="005B207E">
              <w:rPr>
                <w:lang w:val="ru-RU"/>
              </w:rPr>
              <w:t xml:space="preserve"> </w:t>
            </w:r>
            <w:r>
              <w:t xml:space="preserve">телесно тегло два пъти дневно до 15 </w:t>
            </w:r>
            <w:r>
              <w:rPr>
                <w:lang w:val="en-US"/>
              </w:rPr>
              <w:t>mg</w:t>
            </w:r>
            <w:r w:rsidRPr="005B207E">
              <w:rPr>
                <w:lang w:val="ru-RU"/>
              </w:rPr>
              <w:t>/</w:t>
            </w:r>
            <w:r>
              <w:rPr>
                <w:lang w:val="en-US"/>
              </w:rPr>
              <w:t>kg</w:t>
            </w:r>
            <w:r w:rsidRPr="005B207E">
              <w:rPr>
                <w:lang w:val="ru-RU"/>
              </w:rPr>
              <w:t xml:space="preserve"> </w:t>
            </w:r>
            <w:r>
              <w:t xml:space="preserve">телесно тегло два пъти дневно до максимум 500 </w:t>
            </w:r>
            <w:r>
              <w:rPr>
                <w:lang w:val="en-US"/>
              </w:rPr>
              <w:t>mg</w:t>
            </w:r>
            <w:r w:rsidRPr="005B207E">
              <w:rPr>
                <w:lang w:val="ru-RU"/>
              </w:rPr>
              <w:t xml:space="preserve"> </w:t>
            </w:r>
            <w:r>
              <w:t>на доза.</w:t>
            </w:r>
          </w:p>
        </w:tc>
        <w:tc>
          <w:tcPr>
            <w:tcW w:w="3192" w:type="dxa"/>
          </w:tcPr>
          <w:p w14:paraId="44A39687" w14:textId="794D109F" w:rsidR="005B207E" w:rsidRDefault="005B207E" w:rsidP="005B207E">
            <w:r>
              <w:t xml:space="preserve">60 дена след потвърждаване на експозиция на </w:t>
            </w:r>
            <w:r>
              <w:rPr>
                <w:i/>
                <w:iCs/>
                <w:lang w:val="en-US"/>
              </w:rPr>
              <w:t>Bacillus</w:t>
            </w:r>
            <w:r w:rsidRPr="005B207E">
              <w:rPr>
                <w:i/>
                <w:iCs/>
                <w:lang w:val="ru-RU"/>
              </w:rPr>
              <w:t xml:space="preserve"> </w:t>
            </w:r>
            <w:proofErr w:type="spellStart"/>
            <w:r>
              <w:rPr>
                <w:i/>
                <w:iCs/>
                <w:lang w:val="en-US"/>
              </w:rPr>
              <w:t>anthracis</w:t>
            </w:r>
            <w:proofErr w:type="spellEnd"/>
          </w:p>
        </w:tc>
      </w:tr>
      <w:tr w:rsidR="005B207E" w14:paraId="2B3D1ABF" w14:textId="77777777" w:rsidTr="005B207E">
        <w:tc>
          <w:tcPr>
            <w:tcW w:w="3192" w:type="dxa"/>
          </w:tcPr>
          <w:p w14:paraId="729362B2" w14:textId="1C83A7DD" w:rsidR="005B207E" w:rsidRDefault="005B207E" w:rsidP="005B207E">
            <w:r>
              <w:t>Други тежки инфекции</w:t>
            </w:r>
          </w:p>
        </w:tc>
        <w:tc>
          <w:tcPr>
            <w:tcW w:w="3192" w:type="dxa"/>
          </w:tcPr>
          <w:p w14:paraId="1B3E2FDE" w14:textId="01CB85C2" w:rsidR="005B207E" w:rsidRDefault="005B207E" w:rsidP="005B207E">
            <w:r>
              <w:t xml:space="preserve">20 </w:t>
            </w:r>
            <w:r>
              <w:rPr>
                <w:lang w:val="en-US"/>
              </w:rPr>
              <w:t>mg</w:t>
            </w:r>
            <w:r w:rsidRPr="005B207E">
              <w:rPr>
                <w:lang w:val="ru-RU"/>
              </w:rPr>
              <w:t>/</w:t>
            </w:r>
            <w:r>
              <w:rPr>
                <w:lang w:val="en-US"/>
              </w:rPr>
              <w:t>kg</w:t>
            </w:r>
            <w:r w:rsidRPr="005B207E">
              <w:rPr>
                <w:lang w:val="ru-RU"/>
              </w:rPr>
              <w:t xml:space="preserve"> </w:t>
            </w:r>
            <w:r>
              <w:t xml:space="preserve">телесно тегло два пъти дневно до максимум 750 </w:t>
            </w:r>
            <w:r>
              <w:rPr>
                <w:lang w:val="en-US"/>
              </w:rPr>
              <w:t>mg</w:t>
            </w:r>
            <w:r w:rsidRPr="005B207E">
              <w:rPr>
                <w:lang w:val="ru-RU"/>
              </w:rPr>
              <w:t xml:space="preserve"> </w:t>
            </w:r>
            <w:r>
              <w:t>на доза.</w:t>
            </w:r>
          </w:p>
        </w:tc>
        <w:tc>
          <w:tcPr>
            <w:tcW w:w="3192" w:type="dxa"/>
          </w:tcPr>
          <w:p w14:paraId="3BBF0C06" w14:textId="77D706FD" w:rsidR="005B207E" w:rsidRDefault="005B207E" w:rsidP="005B207E">
            <w:r>
              <w:t>В зависимост от вида на инфекциите</w:t>
            </w:r>
          </w:p>
        </w:tc>
      </w:tr>
    </w:tbl>
    <w:p w14:paraId="4BD33978" w14:textId="744802BC" w:rsidR="005B207E" w:rsidRDefault="005B207E" w:rsidP="005B207E"/>
    <w:p w14:paraId="1E64D379" w14:textId="77777777" w:rsidR="005B207E" w:rsidRPr="005B207E" w:rsidRDefault="005B207E" w:rsidP="005B207E">
      <w:pPr>
        <w:spacing w:line="240" w:lineRule="auto"/>
        <w:rPr>
          <w:rFonts w:eastAsia="Times New Roman" w:cs="Arial"/>
          <w:sz w:val="24"/>
          <w:szCs w:val="24"/>
        </w:rPr>
      </w:pPr>
      <w:r w:rsidRPr="005B207E">
        <w:rPr>
          <w:rFonts w:eastAsia="Times New Roman" w:cs="Arial"/>
          <w:i/>
          <w:iCs/>
          <w:color w:val="000000"/>
          <w:u w:val="single"/>
          <w:lang w:eastAsia="bg-BG"/>
        </w:rPr>
        <w:t>Пациенти в старческа възраст</w:t>
      </w:r>
    </w:p>
    <w:p w14:paraId="099DE814" w14:textId="426C852B" w:rsidR="005B207E" w:rsidRPr="005B207E" w:rsidRDefault="005B207E" w:rsidP="005B207E">
      <w:pPr>
        <w:rPr>
          <w:rFonts w:eastAsia="Times New Roman" w:cs="Arial"/>
          <w:color w:val="000000"/>
          <w:lang w:eastAsia="bg-BG"/>
        </w:rPr>
      </w:pPr>
      <w:r w:rsidRPr="005B207E">
        <w:rPr>
          <w:rFonts w:eastAsia="Times New Roman" w:cs="Arial"/>
          <w:color w:val="000000"/>
          <w:lang w:eastAsia="bg-BG"/>
        </w:rPr>
        <w:t>Пациентите в старческа възраст трябва да получават доза, подбрана според тежестта на инфекцията и креатининовия клирънс на пациента.</w:t>
      </w:r>
    </w:p>
    <w:p w14:paraId="583DA766" w14:textId="504BD9A8" w:rsidR="005B207E" w:rsidRPr="005B207E" w:rsidRDefault="005B207E" w:rsidP="005B207E">
      <w:pPr>
        <w:rPr>
          <w:rFonts w:eastAsia="Times New Roman" w:cs="Arial"/>
          <w:color w:val="000000"/>
          <w:lang w:eastAsia="bg-BG"/>
        </w:rPr>
      </w:pPr>
    </w:p>
    <w:p w14:paraId="720562CB" w14:textId="77777777" w:rsidR="005B207E" w:rsidRPr="005B207E" w:rsidRDefault="005B207E" w:rsidP="005B207E">
      <w:pPr>
        <w:spacing w:line="240" w:lineRule="auto"/>
        <w:rPr>
          <w:rFonts w:eastAsia="Times New Roman" w:cs="Arial"/>
          <w:sz w:val="24"/>
          <w:szCs w:val="24"/>
        </w:rPr>
      </w:pPr>
      <w:r w:rsidRPr="005B207E">
        <w:rPr>
          <w:rFonts w:eastAsia="Times New Roman" w:cs="Arial"/>
          <w:i/>
          <w:iCs/>
          <w:color w:val="000000"/>
          <w:u w:val="single"/>
          <w:lang w:eastAsia="bg-BG"/>
        </w:rPr>
        <w:t>Пациенти с бъбречно и чернодробно увреждане</w:t>
      </w:r>
    </w:p>
    <w:p w14:paraId="58E78D7A" w14:textId="77777777" w:rsidR="005B207E" w:rsidRPr="005B207E" w:rsidRDefault="005B207E" w:rsidP="005B207E">
      <w:pPr>
        <w:rPr>
          <w:rFonts w:eastAsia="Times New Roman" w:cs="Arial"/>
          <w:color w:val="000000"/>
          <w:lang w:eastAsia="bg-BG"/>
        </w:rPr>
      </w:pPr>
    </w:p>
    <w:p w14:paraId="08E9E790" w14:textId="7186CDBA" w:rsidR="005B207E" w:rsidRDefault="005B207E" w:rsidP="005B207E">
      <w:pPr>
        <w:rPr>
          <w:rFonts w:eastAsia="Times New Roman" w:cs="Arial"/>
          <w:color w:val="000000"/>
          <w:lang w:eastAsia="bg-BG"/>
        </w:rPr>
      </w:pPr>
      <w:r w:rsidRPr="005B207E">
        <w:rPr>
          <w:rFonts w:eastAsia="Times New Roman" w:cs="Arial"/>
          <w:color w:val="000000"/>
          <w:lang w:eastAsia="bg-BG"/>
        </w:rPr>
        <w:t>Препоръчителни начални и поддържащи дози при пациенти с нарушена бъбречна функция:</w:t>
      </w:r>
    </w:p>
    <w:tbl>
      <w:tblPr>
        <w:tblStyle w:val="TableGrid"/>
        <w:tblW w:w="0" w:type="auto"/>
        <w:tblLook w:val="04A0" w:firstRow="1" w:lastRow="0" w:firstColumn="1" w:lastColumn="0" w:noHBand="0" w:noVBand="1"/>
      </w:tblPr>
      <w:tblGrid>
        <w:gridCol w:w="3131"/>
        <w:gridCol w:w="3108"/>
        <w:gridCol w:w="3111"/>
      </w:tblGrid>
      <w:tr w:rsidR="005B207E" w14:paraId="632897D7" w14:textId="77777777" w:rsidTr="005B207E">
        <w:tc>
          <w:tcPr>
            <w:tcW w:w="3192" w:type="dxa"/>
          </w:tcPr>
          <w:p w14:paraId="758FB1BE" w14:textId="79A83295" w:rsidR="005B207E" w:rsidRDefault="005B207E" w:rsidP="005B207E">
            <w:pPr>
              <w:rPr>
                <w:rFonts w:cs="Arial"/>
              </w:rPr>
            </w:pPr>
            <w:r>
              <w:rPr>
                <w:b/>
                <w:bCs/>
              </w:rPr>
              <w:t xml:space="preserve">Креатинннов клирънс </w:t>
            </w:r>
            <w:r w:rsidRPr="005B207E">
              <w:rPr>
                <w:b/>
                <w:bCs/>
                <w:lang w:val="ru-RU"/>
              </w:rPr>
              <w:t>(</w:t>
            </w:r>
            <w:r>
              <w:rPr>
                <w:b/>
                <w:bCs/>
                <w:lang w:val="en-US"/>
              </w:rPr>
              <w:t>mL</w:t>
            </w:r>
            <w:r w:rsidRPr="005B207E">
              <w:rPr>
                <w:b/>
                <w:bCs/>
                <w:lang w:val="ru-RU"/>
              </w:rPr>
              <w:t>/</w:t>
            </w:r>
            <w:r>
              <w:rPr>
                <w:b/>
                <w:bCs/>
                <w:lang w:val="en-US"/>
              </w:rPr>
              <w:t>min</w:t>
            </w:r>
            <w:r w:rsidRPr="005B207E">
              <w:rPr>
                <w:b/>
                <w:bCs/>
                <w:lang w:val="ru-RU"/>
              </w:rPr>
              <w:t>/</w:t>
            </w:r>
            <w:r>
              <w:rPr>
                <w:b/>
                <w:bCs/>
                <w:lang w:val="en-US"/>
              </w:rPr>
              <w:t>l</w:t>
            </w:r>
            <w:r w:rsidRPr="005B207E">
              <w:rPr>
                <w:b/>
                <w:bCs/>
                <w:lang w:val="ru-RU"/>
              </w:rPr>
              <w:t>,73</w:t>
            </w:r>
            <w:r>
              <w:rPr>
                <w:b/>
                <w:bCs/>
                <w:lang w:val="en-US"/>
              </w:rPr>
              <w:t>m</w:t>
            </w:r>
            <w:r w:rsidRPr="005B207E">
              <w:rPr>
                <w:b/>
                <w:bCs/>
                <w:vertAlign w:val="superscript"/>
                <w:lang w:val="ru-RU"/>
              </w:rPr>
              <w:t>2</w:t>
            </w:r>
            <w:r w:rsidRPr="005B207E">
              <w:rPr>
                <w:b/>
                <w:bCs/>
                <w:lang w:val="ru-RU"/>
              </w:rPr>
              <w:t>]</w:t>
            </w:r>
          </w:p>
        </w:tc>
        <w:tc>
          <w:tcPr>
            <w:tcW w:w="3192" w:type="dxa"/>
          </w:tcPr>
          <w:p w14:paraId="24A2BCF0" w14:textId="44A97557" w:rsidR="005B207E" w:rsidRDefault="005B207E" w:rsidP="005B207E">
            <w:pPr>
              <w:rPr>
                <w:rFonts w:cs="Arial"/>
              </w:rPr>
            </w:pPr>
            <w:r>
              <w:rPr>
                <w:b/>
                <w:bCs/>
              </w:rPr>
              <w:t xml:space="preserve">Серумен креатинин </w:t>
            </w:r>
            <w:r>
              <w:rPr>
                <w:b/>
                <w:bCs/>
                <w:lang w:val="en-US"/>
              </w:rPr>
              <w:t>[</w:t>
            </w:r>
            <w:r>
              <w:rPr>
                <w:b/>
                <w:bCs/>
              </w:rPr>
              <w:t>μ</w:t>
            </w:r>
            <w:proofErr w:type="spellStart"/>
            <w:r>
              <w:rPr>
                <w:b/>
                <w:bCs/>
                <w:lang w:val="en-US"/>
              </w:rPr>
              <w:t>moI</w:t>
            </w:r>
            <w:proofErr w:type="spellEnd"/>
            <w:r>
              <w:rPr>
                <w:b/>
                <w:bCs/>
                <w:lang w:val="en-US"/>
              </w:rPr>
              <w:t>/L]</w:t>
            </w:r>
          </w:p>
        </w:tc>
        <w:tc>
          <w:tcPr>
            <w:tcW w:w="3192" w:type="dxa"/>
          </w:tcPr>
          <w:p w14:paraId="123700DB" w14:textId="34076425" w:rsidR="005B207E" w:rsidRDefault="005B207E" w:rsidP="005B207E">
            <w:pPr>
              <w:rPr>
                <w:rFonts w:cs="Arial"/>
              </w:rPr>
            </w:pPr>
            <w:r>
              <w:rPr>
                <w:b/>
                <w:bCs/>
              </w:rPr>
              <w:t xml:space="preserve">Перорална доза </w:t>
            </w:r>
            <w:r>
              <w:rPr>
                <w:b/>
                <w:bCs/>
                <w:lang w:val="en-US"/>
              </w:rPr>
              <w:t>[mg]</w:t>
            </w:r>
          </w:p>
        </w:tc>
      </w:tr>
      <w:tr w:rsidR="005B207E" w14:paraId="5F42B3A9" w14:textId="77777777" w:rsidTr="005B207E">
        <w:tc>
          <w:tcPr>
            <w:tcW w:w="3192" w:type="dxa"/>
          </w:tcPr>
          <w:p w14:paraId="2755FB7B" w14:textId="1A99BB9B" w:rsidR="005B207E" w:rsidRDefault="005B207E" w:rsidP="005B207E">
            <w:pPr>
              <w:rPr>
                <w:rFonts w:cs="Arial"/>
              </w:rPr>
            </w:pPr>
            <w:r>
              <w:t>&gt;60</w:t>
            </w:r>
          </w:p>
        </w:tc>
        <w:tc>
          <w:tcPr>
            <w:tcW w:w="3192" w:type="dxa"/>
          </w:tcPr>
          <w:p w14:paraId="289D7880" w14:textId="16BEECD2" w:rsidR="005B207E" w:rsidRDefault="005B207E" w:rsidP="005B207E">
            <w:pPr>
              <w:rPr>
                <w:rFonts w:cs="Arial"/>
              </w:rPr>
            </w:pPr>
            <w:r>
              <w:t>&lt;124</w:t>
            </w:r>
          </w:p>
        </w:tc>
        <w:tc>
          <w:tcPr>
            <w:tcW w:w="3192" w:type="dxa"/>
          </w:tcPr>
          <w:p w14:paraId="3C247FAC" w14:textId="35900104" w:rsidR="005B207E" w:rsidRDefault="005B207E" w:rsidP="005B207E">
            <w:pPr>
              <w:rPr>
                <w:rFonts w:cs="Arial"/>
              </w:rPr>
            </w:pPr>
            <w:r>
              <w:t>Вижте обичайните дози.</w:t>
            </w:r>
          </w:p>
        </w:tc>
      </w:tr>
      <w:tr w:rsidR="005B207E" w14:paraId="34FC5657" w14:textId="77777777" w:rsidTr="005B207E">
        <w:tc>
          <w:tcPr>
            <w:tcW w:w="3192" w:type="dxa"/>
          </w:tcPr>
          <w:p w14:paraId="1CF353DB" w14:textId="7083D04A" w:rsidR="005B207E" w:rsidRDefault="005B207E" w:rsidP="005B207E">
            <w:pPr>
              <w:rPr>
                <w:rFonts w:cs="Arial"/>
              </w:rPr>
            </w:pPr>
            <w:r>
              <w:t>30-60</w:t>
            </w:r>
          </w:p>
        </w:tc>
        <w:tc>
          <w:tcPr>
            <w:tcW w:w="3192" w:type="dxa"/>
          </w:tcPr>
          <w:p w14:paraId="3DE4BCE5" w14:textId="0BDA9EEC" w:rsidR="005B207E" w:rsidRDefault="005B207E" w:rsidP="005B207E">
            <w:pPr>
              <w:rPr>
                <w:rFonts w:cs="Arial"/>
              </w:rPr>
            </w:pPr>
            <w:r>
              <w:t>124 до 168</w:t>
            </w:r>
          </w:p>
        </w:tc>
        <w:tc>
          <w:tcPr>
            <w:tcW w:w="3192" w:type="dxa"/>
          </w:tcPr>
          <w:p w14:paraId="0B2F69D9" w14:textId="5D0F76E9" w:rsidR="005B207E" w:rsidRDefault="005B207E" w:rsidP="005B207E">
            <w:pPr>
              <w:rPr>
                <w:rFonts w:cs="Arial"/>
              </w:rPr>
            </w:pPr>
            <w:r>
              <w:t xml:space="preserve">250-500 </w:t>
            </w:r>
            <w:r>
              <w:rPr>
                <w:lang w:val="en-US"/>
              </w:rPr>
              <w:t xml:space="preserve">mg </w:t>
            </w:r>
            <w:r>
              <w:t xml:space="preserve">на всеки 12 </w:t>
            </w:r>
            <w:r>
              <w:rPr>
                <w:lang w:val="en-US"/>
              </w:rPr>
              <w:t>h</w:t>
            </w:r>
          </w:p>
        </w:tc>
      </w:tr>
      <w:tr w:rsidR="005B207E" w14:paraId="3CD907E1" w14:textId="77777777" w:rsidTr="005B207E">
        <w:tc>
          <w:tcPr>
            <w:tcW w:w="3192" w:type="dxa"/>
          </w:tcPr>
          <w:p w14:paraId="4F891D66" w14:textId="3551A4CF" w:rsidR="005B207E" w:rsidRDefault="005B207E" w:rsidP="005B207E">
            <w:pPr>
              <w:rPr>
                <w:rFonts w:cs="Arial"/>
              </w:rPr>
            </w:pPr>
            <w:r>
              <w:t>&lt;30</w:t>
            </w:r>
          </w:p>
        </w:tc>
        <w:tc>
          <w:tcPr>
            <w:tcW w:w="3192" w:type="dxa"/>
          </w:tcPr>
          <w:p w14:paraId="5A39AB11" w14:textId="182C5CB6" w:rsidR="005B207E" w:rsidRDefault="005B207E" w:rsidP="005B207E">
            <w:pPr>
              <w:rPr>
                <w:rFonts w:cs="Arial"/>
              </w:rPr>
            </w:pPr>
            <w:r>
              <w:t>&gt;169</w:t>
            </w:r>
          </w:p>
        </w:tc>
        <w:tc>
          <w:tcPr>
            <w:tcW w:w="3192" w:type="dxa"/>
          </w:tcPr>
          <w:p w14:paraId="7164A348" w14:textId="78ED7ED7" w:rsidR="005B207E" w:rsidRDefault="005B207E" w:rsidP="005B207E">
            <w:pPr>
              <w:rPr>
                <w:rFonts w:cs="Arial"/>
              </w:rPr>
            </w:pPr>
            <w:r>
              <w:t xml:space="preserve">250 - 500 </w:t>
            </w:r>
            <w:r>
              <w:rPr>
                <w:lang w:val="en-US"/>
              </w:rPr>
              <w:t xml:space="preserve">mg </w:t>
            </w:r>
            <w:r>
              <w:t xml:space="preserve">на всеки 24 </w:t>
            </w:r>
            <w:r>
              <w:rPr>
                <w:lang w:val="en-US"/>
              </w:rPr>
              <w:t>h</w:t>
            </w:r>
          </w:p>
        </w:tc>
      </w:tr>
      <w:tr w:rsidR="005B207E" w14:paraId="5DD2000E" w14:textId="77777777" w:rsidTr="005B207E">
        <w:tc>
          <w:tcPr>
            <w:tcW w:w="3192" w:type="dxa"/>
          </w:tcPr>
          <w:p w14:paraId="6D100CFD" w14:textId="4A27FE4F" w:rsidR="005B207E" w:rsidRDefault="005B207E" w:rsidP="005B207E">
            <w:pPr>
              <w:rPr>
                <w:rFonts w:cs="Arial"/>
              </w:rPr>
            </w:pPr>
            <w:r>
              <w:t>Пациенти на хемодиализа</w:t>
            </w:r>
          </w:p>
        </w:tc>
        <w:tc>
          <w:tcPr>
            <w:tcW w:w="3192" w:type="dxa"/>
          </w:tcPr>
          <w:p w14:paraId="1BCF4657" w14:textId="7B53EE71" w:rsidR="005B207E" w:rsidRDefault="005B207E" w:rsidP="005B207E">
            <w:pPr>
              <w:rPr>
                <w:rFonts w:cs="Arial"/>
              </w:rPr>
            </w:pPr>
            <w:r>
              <w:t>&gt;169</w:t>
            </w:r>
          </w:p>
        </w:tc>
        <w:tc>
          <w:tcPr>
            <w:tcW w:w="3192" w:type="dxa"/>
          </w:tcPr>
          <w:p w14:paraId="79CA37F7" w14:textId="5DEF6BC5" w:rsidR="005B207E" w:rsidRDefault="005B207E" w:rsidP="005B207E">
            <w:pPr>
              <w:rPr>
                <w:rFonts w:cs="Arial"/>
              </w:rPr>
            </w:pPr>
            <w:r>
              <w:t xml:space="preserve">250 - 500 </w:t>
            </w:r>
            <w:r>
              <w:rPr>
                <w:lang w:val="en-US"/>
              </w:rPr>
              <w:t>mg</w:t>
            </w:r>
            <w:r w:rsidRPr="005B207E">
              <w:rPr>
                <w:lang w:val="ru-RU"/>
              </w:rPr>
              <w:t xml:space="preserve"> </w:t>
            </w:r>
            <w:r>
              <w:t xml:space="preserve">на всеки 24 </w:t>
            </w:r>
            <w:r>
              <w:rPr>
                <w:lang w:val="en-US"/>
              </w:rPr>
              <w:t>h</w:t>
            </w:r>
            <w:r w:rsidRPr="005B207E">
              <w:rPr>
                <w:lang w:val="ru-RU"/>
              </w:rPr>
              <w:t xml:space="preserve"> </w:t>
            </w:r>
            <w:r>
              <w:t>(след диализа)</w:t>
            </w:r>
          </w:p>
        </w:tc>
      </w:tr>
      <w:tr w:rsidR="005B207E" w14:paraId="5DBCD7C2" w14:textId="77777777" w:rsidTr="005B207E">
        <w:tc>
          <w:tcPr>
            <w:tcW w:w="3192" w:type="dxa"/>
          </w:tcPr>
          <w:p w14:paraId="5C5906B4" w14:textId="4506552F" w:rsidR="005B207E" w:rsidRDefault="005B207E" w:rsidP="005B207E">
            <w:pPr>
              <w:rPr>
                <w:rFonts w:cs="Arial"/>
              </w:rPr>
            </w:pPr>
            <w:r>
              <w:t>Пациенти на перитонеална диализа</w:t>
            </w:r>
          </w:p>
        </w:tc>
        <w:tc>
          <w:tcPr>
            <w:tcW w:w="3192" w:type="dxa"/>
          </w:tcPr>
          <w:p w14:paraId="5E631DA0" w14:textId="1EFEC624" w:rsidR="005B207E" w:rsidRDefault="005B207E" w:rsidP="005B207E">
            <w:pPr>
              <w:rPr>
                <w:rFonts w:cs="Arial"/>
              </w:rPr>
            </w:pPr>
            <w:r>
              <w:t>&gt;169</w:t>
            </w:r>
          </w:p>
        </w:tc>
        <w:tc>
          <w:tcPr>
            <w:tcW w:w="3192" w:type="dxa"/>
          </w:tcPr>
          <w:p w14:paraId="1B747518" w14:textId="2F04134B" w:rsidR="005B207E" w:rsidRDefault="005B207E" w:rsidP="005B207E">
            <w:pPr>
              <w:rPr>
                <w:rFonts w:cs="Arial"/>
              </w:rPr>
            </w:pPr>
            <w:r>
              <w:t xml:space="preserve">250 - 500 </w:t>
            </w:r>
            <w:r>
              <w:rPr>
                <w:lang w:val="en-US"/>
              </w:rPr>
              <w:t xml:space="preserve">mg </w:t>
            </w:r>
            <w:r>
              <w:t xml:space="preserve">на всеки 24 </w:t>
            </w:r>
            <w:r>
              <w:rPr>
                <w:lang w:val="en-US"/>
              </w:rPr>
              <w:t>h</w:t>
            </w:r>
          </w:p>
        </w:tc>
      </w:tr>
    </w:tbl>
    <w:p w14:paraId="6CCF8B26" w14:textId="77777777" w:rsidR="005B207E" w:rsidRDefault="005B207E" w:rsidP="005B207E">
      <w:pPr>
        <w:spacing w:line="240" w:lineRule="auto"/>
        <w:rPr>
          <w:rFonts w:ascii="Times New Roman" w:eastAsia="Times New Roman" w:hAnsi="Times New Roman" w:cs="Times New Roman"/>
          <w:color w:val="000000"/>
          <w:lang w:eastAsia="bg-BG"/>
        </w:rPr>
      </w:pPr>
    </w:p>
    <w:p w14:paraId="38DFF29B" w14:textId="7987E0FF"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Не се налага коригиране на дозата при пациенти с нарушена чернодробна функция.</w:t>
      </w:r>
    </w:p>
    <w:p w14:paraId="517151A0" w14:textId="77777777" w:rsidR="005B207E" w:rsidRPr="005B207E" w:rsidRDefault="005B207E" w:rsidP="005B207E">
      <w:pPr>
        <w:spacing w:line="240" w:lineRule="auto"/>
        <w:rPr>
          <w:rFonts w:eastAsia="Times New Roman" w:cs="Arial"/>
          <w:color w:val="000000"/>
          <w:lang w:eastAsia="bg-BG"/>
        </w:rPr>
      </w:pPr>
    </w:p>
    <w:p w14:paraId="026AEB32" w14:textId="77109000"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Няма проучвания за прилагане при деца с увредена бъбречна и/или чернодробна функции.</w:t>
      </w:r>
    </w:p>
    <w:p w14:paraId="11B20FB0" w14:textId="77777777" w:rsidR="005B207E" w:rsidRPr="005B207E" w:rsidRDefault="005B207E" w:rsidP="005B207E">
      <w:pPr>
        <w:spacing w:line="240" w:lineRule="auto"/>
        <w:rPr>
          <w:rFonts w:eastAsia="Times New Roman" w:cs="Arial"/>
          <w:color w:val="000000"/>
          <w:u w:val="single"/>
          <w:lang w:eastAsia="bg-BG"/>
        </w:rPr>
      </w:pPr>
    </w:p>
    <w:p w14:paraId="5ACD8A32" w14:textId="711A1C06" w:rsidR="005B207E" w:rsidRPr="005B207E" w:rsidRDefault="005B207E" w:rsidP="005B207E">
      <w:pPr>
        <w:pStyle w:val="Heading3"/>
        <w:rPr>
          <w:rFonts w:eastAsia="Times New Roman"/>
          <w:u w:val="single"/>
        </w:rPr>
      </w:pPr>
      <w:r w:rsidRPr="005B207E">
        <w:rPr>
          <w:rFonts w:eastAsia="Times New Roman"/>
          <w:u w:val="single"/>
          <w:lang w:eastAsia="bg-BG"/>
        </w:rPr>
        <w:t>Начин на приложение</w:t>
      </w:r>
    </w:p>
    <w:p w14:paraId="7A0E855D" w14:textId="77777777" w:rsidR="005B207E" w:rsidRPr="005B207E" w:rsidRDefault="005B207E" w:rsidP="005B207E">
      <w:pPr>
        <w:spacing w:line="240" w:lineRule="auto"/>
        <w:rPr>
          <w:rFonts w:eastAsia="Times New Roman" w:cs="Arial"/>
          <w:color w:val="000000"/>
          <w:lang w:eastAsia="bg-BG"/>
        </w:rPr>
      </w:pPr>
    </w:p>
    <w:p w14:paraId="1A3B8061" w14:textId="03554A42"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 xml:space="preserve">Таблетките трябва да се гълтат с течности, без да се дъвчат. Могат да се приема с или без храна. Ако се приемат на празен стомах, активното вещество се абсорбира по-бързо. Таблетките ципрофлоксацин не трябва да се приемат с млечни продукти (напр. прясно </w:t>
      </w:r>
      <w:r w:rsidRPr="005B207E">
        <w:rPr>
          <w:rFonts w:eastAsia="Times New Roman" w:cs="Arial"/>
          <w:color w:val="000000"/>
          <w:lang w:eastAsia="bg-BG"/>
        </w:rPr>
        <w:lastRenderedPageBreak/>
        <w:t>мляко, кисело мляко) или обогатени на минерали плодови сокове (напр. обогатен на калций портокалов сок) (вж. точка 4.5).</w:t>
      </w:r>
    </w:p>
    <w:p w14:paraId="3A246892" w14:textId="77777777" w:rsidR="005B207E" w:rsidRPr="005B207E" w:rsidRDefault="005B207E" w:rsidP="005B207E">
      <w:pPr>
        <w:spacing w:line="240" w:lineRule="auto"/>
        <w:rPr>
          <w:rFonts w:eastAsia="Times New Roman" w:cs="Arial"/>
          <w:color w:val="000000"/>
          <w:lang w:eastAsia="bg-BG"/>
        </w:rPr>
      </w:pPr>
    </w:p>
    <w:p w14:paraId="77B8B60B" w14:textId="1A1F3441"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При тежки случаи или при невъзможност на пациента да поглъща таблетки (напр. при пациенти на ентерално хранене) се препоръчва лечението да започне с интравенозен ципрофлоксацин, докато е възможно преминаването към перорално приложение.</w:t>
      </w:r>
    </w:p>
    <w:p w14:paraId="3DD9E281" w14:textId="77777777" w:rsidR="005B207E" w:rsidRPr="005B207E" w:rsidRDefault="005B207E" w:rsidP="005B207E">
      <w:pPr>
        <w:spacing w:line="240" w:lineRule="auto"/>
        <w:rPr>
          <w:rFonts w:eastAsia="Times New Roman" w:cs="Arial"/>
          <w:color w:val="000000"/>
          <w:lang w:eastAsia="bg-BG"/>
        </w:rPr>
      </w:pPr>
    </w:p>
    <w:p w14:paraId="042CB5AB" w14:textId="21CC8368"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Таблетките ципрофлоксацин не трябва да се смачкват и следователно не са подходящи за лечение на възрастни и деца, които не могат да поглъщат таблетки. При тези пациенти може да се използва друга лекарствена форма (перорална суспензия).</w:t>
      </w:r>
    </w:p>
    <w:p w14:paraId="47F4C36A" w14:textId="77777777" w:rsidR="005B207E" w:rsidRPr="005B207E" w:rsidRDefault="005B207E" w:rsidP="005B207E">
      <w:pPr>
        <w:spacing w:line="240" w:lineRule="auto"/>
        <w:rPr>
          <w:rFonts w:eastAsia="Times New Roman" w:cs="Arial"/>
          <w:color w:val="000000"/>
          <w:lang w:eastAsia="bg-BG"/>
        </w:rPr>
      </w:pPr>
    </w:p>
    <w:p w14:paraId="4242035D" w14:textId="6AD351C4"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Ако бъде пропусната доза, тя трябва да бъде приета по всяко време, но не по-късно от 6 часа преди следващата планирана доза. Ако остават по-малко от 6 часа преди следващата доза, пропуснатата доза не трабва да се приема и лечението трябва да продължи, както е предписано, със следващата планирана доза. Не трябва да се приема двойна доза, за да се компенсира пропуснатата доза.</w:t>
      </w:r>
    </w:p>
    <w:p w14:paraId="5B8F5E17" w14:textId="77777777" w:rsidR="005B207E" w:rsidRPr="005B207E" w:rsidRDefault="005B207E" w:rsidP="005B207E">
      <w:pPr>
        <w:rPr>
          <w:rFonts w:cs="Arial"/>
        </w:rPr>
      </w:pPr>
    </w:p>
    <w:p w14:paraId="74903285" w14:textId="43230704" w:rsidR="00DB32D3" w:rsidRDefault="002C50EE" w:rsidP="005726E3">
      <w:pPr>
        <w:pStyle w:val="Heading2"/>
      </w:pPr>
      <w:r>
        <w:t>4.3. Противопоказания</w:t>
      </w:r>
    </w:p>
    <w:p w14:paraId="31D0F035" w14:textId="379BED3B" w:rsidR="005B207E" w:rsidRDefault="005B207E" w:rsidP="005B207E"/>
    <w:p w14:paraId="01ABB1AA" w14:textId="77777777" w:rsidR="005B207E" w:rsidRPr="005B207E" w:rsidRDefault="005B207E" w:rsidP="005B207E">
      <w:pPr>
        <w:pStyle w:val="ListParagraph"/>
        <w:numPr>
          <w:ilvl w:val="0"/>
          <w:numId w:val="41"/>
        </w:numPr>
        <w:spacing w:line="240" w:lineRule="auto"/>
        <w:rPr>
          <w:rFonts w:eastAsia="Times New Roman" w:cs="Arial"/>
          <w:sz w:val="24"/>
          <w:szCs w:val="24"/>
        </w:rPr>
      </w:pPr>
      <w:r w:rsidRPr="005B207E">
        <w:rPr>
          <w:rFonts w:eastAsia="Times New Roman" w:cs="Arial"/>
          <w:color w:val="000000"/>
          <w:lang w:eastAsia="bg-BG"/>
        </w:rPr>
        <w:t>Свръхчувствителност към активното вещество, към други хинолони или към някое от помощните вещества, изброени в точка 6.1.</w:t>
      </w:r>
    </w:p>
    <w:p w14:paraId="6B75CC8A" w14:textId="67A6B647" w:rsidR="005B207E" w:rsidRPr="005B207E" w:rsidRDefault="005B207E" w:rsidP="005B207E">
      <w:pPr>
        <w:pStyle w:val="ListParagraph"/>
        <w:numPr>
          <w:ilvl w:val="0"/>
          <w:numId w:val="41"/>
        </w:numPr>
        <w:spacing w:line="240" w:lineRule="auto"/>
        <w:rPr>
          <w:rFonts w:eastAsia="Times New Roman" w:cs="Arial"/>
          <w:sz w:val="24"/>
          <w:szCs w:val="24"/>
        </w:rPr>
      </w:pPr>
      <w:r w:rsidRPr="005B207E">
        <w:rPr>
          <w:rFonts w:eastAsia="Times New Roman" w:cs="Arial"/>
          <w:color w:val="000000"/>
          <w:lang w:eastAsia="bg-BG"/>
        </w:rPr>
        <w:t>Едновременно приложение на ципрофлоксацин и тизанидин (вж. точка 4.5).</w:t>
      </w:r>
    </w:p>
    <w:p w14:paraId="73E8D150" w14:textId="77777777" w:rsidR="005B207E" w:rsidRPr="005B207E" w:rsidRDefault="005B207E" w:rsidP="005B207E"/>
    <w:p w14:paraId="76DC8E58" w14:textId="3D83D4E9" w:rsidR="00DB32D3" w:rsidRDefault="002C50EE" w:rsidP="005726E3">
      <w:pPr>
        <w:pStyle w:val="Heading2"/>
      </w:pPr>
      <w:r>
        <w:t>4.4. Специални предупреждения и предпазни мерки при употреба</w:t>
      </w:r>
    </w:p>
    <w:p w14:paraId="73A66043" w14:textId="2146ABE3" w:rsidR="005B207E" w:rsidRPr="005B207E" w:rsidRDefault="005B207E" w:rsidP="005B207E"/>
    <w:p w14:paraId="50C7EF56" w14:textId="77777777" w:rsidR="005B207E" w:rsidRPr="005B207E" w:rsidRDefault="005B207E" w:rsidP="005B207E">
      <w:pPr>
        <w:spacing w:line="240" w:lineRule="auto"/>
        <w:rPr>
          <w:rFonts w:eastAsia="Times New Roman" w:cs="Arial"/>
        </w:rPr>
      </w:pPr>
      <w:bookmarkStart w:id="1" w:name="bookmark0"/>
      <w:bookmarkEnd w:id="1"/>
      <w:r w:rsidRPr="005B207E">
        <w:rPr>
          <w:rFonts w:eastAsia="Times New Roman" w:cs="Arial"/>
          <w:color w:val="000000"/>
          <w:lang w:eastAsia="bg-BG"/>
        </w:rPr>
        <w:t>Употребата на ципрофлоксацин трябва да се избягва при пациенти, които са имали сериозни</w:t>
      </w:r>
    </w:p>
    <w:p w14:paraId="34BDA261" w14:textId="77777777" w:rsidR="005B207E" w:rsidRPr="005B207E" w:rsidRDefault="005B207E" w:rsidP="005B207E">
      <w:pPr>
        <w:rPr>
          <w:rFonts w:eastAsia="Times New Roman" w:cs="Arial"/>
        </w:rPr>
      </w:pPr>
      <w:r w:rsidRPr="005B207E">
        <w:rPr>
          <w:rFonts w:eastAsia="Times New Roman" w:cs="Arial"/>
          <w:color w:val="000000"/>
          <w:lang w:eastAsia="bg-BG"/>
        </w:rPr>
        <w:t>нежелани реакции в миналото при употреба на продукти, съдържащи хинолони или флуорохинолони (вж. точка 4.8). Лечението на тези пациенти с ципрофлоксацин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33B7702C" w14:textId="77777777" w:rsidR="005B207E" w:rsidRPr="005B207E" w:rsidRDefault="005B207E" w:rsidP="005B207E">
      <w:pPr>
        <w:spacing w:line="240" w:lineRule="auto"/>
        <w:rPr>
          <w:rFonts w:eastAsia="Times New Roman" w:cs="Arial"/>
          <w:color w:val="000000"/>
          <w:u w:val="single"/>
          <w:lang w:eastAsia="bg-BG"/>
        </w:rPr>
      </w:pPr>
    </w:p>
    <w:p w14:paraId="6A0B2FD0" w14:textId="7882244C"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Тежки инфекции и смесени инфекции с Грам-положителни и анаеробни патогени</w:t>
      </w:r>
    </w:p>
    <w:p w14:paraId="4A3630D4"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Монотерапия с ципрофлоксацин не е подходяща за лечение на тежки и смесени инфекции, които биха могли да се дължат на Грам-положителни или анаеробни патогени. При подобни инфекции ципрофлоксацин трябва да се прилага едновременно с други подходящи антибактериални средства.</w:t>
      </w:r>
    </w:p>
    <w:p w14:paraId="687ADE35" w14:textId="77777777" w:rsidR="005B207E" w:rsidRPr="005B207E" w:rsidRDefault="005B207E" w:rsidP="005B207E">
      <w:pPr>
        <w:spacing w:line="240" w:lineRule="auto"/>
        <w:rPr>
          <w:rFonts w:eastAsia="Times New Roman" w:cs="Arial"/>
          <w:color w:val="000000"/>
          <w:u w:val="single"/>
          <w:lang w:eastAsia="bg-BG"/>
        </w:rPr>
      </w:pPr>
    </w:p>
    <w:p w14:paraId="1BFC0EEF" w14:textId="1F570581"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 xml:space="preserve">Стрептококови инфекции (включително </w:t>
      </w:r>
      <w:r w:rsidRPr="005B207E">
        <w:rPr>
          <w:rFonts w:eastAsia="Times New Roman" w:cs="Arial"/>
          <w:i/>
          <w:iCs/>
          <w:color w:val="000000"/>
          <w:u w:val="single"/>
          <w:lang w:val="en-US"/>
        </w:rPr>
        <w:t>Streptococcus</w:t>
      </w:r>
      <w:r w:rsidRPr="005B207E">
        <w:rPr>
          <w:rFonts w:eastAsia="Times New Roman" w:cs="Arial"/>
          <w:i/>
          <w:iCs/>
          <w:color w:val="000000"/>
          <w:u w:val="single"/>
        </w:rPr>
        <w:t xml:space="preserve"> </w:t>
      </w:r>
      <w:proofErr w:type="spellStart"/>
      <w:r w:rsidRPr="005B207E">
        <w:rPr>
          <w:rFonts w:eastAsia="Times New Roman" w:cs="Arial"/>
          <w:i/>
          <w:iCs/>
          <w:color w:val="000000"/>
          <w:u w:val="single"/>
          <w:lang w:val="en-US"/>
        </w:rPr>
        <w:t>pneumoniae</w:t>
      </w:r>
      <w:proofErr w:type="spellEnd"/>
      <w:r w:rsidRPr="005B207E">
        <w:rPr>
          <w:rFonts w:eastAsia="Times New Roman" w:cs="Arial"/>
          <w:i/>
          <w:iCs/>
          <w:color w:val="000000"/>
          <w:u w:val="single"/>
        </w:rPr>
        <w:t>)</w:t>
      </w:r>
    </w:p>
    <w:p w14:paraId="2FD5991A"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Ципрофлоксацин не се препоръчва за лечение на стрептококови инфекции поради недостатъчна ефикасност.</w:t>
      </w:r>
    </w:p>
    <w:p w14:paraId="6B885013" w14:textId="77777777" w:rsidR="005B207E" w:rsidRPr="005B207E" w:rsidRDefault="005B207E" w:rsidP="005B207E">
      <w:pPr>
        <w:spacing w:line="240" w:lineRule="auto"/>
        <w:rPr>
          <w:rFonts w:eastAsia="Times New Roman" w:cs="Arial"/>
          <w:color w:val="000000"/>
          <w:u w:val="single"/>
          <w:lang w:eastAsia="bg-BG"/>
        </w:rPr>
      </w:pPr>
    </w:p>
    <w:p w14:paraId="305F4FB7" w14:textId="4CAB87DF"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Инфекции на гениталния тракт</w:t>
      </w:r>
    </w:p>
    <w:p w14:paraId="5381EE14"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Гонококов уретрит, цервицит, орхиепидидимит и тазова възпалителна болест могат да се причинят от изолати на резистентна на флуорохинолон </w:t>
      </w:r>
      <w:r w:rsidRPr="005B207E">
        <w:rPr>
          <w:rFonts w:eastAsia="Times New Roman" w:cs="Arial"/>
          <w:i/>
          <w:iCs/>
          <w:color w:val="000000"/>
          <w:lang w:val="en-US"/>
        </w:rPr>
        <w:t>Neisseria</w:t>
      </w:r>
      <w:r w:rsidRPr="005B207E">
        <w:rPr>
          <w:rFonts w:eastAsia="Times New Roman" w:cs="Arial"/>
          <w:i/>
          <w:iCs/>
          <w:color w:val="000000"/>
          <w:lang w:val="ru-RU"/>
        </w:rPr>
        <w:t xml:space="preserve"> </w:t>
      </w:r>
      <w:proofErr w:type="spellStart"/>
      <w:r w:rsidRPr="005B207E">
        <w:rPr>
          <w:rFonts w:eastAsia="Times New Roman" w:cs="Arial"/>
          <w:i/>
          <w:iCs/>
          <w:color w:val="000000"/>
          <w:lang w:val="en-US"/>
        </w:rPr>
        <w:t>gonorrhoeae</w:t>
      </w:r>
      <w:proofErr w:type="spellEnd"/>
      <w:r w:rsidRPr="005B207E">
        <w:rPr>
          <w:rFonts w:eastAsia="Times New Roman" w:cs="Arial"/>
          <w:i/>
          <w:iCs/>
          <w:color w:val="000000"/>
          <w:lang w:val="ru-RU"/>
        </w:rPr>
        <w:t>.</w:t>
      </w:r>
    </w:p>
    <w:p w14:paraId="3A9763D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По тази причина ципрофлоксацин трябва да се прилага за лечение на гонококов уретрит или цервицит само ако може да се изключи резистентна на ципрофлоксацин </w:t>
      </w:r>
      <w:r w:rsidRPr="005B207E">
        <w:rPr>
          <w:rFonts w:eastAsia="Times New Roman" w:cs="Arial"/>
          <w:i/>
          <w:iCs/>
          <w:color w:val="000000"/>
          <w:lang w:val="en-US"/>
        </w:rPr>
        <w:t>Neisseria</w:t>
      </w:r>
      <w:r w:rsidRPr="005B207E">
        <w:rPr>
          <w:rFonts w:eastAsia="Times New Roman" w:cs="Arial"/>
          <w:i/>
          <w:iCs/>
          <w:color w:val="000000"/>
          <w:lang w:val="ru-RU"/>
        </w:rPr>
        <w:t xml:space="preserve"> </w:t>
      </w:r>
      <w:proofErr w:type="spellStart"/>
      <w:r w:rsidRPr="005B207E">
        <w:rPr>
          <w:rFonts w:eastAsia="Times New Roman" w:cs="Arial"/>
          <w:i/>
          <w:iCs/>
          <w:color w:val="000000"/>
          <w:lang w:val="en-US"/>
        </w:rPr>
        <w:t>gonorrhoeae</w:t>
      </w:r>
      <w:proofErr w:type="spellEnd"/>
      <w:r w:rsidRPr="005B207E">
        <w:rPr>
          <w:rFonts w:eastAsia="Times New Roman" w:cs="Arial"/>
          <w:i/>
          <w:iCs/>
          <w:color w:val="000000"/>
          <w:lang w:val="ru-RU"/>
        </w:rPr>
        <w:t>.</w:t>
      </w:r>
    </w:p>
    <w:p w14:paraId="5CDECCA8"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lastRenderedPageBreak/>
        <w:t xml:space="preserve">При орхиепидидимит и тазова възпалителна болест емпиричен ципрофлоксацин може да се има предвид в комбинация с друго подходящо антибактериално средство (напр. цефалоспорин), освен ако може да се изключи резистентна на ципрофлоксацин </w:t>
      </w:r>
      <w:r w:rsidRPr="005B207E">
        <w:rPr>
          <w:rFonts w:eastAsia="Times New Roman" w:cs="Arial"/>
          <w:i/>
          <w:iCs/>
          <w:color w:val="000000"/>
          <w:lang w:val="en-US"/>
        </w:rPr>
        <w:t>Neisseria</w:t>
      </w:r>
      <w:r w:rsidRPr="005B207E">
        <w:rPr>
          <w:rFonts w:eastAsia="Times New Roman" w:cs="Arial"/>
          <w:i/>
          <w:iCs/>
          <w:color w:val="000000"/>
          <w:lang w:val="ru-RU"/>
        </w:rPr>
        <w:t xml:space="preserve"> </w:t>
      </w:r>
      <w:proofErr w:type="spellStart"/>
      <w:r w:rsidRPr="005B207E">
        <w:rPr>
          <w:rFonts w:eastAsia="Times New Roman" w:cs="Arial"/>
          <w:i/>
          <w:iCs/>
          <w:color w:val="000000"/>
          <w:lang w:val="en-US"/>
        </w:rPr>
        <w:t>gonorrhoeae</w:t>
      </w:r>
      <w:proofErr w:type="spellEnd"/>
      <w:r w:rsidRPr="005B207E">
        <w:rPr>
          <w:rFonts w:eastAsia="Times New Roman" w:cs="Arial"/>
          <w:i/>
          <w:iCs/>
          <w:color w:val="000000"/>
          <w:lang w:val="ru-RU"/>
        </w:rPr>
        <w:t>.</w:t>
      </w:r>
      <w:r w:rsidRPr="005B207E">
        <w:rPr>
          <w:rFonts w:eastAsia="Times New Roman" w:cs="Arial"/>
          <w:color w:val="000000"/>
          <w:lang w:val="ru-RU"/>
        </w:rPr>
        <w:t xml:space="preserve"> </w:t>
      </w:r>
      <w:r w:rsidRPr="005B207E">
        <w:rPr>
          <w:rFonts w:eastAsia="Times New Roman" w:cs="Arial"/>
          <w:color w:val="000000"/>
          <w:lang w:eastAsia="bg-BG"/>
        </w:rPr>
        <w:t>Ако не се постигне клинично подобрение след 3-дневно лечение, терапията трябва да се преоцени.</w:t>
      </w:r>
    </w:p>
    <w:p w14:paraId="07486ECA" w14:textId="77777777" w:rsidR="005B207E" w:rsidRPr="005B207E" w:rsidRDefault="005B207E" w:rsidP="005B207E">
      <w:pPr>
        <w:spacing w:line="240" w:lineRule="auto"/>
        <w:rPr>
          <w:rFonts w:eastAsia="Times New Roman" w:cs="Arial"/>
          <w:color w:val="000000"/>
          <w:u w:val="single"/>
          <w:lang w:eastAsia="bg-BG"/>
        </w:rPr>
      </w:pPr>
    </w:p>
    <w:p w14:paraId="6A5E2BC9" w14:textId="6774CF7A"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Инфекции на пикочните пътища</w:t>
      </w:r>
    </w:p>
    <w:p w14:paraId="39C2A74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Резистентността към флуорохинолони на </w:t>
      </w:r>
      <w:r w:rsidRPr="005B207E">
        <w:rPr>
          <w:rFonts w:eastAsia="Times New Roman" w:cs="Arial"/>
          <w:i/>
          <w:iCs/>
          <w:color w:val="000000"/>
          <w:lang w:val="en-US"/>
        </w:rPr>
        <w:t>Escherichia</w:t>
      </w:r>
      <w:r w:rsidRPr="005B207E">
        <w:rPr>
          <w:rFonts w:eastAsia="Times New Roman" w:cs="Arial"/>
          <w:i/>
          <w:iCs/>
          <w:color w:val="000000"/>
          <w:lang w:val="ru-RU"/>
        </w:rPr>
        <w:t xml:space="preserve"> </w:t>
      </w:r>
      <w:r w:rsidRPr="005B207E">
        <w:rPr>
          <w:rFonts w:eastAsia="Times New Roman" w:cs="Arial"/>
          <w:i/>
          <w:iCs/>
          <w:color w:val="000000"/>
          <w:lang w:val="en-US"/>
        </w:rPr>
        <w:t>coli</w:t>
      </w:r>
      <w:r w:rsidRPr="005B207E">
        <w:rPr>
          <w:rFonts w:eastAsia="Times New Roman" w:cs="Arial"/>
          <w:i/>
          <w:iCs/>
          <w:color w:val="000000"/>
          <w:lang w:val="ru-RU"/>
        </w:rPr>
        <w:t>,</w:t>
      </w:r>
      <w:r w:rsidRPr="005B207E">
        <w:rPr>
          <w:rFonts w:eastAsia="Times New Roman" w:cs="Arial"/>
          <w:color w:val="000000"/>
          <w:lang w:val="ru-RU"/>
        </w:rPr>
        <w:t xml:space="preserve"> </w:t>
      </w:r>
      <w:r w:rsidRPr="005B207E">
        <w:rPr>
          <w:rFonts w:eastAsia="Times New Roman" w:cs="Arial"/>
          <w:color w:val="000000"/>
          <w:lang w:eastAsia="bg-BG"/>
        </w:rPr>
        <w:t xml:space="preserve">най-честите патогени, причиняващи инфекции на пикочните пътища, варира в целия Европейски съюз. Препоръчително е предписващите лекари да вземат предвид разпространението на локалната резистентност на </w:t>
      </w:r>
      <w:r w:rsidRPr="005B207E">
        <w:rPr>
          <w:rFonts w:eastAsia="Times New Roman" w:cs="Arial"/>
          <w:i/>
          <w:iCs/>
          <w:color w:val="000000"/>
          <w:lang w:val="en-US"/>
        </w:rPr>
        <w:t>Escherichia</w:t>
      </w:r>
      <w:r w:rsidRPr="005B207E">
        <w:rPr>
          <w:rFonts w:eastAsia="Times New Roman" w:cs="Arial"/>
          <w:i/>
          <w:iCs/>
          <w:color w:val="000000"/>
          <w:lang w:val="ru-RU"/>
        </w:rPr>
        <w:t xml:space="preserve"> </w:t>
      </w:r>
      <w:r w:rsidRPr="005B207E">
        <w:rPr>
          <w:rFonts w:eastAsia="Times New Roman" w:cs="Arial"/>
          <w:i/>
          <w:iCs/>
          <w:color w:val="000000"/>
          <w:lang w:val="en-US"/>
        </w:rPr>
        <w:t>coli</w:t>
      </w:r>
      <w:r w:rsidRPr="005B207E">
        <w:rPr>
          <w:rFonts w:eastAsia="Times New Roman" w:cs="Arial"/>
          <w:color w:val="000000"/>
          <w:lang w:val="ru-RU"/>
        </w:rPr>
        <w:t xml:space="preserve"> </w:t>
      </w:r>
      <w:r w:rsidRPr="005B207E">
        <w:rPr>
          <w:rFonts w:eastAsia="Times New Roman" w:cs="Arial"/>
          <w:color w:val="000000"/>
          <w:lang w:eastAsia="bg-BG"/>
        </w:rPr>
        <w:t>към флуорохинолони.</w:t>
      </w:r>
    </w:p>
    <w:p w14:paraId="7B98C9F3"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Очаква се еднократната доза ципрофлоксацин, която може да се използва при неусложнен цистит при жени в предменопауза, да е свързана с по-ниска ефикасност, отколкото при по-голяма продължителност на лечението. Това също трябва да се вземе предвид, тъй като има отношение към увеличаващото се ниво на резистентност на </w:t>
      </w:r>
      <w:r w:rsidRPr="005B207E">
        <w:rPr>
          <w:rFonts w:eastAsia="Times New Roman" w:cs="Arial"/>
          <w:i/>
          <w:iCs/>
          <w:color w:val="000000"/>
          <w:lang w:val="en-US"/>
        </w:rPr>
        <w:t>Escherichia</w:t>
      </w:r>
      <w:r w:rsidRPr="005B207E">
        <w:rPr>
          <w:rFonts w:eastAsia="Times New Roman" w:cs="Arial"/>
          <w:i/>
          <w:iCs/>
          <w:color w:val="000000"/>
          <w:lang w:val="ru-RU"/>
        </w:rPr>
        <w:t xml:space="preserve"> </w:t>
      </w:r>
      <w:r w:rsidRPr="005B207E">
        <w:rPr>
          <w:rFonts w:eastAsia="Times New Roman" w:cs="Arial"/>
          <w:i/>
          <w:iCs/>
          <w:color w:val="000000"/>
          <w:lang w:val="en-US"/>
        </w:rPr>
        <w:t>coli</w:t>
      </w:r>
      <w:r w:rsidRPr="005B207E">
        <w:rPr>
          <w:rFonts w:eastAsia="Times New Roman" w:cs="Arial"/>
          <w:color w:val="000000"/>
          <w:lang w:val="ru-RU"/>
        </w:rPr>
        <w:t xml:space="preserve"> </w:t>
      </w:r>
      <w:r w:rsidRPr="005B207E">
        <w:rPr>
          <w:rFonts w:eastAsia="Times New Roman" w:cs="Arial"/>
          <w:color w:val="000000"/>
          <w:lang w:eastAsia="bg-BG"/>
        </w:rPr>
        <w:t>към хинолони.</w:t>
      </w:r>
    </w:p>
    <w:p w14:paraId="1D2725AD" w14:textId="77777777" w:rsidR="005B207E" w:rsidRPr="005B207E" w:rsidRDefault="005B207E" w:rsidP="005B207E">
      <w:pPr>
        <w:spacing w:line="240" w:lineRule="auto"/>
        <w:rPr>
          <w:rFonts w:eastAsia="Times New Roman" w:cs="Arial"/>
          <w:color w:val="000000"/>
          <w:u w:val="single"/>
          <w:lang w:eastAsia="bg-BG"/>
        </w:rPr>
      </w:pPr>
    </w:p>
    <w:p w14:paraId="2F886A16" w14:textId="00CEEB57"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Интра-абдоминални инфекции</w:t>
      </w:r>
    </w:p>
    <w:p w14:paraId="1F5A9CBF"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Има ограничени данни за ефикасността на ципрофлоксацин при лечението на постхирургични интра- абдоминални инфекции.</w:t>
      </w:r>
    </w:p>
    <w:p w14:paraId="192517DF" w14:textId="77777777" w:rsidR="005B207E" w:rsidRPr="005B207E" w:rsidRDefault="005B207E" w:rsidP="005B207E">
      <w:pPr>
        <w:spacing w:line="240" w:lineRule="auto"/>
        <w:rPr>
          <w:rFonts w:eastAsia="Times New Roman" w:cs="Arial"/>
          <w:color w:val="000000"/>
          <w:u w:val="single"/>
          <w:lang w:eastAsia="bg-BG"/>
        </w:rPr>
      </w:pPr>
    </w:p>
    <w:p w14:paraId="723BFB30" w14:textId="01DD12C1"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Диария на пътешествениците</w:t>
      </w:r>
    </w:p>
    <w:p w14:paraId="02205C4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При избора на ципрофлоксацин трябва да се има предвид информацията за резистентността към ципрофлоксацин на съответните патогени в посетените страни.</w:t>
      </w:r>
    </w:p>
    <w:p w14:paraId="1E52F34C" w14:textId="77777777" w:rsidR="005B207E" w:rsidRPr="005B207E" w:rsidRDefault="005B207E" w:rsidP="005B207E">
      <w:pPr>
        <w:spacing w:line="240" w:lineRule="auto"/>
        <w:rPr>
          <w:rFonts w:eastAsia="Times New Roman" w:cs="Arial"/>
          <w:color w:val="000000"/>
          <w:u w:val="single"/>
          <w:lang w:eastAsia="bg-BG"/>
        </w:rPr>
      </w:pPr>
    </w:p>
    <w:p w14:paraId="2E818CD4" w14:textId="3F11861E"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Инфекции на костите и ставите</w:t>
      </w:r>
    </w:p>
    <w:p w14:paraId="3B0463D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Ципрофлоксацин трябва да се използва в комбинация с други антимикробни средства в зависимост от резултатите от микробиологичните изследвания.</w:t>
      </w:r>
    </w:p>
    <w:p w14:paraId="609F99B4" w14:textId="77777777" w:rsidR="005B207E" w:rsidRPr="005B207E" w:rsidRDefault="005B207E" w:rsidP="005B207E">
      <w:pPr>
        <w:spacing w:line="240" w:lineRule="auto"/>
        <w:rPr>
          <w:rFonts w:eastAsia="Times New Roman" w:cs="Arial"/>
          <w:color w:val="000000"/>
          <w:u w:val="single"/>
          <w:lang w:eastAsia="bg-BG"/>
        </w:rPr>
      </w:pPr>
    </w:p>
    <w:p w14:paraId="327793F0" w14:textId="6F4C63DA"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Инхалаторен антракс</w:t>
      </w:r>
    </w:p>
    <w:p w14:paraId="30732DB0"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Използването при хора се основава на данните за чувствителността </w:t>
      </w:r>
      <w:r w:rsidRPr="005B207E">
        <w:rPr>
          <w:rFonts w:eastAsia="Times New Roman" w:cs="Arial"/>
          <w:i/>
          <w:iCs/>
          <w:color w:val="000000"/>
          <w:lang w:val="en-US"/>
        </w:rPr>
        <w:t>in</w:t>
      </w:r>
      <w:r w:rsidRPr="005B207E">
        <w:rPr>
          <w:rFonts w:eastAsia="Times New Roman" w:cs="Arial"/>
          <w:i/>
          <w:iCs/>
          <w:color w:val="000000"/>
          <w:lang w:val="ru-RU"/>
        </w:rPr>
        <w:t>-</w:t>
      </w:r>
      <w:r w:rsidRPr="005B207E">
        <w:rPr>
          <w:rFonts w:eastAsia="Times New Roman" w:cs="Arial"/>
          <w:i/>
          <w:iCs/>
          <w:color w:val="000000"/>
          <w:lang w:val="en-US"/>
        </w:rPr>
        <w:t>vitro</w:t>
      </w:r>
      <w:r w:rsidRPr="005B207E">
        <w:rPr>
          <w:rFonts w:eastAsia="Times New Roman" w:cs="Arial"/>
          <w:color w:val="000000"/>
          <w:lang w:val="ru-RU"/>
        </w:rPr>
        <w:t xml:space="preserve"> </w:t>
      </w:r>
      <w:r w:rsidRPr="005B207E">
        <w:rPr>
          <w:rFonts w:eastAsia="Times New Roman" w:cs="Arial"/>
          <w:color w:val="000000"/>
          <w:lang w:eastAsia="bg-BG"/>
        </w:rPr>
        <w:t>и експериментални данни при животни заедно с ограничени данни при хора. Лекуващите лекари трябва да се съобразят с националните и/или международни консенсусни документи по отношение на лечението на антракс.</w:t>
      </w:r>
    </w:p>
    <w:p w14:paraId="3E454184" w14:textId="77777777" w:rsidR="005B207E" w:rsidRPr="005B207E" w:rsidRDefault="005B207E" w:rsidP="005B207E">
      <w:pPr>
        <w:spacing w:line="240" w:lineRule="auto"/>
        <w:rPr>
          <w:rFonts w:eastAsia="Times New Roman" w:cs="Arial"/>
          <w:color w:val="000000"/>
          <w:u w:val="single"/>
          <w:lang w:eastAsia="bg-BG"/>
        </w:rPr>
      </w:pPr>
    </w:p>
    <w:p w14:paraId="4DAC8810" w14:textId="65D883CD"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Педиатрична популация</w:t>
      </w:r>
    </w:p>
    <w:p w14:paraId="6EECA075"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При употребата на ципрофлоксацин при деца и юноши трябва да се спазва наличното официално ръководство. Лечението с ципрофлоксацин трябва да се започва само от лекари, които имат опит с лечение на кистозна фиброза и/или тежки инфекции при деца и юноши.</w:t>
      </w:r>
    </w:p>
    <w:p w14:paraId="4F29A75F" w14:textId="77777777" w:rsidR="005B207E" w:rsidRPr="005B207E" w:rsidRDefault="005B207E" w:rsidP="005B207E">
      <w:pPr>
        <w:spacing w:line="240" w:lineRule="auto"/>
        <w:rPr>
          <w:rFonts w:eastAsia="Times New Roman" w:cs="Arial"/>
          <w:color w:val="000000"/>
          <w:lang w:eastAsia="bg-BG"/>
        </w:rPr>
      </w:pPr>
    </w:p>
    <w:p w14:paraId="06D48FC2" w14:textId="01EF29F7" w:rsidR="005B207E" w:rsidRPr="005B207E" w:rsidRDefault="005B207E" w:rsidP="005B207E">
      <w:pPr>
        <w:spacing w:line="240" w:lineRule="auto"/>
        <w:rPr>
          <w:rFonts w:eastAsia="Times New Roman" w:cs="Arial"/>
        </w:rPr>
      </w:pPr>
      <w:r w:rsidRPr="005B207E">
        <w:rPr>
          <w:rFonts w:eastAsia="Times New Roman" w:cs="Arial"/>
          <w:color w:val="000000"/>
          <w:lang w:eastAsia="bg-BG"/>
        </w:rPr>
        <w:t>Установено е, че ципрофлоксацин предизвиква артропатия на носещите телесната маса стави</w:t>
      </w:r>
    </w:p>
    <w:p w14:paraId="4D2B08BC" w14:textId="77777777" w:rsidR="005B207E" w:rsidRPr="005B207E" w:rsidRDefault="005B207E" w:rsidP="005B207E">
      <w:pPr>
        <w:rPr>
          <w:rFonts w:eastAsia="Times New Roman" w:cs="Arial"/>
        </w:rPr>
      </w:pPr>
      <w:r w:rsidRPr="005B207E">
        <w:rPr>
          <w:rFonts w:eastAsia="Times New Roman" w:cs="Arial"/>
          <w:color w:val="000000"/>
          <w:lang w:eastAsia="bg-BG"/>
        </w:rPr>
        <w:t xml:space="preserve">незрели животни. Данните за безопасността от едно рандомизирано, двойно-сляпо проучване приложението на ципрофлоксацин при деца (група на ципрофлоксацин: </w:t>
      </w:r>
      <w:r w:rsidRPr="005B207E">
        <w:rPr>
          <w:rFonts w:eastAsia="Times New Roman" w:cs="Arial"/>
          <w:color w:val="000000"/>
          <w:lang w:val="en-US"/>
        </w:rPr>
        <w:t>n</w:t>
      </w:r>
      <w:r w:rsidRPr="005B207E">
        <w:rPr>
          <w:rFonts w:eastAsia="Times New Roman" w:cs="Arial"/>
          <w:color w:val="000000"/>
          <w:lang w:eastAsia="bg-BG"/>
        </w:rPr>
        <w:t xml:space="preserve">=335, средна възраст = 6,3 години; контролна група: </w:t>
      </w:r>
      <w:r w:rsidRPr="005B207E">
        <w:rPr>
          <w:rFonts w:eastAsia="Times New Roman" w:cs="Arial"/>
          <w:color w:val="000000"/>
          <w:lang w:val="en-US"/>
        </w:rPr>
        <w:t>n</w:t>
      </w:r>
      <w:r w:rsidRPr="005B207E">
        <w:rPr>
          <w:rFonts w:eastAsia="Times New Roman" w:cs="Arial"/>
          <w:color w:val="000000"/>
          <w:lang w:eastAsia="bg-BG"/>
        </w:rPr>
        <w:t xml:space="preserve">=349, средна възраст = 6,2 години; възрастов диапазон - 1 до 17 години) показват честота на подозрение за свързана с лекарството артропатия (установена на база клинични симптоми и оплаквания, свързани със ставите) до ден +42 от 7,2 % и 4,6 %. Съответно честотата на свързаната с лекарството артропатия след едногодишно проследяване е била 9,0 % и 5,7 %. </w:t>
      </w:r>
      <w:r w:rsidRPr="005B207E">
        <w:rPr>
          <w:rFonts w:eastAsia="Times New Roman" w:cs="Arial"/>
          <w:color w:val="000000"/>
          <w:lang w:eastAsia="bg-BG"/>
        </w:rPr>
        <w:lastRenderedPageBreak/>
        <w:t>Увеличението на честотата на подозрение за свързана с лекарството артропатия не се различава статистически значимо между групите. Лечението трябва да се започва само след внимателна преценка на съотношението полза/риск поради вероятността от нежелани реакции, свързани със ставите и/или околните тъкани (вж. точка 4.8).</w:t>
      </w:r>
    </w:p>
    <w:p w14:paraId="2AF536BC" w14:textId="77777777" w:rsidR="005B207E" w:rsidRPr="005B207E" w:rsidRDefault="005B207E" w:rsidP="005B207E">
      <w:pPr>
        <w:spacing w:line="240" w:lineRule="auto"/>
        <w:rPr>
          <w:rFonts w:eastAsia="Times New Roman" w:cs="Arial"/>
          <w:i/>
          <w:iCs/>
          <w:color w:val="000000"/>
          <w:lang w:eastAsia="bg-BG"/>
        </w:rPr>
      </w:pPr>
    </w:p>
    <w:p w14:paraId="06FAF9FA" w14:textId="188E6CEB" w:rsidR="005B207E" w:rsidRPr="005B207E" w:rsidRDefault="005B207E" w:rsidP="005B207E">
      <w:pPr>
        <w:spacing w:line="240" w:lineRule="auto"/>
        <w:rPr>
          <w:rFonts w:eastAsia="Times New Roman" w:cs="Arial"/>
        </w:rPr>
      </w:pPr>
      <w:r w:rsidRPr="005B207E">
        <w:rPr>
          <w:rFonts w:eastAsia="Times New Roman" w:cs="Arial"/>
          <w:i/>
          <w:iCs/>
          <w:color w:val="000000"/>
          <w:lang w:eastAsia="bg-BG"/>
        </w:rPr>
        <w:t>Бронхо-пулмонални инфекции при кистозна фиброза</w:t>
      </w:r>
    </w:p>
    <w:p w14:paraId="6554B1F4"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В клиничните проучвания са обхванати деца и юноши на възраст между 5 и 17 години. Съществува по-ограничен опит при лечението на деца на възраст между 1 и 5 години.</w:t>
      </w:r>
    </w:p>
    <w:p w14:paraId="1934F313" w14:textId="77777777" w:rsidR="005B207E" w:rsidRPr="005B207E" w:rsidRDefault="005B207E" w:rsidP="005B207E">
      <w:pPr>
        <w:spacing w:line="240" w:lineRule="auto"/>
        <w:rPr>
          <w:rFonts w:eastAsia="Times New Roman" w:cs="Arial"/>
          <w:i/>
          <w:iCs/>
          <w:color w:val="000000"/>
          <w:lang w:eastAsia="bg-BG"/>
        </w:rPr>
      </w:pPr>
    </w:p>
    <w:p w14:paraId="7D3BB813" w14:textId="1C418917" w:rsidR="005B207E" w:rsidRPr="005B207E" w:rsidRDefault="005B207E" w:rsidP="005B207E">
      <w:pPr>
        <w:spacing w:line="240" w:lineRule="auto"/>
        <w:rPr>
          <w:rFonts w:eastAsia="Times New Roman" w:cs="Arial"/>
        </w:rPr>
      </w:pPr>
      <w:r w:rsidRPr="005B207E">
        <w:rPr>
          <w:rFonts w:eastAsia="Times New Roman" w:cs="Arial"/>
          <w:i/>
          <w:iCs/>
          <w:color w:val="000000"/>
          <w:lang w:eastAsia="bg-BG"/>
        </w:rPr>
        <w:t>Усложнени инфекции на пикочните пътища и пиелонефрит</w:t>
      </w:r>
    </w:p>
    <w:p w14:paraId="7711BA5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Лечение с ципрофлоксацин при инфекции на пикочните пътища трябва да се обмисли, когато не може да се приложи друго лечение, и то трябва да се базира на резултатите от микробиологичните изследвания.</w:t>
      </w:r>
    </w:p>
    <w:p w14:paraId="7E25BAB8"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В клиничните проучвания са включени деца и юноши на възраст между 1 и 17 години.</w:t>
      </w:r>
    </w:p>
    <w:p w14:paraId="71ECAF15" w14:textId="77777777" w:rsidR="005B207E" w:rsidRPr="005B207E" w:rsidRDefault="005B207E" w:rsidP="005B207E">
      <w:pPr>
        <w:spacing w:line="240" w:lineRule="auto"/>
        <w:rPr>
          <w:rFonts w:eastAsia="Times New Roman" w:cs="Arial"/>
          <w:i/>
          <w:iCs/>
          <w:color w:val="000000"/>
          <w:lang w:eastAsia="bg-BG"/>
        </w:rPr>
      </w:pPr>
    </w:p>
    <w:p w14:paraId="08792A72" w14:textId="1F5DF0D4" w:rsidR="005B207E" w:rsidRPr="005B207E" w:rsidRDefault="005B207E" w:rsidP="005B207E">
      <w:pPr>
        <w:spacing w:line="240" w:lineRule="auto"/>
        <w:rPr>
          <w:rFonts w:eastAsia="Times New Roman" w:cs="Arial"/>
        </w:rPr>
      </w:pPr>
      <w:r w:rsidRPr="005B207E">
        <w:rPr>
          <w:rFonts w:eastAsia="Times New Roman" w:cs="Arial"/>
          <w:i/>
          <w:iCs/>
          <w:color w:val="000000"/>
          <w:lang w:eastAsia="bg-BG"/>
        </w:rPr>
        <w:t>Други специфични тежки инфекции</w:t>
      </w:r>
    </w:p>
    <w:p w14:paraId="2B5E05C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Други тежки инфекции съгласно официалното ръководство или след внимателно оценяване на съотношението полза/риск, когато не може да се използва друго лечение или след неуспех на конвенционалната терапия и когато резултатите от микробиологичните изследвания подкрепят използването на ципрофлоксацин.</w:t>
      </w:r>
    </w:p>
    <w:p w14:paraId="5111274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Използването на ципрофлоксацин при специфични тежки инфекции, различни от отбелязаните по- горе, не е оценено в клинични проучвания и клиничният опит е ограничен. По тази причина се препоръчва повишено внимание при лечение на такива пациенти.</w:t>
      </w:r>
    </w:p>
    <w:p w14:paraId="15404456" w14:textId="77777777" w:rsidR="005B207E" w:rsidRPr="005B207E" w:rsidRDefault="005B207E" w:rsidP="005B207E">
      <w:pPr>
        <w:spacing w:line="240" w:lineRule="auto"/>
        <w:rPr>
          <w:rFonts w:eastAsia="Times New Roman" w:cs="Arial"/>
          <w:color w:val="000000"/>
          <w:u w:val="single"/>
          <w:lang w:eastAsia="bg-BG"/>
        </w:rPr>
      </w:pPr>
    </w:p>
    <w:p w14:paraId="1A1D4D54" w14:textId="2005B011"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Свръхчувствителност</w:t>
      </w:r>
    </w:p>
    <w:p w14:paraId="712C4443"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Свръхчувствителност и алергични реакции, включително анафилаксия и анафилактоидни реакции, могат да се появят след еднократна доза (вж. точка 4.8) и могат да са животозастрашаващи. При поява на такава реакция ципрофлоксацин трябва да се прекрати и е необходимо адекватно медицинско лечение.</w:t>
      </w:r>
    </w:p>
    <w:p w14:paraId="1CEB6BD2" w14:textId="77777777" w:rsidR="005B207E" w:rsidRPr="005B207E" w:rsidRDefault="005B207E" w:rsidP="005B207E">
      <w:pPr>
        <w:spacing w:line="240" w:lineRule="auto"/>
        <w:rPr>
          <w:rFonts w:eastAsia="Times New Roman" w:cs="Arial"/>
          <w:color w:val="000000"/>
          <w:u w:val="single"/>
          <w:lang w:eastAsia="bg-BG"/>
        </w:rPr>
      </w:pPr>
    </w:p>
    <w:p w14:paraId="4A43B9BF" w14:textId="5D8A47A5"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Продължителни, инвалидизираши и потенциално необратими сериозни нежелани лекарствени реакции</w:t>
      </w:r>
    </w:p>
    <w:p w14:paraId="2339B486"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фактори. Ципрофлоксацин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62AF98E1" w14:textId="77777777" w:rsidR="005B207E" w:rsidRPr="005B207E" w:rsidRDefault="005B207E" w:rsidP="005B207E">
      <w:pPr>
        <w:spacing w:line="240" w:lineRule="auto"/>
        <w:rPr>
          <w:rFonts w:eastAsia="Times New Roman" w:cs="Arial"/>
          <w:color w:val="000000"/>
          <w:u w:val="single"/>
          <w:lang w:eastAsia="bg-BG"/>
        </w:rPr>
      </w:pPr>
    </w:p>
    <w:p w14:paraId="77CF2DE0" w14:textId="0E9419D4"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Тендинит и разкъсване на сухожилие</w:t>
      </w:r>
    </w:p>
    <w:p w14:paraId="621FE93A"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По правило ципрофлоксацин не трябва да се прилага при пациенти с анамнестични данни за заболявания/нарушения на сухожилията, свързани с лечение с хинолони. Въпреки това при много редки случаи след микробиологично доказване на етиологичния причинител и преценка на съотношението полза/риск е възможно предписването на ципрофлоксацин на такива пациенти за лечение на определени тежки инфекции, особено в случаите на неуспех на стандартната терапия или бактериална резистентност, когато микробиологичните данни подкрепят използването на ципрофлоксацин.</w:t>
      </w:r>
    </w:p>
    <w:p w14:paraId="6E68EFCF" w14:textId="77777777" w:rsidR="005B207E" w:rsidRPr="005B207E" w:rsidRDefault="005B207E" w:rsidP="005B207E">
      <w:pPr>
        <w:rPr>
          <w:rFonts w:eastAsia="Times New Roman" w:cs="Arial"/>
        </w:rPr>
      </w:pPr>
      <w:r w:rsidRPr="005B207E">
        <w:rPr>
          <w:rFonts w:eastAsia="Times New Roman" w:cs="Arial"/>
          <w:color w:val="000000"/>
          <w:lang w:eastAsia="bg-BG"/>
        </w:rPr>
        <w:lastRenderedPageBreak/>
        <w:t>Тендинит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до няколко месеца след прекратяване на лечението (вж. точка 4.8).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w:t>
      </w:r>
    </w:p>
    <w:p w14:paraId="4AC4CDF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При първия признак на тендинит (напр, болезнено подуване, възпаление) лечението с ципрофлоксацин трябва да се прекрати и да се обмисли алтернативно лечение. 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тендинопатия.</w:t>
      </w:r>
    </w:p>
    <w:p w14:paraId="2974159C" w14:textId="77777777" w:rsidR="005B207E" w:rsidRPr="005B207E" w:rsidRDefault="005B207E" w:rsidP="005B207E">
      <w:pPr>
        <w:spacing w:line="240" w:lineRule="auto"/>
        <w:rPr>
          <w:rFonts w:eastAsia="Times New Roman" w:cs="Arial"/>
          <w:color w:val="000000"/>
          <w:u w:val="single"/>
          <w:lang w:eastAsia="bg-BG"/>
        </w:rPr>
      </w:pPr>
    </w:p>
    <w:p w14:paraId="7B1F2B10" w14:textId="7A04E938"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Пциенти с миастения гравис</w:t>
      </w:r>
    </w:p>
    <w:p w14:paraId="75C401F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Ципрофлоксацин трябва да се използва с повишено внимание при пациенти с миастения гравис, защото симптомите може да се обострят (вж. точка 4.8).</w:t>
      </w:r>
    </w:p>
    <w:p w14:paraId="6A0C6ED6" w14:textId="77777777" w:rsidR="005B207E" w:rsidRPr="005B207E" w:rsidRDefault="005B207E" w:rsidP="005B207E">
      <w:pPr>
        <w:spacing w:line="240" w:lineRule="auto"/>
        <w:rPr>
          <w:rFonts w:eastAsia="Times New Roman" w:cs="Arial"/>
          <w:color w:val="000000"/>
          <w:u w:val="single"/>
          <w:lang w:eastAsia="bg-BG"/>
        </w:rPr>
      </w:pPr>
    </w:p>
    <w:p w14:paraId="7B8B6193" w14:textId="5AEA5003"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 xml:space="preserve">Аневризма и дисекация на аортата и регургитация/недостатьчност на сърдечните клапи </w:t>
      </w:r>
      <w:r w:rsidRPr="005B207E">
        <w:rPr>
          <w:rFonts w:eastAsia="Times New Roman" w:cs="Arial"/>
          <w:color w:val="000000"/>
          <w:lang w:eastAsia="bg-BG"/>
        </w:rPr>
        <w:t>Епидемиологичните проучвания показват повишен риск от аневризма и дисекация на аортата, особено при пациенти в старческа възраст, както и от регургитация на аортната и митралната клапа след прием на флуорохинолони. Съобщени са случаи на аневризма и дисекация на аортата, понякога усложнени поради разкъсване (включително с летален изход) и регургитация/недостатьчност на някои от сърдечните клапи при пациенти, приемащи флуорохинолони (вж. точка 4.8).</w:t>
      </w:r>
    </w:p>
    <w:p w14:paraId="002B6B00" w14:textId="77777777" w:rsidR="005B207E" w:rsidRPr="005B207E" w:rsidRDefault="005B207E" w:rsidP="005B207E">
      <w:pPr>
        <w:spacing w:line="240" w:lineRule="auto"/>
        <w:rPr>
          <w:rFonts w:eastAsia="Times New Roman" w:cs="Arial"/>
          <w:color w:val="000000"/>
          <w:lang w:eastAsia="bg-BG"/>
        </w:rPr>
      </w:pPr>
      <w:r w:rsidRPr="005B207E">
        <w:rPr>
          <w:rFonts w:eastAsia="Times New Roman" w:cs="Arial"/>
          <w:color w:val="000000"/>
          <w:lang w:eastAsia="bg-BG"/>
        </w:rPr>
        <w:t>Затова флуорохинолоните трябва да се използват само след внимателна оценка на съотношението полза/риск и след разглеждане на други терапевтични възможности при пациенти с положителна фамилна анамнеза за аневризма или вродено заболяване на сърдечните клапи, или при пациенти, диагностицирани с предшестваща аневризма и/или дисекация на аортата или заболяване на сърдечните клапи, или при наличие на други рискови фактори или заболявалия, предразполагащи</w:t>
      </w:r>
    </w:p>
    <w:p w14:paraId="72E07191" w14:textId="77777777"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 xml:space="preserve">както за аневризма, така и за дисекация на аортата и за регургитация/недостатьчност на сърдечните клапи (напр. нарушения на съединителната тъкан, напр. синдром на </w:t>
      </w:r>
      <w:proofErr w:type="spellStart"/>
      <w:r w:rsidRPr="005B207E">
        <w:rPr>
          <w:rFonts w:eastAsia="Times New Roman" w:cs="Arial"/>
          <w:color w:val="000000"/>
          <w:lang w:val="en-US"/>
        </w:rPr>
        <w:t>Marfan</w:t>
      </w:r>
      <w:proofErr w:type="spellEnd"/>
      <w:r w:rsidRPr="005B207E">
        <w:rPr>
          <w:rFonts w:eastAsia="Times New Roman" w:cs="Arial"/>
          <w:color w:val="000000"/>
          <w:lang w:val="ru-RU"/>
        </w:rPr>
        <w:t xml:space="preserve"> </w:t>
      </w:r>
      <w:r w:rsidRPr="005B207E">
        <w:rPr>
          <w:rFonts w:eastAsia="Times New Roman" w:cs="Arial"/>
          <w:color w:val="000000"/>
          <w:lang w:eastAsia="bg-BG"/>
        </w:rPr>
        <w:t xml:space="preserve">или синдром на </w:t>
      </w:r>
      <w:r w:rsidRPr="005B207E">
        <w:rPr>
          <w:rFonts w:eastAsia="Times New Roman" w:cs="Arial"/>
          <w:color w:val="000000"/>
          <w:lang w:val="en-US"/>
        </w:rPr>
        <w:t>Ehlers</w:t>
      </w:r>
      <w:r w:rsidRPr="005B207E">
        <w:rPr>
          <w:rFonts w:eastAsia="Times New Roman" w:cs="Arial"/>
          <w:color w:val="000000"/>
          <w:lang w:val="ru-RU"/>
        </w:rPr>
        <w:t>-</w:t>
      </w:r>
      <w:proofErr w:type="spellStart"/>
      <w:r w:rsidRPr="005B207E">
        <w:rPr>
          <w:rFonts w:eastAsia="Times New Roman" w:cs="Arial"/>
          <w:color w:val="000000"/>
          <w:lang w:val="en-US"/>
        </w:rPr>
        <w:t>Danlos</w:t>
      </w:r>
      <w:proofErr w:type="spellEnd"/>
      <w:r w:rsidRPr="005B207E">
        <w:rPr>
          <w:rFonts w:eastAsia="Times New Roman" w:cs="Arial"/>
          <w:color w:val="000000"/>
          <w:lang w:val="ru-RU"/>
        </w:rPr>
        <w:t xml:space="preserve">, </w:t>
      </w:r>
      <w:r w:rsidRPr="005B207E">
        <w:rPr>
          <w:rFonts w:eastAsia="Times New Roman" w:cs="Arial"/>
          <w:color w:val="000000"/>
          <w:lang w:eastAsia="bg-BG"/>
        </w:rPr>
        <w:t xml:space="preserve">синдром на </w:t>
      </w:r>
      <w:r w:rsidRPr="005B207E">
        <w:rPr>
          <w:rFonts w:eastAsia="Times New Roman" w:cs="Arial"/>
          <w:color w:val="000000"/>
          <w:lang w:val="en-US"/>
        </w:rPr>
        <w:t>Turner</w:t>
      </w:r>
      <w:r w:rsidRPr="005B207E">
        <w:rPr>
          <w:rFonts w:eastAsia="Times New Roman" w:cs="Arial"/>
          <w:color w:val="000000"/>
          <w:lang w:val="ru-RU"/>
        </w:rPr>
        <w:t xml:space="preserve">, </w:t>
      </w:r>
      <w:r w:rsidRPr="005B207E">
        <w:rPr>
          <w:rFonts w:eastAsia="Times New Roman" w:cs="Arial"/>
          <w:color w:val="000000"/>
          <w:lang w:eastAsia="bg-BG"/>
        </w:rPr>
        <w:t xml:space="preserve">болест на </w:t>
      </w:r>
      <w:proofErr w:type="spellStart"/>
      <w:r w:rsidRPr="005B207E">
        <w:rPr>
          <w:rFonts w:eastAsia="Times New Roman" w:cs="Arial"/>
          <w:color w:val="000000"/>
          <w:lang w:val="en-US"/>
        </w:rPr>
        <w:t>Behcet</w:t>
      </w:r>
      <w:proofErr w:type="spellEnd"/>
      <w:r w:rsidRPr="005B207E">
        <w:rPr>
          <w:rFonts w:eastAsia="Times New Roman" w:cs="Arial"/>
          <w:color w:val="000000"/>
          <w:lang w:val="ru-RU"/>
        </w:rPr>
        <w:t xml:space="preserve">, </w:t>
      </w:r>
      <w:r w:rsidRPr="005B207E">
        <w:rPr>
          <w:rFonts w:eastAsia="Times New Roman" w:cs="Arial"/>
          <w:color w:val="000000"/>
          <w:lang w:eastAsia="bg-BG"/>
        </w:rPr>
        <w:t>хипертония, ревматоиден артрит) или допълнително</w:t>
      </w:r>
    </w:p>
    <w:p w14:paraId="534FF196" w14:textId="77777777"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 xml:space="preserve">при аневризма и дисекация на аортата (напр. съдови нарушения, напр. артериит на </w:t>
      </w:r>
      <w:proofErr w:type="spellStart"/>
      <w:r w:rsidRPr="005B207E">
        <w:rPr>
          <w:rFonts w:eastAsia="Times New Roman" w:cs="Arial"/>
          <w:color w:val="000000"/>
          <w:lang w:val="en-US"/>
        </w:rPr>
        <w:t>Takayasu</w:t>
      </w:r>
      <w:proofErr w:type="spellEnd"/>
      <w:r w:rsidRPr="005B207E">
        <w:rPr>
          <w:rFonts w:eastAsia="Times New Roman" w:cs="Arial"/>
          <w:color w:val="000000"/>
          <w:lang w:val="ru-RU"/>
        </w:rPr>
        <w:t xml:space="preserve">, </w:t>
      </w:r>
      <w:r w:rsidRPr="005B207E">
        <w:rPr>
          <w:rFonts w:eastAsia="Times New Roman" w:cs="Arial"/>
          <w:color w:val="000000"/>
          <w:lang w:eastAsia="bg-BG"/>
        </w:rPr>
        <w:t xml:space="preserve">гигантоклетъчен артериит, или известна атеросклероза или синдром на </w:t>
      </w:r>
      <w:proofErr w:type="spellStart"/>
      <w:r w:rsidRPr="005B207E">
        <w:rPr>
          <w:rFonts w:eastAsia="Times New Roman" w:cs="Arial"/>
          <w:color w:val="000000"/>
          <w:lang w:val="en-US"/>
        </w:rPr>
        <w:t>Sjogren</w:t>
      </w:r>
      <w:proofErr w:type="spellEnd"/>
      <w:r w:rsidRPr="005B207E">
        <w:rPr>
          <w:rFonts w:eastAsia="Times New Roman" w:cs="Arial"/>
          <w:color w:val="000000"/>
          <w:lang w:val="ru-RU"/>
        </w:rPr>
        <w:t xml:space="preserve">), </w:t>
      </w:r>
      <w:r w:rsidRPr="005B207E">
        <w:rPr>
          <w:rFonts w:eastAsia="Times New Roman" w:cs="Arial"/>
          <w:color w:val="000000"/>
          <w:lang w:eastAsia="bg-BG"/>
        </w:rPr>
        <w:t xml:space="preserve">или допълнително </w:t>
      </w:r>
    </w:p>
    <w:p w14:paraId="6E8F5017" w14:textId="2771C99A"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при регургитация/недостатьчност на сърдечните клапи (напр. инфекциозен ендокардит). Рискът от аневризма и дисекация на аортата и тяхното разкъсване може също да се повиши при пациенти, лекувани едновременно със системни кортикостероиди.</w:t>
      </w:r>
    </w:p>
    <w:p w14:paraId="0B006F0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В случай на внезапна болка в корема, гръдния кош или гърба пациентите трябва да бъдат посъветвани да се консултират незабавно с лекар в спешно отделение.</w:t>
      </w:r>
    </w:p>
    <w:p w14:paraId="2AAF3B87"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Пациентите трябва да бъдат посъветвани да потърсят незабавно медицинска помощ в случай на остра дисплея, поява на сърцебиене (палпитации) или развитие на оток на корема или долните крайници.</w:t>
      </w:r>
    </w:p>
    <w:p w14:paraId="7268F370" w14:textId="77777777" w:rsidR="005B207E" w:rsidRPr="005B207E" w:rsidRDefault="005B207E" w:rsidP="005B207E">
      <w:pPr>
        <w:spacing w:line="240" w:lineRule="auto"/>
        <w:rPr>
          <w:rFonts w:eastAsia="Times New Roman" w:cs="Arial"/>
          <w:color w:val="000000"/>
          <w:u w:val="single"/>
          <w:lang w:eastAsia="bg-BG"/>
        </w:rPr>
      </w:pPr>
    </w:p>
    <w:p w14:paraId="1F8B6C6F" w14:textId="3CF3DCC3"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Зрителни нарушения</w:t>
      </w:r>
    </w:p>
    <w:p w14:paraId="42CB8F4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lastRenderedPageBreak/>
        <w:t>Ако зрението се наруши или се проявят каквито и да било последици за очите, трябва да се консултирате незабавно със специалист по очни болести.</w:t>
      </w:r>
    </w:p>
    <w:p w14:paraId="7ADAEDE3" w14:textId="77777777" w:rsidR="005B207E" w:rsidRPr="005B207E" w:rsidRDefault="005B207E" w:rsidP="005B207E">
      <w:pPr>
        <w:spacing w:line="240" w:lineRule="auto"/>
        <w:rPr>
          <w:rFonts w:eastAsia="Times New Roman" w:cs="Arial"/>
          <w:color w:val="000000"/>
          <w:u w:val="single"/>
          <w:lang w:eastAsia="bg-BG"/>
        </w:rPr>
      </w:pPr>
    </w:p>
    <w:p w14:paraId="16437B8B" w14:textId="3F4FFE48"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Фоточувствителност</w:t>
      </w:r>
    </w:p>
    <w:p w14:paraId="35E74F8D"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Установено е, че ципрофлоксацин причинява реакции на фоточувствителност. Пациентите, които приемат ципрофлоксацин трябва да бъдат посъветвани да избягват директно излагане на силна слънчева светлина, както и на ултравиолетово облъчване по време на лечението (вж, точка 4.8).</w:t>
      </w:r>
    </w:p>
    <w:p w14:paraId="61060B8D" w14:textId="77777777" w:rsidR="005B207E" w:rsidRPr="005B207E" w:rsidRDefault="005B207E" w:rsidP="005B207E">
      <w:pPr>
        <w:spacing w:line="240" w:lineRule="auto"/>
        <w:rPr>
          <w:rFonts w:eastAsia="Times New Roman" w:cs="Arial"/>
          <w:color w:val="000000"/>
          <w:u w:val="single"/>
          <w:lang w:eastAsia="bg-BG"/>
        </w:rPr>
      </w:pPr>
    </w:p>
    <w:p w14:paraId="05E395B7" w14:textId="3BE52696"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Гърчове</w:t>
      </w:r>
    </w:p>
    <w:p w14:paraId="06F33785"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Известно е, че ципрофлоксацин, както други хинолони, провокира гърчове или понижава прага за поява на гърчове. Съобщава се за случаи на епилептичен статус. Ципрофлоксацин трябва да се използва с повишено внимание при пациенти с нарушения на ЦНС, които евентуално са</w:t>
      </w:r>
    </w:p>
    <w:p w14:paraId="3BA598F9"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предразположени към гърчове. При поява на гърчове лечението с ципрофлоксацин трябва да бъде преустановено (вж. точка 4.8).</w:t>
      </w:r>
    </w:p>
    <w:p w14:paraId="7D4343D6" w14:textId="3FF60FDE" w:rsidR="005B207E" w:rsidRPr="005B207E" w:rsidRDefault="005B207E" w:rsidP="005B207E">
      <w:pPr>
        <w:spacing w:line="240" w:lineRule="auto"/>
        <w:rPr>
          <w:rFonts w:eastAsia="Times New Roman" w:cs="Arial"/>
        </w:rPr>
      </w:pPr>
    </w:p>
    <w:p w14:paraId="37C79711" w14:textId="77777777"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Периферна невропатия</w:t>
      </w:r>
    </w:p>
    <w:p w14:paraId="7EFB2ECE"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флуорохинолони. Пациентите, които приемат ципрофлоксацин,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2D196078" w14:textId="77777777" w:rsidR="005B207E" w:rsidRPr="005B207E" w:rsidRDefault="005B207E" w:rsidP="005B207E">
      <w:pPr>
        <w:spacing w:line="240" w:lineRule="auto"/>
        <w:rPr>
          <w:rFonts w:eastAsia="Times New Roman" w:cs="Arial"/>
          <w:color w:val="000000"/>
          <w:u w:val="single"/>
          <w:lang w:eastAsia="bg-BG"/>
        </w:rPr>
      </w:pPr>
    </w:p>
    <w:p w14:paraId="053F878E" w14:textId="3A5D6C88"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Психични реакции</w:t>
      </w:r>
    </w:p>
    <w:p w14:paraId="714009A8"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Възможна е появата на психични реакции дори след първо прилагане на ципрофлоксацин. В редки случаи е възможно депресията или психозата да прогресират до суицидни намерения/мисли, прерастващи в опити за самоубийство или извършване на самоубийство. Ако се появят депресия, психотични реакции, мисли или поведение, свързани със самоубийство, лечението с ципрофлоксацин трябва да се преустанови.</w:t>
      </w:r>
    </w:p>
    <w:p w14:paraId="4B3FF194" w14:textId="77777777" w:rsidR="005B207E" w:rsidRPr="005B207E" w:rsidRDefault="005B207E" w:rsidP="005B207E">
      <w:pPr>
        <w:spacing w:line="240" w:lineRule="auto"/>
        <w:rPr>
          <w:rFonts w:eastAsia="Times New Roman" w:cs="Arial"/>
          <w:color w:val="000000"/>
          <w:u w:val="single"/>
          <w:lang w:eastAsia="bg-BG"/>
        </w:rPr>
      </w:pPr>
    </w:p>
    <w:p w14:paraId="40BF5F47" w14:textId="4196A4E0"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Сърдечни нарушения</w:t>
      </w:r>
    </w:p>
    <w:p w14:paraId="08B6FA57"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Трябва да се внимава с употребата на флуорохинолони, включително ципрофлоксацин, при пациенти </w:t>
      </w:r>
      <w:r w:rsidRPr="005B207E">
        <w:rPr>
          <w:rFonts w:eastAsia="Times New Roman" w:cs="Arial"/>
          <w:i/>
          <w:iCs/>
          <w:color w:val="000000"/>
          <w:lang w:eastAsia="bg-BG"/>
        </w:rPr>
        <w:t>с</w:t>
      </w:r>
      <w:r w:rsidRPr="005B207E">
        <w:rPr>
          <w:rFonts w:eastAsia="Times New Roman" w:cs="Arial"/>
          <w:color w:val="000000"/>
          <w:lang w:eastAsia="bg-BG"/>
        </w:rPr>
        <w:t xml:space="preserve"> известни рискови фактори за удължаване на </w:t>
      </w:r>
      <w:r w:rsidRPr="005B207E">
        <w:rPr>
          <w:rFonts w:eastAsia="Times New Roman" w:cs="Arial"/>
          <w:color w:val="000000"/>
          <w:lang w:val="en-US"/>
        </w:rPr>
        <w:t>QT</w:t>
      </w:r>
      <w:r w:rsidRPr="005B207E">
        <w:rPr>
          <w:rFonts w:eastAsia="Times New Roman" w:cs="Arial"/>
          <w:color w:val="000000"/>
          <w:lang w:val="ru-RU"/>
        </w:rPr>
        <w:t xml:space="preserve"> </w:t>
      </w:r>
      <w:r w:rsidRPr="005B207E">
        <w:rPr>
          <w:rFonts w:eastAsia="Times New Roman" w:cs="Arial"/>
          <w:color w:val="000000"/>
          <w:lang w:eastAsia="bg-BG"/>
        </w:rPr>
        <w:t>интервала, като например:</w:t>
      </w:r>
    </w:p>
    <w:p w14:paraId="4A6A28F7" w14:textId="77777777"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 xml:space="preserve">синдром на вродения удължен </w:t>
      </w:r>
      <w:r w:rsidRPr="005B207E">
        <w:rPr>
          <w:rFonts w:eastAsia="Times New Roman" w:cs="Arial"/>
          <w:color w:val="000000"/>
          <w:lang w:val="en-US"/>
        </w:rPr>
        <w:t>QT</w:t>
      </w:r>
      <w:r w:rsidRPr="005B207E">
        <w:rPr>
          <w:rFonts w:eastAsia="Times New Roman" w:cs="Arial"/>
          <w:color w:val="000000"/>
          <w:lang w:val="ru-RU"/>
        </w:rPr>
        <w:t xml:space="preserve"> </w:t>
      </w:r>
      <w:r w:rsidRPr="005B207E">
        <w:rPr>
          <w:rFonts w:eastAsia="Times New Roman" w:cs="Arial"/>
          <w:color w:val="000000"/>
          <w:lang w:eastAsia="bg-BG"/>
        </w:rPr>
        <w:t>интервал</w:t>
      </w:r>
    </w:p>
    <w:p w14:paraId="20C174E6" w14:textId="77777777"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 xml:space="preserve">едновременна употреба на лекарства, за които е известно, че удължават </w:t>
      </w:r>
      <w:r w:rsidRPr="005B207E">
        <w:rPr>
          <w:rFonts w:eastAsia="Times New Roman" w:cs="Arial"/>
          <w:color w:val="000000"/>
          <w:lang w:val="en-US"/>
        </w:rPr>
        <w:t>QT</w:t>
      </w:r>
      <w:r w:rsidRPr="005B207E">
        <w:rPr>
          <w:rFonts w:eastAsia="Times New Roman" w:cs="Arial"/>
          <w:color w:val="000000"/>
          <w:lang w:val="ru-RU"/>
        </w:rPr>
        <w:t xml:space="preserve"> </w:t>
      </w:r>
      <w:r w:rsidRPr="005B207E">
        <w:rPr>
          <w:rFonts w:eastAsia="Times New Roman" w:cs="Arial"/>
          <w:color w:val="000000"/>
          <w:lang w:eastAsia="bg-BG"/>
        </w:rPr>
        <w:t xml:space="preserve">интервала (напр.антиаритмични средства клас </w:t>
      </w:r>
      <w:r w:rsidRPr="005B207E">
        <w:rPr>
          <w:rFonts w:eastAsia="Times New Roman" w:cs="Arial"/>
          <w:color w:val="000000"/>
          <w:lang w:val="en-US"/>
        </w:rPr>
        <w:t>IA</w:t>
      </w:r>
      <w:r w:rsidRPr="005B207E">
        <w:rPr>
          <w:rFonts w:eastAsia="Times New Roman" w:cs="Arial"/>
          <w:color w:val="000000"/>
        </w:rPr>
        <w:t xml:space="preserve"> </w:t>
      </w:r>
      <w:r w:rsidRPr="005B207E">
        <w:rPr>
          <w:rFonts w:eastAsia="Times New Roman" w:cs="Arial"/>
          <w:color w:val="000000"/>
          <w:lang w:eastAsia="bg-BG"/>
        </w:rPr>
        <w:t xml:space="preserve">и </w:t>
      </w:r>
      <w:r w:rsidRPr="005B207E">
        <w:rPr>
          <w:rFonts w:eastAsia="Times New Roman" w:cs="Arial"/>
          <w:color w:val="000000"/>
          <w:lang w:val="en-US"/>
        </w:rPr>
        <w:t>III</w:t>
      </w:r>
      <w:r w:rsidRPr="005B207E">
        <w:rPr>
          <w:rFonts w:eastAsia="Times New Roman" w:cs="Arial"/>
          <w:color w:val="000000"/>
          <w:lang w:eastAsia="bg-BG"/>
        </w:rPr>
        <w:t xml:space="preserve">, трициклични антидепресанти, макролиди, антипсихотици) </w:t>
      </w:r>
    </w:p>
    <w:p w14:paraId="16002AB4" w14:textId="77777777"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некоригиран електролитен дисбаланс (напр. хипокалиемия, хипомагнезиемия)</w:t>
      </w:r>
    </w:p>
    <w:p w14:paraId="3CBEE741" w14:textId="38AE6908"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 xml:space="preserve"> сърдечно заболяване (напр. сърдечна недостатъчност, миокарден инфаркт, брадикардия)</w:t>
      </w:r>
    </w:p>
    <w:p w14:paraId="1B5BBD1E" w14:textId="77777777" w:rsidR="005B207E" w:rsidRPr="005B207E" w:rsidRDefault="005B207E" w:rsidP="005B207E">
      <w:pPr>
        <w:spacing w:line="240" w:lineRule="auto"/>
        <w:rPr>
          <w:rFonts w:eastAsia="Times New Roman" w:cs="Arial"/>
          <w:color w:val="000000"/>
          <w:lang w:eastAsia="bg-BG"/>
        </w:rPr>
      </w:pPr>
    </w:p>
    <w:p w14:paraId="02BA7DD0" w14:textId="1F730A38"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Пациентите в старческа възраст и жените може да бъдат по-чувствителни към лекарства, удължаващи </w:t>
      </w:r>
      <w:proofErr w:type="spellStart"/>
      <w:r w:rsidRPr="005B207E">
        <w:rPr>
          <w:rFonts w:eastAsia="Times New Roman" w:cs="Arial"/>
          <w:color w:val="000000"/>
          <w:lang w:val="en-US"/>
        </w:rPr>
        <w:t>QTc</w:t>
      </w:r>
      <w:proofErr w:type="spellEnd"/>
      <w:r w:rsidRPr="005B207E">
        <w:rPr>
          <w:rFonts w:eastAsia="Times New Roman" w:cs="Arial"/>
          <w:color w:val="000000"/>
          <w:lang w:val="ru-RU"/>
        </w:rPr>
        <w:t xml:space="preserve"> </w:t>
      </w:r>
      <w:r w:rsidRPr="005B207E">
        <w:rPr>
          <w:rFonts w:eastAsia="Times New Roman" w:cs="Arial"/>
          <w:color w:val="000000"/>
          <w:lang w:eastAsia="bg-BG"/>
        </w:rPr>
        <w:t>интервала. По тази причина трябва да се вземат мерки при използването на флуорохинолони, включително ципрофлоксацин, при тези популации.</w:t>
      </w:r>
    </w:p>
    <w:p w14:paraId="3AD1AFF2" w14:textId="77777777" w:rsidR="005B207E" w:rsidRPr="005B207E" w:rsidRDefault="005B207E" w:rsidP="005B207E">
      <w:pPr>
        <w:spacing w:line="240" w:lineRule="auto"/>
        <w:rPr>
          <w:rFonts w:eastAsia="Times New Roman" w:cs="Arial"/>
          <w:color w:val="000000"/>
          <w:lang w:eastAsia="bg-BG"/>
        </w:rPr>
      </w:pPr>
    </w:p>
    <w:p w14:paraId="477935D5" w14:textId="2972F946" w:rsidR="005B207E" w:rsidRPr="005B207E" w:rsidRDefault="005B207E" w:rsidP="005B207E">
      <w:pPr>
        <w:spacing w:line="240" w:lineRule="auto"/>
        <w:rPr>
          <w:rFonts w:eastAsia="Times New Roman" w:cs="Arial"/>
        </w:rPr>
      </w:pPr>
      <w:r w:rsidRPr="005B207E">
        <w:rPr>
          <w:rFonts w:eastAsia="Times New Roman" w:cs="Arial"/>
          <w:color w:val="000000"/>
          <w:lang w:eastAsia="bg-BG"/>
        </w:rPr>
        <w:t>(Вж. точка 4.2 Пациенти в старческа възраст, точка 4.5, точка 4.8, точка 4.9).</w:t>
      </w:r>
    </w:p>
    <w:p w14:paraId="417941F5" w14:textId="77777777" w:rsidR="005B207E" w:rsidRPr="005B207E" w:rsidRDefault="005B207E" w:rsidP="005B207E">
      <w:pPr>
        <w:spacing w:line="240" w:lineRule="auto"/>
        <w:rPr>
          <w:rFonts w:eastAsia="Times New Roman" w:cs="Arial"/>
          <w:color w:val="000000"/>
          <w:u w:val="single"/>
          <w:lang w:eastAsia="bg-BG"/>
        </w:rPr>
      </w:pPr>
    </w:p>
    <w:p w14:paraId="1012F8BD" w14:textId="6F238A30"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lastRenderedPageBreak/>
        <w:t>Дисгликемия</w:t>
      </w:r>
    </w:p>
    <w:p w14:paraId="42DD124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Какго при всички хинолони, се съобщава за нарушения в нивата на кръвната захар, включващи, какго хипогликемия, така и хипергликемия (вж. точка 4.8), обикновено при възрастни диабетици, на които се прилага съпътстваща терапия с перорални хипогликемични средства (напр. глибенкламид) или с инсулин. Съобщавани са случаи на хипогликемична кома. Препоръчва се внимателно проследяване на глюкозата в кръвта при пациенти с диабет.</w:t>
      </w:r>
    </w:p>
    <w:p w14:paraId="54DF8561" w14:textId="77777777" w:rsidR="005B207E" w:rsidRPr="005B207E" w:rsidRDefault="005B207E" w:rsidP="005B207E">
      <w:pPr>
        <w:spacing w:line="240" w:lineRule="auto"/>
        <w:rPr>
          <w:rFonts w:eastAsia="Times New Roman" w:cs="Arial"/>
          <w:color w:val="000000"/>
          <w:u w:val="single"/>
          <w:lang w:eastAsia="bg-BG"/>
        </w:rPr>
      </w:pPr>
    </w:p>
    <w:p w14:paraId="3613CAD2" w14:textId="1957B5A0"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Стомашно-чревна система</w:t>
      </w:r>
    </w:p>
    <w:p w14:paraId="3058B2A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Появата на тежка и персистираща диария по време или след лечението (включително до няколко седмици след лечението) може да показва колит, свързан с антибиотик (животозастрашаващо състояние с възможен фатален изход), който изисква незабавно лечение (вж. точка 4.8). При такива случаи лечението с ципрофлоксацин трябва незабавно да бъде преустановено и да се започне подходяща терапия. Прилагането на антиперисталтични лекарства е противопоказано в такива случаи.</w:t>
      </w:r>
    </w:p>
    <w:p w14:paraId="686DD48C" w14:textId="77777777" w:rsidR="005B207E" w:rsidRPr="005B207E" w:rsidRDefault="005B207E" w:rsidP="005B207E">
      <w:pPr>
        <w:spacing w:line="240" w:lineRule="auto"/>
        <w:rPr>
          <w:rFonts w:eastAsia="Times New Roman" w:cs="Arial"/>
          <w:color w:val="000000"/>
          <w:u w:val="single"/>
          <w:lang w:eastAsia="bg-BG"/>
        </w:rPr>
      </w:pPr>
    </w:p>
    <w:p w14:paraId="55C9AA3F" w14:textId="1E0CB44E"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Бъбречна и пикочна система</w:t>
      </w:r>
    </w:p>
    <w:p w14:paraId="349511F9"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Има съобщения за кристалурия, свързана с използването на ципрофлоксацин (вж. точка 4.8). Пациентите, получаващи ципрофлоксацин, трябва да бъдат добре хидратирани и трябва да се избягва прекадено алкализиране на урината.</w:t>
      </w:r>
    </w:p>
    <w:p w14:paraId="3F7D5099" w14:textId="77777777" w:rsidR="005B207E" w:rsidRPr="005B207E" w:rsidRDefault="005B207E" w:rsidP="005B207E">
      <w:pPr>
        <w:spacing w:line="240" w:lineRule="auto"/>
        <w:rPr>
          <w:rFonts w:eastAsia="Times New Roman" w:cs="Arial"/>
          <w:color w:val="000000"/>
          <w:u w:val="single"/>
          <w:lang w:eastAsia="bg-BG"/>
        </w:rPr>
      </w:pPr>
    </w:p>
    <w:p w14:paraId="55DF4430" w14:textId="587FF23F"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Увредена бъбречна функция</w:t>
      </w:r>
    </w:p>
    <w:p w14:paraId="5DCB83D9" w14:textId="5BBC25D0" w:rsidR="005B207E" w:rsidRPr="005B207E" w:rsidRDefault="005B207E" w:rsidP="005B207E">
      <w:pPr>
        <w:spacing w:line="240" w:lineRule="auto"/>
        <w:rPr>
          <w:rFonts w:eastAsia="Times New Roman" w:cs="Arial"/>
          <w:color w:val="000000"/>
          <w:lang w:eastAsia="bg-BG"/>
        </w:rPr>
      </w:pPr>
      <w:r w:rsidRPr="005B207E">
        <w:rPr>
          <w:rFonts w:eastAsia="Times New Roman" w:cs="Arial"/>
          <w:color w:val="000000"/>
          <w:lang w:eastAsia="bg-BG"/>
        </w:rPr>
        <w:t>Понеже ципрофлоксацин основно се екскретира непроменен чрез бъбреците, е необходима корекция на дозата при пациенти с увредена бъбречна функция, какго е описано в точка 4.2, за да се избегне</w:t>
      </w:r>
      <w:r w:rsidRPr="005B207E">
        <w:rPr>
          <w:rFonts w:eastAsia="Times New Roman" w:cs="Arial"/>
        </w:rPr>
        <w:t xml:space="preserve"> </w:t>
      </w:r>
      <w:r w:rsidRPr="005B207E">
        <w:rPr>
          <w:rFonts w:eastAsia="Times New Roman" w:cs="Arial"/>
          <w:color w:val="000000"/>
          <w:lang w:eastAsia="bg-BG"/>
        </w:rPr>
        <w:t>увеличение на нежеланите лекарствени реакции поради кумулиране на ципрофлоксацин.</w:t>
      </w:r>
    </w:p>
    <w:p w14:paraId="5C039665" w14:textId="10AD87DF" w:rsidR="005B207E" w:rsidRPr="005B207E" w:rsidRDefault="005B207E" w:rsidP="005B207E">
      <w:pPr>
        <w:spacing w:line="240" w:lineRule="auto"/>
        <w:rPr>
          <w:rFonts w:eastAsia="Times New Roman" w:cs="Arial"/>
          <w:color w:val="000000"/>
          <w:lang w:eastAsia="bg-BG"/>
        </w:rPr>
      </w:pPr>
    </w:p>
    <w:p w14:paraId="05317D92" w14:textId="77777777"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Хепатобилиарна система</w:t>
      </w:r>
    </w:p>
    <w:p w14:paraId="56AAFEDD"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Има съобщения за случаи на чернодробна некроза и животозастрашаваща чернодробна недостатъчност при лечение с ципрофлоксацин (вж. точка 4.8). Лечението трябва да бъде преустановено при поява на каквито и да било белези и симптоми на чернодробно заболяване (като анорексия, жълтеница, тъмна урина, сърбеж или болезнен корем).</w:t>
      </w:r>
    </w:p>
    <w:p w14:paraId="29A7A1A8" w14:textId="77777777" w:rsidR="005B207E" w:rsidRPr="005B207E" w:rsidRDefault="005B207E" w:rsidP="005B207E">
      <w:pPr>
        <w:spacing w:line="240" w:lineRule="auto"/>
        <w:rPr>
          <w:rFonts w:eastAsia="Times New Roman" w:cs="Arial"/>
          <w:color w:val="000000"/>
          <w:u w:val="single"/>
          <w:lang w:eastAsia="bg-BG"/>
        </w:rPr>
      </w:pPr>
    </w:p>
    <w:p w14:paraId="7900404B" w14:textId="4372E428"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Дефицит на глюкозо-6-фосфат дехидрогеназа</w:t>
      </w:r>
    </w:p>
    <w:p w14:paraId="19AF7F8D"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Съобщавани са хемолитични реакции при прилагането на ципрофлоксацин при пациенти с дефицит на глюкозо-6-фосфат дехидрогеназа. Ципрофлоксацин трябва да се избягва при тези пациенти, освен ако потенциалната полза превишава възможния риск. В този случай потенциалната поява на хемолитична реакция трябва да се мониторира.</w:t>
      </w:r>
    </w:p>
    <w:p w14:paraId="3148E01A" w14:textId="77777777" w:rsidR="005B207E" w:rsidRPr="005B207E" w:rsidRDefault="005B207E" w:rsidP="005B207E">
      <w:pPr>
        <w:spacing w:line="240" w:lineRule="auto"/>
        <w:rPr>
          <w:rFonts w:eastAsia="Times New Roman" w:cs="Arial"/>
          <w:color w:val="000000"/>
          <w:u w:val="single"/>
          <w:lang w:eastAsia="bg-BG"/>
        </w:rPr>
      </w:pPr>
    </w:p>
    <w:p w14:paraId="7CBCF2E6" w14:textId="1EF17CAE"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Резистентност</w:t>
      </w:r>
    </w:p>
    <w:p w14:paraId="77BF67F9"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По време или след курса на лечение с ципрофлоксацин може да се изолират бактерии, които показват резистентност към ципрофлоксацин със или без клинично изявена суперинфекция. Може да има особен риск от развитие на ципрофлоксацин-резистентни бактерии при удължаване на времето на лечение и когато се лекуват нозокомиални инфекции и/или инфекции, причинени от видове </w:t>
      </w:r>
      <w:r w:rsidRPr="005B207E">
        <w:rPr>
          <w:rFonts w:eastAsia="Times New Roman" w:cs="Arial"/>
          <w:i/>
          <w:iCs/>
          <w:color w:val="000000"/>
          <w:lang w:val="en-US"/>
        </w:rPr>
        <w:t>Staphylococcus</w:t>
      </w:r>
      <w:r w:rsidRPr="005B207E">
        <w:rPr>
          <w:rFonts w:eastAsia="Times New Roman" w:cs="Arial"/>
          <w:color w:val="000000"/>
          <w:lang w:val="ru-RU"/>
        </w:rPr>
        <w:t xml:space="preserve"> </w:t>
      </w:r>
      <w:r w:rsidRPr="005B207E">
        <w:rPr>
          <w:rFonts w:eastAsia="Times New Roman" w:cs="Arial"/>
          <w:color w:val="000000"/>
          <w:lang w:eastAsia="bg-BG"/>
        </w:rPr>
        <w:t xml:space="preserve">и </w:t>
      </w:r>
      <w:r w:rsidRPr="005B207E">
        <w:rPr>
          <w:rFonts w:eastAsia="Times New Roman" w:cs="Arial"/>
          <w:i/>
          <w:iCs/>
          <w:color w:val="000000"/>
          <w:lang w:val="en-US"/>
        </w:rPr>
        <w:t>Pseudomonas</w:t>
      </w:r>
      <w:r w:rsidRPr="005B207E">
        <w:rPr>
          <w:rFonts w:eastAsia="Times New Roman" w:cs="Arial"/>
          <w:i/>
          <w:iCs/>
          <w:color w:val="000000"/>
          <w:lang w:val="ru-RU"/>
        </w:rPr>
        <w:t>.</w:t>
      </w:r>
    </w:p>
    <w:p w14:paraId="0819F37E" w14:textId="77777777" w:rsidR="005B207E" w:rsidRPr="005B207E" w:rsidRDefault="005B207E" w:rsidP="005B207E">
      <w:pPr>
        <w:spacing w:line="240" w:lineRule="auto"/>
        <w:rPr>
          <w:rFonts w:eastAsia="Times New Roman" w:cs="Arial"/>
          <w:color w:val="000000"/>
          <w:u w:val="single"/>
          <w:lang w:eastAsia="bg-BG"/>
        </w:rPr>
      </w:pPr>
    </w:p>
    <w:p w14:paraId="0504B691" w14:textId="53CA0476"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Цитохром Р450</w:t>
      </w:r>
    </w:p>
    <w:p w14:paraId="20DC9CF0"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Ципрофлоксацин инхибира </w:t>
      </w:r>
      <w:r w:rsidRPr="005B207E">
        <w:rPr>
          <w:rFonts w:eastAsia="Times New Roman" w:cs="Arial"/>
          <w:color w:val="000000"/>
          <w:lang w:val="en-US"/>
        </w:rPr>
        <w:t>CYP</w:t>
      </w:r>
      <w:r w:rsidRPr="005B207E">
        <w:rPr>
          <w:rFonts w:eastAsia="Times New Roman" w:cs="Arial"/>
          <w:color w:val="000000"/>
          <w:lang w:val="ru-RU"/>
        </w:rPr>
        <w:t>1</w:t>
      </w:r>
      <w:r w:rsidRPr="005B207E">
        <w:rPr>
          <w:rFonts w:eastAsia="Times New Roman" w:cs="Arial"/>
          <w:color w:val="000000"/>
          <w:lang w:eastAsia="bg-BG"/>
        </w:rPr>
        <w:t xml:space="preserve">А2 и по този начин може да доведе до повишаване серумните концентрации на едновременно прилагани вещества, които се метаболизират от този ензим (напр. теофилин, клозапин, оланзапин, ропинирол, тизанидин, дулоксетин, агомелатин). По тази причина пациенти, приемащи такива вещества едновременно с </w:t>
      </w:r>
      <w:r w:rsidRPr="005B207E">
        <w:rPr>
          <w:rFonts w:eastAsia="Times New Roman" w:cs="Arial"/>
          <w:color w:val="000000"/>
          <w:lang w:eastAsia="bg-BG"/>
        </w:rPr>
        <w:lastRenderedPageBreak/>
        <w:t>ципрофлоксацин, трябва да бъдат внимателно наблюдавани за клинични признаци на предозиране и може да се наложи определяне на серумните им концентрации (напр. на теофилин) (вж. точка 4.5). Едновременното прилагане на ципрофлоксацин и тизанидин е противопоказано.</w:t>
      </w:r>
    </w:p>
    <w:p w14:paraId="7A03B76F" w14:textId="77777777" w:rsidR="005B207E" w:rsidRPr="005B207E" w:rsidRDefault="005B207E" w:rsidP="005B207E">
      <w:pPr>
        <w:spacing w:line="240" w:lineRule="auto"/>
        <w:rPr>
          <w:rFonts w:eastAsia="Times New Roman" w:cs="Arial"/>
          <w:color w:val="000000"/>
          <w:u w:val="single"/>
          <w:lang w:eastAsia="bg-BG"/>
        </w:rPr>
      </w:pPr>
    </w:p>
    <w:p w14:paraId="4A7D68DF" w14:textId="669EED55"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Метотрексат</w:t>
      </w:r>
    </w:p>
    <w:p w14:paraId="482D0A0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Не се препоръчва едновременното прилагане на ципрофлоксацин и метотрексат (вж. точка 4.5).</w:t>
      </w:r>
    </w:p>
    <w:p w14:paraId="6C10F727" w14:textId="77777777" w:rsidR="005B207E" w:rsidRPr="005B207E" w:rsidRDefault="005B207E" w:rsidP="005B207E">
      <w:pPr>
        <w:spacing w:line="240" w:lineRule="auto"/>
        <w:rPr>
          <w:rFonts w:eastAsia="Times New Roman" w:cs="Arial"/>
          <w:color w:val="000000"/>
          <w:u w:val="single"/>
          <w:lang w:eastAsia="bg-BG"/>
        </w:rPr>
      </w:pPr>
    </w:p>
    <w:p w14:paraId="02E59DC9" w14:textId="7BA10A31"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Повлияване на лабораторни изследвания</w:t>
      </w:r>
    </w:p>
    <w:p w14:paraId="3DE2DE3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Активността </w:t>
      </w:r>
      <w:r w:rsidRPr="005B207E">
        <w:rPr>
          <w:rFonts w:eastAsia="Times New Roman" w:cs="Arial"/>
          <w:i/>
          <w:iCs/>
          <w:color w:val="000000"/>
          <w:lang w:val="en-US"/>
        </w:rPr>
        <w:t>in</w:t>
      </w:r>
      <w:r w:rsidRPr="005B207E">
        <w:rPr>
          <w:rFonts w:eastAsia="Times New Roman" w:cs="Arial"/>
          <w:i/>
          <w:iCs/>
          <w:color w:val="000000"/>
        </w:rPr>
        <w:t xml:space="preserve"> </w:t>
      </w:r>
      <w:r w:rsidRPr="005B207E">
        <w:rPr>
          <w:rFonts w:eastAsia="Times New Roman" w:cs="Arial"/>
          <w:i/>
          <w:iCs/>
          <w:color w:val="000000"/>
          <w:lang w:val="en-US"/>
        </w:rPr>
        <w:t>vitro</w:t>
      </w:r>
      <w:r w:rsidRPr="005B207E">
        <w:rPr>
          <w:rFonts w:eastAsia="Times New Roman" w:cs="Arial"/>
          <w:color w:val="000000"/>
        </w:rPr>
        <w:t xml:space="preserve"> </w:t>
      </w:r>
      <w:r w:rsidRPr="005B207E">
        <w:rPr>
          <w:rFonts w:eastAsia="Times New Roman" w:cs="Arial"/>
          <w:color w:val="000000"/>
          <w:lang w:eastAsia="bg-BG"/>
        </w:rPr>
        <w:t xml:space="preserve">на ципрофлоксацин срещу </w:t>
      </w:r>
      <w:r w:rsidRPr="005B207E">
        <w:rPr>
          <w:rFonts w:eastAsia="Times New Roman" w:cs="Arial"/>
          <w:i/>
          <w:iCs/>
          <w:color w:val="000000"/>
          <w:lang w:val="en-US"/>
        </w:rPr>
        <w:t>Mycobacterium</w:t>
      </w:r>
      <w:r w:rsidRPr="005B207E">
        <w:rPr>
          <w:rFonts w:eastAsia="Times New Roman" w:cs="Arial"/>
          <w:i/>
          <w:iCs/>
          <w:color w:val="000000"/>
        </w:rPr>
        <w:t xml:space="preserve"> </w:t>
      </w:r>
      <w:r w:rsidRPr="005B207E">
        <w:rPr>
          <w:rFonts w:eastAsia="Times New Roman" w:cs="Arial"/>
          <w:i/>
          <w:iCs/>
          <w:color w:val="000000"/>
          <w:lang w:val="en-US"/>
        </w:rPr>
        <w:t>tuberculosis</w:t>
      </w:r>
      <w:r w:rsidRPr="005B207E">
        <w:rPr>
          <w:rFonts w:eastAsia="Times New Roman" w:cs="Arial"/>
          <w:color w:val="000000"/>
        </w:rPr>
        <w:t xml:space="preserve"> </w:t>
      </w:r>
      <w:r w:rsidRPr="005B207E">
        <w:rPr>
          <w:rFonts w:eastAsia="Times New Roman" w:cs="Arial"/>
          <w:color w:val="000000"/>
          <w:lang w:eastAsia="bg-BG"/>
        </w:rPr>
        <w:t>може да доведе до фалшиво отрицателни бактериологични резултати в проби на пациенти, които понастоящем приемат ципрофлоксацин.</w:t>
      </w:r>
    </w:p>
    <w:p w14:paraId="4CEC7A25" w14:textId="45E8FB98" w:rsidR="005B207E" w:rsidRPr="005B207E" w:rsidRDefault="005B207E" w:rsidP="005B207E"/>
    <w:p w14:paraId="62F27C9B" w14:textId="1608D83A"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C5BF306" w14:textId="1E8711BC" w:rsidR="005B207E" w:rsidRDefault="005B207E" w:rsidP="005B207E"/>
    <w:p w14:paraId="72469633" w14:textId="77777777"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Влияние на други медикаменти върху ципрофлоксацин:</w:t>
      </w:r>
    </w:p>
    <w:p w14:paraId="73E9B9C5" w14:textId="77777777" w:rsidR="005B207E" w:rsidRPr="005B207E" w:rsidRDefault="005B207E" w:rsidP="005B207E">
      <w:pPr>
        <w:spacing w:line="240" w:lineRule="auto"/>
        <w:rPr>
          <w:rFonts w:eastAsia="Times New Roman" w:cs="Arial"/>
          <w:i/>
          <w:iCs/>
          <w:color w:val="000000"/>
          <w:u w:val="single"/>
          <w:lang w:eastAsia="bg-BG"/>
        </w:rPr>
      </w:pPr>
    </w:p>
    <w:p w14:paraId="18FD1924" w14:textId="3AA5563A"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Лекарства, за които е известно, че удължават ОТ интервала</w:t>
      </w:r>
    </w:p>
    <w:p w14:paraId="40BA423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Ципрофлоксацин, какго други флуорохинолони, трябва да се използва внимателно при пациенти, получаващи лекарства, за които е известно, че удължават </w:t>
      </w:r>
      <w:r w:rsidRPr="005B207E">
        <w:rPr>
          <w:rFonts w:eastAsia="Times New Roman" w:cs="Arial"/>
          <w:color w:val="000000"/>
          <w:lang w:val="en-US"/>
        </w:rPr>
        <w:t>QT</w:t>
      </w:r>
      <w:r w:rsidRPr="005B207E">
        <w:rPr>
          <w:rFonts w:eastAsia="Times New Roman" w:cs="Arial"/>
          <w:color w:val="000000"/>
          <w:lang w:val="ru-RU"/>
        </w:rPr>
        <w:t xml:space="preserve"> </w:t>
      </w:r>
      <w:r w:rsidRPr="005B207E">
        <w:rPr>
          <w:rFonts w:eastAsia="Times New Roman" w:cs="Arial"/>
          <w:color w:val="000000"/>
          <w:lang w:eastAsia="bg-BG"/>
        </w:rPr>
        <w:t>интервала (напр. антиаритмични средства клас IА и III, трициклични антидепресанти, макролиди, антипсихотици) (вж. точка 4.4).</w:t>
      </w:r>
    </w:p>
    <w:p w14:paraId="0616FAEF" w14:textId="77777777" w:rsidR="005B207E" w:rsidRPr="005B207E" w:rsidRDefault="005B207E" w:rsidP="005B207E">
      <w:pPr>
        <w:spacing w:line="240" w:lineRule="auto"/>
        <w:rPr>
          <w:rFonts w:eastAsia="Times New Roman" w:cs="Arial"/>
          <w:i/>
          <w:iCs/>
          <w:color w:val="000000"/>
          <w:u w:val="single"/>
          <w:lang w:eastAsia="bg-BG"/>
        </w:rPr>
      </w:pPr>
    </w:p>
    <w:p w14:paraId="448BCE90" w14:textId="0F2B2AD6"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Образуване на хелатни комплекси</w:t>
      </w:r>
    </w:p>
    <w:p w14:paraId="42805130"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Едновременното прилагане на ципрофлоксацин (перорално) и поливалентни катион-съдържащи лекарства и минерални добавки (напр. калций, магнезий, алуминий, желязо), фосфат-свързващи полимери (напр. Севеламер или лантанов карбонат), сукралфат или антиацидни средства, силно буферирани лекарства (напр. таблетки диданозин), които съдържат магнезий, алуминий или калций, намаляват абсорбцията на ципрофлоксацин. По тази причина ципрофлоксацин трябва да се прилага 1-2 часа преди или поне 4 часа след тези продукти. Това ограничение не се отнася за антиацидни средства, принадлежащи към клас Н2-рецепторни блокери.</w:t>
      </w:r>
    </w:p>
    <w:p w14:paraId="482A05BE" w14:textId="77777777" w:rsidR="005B207E" w:rsidRPr="005B207E" w:rsidRDefault="005B207E" w:rsidP="005B207E">
      <w:pPr>
        <w:spacing w:line="240" w:lineRule="auto"/>
        <w:rPr>
          <w:rFonts w:eastAsia="Times New Roman" w:cs="Arial"/>
          <w:i/>
          <w:iCs/>
          <w:color w:val="000000"/>
          <w:u w:val="single"/>
          <w:lang w:eastAsia="bg-BG"/>
        </w:rPr>
      </w:pPr>
    </w:p>
    <w:p w14:paraId="4FB78756" w14:textId="15F08BA5"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Храна и млечни продукти</w:t>
      </w:r>
    </w:p>
    <w:p w14:paraId="270263CE" w14:textId="77777777" w:rsidR="005B207E" w:rsidRPr="005B207E" w:rsidRDefault="005B207E" w:rsidP="005B207E">
      <w:pPr>
        <w:rPr>
          <w:rFonts w:eastAsia="Times New Roman" w:cs="Arial"/>
        </w:rPr>
      </w:pPr>
      <w:r w:rsidRPr="005B207E">
        <w:rPr>
          <w:rFonts w:eastAsia="Times New Roman" w:cs="Arial"/>
          <w:color w:val="000000"/>
          <w:lang w:eastAsia="bg-BG"/>
        </w:rPr>
        <w:t>Калцият, съдържащ се в нормалните храни, не повлиява значимо абсорбцията. Трябва оаче да се избягва едновременният прием на млечни продукти или обогатени на минерали напитки (напр. прясно мляко, кисело мляко, обогатен на калций портокалов сок) заедно с ципрофлоксацин, защото те могат да намалят абсорбцията на ципрофлоксацин.</w:t>
      </w:r>
    </w:p>
    <w:p w14:paraId="5E626F85" w14:textId="77777777" w:rsidR="005B207E" w:rsidRPr="005B207E" w:rsidRDefault="005B207E" w:rsidP="005B207E">
      <w:pPr>
        <w:spacing w:line="240" w:lineRule="auto"/>
        <w:rPr>
          <w:rFonts w:eastAsia="Times New Roman" w:cs="Arial"/>
          <w:i/>
          <w:iCs/>
          <w:color w:val="000000"/>
          <w:u w:val="single"/>
          <w:lang w:eastAsia="bg-BG"/>
        </w:rPr>
      </w:pPr>
    </w:p>
    <w:p w14:paraId="21BBAEDA" w14:textId="072981BA"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Пробеницид</w:t>
      </w:r>
    </w:p>
    <w:p w14:paraId="382FB2F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Пробеницид повлиява бъбречната секреция на ципрофлоксацин. Едновременното приложение на пробеницид и ципрофлоксацин води до повишаване на серумната концентрация на ципрофлоксацин.</w:t>
      </w:r>
    </w:p>
    <w:p w14:paraId="6EDE7D0F" w14:textId="77777777" w:rsidR="005B207E" w:rsidRPr="005B207E" w:rsidRDefault="005B207E" w:rsidP="005B207E">
      <w:pPr>
        <w:spacing w:line="240" w:lineRule="auto"/>
        <w:rPr>
          <w:rFonts w:eastAsia="Times New Roman" w:cs="Arial"/>
          <w:i/>
          <w:iCs/>
          <w:color w:val="000000"/>
          <w:u w:val="single"/>
          <w:lang w:eastAsia="bg-BG"/>
        </w:rPr>
      </w:pPr>
    </w:p>
    <w:p w14:paraId="18F0A7E9" w14:textId="015D2EF1"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Метоклопрамид</w:t>
      </w:r>
    </w:p>
    <w:p w14:paraId="63665FBF"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Метоклопрамид ускорява абсорбцията на ципрофлоксацин (перорален), което води до съкратено време за достигане на максимални плазмени концентрации. Не се наблюдава ефект върху бионаличностга на ципрофлоксацин.</w:t>
      </w:r>
    </w:p>
    <w:p w14:paraId="42E0C487" w14:textId="77777777" w:rsidR="005B207E" w:rsidRPr="005B207E" w:rsidRDefault="005B207E" w:rsidP="005B207E">
      <w:pPr>
        <w:spacing w:line="240" w:lineRule="auto"/>
        <w:rPr>
          <w:rFonts w:eastAsia="Times New Roman" w:cs="Arial"/>
          <w:i/>
          <w:iCs/>
          <w:color w:val="000000"/>
          <w:u w:val="single"/>
          <w:lang w:eastAsia="bg-BG"/>
        </w:rPr>
      </w:pPr>
    </w:p>
    <w:p w14:paraId="697414E0" w14:textId="68709A6A"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Омепразол</w:t>
      </w:r>
    </w:p>
    <w:p w14:paraId="2551C432"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Едновременното приложение на ципрофлоксацин и лекарства, съдържащи омепразол, води до леко намаление на Стах и </w:t>
      </w:r>
      <w:r w:rsidRPr="005B207E">
        <w:rPr>
          <w:rFonts w:eastAsia="Times New Roman" w:cs="Arial"/>
          <w:color w:val="000000"/>
          <w:lang w:val="en-US"/>
        </w:rPr>
        <w:t>AUC</w:t>
      </w:r>
      <w:r w:rsidRPr="005B207E">
        <w:rPr>
          <w:rFonts w:eastAsia="Times New Roman" w:cs="Arial"/>
          <w:color w:val="000000"/>
          <w:lang w:val="ru-RU"/>
        </w:rPr>
        <w:t xml:space="preserve"> </w:t>
      </w:r>
      <w:r w:rsidRPr="005B207E">
        <w:rPr>
          <w:rFonts w:eastAsia="Times New Roman" w:cs="Arial"/>
          <w:color w:val="000000"/>
          <w:lang w:eastAsia="bg-BG"/>
        </w:rPr>
        <w:t>на ципрофлоксацин.</w:t>
      </w:r>
    </w:p>
    <w:p w14:paraId="0BC69564" w14:textId="77777777" w:rsidR="005B207E" w:rsidRPr="005B207E" w:rsidRDefault="005B207E" w:rsidP="005B207E">
      <w:pPr>
        <w:spacing w:line="240" w:lineRule="auto"/>
        <w:rPr>
          <w:rFonts w:eastAsia="Times New Roman" w:cs="Arial"/>
          <w:color w:val="000000"/>
          <w:u w:val="single"/>
          <w:lang w:eastAsia="bg-BG"/>
        </w:rPr>
      </w:pPr>
    </w:p>
    <w:p w14:paraId="4CE07E71" w14:textId="43E037B9"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Ефекти на ципрофлоксацин върху други лекарствени продукти:</w:t>
      </w:r>
    </w:p>
    <w:p w14:paraId="19817995" w14:textId="77777777" w:rsidR="005B207E" w:rsidRPr="005B207E" w:rsidRDefault="005B207E" w:rsidP="005B207E">
      <w:pPr>
        <w:spacing w:line="240" w:lineRule="auto"/>
        <w:rPr>
          <w:rFonts w:eastAsia="Times New Roman" w:cs="Arial"/>
          <w:i/>
          <w:iCs/>
          <w:color w:val="000000"/>
          <w:u w:val="single"/>
          <w:lang w:eastAsia="bg-BG"/>
        </w:rPr>
      </w:pPr>
    </w:p>
    <w:p w14:paraId="5B5F8B71" w14:textId="5C5DE75B"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Тизанидин</w:t>
      </w:r>
    </w:p>
    <w:p w14:paraId="7B755872"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Тизанидин не трябва да се прилага едновременно с ципрофлоксацин (вж. точка 4.3). При едно клинично проучване върху здрави индивиди е установено повишаване на серумната концентрация на тизанидин (нарастване на Стах: 7 пъти, интервал: 4 до 21 пъти; увеличаване на </w:t>
      </w:r>
      <w:r w:rsidRPr="005B207E">
        <w:rPr>
          <w:rFonts w:eastAsia="Times New Roman" w:cs="Arial"/>
          <w:color w:val="000000"/>
          <w:lang w:val="en-US"/>
        </w:rPr>
        <w:t>AUC</w:t>
      </w:r>
      <w:r w:rsidRPr="005B207E">
        <w:rPr>
          <w:rFonts w:eastAsia="Times New Roman" w:cs="Arial"/>
          <w:color w:val="000000"/>
          <w:lang w:val="ru-RU"/>
        </w:rPr>
        <w:t xml:space="preserve">: </w:t>
      </w:r>
      <w:r w:rsidRPr="005B207E">
        <w:rPr>
          <w:rFonts w:eastAsia="Times New Roman" w:cs="Arial"/>
          <w:color w:val="000000"/>
          <w:lang w:eastAsia="bg-BG"/>
        </w:rPr>
        <w:t>10 пъти, интервал: 6 до 24 пъти) при едновременно прилагане с ципрофлоксацин. Повишената серумна концентрация на тизанидин е свързана със засилен хипотензивен и седативен ефект.</w:t>
      </w:r>
    </w:p>
    <w:p w14:paraId="11A78CA9" w14:textId="77777777" w:rsidR="005B207E" w:rsidRPr="005B207E" w:rsidRDefault="005B207E" w:rsidP="005B207E">
      <w:pPr>
        <w:spacing w:line="240" w:lineRule="auto"/>
        <w:rPr>
          <w:rFonts w:eastAsia="Times New Roman" w:cs="Arial"/>
          <w:i/>
          <w:iCs/>
          <w:color w:val="000000"/>
          <w:u w:val="single"/>
          <w:lang w:eastAsia="bg-BG"/>
        </w:rPr>
      </w:pPr>
    </w:p>
    <w:p w14:paraId="5FCF0AEB" w14:textId="172215B5"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Метотрексат</w:t>
      </w:r>
    </w:p>
    <w:p w14:paraId="24E2BCCE"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Бъбречният тубулен транспорт на метотрексат може да бъде потиснат при едновременно прилагане на ципрофлоксацин, което потенциално води до повишени плазмени нива на метотрексат и повишен риск от токсични реакции, свързани с метотрексат. Едновременното използване не се препоръчва (вж, точка 4.4).</w:t>
      </w:r>
    </w:p>
    <w:p w14:paraId="1FCE368E" w14:textId="77777777" w:rsidR="005B207E" w:rsidRPr="005B207E" w:rsidRDefault="005B207E" w:rsidP="005B207E">
      <w:pPr>
        <w:spacing w:line="240" w:lineRule="auto"/>
        <w:rPr>
          <w:rFonts w:eastAsia="Times New Roman" w:cs="Arial"/>
          <w:i/>
          <w:iCs/>
          <w:color w:val="000000"/>
          <w:u w:val="single"/>
          <w:lang w:eastAsia="bg-BG"/>
        </w:rPr>
      </w:pPr>
    </w:p>
    <w:p w14:paraId="2971DFBD" w14:textId="63CBE2F1"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Теофилин</w:t>
      </w:r>
    </w:p>
    <w:p w14:paraId="10A11248"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Едновременното прилагане на ципрофлоксацин и теофилин може да доведе до нежелано повишаване на серумната концентрация на теофилин. Това може да доведе до нежелани реакции, свързани с теофилин, които в редки случаи е възможно да са животозастрашаващи или фатални. При едновремена употреба трябва да се проверяват серумните концентрации на теофилин и, ако е необходимо, дозата му да се редуцира (вж. точка 4.4).</w:t>
      </w:r>
    </w:p>
    <w:p w14:paraId="0780322A" w14:textId="77777777" w:rsidR="005B207E" w:rsidRPr="005B207E" w:rsidRDefault="005B207E" w:rsidP="005B207E">
      <w:pPr>
        <w:spacing w:line="240" w:lineRule="auto"/>
        <w:rPr>
          <w:rFonts w:eastAsia="Times New Roman" w:cs="Arial"/>
          <w:i/>
          <w:iCs/>
          <w:color w:val="000000"/>
          <w:u w:val="single"/>
          <w:lang w:eastAsia="bg-BG"/>
        </w:rPr>
      </w:pPr>
    </w:p>
    <w:p w14:paraId="0E47059D" w14:textId="450FBADB"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Други ксантинови производни</w:t>
      </w:r>
    </w:p>
    <w:p w14:paraId="55AF0704"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При едновременното прилагане на ципрофлоксацин и кофеин или пентоксифилин (окспентифилин) има съобщения за повишени серумни концентрации на тези ксантинови производни.</w:t>
      </w:r>
    </w:p>
    <w:p w14:paraId="16B1045D" w14:textId="77777777" w:rsidR="005B207E" w:rsidRPr="005B207E" w:rsidRDefault="005B207E" w:rsidP="005B207E">
      <w:pPr>
        <w:spacing w:line="240" w:lineRule="auto"/>
        <w:rPr>
          <w:rFonts w:eastAsia="Times New Roman" w:cs="Arial"/>
          <w:i/>
          <w:iCs/>
          <w:color w:val="000000"/>
          <w:u w:val="single"/>
          <w:lang w:eastAsia="bg-BG"/>
        </w:rPr>
      </w:pPr>
    </w:p>
    <w:p w14:paraId="36ACFA06" w14:textId="5C111720"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Фенитоин</w:t>
      </w:r>
    </w:p>
    <w:p w14:paraId="25007C4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Едновременното прилагане на ципрофлоксацин и фенитоин може да доведе до повишени или понижени серумни нива на фенитоин, поради което се препоръчва мониториране на лекарствените нива.</w:t>
      </w:r>
    </w:p>
    <w:p w14:paraId="663C479F" w14:textId="77777777" w:rsidR="005B207E" w:rsidRPr="005B207E" w:rsidRDefault="005B207E" w:rsidP="005B207E">
      <w:pPr>
        <w:spacing w:line="240" w:lineRule="auto"/>
        <w:rPr>
          <w:rFonts w:eastAsia="Times New Roman" w:cs="Arial"/>
          <w:i/>
          <w:iCs/>
          <w:color w:val="000000"/>
          <w:u w:val="single"/>
          <w:lang w:eastAsia="bg-BG"/>
        </w:rPr>
      </w:pPr>
    </w:p>
    <w:p w14:paraId="1EAD00FF" w14:textId="2001202E"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Циклоспорин</w:t>
      </w:r>
    </w:p>
    <w:p w14:paraId="6E0BEF8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Наблюдава се преходно повишение на концентрацията на серумния креатинин, когато ципрофлоксацин и лекарства, съдържащи циклоспорин, се прилагат едновременно. Поради това често (два пъти седмично) се налага да се контролират концентрациите на серумния креатинин при тези пациенти.</w:t>
      </w:r>
    </w:p>
    <w:p w14:paraId="2911500A" w14:textId="77777777" w:rsidR="005B207E" w:rsidRPr="005B207E" w:rsidRDefault="005B207E" w:rsidP="005B207E">
      <w:pPr>
        <w:spacing w:line="240" w:lineRule="auto"/>
        <w:rPr>
          <w:rFonts w:eastAsia="Times New Roman" w:cs="Arial"/>
          <w:i/>
          <w:iCs/>
          <w:color w:val="000000"/>
          <w:u w:val="single"/>
          <w:lang w:eastAsia="bg-BG"/>
        </w:rPr>
      </w:pPr>
    </w:p>
    <w:p w14:paraId="5AF022E5" w14:textId="31948078"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Антагонисти на витамин К</w:t>
      </w:r>
    </w:p>
    <w:p w14:paraId="49778EE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Едновременното прилагане на ципрофлоксацин с антагонист на витамин К може да доведе до повишаване на антикоагулантните му ефекти. Рискът може да варира в зависимост от основното</w:t>
      </w:r>
    </w:p>
    <w:p w14:paraId="2BAA7DD6" w14:textId="77777777" w:rsidR="005B207E" w:rsidRPr="005B207E" w:rsidRDefault="005B207E" w:rsidP="005B207E">
      <w:pPr>
        <w:rPr>
          <w:rFonts w:eastAsia="Times New Roman" w:cs="Arial"/>
        </w:rPr>
      </w:pPr>
      <w:r w:rsidRPr="005B207E">
        <w:rPr>
          <w:rFonts w:eastAsia="Times New Roman" w:cs="Arial"/>
          <w:color w:val="000000"/>
          <w:lang w:eastAsia="bg-BG"/>
        </w:rPr>
        <w:t xml:space="preserve">заболяване, възрастта и общия статус на пациента, така че приносът на ципрофлоксацин за увеличаване на </w:t>
      </w:r>
      <w:r w:rsidRPr="005B207E">
        <w:rPr>
          <w:rFonts w:eastAsia="Times New Roman" w:cs="Arial"/>
          <w:color w:val="000000"/>
          <w:lang w:val="en-US"/>
        </w:rPr>
        <w:t>INR</w:t>
      </w:r>
      <w:r w:rsidRPr="005B207E">
        <w:rPr>
          <w:rFonts w:eastAsia="Times New Roman" w:cs="Arial"/>
          <w:color w:val="000000"/>
          <w:lang w:val="ru-RU"/>
        </w:rPr>
        <w:t xml:space="preserve"> </w:t>
      </w:r>
      <w:r w:rsidRPr="005B207E">
        <w:rPr>
          <w:rFonts w:eastAsia="Times New Roman" w:cs="Arial"/>
          <w:color w:val="000000"/>
          <w:lang w:eastAsia="bg-BG"/>
        </w:rPr>
        <w:t xml:space="preserve">(международно нормализирано съотношение) е трудно да се </w:t>
      </w:r>
      <w:r w:rsidRPr="005B207E">
        <w:rPr>
          <w:rFonts w:eastAsia="Times New Roman" w:cs="Arial"/>
          <w:color w:val="000000"/>
          <w:lang w:eastAsia="bg-BG"/>
        </w:rPr>
        <w:lastRenderedPageBreak/>
        <w:t xml:space="preserve">оцени. </w:t>
      </w:r>
      <w:r w:rsidRPr="005B207E">
        <w:rPr>
          <w:rFonts w:eastAsia="Times New Roman" w:cs="Arial"/>
          <w:color w:val="000000"/>
          <w:lang w:val="en-US"/>
        </w:rPr>
        <w:t>INR</w:t>
      </w:r>
      <w:r w:rsidRPr="005B207E">
        <w:rPr>
          <w:rFonts w:eastAsia="Times New Roman" w:cs="Arial"/>
          <w:color w:val="000000"/>
          <w:lang w:val="ru-RU"/>
        </w:rPr>
        <w:t xml:space="preserve"> </w:t>
      </w:r>
      <w:r w:rsidRPr="005B207E">
        <w:rPr>
          <w:rFonts w:eastAsia="Times New Roman" w:cs="Arial"/>
          <w:color w:val="000000"/>
          <w:lang w:eastAsia="bg-BG"/>
        </w:rPr>
        <w:t>трябва често да се мониторира по време и непосредствено след едновременното приложение на ципрофлоксацин с антагонист на витамин К (напр. варфарин, аценокумарол, фенпрокумон или флуиндион).</w:t>
      </w:r>
    </w:p>
    <w:p w14:paraId="3F3CE618" w14:textId="77777777" w:rsidR="005B207E" w:rsidRPr="005B207E" w:rsidRDefault="005B207E" w:rsidP="005B207E">
      <w:pPr>
        <w:spacing w:line="240" w:lineRule="auto"/>
        <w:rPr>
          <w:rFonts w:eastAsia="Times New Roman" w:cs="Arial"/>
          <w:i/>
          <w:iCs/>
          <w:color w:val="000000"/>
          <w:u w:val="single"/>
          <w:lang w:eastAsia="bg-BG"/>
        </w:rPr>
      </w:pPr>
    </w:p>
    <w:p w14:paraId="46AA5182" w14:textId="55808A0D"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Дулоксетин</w:t>
      </w:r>
    </w:p>
    <w:p w14:paraId="0F05CF1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В клинични проучвания е доказано, че едновременната употреба на дулоксетин с мощни инхибитори на </w:t>
      </w:r>
      <w:r w:rsidRPr="005B207E">
        <w:rPr>
          <w:rFonts w:eastAsia="Times New Roman" w:cs="Arial"/>
          <w:color w:val="000000"/>
          <w:lang w:val="en-US"/>
        </w:rPr>
        <w:t>CYP</w:t>
      </w:r>
      <w:r w:rsidRPr="005B207E">
        <w:rPr>
          <w:rFonts w:eastAsia="Times New Roman" w:cs="Arial"/>
          <w:color w:val="000000"/>
          <w:lang w:val="ru-RU"/>
        </w:rPr>
        <w:t xml:space="preserve">450 </w:t>
      </w:r>
      <w:r w:rsidRPr="005B207E">
        <w:rPr>
          <w:rFonts w:eastAsia="Times New Roman" w:cs="Arial"/>
          <w:color w:val="000000"/>
          <w:lang w:eastAsia="bg-BG"/>
        </w:rPr>
        <w:t xml:space="preserve">1А2 изоензим, като флувоксамин, може да доведе до повишаване на </w:t>
      </w:r>
      <w:r w:rsidRPr="005B207E">
        <w:rPr>
          <w:rFonts w:eastAsia="Times New Roman" w:cs="Arial"/>
          <w:color w:val="000000"/>
          <w:lang w:val="en-US"/>
        </w:rPr>
        <w:t>AUC</w:t>
      </w:r>
      <w:r w:rsidRPr="005B207E">
        <w:rPr>
          <w:rFonts w:eastAsia="Times New Roman" w:cs="Arial"/>
          <w:color w:val="000000"/>
          <w:lang w:val="ru-RU"/>
        </w:rPr>
        <w:t xml:space="preserve"> </w:t>
      </w:r>
      <w:r w:rsidRPr="005B207E">
        <w:rPr>
          <w:rFonts w:eastAsia="Times New Roman" w:cs="Arial"/>
          <w:color w:val="000000"/>
          <w:lang w:eastAsia="bg-BG"/>
        </w:rPr>
        <w:t>и Стах на дулоксетин. Въпреки че не са налични клинични данни за възможно взаимодействие с ципрофлоксацин, подобни ефекта може да се очакват при едновременно приложение (вж. точка 4.4).</w:t>
      </w:r>
    </w:p>
    <w:p w14:paraId="19276E4B" w14:textId="77777777" w:rsidR="005B207E" w:rsidRPr="005B207E" w:rsidRDefault="005B207E" w:rsidP="005B207E">
      <w:pPr>
        <w:spacing w:line="240" w:lineRule="auto"/>
        <w:rPr>
          <w:rFonts w:eastAsia="Times New Roman" w:cs="Arial"/>
          <w:i/>
          <w:iCs/>
          <w:color w:val="000000"/>
          <w:u w:val="single"/>
          <w:lang w:eastAsia="bg-BG"/>
        </w:rPr>
      </w:pPr>
    </w:p>
    <w:p w14:paraId="6CE70158" w14:textId="1E540A9A"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Ропинирол</w:t>
      </w:r>
    </w:p>
    <w:p w14:paraId="752B7232"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При едно клинично проучване е установено, че едновременното прилагане на ропинирол и ципрофлоксацин, умерен инхибитор на изоензим </w:t>
      </w:r>
      <w:r w:rsidRPr="005B207E">
        <w:rPr>
          <w:rFonts w:eastAsia="Times New Roman" w:cs="Arial"/>
          <w:color w:val="000000"/>
          <w:lang w:val="en-US"/>
        </w:rPr>
        <w:t>CYP</w:t>
      </w:r>
      <w:r w:rsidRPr="005B207E">
        <w:rPr>
          <w:rFonts w:eastAsia="Times New Roman" w:cs="Arial"/>
          <w:color w:val="000000"/>
          <w:lang w:val="ru-RU"/>
        </w:rPr>
        <w:t xml:space="preserve">450 </w:t>
      </w:r>
      <w:r w:rsidRPr="005B207E">
        <w:rPr>
          <w:rFonts w:eastAsia="Times New Roman" w:cs="Arial"/>
          <w:color w:val="000000"/>
          <w:lang w:eastAsia="bg-BG"/>
        </w:rPr>
        <w:t>1А2, води до повишаване на С</w:t>
      </w:r>
      <w:r w:rsidRPr="005B207E">
        <w:rPr>
          <w:rFonts w:eastAsia="Times New Roman" w:cs="Arial"/>
          <w:color w:val="000000"/>
          <w:vertAlign w:val="subscript"/>
          <w:lang w:val="en-US"/>
        </w:rPr>
        <w:t>max</w:t>
      </w:r>
      <w:r w:rsidRPr="005B207E">
        <w:rPr>
          <w:rFonts w:eastAsia="Times New Roman" w:cs="Arial"/>
          <w:color w:val="000000"/>
          <w:lang w:eastAsia="bg-BG"/>
        </w:rPr>
        <w:t xml:space="preserve"> и </w:t>
      </w:r>
      <w:r w:rsidRPr="005B207E">
        <w:rPr>
          <w:rFonts w:eastAsia="Times New Roman" w:cs="Arial"/>
          <w:color w:val="000000"/>
          <w:lang w:val="en-US"/>
        </w:rPr>
        <w:t>AUC</w:t>
      </w:r>
      <w:r w:rsidRPr="005B207E">
        <w:rPr>
          <w:rFonts w:eastAsia="Times New Roman" w:cs="Arial"/>
          <w:color w:val="000000"/>
          <w:lang w:val="ru-RU"/>
        </w:rPr>
        <w:t xml:space="preserve"> </w:t>
      </w:r>
      <w:r w:rsidRPr="005B207E">
        <w:rPr>
          <w:rFonts w:eastAsia="Times New Roman" w:cs="Arial"/>
          <w:color w:val="000000"/>
          <w:lang w:eastAsia="bg-BG"/>
        </w:rPr>
        <w:t>за ропинирол съответно с 60 % и 84 %. Препоръчва се мониториране на нежеланите реакции, свързани с ропинирол и съответно коригиране на дозата по време и непосредствено след едновременното прилагане с ципрофлоксацин (вж. точка 4.4).</w:t>
      </w:r>
    </w:p>
    <w:p w14:paraId="720FF190" w14:textId="77777777" w:rsidR="005B207E" w:rsidRPr="005B207E" w:rsidRDefault="005B207E" w:rsidP="005B207E">
      <w:pPr>
        <w:spacing w:line="240" w:lineRule="auto"/>
        <w:rPr>
          <w:rFonts w:eastAsia="Times New Roman" w:cs="Arial"/>
          <w:i/>
          <w:iCs/>
          <w:color w:val="000000"/>
          <w:u w:val="single"/>
          <w:lang w:eastAsia="bg-BG"/>
        </w:rPr>
      </w:pPr>
    </w:p>
    <w:p w14:paraId="1EC8D14A" w14:textId="18BEFD81"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Лидокаин</w:t>
      </w:r>
    </w:p>
    <w:p w14:paraId="1911D7B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Доказано е при здрави доброволци, че едновременната употреба на лекарства, съдържащи лидокаин, с ципрофлоксацин, умерен инхибитор на </w:t>
      </w:r>
      <w:r w:rsidRPr="005B207E">
        <w:rPr>
          <w:rFonts w:eastAsia="Times New Roman" w:cs="Arial"/>
          <w:color w:val="000000"/>
          <w:lang w:val="en-US"/>
        </w:rPr>
        <w:t>CYP</w:t>
      </w:r>
      <w:r w:rsidRPr="005B207E">
        <w:rPr>
          <w:rFonts w:eastAsia="Times New Roman" w:cs="Arial"/>
          <w:color w:val="000000"/>
          <w:lang w:val="ru-RU"/>
        </w:rPr>
        <w:t xml:space="preserve">450 </w:t>
      </w:r>
      <w:r w:rsidRPr="005B207E">
        <w:rPr>
          <w:rFonts w:eastAsia="Times New Roman" w:cs="Arial"/>
          <w:color w:val="000000"/>
          <w:lang w:eastAsia="bg-BG"/>
        </w:rPr>
        <w:t>1А2 изоензим, намалява клирънса на интравенозния лидокаин с 22 %. Въпреки че лечението с лидокаин се понася добре, възможно взаимодействие с ципрофлоксацин, свързано с нежелани реакции, може да се прояви при едновременно приложение.</w:t>
      </w:r>
    </w:p>
    <w:p w14:paraId="374282EE" w14:textId="77777777" w:rsidR="005B207E" w:rsidRPr="005B207E" w:rsidRDefault="005B207E" w:rsidP="005B207E">
      <w:pPr>
        <w:spacing w:line="240" w:lineRule="auto"/>
        <w:rPr>
          <w:rFonts w:eastAsia="Times New Roman" w:cs="Arial"/>
          <w:i/>
          <w:iCs/>
          <w:color w:val="000000"/>
          <w:u w:val="single"/>
          <w:lang w:eastAsia="bg-BG"/>
        </w:rPr>
      </w:pPr>
    </w:p>
    <w:p w14:paraId="5C8DDE39" w14:textId="68B307E3"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Клозапин</w:t>
      </w:r>
    </w:p>
    <w:p w14:paraId="499320E0"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След едновременно прилагане на 250 </w:t>
      </w:r>
      <w:r w:rsidRPr="005B207E">
        <w:rPr>
          <w:rFonts w:eastAsia="Times New Roman" w:cs="Arial"/>
          <w:color w:val="000000"/>
          <w:lang w:val="en-US"/>
        </w:rPr>
        <w:t>mg</w:t>
      </w:r>
      <w:r w:rsidRPr="005B207E">
        <w:rPr>
          <w:rFonts w:eastAsia="Times New Roman" w:cs="Arial"/>
          <w:color w:val="000000"/>
          <w:lang w:val="ru-RU"/>
        </w:rPr>
        <w:t xml:space="preserve"> </w:t>
      </w:r>
      <w:r w:rsidRPr="005B207E">
        <w:rPr>
          <w:rFonts w:eastAsia="Times New Roman" w:cs="Arial"/>
          <w:color w:val="000000"/>
          <w:lang w:eastAsia="bg-BG"/>
        </w:rPr>
        <w:t xml:space="preserve">ципрофлоксацин с клозапин в продължение на 7 дни серумните концентрации на клозапин и </w:t>
      </w:r>
      <w:r w:rsidRPr="005B207E">
        <w:rPr>
          <w:rFonts w:eastAsia="Times New Roman" w:cs="Arial"/>
          <w:color w:val="000000"/>
          <w:lang w:val="en-US"/>
        </w:rPr>
        <w:t>N</w:t>
      </w:r>
      <w:r w:rsidRPr="005B207E">
        <w:rPr>
          <w:rFonts w:eastAsia="Times New Roman" w:cs="Arial"/>
          <w:color w:val="000000"/>
          <w:lang w:eastAsia="bg-BG"/>
        </w:rPr>
        <w:t>-деметилклозапин са повишени съответно с 29 % и 31 %. Препоръчва се клинично проследяване и съответно коригиране на дозата на клозапин по време и непосредствено след едновременното прилагане с ципрофлоксацин (вж. точка 4.4).</w:t>
      </w:r>
    </w:p>
    <w:p w14:paraId="29FB47B9" w14:textId="77777777" w:rsidR="005B207E" w:rsidRPr="005B207E" w:rsidRDefault="005B207E" w:rsidP="005B207E">
      <w:pPr>
        <w:spacing w:line="240" w:lineRule="auto"/>
        <w:rPr>
          <w:rFonts w:eastAsia="Times New Roman" w:cs="Arial"/>
          <w:i/>
          <w:iCs/>
          <w:color w:val="000000"/>
          <w:u w:val="single"/>
          <w:lang w:eastAsia="bg-BG"/>
        </w:rPr>
      </w:pPr>
    </w:p>
    <w:p w14:paraId="2C6107FE" w14:textId="0DA5BAC8"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Силденафил</w:t>
      </w:r>
    </w:p>
    <w:p w14:paraId="217C7437"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Стах и </w:t>
      </w:r>
      <w:r w:rsidRPr="005B207E">
        <w:rPr>
          <w:rFonts w:eastAsia="Times New Roman" w:cs="Arial"/>
          <w:color w:val="000000"/>
          <w:lang w:val="en-US"/>
        </w:rPr>
        <w:t>AUC</w:t>
      </w:r>
      <w:r w:rsidRPr="005B207E">
        <w:rPr>
          <w:rFonts w:eastAsia="Times New Roman" w:cs="Arial"/>
          <w:color w:val="000000"/>
          <w:lang w:val="ru-RU"/>
        </w:rPr>
        <w:t xml:space="preserve"> </w:t>
      </w:r>
      <w:r w:rsidRPr="005B207E">
        <w:rPr>
          <w:rFonts w:eastAsia="Times New Roman" w:cs="Arial"/>
          <w:color w:val="000000"/>
          <w:lang w:eastAsia="bg-BG"/>
        </w:rPr>
        <w:t xml:space="preserve">на силденафил са се увеличили приблизително двукратно при здрави доброволци след перорална доза от 50 </w:t>
      </w:r>
      <w:r w:rsidRPr="005B207E">
        <w:rPr>
          <w:rFonts w:eastAsia="Times New Roman" w:cs="Arial"/>
          <w:color w:val="000000"/>
          <w:lang w:val="en-US"/>
        </w:rPr>
        <w:t>mg</w:t>
      </w:r>
      <w:r w:rsidRPr="005B207E">
        <w:rPr>
          <w:rFonts w:eastAsia="Times New Roman" w:cs="Arial"/>
          <w:color w:val="000000"/>
          <w:lang w:val="ru-RU"/>
        </w:rPr>
        <w:t xml:space="preserve">, </w:t>
      </w:r>
      <w:r w:rsidRPr="005B207E">
        <w:rPr>
          <w:rFonts w:eastAsia="Times New Roman" w:cs="Arial"/>
          <w:color w:val="000000"/>
          <w:lang w:eastAsia="bg-BG"/>
        </w:rPr>
        <w:t xml:space="preserve">дадена едновременно с 500 </w:t>
      </w:r>
      <w:r w:rsidRPr="005B207E">
        <w:rPr>
          <w:rFonts w:eastAsia="Times New Roman" w:cs="Arial"/>
          <w:color w:val="000000"/>
          <w:lang w:val="en-US"/>
        </w:rPr>
        <w:t>mg</w:t>
      </w:r>
      <w:r w:rsidRPr="005B207E">
        <w:rPr>
          <w:rFonts w:eastAsia="Times New Roman" w:cs="Arial"/>
          <w:color w:val="000000"/>
          <w:lang w:val="ru-RU"/>
        </w:rPr>
        <w:t xml:space="preserve"> </w:t>
      </w:r>
      <w:r w:rsidRPr="005B207E">
        <w:rPr>
          <w:rFonts w:eastAsia="Times New Roman" w:cs="Arial"/>
          <w:color w:val="000000"/>
          <w:lang w:eastAsia="bg-BG"/>
        </w:rPr>
        <w:t>ципрофлоксацин. По тази причина трябва да се внимава, когато се предписва ципрофлоксацин едновременно със силденафил, отчитайки възможните рискове и ползи.</w:t>
      </w:r>
    </w:p>
    <w:p w14:paraId="718A6192" w14:textId="77777777" w:rsidR="005B207E" w:rsidRPr="005B207E" w:rsidRDefault="005B207E" w:rsidP="005B207E">
      <w:pPr>
        <w:spacing w:line="240" w:lineRule="auto"/>
        <w:rPr>
          <w:rFonts w:eastAsia="Times New Roman" w:cs="Arial"/>
          <w:i/>
          <w:iCs/>
          <w:color w:val="000000"/>
          <w:u w:val="single"/>
          <w:lang w:eastAsia="bg-BG"/>
        </w:rPr>
      </w:pPr>
    </w:p>
    <w:p w14:paraId="3E832CC2" w14:textId="27FB5F79"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Агомелатин</w:t>
      </w:r>
    </w:p>
    <w:p w14:paraId="4958F2F5"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В клинични проучвания е доказано, че флувоксамин, като мощен инхибитор на </w:t>
      </w:r>
      <w:r w:rsidRPr="005B207E">
        <w:rPr>
          <w:rFonts w:eastAsia="Times New Roman" w:cs="Arial"/>
          <w:color w:val="000000"/>
          <w:lang w:val="en-US"/>
        </w:rPr>
        <w:t>CYP</w:t>
      </w:r>
      <w:r w:rsidRPr="005B207E">
        <w:rPr>
          <w:rFonts w:eastAsia="Times New Roman" w:cs="Arial"/>
          <w:color w:val="000000"/>
          <w:lang w:val="ru-RU"/>
        </w:rPr>
        <w:t xml:space="preserve">450 </w:t>
      </w:r>
      <w:r w:rsidRPr="005B207E">
        <w:rPr>
          <w:rFonts w:eastAsia="Times New Roman" w:cs="Arial"/>
          <w:color w:val="000000"/>
          <w:lang w:eastAsia="bg-BG"/>
        </w:rPr>
        <w:t xml:space="preserve">1А2 изоензим, подчертано инхибира метаболизма на агомелатин, което води до 60-кратно увеличение на експозицията на агомелатин. Въпреки че не са налични клинични данни за възможно взаимодействие с ципрофлоксацин, умерен инхибитор на </w:t>
      </w:r>
      <w:r w:rsidRPr="005B207E">
        <w:rPr>
          <w:rFonts w:eastAsia="Times New Roman" w:cs="Arial"/>
          <w:color w:val="000000"/>
          <w:lang w:val="en-US"/>
        </w:rPr>
        <w:t>CYP</w:t>
      </w:r>
      <w:r w:rsidRPr="005B207E">
        <w:rPr>
          <w:rFonts w:eastAsia="Times New Roman" w:cs="Arial"/>
          <w:color w:val="000000"/>
          <w:lang w:val="ru-RU"/>
        </w:rPr>
        <w:t xml:space="preserve">450 </w:t>
      </w:r>
      <w:r w:rsidRPr="005B207E">
        <w:rPr>
          <w:rFonts w:eastAsia="Times New Roman" w:cs="Arial"/>
          <w:color w:val="000000"/>
          <w:lang w:eastAsia="bg-BG"/>
        </w:rPr>
        <w:t>1А2, подобни ефекти може да се очакват при едновременно приложение (виж "цитохром Р450" в точка 4.4).</w:t>
      </w:r>
    </w:p>
    <w:p w14:paraId="521D65B0" w14:textId="77777777" w:rsidR="005B207E" w:rsidRPr="005B207E" w:rsidRDefault="005B207E" w:rsidP="005B207E">
      <w:pPr>
        <w:spacing w:line="240" w:lineRule="auto"/>
        <w:rPr>
          <w:rFonts w:eastAsia="Times New Roman" w:cs="Arial"/>
          <w:i/>
          <w:iCs/>
          <w:color w:val="000000"/>
          <w:u w:val="single"/>
          <w:lang w:eastAsia="bg-BG"/>
        </w:rPr>
      </w:pPr>
    </w:p>
    <w:p w14:paraId="746D6ABB" w14:textId="64CE1C37"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Золпидем</w:t>
      </w:r>
    </w:p>
    <w:p w14:paraId="24A47DF3"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Едновременното прилагане на ципрофлоксацин може да повиши нивото на золпидем в кръвта, едновременната употреба не се препоръчва.</w:t>
      </w:r>
    </w:p>
    <w:p w14:paraId="0AB2C483" w14:textId="18385E4F" w:rsidR="005B207E" w:rsidRPr="005B207E" w:rsidRDefault="005B207E" w:rsidP="005B207E">
      <w:pPr>
        <w:spacing w:line="240" w:lineRule="auto"/>
        <w:rPr>
          <w:rFonts w:ascii="Times New Roman" w:eastAsia="Times New Roman" w:hAnsi="Times New Roman" w:cs="Times New Roman"/>
          <w:sz w:val="24"/>
          <w:szCs w:val="24"/>
        </w:rPr>
      </w:pPr>
    </w:p>
    <w:p w14:paraId="3EC02A25" w14:textId="6888BE70" w:rsidR="005B207E" w:rsidRPr="005B207E" w:rsidRDefault="005B207E" w:rsidP="005B207E"/>
    <w:p w14:paraId="006BE4EC" w14:textId="1F8C1822" w:rsidR="00DB32D3" w:rsidRDefault="002C50EE" w:rsidP="005726E3">
      <w:pPr>
        <w:pStyle w:val="Heading2"/>
      </w:pPr>
      <w:r>
        <w:t>4.6. Фертилитет, бременност и кърмене</w:t>
      </w:r>
    </w:p>
    <w:p w14:paraId="5C868D91" w14:textId="30F1DCE0" w:rsidR="005B207E" w:rsidRDefault="005B207E" w:rsidP="005B207E"/>
    <w:p w14:paraId="60BE7D11" w14:textId="77777777" w:rsidR="005B207E" w:rsidRPr="005B207E" w:rsidRDefault="005B207E" w:rsidP="005B207E">
      <w:pPr>
        <w:pStyle w:val="Heading3"/>
        <w:rPr>
          <w:rFonts w:eastAsia="Times New Roman"/>
          <w:u w:val="single"/>
        </w:rPr>
      </w:pPr>
      <w:r w:rsidRPr="005B207E">
        <w:rPr>
          <w:rFonts w:eastAsia="Times New Roman"/>
          <w:u w:val="single"/>
          <w:lang w:eastAsia="bg-BG"/>
        </w:rPr>
        <w:t>Бременност</w:t>
      </w:r>
    </w:p>
    <w:p w14:paraId="49B3581D" w14:textId="1720ACE9" w:rsidR="005B207E" w:rsidRPr="005B207E" w:rsidRDefault="005B207E" w:rsidP="005B207E">
      <w:pPr>
        <w:rPr>
          <w:rFonts w:eastAsia="Times New Roman" w:cs="Arial"/>
          <w:color w:val="000000"/>
          <w:lang w:eastAsia="bg-BG"/>
        </w:rPr>
      </w:pPr>
      <w:r w:rsidRPr="005B207E">
        <w:rPr>
          <w:rFonts w:eastAsia="Times New Roman" w:cs="Arial"/>
          <w:color w:val="000000"/>
          <w:lang w:eastAsia="bg-BG"/>
        </w:rPr>
        <w:t>Наличните данни за прилагането на ципрофлоксацин при бременни жени не показват малформации или фето/неонатална токсичност на ципрофлоксацин. Проучванията при животни не  показват директни или индиректни увреждащи ефекти по отношение на репродуктивната токсичност. При млади и при неродени животни с експозиция на хинолони са наблюдавани ефекти върху незрелия хрущял, поради това не може да се изключи възможността лекарството да причини увреждания на ставния хрущял при незавършил развитието си човешки организъм/фетус (вж. точка 5.3).</w:t>
      </w:r>
    </w:p>
    <w:p w14:paraId="5B96274E" w14:textId="2A6ED22D" w:rsidR="005B207E" w:rsidRPr="005B207E" w:rsidRDefault="005B207E" w:rsidP="005B207E">
      <w:pPr>
        <w:rPr>
          <w:rFonts w:eastAsia="Times New Roman" w:cs="Arial"/>
          <w:color w:val="000000"/>
          <w:lang w:eastAsia="bg-BG"/>
        </w:rPr>
      </w:pPr>
    </w:p>
    <w:p w14:paraId="2335DDD4"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Като предпазна мярка е за предпочитане да се избягва използването на ципрофлоксацин по време на бременност.</w:t>
      </w:r>
    </w:p>
    <w:p w14:paraId="3939585A" w14:textId="77777777" w:rsidR="005B207E" w:rsidRPr="005B207E" w:rsidRDefault="005B207E" w:rsidP="005B207E">
      <w:pPr>
        <w:spacing w:line="240" w:lineRule="auto"/>
        <w:rPr>
          <w:rFonts w:eastAsia="Times New Roman" w:cs="Arial"/>
          <w:color w:val="000000"/>
          <w:u w:val="single"/>
          <w:lang w:eastAsia="bg-BG"/>
        </w:rPr>
      </w:pPr>
    </w:p>
    <w:p w14:paraId="648BC95B" w14:textId="034CED54" w:rsidR="005B207E" w:rsidRPr="005B207E" w:rsidRDefault="005B207E" w:rsidP="005B207E">
      <w:pPr>
        <w:pStyle w:val="Heading3"/>
        <w:rPr>
          <w:rFonts w:eastAsia="Times New Roman"/>
          <w:u w:val="single"/>
        </w:rPr>
      </w:pPr>
      <w:r w:rsidRPr="005B207E">
        <w:rPr>
          <w:rFonts w:eastAsia="Times New Roman"/>
          <w:u w:val="single"/>
          <w:lang w:eastAsia="bg-BG"/>
        </w:rPr>
        <w:t>Кърмене</w:t>
      </w:r>
    </w:p>
    <w:p w14:paraId="61B8A2DD"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Ципрофлоксацин се екскретира в кърмата. Поради потенциалния риск от увреждане на ставния хрущял ципрофлоксацин не трябва да се използва по време на кърмене.</w:t>
      </w:r>
    </w:p>
    <w:p w14:paraId="7881BEF8" w14:textId="77777777" w:rsidR="005B207E" w:rsidRPr="005B207E" w:rsidRDefault="005B207E" w:rsidP="005B207E"/>
    <w:p w14:paraId="128BA3A8" w14:textId="773AB6F5" w:rsidR="00DB32D3" w:rsidRDefault="002C50EE" w:rsidP="005726E3">
      <w:pPr>
        <w:pStyle w:val="Heading2"/>
      </w:pPr>
      <w:r>
        <w:t>4.7. Ефекти върху способността за шофиране и работа с машини</w:t>
      </w:r>
    </w:p>
    <w:p w14:paraId="2289D116" w14:textId="1C270B0B" w:rsidR="005B207E" w:rsidRDefault="005B207E" w:rsidP="005B207E"/>
    <w:p w14:paraId="302D9EB1" w14:textId="77777777" w:rsidR="005B207E" w:rsidRPr="005B207E" w:rsidRDefault="005B207E" w:rsidP="005B207E">
      <w:pPr>
        <w:rPr>
          <w:sz w:val="24"/>
          <w:szCs w:val="24"/>
        </w:rPr>
      </w:pPr>
      <w:r w:rsidRPr="005B207E">
        <w:rPr>
          <w:lang w:eastAsia="bg-BG"/>
        </w:rPr>
        <w:t>Поради неврологичните си ефекти ципрофлоксацин може да повлияе времето за реакция. По тази причина способността за шофиране и работа с машини може да е нарушена.</w:t>
      </w:r>
    </w:p>
    <w:p w14:paraId="20DF5481" w14:textId="77777777" w:rsidR="005B207E" w:rsidRPr="005B207E" w:rsidRDefault="005B207E" w:rsidP="005B207E"/>
    <w:p w14:paraId="44CE30A3" w14:textId="612DC1CB" w:rsidR="007122AD" w:rsidRDefault="002C50EE" w:rsidP="00936AD0">
      <w:pPr>
        <w:pStyle w:val="Heading2"/>
      </w:pPr>
      <w:r>
        <w:t>4.8. Нежелани лекарствени реакции</w:t>
      </w:r>
    </w:p>
    <w:p w14:paraId="33706C41" w14:textId="7AF5B57A" w:rsidR="005B207E" w:rsidRDefault="005B207E" w:rsidP="005B207E"/>
    <w:p w14:paraId="4A97C6A0" w14:textId="77777777" w:rsidR="005B207E" w:rsidRPr="005B207E" w:rsidRDefault="005B207E" w:rsidP="005B207E">
      <w:pPr>
        <w:rPr>
          <w:sz w:val="24"/>
          <w:szCs w:val="24"/>
        </w:rPr>
      </w:pPr>
      <w:r w:rsidRPr="005B207E">
        <w:rPr>
          <w:lang w:eastAsia="bg-BG"/>
        </w:rPr>
        <w:t>Най-често съобщаваните нежелани лекарствени реакции (НЛР) са гадене и диария.</w:t>
      </w:r>
    </w:p>
    <w:p w14:paraId="68489480" w14:textId="77777777" w:rsidR="005B207E" w:rsidRDefault="005B207E" w:rsidP="005B207E">
      <w:pPr>
        <w:rPr>
          <w:lang w:eastAsia="bg-BG"/>
        </w:rPr>
      </w:pPr>
    </w:p>
    <w:p w14:paraId="3BABD140" w14:textId="49875805" w:rsidR="005B207E" w:rsidRPr="005B207E" w:rsidRDefault="005B207E" w:rsidP="005B207E">
      <w:pPr>
        <w:rPr>
          <w:sz w:val="24"/>
          <w:szCs w:val="24"/>
        </w:rPr>
      </w:pPr>
      <w:r w:rsidRPr="005B207E">
        <w:rPr>
          <w:lang w:eastAsia="bg-BG"/>
        </w:rPr>
        <w:t>По-долу са представени данните за НЛР за Ципробай от клиничните проучвания и пост- маркетинговото наблюдение (перорална, интравенозна и секвенциална терапия), подредени по честота. Анализът на честотата включва данните за перорално и интравенозно приложение на ципрофлоксацин.</w:t>
      </w:r>
    </w:p>
    <w:p w14:paraId="3F400E8B" w14:textId="4375E6CA" w:rsidR="005B207E" w:rsidRDefault="005B207E" w:rsidP="005B207E"/>
    <w:tbl>
      <w:tblPr>
        <w:tblStyle w:val="TableGrid"/>
        <w:tblW w:w="0" w:type="auto"/>
        <w:tblLook w:val="04A0" w:firstRow="1" w:lastRow="0" w:firstColumn="1" w:lastColumn="0" w:noHBand="0" w:noVBand="1"/>
      </w:tblPr>
      <w:tblGrid>
        <w:gridCol w:w="1802"/>
        <w:gridCol w:w="884"/>
        <w:gridCol w:w="1623"/>
        <w:gridCol w:w="1655"/>
        <w:gridCol w:w="1713"/>
        <w:gridCol w:w="1673"/>
      </w:tblGrid>
      <w:tr w:rsidR="005B207E" w14:paraId="601B681E" w14:textId="77777777" w:rsidTr="008D71FA">
        <w:tc>
          <w:tcPr>
            <w:tcW w:w="1848" w:type="dxa"/>
          </w:tcPr>
          <w:p w14:paraId="71826524" w14:textId="521F468B" w:rsidR="005B207E" w:rsidRPr="005B207E" w:rsidRDefault="005B207E" w:rsidP="005B207E">
            <w:r w:rsidRPr="005B207E">
              <w:rPr>
                <w:b/>
                <w:bCs/>
                <w:szCs w:val="20"/>
              </w:rPr>
              <w:t>Системо-органна класификация</w:t>
            </w:r>
          </w:p>
        </w:tc>
        <w:tc>
          <w:tcPr>
            <w:tcW w:w="902" w:type="dxa"/>
          </w:tcPr>
          <w:p w14:paraId="14E22840" w14:textId="77777777" w:rsidR="005B207E" w:rsidRPr="005B207E" w:rsidRDefault="005B207E" w:rsidP="005B207E">
            <w:r w:rsidRPr="005B207E">
              <w:rPr>
                <w:b/>
                <w:bCs/>
                <w:szCs w:val="20"/>
              </w:rPr>
              <w:t>Чести</w:t>
            </w:r>
          </w:p>
          <w:p w14:paraId="432EEC5A" w14:textId="77777777" w:rsidR="005B207E" w:rsidRPr="005B207E" w:rsidRDefault="005B207E" w:rsidP="005B207E">
            <w:r w:rsidRPr="005B207E">
              <w:rPr>
                <w:szCs w:val="20"/>
              </w:rPr>
              <w:t>≥1/100 до</w:t>
            </w:r>
          </w:p>
          <w:p w14:paraId="326EF9E2" w14:textId="7A2E0F02" w:rsidR="005B207E" w:rsidRPr="005B207E" w:rsidRDefault="005B207E" w:rsidP="005B207E">
            <w:r w:rsidRPr="005B207E">
              <w:rPr>
                <w:szCs w:val="20"/>
              </w:rPr>
              <w:t>&lt;1/10</w:t>
            </w:r>
          </w:p>
        </w:tc>
        <w:tc>
          <w:tcPr>
            <w:tcW w:w="1663" w:type="dxa"/>
          </w:tcPr>
          <w:p w14:paraId="5402C985" w14:textId="77777777" w:rsidR="005B207E" w:rsidRPr="005B207E" w:rsidRDefault="005B207E" w:rsidP="005B207E">
            <w:r w:rsidRPr="005B207E">
              <w:rPr>
                <w:b/>
                <w:bCs/>
                <w:szCs w:val="20"/>
              </w:rPr>
              <w:t>Нечести</w:t>
            </w:r>
          </w:p>
          <w:p w14:paraId="09F9CEA8" w14:textId="77777777" w:rsidR="005B207E" w:rsidRPr="005B207E" w:rsidRDefault="005B207E" w:rsidP="005B207E">
            <w:r w:rsidRPr="005B207E">
              <w:rPr>
                <w:szCs w:val="20"/>
              </w:rPr>
              <w:t>≥1/1000 до</w:t>
            </w:r>
          </w:p>
          <w:p w14:paraId="66752AD7" w14:textId="4F79C69E" w:rsidR="005B207E" w:rsidRPr="005B207E" w:rsidRDefault="005B207E" w:rsidP="005B207E">
            <w:r w:rsidRPr="005B207E">
              <w:rPr>
                <w:szCs w:val="20"/>
              </w:rPr>
              <w:t>&lt;1/100</w:t>
            </w:r>
          </w:p>
        </w:tc>
        <w:tc>
          <w:tcPr>
            <w:tcW w:w="1695" w:type="dxa"/>
          </w:tcPr>
          <w:p w14:paraId="0DC56F19" w14:textId="77777777" w:rsidR="005B207E" w:rsidRPr="005B207E" w:rsidRDefault="005B207E" w:rsidP="005B207E">
            <w:r w:rsidRPr="005B207E">
              <w:rPr>
                <w:b/>
                <w:bCs/>
                <w:szCs w:val="20"/>
              </w:rPr>
              <w:t>Редки</w:t>
            </w:r>
          </w:p>
          <w:p w14:paraId="6A43C16F" w14:textId="77777777" w:rsidR="005B207E" w:rsidRPr="005B207E" w:rsidRDefault="005B207E" w:rsidP="005B207E">
            <w:r w:rsidRPr="005B207E">
              <w:rPr>
                <w:szCs w:val="20"/>
              </w:rPr>
              <w:t>≥1/10000 до</w:t>
            </w:r>
          </w:p>
          <w:p w14:paraId="37F96ED8" w14:textId="4460B7BC" w:rsidR="005B207E" w:rsidRPr="005B207E" w:rsidRDefault="005B207E" w:rsidP="005B207E">
            <w:r w:rsidRPr="005B207E">
              <w:rPr>
                <w:szCs w:val="20"/>
              </w:rPr>
              <w:t>&lt;1/1000</w:t>
            </w:r>
          </w:p>
        </w:tc>
        <w:tc>
          <w:tcPr>
            <w:tcW w:w="1755" w:type="dxa"/>
          </w:tcPr>
          <w:p w14:paraId="4D757D2A" w14:textId="77777777" w:rsidR="005B207E" w:rsidRPr="005B207E" w:rsidRDefault="005B207E" w:rsidP="005B207E">
            <w:r w:rsidRPr="005B207E">
              <w:rPr>
                <w:b/>
                <w:bCs/>
                <w:szCs w:val="20"/>
              </w:rPr>
              <w:t>Много редки</w:t>
            </w:r>
          </w:p>
          <w:p w14:paraId="771E2E28" w14:textId="2F4F943E" w:rsidR="005B207E" w:rsidRPr="005B207E" w:rsidRDefault="005B207E" w:rsidP="005B207E">
            <w:r w:rsidRPr="005B207E">
              <w:rPr>
                <w:szCs w:val="20"/>
              </w:rPr>
              <w:t>&lt;1/10000</w:t>
            </w:r>
          </w:p>
        </w:tc>
        <w:tc>
          <w:tcPr>
            <w:tcW w:w="1713" w:type="dxa"/>
            <w:vAlign w:val="bottom"/>
          </w:tcPr>
          <w:p w14:paraId="5BDD9EA1" w14:textId="1AF6DC27" w:rsidR="005B207E" w:rsidRPr="005B207E" w:rsidRDefault="005B207E" w:rsidP="005B207E">
            <w:r w:rsidRPr="005B207E">
              <w:rPr>
                <w:b/>
                <w:bCs/>
                <w:szCs w:val="20"/>
              </w:rPr>
              <w:t>С неизвестна честота (от наличните данни не може да бъде направена оценка)</w:t>
            </w:r>
          </w:p>
        </w:tc>
      </w:tr>
      <w:tr w:rsidR="005B207E" w14:paraId="4B47404D" w14:textId="77777777" w:rsidTr="008D71FA">
        <w:tc>
          <w:tcPr>
            <w:tcW w:w="1848" w:type="dxa"/>
            <w:vAlign w:val="bottom"/>
          </w:tcPr>
          <w:p w14:paraId="16763ABE" w14:textId="0B687E8A" w:rsidR="005B207E" w:rsidRPr="005B207E" w:rsidRDefault="005B207E" w:rsidP="005B207E">
            <w:r w:rsidRPr="005B207E">
              <w:rPr>
                <w:b/>
                <w:bCs/>
                <w:szCs w:val="20"/>
              </w:rPr>
              <w:t>Инфекции и инфестации</w:t>
            </w:r>
          </w:p>
        </w:tc>
        <w:tc>
          <w:tcPr>
            <w:tcW w:w="902" w:type="dxa"/>
          </w:tcPr>
          <w:p w14:paraId="50B83775" w14:textId="77777777" w:rsidR="005B207E" w:rsidRPr="005B207E" w:rsidRDefault="005B207E" w:rsidP="005B207E"/>
        </w:tc>
        <w:tc>
          <w:tcPr>
            <w:tcW w:w="1663" w:type="dxa"/>
            <w:vAlign w:val="bottom"/>
          </w:tcPr>
          <w:p w14:paraId="46345254" w14:textId="42CB3AB7" w:rsidR="005B207E" w:rsidRPr="005B207E" w:rsidRDefault="005B207E" w:rsidP="005B207E">
            <w:r w:rsidRPr="005B207E">
              <w:rPr>
                <w:szCs w:val="20"/>
              </w:rPr>
              <w:t>Микотични суперинфекции</w:t>
            </w:r>
          </w:p>
        </w:tc>
        <w:tc>
          <w:tcPr>
            <w:tcW w:w="1695" w:type="dxa"/>
          </w:tcPr>
          <w:p w14:paraId="60473DA6" w14:textId="77777777" w:rsidR="005B207E" w:rsidRPr="005B207E" w:rsidRDefault="005B207E" w:rsidP="005B207E"/>
        </w:tc>
        <w:tc>
          <w:tcPr>
            <w:tcW w:w="1755" w:type="dxa"/>
          </w:tcPr>
          <w:p w14:paraId="2815010B" w14:textId="77777777" w:rsidR="005B207E" w:rsidRPr="005B207E" w:rsidRDefault="005B207E" w:rsidP="005B207E"/>
        </w:tc>
        <w:tc>
          <w:tcPr>
            <w:tcW w:w="1713" w:type="dxa"/>
          </w:tcPr>
          <w:p w14:paraId="48D5C083" w14:textId="77777777" w:rsidR="005B207E" w:rsidRPr="005B207E" w:rsidRDefault="005B207E" w:rsidP="005B207E"/>
        </w:tc>
      </w:tr>
      <w:tr w:rsidR="005B207E" w14:paraId="6619E76E" w14:textId="77777777" w:rsidTr="008D71FA">
        <w:tc>
          <w:tcPr>
            <w:tcW w:w="1848" w:type="dxa"/>
          </w:tcPr>
          <w:p w14:paraId="077A943B" w14:textId="09985C5F" w:rsidR="005B207E" w:rsidRPr="005B207E" w:rsidRDefault="005B207E" w:rsidP="005B207E">
            <w:r w:rsidRPr="005B207E">
              <w:rPr>
                <w:b/>
                <w:bCs/>
                <w:szCs w:val="20"/>
              </w:rPr>
              <w:lastRenderedPageBreak/>
              <w:t>Нарушения на кръвта и лимфната система</w:t>
            </w:r>
          </w:p>
        </w:tc>
        <w:tc>
          <w:tcPr>
            <w:tcW w:w="902" w:type="dxa"/>
          </w:tcPr>
          <w:p w14:paraId="04954F23" w14:textId="77777777" w:rsidR="005B207E" w:rsidRPr="005B207E" w:rsidRDefault="005B207E" w:rsidP="005B207E"/>
        </w:tc>
        <w:tc>
          <w:tcPr>
            <w:tcW w:w="1663" w:type="dxa"/>
          </w:tcPr>
          <w:p w14:paraId="6F09B1ED" w14:textId="351C4C7A" w:rsidR="005B207E" w:rsidRPr="005B207E" w:rsidRDefault="005B207E" w:rsidP="005B207E">
            <w:r w:rsidRPr="005B207E">
              <w:rPr>
                <w:szCs w:val="20"/>
              </w:rPr>
              <w:t>Еозинофилия</w:t>
            </w:r>
          </w:p>
        </w:tc>
        <w:tc>
          <w:tcPr>
            <w:tcW w:w="1695" w:type="dxa"/>
          </w:tcPr>
          <w:p w14:paraId="61FBC47C" w14:textId="19AEC55B" w:rsidR="005B207E" w:rsidRPr="005B207E" w:rsidRDefault="005B207E" w:rsidP="005B207E">
            <w:r w:rsidRPr="005B207E">
              <w:rPr>
                <w:szCs w:val="20"/>
              </w:rPr>
              <w:t>Левкопения Анемия Неутропения Левкоцитоза Тромбоцитопе ния Тромбоцитеми я</w:t>
            </w:r>
          </w:p>
        </w:tc>
        <w:tc>
          <w:tcPr>
            <w:tcW w:w="1755" w:type="dxa"/>
            <w:vAlign w:val="bottom"/>
          </w:tcPr>
          <w:p w14:paraId="12ADBEC3" w14:textId="60D5F026" w:rsidR="005B207E" w:rsidRPr="005B207E" w:rsidRDefault="005B207E" w:rsidP="005B207E">
            <w:r w:rsidRPr="005B207E">
              <w:rPr>
                <w:szCs w:val="20"/>
              </w:rPr>
              <w:t>Хемолитична анемия Агранулоцитоз а Панцитопения (животозастра- шаваща) Потискане на костния мозък (животозастра- шаващо)</w:t>
            </w:r>
          </w:p>
        </w:tc>
        <w:tc>
          <w:tcPr>
            <w:tcW w:w="1713" w:type="dxa"/>
          </w:tcPr>
          <w:p w14:paraId="2E7C0007" w14:textId="77777777" w:rsidR="005B207E" w:rsidRPr="005B207E" w:rsidRDefault="005B207E" w:rsidP="005B207E"/>
        </w:tc>
      </w:tr>
      <w:tr w:rsidR="005B207E" w14:paraId="3CA22684" w14:textId="77777777" w:rsidTr="008D71FA">
        <w:tc>
          <w:tcPr>
            <w:tcW w:w="1848" w:type="dxa"/>
          </w:tcPr>
          <w:p w14:paraId="0AD04D77" w14:textId="0A6AD593" w:rsidR="005B207E" w:rsidRPr="005B207E" w:rsidRDefault="005B207E" w:rsidP="005B207E">
            <w:r w:rsidRPr="005B207E">
              <w:rPr>
                <w:b/>
                <w:bCs/>
                <w:szCs w:val="20"/>
              </w:rPr>
              <w:t>Нарушения на имунната система</w:t>
            </w:r>
          </w:p>
        </w:tc>
        <w:tc>
          <w:tcPr>
            <w:tcW w:w="902" w:type="dxa"/>
          </w:tcPr>
          <w:p w14:paraId="74389449" w14:textId="77777777" w:rsidR="005B207E" w:rsidRPr="005B207E" w:rsidRDefault="005B207E" w:rsidP="005B207E"/>
        </w:tc>
        <w:tc>
          <w:tcPr>
            <w:tcW w:w="1663" w:type="dxa"/>
          </w:tcPr>
          <w:p w14:paraId="399DAE5B" w14:textId="77777777" w:rsidR="005B207E" w:rsidRPr="005B207E" w:rsidRDefault="005B207E" w:rsidP="005B207E"/>
        </w:tc>
        <w:tc>
          <w:tcPr>
            <w:tcW w:w="1695" w:type="dxa"/>
          </w:tcPr>
          <w:p w14:paraId="71369A05" w14:textId="3F900DDE" w:rsidR="005B207E" w:rsidRPr="005B207E" w:rsidRDefault="005B207E" w:rsidP="005B207E">
            <w:r w:rsidRPr="005B207E">
              <w:rPr>
                <w:szCs w:val="20"/>
              </w:rPr>
              <w:t>Алергична реакция Алергичен оток / ангиоедем</w:t>
            </w:r>
          </w:p>
        </w:tc>
        <w:tc>
          <w:tcPr>
            <w:tcW w:w="1755" w:type="dxa"/>
            <w:vAlign w:val="bottom"/>
          </w:tcPr>
          <w:p w14:paraId="56BF9E29" w14:textId="1470D099" w:rsidR="005B207E" w:rsidRPr="005B207E" w:rsidRDefault="005B207E" w:rsidP="005B207E">
            <w:r w:rsidRPr="005B207E">
              <w:rPr>
                <w:szCs w:val="20"/>
              </w:rPr>
              <w:t>Анафилактичн а реакция Анафилактиче н шок (живото- застрашаващ) (вж. точка 4.4) Реакции, наподобяващи серумна болест</w:t>
            </w:r>
          </w:p>
        </w:tc>
        <w:tc>
          <w:tcPr>
            <w:tcW w:w="1713" w:type="dxa"/>
          </w:tcPr>
          <w:p w14:paraId="10237DEA" w14:textId="77777777" w:rsidR="005B207E" w:rsidRPr="005B207E" w:rsidRDefault="005B207E" w:rsidP="005B207E"/>
        </w:tc>
      </w:tr>
      <w:tr w:rsidR="005B207E" w14:paraId="37E1AAEF" w14:textId="77777777" w:rsidTr="008D71FA">
        <w:tc>
          <w:tcPr>
            <w:tcW w:w="1848" w:type="dxa"/>
          </w:tcPr>
          <w:p w14:paraId="33AC6BBF" w14:textId="46FF33FB" w:rsidR="005B207E" w:rsidRPr="005B207E" w:rsidRDefault="005B207E" w:rsidP="005B207E">
            <w:r w:rsidRPr="005B207E">
              <w:rPr>
                <w:b/>
                <w:bCs/>
                <w:szCs w:val="20"/>
              </w:rPr>
              <w:t>Нарушения на ендокринната система</w:t>
            </w:r>
          </w:p>
        </w:tc>
        <w:tc>
          <w:tcPr>
            <w:tcW w:w="902" w:type="dxa"/>
          </w:tcPr>
          <w:p w14:paraId="78AE5766" w14:textId="77777777" w:rsidR="005B207E" w:rsidRPr="005B207E" w:rsidRDefault="005B207E" w:rsidP="005B207E"/>
        </w:tc>
        <w:tc>
          <w:tcPr>
            <w:tcW w:w="1663" w:type="dxa"/>
          </w:tcPr>
          <w:p w14:paraId="535BDC2A" w14:textId="77777777" w:rsidR="005B207E" w:rsidRPr="005B207E" w:rsidRDefault="005B207E" w:rsidP="005B207E"/>
        </w:tc>
        <w:tc>
          <w:tcPr>
            <w:tcW w:w="1695" w:type="dxa"/>
          </w:tcPr>
          <w:p w14:paraId="061A17B2" w14:textId="77777777" w:rsidR="005B207E" w:rsidRPr="005B207E" w:rsidRDefault="005B207E" w:rsidP="005B207E"/>
        </w:tc>
        <w:tc>
          <w:tcPr>
            <w:tcW w:w="1755" w:type="dxa"/>
            <w:vAlign w:val="bottom"/>
          </w:tcPr>
          <w:p w14:paraId="320BB260" w14:textId="4779F914" w:rsidR="005B207E" w:rsidRPr="005B207E" w:rsidRDefault="005B207E" w:rsidP="005B207E">
            <w:r w:rsidRPr="005B207E">
              <w:rPr>
                <w:szCs w:val="20"/>
              </w:rPr>
              <w:tab/>
            </w:r>
          </w:p>
        </w:tc>
        <w:tc>
          <w:tcPr>
            <w:tcW w:w="1713" w:type="dxa"/>
          </w:tcPr>
          <w:p w14:paraId="2D554663" w14:textId="77777777" w:rsidR="005B207E" w:rsidRPr="005B207E" w:rsidRDefault="005B207E" w:rsidP="005B207E">
            <w:r w:rsidRPr="005B207E">
              <w:rPr>
                <w:szCs w:val="20"/>
              </w:rPr>
              <w:t>Синдром на неадекватна секреция на</w:t>
            </w:r>
          </w:p>
          <w:p w14:paraId="3B7A20CD" w14:textId="77777777" w:rsidR="005B207E" w:rsidRPr="005B207E" w:rsidRDefault="005B207E" w:rsidP="005B207E">
            <w:r w:rsidRPr="005B207E">
              <w:rPr>
                <w:szCs w:val="20"/>
              </w:rPr>
              <w:t>антидиуретичен</w:t>
            </w:r>
          </w:p>
          <w:p w14:paraId="57493455" w14:textId="77777777" w:rsidR="005B207E" w:rsidRPr="005B207E" w:rsidRDefault="005B207E" w:rsidP="005B207E">
            <w:r w:rsidRPr="005B207E">
              <w:rPr>
                <w:szCs w:val="20"/>
              </w:rPr>
              <w:t>хормон</w:t>
            </w:r>
          </w:p>
          <w:p w14:paraId="05C6D4E3" w14:textId="2E69953E" w:rsidR="005B207E" w:rsidRPr="005B207E" w:rsidRDefault="005B207E" w:rsidP="005B207E">
            <w:r w:rsidRPr="005B207E">
              <w:rPr>
                <w:szCs w:val="20"/>
              </w:rPr>
              <w:t>(</w:t>
            </w:r>
            <w:r w:rsidRPr="005B207E">
              <w:rPr>
                <w:szCs w:val="20"/>
                <w:lang w:val="en-US"/>
              </w:rPr>
              <w:t>SIADH)</w:t>
            </w:r>
          </w:p>
        </w:tc>
      </w:tr>
      <w:tr w:rsidR="005B207E" w14:paraId="597E9E10" w14:textId="77777777" w:rsidTr="008D71FA">
        <w:tc>
          <w:tcPr>
            <w:tcW w:w="1848" w:type="dxa"/>
            <w:vAlign w:val="bottom"/>
          </w:tcPr>
          <w:p w14:paraId="0EC12983" w14:textId="77777777" w:rsidR="005B207E" w:rsidRPr="005B207E" w:rsidRDefault="005B207E" w:rsidP="005B207E">
            <w:r w:rsidRPr="005B207E">
              <w:rPr>
                <w:b/>
                <w:bCs/>
                <w:szCs w:val="20"/>
              </w:rPr>
              <w:t>Нарушения на метаболизма и</w:t>
            </w:r>
          </w:p>
          <w:p w14:paraId="67675B94" w14:textId="23623965" w:rsidR="005B207E" w:rsidRPr="005B207E" w:rsidRDefault="005B207E" w:rsidP="005B207E">
            <w:r w:rsidRPr="005B207E">
              <w:rPr>
                <w:b/>
                <w:bCs/>
                <w:szCs w:val="20"/>
              </w:rPr>
              <w:t>храненето</w:t>
            </w:r>
          </w:p>
        </w:tc>
        <w:tc>
          <w:tcPr>
            <w:tcW w:w="902" w:type="dxa"/>
          </w:tcPr>
          <w:p w14:paraId="033124EC" w14:textId="77777777" w:rsidR="005B207E" w:rsidRPr="005B207E" w:rsidRDefault="005B207E" w:rsidP="005B207E"/>
        </w:tc>
        <w:tc>
          <w:tcPr>
            <w:tcW w:w="1663" w:type="dxa"/>
            <w:vAlign w:val="bottom"/>
          </w:tcPr>
          <w:p w14:paraId="0A409104" w14:textId="77777777" w:rsidR="005B207E" w:rsidRPr="005B207E" w:rsidRDefault="005B207E" w:rsidP="005B207E">
            <w:r w:rsidRPr="005B207E">
              <w:rPr>
                <w:szCs w:val="20"/>
              </w:rPr>
              <w:t>Намален</w:t>
            </w:r>
          </w:p>
          <w:p w14:paraId="0F621148" w14:textId="6A07F834" w:rsidR="005B207E" w:rsidRPr="005B207E" w:rsidRDefault="005B207E" w:rsidP="005B207E">
            <w:r w:rsidRPr="005B207E">
              <w:rPr>
                <w:szCs w:val="20"/>
              </w:rPr>
              <w:t>апетит и прием на храна</w:t>
            </w:r>
          </w:p>
        </w:tc>
        <w:tc>
          <w:tcPr>
            <w:tcW w:w="1695" w:type="dxa"/>
            <w:vAlign w:val="bottom"/>
          </w:tcPr>
          <w:p w14:paraId="403DBCB1" w14:textId="4EC9D41B" w:rsidR="005B207E" w:rsidRPr="005B207E" w:rsidRDefault="005B207E" w:rsidP="005B207E">
            <w:r w:rsidRPr="005B207E">
              <w:rPr>
                <w:szCs w:val="20"/>
              </w:rPr>
              <w:t>Хипергликемия Хипогликемия (виж точка 4.4)</w:t>
            </w:r>
          </w:p>
        </w:tc>
        <w:tc>
          <w:tcPr>
            <w:tcW w:w="1755" w:type="dxa"/>
          </w:tcPr>
          <w:p w14:paraId="1B7CB25D" w14:textId="77777777" w:rsidR="005B207E" w:rsidRPr="005B207E" w:rsidRDefault="005B207E" w:rsidP="005B207E"/>
        </w:tc>
        <w:tc>
          <w:tcPr>
            <w:tcW w:w="1713" w:type="dxa"/>
            <w:vAlign w:val="bottom"/>
          </w:tcPr>
          <w:p w14:paraId="19D34805" w14:textId="2FDAFB42" w:rsidR="005B207E" w:rsidRPr="005B207E" w:rsidRDefault="005B207E" w:rsidP="005B207E">
            <w:r w:rsidRPr="005B207E">
              <w:rPr>
                <w:szCs w:val="20"/>
              </w:rPr>
              <w:t>Хипогликемичн а кома (вж. точка 4.4)</w:t>
            </w:r>
          </w:p>
        </w:tc>
      </w:tr>
      <w:tr w:rsidR="005B207E" w14:paraId="45030DB7" w14:textId="77777777" w:rsidTr="008D71FA">
        <w:tc>
          <w:tcPr>
            <w:tcW w:w="1848" w:type="dxa"/>
          </w:tcPr>
          <w:p w14:paraId="6982B921" w14:textId="7EE5D895" w:rsidR="005B207E" w:rsidRPr="005B207E" w:rsidRDefault="005B207E" w:rsidP="005B207E">
            <w:r w:rsidRPr="005B207E">
              <w:rPr>
                <w:b/>
                <w:bCs/>
                <w:szCs w:val="20"/>
              </w:rPr>
              <w:t>Психични нарушения*</w:t>
            </w:r>
          </w:p>
        </w:tc>
        <w:tc>
          <w:tcPr>
            <w:tcW w:w="902" w:type="dxa"/>
          </w:tcPr>
          <w:p w14:paraId="570527B7" w14:textId="77777777" w:rsidR="005B207E" w:rsidRPr="005B207E" w:rsidRDefault="005B207E" w:rsidP="005B207E"/>
        </w:tc>
        <w:tc>
          <w:tcPr>
            <w:tcW w:w="1663" w:type="dxa"/>
          </w:tcPr>
          <w:p w14:paraId="7BD17390" w14:textId="52B2C284" w:rsidR="005B207E" w:rsidRPr="005B207E" w:rsidRDefault="005B207E" w:rsidP="005B207E">
            <w:r w:rsidRPr="005B207E">
              <w:rPr>
                <w:szCs w:val="20"/>
              </w:rPr>
              <w:t>Психомоторна хиперактивнос т/възбуда</w:t>
            </w:r>
          </w:p>
        </w:tc>
        <w:tc>
          <w:tcPr>
            <w:tcW w:w="1695" w:type="dxa"/>
            <w:vAlign w:val="bottom"/>
          </w:tcPr>
          <w:p w14:paraId="2D4B6495" w14:textId="2EDD1B7E" w:rsidR="005B207E" w:rsidRPr="005B207E" w:rsidRDefault="005B207E" w:rsidP="005B207E">
            <w:r w:rsidRPr="005B207E">
              <w:rPr>
                <w:szCs w:val="20"/>
              </w:rPr>
              <w:t xml:space="preserve">Обърканост и дезориентация Реакция на безпокойство Абнормни сънища Депресия (потенциално кулминираща в суицидни намерения/мис ли или опити за </w:t>
            </w:r>
            <w:r w:rsidRPr="005B207E">
              <w:rPr>
                <w:szCs w:val="20"/>
              </w:rPr>
              <w:lastRenderedPageBreak/>
              <w:t>самоубиство и извършване на самоубиство) (вж. точка 4.4) Халюцинации</w:t>
            </w:r>
          </w:p>
        </w:tc>
        <w:tc>
          <w:tcPr>
            <w:tcW w:w="1755" w:type="dxa"/>
          </w:tcPr>
          <w:p w14:paraId="405E78FA" w14:textId="73748CEF" w:rsidR="005B207E" w:rsidRPr="005B207E" w:rsidRDefault="005B207E" w:rsidP="005B207E">
            <w:r w:rsidRPr="005B207E">
              <w:rPr>
                <w:szCs w:val="20"/>
              </w:rPr>
              <w:lastRenderedPageBreak/>
              <w:t>Психотични реакции (потенциално кулминиращи в суицидни намерения/мис ли или опити за самоубиство и извършване на самоубиство) (вж. точка 4.4)</w:t>
            </w:r>
          </w:p>
        </w:tc>
        <w:tc>
          <w:tcPr>
            <w:tcW w:w="1713" w:type="dxa"/>
          </w:tcPr>
          <w:p w14:paraId="0353E84A" w14:textId="594F96B2" w:rsidR="005B207E" w:rsidRPr="005B207E" w:rsidRDefault="005B207E" w:rsidP="005B207E">
            <w:r w:rsidRPr="005B207E">
              <w:rPr>
                <w:szCs w:val="20"/>
              </w:rPr>
              <w:t>Мания, вкл. хипомания</w:t>
            </w:r>
          </w:p>
        </w:tc>
      </w:tr>
      <w:tr w:rsidR="005B207E" w14:paraId="04B44DDF" w14:textId="77777777" w:rsidTr="008D71FA">
        <w:tc>
          <w:tcPr>
            <w:tcW w:w="1848" w:type="dxa"/>
          </w:tcPr>
          <w:p w14:paraId="2131ED1E" w14:textId="5D551DD4" w:rsidR="005B207E" w:rsidRPr="005B207E" w:rsidRDefault="005B207E" w:rsidP="005B207E">
            <w:r w:rsidRPr="005B207E">
              <w:rPr>
                <w:b/>
                <w:bCs/>
                <w:szCs w:val="20"/>
              </w:rPr>
              <w:t>Нарушения на нервната система*</w:t>
            </w:r>
          </w:p>
        </w:tc>
        <w:tc>
          <w:tcPr>
            <w:tcW w:w="902" w:type="dxa"/>
          </w:tcPr>
          <w:p w14:paraId="136254E5" w14:textId="77777777" w:rsidR="005B207E" w:rsidRPr="005B207E" w:rsidRDefault="005B207E" w:rsidP="005B207E"/>
        </w:tc>
        <w:tc>
          <w:tcPr>
            <w:tcW w:w="1663" w:type="dxa"/>
          </w:tcPr>
          <w:p w14:paraId="3E5F831F" w14:textId="25662ED3" w:rsidR="005B207E" w:rsidRPr="005B207E" w:rsidRDefault="005B207E" w:rsidP="005B207E">
            <w:r w:rsidRPr="005B207E">
              <w:rPr>
                <w:szCs w:val="20"/>
              </w:rPr>
              <w:t>Главоболие Замаяност Нарушения на съня Нарушения на вкуса</w:t>
            </w:r>
          </w:p>
        </w:tc>
        <w:tc>
          <w:tcPr>
            <w:tcW w:w="1695" w:type="dxa"/>
          </w:tcPr>
          <w:p w14:paraId="5C1F2234" w14:textId="77777777" w:rsidR="005B207E" w:rsidRPr="005B207E" w:rsidRDefault="005B207E" w:rsidP="005B207E">
            <w:r w:rsidRPr="005B207E">
              <w:rPr>
                <w:szCs w:val="20"/>
              </w:rPr>
              <w:t>Пара- и дизестезии Хипоестезия Тремор Припадъци (вкл.</w:t>
            </w:r>
          </w:p>
          <w:p w14:paraId="7136235C" w14:textId="316FFEA8" w:rsidR="005B207E" w:rsidRPr="005B207E" w:rsidRDefault="005B207E" w:rsidP="005B207E">
            <w:r w:rsidRPr="005B207E">
              <w:rPr>
                <w:szCs w:val="20"/>
              </w:rPr>
              <w:t>епилептичен статус) (вж. точка 4.4) Световъртеж</w:t>
            </w:r>
          </w:p>
        </w:tc>
        <w:tc>
          <w:tcPr>
            <w:tcW w:w="1755" w:type="dxa"/>
            <w:vAlign w:val="bottom"/>
          </w:tcPr>
          <w:p w14:paraId="44F77E3A" w14:textId="30893DBC" w:rsidR="005B207E" w:rsidRPr="005B207E" w:rsidRDefault="005B207E" w:rsidP="005B207E">
            <w:r w:rsidRPr="005B207E">
              <w:rPr>
                <w:szCs w:val="20"/>
              </w:rPr>
              <w:t xml:space="preserve">Мигрена Нарушена координация Нарушения на походката Нарушения на обонянието Интракраниалн а хипертония и </w:t>
            </w:r>
            <w:proofErr w:type="spellStart"/>
            <w:r w:rsidRPr="005B207E">
              <w:rPr>
                <w:szCs w:val="20"/>
                <w:lang w:val="en-US"/>
              </w:rPr>
              <w:t>pseudotumor</w:t>
            </w:r>
            <w:proofErr w:type="spellEnd"/>
            <w:r w:rsidRPr="005B207E">
              <w:rPr>
                <w:szCs w:val="20"/>
                <w:lang w:val="ru-RU"/>
              </w:rPr>
              <w:t xml:space="preserve"> </w:t>
            </w:r>
            <w:proofErr w:type="spellStart"/>
            <w:r w:rsidRPr="005B207E">
              <w:rPr>
                <w:szCs w:val="20"/>
                <w:lang w:val="en-US"/>
              </w:rPr>
              <w:t>cerebri</w:t>
            </w:r>
            <w:proofErr w:type="spellEnd"/>
          </w:p>
        </w:tc>
        <w:tc>
          <w:tcPr>
            <w:tcW w:w="1713" w:type="dxa"/>
          </w:tcPr>
          <w:p w14:paraId="65B25002" w14:textId="1C1232CF" w:rsidR="005B207E" w:rsidRPr="005B207E" w:rsidRDefault="005B207E" w:rsidP="005B207E">
            <w:r w:rsidRPr="005B207E">
              <w:rPr>
                <w:szCs w:val="20"/>
              </w:rPr>
              <w:t>Периферна невротатия и полиневропати я (вж. точка 4.4)</w:t>
            </w:r>
          </w:p>
        </w:tc>
      </w:tr>
      <w:tr w:rsidR="005B207E" w14:paraId="67A74D51" w14:textId="77777777" w:rsidTr="008D71FA">
        <w:tc>
          <w:tcPr>
            <w:tcW w:w="1848" w:type="dxa"/>
          </w:tcPr>
          <w:p w14:paraId="141C2221" w14:textId="0133FD0E" w:rsidR="005B207E" w:rsidRPr="005B207E" w:rsidRDefault="005B207E" w:rsidP="005B207E">
            <w:r w:rsidRPr="005B207E">
              <w:rPr>
                <w:b/>
                <w:bCs/>
                <w:szCs w:val="20"/>
              </w:rPr>
              <w:t>Нарушения на очите*</w:t>
            </w:r>
          </w:p>
        </w:tc>
        <w:tc>
          <w:tcPr>
            <w:tcW w:w="902" w:type="dxa"/>
          </w:tcPr>
          <w:p w14:paraId="165615B8" w14:textId="77777777" w:rsidR="005B207E" w:rsidRPr="005B207E" w:rsidRDefault="005B207E" w:rsidP="005B207E"/>
        </w:tc>
        <w:tc>
          <w:tcPr>
            <w:tcW w:w="1663" w:type="dxa"/>
          </w:tcPr>
          <w:p w14:paraId="7F8C037D" w14:textId="77777777" w:rsidR="005B207E" w:rsidRPr="005B207E" w:rsidRDefault="005B207E" w:rsidP="005B207E"/>
        </w:tc>
        <w:tc>
          <w:tcPr>
            <w:tcW w:w="1695" w:type="dxa"/>
            <w:vAlign w:val="bottom"/>
          </w:tcPr>
          <w:p w14:paraId="396ED5D6" w14:textId="427FAAFF" w:rsidR="005B207E" w:rsidRPr="005B207E" w:rsidRDefault="005B207E" w:rsidP="005B207E">
            <w:r w:rsidRPr="005B207E">
              <w:rPr>
                <w:szCs w:val="20"/>
              </w:rPr>
              <w:t>Нарушения на зрението (напр. диплопия)</w:t>
            </w:r>
          </w:p>
        </w:tc>
        <w:tc>
          <w:tcPr>
            <w:tcW w:w="1755" w:type="dxa"/>
            <w:vAlign w:val="bottom"/>
          </w:tcPr>
          <w:p w14:paraId="6C0E3D4B" w14:textId="36CFD939" w:rsidR="005B207E" w:rsidRPr="005B207E" w:rsidRDefault="005B207E" w:rsidP="005B207E">
            <w:r w:rsidRPr="005B207E">
              <w:rPr>
                <w:szCs w:val="20"/>
              </w:rPr>
              <w:t>Нарушения на цветоусещането</w:t>
            </w:r>
          </w:p>
        </w:tc>
        <w:tc>
          <w:tcPr>
            <w:tcW w:w="1713" w:type="dxa"/>
          </w:tcPr>
          <w:p w14:paraId="79525C2E" w14:textId="77777777" w:rsidR="005B207E" w:rsidRPr="005B207E" w:rsidRDefault="005B207E" w:rsidP="005B207E"/>
        </w:tc>
      </w:tr>
      <w:tr w:rsidR="005B207E" w14:paraId="046D75B2" w14:textId="77777777" w:rsidTr="008D71FA">
        <w:tc>
          <w:tcPr>
            <w:tcW w:w="1848" w:type="dxa"/>
          </w:tcPr>
          <w:p w14:paraId="184DF8F7" w14:textId="5ECD23D1" w:rsidR="005B207E" w:rsidRPr="005B207E" w:rsidRDefault="005B207E" w:rsidP="005B207E">
            <w:r w:rsidRPr="005B207E">
              <w:rPr>
                <w:b/>
                <w:bCs/>
                <w:szCs w:val="20"/>
              </w:rPr>
              <w:t>Нарушения на ухото и лабиринта*</w:t>
            </w:r>
          </w:p>
        </w:tc>
        <w:tc>
          <w:tcPr>
            <w:tcW w:w="902" w:type="dxa"/>
          </w:tcPr>
          <w:p w14:paraId="0254DBB9" w14:textId="77777777" w:rsidR="005B207E" w:rsidRPr="005B207E" w:rsidRDefault="005B207E" w:rsidP="005B207E"/>
        </w:tc>
        <w:tc>
          <w:tcPr>
            <w:tcW w:w="1663" w:type="dxa"/>
          </w:tcPr>
          <w:p w14:paraId="0C7E0055" w14:textId="77777777" w:rsidR="005B207E" w:rsidRPr="005B207E" w:rsidRDefault="005B207E" w:rsidP="005B207E"/>
        </w:tc>
        <w:tc>
          <w:tcPr>
            <w:tcW w:w="1695" w:type="dxa"/>
            <w:vAlign w:val="bottom"/>
          </w:tcPr>
          <w:p w14:paraId="58DF723B" w14:textId="7EE3E708" w:rsidR="005B207E" w:rsidRPr="005B207E" w:rsidRDefault="005B207E" w:rsidP="005B207E">
            <w:r w:rsidRPr="005B207E">
              <w:rPr>
                <w:szCs w:val="20"/>
              </w:rPr>
              <w:t>Тинитус Загуба на слуха/увреждан е на слуха</w:t>
            </w:r>
          </w:p>
        </w:tc>
        <w:tc>
          <w:tcPr>
            <w:tcW w:w="1755" w:type="dxa"/>
          </w:tcPr>
          <w:p w14:paraId="0F2E187F" w14:textId="77777777" w:rsidR="005B207E" w:rsidRPr="005B207E" w:rsidRDefault="005B207E" w:rsidP="005B207E"/>
        </w:tc>
        <w:tc>
          <w:tcPr>
            <w:tcW w:w="1713" w:type="dxa"/>
          </w:tcPr>
          <w:p w14:paraId="766E66DF" w14:textId="77777777" w:rsidR="005B207E" w:rsidRPr="005B207E" w:rsidRDefault="005B207E" w:rsidP="005B207E"/>
        </w:tc>
      </w:tr>
      <w:tr w:rsidR="005B207E" w14:paraId="2F36E724" w14:textId="77777777" w:rsidTr="008D71FA">
        <w:tc>
          <w:tcPr>
            <w:tcW w:w="1848" w:type="dxa"/>
          </w:tcPr>
          <w:p w14:paraId="7648EABA" w14:textId="06B51845" w:rsidR="005B207E" w:rsidRPr="005B207E" w:rsidRDefault="005B207E" w:rsidP="005B207E">
            <w:r w:rsidRPr="005B207E">
              <w:rPr>
                <w:b/>
                <w:bCs/>
                <w:szCs w:val="20"/>
              </w:rPr>
              <w:t>Сърдечни нарушения**</w:t>
            </w:r>
          </w:p>
        </w:tc>
        <w:tc>
          <w:tcPr>
            <w:tcW w:w="902" w:type="dxa"/>
          </w:tcPr>
          <w:p w14:paraId="6661E332" w14:textId="77777777" w:rsidR="005B207E" w:rsidRPr="005B207E" w:rsidRDefault="005B207E" w:rsidP="005B207E"/>
        </w:tc>
        <w:tc>
          <w:tcPr>
            <w:tcW w:w="1663" w:type="dxa"/>
          </w:tcPr>
          <w:p w14:paraId="5455D84B" w14:textId="77777777" w:rsidR="005B207E" w:rsidRPr="005B207E" w:rsidRDefault="005B207E" w:rsidP="005B207E"/>
        </w:tc>
        <w:tc>
          <w:tcPr>
            <w:tcW w:w="1695" w:type="dxa"/>
          </w:tcPr>
          <w:p w14:paraId="7C579AFF" w14:textId="6C70C670" w:rsidR="005B207E" w:rsidRPr="005B207E" w:rsidRDefault="005B207E" w:rsidP="005B207E">
            <w:r w:rsidRPr="005B207E">
              <w:rPr>
                <w:szCs w:val="20"/>
              </w:rPr>
              <w:t>Тахикардия</w:t>
            </w:r>
          </w:p>
        </w:tc>
        <w:tc>
          <w:tcPr>
            <w:tcW w:w="1755" w:type="dxa"/>
          </w:tcPr>
          <w:p w14:paraId="47E21C1A" w14:textId="77777777" w:rsidR="005B207E" w:rsidRPr="005B207E" w:rsidRDefault="005B207E" w:rsidP="005B207E"/>
        </w:tc>
        <w:tc>
          <w:tcPr>
            <w:tcW w:w="1713" w:type="dxa"/>
            <w:vAlign w:val="bottom"/>
          </w:tcPr>
          <w:p w14:paraId="485CE7D6" w14:textId="3D799972" w:rsidR="005B207E" w:rsidRPr="005B207E" w:rsidRDefault="005B207E" w:rsidP="005B207E">
            <w:r w:rsidRPr="005B207E">
              <w:rPr>
                <w:szCs w:val="20"/>
              </w:rPr>
              <w:t xml:space="preserve">Камерна аритмия и </w:t>
            </w:r>
            <w:proofErr w:type="spellStart"/>
            <w:r w:rsidRPr="005B207E">
              <w:rPr>
                <w:szCs w:val="20"/>
                <w:lang w:val="en-US"/>
              </w:rPr>
              <w:t>torsades</w:t>
            </w:r>
            <w:proofErr w:type="spellEnd"/>
            <w:r w:rsidRPr="005B207E">
              <w:rPr>
                <w:szCs w:val="20"/>
                <w:lang w:val="ru-RU"/>
              </w:rPr>
              <w:t xml:space="preserve"> </w:t>
            </w:r>
            <w:r w:rsidRPr="005B207E">
              <w:rPr>
                <w:szCs w:val="20"/>
                <w:lang w:val="en-US"/>
              </w:rPr>
              <w:t>de</w:t>
            </w:r>
            <w:r w:rsidRPr="005B207E">
              <w:rPr>
                <w:szCs w:val="20"/>
                <w:lang w:val="ru-RU"/>
              </w:rPr>
              <w:t xml:space="preserve"> </w:t>
            </w:r>
            <w:r w:rsidRPr="005B207E">
              <w:rPr>
                <w:szCs w:val="20"/>
                <w:lang w:val="en-US"/>
              </w:rPr>
              <w:t>pointes</w:t>
            </w:r>
            <w:r w:rsidRPr="005B207E">
              <w:rPr>
                <w:szCs w:val="20"/>
                <w:lang w:val="ru-RU"/>
              </w:rPr>
              <w:t xml:space="preserve"> </w:t>
            </w:r>
            <w:r w:rsidRPr="005B207E">
              <w:rPr>
                <w:szCs w:val="20"/>
              </w:rPr>
              <w:t xml:space="preserve">(съобщавани предимно при пациенти с рискови фактори за удължаване на </w:t>
            </w:r>
            <w:r w:rsidRPr="005B207E">
              <w:rPr>
                <w:szCs w:val="20"/>
                <w:lang w:val="en-US"/>
              </w:rPr>
              <w:t>QT</w:t>
            </w:r>
            <w:r w:rsidRPr="005B207E">
              <w:rPr>
                <w:szCs w:val="20"/>
                <w:lang w:val="ru-RU"/>
              </w:rPr>
              <w:t xml:space="preserve"> </w:t>
            </w:r>
            <w:r w:rsidRPr="005B207E">
              <w:rPr>
                <w:szCs w:val="20"/>
              </w:rPr>
              <w:t xml:space="preserve">интервала), ЕКГ с удължен </w:t>
            </w:r>
            <w:r w:rsidRPr="005B207E">
              <w:rPr>
                <w:szCs w:val="20"/>
                <w:lang w:val="en-US"/>
              </w:rPr>
              <w:t>QT</w:t>
            </w:r>
            <w:r w:rsidRPr="005B207E">
              <w:rPr>
                <w:szCs w:val="20"/>
                <w:lang w:val="ru-RU"/>
              </w:rPr>
              <w:t xml:space="preserve"> </w:t>
            </w:r>
            <w:r w:rsidRPr="005B207E">
              <w:rPr>
                <w:szCs w:val="20"/>
              </w:rPr>
              <w:t>интервал (вж. точка 4.4 и 4.9)</w:t>
            </w:r>
          </w:p>
        </w:tc>
      </w:tr>
      <w:tr w:rsidR="005B207E" w14:paraId="19B00AA3" w14:textId="77777777" w:rsidTr="008D71FA">
        <w:tc>
          <w:tcPr>
            <w:tcW w:w="1848" w:type="dxa"/>
          </w:tcPr>
          <w:p w14:paraId="684E2738" w14:textId="7D006D79" w:rsidR="005B207E" w:rsidRPr="005B207E" w:rsidRDefault="005B207E" w:rsidP="005B207E">
            <w:r w:rsidRPr="005B207E">
              <w:rPr>
                <w:b/>
                <w:bCs/>
                <w:szCs w:val="20"/>
              </w:rPr>
              <w:lastRenderedPageBreak/>
              <w:t>Съдови нарушения**</w:t>
            </w:r>
          </w:p>
        </w:tc>
        <w:tc>
          <w:tcPr>
            <w:tcW w:w="902" w:type="dxa"/>
          </w:tcPr>
          <w:p w14:paraId="194372B4" w14:textId="77777777" w:rsidR="005B207E" w:rsidRPr="005B207E" w:rsidRDefault="005B207E" w:rsidP="005B207E"/>
        </w:tc>
        <w:tc>
          <w:tcPr>
            <w:tcW w:w="1663" w:type="dxa"/>
          </w:tcPr>
          <w:p w14:paraId="4B941152" w14:textId="77777777" w:rsidR="005B207E" w:rsidRPr="005B207E" w:rsidRDefault="005B207E" w:rsidP="005B207E"/>
        </w:tc>
        <w:tc>
          <w:tcPr>
            <w:tcW w:w="1695" w:type="dxa"/>
            <w:vAlign w:val="bottom"/>
          </w:tcPr>
          <w:p w14:paraId="0A695DE5" w14:textId="1474AA9A" w:rsidR="005B207E" w:rsidRPr="005B207E" w:rsidRDefault="005B207E" w:rsidP="005B207E">
            <w:r w:rsidRPr="005B207E">
              <w:rPr>
                <w:szCs w:val="20"/>
              </w:rPr>
              <w:t>Вазодилатация Хипотония Синкоп</w:t>
            </w:r>
          </w:p>
        </w:tc>
        <w:tc>
          <w:tcPr>
            <w:tcW w:w="1755" w:type="dxa"/>
          </w:tcPr>
          <w:p w14:paraId="0743CB46" w14:textId="5AC1A24C" w:rsidR="005B207E" w:rsidRPr="005B207E" w:rsidRDefault="005B207E" w:rsidP="005B207E">
            <w:r w:rsidRPr="005B207E">
              <w:rPr>
                <w:szCs w:val="20"/>
              </w:rPr>
              <w:t>Васкулит</w:t>
            </w:r>
          </w:p>
        </w:tc>
        <w:tc>
          <w:tcPr>
            <w:tcW w:w="1713" w:type="dxa"/>
          </w:tcPr>
          <w:p w14:paraId="4ED9EEEE" w14:textId="77777777" w:rsidR="005B207E" w:rsidRPr="005B207E" w:rsidRDefault="005B207E" w:rsidP="005B207E"/>
        </w:tc>
      </w:tr>
      <w:tr w:rsidR="005B207E" w14:paraId="2A76B9F6" w14:textId="77777777" w:rsidTr="008D71FA">
        <w:tc>
          <w:tcPr>
            <w:tcW w:w="1848" w:type="dxa"/>
          </w:tcPr>
          <w:p w14:paraId="1194D174" w14:textId="517C1AF8" w:rsidR="005B207E" w:rsidRPr="005B207E" w:rsidRDefault="005B207E" w:rsidP="005B207E">
            <w:r w:rsidRPr="005B207E">
              <w:rPr>
                <w:b/>
                <w:bCs/>
                <w:szCs w:val="20"/>
              </w:rPr>
              <w:t>Респираторни, гръдни и медиастинални нарушения</w:t>
            </w:r>
          </w:p>
        </w:tc>
        <w:tc>
          <w:tcPr>
            <w:tcW w:w="902" w:type="dxa"/>
          </w:tcPr>
          <w:p w14:paraId="15341880" w14:textId="77777777" w:rsidR="005B207E" w:rsidRPr="005B207E" w:rsidRDefault="005B207E" w:rsidP="005B207E"/>
        </w:tc>
        <w:tc>
          <w:tcPr>
            <w:tcW w:w="1663" w:type="dxa"/>
          </w:tcPr>
          <w:p w14:paraId="0A9C9350" w14:textId="77777777" w:rsidR="005B207E" w:rsidRPr="005B207E" w:rsidRDefault="005B207E" w:rsidP="005B207E"/>
        </w:tc>
        <w:tc>
          <w:tcPr>
            <w:tcW w:w="1695" w:type="dxa"/>
          </w:tcPr>
          <w:p w14:paraId="33CC0901" w14:textId="21238260" w:rsidR="005B207E" w:rsidRPr="005B207E" w:rsidRDefault="005B207E" w:rsidP="005B207E">
            <w:r w:rsidRPr="005B207E">
              <w:rPr>
                <w:szCs w:val="20"/>
              </w:rPr>
              <w:t>Диспнея (вкл. астматични състояния)</w:t>
            </w:r>
          </w:p>
        </w:tc>
        <w:tc>
          <w:tcPr>
            <w:tcW w:w="1755" w:type="dxa"/>
          </w:tcPr>
          <w:p w14:paraId="358233E5" w14:textId="77777777" w:rsidR="005B207E" w:rsidRPr="005B207E" w:rsidRDefault="005B207E" w:rsidP="005B207E"/>
        </w:tc>
        <w:tc>
          <w:tcPr>
            <w:tcW w:w="1713" w:type="dxa"/>
          </w:tcPr>
          <w:p w14:paraId="5F0DAB6F" w14:textId="77777777" w:rsidR="005B207E" w:rsidRPr="005B207E" w:rsidRDefault="005B207E" w:rsidP="005B207E"/>
        </w:tc>
      </w:tr>
      <w:tr w:rsidR="005B207E" w14:paraId="1D445108" w14:textId="77777777" w:rsidTr="008D71FA">
        <w:tc>
          <w:tcPr>
            <w:tcW w:w="1848" w:type="dxa"/>
          </w:tcPr>
          <w:p w14:paraId="27C8D6C7" w14:textId="6A4D4E07" w:rsidR="005B207E" w:rsidRPr="005B207E" w:rsidRDefault="005B207E" w:rsidP="005B207E">
            <w:r w:rsidRPr="005B207E">
              <w:rPr>
                <w:b/>
                <w:bCs/>
                <w:szCs w:val="20"/>
              </w:rPr>
              <w:t>Стомашно-чревни нарушения</w:t>
            </w:r>
          </w:p>
        </w:tc>
        <w:tc>
          <w:tcPr>
            <w:tcW w:w="902" w:type="dxa"/>
          </w:tcPr>
          <w:p w14:paraId="32B74261" w14:textId="77777777" w:rsidR="005B207E" w:rsidRPr="005B207E" w:rsidRDefault="005B207E" w:rsidP="005B207E">
            <w:r w:rsidRPr="005B207E">
              <w:rPr>
                <w:szCs w:val="20"/>
              </w:rPr>
              <w:t>Гадене</w:t>
            </w:r>
          </w:p>
          <w:p w14:paraId="5EE463E9" w14:textId="3B7A42EE" w:rsidR="005B207E" w:rsidRPr="005B207E" w:rsidRDefault="005B207E" w:rsidP="005B207E">
            <w:r w:rsidRPr="005B207E">
              <w:rPr>
                <w:szCs w:val="20"/>
              </w:rPr>
              <w:t>Диария</w:t>
            </w:r>
          </w:p>
        </w:tc>
        <w:tc>
          <w:tcPr>
            <w:tcW w:w="1663" w:type="dxa"/>
          </w:tcPr>
          <w:p w14:paraId="5C666712" w14:textId="77777777" w:rsidR="005B207E" w:rsidRPr="005B207E" w:rsidRDefault="005B207E" w:rsidP="005B207E">
            <w:r w:rsidRPr="005B207E">
              <w:rPr>
                <w:szCs w:val="20"/>
              </w:rPr>
              <w:t>Повръщане</w:t>
            </w:r>
          </w:p>
          <w:p w14:paraId="5F8D09BC" w14:textId="77777777" w:rsidR="005B207E" w:rsidRPr="005B207E" w:rsidRDefault="005B207E" w:rsidP="005B207E">
            <w:r w:rsidRPr="005B207E">
              <w:rPr>
                <w:szCs w:val="20"/>
              </w:rPr>
              <w:t>Стомашно-</w:t>
            </w:r>
          </w:p>
          <w:p w14:paraId="40BB563A" w14:textId="77777777" w:rsidR="005B207E" w:rsidRPr="005B207E" w:rsidRDefault="005B207E" w:rsidP="005B207E">
            <w:r w:rsidRPr="005B207E">
              <w:rPr>
                <w:szCs w:val="20"/>
              </w:rPr>
              <w:t>чревна и коремна болка</w:t>
            </w:r>
          </w:p>
          <w:p w14:paraId="6DE7BC3E" w14:textId="77777777" w:rsidR="005B207E" w:rsidRPr="005B207E" w:rsidRDefault="005B207E" w:rsidP="005B207E">
            <w:r w:rsidRPr="005B207E">
              <w:rPr>
                <w:szCs w:val="20"/>
              </w:rPr>
              <w:t>Диспепсия</w:t>
            </w:r>
          </w:p>
          <w:p w14:paraId="7AD9D6C1" w14:textId="6E2D9A2C" w:rsidR="005B207E" w:rsidRPr="005B207E" w:rsidRDefault="005B207E" w:rsidP="005B207E">
            <w:r w:rsidRPr="005B207E">
              <w:rPr>
                <w:szCs w:val="20"/>
              </w:rPr>
              <w:t>Газове</w:t>
            </w:r>
          </w:p>
        </w:tc>
        <w:tc>
          <w:tcPr>
            <w:tcW w:w="1695" w:type="dxa"/>
            <w:vAlign w:val="bottom"/>
          </w:tcPr>
          <w:p w14:paraId="1210A6A6" w14:textId="6680695E" w:rsidR="005B207E" w:rsidRPr="005B207E" w:rsidRDefault="005B207E" w:rsidP="005B207E">
            <w:r w:rsidRPr="005B207E">
              <w:rPr>
                <w:szCs w:val="20"/>
              </w:rPr>
              <w:t>Свързан с антибиотик колит (много рядко с възможен фатален изход) (вж. точка 4.4)</w:t>
            </w:r>
          </w:p>
        </w:tc>
        <w:tc>
          <w:tcPr>
            <w:tcW w:w="1755" w:type="dxa"/>
          </w:tcPr>
          <w:p w14:paraId="23D5DD96" w14:textId="67571DD4" w:rsidR="005B207E" w:rsidRPr="005B207E" w:rsidRDefault="005B207E" w:rsidP="005B207E">
            <w:r w:rsidRPr="005B207E">
              <w:rPr>
                <w:szCs w:val="20"/>
              </w:rPr>
              <w:t>Панкреатит</w:t>
            </w:r>
          </w:p>
        </w:tc>
        <w:tc>
          <w:tcPr>
            <w:tcW w:w="1713" w:type="dxa"/>
          </w:tcPr>
          <w:p w14:paraId="5EA28E92" w14:textId="77777777" w:rsidR="005B207E" w:rsidRPr="005B207E" w:rsidRDefault="005B207E" w:rsidP="005B207E"/>
        </w:tc>
      </w:tr>
      <w:tr w:rsidR="005B207E" w14:paraId="651F98B5" w14:textId="77777777" w:rsidTr="008D71FA">
        <w:tc>
          <w:tcPr>
            <w:tcW w:w="1848" w:type="dxa"/>
          </w:tcPr>
          <w:p w14:paraId="60E55926" w14:textId="14203053" w:rsidR="005B207E" w:rsidRPr="005B207E" w:rsidRDefault="005B207E" w:rsidP="005B207E">
            <w:r w:rsidRPr="005B207E">
              <w:rPr>
                <w:b/>
                <w:bCs/>
                <w:szCs w:val="20"/>
              </w:rPr>
              <w:t>Хепато-билиарни нарушения</w:t>
            </w:r>
          </w:p>
        </w:tc>
        <w:tc>
          <w:tcPr>
            <w:tcW w:w="902" w:type="dxa"/>
          </w:tcPr>
          <w:p w14:paraId="5999FE50" w14:textId="77777777" w:rsidR="005B207E" w:rsidRPr="005B207E" w:rsidRDefault="005B207E" w:rsidP="005B207E"/>
        </w:tc>
        <w:tc>
          <w:tcPr>
            <w:tcW w:w="1663" w:type="dxa"/>
          </w:tcPr>
          <w:p w14:paraId="03BE3867" w14:textId="31EA9F9E" w:rsidR="005B207E" w:rsidRPr="005B207E" w:rsidRDefault="005B207E" w:rsidP="005B207E">
            <w:r w:rsidRPr="005B207E">
              <w:rPr>
                <w:szCs w:val="20"/>
              </w:rPr>
              <w:t>Повишени трансаминази Повишен билирубин</w:t>
            </w:r>
          </w:p>
        </w:tc>
        <w:tc>
          <w:tcPr>
            <w:tcW w:w="1695" w:type="dxa"/>
          </w:tcPr>
          <w:p w14:paraId="33868C21" w14:textId="10FA4479" w:rsidR="005B207E" w:rsidRPr="005B207E" w:rsidRDefault="005B207E" w:rsidP="005B207E">
            <w:r w:rsidRPr="005B207E">
              <w:rPr>
                <w:szCs w:val="20"/>
              </w:rPr>
              <w:t>Чернодробно увреждане Холестатичен иктер Хепатит</w:t>
            </w:r>
          </w:p>
        </w:tc>
        <w:tc>
          <w:tcPr>
            <w:tcW w:w="1755" w:type="dxa"/>
            <w:vAlign w:val="bottom"/>
          </w:tcPr>
          <w:p w14:paraId="4BBA971E" w14:textId="6C2181CA" w:rsidR="005B207E" w:rsidRPr="005B207E" w:rsidRDefault="005B207E" w:rsidP="005B207E">
            <w:r w:rsidRPr="005B207E">
              <w:rPr>
                <w:szCs w:val="20"/>
              </w:rPr>
              <w:t>Чернодробна некроза (много рядко прогресираща до живото- застрашаваща чернодробна недостатъчност ) (вж. точка 4.4)</w:t>
            </w:r>
          </w:p>
        </w:tc>
        <w:tc>
          <w:tcPr>
            <w:tcW w:w="1713" w:type="dxa"/>
          </w:tcPr>
          <w:p w14:paraId="50443E87" w14:textId="77777777" w:rsidR="005B207E" w:rsidRPr="005B207E" w:rsidRDefault="005B207E" w:rsidP="005B207E"/>
        </w:tc>
      </w:tr>
      <w:tr w:rsidR="005B207E" w14:paraId="088D092E" w14:textId="77777777" w:rsidTr="008D71FA">
        <w:tc>
          <w:tcPr>
            <w:tcW w:w="1848" w:type="dxa"/>
          </w:tcPr>
          <w:p w14:paraId="08324587" w14:textId="1DA3E223" w:rsidR="005B207E" w:rsidRPr="005B207E" w:rsidRDefault="005B207E" w:rsidP="005B207E">
            <w:r w:rsidRPr="005B207E">
              <w:rPr>
                <w:b/>
                <w:bCs/>
                <w:szCs w:val="20"/>
              </w:rPr>
              <w:t>Нарушения на кожата и подкожната тъкан</w:t>
            </w:r>
          </w:p>
        </w:tc>
        <w:tc>
          <w:tcPr>
            <w:tcW w:w="902" w:type="dxa"/>
          </w:tcPr>
          <w:p w14:paraId="0BA2037E" w14:textId="77777777" w:rsidR="005B207E" w:rsidRPr="005B207E" w:rsidRDefault="005B207E" w:rsidP="005B207E"/>
        </w:tc>
        <w:tc>
          <w:tcPr>
            <w:tcW w:w="1663" w:type="dxa"/>
          </w:tcPr>
          <w:p w14:paraId="616CBC22" w14:textId="33271914" w:rsidR="005B207E" w:rsidRPr="005B207E" w:rsidRDefault="005B207E" w:rsidP="005B207E">
            <w:r w:rsidRPr="005B207E">
              <w:rPr>
                <w:szCs w:val="20"/>
              </w:rPr>
              <w:t>Обрив Сърбеж Уртикария</w:t>
            </w:r>
          </w:p>
        </w:tc>
        <w:tc>
          <w:tcPr>
            <w:tcW w:w="1695" w:type="dxa"/>
          </w:tcPr>
          <w:p w14:paraId="7DF9EF3A" w14:textId="77777777" w:rsidR="005B207E" w:rsidRPr="005B207E" w:rsidRDefault="005B207E" w:rsidP="005B207E">
            <w:r w:rsidRPr="005B207E">
              <w:rPr>
                <w:szCs w:val="20"/>
              </w:rPr>
              <w:t>Реакции на фоточувстви</w:t>
            </w:r>
            <w:r w:rsidRPr="005B207E">
              <w:rPr>
                <w:szCs w:val="20"/>
              </w:rPr>
              <w:softHyphen/>
              <w:t>телност (вж.</w:t>
            </w:r>
          </w:p>
          <w:p w14:paraId="237A4982" w14:textId="785B718A" w:rsidR="005B207E" w:rsidRPr="005B207E" w:rsidRDefault="005B207E" w:rsidP="005B207E">
            <w:r w:rsidRPr="005B207E">
              <w:rPr>
                <w:szCs w:val="20"/>
              </w:rPr>
              <w:t>точка 4.4)</w:t>
            </w:r>
          </w:p>
        </w:tc>
        <w:tc>
          <w:tcPr>
            <w:tcW w:w="1755" w:type="dxa"/>
            <w:vAlign w:val="bottom"/>
          </w:tcPr>
          <w:p w14:paraId="2562BBF2" w14:textId="671FA382" w:rsidR="005B207E" w:rsidRPr="005B207E" w:rsidRDefault="005B207E" w:rsidP="005B207E">
            <w:r w:rsidRPr="005B207E">
              <w:rPr>
                <w:szCs w:val="20"/>
              </w:rPr>
              <w:t>Петехии Еритема мултиформе Еритема нодозум Синдром на Стивънс- Джонсън (потенциално животозастра- шаващ) Токсична епидермална некролиза (потенциално животозастра- шаваща)</w:t>
            </w:r>
          </w:p>
        </w:tc>
        <w:tc>
          <w:tcPr>
            <w:tcW w:w="1713" w:type="dxa"/>
          </w:tcPr>
          <w:p w14:paraId="57D103D6" w14:textId="43D08D1D" w:rsidR="005B207E" w:rsidRPr="005B207E" w:rsidRDefault="005B207E" w:rsidP="005B207E">
            <w:r w:rsidRPr="005B207E">
              <w:rPr>
                <w:szCs w:val="20"/>
              </w:rPr>
              <w:t xml:space="preserve">Остра генерализирана екзантематозна пустулоза </w:t>
            </w:r>
            <w:r w:rsidRPr="005B207E">
              <w:rPr>
                <w:szCs w:val="20"/>
                <w:lang w:val="ru-RU"/>
              </w:rPr>
              <w:t>(</w:t>
            </w:r>
            <w:r w:rsidRPr="005B207E">
              <w:rPr>
                <w:szCs w:val="20"/>
                <w:lang w:val="en-US"/>
              </w:rPr>
              <w:t>AGEP</w:t>
            </w:r>
            <w:r w:rsidRPr="005B207E">
              <w:rPr>
                <w:szCs w:val="20"/>
                <w:lang w:val="ru-RU"/>
              </w:rPr>
              <w:t xml:space="preserve">) </w:t>
            </w:r>
            <w:r w:rsidRPr="005B207E">
              <w:rPr>
                <w:szCs w:val="20"/>
              </w:rPr>
              <w:t xml:space="preserve">Лекарствена реакция с еозинофилия и системни симптоми - </w:t>
            </w:r>
            <w:r w:rsidRPr="005B207E">
              <w:rPr>
                <w:szCs w:val="20"/>
                <w:lang w:val="en-US"/>
              </w:rPr>
              <w:t>DRESS</w:t>
            </w:r>
          </w:p>
        </w:tc>
      </w:tr>
      <w:tr w:rsidR="005B207E" w14:paraId="0630CFDE" w14:textId="77777777" w:rsidTr="008D71FA">
        <w:tc>
          <w:tcPr>
            <w:tcW w:w="1848" w:type="dxa"/>
          </w:tcPr>
          <w:p w14:paraId="25A5D46C" w14:textId="32C2780A" w:rsidR="005B207E" w:rsidRPr="005B207E" w:rsidRDefault="005B207E" w:rsidP="005B207E">
            <w:r w:rsidRPr="005B207E">
              <w:rPr>
                <w:b/>
                <w:bCs/>
                <w:szCs w:val="20"/>
              </w:rPr>
              <w:t xml:space="preserve">Нарушения на мускулно- скелетната система и </w:t>
            </w:r>
            <w:r w:rsidRPr="005B207E">
              <w:rPr>
                <w:b/>
                <w:bCs/>
                <w:szCs w:val="20"/>
              </w:rPr>
              <w:lastRenderedPageBreak/>
              <w:t>съединителната тъкан*</w:t>
            </w:r>
          </w:p>
        </w:tc>
        <w:tc>
          <w:tcPr>
            <w:tcW w:w="902" w:type="dxa"/>
          </w:tcPr>
          <w:p w14:paraId="65D2FB3D" w14:textId="77777777" w:rsidR="005B207E" w:rsidRPr="005B207E" w:rsidRDefault="005B207E" w:rsidP="005B207E"/>
        </w:tc>
        <w:tc>
          <w:tcPr>
            <w:tcW w:w="1663" w:type="dxa"/>
          </w:tcPr>
          <w:p w14:paraId="69FD425A" w14:textId="6983DDB0" w:rsidR="005B207E" w:rsidRPr="005B207E" w:rsidRDefault="005B207E" w:rsidP="005B207E">
            <w:r w:rsidRPr="005B207E">
              <w:rPr>
                <w:szCs w:val="20"/>
              </w:rPr>
              <w:t xml:space="preserve">Мускулно- скелетна болка (напр. болка в </w:t>
            </w:r>
            <w:r w:rsidRPr="005B207E">
              <w:rPr>
                <w:szCs w:val="20"/>
              </w:rPr>
              <w:lastRenderedPageBreak/>
              <w:t>крайниците, болка в гърба, болка в гърдите) Артралгия</w:t>
            </w:r>
          </w:p>
        </w:tc>
        <w:tc>
          <w:tcPr>
            <w:tcW w:w="1695" w:type="dxa"/>
          </w:tcPr>
          <w:p w14:paraId="33E765D1" w14:textId="02DCA2C6" w:rsidR="005B207E" w:rsidRPr="005B207E" w:rsidRDefault="005B207E" w:rsidP="005B207E">
            <w:r w:rsidRPr="005B207E">
              <w:rPr>
                <w:szCs w:val="20"/>
              </w:rPr>
              <w:lastRenderedPageBreak/>
              <w:t xml:space="preserve">Миалгия Артрит Повишен мускулен </w:t>
            </w:r>
            <w:r w:rsidRPr="005B207E">
              <w:rPr>
                <w:szCs w:val="20"/>
              </w:rPr>
              <w:lastRenderedPageBreak/>
              <w:t>тонус и крампи</w:t>
            </w:r>
          </w:p>
        </w:tc>
        <w:tc>
          <w:tcPr>
            <w:tcW w:w="1755" w:type="dxa"/>
            <w:vAlign w:val="bottom"/>
          </w:tcPr>
          <w:p w14:paraId="4F39C4B6" w14:textId="655D46BE" w:rsidR="005B207E" w:rsidRPr="005B207E" w:rsidRDefault="005B207E" w:rsidP="005B207E">
            <w:r w:rsidRPr="005B207E">
              <w:rPr>
                <w:szCs w:val="20"/>
              </w:rPr>
              <w:lastRenderedPageBreak/>
              <w:t xml:space="preserve">Мускулна слабост Тендинит Разкъсване </w:t>
            </w:r>
            <w:r w:rsidRPr="005B207E">
              <w:rPr>
                <w:szCs w:val="20"/>
              </w:rPr>
              <w:lastRenderedPageBreak/>
              <w:t>на сухожилия (предимно на Ахилесовото сухожилие) (вж. точка 4.4) Обостряне на симптомите на миастения гравис (вж. точка 4.4)</w:t>
            </w:r>
          </w:p>
        </w:tc>
        <w:tc>
          <w:tcPr>
            <w:tcW w:w="1713" w:type="dxa"/>
          </w:tcPr>
          <w:p w14:paraId="763C6663" w14:textId="77777777" w:rsidR="005B207E" w:rsidRPr="005B207E" w:rsidRDefault="005B207E" w:rsidP="005B207E"/>
        </w:tc>
      </w:tr>
      <w:tr w:rsidR="005B207E" w14:paraId="7546FBA4" w14:textId="77777777" w:rsidTr="008D71FA">
        <w:tc>
          <w:tcPr>
            <w:tcW w:w="1848" w:type="dxa"/>
          </w:tcPr>
          <w:p w14:paraId="19A31A58" w14:textId="466FC56F" w:rsidR="005B207E" w:rsidRPr="005B207E" w:rsidRDefault="005B207E" w:rsidP="005B207E">
            <w:r w:rsidRPr="005B207E">
              <w:rPr>
                <w:b/>
                <w:bCs/>
                <w:szCs w:val="20"/>
              </w:rPr>
              <w:t>Нарушения на бъбреците и пикочните пътища</w:t>
            </w:r>
          </w:p>
        </w:tc>
        <w:tc>
          <w:tcPr>
            <w:tcW w:w="902" w:type="dxa"/>
          </w:tcPr>
          <w:p w14:paraId="21365945" w14:textId="77777777" w:rsidR="005B207E" w:rsidRPr="005B207E" w:rsidRDefault="005B207E" w:rsidP="005B207E"/>
        </w:tc>
        <w:tc>
          <w:tcPr>
            <w:tcW w:w="1663" w:type="dxa"/>
          </w:tcPr>
          <w:p w14:paraId="3D0B617E" w14:textId="48F61F12" w:rsidR="005B207E" w:rsidRPr="005B207E" w:rsidRDefault="005B207E" w:rsidP="005B207E">
            <w:r w:rsidRPr="005B207E">
              <w:rPr>
                <w:szCs w:val="20"/>
              </w:rPr>
              <w:t>Увреждане на бъбреците</w:t>
            </w:r>
          </w:p>
        </w:tc>
        <w:tc>
          <w:tcPr>
            <w:tcW w:w="1695" w:type="dxa"/>
            <w:vAlign w:val="bottom"/>
          </w:tcPr>
          <w:p w14:paraId="78A7E5CD" w14:textId="2512D706" w:rsidR="005B207E" w:rsidRPr="005B207E" w:rsidRDefault="005B207E" w:rsidP="005B207E">
            <w:r w:rsidRPr="005B207E">
              <w:rPr>
                <w:szCs w:val="20"/>
              </w:rPr>
              <w:t>Бъбречна недостатъчност Хематурия Кристалурия (вж. точка 4.4) Тубуло-интер- стициален нефрит</w:t>
            </w:r>
          </w:p>
        </w:tc>
        <w:tc>
          <w:tcPr>
            <w:tcW w:w="1755" w:type="dxa"/>
          </w:tcPr>
          <w:p w14:paraId="5C27F12B" w14:textId="77777777" w:rsidR="005B207E" w:rsidRPr="005B207E" w:rsidRDefault="005B207E" w:rsidP="005B207E"/>
        </w:tc>
        <w:tc>
          <w:tcPr>
            <w:tcW w:w="1713" w:type="dxa"/>
          </w:tcPr>
          <w:p w14:paraId="035BD6AA" w14:textId="77777777" w:rsidR="005B207E" w:rsidRPr="005B207E" w:rsidRDefault="005B207E" w:rsidP="005B207E"/>
        </w:tc>
      </w:tr>
      <w:tr w:rsidR="005B207E" w14:paraId="14282E66" w14:textId="77777777" w:rsidTr="008D71FA">
        <w:tc>
          <w:tcPr>
            <w:tcW w:w="1848" w:type="dxa"/>
            <w:vAlign w:val="bottom"/>
          </w:tcPr>
          <w:p w14:paraId="3F30B226" w14:textId="5ECFC0B8" w:rsidR="005B207E" w:rsidRPr="005B207E" w:rsidRDefault="005B207E" w:rsidP="005B207E">
            <w:r w:rsidRPr="005B207E">
              <w:rPr>
                <w:b/>
                <w:bCs/>
                <w:szCs w:val="20"/>
              </w:rPr>
              <w:t>Общи нарушения и ефекти на мястото на приложение*</w:t>
            </w:r>
          </w:p>
        </w:tc>
        <w:tc>
          <w:tcPr>
            <w:tcW w:w="902" w:type="dxa"/>
          </w:tcPr>
          <w:p w14:paraId="4A2F211D" w14:textId="77777777" w:rsidR="005B207E" w:rsidRPr="005B207E" w:rsidRDefault="005B207E" w:rsidP="005B207E"/>
        </w:tc>
        <w:tc>
          <w:tcPr>
            <w:tcW w:w="1663" w:type="dxa"/>
          </w:tcPr>
          <w:p w14:paraId="0D16300D" w14:textId="63212DE1" w:rsidR="005B207E" w:rsidRPr="005B207E" w:rsidRDefault="005B207E" w:rsidP="005B207E">
            <w:r w:rsidRPr="005B207E">
              <w:rPr>
                <w:szCs w:val="20"/>
              </w:rPr>
              <w:t>Асгения Повишена температура</w:t>
            </w:r>
          </w:p>
        </w:tc>
        <w:tc>
          <w:tcPr>
            <w:tcW w:w="1695" w:type="dxa"/>
          </w:tcPr>
          <w:p w14:paraId="273E2662" w14:textId="0AEA052E" w:rsidR="005B207E" w:rsidRPr="005B207E" w:rsidRDefault="005B207E" w:rsidP="005B207E">
            <w:r w:rsidRPr="005B207E">
              <w:rPr>
                <w:szCs w:val="20"/>
              </w:rPr>
              <w:t>Оток Изпотяване (хиперхидроза)</w:t>
            </w:r>
          </w:p>
        </w:tc>
        <w:tc>
          <w:tcPr>
            <w:tcW w:w="1755" w:type="dxa"/>
          </w:tcPr>
          <w:p w14:paraId="16535845" w14:textId="77777777" w:rsidR="005B207E" w:rsidRPr="005B207E" w:rsidRDefault="005B207E" w:rsidP="005B207E"/>
        </w:tc>
        <w:tc>
          <w:tcPr>
            <w:tcW w:w="1713" w:type="dxa"/>
          </w:tcPr>
          <w:p w14:paraId="166DFA4E" w14:textId="77777777" w:rsidR="005B207E" w:rsidRPr="005B207E" w:rsidRDefault="005B207E" w:rsidP="005B207E"/>
        </w:tc>
      </w:tr>
      <w:tr w:rsidR="005B207E" w14:paraId="1AC7E83C" w14:textId="77777777" w:rsidTr="008D71FA">
        <w:tc>
          <w:tcPr>
            <w:tcW w:w="1848" w:type="dxa"/>
          </w:tcPr>
          <w:p w14:paraId="6488AB09" w14:textId="4ED57387" w:rsidR="005B207E" w:rsidRPr="005B207E" w:rsidRDefault="005B207E" w:rsidP="005B207E">
            <w:r w:rsidRPr="005B207E">
              <w:rPr>
                <w:b/>
                <w:bCs/>
                <w:szCs w:val="20"/>
              </w:rPr>
              <w:t>Изследвания</w:t>
            </w:r>
          </w:p>
        </w:tc>
        <w:tc>
          <w:tcPr>
            <w:tcW w:w="902" w:type="dxa"/>
          </w:tcPr>
          <w:p w14:paraId="6A166A02" w14:textId="77777777" w:rsidR="005B207E" w:rsidRPr="005B207E" w:rsidRDefault="005B207E" w:rsidP="005B207E"/>
        </w:tc>
        <w:tc>
          <w:tcPr>
            <w:tcW w:w="1663" w:type="dxa"/>
          </w:tcPr>
          <w:p w14:paraId="78EDC496" w14:textId="6DBDD643" w:rsidR="005B207E" w:rsidRPr="005B207E" w:rsidRDefault="005B207E" w:rsidP="005B207E">
            <w:r w:rsidRPr="005B207E">
              <w:rPr>
                <w:szCs w:val="20"/>
              </w:rPr>
              <w:t>Повишена алкална фосфатаза в кръвта</w:t>
            </w:r>
          </w:p>
        </w:tc>
        <w:tc>
          <w:tcPr>
            <w:tcW w:w="1695" w:type="dxa"/>
          </w:tcPr>
          <w:p w14:paraId="549BA3FB" w14:textId="26D1A87A" w:rsidR="005B207E" w:rsidRPr="005B207E" w:rsidRDefault="005B207E" w:rsidP="005B207E">
            <w:r w:rsidRPr="005B207E">
              <w:rPr>
                <w:szCs w:val="20"/>
              </w:rPr>
              <w:t>Повишена амилаза</w:t>
            </w:r>
          </w:p>
        </w:tc>
        <w:tc>
          <w:tcPr>
            <w:tcW w:w="1755" w:type="dxa"/>
          </w:tcPr>
          <w:p w14:paraId="71EEA6D4" w14:textId="77777777" w:rsidR="005B207E" w:rsidRPr="005B207E" w:rsidRDefault="005B207E" w:rsidP="005B207E"/>
        </w:tc>
        <w:tc>
          <w:tcPr>
            <w:tcW w:w="1713" w:type="dxa"/>
          </w:tcPr>
          <w:p w14:paraId="54390598" w14:textId="77777777" w:rsidR="005B207E" w:rsidRPr="005B207E" w:rsidRDefault="005B207E" w:rsidP="005B207E">
            <w:r w:rsidRPr="005B207E">
              <w:rPr>
                <w:szCs w:val="20"/>
              </w:rPr>
              <w:t>Увеличено международно нормализирано съотношение (при пациенти,</w:t>
            </w:r>
          </w:p>
          <w:p w14:paraId="2A9877AE" w14:textId="77777777" w:rsidR="005B207E" w:rsidRPr="005B207E" w:rsidRDefault="005B207E" w:rsidP="005B207E">
            <w:r w:rsidRPr="005B207E">
              <w:rPr>
                <w:szCs w:val="20"/>
              </w:rPr>
              <w:t>лекувани с антагонисти</w:t>
            </w:r>
          </w:p>
          <w:p w14:paraId="6B82FA44" w14:textId="3634116C" w:rsidR="005B207E" w:rsidRPr="005B207E" w:rsidRDefault="005B207E" w:rsidP="005B207E">
            <w:r w:rsidRPr="005B207E">
              <w:rPr>
                <w:szCs w:val="20"/>
              </w:rPr>
              <w:t>на витамин К)</w:t>
            </w:r>
          </w:p>
        </w:tc>
      </w:tr>
    </w:tbl>
    <w:p w14:paraId="1DE1B717"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 органни класове и сетива (включително реакции като тендинит, разкъсване на сухожилие, артралгия, болка в крайниците, нарушение на походката, невропатии,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197416B5" w14:textId="77777777" w:rsidR="008D71FA" w:rsidRPr="008D71FA" w:rsidRDefault="008D71FA" w:rsidP="008D71FA">
      <w:pPr>
        <w:spacing w:line="240" w:lineRule="auto"/>
        <w:rPr>
          <w:rFonts w:eastAsia="Times New Roman" w:cs="Arial"/>
          <w:color w:val="000000"/>
          <w:lang w:eastAsia="bg-BG"/>
        </w:rPr>
      </w:pPr>
    </w:p>
    <w:p w14:paraId="7739B283" w14:textId="45CE6135" w:rsidR="008D71FA" w:rsidRPr="008D71FA" w:rsidRDefault="008D71FA" w:rsidP="008D71FA">
      <w:pPr>
        <w:spacing w:line="240" w:lineRule="auto"/>
        <w:rPr>
          <w:rFonts w:eastAsia="Times New Roman" w:cs="Arial"/>
        </w:rPr>
      </w:pPr>
      <w:r w:rsidRPr="008D71FA">
        <w:rPr>
          <w:rFonts w:eastAsia="Times New Roman" w:cs="Arial"/>
          <w:color w:val="000000"/>
          <w:lang w:eastAsia="bg-BG"/>
        </w:rPr>
        <w:t>**При пациентите, приемащи флуорохинолони, са съобщени случаи на аневризма и дисекация на аортата, понякога усложнени поради разкъсване (включително с летален изход) и регургитация/недостатьчност на някои от сърдечните клапи (вж. точка 4.4).</w:t>
      </w:r>
    </w:p>
    <w:p w14:paraId="7D734865" w14:textId="77777777" w:rsidR="008D71FA" w:rsidRPr="008D71FA" w:rsidRDefault="008D71FA" w:rsidP="008D71FA">
      <w:pPr>
        <w:spacing w:line="240" w:lineRule="auto"/>
        <w:rPr>
          <w:rFonts w:eastAsia="Times New Roman" w:cs="Arial"/>
          <w:color w:val="000000"/>
          <w:u w:val="single"/>
          <w:lang w:eastAsia="bg-BG"/>
        </w:rPr>
      </w:pPr>
    </w:p>
    <w:p w14:paraId="7B823E87" w14:textId="1597D92D" w:rsidR="008D71FA" w:rsidRPr="008D71FA" w:rsidRDefault="008D71FA" w:rsidP="008D71FA">
      <w:pPr>
        <w:spacing w:line="240" w:lineRule="auto"/>
        <w:rPr>
          <w:rFonts w:eastAsia="Times New Roman" w:cs="Arial"/>
        </w:rPr>
      </w:pPr>
      <w:r w:rsidRPr="008D71FA">
        <w:rPr>
          <w:rFonts w:eastAsia="Times New Roman" w:cs="Arial"/>
          <w:color w:val="000000"/>
          <w:u w:val="single"/>
          <w:lang w:eastAsia="bg-BG"/>
        </w:rPr>
        <w:lastRenderedPageBreak/>
        <w:t>Педиатрична популация</w:t>
      </w:r>
    </w:p>
    <w:p w14:paraId="4EA5B375"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Представената по-горе честота на артропатия (артралгия, артрит) се отнася за данните от проучвания при възрастни. Съобщава се, че при деца артропатията се среща по-често (вж. точка 4.4).</w:t>
      </w:r>
    </w:p>
    <w:p w14:paraId="72D49F51" w14:textId="77777777" w:rsidR="008D71FA" w:rsidRPr="008D71FA" w:rsidRDefault="008D71FA" w:rsidP="008D71FA">
      <w:pPr>
        <w:spacing w:line="240" w:lineRule="auto"/>
        <w:rPr>
          <w:rFonts w:eastAsia="Times New Roman" w:cs="Arial"/>
          <w:color w:val="000000"/>
          <w:u w:val="single"/>
          <w:lang w:eastAsia="bg-BG"/>
        </w:rPr>
      </w:pPr>
    </w:p>
    <w:p w14:paraId="45E2776E" w14:textId="4AAD3B9C" w:rsidR="008D71FA" w:rsidRPr="008D71FA" w:rsidRDefault="008D71FA" w:rsidP="008D71FA">
      <w:pPr>
        <w:spacing w:line="240" w:lineRule="auto"/>
        <w:rPr>
          <w:rFonts w:eastAsia="Times New Roman" w:cs="Arial"/>
        </w:rPr>
      </w:pPr>
      <w:r w:rsidRPr="008D71FA">
        <w:rPr>
          <w:rFonts w:eastAsia="Times New Roman" w:cs="Arial"/>
          <w:color w:val="000000"/>
          <w:u w:val="single"/>
          <w:lang w:eastAsia="bg-BG"/>
        </w:rPr>
        <w:t>Съобщаване на подозирани нежелани реакции</w:t>
      </w:r>
    </w:p>
    <w:p w14:paraId="1C0C8E54"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8BCFE6A"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Изпълнителната агенция по лекарствата</w:t>
      </w:r>
    </w:p>
    <w:p w14:paraId="7578F070"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ул. „Дамян Груев” №8</w:t>
      </w:r>
    </w:p>
    <w:p w14:paraId="3BACE0EA"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1303 София, България</w:t>
      </w:r>
    </w:p>
    <w:p w14:paraId="723D3DF5"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Тел.: +35 928903417</w:t>
      </w:r>
    </w:p>
    <w:p w14:paraId="327ECEC0"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 xml:space="preserve">уебсайт: </w:t>
      </w:r>
      <w:r w:rsidRPr="008D71FA">
        <w:rPr>
          <w:rFonts w:eastAsia="Times New Roman" w:cs="Arial"/>
        </w:rPr>
        <w:fldChar w:fldCharType="begin"/>
      </w:r>
      <w:r w:rsidRPr="008D71FA">
        <w:rPr>
          <w:rFonts w:eastAsia="Times New Roman" w:cs="Arial"/>
        </w:rPr>
        <w:instrText xml:space="preserve"> HYPERLINK "http://www.bda.bg" </w:instrText>
      </w:r>
      <w:r w:rsidRPr="008D71FA">
        <w:rPr>
          <w:rFonts w:eastAsia="Times New Roman" w:cs="Arial"/>
        </w:rPr>
      </w:r>
      <w:r w:rsidRPr="008D71FA">
        <w:rPr>
          <w:rFonts w:eastAsia="Times New Roman" w:cs="Arial"/>
        </w:rPr>
        <w:fldChar w:fldCharType="separate"/>
      </w:r>
      <w:r w:rsidRPr="008D71FA">
        <w:rPr>
          <w:rFonts w:eastAsia="Times New Roman" w:cs="Arial"/>
          <w:color w:val="000000"/>
          <w:u w:val="single"/>
          <w:lang w:val="en-US"/>
        </w:rPr>
        <w:t>www</w:t>
      </w:r>
      <w:r w:rsidRPr="008D71FA">
        <w:rPr>
          <w:rFonts w:eastAsia="Times New Roman" w:cs="Arial"/>
          <w:color w:val="000000"/>
          <w:u w:val="single"/>
          <w:lang w:val="ru-RU"/>
        </w:rPr>
        <w:t>.</w:t>
      </w:r>
      <w:proofErr w:type="spellStart"/>
      <w:r w:rsidRPr="008D71FA">
        <w:rPr>
          <w:rFonts w:eastAsia="Times New Roman" w:cs="Arial"/>
          <w:color w:val="000000"/>
          <w:u w:val="single"/>
          <w:lang w:val="en-US"/>
        </w:rPr>
        <w:t>bda</w:t>
      </w:r>
      <w:proofErr w:type="spellEnd"/>
      <w:r w:rsidRPr="008D71FA">
        <w:rPr>
          <w:rFonts w:eastAsia="Times New Roman" w:cs="Arial"/>
          <w:color w:val="000000"/>
          <w:u w:val="single"/>
          <w:lang w:val="ru-RU"/>
        </w:rPr>
        <w:t>.</w:t>
      </w:r>
      <w:proofErr w:type="spellStart"/>
      <w:r w:rsidRPr="008D71FA">
        <w:rPr>
          <w:rFonts w:eastAsia="Times New Roman" w:cs="Arial"/>
          <w:color w:val="000000"/>
          <w:u w:val="single"/>
          <w:lang w:val="en-US"/>
        </w:rPr>
        <w:t>bg</w:t>
      </w:r>
      <w:proofErr w:type="spellEnd"/>
      <w:r w:rsidRPr="008D71FA">
        <w:rPr>
          <w:rFonts w:eastAsia="Times New Roman" w:cs="Arial"/>
        </w:rPr>
        <w:fldChar w:fldCharType="end"/>
      </w:r>
    </w:p>
    <w:p w14:paraId="7423CE90" w14:textId="69C41CBB" w:rsidR="008D71FA" w:rsidRPr="005B207E" w:rsidRDefault="008D71FA" w:rsidP="005B207E"/>
    <w:p w14:paraId="5A87DBA3" w14:textId="238F3343" w:rsidR="007122AD" w:rsidRDefault="002C50EE" w:rsidP="00936AD0">
      <w:pPr>
        <w:pStyle w:val="Heading2"/>
      </w:pPr>
      <w:r>
        <w:t>4.9. Предозиране</w:t>
      </w:r>
    </w:p>
    <w:p w14:paraId="47AE5872" w14:textId="0683F5B8" w:rsidR="008D71FA" w:rsidRDefault="008D71FA" w:rsidP="008D71FA"/>
    <w:p w14:paraId="7190478F"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Има съобщение за единичен случай на предозиране от 12 </w:t>
      </w:r>
      <w:r w:rsidRPr="008D71FA">
        <w:rPr>
          <w:rFonts w:eastAsia="Times New Roman" w:cs="Arial"/>
          <w:color w:val="000000"/>
          <w:lang w:val="en-US"/>
        </w:rPr>
        <w:t>g</w:t>
      </w:r>
      <w:r w:rsidRPr="008D71FA">
        <w:rPr>
          <w:rFonts w:eastAsia="Times New Roman" w:cs="Arial"/>
          <w:color w:val="000000"/>
          <w:lang w:val="ru-RU"/>
        </w:rPr>
        <w:t xml:space="preserve">, </w:t>
      </w:r>
      <w:r w:rsidRPr="008D71FA">
        <w:rPr>
          <w:rFonts w:eastAsia="Times New Roman" w:cs="Arial"/>
          <w:color w:val="000000"/>
          <w:lang w:eastAsia="bg-BG"/>
        </w:rPr>
        <w:t xml:space="preserve">което е довело до леки симптоми на интоксикация. Има съобщение за единичен случай на остро предозиране от 16 </w:t>
      </w:r>
      <w:r w:rsidRPr="008D71FA">
        <w:rPr>
          <w:rFonts w:eastAsia="Times New Roman" w:cs="Arial"/>
          <w:color w:val="000000"/>
          <w:lang w:val="en-US"/>
        </w:rPr>
        <w:t>g</w:t>
      </w:r>
      <w:r w:rsidRPr="008D71FA">
        <w:rPr>
          <w:rFonts w:eastAsia="Times New Roman" w:cs="Arial"/>
          <w:color w:val="000000"/>
          <w:lang w:val="ru-RU"/>
        </w:rPr>
        <w:t xml:space="preserve">, </w:t>
      </w:r>
      <w:r w:rsidRPr="008D71FA">
        <w:rPr>
          <w:rFonts w:eastAsia="Times New Roman" w:cs="Arial"/>
          <w:color w:val="000000"/>
          <w:lang w:eastAsia="bg-BG"/>
        </w:rPr>
        <w:t>което е довело до остра бъбречна недостатъчност.</w:t>
      </w:r>
    </w:p>
    <w:p w14:paraId="47162EF6"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Симптомите на предозиране включват: замаяност, тремор, главоболие, умора, припадъци, халюцинации, обърканост, абдоминален дискомфорт, бъбречно и чернодробно увреждане, както и кристалурия и хематурия. Има съобщения за обратима бъбречна токсичност.</w:t>
      </w:r>
    </w:p>
    <w:p w14:paraId="78B18E8E" w14:textId="77777777" w:rsidR="008D71FA" w:rsidRPr="008D71FA" w:rsidRDefault="008D71FA" w:rsidP="008D71FA">
      <w:pPr>
        <w:spacing w:line="240" w:lineRule="auto"/>
        <w:rPr>
          <w:rFonts w:eastAsia="Times New Roman" w:cs="Arial"/>
          <w:color w:val="000000"/>
          <w:lang w:eastAsia="bg-BG"/>
        </w:rPr>
      </w:pPr>
    </w:p>
    <w:p w14:paraId="39147081" w14:textId="33239FAD"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Освен рутинните спешни мерки, напр. изпразване на стомаха, последвано от медицински въглен, се препоръчва мониториране на бъбречната функция, включващо определяне на </w:t>
      </w:r>
      <w:r w:rsidRPr="008D71FA">
        <w:rPr>
          <w:rFonts w:eastAsia="Times New Roman" w:cs="Arial"/>
          <w:color w:val="000000"/>
          <w:lang w:val="en-US"/>
        </w:rPr>
        <w:t>pH</w:t>
      </w:r>
      <w:r w:rsidRPr="008D71FA">
        <w:rPr>
          <w:rFonts w:eastAsia="Times New Roman" w:cs="Arial"/>
          <w:color w:val="000000"/>
          <w:lang w:val="ru-RU"/>
        </w:rPr>
        <w:t xml:space="preserve"> </w:t>
      </w:r>
      <w:r w:rsidRPr="008D71FA">
        <w:rPr>
          <w:rFonts w:eastAsia="Times New Roman" w:cs="Arial"/>
          <w:color w:val="000000"/>
          <w:lang w:eastAsia="bg-BG"/>
        </w:rPr>
        <w:t>на урината и, ако се налага, подкисляване за профилактика на кристалурия. Пациентите трябва да са добре хидратирани. Калций или магнезий съдържащите антиациди могат теоретично да намалят абсорбцията на ципрофлоксацин при предозиране. Само малко количество ципрофлоксацин (&lt;10 %) се елиминира чрез хемодиализа или перитонеална диализа.</w:t>
      </w:r>
    </w:p>
    <w:p w14:paraId="56117B07" w14:textId="77777777" w:rsidR="008D71FA" w:rsidRPr="008D71FA" w:rsidRDefault="008D71FA" w:rsidP="008D71FA">
      <w:pPr>
        <w:spacing w:line="240" w:lineRule="auto"/>
        <w:rPr>
          <w:rFonts w:eastAsia="Times New Roman" w:cs="Arial"/>
          <w:color w:val="000000"/>
          <w:lang w:eastAsia="bg-BG"/>
        </w:rPr>
      </w:pPr>
    </w:p>
    <w:p w14:paraId="602CD63C" w14:textId="4EB6CE34"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При случай на предозиране трябва да се приложи симптоматично лечение. Трябва да се наблюдава ЕКГ поради възможността за удължаване на </w:t>
      </w:r>
      <w:r w:rsidRPr="008D71FA">
        <w:rPr>
          <w:rFonts w:eastAsia="Times New Roman" w:cs="Arial"/>
          <w:color w:val="000000"/>
          <w:lang w:val="en-US"/>
        </w:rPr>
        <w:t>QT</w:t>
      </w:r>
      <w:r w:rsidRPr="008D71FA">
        <w:rPr>
          <w:rFonts w:eastAsia="Times New Roman" w:cs="Arial"/>
          <w:color w:val="000000"/>
          <w:lang w:val="ru-RU"/>
        </w:rPr>
        <w:t xml:space="preserve"> </w:t>
      </w:r>
      <w:r w:rsidRPr="008D71FA">
        <w:rPr>
          <w:rFonts w:eastAsia="Times New Roman" w:cs="Arial"/>
          <w:color w:val="000000"/>
          <w:lang w:eastAsia="bg-BG"/>
        </w:rPr>
        <w:t>интервала.</w:t>
      </w:r>
    </w:p>
    <w:p w14:paraId="0F764154" w14:textId="77777777" w:rsidR="008D71FA" w:rsidRPr="008D71FA" w:rsidRDefault="008D71FA" w:rsidP="008D71FA"/>
    <w:p w14:paraId="02081B24" w14:textId="36FE76F4" w:rsidR="00395555" w:rsidRPr="00395555" w:rsidRDefault="002C50EE" w:rsidP="008A6AF2">
      <w:pPr>
        <w:pStyle w:val="Heading1"/>
      </w:pPr>
      <w:r>
        <w:t>5. ФАРМАКОЛОГИЧНИ СВОЙСТВА</w:t>
      </w:r>
    </w:p>
    <w:p w14:paraId="6339E404" w14:textId="25B8FA24" w:rsidR="00875EEC" w:rsidRDefault="002C50EE" w:rsidP="005726E3">
      <w:pPr>
        <w:pStyle w:val="Heading2"/>
      </w:pPr>
      <w:r>
        <w:t>5.1. Фармакодинамични свойства</w:t>
      </w:r>
    </w:p>
    <w:p w14:paraId="4460FBB6" w14:textId="57A55DA4" w:rsidR="008D71FA" w:rsidRDefault="008D71FA" w:rsidP="008D71FA"/>
    <w:p w14:paraId="69A5C512"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Фармакотерапевтична група: Флуорохинолони, АТС код: </w:t>
      </w:r>
      <w:r w:rsidRPr="008D71FA">
        <w:rPr>
          <w:rFonts w:eastAsia="Times New Roman" w:cs="Arial"/>
          <w:color w:val="000000"/>
          <w:lang w:val="en-US"/>
        </w:rPr>
        <w:t>J</w:t>
      </w:r>
      <w:r w:rsidRPr="008D71FA">
        <w:rPr>
          <w:rFonts w:eastAsia="Times New Roman" w:cs="Arial"/>
          <w:color w:val="000000"/>
          <w:lang w:val="ru-RU"/>
        </w:rPr>
        <w:t>01</w:t>
      </w:r>
      <w:r w:rsidRPr="008D71FA">
        <w:rPr>
          <w:rFonts w:eastAsia="Times New Roman" w:cs="Arial"/>
          <w:color w:val="000000"/>
          <w:lang w:val="en-US"/>
        </w:rPr>
        <w:t>MA</w:t>
      </w:r>
      <w:r w:rsidRPr="008D71FA">
        <w:rPr>
          <w:rFonts w:eastAsia="Times New Roman" w:cs="Arial"/>
          <w:color w:val="000000"/>
          <w:lang w:val="ru-RU"/>
        </w:rPr>
        <w:t>02</w:t>
      </w:r>
    </w:p>
    <w:p w14:paraId="195F3F5F" w14:textId="77777777" w:rsidR="008D71FA" w:rsidRPr="008D71FA" w:rsidRDefault="008D71FA" w:rsidP="008D71FA">
      <w:pPr>
        <w:spacing w:line="240" w:lineRule="auto"/>
        <w:rPr>
          <w:rFonts w:eastAsia="Times New Roman" w:cs="Arial"/>
          <w:color w:val="000000"/>
          <w:u w:val="single"/>
          <w:lang w:eastAsia="bg-BG"/>
        </w:rPr>
      </w:pPr>
    </w:p>
    <w:p w14:paraId="570B179D" w14:textId="19BA4113"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Механизъм на действие</w:t>
      </w:r>
    </w:p>
    <w:p w14:paraId="2EB6587F" w14:textId="77777777" w:rsidR="008D71FA" w:rsidRPr="008D71FA" w:rsidRDefault="008D71FA" w:rsidP="008D71FA">
      <w:pPr>
        <w:spacing w:line="240" w:lineRule="auto"/>
        <w:rPr>
          <w:rFonts w:eastAsia="Times New Roman" w:cs="Arial"/>
          <w:color w:val="000000"/>
          <w:lang w:eastAsia="bg-BG"/>
        </w:rPr>
      </w:pPr>
    </w:p>
    <w:p w14:paraId="5F95B428" w14:textId="5C4DC61E"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Бактерицидният ефект на ципрофлоксацин, като флуорохинолоново антибактериално средство, се осъществява чрез инхибиране на двата типа толизомераза </w:t>
      </w:r>
      <w:r w:rsidRPr="008D71FA">
        <w:rPr>
          <w:rFonts w:eastAsia="Times New Roman" w:cs="Arial"/>
          <w:color w:val="000000"/>
          <w:lang w:val="en-US"/>
        </w:rPr>
        <w:t>II</w:t>
      </w:r>
      <w:r w:rsidRPr="008D71FA">
        <w:rPr>
          <w:rFonts w:eastAsia="Times New Roman" w:cs="Arial"/>
          <w:color w:val="000000"/>
          <w:lang w:eastAsia="bg-BG"/>
        </w:rPr>
        <w:t xml:space="preserve"> (ДНК-гираза) и топоизомераза IV, които са необходими за репликацията, транскрипцията, репарирането и рекомбинацията на бактериалната ДНК.</w:t>
      </w:r>
    </w:p>
    <w:p w14:paraId="35320DF2" w14:textId="77777777" w:rsidR="008D71FA" w:rsidRPr="008D71FA" w:rsidRDefault="008D71FA" w:rsidP="008D71FA">
      <w:pPr>
        <w:spacing w:line="240" w:lineRule="auto"/>
        <w:rPr>
          <w:rFonts w:eastAsia="Times New Roman" w:cs="Arial"/>
          <w:color w:val="000000"/>
          <w:u w:val="single"/>
          <w:lang w:eastAsia="bg-BG"/>
        </w:rPr>
      </w:pPr>
    </w:p>
    <w:p w14:paraId="0D2D3F5F" w14:textId="760EE9F3"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Съотношение Фармакокинетика/Фармакодинамика:</w:t>
      </w:r>
    </w:p>
    <w:p w14:paraId="245EA85C" w14:textId="77777777" w:rsidR="008D71FA" w:rsidRPr="008D71FA" w:rsidRDefault="008D71FA" w:rsidP="008D71FA">
      <w:pPr>
        <w:spacing w:line="240" w:lineRule="auto"/>
        <w:rPr>
          <w:rFonts w:eastAsia="Times New Roman" w:cs="Arial"/>
          <w:color w:val="000000"/>
          <w:lang w:eastAsia="bg-BG"/>
        </w:rPr>
      </w:pPr>
    </w:p>
    <w:p w14:paraId="1BE4D503" w14:textId="246DD3AF"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Ефикасността зависи основно от съотношението между максималната концентрация в серума (С</w:t>
      </w:r>
      <w:r w:rsidRPr="008D71FA">
        <w:rPr>
          <w:rFonts w:eastAsia="Times New Roman" w:cs="Arial"/>
          <w:color w:val="000000"/>
          <w:vertAlign w:val="subscript"/>
          <w:lang w:val="en-US"/>
        </w:rPr>
        <w:t>max</w:t>
      </w:r>
      <w:r w:rsidRPr="008D71FA">
        <w:rPr>
          <w:rFonts w:eastAsia="Times New Roman" w:cs="Arial"/>
          <w:color w:val="000000"/>
          <w:lang w:eastAsia="bg-BG"/>
        </w:rPr>
        <w:t xml:space="preserve">) и минималната инхибираща концентрация (МИК) на ципрофлоксацин за бактериалния патоген и съотношението между площта под кривата </w:t>
      </w:r>
      <w:r w:rsidRPr="008D71FA">
        <w:rPr>
          <w:rFonts w:eastAsia="Times New Roman" w:cs="Arial"/>
          <w:color w:val="000000"/>
          <w:lang w:val="ru-RU"/>
        </w:rPr>
        <w:t>(</w:t>
      </w:r>
      <w:r w:rsidRPr="008D71FA">
        <w:rPr>
          <w:rFonts w:eastAsia="Times New Roman" w:cs="Arial"/>
          <w:color w:val="000000"/>
          <w:lang w:val="en-US"/>
        </w:rPr>
        <w:t>AUC</w:t>
      </w:r>
      <w:r w:rsidRPr="008D71FA">
        <w:rPr>
          <w:rFonts w:eastAsia="Times New Roman" w:cs="Arial"/>
          <w:color w:val="000000"/>
          <w:lang w:val="ru-RU"/>
        </w:rPr>
        <w:t xml:space="preserve">) </w:t>
      </w:r>
      <w:r w:rsidRPr="008D71FA">
        <w:rPr>
          <w:rFonts w:eastAsia="Times New Roman" w:cs="Arial"/>
          <w:color w:val="000000"/>
          <w:lang w:eastAsia="bg-BG"/>
        </w:rPr>
        <w:t>и МИК.</w:t>
      </w:r>
    </w:p>
    <w:p w14:paraId="2AA17C74" w14:textId="77777777" w:rsidR="008D71FA" w:rsidRPr="008D71FA" w:rsidRDefault="008D71FA" w:rsidP="008D71FA">
      <w:pPr>
        <w:spacing w:line="240" w:lineRule="auto"/>
        <w:rPr>
          <w:rFonts w:eastAsia="Times New Roman" w:cs="Arial"/>
          <w:color w:val="000000"/>
          <w:u w:val="single"/>
          <w:lang w:eastAsia="bg-BG"/>
        </w:rPr>
      </w:pPr>
    </w:p>
    <w:p w14:paraId="34CCA217" w14:textId="5E6D8558"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Механизъм на резистентност:</w:t>
      </w:r>
    </w:p>
    <w:p w14:paraId="23806550" w14:textId="77777777" w:rsidR="008D71FA" w:rsidRPr="008D71FA" w:rsidRDefault="008D71FA" w:rsidP="008D71FA">
      <w:pPr>
        <w:spacing w:line="240" w:lineRule="auto"/>
        <w:rPr>
          <w:rFonts w:eastAsia="Times New Roman" w:cs="Arial"/>
          <w:i/>
          <w:iCs/>
          <w:color w:val="000000"/>
          <w:lang w:val="en-US"/>
        </w:rPr>
      </w:pPr>
    </w:p>
    <w:p w14:paraId="420E7804" w14:textId="167A63A3" w:rsidR="008D71FA" w:rsidRPr="008D71FA" w:rsidRDefault="008D71FA" w:rsidP="008D71FA">
      <w:pPr>
        <w:spacing w:line="240" w:lineRule="auto"/>
        <w:rPr>
          <w:rFonts w:eastAsia="Times New Roman" w:cs="Arial"/>
          <w:sz w:val="24"/>
          <w:szCs w:val="24"/>
        </w:rPr>
      </w:pPr>
      <w:r w:rsidRPr="008D71FA">
        <w:rPr>
          <w:rFonts w:eastAsia="Times New Roman" w:cs="Arial"/>
          <w:i/>
          <w:iCs/>
          <w:color w:val="000000"/>
          <w:lang w:val="en-US"/>
        </w:rPr>
        <w:t>In</w:t>
      </w:r>
      <w:r w:rsidRPr="008D71FA">
        <w:rPr>
          <w:rFonts w:eastAsia="Times New Roman" w:cs="Arial"/>
          <w:i/>
          <w:iCs/>
          <w:color w:val="000000"/>
          <w:lang w:val="ru-RU"/>
        </w:rPr>
        <w:t xml:space="preserve"> </w:t>
      </w:r>
      <w:r w:rsidRPr="008D71FA">
        <w:rPr>
          <w:rFonts w:eastAsia="Times New Roman" w:cs="Arial"/>
          <w:i/>
          <w:iCs/>
          <w:color w:val="000000"/>
          <w:lang w:val="en-US"/>
        </w:rPr>
        <w:t>vitro</w:t>
      </w:r>
      <w:r w:rsidRPr="008D71FA">
        <w:rPr>
          <w:rFonts w:eastAsia="Times New Roman" w:cs="Arial"/>
          <w:color w:val="000000"/>
          <w:lang w:val="ru-RU"/>
        </w:rPr>
        <w:t xml:space="preserve"> </w:t>
      </w:r>
      <w:r w:rsidRPr="008D71FA">
        <w:rPr>
          <w:rFonts w:eastAsia="Times New Roman" w:cs="Arial"/>
          <w:color w:val="000000"/>
          <w:lang w:eastAsia="bg-BG"/>
        </w:rPr>
        <w:t>резистентност към ципрофлоксацин може да бъде придобита чрез поетапен процес на таргетни локални мутации на ДНК гираза и топоизомераза IV. Степента на кръстосана резистентност между ципрофлоксацин и други флуорохинолони в резултат на това е вариабилна. Единични мутации могат да не доведат до клинична резистентност, но множествените мутации обикновено водят до клинична резистентност към много или всички активни вещества от този клас.</w:t>
      </w:r>
      <w:r w:rsidRPr="008D71FA">
        <w:rPr>
          <w:rFonts w:eastAsia="Times New Roman" w:cs="Arial"/>
          <w:sz w:val="24"/>
          <w:szCs w:val="24"/>
        </w:rPr>
        <w:t xml:space="preserve"> </w:t>
      </w:r>
      <w:r w:rsidRPr="008D71FA">
        <w:rPr>
          <w:rFonts w:eastAsia="Times New Roman" w:cs="Arial"/>
          <w:color w:val="000000"/>
          <w:lang w:eastAsia="bg-BG"/>
        </w:rPr>
        <w:t xml:space="preserve">Механизмите на резистентност чрез непропускливост и/или засягащи ефлуксната помпа на активната съставка могат да имат различен ефект върху чувствителността към флуорохинолони, което зависи от физикохимичните свойства на различните активни съставки в този клас и афинитета на транспортните системи към всяка отделна активна съставка. Всички </w:t>
      </w:r>
      <w:r w:rsidRPr="008D71FA">
        <w:rPr>
          <w:rFonts w:eastAsia="Times New Roman" w:cs="Arial"/>
          <w:i/>
          <w:iCs/>
          <w:color w:val="000000"/>
          <w:lang w:val="en-US"/>
        </w:rPr>
        <w:t>in</w:t>
      </w:r>
      <w:r w:rsidRPr="008D71FA">
        <w:rPr>
          <w:rFonts w:eastAsia="Times New Roman" w:cs="Arial"/>
          <w:i/>
          <w:iCs/>
          <w:color w:val="000000"/>
          <w:lang w:val="ru-RU"/>
        </w:rPr>
        <w:t xml:space="preserve"> </w:t>
      </w:r>
      <w:r w:rsidRPr="008D71FA">
        <w:rPr>
          <w:rFonts w:eastAsia="Times New Roman" w:cs="Arial"/>
          <w:i/>
          <w:iCs/>
          <w:color w:val="000000"/>
          <w:lang w:val="en-US"/>
        </w:rPr>
        <w:t>vitro</w:t>
      </w:r>
      <w:r w:rsidRPr="008D71FA">
        <w:rPr>
          <w:rFonts w:eastAsia="Times New Roman" w:cs="Arial"/>
          <w:color w:val="000000"/>
          <w:lang w:val="ru-RU"/>
        </w:rPr>
        <w:t xml:space="preserve"> </w:t>
      </w:r>
      <w:r w:rsidRPr="008D71FA">
        <w:rPr>
          <w:rFonts w:eastAsia="Times New Roman" w:cs="Arial"/>
          <w:color w:val="000000"/>
          <w:lang w:eastAsia="bg-BG"/>
        </w:rPr>
        <w:t xml:space="preserve">механизми на резистентност обикновено се наблюдават в клинични изолати. Механизми на резистентност, които инактивират други антибиотици, като пропускливост на бариерите (често при </w:t>
      </w:r>
      <w:r w:rsidRPr="008D71FA">
        <w:rPr>
          <w:rFonts w:eastAsia="Times New Roman" w:cs="Arial"/>
          <w:i/>
          <w:iCs/>
          <w:color w:val="000000"/>
          <w:lang w:val="en-US"/>
        </w:rPr>
        <w:t>Pseudomonas</w:t>
      </w:r>
      <w:r w:rsidRPr="008D71FA">
        <w:rPr>
          <w:rFonts w:eastAsia="Times New Roman" w:cs="Arial"/>
          <w:i/>
          <w:iCs/>
          <w:color w:val="000000"/>
          <w:lang w:val="ru-RU"/>
        </w:rPr>
        <w:t xml:space="preserve"> </w:t>
      </w:r>
      <w:r w:rsidRPr="008D71FA">
        <w:rPr>
          <w:rFonts w:eastAsia="Times New Roman" w:cs="Arial"/>
          <w:i/>
          <w:iCs/>
          <w:color w:val="000000"/>
          <w:lang w:val="en-US"/>
        </w:rPr>
        <w:t>aeruginosa</w:t>
      </w:r>
      <w:r w:rsidRPr="008D71FA">
        <w:rPr>
          <w:rFonts w:eastAsia="Times New Roman" w:cs="Arial"/>
          <w:i/>
          <w:iCs/>
          <w:color w:val="000000"/>
          <w:lang w:val="ru-RU"/>
        </w:rPr>
        <w:t xml:space="preserve">) </w:t>
      </w:r>
      <w:r w:rsidRPr="008D71FA">
        <w:rPr>
          <w:rFonts w:eastAsia="Times New Roman" w:cs="Arial"/>
          <w:i/>
          <w:iCs/>
          <w:color w:val="000000"/>
          <w:lang w:eastAsia="bg-BG"/>
        </w:rPr>
        <w:t>н</w:t>
      </w:r>
      <w:r w:rsidRPr="008D71FA">
        <w:rPr>
          <w:rFonts w:eastAsia="Times New Roman" w:cs="Arial"/>
          <w:color w:val="000000"/>
          <w:lang w:eastAsia="bg-BG"/>
        </w:rPr>
        <w:t xml:space="preserve"> механизми на ефлукс могат да променят чувствителността към ципрофлоксацин.</w:t>
      </w:r>
    </w:p>
    <w:p w14:paraId="401F1136"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Има съобщения за плазмид-медиирана резистентност, кодирана чрез </w:t>
      </w:r>
      <w:proofErr w:type="spellStart"/>
      <w:r w:rsidRPr="008D71FA">
        <w:rPr>
          <w:rFonts w:eastAsia="Times New Roman" w:cs="Arial"/>
          <w:color w:val="000000"/>
          <w:lang w:val="en-US"/>
        </w:rPr>
        <w:t>qnr</w:t>
      </w:r>
      <w:proofErr w:type="spellEnd"/>
      <w:r w:rsidRPr="008D71FA">
        <w:rPr>
          <w:rFonts w:eastAsia="Times New Roman" w:cs="Arial"/>
          <w:color w:val="000000"/>
          <w:lang w:eastAsia="bg-BG"/>
        </w:rPr>
        <w:t>-гени.</w:t>
      </w:r>
    </w:p>
    <w:p w14:paraId="5930CBDC" w14:textId="77777777" w:rsidR="008D71FA" w:rsidRPr="008D71FA" w:rsidRDefault="008D71FA" w:rsidP="008D71FA">
      <w:pPr>
        <w:spacing w:line="240" w:lineRule="auto"/>
        <w:rPr>
          <w:rFonts w:eastAsia="Times New Roman" w:cs="Arial"/>
          <w:color w:val="000000"/>
          <w:u w:val="single"/>
          <w:lang w:eastAsia="bg-BG"/>
        </w:rPr>
      </w:pPr>
    </w:p>
    <w:p w14:paraId="02E423B5" w14:textId="704D1BCF"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Спектър на антибакгериална активност:</w:t>
      </w:r>
    </w:p>
    <w:p w14:paraId="0EB38FEE" w14:textId="77777777" w:rsidR="008D71FA" w:rsidRPr="008D71FA" w:rsidRDefault="008D71FA" w:rsidP="008D71FA">
      <w:pPr>
        <w:spacing w:line="240" w:lineRule="auto"/>
        <w:rPr>
          <w:rFonts w:eastAsia="Times New Roman" w:cs="Arial"/>
          <w:color w:val="000000"/>
          <w:lang w:eastAsia="bg-BG"/>
        </w:rPr>
      </w:pPr>
    </w:p>
    <w:p w14:paraId="053A7720" w14:textId="15418C64"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Следните гранични стойности разделят чувствителните щамове от щамовете с умерена чувствителност и резистентните щамове:</w:t>
      </w:r>
    </w:p>
    <w:p w14:paraId="4A7C1514" w14:textId="77777777" w:rsidR="008D71FA" w:rsidRPr="008D71FA" w:rsidRDefault="008D71FA" w:rsidP="008D71FA">
      <w:pPr>
        <w:spacing w:line="240" w:lineRule="auto"/>
        <w:rPr>
          <w:rFonts w:eastAsia="Times New Roman" w:cs="Arial"/>
          <w:i/>
          <w:iCs/>
          <w:color w:val="000000"/>
          <w:u w:val="single"/>
          <w:lang w:eastAsia="bg-BG"/>
        </w:rPr>
      </w:pPr>
    </w:p>
    <w:p w14:paraId="2EF8CC16" w14:textId="7D1721C6" w:rsidR="008D71FA" w:rsidRDefault="008D71FA" w:rsidP="008D71FA">
      <w:pPr>
        <w:spacing w:line="240" w:lineRule="auto"/>
        <w:rPr>
          <w:rFonts w:eastAsia="Times New Roman" w:cs="Arial"/>
          <w:i/>
          <w:iCs/>
          <w:color w:val="000000"/>
          <w:u w:val="single"/>
          <w:lang w:val="en-US"/>
        </w:rPr>
      </w:pPr>
      <w:r w:rsidRPr="008D71FA">
        <w:rPr>
          <w:rFonts w:eastAsia="Times New Roman" w:cs="Arial"/>
          <w:i/>
          <w:iCs/>
          <w:color w:val="000000"/>
          <w:u w:val="single"/>
          <w:lang w:eastAsia="bg-BG"/>
        </w:rPr>
        <w:t xml:space="preserve">Препоръки на </w:t>
      </w:r>
      <w:r w:rsidRPr="008D71FA">
        <w:rPr>
          <w:rFonts w:eastAsia="Times New Roman" w:cs="Arial"/>
          <w:i/>
          <w:iCs/>
          <w:color w:val="000000"/>
          <w:u w:val="single"/>
          <w:lang w:val="en-US"/>
        </w:rPr>
        <w:t>EUCAST</w:t>
      </w:r>
    </w:p>
    <w:tbl>
      <w:tblPr>
        <w:tblStyle w:val="TableGrid"/>
        <w:tblW w:w="0" w:type="auto"/>
        <w:tblLook w:val="04A0" w:firstRow="1" w:lastRow="0" w:firstColumn="1" w:lastColumn="0" w:noHBand="0" w:noVBand="1"/>
      </w:tblPr>
      <w:tblGrid>
        <w:gridCol w:w="3133"/>
        <w:gridCol w:w="3113"/>
        <w:gridCol w:w="3104"/>
      </w:tblGrid>
      <w:tr w:rsidR="008D71FA" w14:paraId="047F6C03" w14:textId="77777777" w:rsidTr="008D71FA">
        <w:tc>
          <w:tcPr>
            <w:tcW w:w="3192" w:type="dxa"/>
          </w:tcPr>
          <w:p w14:paraId="3CC96196" w14:textId="314B7ED9" w:rsidR="008D71FA" w:rsidRDefault="008D71FA" w:rsidP="008D71FA">
            <w:pPr>
              <w:spacing w:line="240" w:lineRule="auto"/>
              <w:rPr>
                <w:rFonts w:eastAsia="Times New Roman" w:cs="Arial"/>
                <w:sz w:val="24"/>
                <w:szCs w:val="24"/>
              </w:rPr>
            </w:pPr>
            <w:r>
              <w:rPr>
                <w:b/>
                <w:bCs/>
                <w:lang w:eastAsia="bg-BG"/>
              </w:rPr>
              <w:t>Микроорганизми</w:t>
            </w:r>
          </w:p>
        </w:tc>
        <w:tc>
          <w:tcPr>
            <w:tcW w:w="3192" w:type="dxa"/>
          </w:tcPr>
          <w:p w14:paraId="14B17C81" w14:textId="384E24F9" w:rsidR="008D71FA" w:rsidRDefault="008D71FA" w:rsidP="008D71FA">
            <w:pPr>
              <w:spacing w:line="240" w:lineRule="auto"/>
              <w:rPr>
                <w:rFonts w:eastAsia="Times New Roman" w:cs="Arial"/>
                <w:sz w:val="24"/>
                <w:szCs w:val="24"/>
              </w:rPr>
            </w:pPr>
            <w:r>
              <w:rPr>
                <w:b/>
                <w:bCs/>
                <w:lang w:eastAsia="bg-BG"/>
              </w:rPr>
              <w:t>Чувствителни</w:t>
            </w:r>
          </w:p>
        </w:tc>
        <w:tc>
          <w:tcPr>
            <w:tcW w:w="3192" w:type="dxa"/>
          </w:tcPr>
          <w:p w14:paraId="78021F80" w14:textId="28ED2BA4" w:rsidR="008D71FA" w:rsidRDefault="008D71FA" w:rsidP="008D71FA">
            <w:pPr>
              <w:spacing w:line="240" w:lineRule="auto"/>
              <w:rPr>
                <w:rFonts w:eastAsia="Times New Roman" w:cs="Arial"/>
                <w:sz w:val="24"/>
                <w:szCs w:val="24"/>
              </w:rPr>
            </w:pPr>
            <w:r>
              <w:rPr>
                <w:b/>
                <w:bCs/>
                <w:lang w:eastAsia="bg-BG"/>
              </w:rPr>
              <w:t>Резистентни</w:t>
            </w:r>
          </w:p>
        </w:tc>
      </w:tr>
      <w:tr w:rsidR="008D71FA" w14:paraId="0F2BEED0" w14:textId="77777777" w:rsidTr="008D71FA">
        <w:tc>
          <w:tcPr>
            <w:tcW w:w="3192" w:type="dxa"/>
          </w:tcPr>
          <w:p w14:paraId="275F61F8" w14:textId="2DAFFB7C" w:rsidR="008D71FA" w:rsidRDefault="008D71FA" w:rsidP="008D71FA">
            <w:pPr>
              <w:spacing w:line="240" w:lineRule="auto"/>
              <w:rPr>
                <w:rFonts w:eastAsia="Times New Roman" w:cs="Arial"/>
                <w:sz w:val="24"/>
                <w:szCs w:val="24"/>
              </w:rPr>
            </w:pPr>
            <w:r>
              <w:rPr>
                <w:i/>
                <w:iCs/>
              </w:rPr>
              <w:t>Enterobacteriaceae</w:t>
            </w:r>
          </w:p>
        </w:tc>
        <w:tc>
          <w:tcPr>
            <w:tcW w:w="3192" w:type="dxa"/>
          </w:tcPr>
          <w:p w14:paraId="113E2763" w14:textId="534F93C5" w:rsidR="008D71FA" w:rsidRDefault="008D71FA" w:rsidP="008D71FA">
            <w:pPr>
              <w:spacing w:line="240" w:lineRule="auto"/>
              <w:rPr>
                <w:rFonts w:eastAsia="Times New Roman" w:cs="Arial"/>
                <w:sz w:val="24"/>
                <w:szCs w:val="24"/>
              </w:rPr>
            </w:pPr>
            <w:r>
              <w:t xml:space="preserve">S </w:t>
            </w:r>
            <w:r>
              <w:rPr>
                <w:lang w:eastAsia="bg-BG"/>
              </w:rPr>
              <w:t xml:space="preserve">≤ 0,25 </w:t>
            </w:r>
            <w:r>
              <w:t>mg/L</w:t>
            </w:r>
          </w:p>
        </w:tc>
        <w:tc>
          <w:tcPr>
            <w:tcW w:w="3192" w:type="dxa"/>
          </w:tcPr>
          <w:p w14:paraId="1879AE99" w14:textId="2EE4D099" w:rsidR="008D71FA" w:rsidRDefault="008D71FA" w:rsidP="008D71FA">
            <w:pPr>
              <w:spacing w:line="240" w:lineRule="auto"/>
              <w:rPr>
                <w:rFonts w:eastAsia="Times New Roman" w:cs="Arial"/>
                <w:sz w:val="24"/>
                <w:szCs w:val="24"/>
              </w:rPr>
            </w:pPr>
            <w:r>
              <w:t>R &gt; 0,5 mg/L</w:t>
            </w:r>
          </w:p>
        </w:tc>
      </w:tr>
      <w:tr w:rsidR="008D71FA" w14:paraId="2D309AEB" w14:textId="77777777" w:rsidTr="008D71FA">
        <w:tc>
          <w:tcPr>
            <w:tcW w:w="3192" w:type="dxa"/>
          </w:tcPr>
          <w:p w14:paraId="23756320" w14:textId="1B2343DE" w:rsidR="008D71FA" w:rsidRDefault="008D71FA" w:rsidP="008D71FA">
            <w:pPr>
              <w:spacing w:line="240" w:lineRule="auto"/>
              <w:rPr>
                <w:rFonts w:eastAsia="Times New Roman" w:cs="Arial"/>
                <w:sz w:val="24"/>
                <w:szCs w:val="24"/>
              </w:rPr>
            </w:pPr>
            <w:r>
              <w:rPr>
                <w:i/>
                <w:iCs/>
              </w:rPr>
              <w:t>Salmonella spp.</w:t>
            </w:r>
          </w:p>
        </w:tc>
        <w:tc>
          <w:tcPr>
            <w:tcW w:w="3192" w:type="dxa"/>
          </w:tcPr>
          <w:p w14:paraId="696899FD" w14:textId="32EF5DA9" w:rsidR="008D71FA" w:rsidRDefault="008D71FA" w:rsidP="008D71FA">
            <w:pPr>
              <w:spacing w:line="240" w:lineRule="auto"/>
              <w:rPr>
                <w:rFonts w:eastAsia="Times New Roman" w:cs="Arial"/>
                <w:sz w:val="24"/>
                <w:szCs w:val="24"/>
              </w:rPr>
            </w:pPr>
            <w:r>
              <w:t xml:space="preserve">S </w:t>
            </w:r>
            <w:r>
              <w:rPr>
                <w:lang w:eastAsia="bg-BG"/>
              </w:rPr>
              <w:t xml:space="preserve">≤ 0,06 </w:t>
            </w:r>
            <w:r>
              <w:t>mg/L</w:t>
            </w:r>
          </w:p>
        </w:tc>
        <w:tc>
          <w:tcPr>
            <w:tcW w:w="3192" w:type="dxa"/>
          </w:tcPr>
          <w:p w14:paraId="6CE8772B" w14:textId="23E8F736" w:rsidR="008D71FA" w:rsidRDefault="008D71FA" w:rsidP="008D71FA">
            <w:pPr>
              <w:spacing w:line="240" w:lineRule="auto"/>
              <w:rPr>
                <w:rFonts w:eastAsia="Times New Roman" w:cs="Arial"/>
                <w:sz w:val="24"/>
                <w:szCs w:val="24"/>
              </w:rPr>
            </w:pPr>
            <w:r>
              <w:t>R &gt; 0,06 mg/L</w:t>
            </w:r>
          </w:p>
        </w:tc>
      </w:tr>
      <w:tr w:rsidR="008D71FA" w14:paraId="36513AC5" w14:textId="77777777" w:rsidTr="008D71FA">
        <w:tc>
          <w:tcPr>
            <w:tcW w:w="3192" w:type="dxa"/>
          </w:tcPr>
          <w:p w14:paraId="3CB3EB3C" w14:textId="3B608BCA" w:rsidR="008D71FA" w:rsidRDefault="008D71FA" w:rsidP="008D71FA">
            <w:pPr>
              <w:spacing w:line="240" w:lineRule="auto"/>
              <w:rPr>
                <w:rFonts w:eastAsia="Times New Roman" w:cs="Arial"/>
                <w:sz w:val="24"/>
                <w:szCs w:val="24"/>
              </w:rPr>
            </w:pPr>
            <w:r>
              <w:rPr>
                <w:i/>
                <w:iCs/>
              </w:rPr>
              <w:t>Pseudomonas</w:t>
            </w:r>
            <w:r>
              <w:t xml:space="preserve"> spp.</w:t>
            </w:r>
          </w:p>
        </w:tc>
        <w:tc>
          <w:tcPr>
            <w:tcW w:w="3192" w:type="dxa"/>
          </w:tcPr>
          <w:p w14:paraId="5D5429AC" w14:textId="01DF8E91" w:rsidR="008D71FA" w:rsidRDefault="008D71FA" w:rsidP="008D71FA">
            <w:pPr>
              <w:spacing w:line="240" w:lineRule="auto"/>
              <w:rPr>
                <w:rFonts w:eastAsia="Times New Roman" w:cs="Arial"/>
                <w:sz w:val="24"/>
                <w:szCs w:val="24"/>
              </w:rPr>
            </w:pPr>
            <w:r>
              <w:t>S</w:t>
            </w:r>
            <w:r>
              <w:rPr>
                <w:lang w:eastAsia="bg-BG"/>
              </w:rPr>
              <w:t>≤</w:t>
            </w:r>
            <w:r>
              <w:t>0,5 mg/L</w:t>
            </w:r>
          </w:p>
        </w:tc>
        <w:tc>
          <w:tcPr>
            <w:tcW w:w="3192" w:type="dxa"/>
          </w:tcPr>
          <w:p w14:paraId="00CF9344" w14:textId="786CFD68" w:rsidR="008D71FA" w:rsidRDefault="008D71FA" w:rsidP="008D71FA">
            <w:pPr>
              <w:spacing w:line="240" w:lineRule="auto"/>
              <w:rPr>
                <w:rFonts w:eastAsia="Times New Roman" w:cs="Arial"/>
                <w:sz w:val="24"/>
                <w:szCs w:val="24"/>
              </w:rPr>
            </w:pPr>
            <w:r>
              <w:t>R &gt; 0,5 mg/L</w:t>
            </w:r>
          </w:p>
        </w:tc>
      </w:tr>
      <w:tr w:rsidR="008D71FA" w14:paraId="372F3CB7" w14:textId="77777777" w:rsidTr="008D71FA">
        <w:tc>
          <w:tcPr>
            <w:tcW w:w="3192" w:type="dxa"/>
          </w:tcPr>
          <w:p w14:paraId="654871B4" w14:textId="0842697C" w:rsidR="008D71FA" w:rsidRDefault="008D71FA" w:rsidP="008D71FA">
            <w:pPr>
              <w:spacing w:line="240" w:lineRule="auto"/>
              <w:rPr>
                <w:rFonts w:eastAsia="Times New Roman" w:cs="Arial"/>
                <w:sz w:val="24"/>
                <w:szCs w:val="24"/>
              </w:rPr>
            </w:pPr>
            <w:r>
              <w:rPr>
                <w:i/>
                <w:iCs/>
              </w:rPr>
              <w:t>Acinetobacter</w:t>
            </w:r>
            <w:r>
              <w:t xml:space="preserve"> spp.</w:t>
            </w:r>
          </w:p>
        </w:tc>
        <w:tc>
          <w:tcPr>
            <w:tcW w:w="3192" w:type="dxa"/>
          </w:tcPr>
          <w:p w14:paraId="273EFF67" w14:textId="76D57769" w:rsidR="008D71FA" w:rsidRDefault="008D71FA" w:rsidP="008D71FA">
            <w:pPr>
              <w:spacing w:line="240" w:lineRule="auto"/>
              <w:rPr>
                <w:rFonts w:eastAsia="Times New Roman" w:cs="Arial"/>
                <w:sz w:val="24"/>
                <w:szCs w:val="24"/>
              </w:rPr>
            </w:pPr>
            <w:r>
              <w:t>S</w:t>
            </w:r>
            <w:r>
              <w:rPr>
                <w:lang w:eastAsia="bg-BG"/>
              </w:rPr>
              <w:t>≤</w:t>
            </w:r>
            <w:r>
              <w:t xml:space="preserve"> 1 mg/L</w:t>
            </w:r>
          </w:p>
        </w:tc>
        <w:tc>
          <w:tcPr>
            <w:tcW w:w="3192" w:type="dxa"/>
          </w:tcPr>
          <w:p w14:paraId="36D8D34F" w14:textId="7652EE47" w:rsidR="008D71FA" w:rsidRDefault="008D71FA" w:rsidP="008D71FA">
            <w:pPr>
              <w:spacing w:line="240" w:lineRule="auto"/>
              <w:rPr>
                <w:rFonts w:eastAsia="Times New Roman" w:cs="Arial"/>
                <w:sz w:val="24"/>
                <w:szCs w:val="24"/>
              </w:rPr>
            </w:pPr>
            <w:r>
              <w:t>R&gt; 1 mg/L</w:t>
            </w:r>
          </w:p>
        </w:tc>
      </w:tr>
      <w:tr w:rsidR="008D71FA" w14:paraId="1B861E44" w14:textId="77777777" w:rsidTr="008D71FA">
        <w:tc>
          <w:tcPr>
            <w:tcW w:w="3192" w:type="dxa"/>
          </w:tcPr>
          <w:p w14:paraId="2A39091B" w14:textId="668C12CD" w:rsidR="008D71FA" w:rsidRDefault="008D71FA" w:rsidP="008D71FA">
            <w:pPr>
              <w:spacing w:line="240" w:lineRule="auto"/>
              <w:rPr>
                <w:rFonts w:eastAsia="Times New Roman" w:cs="Arial"/>
                <w:sz w:val="24"/>
                <w:szCs w:val="24"/>
              </w:rPr>
            </w:pPr>
            <w:r>
              <w:rPr>
                <w:i/>
                <w:iCs/>
              </w:rPr>
              <w:t>Staphylococcus</w:t>
            </w:r>
            <w:r>
              <w:t xml:space="preserve"> spp.</w:t>
            </w:r>
            <w:r>
              <w:rPr>
                <w:vertAlign w:val="superscript"/>
              </w:rPr>
              <w:t>1</w:t>
            </w:r>
          </w:p>
        </w:tc>
        <w:tc>
          <w:tcPr>
            <w:tcW w:w="3192" w:type="dxa"/>
          </w:tcPr>
          <w:p w14:paraId="691F155E" w14:textId="26BA29CD" w:rsidR="008D71FA" w:rsidRDefault="008D71FA" w:rsidP="008D71FA">
            <w:pPr>
              <w:spacing w:line="240" w:lineRule="auto"/>
              <w:rPr>
                <w:rFonts w:eastAsia="Times New Roman" w:cs="Arial"/>
                <w:sz w:val="24"/>
                <w:szCs w:val="24"/>
              </w:rPr>
            </w:pPr>
            <w:r>
              <w:t xml:space="preserve">S </w:t>
            </w:r>
            <w:r>
              <w:rPr>
                <w:lang w:eastAsia="bg-BG"/>
              </w:rPr>
              <w:t>≤</w:t>
            </w:r>
            <w:r>
              <w:t xml:space="preserve"> 1 mg/L</w:t>
            </w:r>
          </w:p>
        </w:tc>
        <w:tc>
          <w:tcPr>
            <w:tcW w:w="3192" w:type="dxa"/>
          </w:tcPr>
          <w:p w14:paraId="688398B4" w14:textId="4EE26375" w:rsidR="008D71FA" w:rsidRDefault="008D71FA" w:rsidP="008D71FA">
            <w:pPr>
              <w:spacing w:line="240" w:lineRule="auto"/>
              <w:rPr>
                <w:rFonts w:eastAsia="Times New Roman" w:cs="Arial"/>
                <w:sz w:val="24"/>
                <w:szCs w:val="24"/>
              </w:rPr>
            </w:pPr>
            <w:r>
              <w:t>R&gt; 1 mg/L</w:t>
            </w:r>
          </w:p>
        </w:tc>
      </w:tr>
      <w:tr w:rsidR="008D71FA" w14:paraId="27BDFD98" w14:textId="77777777" w:rsidTr="008D71FA">
        <w:tc>
          <w:tcPr>
            <w:tcW w:w="3192" w:type="dxa"/>
          </w:tcPr>
          <w:p w14:paraId="0343C743" w14:textId="5E0E4C01" w:rsidR="008D71FA" w:rsidRDefault="008D71FA" w:rsidP="008D71FA">
            <w:pPr>
              <w:spacing w:line="240" w:lineRule="auto"/>
              <w:rPr>
                <w:rFonts w:eastAsia="Times New Roman" w:cs="Arial"/>
                <w:sz w:val="24"/>
                <w:szCs w:val="24"/>
              </w:rPr>
            </w:pPr>
            <w:r>
              <w:rPr>
                <w:i/>
                <w:iCs/>
              </w:rPr>
              <w:t>Haemophilus influenzae</w:t>
            </w:r>
          </w:p>
        </w:tc>
        <w:tc>
          <w:tcPr>
            <w:tcW w:w="3192" w:type="dxa"/>
          </w:tcPr>
          <w:p w14:paraId="5A3FFD6D" w14:textId="6586ADA9" w:rsidR="008D71FA" w:rsidRDefault="008D71FA" w:rsidP="008D71FA">
            <w:pPr>
              <w:spacing w:line="240" w:lineRule="auto"/>
              <w:rPr>
                <w:rFonts w:eastAsia="Times New Roman" w:cs="Arial"/>
                <w:sz w:val="24"/>
                <w:szCs w:val="24"/>
              </w:rPr>
            </w:pPr>
            <w:r>
              <w:t xml:space="preserve">S </w:t>
            </w:r>
            <w:r>
              <w:rPr>
                <w:lang w:eastAsia="bg-BG"/>
              </w:rPr>
              <w:t>≤</w:t>
            </w:r>
            <w:r>
              <w:t>0,06 mg/L</w:t>
            </w:r>
          </w:p>
        </w:tc>
        <w:tc>
          <w:tcPr>
            <w:tcW w:w="3192" w:type="dxa"/>
          </w:tcPr>
          <w:p w14:paraId="63EA1F41" w14:textId="7AC10A6D" w:rsidR="008D71FA" w:rsidRDefault="008D71FA" w:rsidP="008D71FA">
            <w:pPr>
              <w:spacing w:line="240" w:lineRule="auto"/>
              <w:rPr>
                <w:rFonts w:eastAsia="Times New Roman" w:cs="Arial"/>
                <w:sz w:val="24"/>
                <w:szCs w:val="24"/>
              </w:rPr>
            </w:pPr>
            <w:r>
              <w:t>R &gt; 0,06 mg/L</w:t>
            </w:r>
          </w:p>
        </w:tc>
      </w:tr>
      <w:tr w:rsidR="008D71FA" w14:paraId="0262E38A" w14:textId="77777777" w:rsidTr="008D71FA">
        <w:tc>
          <w:tcPr>
            <w:tcW w:w="3192" w:type="dxa"/>
          </w:tcPr>
          <w:p w14:paraId="3EB68929" w14:textId="5AB9F63A" w:rsidR="008D71FA" w:rsidRDefault="008D71FA" w:rsidP="008D71FA">
            <w:pPr>
              <w:spacing w:line="240" w:lineRule="auto"/>
              <w:rPr>
                <w:rFonts w:eastAsia="Times New Roman" w:cs="Arial"/>
                <w:sz w:val="24"/>
                <w:szCs w:val="24"/>
              </w:rPr>
            </w:pPr>
            <w:r>
              <w:rPr>
                <w:i/>
                <w:iCs/>
              </w:rPr>
              <w:t>Moraxella catarrhalis</w:t>
            </w:r>
          </w:p>
        </w:tc>
        <w:tc>
          <w:tcPr>
            <w:tcW w:w="3192" w:type="dxa"/>
          </w:tcPr>
          <w:p w14:paraId="7BB8B4AB" w14:textId="2B27E803" w:rsidR="008D71FA" w:rsidRDefault="008D71FA" w:rsidP="008D71FA">
            <w:pPr>
              <w:spacing w:line="240" w:lineRule="auto"/>
              <w:rPr>
                <w:rFonts w:eastAsia="Times New Roman" w:cs="Arial"/>
                <w:sz w:val="24"/>
                <w:szCs w:val="24"/>
              </w:rPr>
            </w:pPr>
            <w:r>
              <w:t>S</w:t>
            </w:r>
            <w:r>
              <w:rPr>
                <w:lang w:eastAsia="bg-BG"/>
              </w:rPr>
              <w:t>≤</w:t>
            </w:r>
            <w:r>
              <w:t xml:space="preserve"> 0,125 mg/L</w:t>
            </w:r>
          </w:p>
        </w:tc>
        <w:tc>
          <w:tcPr>
            <w:tcW w:w="3192" w:type="dxa"/>
          </w:tcPr>
          <w:p w14:paraId="77F80EF6" w14:textId="34FC85DF" w:rsidR="008D71FA" w:rsidRDefault="008D71FA" w:rsidP="008D71FA">
            <w:pPr>
              <w:spacing w:line="240" w:lineRule="auto"/>
              <w:rPr>
                <w:rFonts w:eastAsia="Times New Roman" w:cs="Arial"/>
                <w:sz w:val="24"/>
                <w:szCs w:val="24"/>
              </w:rPr>
            </w:pPr>
            <w:r>
              <w:t>R&gt; 0,125 mg/L</w:t>
            </w:r>
          </w:p>
        </w:tc>
      </w:tr>
      <w:tr w:rsidR="008D71FA" w14:paraId="4AA7A66D" w14:textId="77777777" w:rsidTr="008D71FA">
        <w:tc>
          <w:tcPr>
            <w:tcW w:w="3192" w:type="dxa"/>
          </w:tcPr>
          <w:p w14:paraId="26BFD577" w14:textId="56A87A20" w:rsidR="008D71FA" w:rsidRDefault="008D71FA" w:rsidP="008D71FA">
            <w:pPr>
              <w:spacing w:line="240" w:lineRule="auto"/>
              <w:rPr>
                <w:rFonts w:eastAsia="Times New Roman" w:cs="Arial"/>
                <w:sz w:val="24"/>
                <w:szCs w:val="24"/>
              </w:rPr>
            </w:pPr>
            <w:r>
              <w:rPr>
                <w:i/>
                <w:iCs/>
              </w:rPr>
              <w:t>Neisseria gonorrhoeae</w:t>
            </w:r>
          </w:p>
        </w:tc>
        <w:tc>
          <w:tcPr>
            <w:tcW w:w="3192" w:type="dxa"/>
          </w:tcPr>
          <w:p w14:paraId="286CEFC8" w14:textId="18620DB8" w:rsidR="008D71FA" w:rsidRDefault="008D71FA" w:rsidP="008D71FA">
            <w:pPr>
              <w:spacing w:line="240" w:lineRule="auto"/>
              <w:rPr>
                <w:rFonts w:eastAsia="Times New Roman" w:cs="Arial"/>
                <w:sz w:val="24"/>
                <w:szCs w:val="24"/>
              </w:rPr>
            </w:pPr>
            <w:r>
              <w:t xml:space="preserve">S </w:t>
            </w:r>
            <w:r>
              <w:rPr>
                <w:lang w:eastAsia="bg-BG"/>
              </w:rPr>
              <w:t>≤</w:t>
            </w:r>
            <w:r>
              <w:t xml:space="preserve"> 0,03 mg/L</w:t>
            </w:r>
          </w:p>
        </w:tc>
        <w:tc>
          <w:tcPr>
            <w:tcW w:w="3192" w:type="dxa"/>
          </w:tcPr>
          <w:p w14:paraId="763782F3" w14:textId="04B51B7F" w:rsidR="008D71FA" w:rsidRDefault="008D71FA" w:rsidP="008D71FA">
            <w:pPr>
              <w:spacing w:line="240" w:lineRule="auto"/>
              <w:rPr>
                <w:rFonts w:eastAsia="Times New Roman" w:cs="Arial"/>
                <w:sz w:val="24"/>
                <w:szCs w:val="24"/>
              </w:rPr>
            </w:pPr>
            <w:r>
              <w:t>R &gt; 0,06 mg/L</w:t>
            </w:r>
          </w:p>
        </w:tc>
      </w:tr>
      <w:tr w:rsidR="008D71FA" w14:paraId="0AE143EA" w14:textId="77777777" w:rsidTr="008D71FA">
        <w:tc>
          <w:tcPr>
            <w:tcW w:w="3192" w:type="dxa"/>
          </w:tcPr>
          <w:p w14:paraId="1CA89112" w14:textId="32EC8DD6" w:rsidR="008D71FA" w:rsidRDefault="008D71FA" w:rsidP="008D71FA">
            <w:pPr>
              <w:spacing w:line="240" w:lineRule="auto"/>
              <w:rPr>
                <w:rFonts w:eastAsia="Times New Roman" w:cs="Arial"/>
                <w:sz w:val="24"/>
                <w:szCs w:val="24"/>
              </w:rPr>
            </w:pPr>
            <w:r>
              <w:rPr>
                <w:i/>
                <w:iCs/>
              </w:rPr>
              <w:t>Neisseria meningitides</w:t>
            </w:r>
          </w:p>
        </w:tc>
        <w:tc>
          <w:tcPr>
            <w:tcW w:w="3192" w:type="dxa"/>
          </w:tcPr>
          <w:p w14:paraId="09D2217B" w14:textId="380A1526" w:rsidR="008D71FA" w:rsidRDefault="008D71FA" w:rsidP="008D71FA">
            <w:pPr>
              <w:spacing w:line="240" w:lineRule="auto"/>
              <w:rPr>
                <w:rFonts w:eastAsia="Times New Roman" w:cs="Arial"/>
                <w:sz w:val="24"/>
                <w:szCs w:val="24"/>
              </w:rPr>
            </w:pPr>
            <w:r>
              <w:t xml:space="preserve">S </w:t>
            </w:r>
            <w:r>
              <w:rPr>
                <w:lang w:eastAsia="bg-BG"/>
              </w:rPr>
              <w:t>≤</w:t>
            </w:r>
            <w:r>
              <w:t xml:space="preserve"> 0,03 mg/L</w:t>
            </w:r>
          </w:p>
        </w:tc>
        <w:tc>
          <w:tcPr>
            <w:tcW w:w="3192" w:type="dxa"/>
          </w:tcPr>
          <w:p w14:paraId="5D5B192A" w14:textId="75DA1470" w:rsidR="008D71FA" w:rsidRDefault="008D71FA" w:rsidP="008D71FA">
            <w:pPr>
              <w:spacing w:line="240" w:lineRule="auto"/>
              <w:rPr>
                <w:rFonts w:eastAsia="Times New Roman" w:cs="Arial"/>
                <w:sz w:val="24"/>
                <w:szCs w:val="24"/>
              </w:rPr>
            </w:pPr>
            <w:r>
              <w:t>R &gt; 0,03 mg/L</w:t>
            </w:r>
          </w:p>
        </w:tc>
      </w:tr>
      <w:tr w:rsidR="008D71FA" w14:paraId="2C830186" w14:textId="77777777" w:rsidTr="008D71FA">
        <w:tc>
          <w:tcPr>
            <w:tcW w:w="3192" w:type="dxa"/>
          </w:tcPr>
          <w:p w14:paraId="7EF731CF" w14:textId="4A4F1163" w:rsidR="008D71FA" w:rsidRDefault="008D71FA" w:rsidP="008D71FA">
            <w:pPr>
              <w:spacing w:line="240" w:lineRule="auto"/>
              <w:rPr>
                <w:rFonts w:eastAsia="Times New Roman" w:cs="Arial"/>
                <w:sz w:val="24"/>
                <w:szCs w:val="24"/>
              </w:rPr>
            </w:pPr>
            <w:r>
              <w:rPr>
                <w:lang w:eastAsia="bg-BG"/>
              </w:rPr>
              <w:t>Гранични стойности, които не са свързани с определен вид *</w:t>
            </w:r>
          </w:p>
        </w:tc>
        <w:tc>
          <w:tcPr>
            <w:tcW w:w="3192" w:type="dxa"/>
          </w:tcPr>
          <w:p w14:paraId="6C3ECF2D" w14:textId="565AD0D0" w:rsidR="008D71FA" w:rsidRDefault="008D71FA" w:rsidP="008D71FA">
            <w:pPr>
              <w:spacing w:line="240" w:lineRule="auto"/>
              <w:rPr>
                <w:rFonts w:eastAsia="Times New Roman" w:cs="Arial"/>
                <w:sz w:val="24"/>
                <w:szCs w:val="24"/>
              </w:rPr>
            </w:pPr>
            <w:r>
              <w:t xml:space="preserve">S </w:t>
            </w:r>
            <w:r>
              <w:rPr>
                <w:lang w:eastAsia="bg-BG"/>
              </w:rPr>
              <w:t>≤</w:t>
            </w:r>
            <w:r>
              <w:t xml:space="preserve"> 0,25 mg/L</w:t>
            </w:r>
          </w:p>
        </w:tc>
        <w:tc>
          <w:tcPr>
            <w:tcW w:w="3192" w:type="dxa"/>
          </w:tcPr>
          <w:p w14:paraId="409EF0A7" w14:textId="7509B132" w:rsidR="008D71FA" w:rsidRDefault="008D71FA" w:rsidP="008D71FA">
            <w:pPr>
              <w:spacing w:line="240" w:lineRule="auto"/>
              <w:rPr>
                <w:rFonts w:eastAsia="Times New Roman" w:cs="Arial"/>
                <w:sz w:val="24"/>
                <w:szCs w:val="24"/>
              </w:rPr>
            </w:pPr>
            <w:r>
              <w:t>R &gt; 0,5 mg/L</w:t>
            </w:r>
          </w:p>
        </w:tc>
      </w:tr>
    </w:tbl>
    <w:p w14:paraId="66E96108" w14:textId="00195CB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1. </w:t>
      </w:r>
      <w:r w:rsidRPr="008D71FA">
        <w:rPr>
          <w:rFonts w:eastAsia="Times New Roman" w:cs="Arial"/>
          <w:i/>
          <w:iCs/>
          <w:color w:val="000000"/>
          <w:lang w:val="en-US"/>
        </w:rPr>
        <w:t>Staphylococcus</w:t>
      </w:r>
      <w:r w:rsidRPr="008D71FA">
        <w:rPr>
          <w:rFonts w:eastAsia="Times New Roman" w:cs="Arial"/>
          <w:color w:val="000000"/>
          <w:lang w:val="ru-RU"/>
        </w:rPr>
        <w:t xml:space="preserve"> </w:t>
      </w:r>
      <w:proofErr w:type="spellStart"/>
      <w:r w:rsidRPr="008D71FA">
        <w:rPr>
          <w:rFonts w:eastAsia="Times New Roman" w:cs="Arial"/>
          <w:color w:val="000000"/>
          <w:lang w:val="en-US"/>
        </w:rPr>
        <w:t>spp</w:t>
      </w:r>
      <w:proofErr w:type="spellEnd"/>
      <w:r w:rsidRPr="008D71FA">
        <w:rPr>
          <w:rFonts w:eastAsia="Times New Roman" w:cs="Arial"/>
          <w:color w:val="000000"/>
          <w:lang w:val="ru-RU"/>
        </w:rPr>
        <w:t xml:space="preserve">. - </w:t>
      </w:r>
      <w:r w:rsidRPr="008D71FA">
        <w:rPr>
          <w:rFonts w:eastAsia="Times New Roman" w:cs="Arial"/>
          <w:color w:val="000000"/>
          <w:lang w:eastAsia="bg-BG"/>
        </w:rPr>
        <w:t>граничните стойности за ципрофлоксацин са свързани с терапия във високи дози.</w:t>
      </w:r>
    </w:p>
    <w:p w14:paraId="7E064553" w14:textId="68068968" w:rsidR="008D71FA" w:rsidRPr="008D71FA" w:rsidRDefault="008D71FA" w:rsidP="008D71FA">
      <w:pPr>
        <w:rPr>
          <w:rFonts w:eastAsia="Times New Roman" w:cs="Arial"/>
          <w:color w:val="000000"/>
          <w:lang w:eastAsia="bg-BG"/>
        </w:rPr>
      </w:pPr>
      <w:r w:rsidRPr="008D71FA">
        <w:rPr>
          <w:rFonts w:eastAsia="Times New Roman" w:cs="Arial"/>
          <w:color w:val="000000"/>
          <w:lang w:eastAsia="bg-BG"/>
        </w:rPr>
        <w:t xml:space="preserve">* Граничните стойности, които не са свързани с определен вид, са определени основно на база данните за </w:t>
      </w:r>
      <w:r w:rsidRPr="008D71FA">
        <w:rPr>
          <w:rFonts w:eastAsia="Times New Roman" w:cs="Arial"/>
          <w:color w:val="000000"/>
          <w:lang w:val="en-US"/>
        </w:rPr>
        <w:t>PK</w:t>
      </w:r>
      <w:r w:rsidRPr="008D71FA">
        <w:rPr>
          <w:rFonts w:eastAsia="Times New Roman" w:cs="Arial"/>
          <w:color w:val="000000"/>
          <w:lang w:val="ru-RU"/>
        </w:rPr>
        <w:t>/</w:t>
      </w:r>
      <w:r w:rsidRPr="008D71FA">
        <w:rPr>
          <w:rFonts w:eastAsia="Times New Roman" w:cs="Arial"/>
          <w:color w:val="000000"/>
          <w:lang w:val="en-US"/>
        </w:rPr>
        <w:t>PD</w:t>
      </w:r>
      <w:r w:rsidRPr="008D71FA">
        <w:rPr>
          <w:rFonts w:eastAsia="Times New Roman" w:cs="Arial"/>
          <w:color w:val="000000"/>
          <w:lang w:val="ru-RU"/>
        </w:rPr>
        <w:t xml:space="preserve"> </w:t>
      </w:r>
      <w:r w:rsidRPr="008D71FA">
        <w:rPr>
          <w:rFonts w:eastAsia="Times New Roman" w:cs="Arial"/>
          <w:color w:val="000000"/>
          <w:lang w:eastAsia="bg-BG"/>
        </w:rPr>
        <w:t xml:space="preserve">и не зависят от разпределението на МИК за отделните видове. Следва да се използват само за видове, за които няма определена индивидуална </w:t>
      </w:r>
      <w:r w:rsidRPr="008D71FA">
        <w:rPr>
          <w:rFonts w:eastAsia="Times New Roman" w:cs="Arial"/>
          <w:color w:val="000000"/>
          <w:lang w:eastAsia="bg-BG"/>
        </w:rPr>
        <w:lastRenderedPageBreak/>
        <w:t>гранична стойност, но не и за видове, при които не се препоръчва изследване на чувствителността.</w:t>
      </w:r>
    </w:p>
    <w:p w14:paraId="5DD24C13" w14:textId="67BD4E97" w:rsidR="008D71FA" w:rsidRPr="008D71FA" w:rsidRDefault="008D71FA" w:rsidP="008D71FA">
      <w:pPr>
        <w:rPr>
          <w:rFonts w:eastAsia="Times New Roman" w:cs="Arial"/>
          <w:color w:val="000000"/>
          <w:lang w:eastAsia="bg-BG"/>
        </w:rPr>
      </w:pPr>
    </w:p>
    <w:p w14:paraId="4F203090"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Разпространението на придобитата резистентност може да варира според географското разположение и във времето за определени видове микроорганизми и е желателно да се използват местни данни за резистентността, особено когато се лекуват тежки инфекции. Ако е необходимо, трябва да се потърси експертно становище в случаите, когато разпространението на локалната резистентност е такава, че се поставя под въпрос приложимостта на средството за поне някои типове инфекции.</w:t>
      </w:r>
    </w:p>
    <w:p w14:paraId="696C7EA0" w14:textId="77777777" w:rsidR="008D71FA" w:rsidRPr="008D71FA" w:rsidRDefault="008D71FA" w:rsidP="008D71FA">
      <w:pPr>
        <w:spacing w:line="240" w:lineRule="auto"/>
        <w:rPr>
          <w:rFonts w:eastAsia="Times New Roman" w:cs="Arial"/>
          <w:color w:val="000000"/>
          <w:lang w:eastAsia="bg-BG"/>
        </w:rPr>
      </w:pPr>
    </w:p>
    <w:p w14:paraId="20F3ED24" w14:textId="48DD35F9"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Групиране на релевантните микроорганизми в зависимост от чувствителноста им към ципрофлоксацин (за </w:t>
      </w:r>
      <w:r w:rsidRPr="008D71FA">
        <w:rPr>
          <w:rFonts w:eastAsia="Times New Roman" w:cs="Arial"/>
          <w:i/>
          <w:iCs/>
          <w:color w:val="000000"/>
          <w:lang w:val="en-US"/>
        </w:rPr>
        <w:t>Streptococcus</w:t>
      </w:r>
      <w:r w:rsidRPr="008D71FA">
        <w:rPr>
          <w:rFonts w:eastAsia="Times New Roman" w:cs="Arial"/>
          <w:color w:val="000000"/>
          <w:lang w:val="ru-RU"/>
        </w:rPr>
        <w:t xml:space="preserve"> </w:t>
      </w:r>
      <w:proofErr w:type="spellStart"/>
      <w:r w:rsidRPr="008D71FA">
        <w:rPr>
          <w:rFonts w:eastAsia="Times New Roman" w:cs="Arial"/>
          <w:color w:val="000000"/>
          <w:lang w:val="en-US"/>
        </w:rPr>
        <w:t>spp</w:t>
      </w:r>
      <w:proofErr w:type="spellEnd"/>
      <w:r w:rsidRPr="008D71FA">
        <w:rPr>
          <w:rFonts w:eastAsia="Times New Roman" w:cs="Arial"/>
          <w:color w:val="000000"/>
          <w:lang w:val="ru-RU"/>
        </w:rPr>
        <w:t xml:space="preserve">. </w:t>
      </w:r>
      <w:r w:rsidRPr="008D71FA">
        <w:rPr>
          <w:rFonts w:eastAsia="Times New Roman" w:cs="Arial"/>
          <w:color w:val="000000"/>
          <w:lang w:eastAsia="bg-BG"/>
        </w:rPr>
        <w:t>вж. точка 4.4)</w:t>
      </w:r>
    </w:p>
    <w:tbl>
      <w:tblPr>
        <w:tblStyle w:val="TableGrid"/>
        <w:tblW w:w="0" w:type="auto"/>
        <w:tblLook w:val="04A0" w:firstRow="1" w:lastRow="0" w:firstColumn="1" w:lastColumn="0" w:noHBand="0" w:noVBand="1"/>
      </w:tblPr>
      <w:tblGrid>
        <w:gridCol w:w="9350"/>
      </w:tblGrid>
      <w:tr w:rsidR="008D71FA" w14:paraId="49B10086" w14:textId="77777777" w:rsidTr="00CA4FE3">
        <w:tc>
          <w:tcPr>
            <w:tcW w:w="9576" w:type="dxa"/>
            <w:vAlign w:val="bottom"/>
          </w:tcPr>
          <w:p w14:paraId="2E9C9FF3" w14:textId="0778BDFA" w:rsidR="008D71FA" w:rsidRPr="008D71FA" w:rsidRDefault="008D71FA" w:rsidP="008D71FA">
            <w:pPr>
              <w:rPr>
                <w:rFonts w:cs="Arial"/>
              </w:rPr>
            </w:pPr>
            <w:r w:rsidRPr="008D71FA">
              <w:rPr>
                <w:rFonts w:cs="Arial"/>
                <w:b/>
                <w:bCs/>
                <w:lang w:eastAsia="bg-BG"/>
              </w:rPr>
              <w:t>ОБИКНОВЕНО ЧУВСТВИТЕЛНИ МИКРООРГАНИЗМИ</w:t>
            </w:r>
          </w:p>
        </w:tc>
      </w:tr>
      <w:tr w:rsidR="008D71FA" w14:paraId="6141E30C" w14:textId="77777777" w:rsidTr="00CA4FE3">
        <w:tc>
          <w:tcPr>
            <w:tcW w:w="9576" w:type="dxa"/>
            <w:vAlign w:val="bottom"/>
          </w:tcPr>
          <w:p w14:paraId="3E1CDD56" w14:textId="77777777" w:rsidR="008D71FA" w:rsidRPr="008D71FA" w:rsidRDefault="008D71FA" w:rsidP="008D71FA">
            <w:pPr>
              <w:rPr>
                <w:rFonts w:cs="Arial"/>
              </w:rPr>
            </w:pPr>
            <w:r w:rsidRPr="008D71FA">
              <w:rPr>
                <w:rFonts w:cs="Arial"/>
                <w:u w:val="single"/>
                <w:lang w:eastAsia="bg-BG"/>
              </w:rPr>
              <w:t>Аеробни Грам-положителни микроорганизми</w:t>
            </w:r>
          </w:p>
          <w:p w14:paraId="266DE6F4" w14:textId="74640AF3" w:rsidR="008D71FA" w:rsidRPr="008D71FA" w:rsidRDefault="008D71FA" w:rsidP="008D71FA">
            <w:pPr>
              <w:rPr>
                <w:rFonts w:cs="Arial"/>
              </w:rPr>
            </w:pPr>
            <w:r w:rsidRPr="008D71FA">
              <w:rPr>
                <w:rFonts w:cs="Arial"/>
                <w:i/>
                <w:iCs/>
              </w:rPr>
              <w:t xml:space="preserve">Bacillus anthracis </w:t>
            </w:r>
            <w:r w:rsidRPr="008D71FA">
              <w:rPr>
                <w:rFonts w:cs="Arial"/>
                <w:i/>
                <w:iCs/>
                <w:lang w:eastAsia="bg-BG"/>
              </w:rPr>
              <w:t>(1)</w:t>
            </w:r>
          </w:p>
        </w:tc>
      </w:tr>
      <w:tr w:rsidR="008D71FA" w14:paraId="7F2E27B7" w14:textId="77777777" w:rsidTr="00CA4FE3">
        <w:tc>
          <w:tcPr>
            <w:tcW w:w="9576" w:type="dxa"/>
            <w:vAlign w:val="bottom"/>
          </w:tcPr>
          <w:p w14:paraId="3D04FCE5" w14:textId="77777777" w:rsidR="008D71FA" w:rsidRPr="008D71FA" w:rsidRDefault="008D71FA" w:rsidP="008D71FA">
            <w:pPr>
              <w:rPr>
                <w:rFonts w:cs="Arial"/>
              </w:rPr>
            </w:pPr>
            <w:r w:rsidRPr="008D71FA">
              <w:rPr>
                <w:rFonts w:cs="Arial"/>
                <w:u w:val="single"/>
                <w:lang w:eastAsia="bg-BG"/>
              </w:rPr>
              <w:t xml:space="preserve">Аеробни Грам-отрицателни микроорганизми </w:t>
            </w:r>
            <w:r w:rsidRPr="008D71FA">
              <w:rPr>
                <w:rFonts w:cs="Arial"/>
              </w:rPr>
              <w:t>Aeromonas spp.</w:t>
            </w:r>
          </w:p>
          <w:p w14:paraId="0366B756" w14:textId="77777777" w:rsidR="008D71FA" w:rsidRPr="008D71FA" w:rsidRDefault="008D71FA" w:rsidP="008D71FA">
            <w:pPr>
              <w:rPr>
                <w:rFonts w:cs="Arial"/>
              </w:rPr>
            </w:pPr>
            <w:r w:rsidRPr="008D71FA">
              <w:rPr>
                <w:rFonts w:cs="Arial"/>
                <w:i/>
                <w:iCs/>
              </w:rPr>
              <w:t>Brucella spp.</w:t>
            </w:r>
          </w:p>
          <w:p w14:paraId="1693FF10" w14:textId="77777777" w:rsidR="008D71FA" w:rsidRPr="008D71FA" w:rsidRDefault="008D71FA" w:rsidP="008D71FA">
            <w:pPr>
              <w:rPr>
                <w:rFonts w:cs="Arial"/>
              </w:rPr>
            </w:pPr>
            <w:r w:rsidRPr="008D71FA">
              <w:rPr>
                <w:rFonts w:cs="Arial"/>
                <w:i/>
                <w:iCs/>
              </w:rPr>
              <w:t>Citrobacter koseri</w:t>
            </w:r>
          </w:p>
          <w:p w14:paraId="46ACD1B8" w14:textId="77777777" w:rsidR="008D71FA" w:rsidRPr="008D71FA" w:rsidRDefault="008D71FA" w:rsidP="008D71FA">
            <w:pPr>
              <w:rPr>
                <w:rFonts w:cs="Arial"/>
              </w:rPr>
            </w:pPr>
            <w:r w:rsidRPr="008D71FA">
              <w:rPr>
                <w:rFonts w:cs="Arial"/>
                <w:i/>
                <w:iCs/>
              </w:rPr>
              <w:t>Francisella tularensis</w:t>
            </w:r>
          </w:p>
          <w:p w14:paraId="6EF64F91" w14:textId="77777777" w:rsidR="008D71FA" w:rsidRPr="008D71FA" w:rsidRDefault="008D71FA" w:rsidP="008D71FA">
            <w:pPr>
              <w:rPr>
                <w:rFonts w:cs="Arial"/>
              </w:rPr>
            </w:pPr>
            <w:r w:rsidRPr="008D71FA">
              <w:rPr>
                <w:rFonts w:cs="Arial"/>
                <w:i/>
                <w:iCs/>
              </w:rPr>
              <w:t>Haemophilus ducreyi</w:t>
            </w:r>
          </w:p>
          <w:p w14:paraId="7A5751B4" w14:textId="77777777" w:rsidR="008D71FA" w:rsidRPr="008D71FA" w:rsidRDefault="008D71FA" w:rsidP="008D71FA">
            <w:pPr>
              <w:rPr>
                <w:rFonts w:cs="Arial"/>
              </w:rPr>
            </w:pPr>
            <w:r w:rsidRPr="008D71FA">
              <w:rPr>
                <w:rFonts w:cs="Arial"/>
                <w:i/>
                <w:iCs/>
              </w:rPr>
              <w:t>Haemophilias influenzae*</w:t>
            </w:r>
          </w:p>
          <w:p w14:paraId="02E6531E" w14:textId="77777777" w:rsidR="008D71FA" w:rsidRPr="008D71FA" w:rsidRDefault="008D71FA" w:rsidP="008D71FA">
            <w:pPr>
              <w:rPr>
                <w:rFonts w:cs="Arial"/>
              </w:rPr>
            </w:pPr>
            <w:r w:rsidRPr="008D71FA">
              <w:rPr>
                <w:rFonts w:cs="Arial"/>
                <w:i/>
                <w:iCs/>
              </w:rPr>
              <w:t>Legionella spp.</w:t>
            </w:r>
          </w:p>
          <w:p w14:paraId="590F4897" w14:textId="77777777" w:rsidR="008D71FA" w:rsidRPr="008D71FA" w:rsidRDefault="008D71FA" w:rsidP="008D71FA">
            <w:pPr>
              <w:rPr>
                <w:rFonts w:cs="Arial"/>
              </w:rPr>
            </w:pPr>
            <w:r w:rsidRPr="008D71FA">
              <w:rPr>
                <w:rFonts w:cs="Arial"/>
                <w:i/>
                <w:iCs/>
              </w:rPr>
              <w:t>Moraxella catarrhalis*</w:t>
            </w:r>
          </w:p>
          <w:p w14:paraId="3A60A685" w14:textId="77777777" w:rsidR="008D71FA" w:rsidRPr="008D71FA" w:rsidRDefault="008D71FA" w:rsidP="008D71FA">
            <w:pPr>
              <w:rPr>
                <w:rFonts w:cs="Arial"/>
              </w:rPr>
            </w:pPr>
            <w:r w:rsidRPr="008D71FA">
              <w:rPr>
                <w:rFonts w:cs="Arial"/>
                <w:i/>
                <w:iCs/>
              </w:rPr>
              <w:t>Neisseria meningitidis</w:t>
            </w:r>
          </w:p>
          <w:p w14:paraId="28E108BF" w14:textId="77777777" w:rsidR="008D71FA" w:rsidRPr="008D71FA" w:rsidRDefault="008D71FA" w:rsidP="008D71FA">
            <w:pPr>
              <w:rPr>
                <w:rFonts w:cs="Arial"/>
              </w:rPr>
            </w:pPr>
            <w:r w:rsidRPr="008D71FA">
              <w:rPr>
                <w:rFonts w:cs="Arial"/>
                <w:i/>
                <w:iCs/>
              </w:rPr>
              <w:t>Pasteurella spp.</w:t>
            </w:r>
          </w:p>
          <w:p w14:paraId="5C19455A" w14:textId="77777777" w:rsidR="008D71FA" w:rsidRPr="008D71FA" w:rsidRDefault="008D71FA" w:rsidP="008D71FA">
            <w:pPr>
              <w:rPr>
                <w:rFonts w:cs="Arial"/>
              </w:rPr>
            </w:pPr>
            <w:r w:rsidRPr="008D71FA">
              <w:rPr>
                <w:rFonts w:cs="Arial"/>
                <w:i/>
                <w:iCs/>
              </w:rPr>
              <w:t>Salmonella spp. *</w:t>
            </w:r>
          </w:p>
          <w:p w14:paraId="50866FDA" w14:textId="77777777" w:rsidR="008D71FA" w:rsidRPr="008D71FA" w:rsidRDefault="008D71FA" w:rsidP="008D71FA">
            <w:pPr>
              <w:rPr>
                <w:rFonts w:cs="Arial"/>
              </w:rPr>
            </w:pPr>
            <w:r w:rsidRPr="008D71FA">
              <w:rPr>
                <w:rFonts w:cs="Arial"/>
                <w:i/>
                <w:iCs/>
              </w:rPr>
              <w:t>Shigella spp. *</w:t>
            </w:r>
          </w:p>
          <w:p w14:paraId="507DD616" w14:textId="77777777" w:rsidR="008D71FA" w:rsidRPr="008D71FA" w:rsidRDefault="008D71FA" w:rsidP="008D71FA">
            <w:pPr>
              <w:rPr>
                <w:rFonts w:cs="Arial"/>
              </w:rPr>
            </w:pPr>
            <w:r w:rsidRPr="008D71FA">
              <w:rPr>
                <w:rFonts w:cs="Arial"/>
                <w:i/>
                <w:iCs/>
              </w:rPr>
              <w:t>Vibrio spp.</w:t>
            </w:r>
          </w:p>
          <w:p w14:paraId="37B03D58" w14:textId="068AE64F" w:rsidR="008D71FA" w:rsidRPr="008D71FA" w:rsidRDefault="008D71FA" w:rsidP="008D71FA">
            <w:pPr>
              <w:rPr>
                <w:rFonts w:cs="Arial"/>
              </w:rPr>
            </w:pPr>
            <w:r w:rsidRPr="008D71FA">
              <w:rPr>
                <w:rFonts w:cs="Arial"/>
                <w:i/>
                <w:iCs/>
              </w:rPr>
              <w:t>Yersinia pestis</w:t>
            </w:r>
          </w:p>
        </w:tc>
      </w:tr>
      <w:tr w:rsidR="008D71FA" w14:paraId="7F590CBB" w14:textId="77777777" w:rsidTr="00CA4FE3">
        <w:tc>
          <w:tcPr>
            <w:tcW w:w="9576" w:type="dxa"/>
            <w:vAlign w:val="bottom"/>
          </w:tcPr>
          <w:p w14:paraId="28B69403" w14:textId="19B20FC9" w:rsidR="008D71FA" w:rsidRPr="008D71FA" w:rsidRDefault="008D71FA" w:rsidP="008D71FA">
            <w:pPr>
              <w:rPr>
                <w:rFonts w:cs="Arial"/>
              </w:rPr>
            </w:pPr>
            <w:r w:rsidRPr="008D71FA">
              <w:rPr>
                <w:rFonts w:cs="Arial"/>
                <w:u w:val="single"/>
                <w:lang w:eastAsia="bg-BG"/>
              </w:rPr>
              <w:t xml:space="preserve">Анаеробни микроорганизми </w:t>
            </w:r>
            <w:r w:rsidRPr="008D71FA">
              <w:rPr>
                <w:rFonts w:cs="Arial"/>
                <w:i/>
                <w:iCs/>
              </w:rPr>
              <w:t>Mobiluncus</w:t>
            </w:r>
          </w:p>
        </w:tc>
      </w:tr>
      <w:tr w:rsidR="008D71FA" w14:paraId="3C6D6404" w14:textId="77777777" w:rsidTr="00CA4FE3">
        <w:tc>
          <w:tcPr>
            <w:tcW w:w="9576" w:type="dxa"/>
            <w:vAlign w:val="bottom"/>
          </w:tcPr>
          <w:p w14:paraId="1E3BEF45" w14:textId="77777777" w:rsidR="008D71FA" w:rsidRPr="008D71FA" w:rsidRDefault="008D71FA" w:rsidP="008D71FA">
            <w:pPr>
              <w:rPr>
                <w:rFonts w:cs="Arial"/>
                <w:u w:val="single"/>
                <w:lang w:eastAsia="bg-BG"/>
              </w:rPr>
            </w:pPr>
            <w:r w:rsidRPr="008D71FA">
              <w:rPr>
                <w:rFonts w:cs="Arial"/>
                <w:u w:val="single"/>
                <w:lang w:eastAsia="bg-BG"/>
              </w:rPr>
              <w:t xml:space="preserve">Други микроорганизми </w:t>
            </w:r>
          </w:p>
          <w:p w14:paraId="2DA5D657" w14:textId="77777777" w:rsidR="008D71FA" w:rsidRPr="008D71FA" w:rsidRDefault="008D71FA" w:rsidP="008D71FA">
            <w:pPr>
              <w:rPr>
                <w:rFonts w:cs="Arial"/>
                <w:i/>
                <w:iCs/>
              </w:rPr>
            </w:pPr>
            <w:r w:rsidRPr="008D71FA">
              <w:rPr>
                <w:rFonts w:cs="Arial"/>
                <w:i/>
                <w:iCs/>
              </w:rPr>
              <w:t xml:space="preserve">Chlamydia trachomatis ($) </w:t>
            </w:r>
          </w:p>
          <w:p w14:paraId="37C70DFD" w14:textId="77777777" w:rsidR="008D71FA" w:rsidRPr="008D71FA" w:rsidRDefault="008D71FA" w:rsidP="008D71FA">
            <w:pPr>
              <w:rPr>
                <w:rFonts w:cs="Arial"/>
                <w:i/>
                <w:iCs/>
              </w:rPr>
            </w:pPr>
            <w:r w:rsidRPr="008D71FA">
              <w:rPr>
                <w:rFonts w:cs="Arial"/>
                <w:i/>
                <w:iCs/>
              </w:rPr>
              <w:t xml:space="preserve">Chlamydia pneumoniae ($) </w:t>
            </w:r>
          </w:p>
          <w:p w14:paraId="773DF121" w14:textId="77777777" w:rsidR="008D71FA" w:rsidRPr="008D71FA" w:rsidRDefault="008D71FA" w:rsidP="008D71FA">
            <w:pPr>
              <w:rPr>
                <w:rFonts w:cs="Arial"/>
                <w:i/>
                <w:iCs/>
              </w:rPr>
            </w:pPr>
            <w:r w:rsidRPr="008D71FA">
              <w:rPr>
                <w:rFonts w:cs="Arial"/>
                <w:i/>
                <w:iCs/>
              </w:rPr>
              <w:t xml:space="preserve">Mycoplasma hominis ($) </w:t>
            </w:r>
          </w:p>
          <w:p w14:paraId="164A5361" w14:textId="6A7074CE" w:rsidR="008D71FA" w:rsidRPr="008D71FA" w:rsidRDefault="008D71FA" w:rsidP="008D71FA">
            <w:pPr>
              <w:rPr>
                <w:rFonts w:cs="Arial"/>
              </w:rPr>
            </w:pPr>
            <w:r w:rsidRPr="008D71FA">
              <w:rPr>
                <w:rFonts w:cs="Arial"/>
                <w:i/>
                <w:iCs/>
              </w:rPr>
              <w:t>Mycoplasma pneumoniae ($)</w:t>
            </w:r>
          </w:p>
        </w:tc>
      </w:tr>
      <w:tr w:rsidR="008D71FA" w14:paraId="3BF89A1F" w14:textId="77777777" w:rsidTr="00CA4FE3">
        <w:tc>
          <w:tcPr>
            <w:tcW w:w="9576" w:type="dxa"/>
            <w:vAlign w:val="bottom"/>
          </w:tcPr>
          <w:p w14:paraId="4BA2B4A2" w14:textId="2A476D74" w:rsidR="008D71FA" w:rsidRPr="008D71FA" w:rsidRDefault="008D71FA" w:rsidP="008D71FA">
            <w:pPr>
              <w:rPr>
                <w:rFonts w:cs="Arial"/>
              </w:rPr>
            </w:pPr>
            <w:r w:rsidRPr="008D71FA">
              <w:rPr>
                <w:rFonts w:cs="Arial"/>
                <w:b/>
                <w:bCs/>
                <w:lang w:eastAsia="bg-BG"/>
              </w:rPr>
              <w:t>МИКРООРГАНИЗМИ, ПРИ КОИТО ПРИДОБИТАТА РЕЗИСТЕНТНОСТ МОЖЕ ДА Е ПРОБЛЕМ</w:t>
            </w:r>
          </w:p>
        </w:tc>
      </w:tr>
      <w:tr w:rsidR="008D71FA" w14:paraId="0DA4B594" w14:textId="77777777" w:rsidTr="00CA4FE3">
        <w:tc>
          <w:tcPr>
            <w:tcW w:w="9576" w:type="dxa"/>
            <w:vAlign w:val="bottom"/>
          </w:tcPr>
          <w:p w14:paraId="113EC5C6" w14:textId="77777777" w:rsidR="008D71FA" w:rsidRPr="008D71FA" w:rsidRDefault="008D71FA" w:rsidP="008D71FA">
            <w:pPr>
              <w:rPr>
                <w:rFonts w:cs="Arial"/>
              </w:rPr>
            </w:pPr>
            <w:r w:rsidRPr="008D71FA">
              <w:rPr>
                <w:rFonts w:cs="Arial"/>
                <w:u w:val="single"/>
                <w:lang w:eastAsia="bg-BG"/>
              </w:rPr>
              <w:t>Аеробни Грам-положителни микроорганизми</w:t>
            </w:r>
          </w:p>
          <w:p w14:paraId="3035ED1C" w14:textId="77777777" w:rsidR="008D71FA" w:rsidRPr="008D71FA" w:rsidRDefault="008D71FA" w:rsidP="008D71FA">
            <w:pPr>
              <w:rPr>
                <w:rFonts w:cs="Arial"/>
              </w:rPr>
            </w:pPr>
            <w:r w:rsidRPr="008D71FA">
              <w:rPr>
                <w:rFonts w:cs="Arial"/>
                <w:i/>
                <w:iCs/>
              </w:rPr>
              <w:t xml:space="preserve">Enterococcus faecalis </w:t>
            </w:r>
            <w:r w:rsidRPr="008D71FA">
              <w:rPr>
                <w:rFonts w:cs="Arial"/>
                <w:i/>
                <w:iCs/>
                <w:lang w:eastAsia="bg-BG"/>
              </w:rPr>
              <w:t>($)</w:t>
            </w:r>
          </w:p>
          <w:p w14:paraId="4B3D66FC" w14:textId="1FD61D25" w:rsidR="008D71FA" w:rsidRPr="008D71FA" w:rsidRDefault="008D71FA" w:rsidP="008D71FA">
            <w:pPr>
              <w:rPr>
                <w:rFonts w:cs="Arial"/>
              </w:rPr>
            </w:pPr>
            <w:r w:rsidRPr="008D71FA">
              <w:rPr>
                <w:rFonts w:cs="Arial"/>
                <w:i/>
                <w:iCs/>
              </w:rPr>
              <w:t>Staphylococcus spp. *(2)</w:t>
            </w:r>
          </w:p>
        </w:tc>
      </w:tr>
      <w:tr w:rsidR="008D71FA" w14:paraId="01EC75BD" w14:textId="77777777" w:rsidTr="00CA4FE3">
        <w:tc>
          <w:tcPr>
            <w:tcW w:w="9576" w:type="dxa"/>
            <w:vAlign w:val="bottom"/>
          </w:tcPr>
          <w:p w14:paraId="7428E357" w14:textId="77777777" w:rsidR="008D71FA" w:rsidRPr="008D71FA" w:rsidRDefault="008D71FA" w:rsidP="008D71FA">
            <w:pPr>
              <w:rPr>
                <w:rFonts w:cs="Arial"/>
              </w:rPr>
            </w:pPr>
            <w:r w:rsidRPr="008D71FA">
              <w:rPr>
                <w:rFonts w:cs="Arial"/>
                <w:u w:val="single"/>
                <w:lang w:eastAsia="bg-BG"/>
              </w:rPr>
              <w:t>Аеробни Грам-отрицателни микроорганизми</w:t>
            </w:r>
          </w:p>
          <w:p w14:paraId="5FA664B5" w14:textId="77777777" w:rsidR="008D71FA" w:rsidRPr="008D71FA" w:rsidRDefault="008D71FA" w:rsidP="008D71FA">
            <w:pPr>
              <w:rPr>
                <w:rFonts w:cs="Arial"/>
              </w:rPr>
            </w:pPr>
            <w:r w:rsidRPr="008D71FA">
              <w:rPr>
                <w:rFonts w:cs="Arial"/>
                <w:i/>
                <w:iCs/>
              </w:rPr>
              <w:t>Acinetobacter baumannii</w:t>
            </w:r>
          </w:p>
          <w:p w14:paraId="0D72675F" w14:textId="77777777" w:rsidR="008D71FA" w:rsidRPr="008D71FA" w:rsidRDefault="008D71FA" w:rsidP="008D71FA">
            <w:pPr>
              <w:rPr>
                <w:rFonts w:cs="Arial"/>
              </w:rPr>
            </w:pPr>
            <w:r w:rsidRPr="008D71FA">
              <w:rPr>
                <w:rFonts w:cs="Arial"/>
                <w:i/>
                <w:iCs/>
              </w:rPr>
              <w:t>Burkholderia cepacia *</w:t>
            </w:r>
          </w:p>
          <w:p w14:paraId="78F46566" w14:textId="77777777" w:rsidR="008D71FA" w:rsidRPr="008D71FA" w:rsidRDefault="008D71FA" w:rsidP="008D71FA">
            <w:pPr>
              <w:rPr>
                <w:rFonts w:cs="Arial"/>
              </w:rPr>
            </w:pPr>
            <w:r w:rsidRPr="008D71FA">
              <w:rPr>
                <w:rFonts w:cs="Arial"/>
                <w:i/>
                <w:iCs/>
              </w:rPr>
              <w:t>Campylobacter spp.</w:t>
            </w:r>
            <w:r w:rsidRPr="008D71FA">
              <w:rPr>
                <w:rFonts w:cs="Arial"/>
                <w:i/>
                <w:iCs/>
                <w:vertAlign w:val="superscript"/>
              </w:rPr>
              <w:t>+</w:t>
            </w:r>
            <w:r w:rsidRPr="008D71FA">
              <w:rPr>
                <w:rFonts w:cs="Arial"/>
                <w:i/>
                <w:iCs/>
              </w:rPr>
              <w:t>*</w:t>
            </w:r>
          </w:p>
          <w:p w14:paraId="52E2FB9B" w14:textId="77777777" w:rsidR="008D71FA" w:rsidRPr="008D71FA" w:rsidRDefault="008D71FA" w:rsidP="008D71FA">
            <w:pPr>
              <w:rPr>
                <w:rFonts w:cs="Arial"/>
              </w:rPr>
            </w:pPr>
            <w:r w:rsidRPr="008D71FA">
              <w:rPr>
                <w:rFonts w:cs="Arial"/>
                <w:i/>
                <w:iCs/>
              </w:rPr>
              <w:t>Citrobacter freundii*</w:t>
            </w:r>
          </w:p>
          <w:p w14:paraId="68DB4565" w14:textId="77777777" w:rsidR="008D71FA" w:rsidRPr="008D71FA" w:rsidRDefault="008D71FA" w:rsidP="008D71FA">
            <w:pPr>
              <w:rPr>
                <w:rFonts w:cs="Arial"/>
              </w:rPr>
            </w:pPr>
            <w:r w:rsidRPr="008D71FA">
              <w:rPr>
                <w:rFonts w:cs="Arial"/>
                <w:i/>
                <w:iCs/>
              </w:rPr>
              <w:t>Enterobacter aerogenes</w:t>
            </w:r>
          </w:p>
          <w:p w14:paraId="3F021699" w14:textId="77777777" w:rsidR="008D71FA" w:rsidRPr="008D71FA" w:rsidRDefault="008D71FA" w:rsidP="008D71FA">
            <w:pPr>
              <w:rPr>
                <w:rFonts w:cs="Arial"/>
              </w:rPr>
            </w:pPr>
            <w:r w:rsidRPr="008D71FA">
              <w:rPr>
                <w:rFonts w:cs="Arial"/>
                <w:i/>
                <w:iCs/>
              </w:rPr>
              <w:t>Enterobacter cloacae*</w:t>
            </w:r>
          </w:p>
          <w:p w14:paraId="4E29BC6E" w14:textId="77777777" w:rsidR="008D71FA" w:rsidRPr="008D71FA" w:rsidRDefault="008D71FA" w:rsidP="008D71FA">
            <w:pPr>
              <w:rPr>
                <w:rFonts w:cs="Arial"/>
              </w:rPr>
            </w:pPr>
            <w:r w:rsidRPr="008D71FA">
              <w:rPr>
                <w:rFonts w:cs="Arial"/>
                <w:i/>
                <w:iCs/>
              </w:rPr>
              <w:t>Escherichia coli*</w:t>
            </w:r>
          </w:p>
          <w:p w14:paraId="322EA16D" w14:textId="77777777" w:rsidR="008D71FA" w:rsidRPr="008D71FA" w:rsidRDefault="008D71FA" w:rsidP="008D71FA">
            <w:pPr>
              <w:rPr>
                <w:rFonts w:cs="Arial"/>
              </w:rPr>
            </w:pPr>
            <w:r w:rsidRPr="008D71FA">
              <w:rPr>
                <w:rFonts w:cs="Arial"/>
                <w:i/>
                <w:iCs/>
              </w:rPr>
              <w:lastRenderedPageBreak/>
              <w:t>Klebsiella oxytoca</w:t>
            </w:r>
          </w:p>
          <w:p w14:paraId="41F3A7CB" w14:textId="77777777" w:rsidR="008D71FA" w:rsidRPr="008D71FA" w:rsidRDefault="008D71FA" w:rsidP="008D71FA">
            <w:pPr>
              <w:rPr>
                <w:rFonts w:cs="Arial"/>
              </w:rPr>
            </w:pPr>
            <w:r w:rsidRPr="008D71FA">
              <w:rPr>
                <w:rFonts w:cs="Arial"/>
                <w:i/>
                <w:iCs/>
              </w:rPr>
              <w:t>Klebsiella pneumoniae*</w:t>
            </w:r>
          </w:p>
          <w:p w14:paraId="3B78DE61" w14:textId="77777777" w:rsidR="008D71FA" w:rsidRPr="008D71FA" w:rsidRDefault="008D71FA" w:rsidP="008D71FA">
            <w:pPr>
              <w:rPr>
                <w:rFonts w:cs="Arial"/>
              </w:rPr>
            </w:pPr>
            <w:r w:rsidRPr="008D71FA">
              <w:rPr>
                <w:rFonts w:cs="Arial"/>
                <w:i/>
                <w:iCs/>
              </w:rPr>
              <w:t>Morganella morgana*</w:t>
            </w:r>
          </w:p>
          <w:p w14:paraId="26F7FB98" w14:textId="77777777" w:rsidR="008D71FA" w:rsidRPr="008D71FA" w:rsidRDefault="008D71FA" w:rsidP="008D71FA">
            <w:pPr>
              <w:rPr>
                <w:rFonts w:cs="Arial"/>
              </w:rPr>
            </w:pPr>
            <w:r w:rsidRPr="008D71FA">
              <w:rPr>
                <w:rFonts w:cs="Arial"/>
                <w:i/>
                <w:iCs/>
              </w:rPr>
              <w:t>Neisseria gonorrhoeae *</w:t>
            </w:r>
          </w:p>
          <w:p w14:paraId="127BAD38" w14:textId="77777777" w:rsidR="008D71FA" w:rsidRPr="008D71FA" w:rsidRDefault="008D71FA" w:rsidP="008D71FA">
            <w:pPr>
              <w:rPr>
                <w:rFonts w:cs="Arial"/>
              </w:rPr>
            </w:pPr>
            <w:r w:rsidRPr="008D71FA">
              <w:rPr>
                <w:rFonts w:cs="Arial"/>
                <w:i/>
                <w:iCs/>
              </w:rPr>
              <w:t>Proteus mirabilis*</w:t>
            </w:r>
          </w:p>
          <w:p w14:paraId="2DB0FD42" w14:textId="77777777" w:rsidR="008D71FA" w:rsidRPr="008D71FA" w:rsidRDefault="008D71FA" w:rsidP="008D71FA">
            <w:pPr>
              <w:rPr>
                <w:rFonts w:cs="Arial"/>
              </w:rPr>
            </w:pPr>
            <w:r w:rsidRPr="008D71FA">
              <w:rPr>
                <w:rFonts w:cs="Arial"/>
                <w:i/>
                <w:iCs/>
              </w:rPr>
              <w:t>Proteus vulgaris*</w:t>
            </w:r>
          </w:p>
          <w:p w14:paraId="79F0A47D" w14:textId="77777777" w:rsidR="008D71FA" w:rsidRPr="008D71FA" w:rsidRDefault="008D71FA" w:rsidP="008D71FA">
            <w:pPr>
              <w:rPr>
                <w:rFonts w:cs="Arial"/>
              </w:rPr>
            </w:pPr>
            <w:r w:rsidRPr="008D71FA">
              <w:rPr>
                <w:rFonts w:cs="Arial"/>
                <w:i/>
                <w:iCs/>
              </w:rPr>
              <w:t>Providencia spp.</w:t>
            </w:r>
          </w:p>
          <w:p w14:paraId="407C75EF" w14:textId="77777777" w:rsidR="008D71FA" w:rsidRPr="008D71FA" w:rsidRDefault="008D71FA" w:rsidP="008D71FA">
            <w:pPr>
              <w:rPr>
                <w:rFonts w:cs="Arial"/>
                <w:i/>
                <w:iCs/>
              </w:rPr>
            </w:pPr>
            <w:r w:rsidRPr="008D71FA">
              <w:rPr>
                <w:rFonts w:cs="Arial"/>
                <w:i/>
                <w:iCs/>
              </w:rPr>
              <w:t>Pseudomonas</w:t>
            </w:r>
            <w:r w:rsidRPr="008D71FA">
              <w:rPr>
                <w:rFonts w:cs="Arial"/>
                <w:i/>
                <w:iCs/>
                <w:u w:val="single"/>
              </w:rPr>
              <w:t xml:space="preserve"> </w:t>
            </w:r>
            <w:r w:rsidRPr="008D71FA">
              <w:rPr>
                <w:rFonts w:cs="Arial"/>
                <w:i/>
                <w:iCs/>
              </w:rPr>
              <w:t>aeruginosa*</w:t>
            </w:r>
          </w:p>
          <w:p w14:paraId="7A6C5087" w14:textId="77777777" w:rsidR="008D71FA" w:rsidRPr="008D71FA" w:rsidRDefault="008D71FA" w:rsidP="008D71FA">
            <w:pPr>
              <w:spacing w:line="240" w:lineRule="auto"/>
              <w:rPr>
                <w:rFonts w:eastAsia="Times New Roman" w:cs="Arial"/>
                <w:lang w:val="en-US"/>
              </w:rPr>
            </w:pPr>
            <w:r w:rsidRPr="008D71FA">
              <w:rPr>
                <w:rFonts w:eastAsia="Times New Roman" w:cs="Arial"/>
                <w:i/>
                <w:iCs/>
                <w:color w:val="000000"/>
                <w:lang w:val="en-US"/>
              </w:rPr>
              <w:t xml:space="preserve">Pseudomonas </w:t>
            </w:r>
            <w:proofErr w:type="spellStart"/>
            <w:r w:rsidRPr="008D71FA">
              <w:rPr>
                <w:rFonts w:eastAsia="Times New Roman" w:cs="Arial"/>
                <w:i/>
                <w:iCs/>
                <w:color w:val="000000"/>
                <w:lang w:val="en-US"/>
              </w:rPr>
              <w:t>fluorescens</w:t>
            </w:r>
            <w:proofErr w:type="spellEnd"/>
          </w:p>
          <w:p w14:paraId="02D6B50D" w14:textId="65CBD5A6" w:rsidR="008D71FA" w:rsidRPr="008D71FA" w:rsidRDefault="008D71FA" w:rsidP="008D71FA">
            <w:pPr>
              <w:spacing w:line="240" w:lineRule="auto"/>
              <w:rPr>
                <w:rFonts w:eastAsia="Times New Roman" w:cs="Arial"/>
                <w:lang w:val="en-US"/>
              </w:rPr>
            </w:pPr>
            <w:proofErr w:type="spellStart"/>
            <w:r w:rsidRPr="008D71FA">
              <w:rPr>
                <w:rFonts w:eastAsia="Times New Roman" w:cs="Arial"/>
                <w:i/>
                <w:iCs/>
                <w:color w:val="000000"/>
                <w:lang w:val="en-US"/>
              </w:rPr>
              <w:t>Serratia</w:t>
            </w:r>
            <w:proofErr w:type="spellEnd"/>
            <w:r w:rsidRPr="008D71FA">
              <w:rPr>
                <w:rFonts w:eastAsia="Times New Roman" w:cs="Arial"/>
                <w:i/>
                <w:iCs/>
                <w:color w:val="000000"/>
                <w:lang w:val="en-US"/>
              </w:rPr>
              <w:t xml:space="preserve"> </w:t>
            </w:r>
            <w:proofErr w:type="spellStart"/>
            <w:r w:rsidRPr="008D71FA">
              <w:rPr>
                <w:rFonts w:eastAsia="Times New Roman" w:cs="Arial"/>
                <w:i/>
                <w:iCs/>
                <w:color w:val="000000"/>
                <w:lang w:val="en-US"/>
              </w:rPr>
              <w:t>marcescens</w:t>
            </w:r>
            <w:proofErr w:type="spellEnd"/>
            <w:r w:rsidRPr="008D71FA">
              <w:rPr>
                <w:rFonts w:eastAsia="Times New Roman" w:cs="Arial"/>
                <w:i/>
                <w:iCs/>
                <w:color w:val="000000"/>
                <w:lang w:val="en-US"/>
              </w:rPr>
              <w:t>*</w:t>
            </w:r>
          </w:p>
        </w:tc>
      </w:tr>
      <w:tr w:rsidR="008D71FA" w14:paraId="700B90B3" w14:textId="77777777" w:rsidTr="008D71FA">
        <w:tc>
          <w:tcPr>
            <w:tcW w:w="9576" w:type="dxa"/>
          </w:tcPr>
          <w:p w14:paraId="611D8B03" w14:textId="77777777" w:rsidR="008D71FA" w:rsidRPr="008D71FA" w:rsidRDefault="008D71FA" w:rsidP="008D71FA">
            <w:pPr>
              <w:rPr>
                <w:rFonts w:cs="Arial"/>
                <w:u w:val="single"/>
              </w:rPr>
            </w:pPr>
            <w:r w:rsidRPr="008D71FA">
              <w:rPr>
                <w:rFonts w:cs="Arial"/>
                <w:u w:val="single"/>
              </w:rPr>
              <w:lastRenderedPageBreak/>
              <w:t xml:space="preserve">Анаеробни микроорганизми </w:t>
            </w:r>
          </w:p>
          <w:p w14:paraId="2F4BE20B" w14:textId="77777777" w:rsidR="008D71FA" w:rsidRPr="008D71FA" w:rsidRDefault="008D71FA" w:rsidP="008D71FA">
            <w:pPr>
              <w:rPr>
                <w:rFonts w:cs="Arial"/>
                <w:i/>
                <w:iCs/>
              </w:rPr>
            </w:pPr>
            <w:proofErr w:type="spellStart"/>
            <w:r w:rsidRPr="008D71FA">
              <w:rPr>
                <w:rFonts w:cs="Arial"/>
                <w:i/>
                <w:iCs/>
                <w:lang w:val="en-US"/>
              </w:rPr>
              <w:t>Peptostreptococcus</w:t>
            </w:r>
            <w:proofErr w:type="spellEnd"/>
            <w:r w:rsidRPr="008D71FA">
              <w:rPr>
                <w:rFonts w:cs="Arial"/>
                <w:i/>
                <w:iCs/>
              </w:rPr>
              <w:t xml:space="preserve"> </w:t>
            </w:r>
            <w:proofErr w:type="spellStart"/>
            <w:r w:rsidRPr="008D71FA">
              <w:rPr>
                <w:rFonts w:cs="Arial"/>
                <w:i/>
                <w:iCs/>
                <w:lang w:val="en-US"/>
              </w:rPr>
              <w:t>spp</w:t>
            </w:r>
            <w:proofErr w:type="spellEnd"/>
            <w:r w:rsidRPr="008D71FA">
              <w:rPr>
                <w:rFonts w:cs="Arial"/>
                <w:i/>
                <w:iCs/>
              </w:rPr>
              <w:t xml:space="preserve">. </w:t>
            </w:r>
          </w:p>
          <w:p w14:paraId="676D881C" w14:textId="456ADA77" w:rsidR="008D71FA" w:rsidRPr="008D71FA" w:rsidRDefault="008D71FA" w:rsidP="008D71FA">
            <w:pPr>
              <w:rPr>
                <w:rFonts w:cs="Arial"/>
              </w:rPr>
            </w:pPr>
            <w:proofErr w:type="spellStart"/>
            <w:r w:rsidRPr="008D71FA">
              <w:rPr>
                <w:rFonts w:cs="Arial"/>
                <w:i/>
                <w:iCs/>
                <w:lang w:val="en-US"/>
              </w:rPr>
              <w:t>Propionibacterium</w:t>
            </w:r>
            <w:proofErr w:type="spellEnd"/>
            <w:r w:rsidRPr="008D71FA">
              <w:rPr>
                <w:rFonts w:cs="Arial"/>
                <w:i/>
                <w:iCs/>
              </w:rPr>
              <w:t xml:space="preserve"> </w:t>
            </w:r>
            <w:r w:rsidRPr="008D71FA">
              <w:rPr>
                <w:rFonts w:cs="Arial"/>
                <w:i/>
                <w:iCs/>
                <w:lang w:val="en-US"/>
              </w:rPr>
              <w:t>acnes</w:t>
            </w:r>
          </w:p>
        </w:tc>
      </w:tr>
      <w:tr w:rsidR="008D71FA" w14:paraId="552955D5" w14:textId="77777777" w:rsidTr="008D71FA">
        <w:tc>
          <w:tcPr>
            <w:tcW w:w="9576" w:type="dxa"/>
          </w:tcPr>
          <w:p w14:paraId="06BB293A" w14:textId="54F33584" w:rsidR="008D71FA" w:rsidRPr="008D71FA" w:rsidRDefault="008D71FA" w:rsidP="008D71FA">
            <w:pPr>
              <w:rPr>
                <w:rFonts w:cs="Arial"/>
              </w:rPr>
            </w:pPr>
            <w:r w:rsidRPr="008D71FA">
              <w:rPr>
                <w:rFonts w:cs="Arial"/>
                <w:b/>
                <w:bCs/>
              </w:rPr>
              <w:t xml:space="preserve">МИКРООРГАНИЗМИ </w:t>
            </w:r>
            <w:r w:rsidRPr="008D71FA">
              <w:rPr>
                <w:rFonts w:cs="Arial"/>
                <w:b/>
                <w:bCs/>
                <w:lang w:val="en-US"/>
              </w:rPr>
              <w:t>C</w:t>
            </w:r>
            <w:r w:rsidRPr="008D71FA">
              <w:rPr>
                <w:rFonts w:cs="Arial"/>
                <w:b/>
                <w:bCs/>
                <w:lang w:val="ru-RU"/>
              </w:rPr>
              <w:t xml:space="preserve"> </w:t>
            </w:r>
            <w:r w:rsidRPr="008D71FA">
              <w:rPr>
                <w:rFonts w:cs="Arial"/>
                <w:b/>
                <w:bCs/>
              </w:rPr>
              <w:t>ВЪТРЕШНО ПРИСЪЩА РЕЗИСТЕНТНОСТ</w:t>
            </w:r>
          </w:p>
        </w:tc>
      </w:tr>
      <w:tr w:rsidR="008D71FA" w14:paraId="6F1B7DDD" w14:textId="77777777" w:rsidTr="008D71FA">
        <w:tc>
          <w:tcPr>
            <w:tcW w:w="9576" w:type="dxa"/>
          </w:tcPr>
          <w:p w14:paraId="1158F41B" w14:textId="77777777" w:rsidR="008D71FA" w:rsidRPr="008D71FA" w:rsidRDefault="008D71FA" w:rsidP="008D71FA">
            <w:pPr>
              <w:rPr>
                <w:rFonts w:cs="Arial"/>
              </w:rPr>
            </w:pPr>
            <w:r w:rsidRPr="008D71FA">
              <w:rPr>
                <w:rFonts w:cs="Arial"/>
                <w:u w:val="single"/>
              </w:rPr>
              <w:t>Аеробни Грам-положителни микроорганизми</w:t>
            </w:r>
          </w:p>
          <w:p w14:paraId="1C99598C" w14:textId="77777777" w:rsidR="008D71FA" w:rsidRPr="008D71FA" w:rsidRDefault="008D71FA" w:rsidP="008D71FA">
            <w:pPr>
              <w:rPr>
                <w:rFonts w:cs="Arial"/>
              </w:rPr>
            </w:pPr>
            <w:proofErr w:type="spellStart"/>
            <w:r w:rsidRPr="008D71FA">
              <w:rPr>
                <w:rFonts w:cs="Arial"/>
                <w:i/>
                <w:iCs/>
                <w:lang w:val="en-US"/>
              </w:rPr>
              <w:t>Actinomyces</w:t>
            </w:r>
            <w:proofErr w:type="spellEnd"/>
          </w:p>
          <w:p w14:paraId="420D0A01" w14:textId="77777777" w:rsidR="008D71FA" w:rsidRPr="008D71FA" w:rsidRDefault="008D71FA" w:rsidP="008D71FA">
            <w:pPr>
              <w:rPr>
                <w:rFonts w:cs="Arial"/>
              </w:rPr>
            </w:pPr>
            <w:proofErr w:type="spellStart"/>
            <w:r w:rsidRPr="008D71FA">
              <w:rPr>
                <w:rFonts w:cs="Arial"/>
                <w:i/>
                <w:iCs/>
                <w:lang w:val="en-US"/>
              </w:rPr>
              <w:t>Enteroccus</w:t>
            </w:r>
            <w:proofErr w:type="spellEnd"/>
            <w:r w:rsidRPr="008D71FA">
              <w:rPr>
                <w:rFonts w:cs="Arial"/>
                <w:i/>
                <w:iCs/>
              </w:rPr>
              <w:t xml:space="preserve"> </w:t>
            </w:r>
            <w:proofErr w:type="spellStart"/>
            <w:r w:rsidRPr="008D71FA">
              <w:rPr>
                <w:rFonts w:cs="Arial"/>
                <w:i/>
                <w:iCs/>
                <w:lang w:val="en-US"/>
              </w:rPr>
              <w:t>faecium</w:t>
            </w:r>
            <w:proofErr w:type="spellEnd"/>
          </w:p>
          <w:p w14:paraId="2DCEBC53" w14:textId="0945A068" w:rsidR="008D71FA" w:rsidRPr="008D71FA" w:rsidRDefault="008D71FA" w:rsidP="008D71FA">
            <w:pPr>
              <w:rPr>
                <w:rFonts w:cs="Arial"/>
              </w:rPr>
            </w:pPr>
            <w:r w:rsidRPr="008D71FA">
              <w:rPr>
                <w:rFonts w:cs="Arial"/>
                <w:i/>
                <w:iCs/>
                <w:lang w:val="en-US"/>
              </w:rPr>
              <w:t xml:space="preserve">Listeria </w:t>
            </w:r>
            <w:proofErr w:type="spellStart"/>
            <w:r w:rsidRPr="008D71FA">
              <w:rPr>
                <w:rFonts w:cs="Arial"/>
                <w:i/>
                <w:iCs/>
                <w:lang w:val="en-US"/>
              </w:rPr>
              <w:t>monocytogenes</w:t>
            </w:r>
            <w:proofErr w:type="spellEnd"/>
          </w:p>
        </w:tc>
      </w:tr>
      <w:tr w:rsidR="008D71FA" w14:paraId="1A2AA683" w14:textId="77777777" w:rsidTr="008D71FA">
        <w:tc>
          <w:tcPr>
            <w:tcW w:w="9576" w:type="dxa"/>
          </w:tcPr>
          <w:p w14:paraId="5D93EE95" w14:textId="77777777" w:rsidR="008D71FA" w:rsidRPr="008D71FA" w:rsidRDefault="008D71FA" w:rsidP="008D71FA">
            <w:pPr>
              <w:rPr>
                <w:rFonts w:cs="Arial"/>
                <w:u w:val="single"/>
              </w:rPr>
            </w:pPr>
            <w:r w:rsidRPr="008D71FA">
              <w:rPr>
                <w:rFonts w:cs="Arial"/>
                <w:u w:val="single"/>
              </w:rPr>
              <w:t xml:space="preserve">Аеробни Грам-отрицателни микроорганизми </w:t>
            </w:r>
          </w:p>
          <w:p w14:paraId="0CB86C97" w14:textId="0D2B9F88" w:rsidR="008D71FA" w:rsidRPr="008D71FA" w:rsidRDefault="008D71FA" w:rsidP="008D71FA">
            <w:pPr>
              <w:rPr>
                <w:rFonts w:cs="Arial"/>
              </w:rPr>
            </w:pPr>
            <w:proofErr w:type="spellStart"/>
            <w:r w:rsidRPr="008D71FA">
              <w:rPr>
                <w:rFonts w:cs="Arial"/>
                <w:i/>
                <w:iCs/>
                <w:lang w:val="en-US"/>
              </w:rPr>
              <w:t>Stenotrophomonas</w:t>
            </w:r>
            <w:proofErr w:type="spellEnd"/>
            <w:r w:rsidRPr="008D71FA">
              <w:rPr>
                <w:rFonts w:cs="Arial"/>
                <w:i/>
                <w:iCs/>
              </w:rPr>
              <w:t xml:space="preserve"> </w:t>
            </w:r>
            <w:proofErr w:type="spellStart"/>
            <w:r w:rsidRPr="008D71FA">
              <w:rPr>
                <w:rFonts w:cs="Arial"/>
                <w:i/>
                <w:iCs/>
                <w:lang w:val="en-US"/>
              </w:rPr>
              <w:t>maltophilia</w:t>
            </w:r>
            <w:proofErr w:type="spellEnd"/>
          </w:p>
        </w:tc>
      </w:tr>
      <w:tr w:rsidR="008D71FA" w14:paraId="27A41040" w14:textId="77777777" w:rsidTr="008D71FA">
        <w:tc>
          <w:tcPr>
            <w:tcW w:w="9576" w:type="dxa"/>
          </w:tcPr>
          <w:p w14:paraId="38735E54" w14:textId="77777777" w:rsidR="008D71FA" w:rsidRPr="008D71FA" w:rsidRDefault="008D71FA" w:rsidP="008D71FA">
            <w:pPr>
              <w:rPr>
                <w:rFonts w:cs="Arial"/>
              </w:rPr>
            </w:pPr>
            <w:r w:rsidRPr="008D71FA">
              <w:rPr>
                <w:rFonts w:cs="Arial"/>
                <w:u w:val="single"/>
              </w:rPr>
              <w:t>Анаеробни микроорганизми</w:t>
            </w:r>
          </w:p>
          <w:p w14:paraId="7142B845" w14:textId="3CF681C0" w:rsidR="008D71FA" w:rsidRPr="008D71FA" w:rsidRDefault="008D71FA" w:rsidP="008D71FA">
            <w:pPr>
              <w:rPr>
                <w:rFonts w:cs="Arial"/>
              </w:rPr>
            </w:pPr>
            <w:r w:rsidRPr="008D71FA">
              <w:rPr>
                <w:rFonts w:cs="Arial"/>
                <w:i/>
                <w:iCs/>
              </w:rPr>
              <w:t>С изключение на описаните по-горе</w:t>
            </w:r>
          </w:p>
        </w:tc>
      </w:tr>
      <w:tr w:rsidR="008D71FA" w14:paraId="74423C2F" w14:textId="77777777" w:rsidTr="008D71FA">
        <w:tc>
          <w:tcPr>
            <w:tcW w:w="9576" w:type="dxa"/>
          </w:tcPr>
          <w:p w14:paraId="76403C30" w14:textId="77777777" w:rsidR="008D71FA" w:rsidRPr="008D71FA" w:rsidRDefault="008D71FA" w:rsidP="008D71FA">
            <w:pPr>
              <w:rPr>
                <w:rFonts w:cs="Arial"/>
                <w:u w:val="single"/>
              </w:rPr>
            </w:pPr>
            <w:r w:rsidRPr="008D71FA">
              <w:rPr>
                <w:rFonts w:cs="Arial"/>
                <w:u w:val="single"/>
              </w:rPr>
              <w:t xml:space="preserve">Други микроорганизми </w:t>
            </w:r>
          </w:p>
          <w:p w14:paraId="77826515" w14:textId="77777777" w:rsidR="008D71FA" w:rsidRPr="008D71FA" w:rsidRDefault="008D71FA" w:rsidP="008D71FA">
            <w:pPr>
              <w:rPr>
                <w:rFonts w:cs="Arial"/>
                <w:i/>
                <w:iCs/>
              </w:rPr>
            </w:pPr>
            <w:r w:rsidRPr="008D71FA">
              <w:rPr>
                <w:rFonts w:cs="Arial"/>
                <w:i/>
                <w:iCs/>
                <w:lang w:val="en-US"/>
              </w:rPr>
              <w:t>Mycoplasma</w:t>
            </w:r>
            <w:r w:rsidRPr="008D71FA">
              <w:rPr>
                <w:rFonts w:cs="Arial"/>
                <w:i/>
                <w:iCs/>
              </w:rPr>
              <w:t xml:space="preserve"> </w:t>
            </w:r>
            <w:proofErr w:type="spellStart"/>
            <w:r w:rsidRPr="008D71FA">
              <w:rPr>
                <w:rFonts w:cs="Arial"/>
                <w:i/>
                <w:iCs/>
                <w:lang w:val="en-US"/>
              </w:rPr>
              <w:t>genitalium</w:t>
            </w:r>
            <w:proofErr w:type="spellEnd"/>
            <w:r w:rsidRPr="008D71FA">
              <w:rPr>
                <w:rFonts w:cs="Arial"/>
                <w:i/>
                <w:iCs/>
              </w:rPr>
              <w:t xml:space="preserve"> </w:t>
            </w:r>
          </w:p>
          <w:p w14:paraId="5C10315A" w14:textId="1951F075" w:rsidR="008D71FA" w:rsidRPr="008D71FA" w:rsidRDefault="008D71FA" w:rsidP="008D71FA">
            <w:pPr>
              <w:rPr>
                <w:rFonts w:cs="Arial"/>
              </w:rPr>
            </w:pPr>
            <w:proofErr w:type="spellStart"/>
            <w:r w:rsidRPr="008D71FA">
              <w:rPr>
                <w:rFonts w:cs="Arial"/>
                <w:i/>
                <w:iCs/>
                <w:lang w:val="en-US"/>
              </w:rPr>
              <w:t>Ureaplasma</w:t>
            </w:r>
            <w:proofErr w:type="spellEnd"/>
            <w:r w:rsidRPr="008D71FA">
              <w:rPr>
                <w:rFonts w:cs="Arial"/>
                <w:i/>
                <w:iCs/>
              </w:rPr>
              <w:t xml:space="preserve"> </w:t>
            </w:r>
            <w:proofErr w:type="spellStart"/>
            <w:r w:rsidRPr="008D71FA">
              <w:rPr>
                <w:rFonts w:cs="Arial"/>
                <w:i/>
                <w:iCs/>
                <w:lang w:val="en-US"/>
              </w:rPr>
              <w:t>urealitycum</w:t>
            </w:r>
            <w:proofErr w:type="spellEnd"/>
          </w:p>
        </w:tc>
      </w:tr>
      <w:tr w:rsidR="008D71FA" w14:paraId="5AB3AE8B" w14:textId="77777777" w:rsidTr="008D71FA">
        <w:tc>
          <w:tcPr>
            <w:tcW w:w="9576" w:type="dxa"/>
          </w:tcPr>
          <w:p w14:paraId="3FB30964" w14:textId="77777777" w:rsidR="008D71FA" w:rsidRPr="008D71FA" w:rsidRDefault="008D71FA" w:rsidP="008D71FA">
            <w:pPr>
              <w:rPr>
                <w:rFonts w:cs="Arial"/>
              </w:rPr>
            </w:pPr>
            <w:r w:rsidRPr="008D71FA">
              <w:rPr>
                <w:rFonts w:cs="Arial"/>
                <w:lang w:val="ru-RU"/>
              </w:rPr>
              <w:t xml:space="preserve">* </w:t>
            </w:r>
            <w:r w:rsidRPr="008D71FA">
              <w:rPr>
                <w:rFonts w:cs="Arial"/>
              </w:rPr>
              <w:t>Клиничната ефикасност е доказана за чувствителните изолати при одобрените клинични показания</w:t>
            </w:r>
          </w:p>
          <w:p w14:paraId="527C1B9E" w14:textId="77777777" w:rsidR="008D71FA" w:rsidRPr="008D71FA" w:rsidRDefault="008D71FA" w:rsidP="008D71FA">
            <w:pPr>
              <w:rPr>
                <w:rFonts w:cs="Arial"/>
              </w:rPr>
            </w:pPr>
            <w:r w:rsidRPr="008D71FA">
              <w:rPr>
                <w:rFonts w:cs="Arial"/>
                <w:vertAlign w:val="superscript"/>
              </w:rPr>
              <w:t>+</w:t>
            </w:r>
            <w:r w:rsidRPr="008D71FA">
              <w:rPr>
                <w:rFonts w:cs="Arial"/>
              </w:rPr>
              <w:t xml:space="preserve"> Честота на резистентност ≥ 50 % в една или повече страни-членки на ЕС</w:t>
            </w:r>
          </w:p>
          <w:p w14:paraId="7E3C5183" w14:textId="77777777" w:rsidR="008D71FA" w:rsidRPr="008D71FA" w:rsidRDefault="008D71FA" w:rsidP="008D71FA">
            <w:pPr>
              <w:rPr>
                <w:rFonts w:cs="Arial"/>
              </w:rPr>
            </w:pPr>
            <w:r w:rsidRPr="008D71FA">
              <w:rPr>
                <w:rFonts w:cs="Arial"/>
              </w:rPr>
              <w:t>($): Естествена умерена чувствителност при отсъствие на придобити механизми на резистентност</w:t>
            </w:r>
          </w:p>
          <w:p w14:paraId="6B101BFA" w14:textId="77777777" w:rsidR="008D71FA" w:rsidRPr="008D71FA" w:rsidRDefault="008D71FA" w:rsidP="008D71FA">
            <w:pPr>
              <w:rPr>
                <w:rFonts w:cs="Arial"/>
              </w:rPr>
            </w:pPr>
            <w:r w:rsidRPr="008D71FA">
              <w:rPr>
                <w:rFonts w:cs="Arial"/>
              </w:rPr>
              <w:t xml:space="preserve">(1): Проучванията са проведени при експериментално предизвикани инфекции при животни чрез инхалиране на спори на </w:t>
            </w:r>
            <w:r w:rsidRPr="008D71FA">
              <w:rPr>
                <w:rFonts w:cs="Arial"/>
                <w:lang w:val="en-US"/>
              </w:rPr>
              <w:t>Bacillus</w:t>
            </w:r>
            <w:r w:rsidRPr="008D71FA">
              <w:rPr>
                <w:rFonts w:cs="Arial"/>
                <w:lang w:val="ru-RU"/>
              </w:rPr>
              <w:t xml:space="preserve"> </w:t>
            </w:r>
            <w:proofErr w:type="spellStart"/>
            <w:r w:rsidRPr="008D71FA">
              <w:rPr>
                <w:rFonts w:cs="Arial"/>
                <w:lang w:val="en-US"/>
              </w:rPr>
              <w:t>anthracis</w:t>
            </w:r>
            <w:proofErr w:type="spellEnd"/>
            <w:r w:rsidRPr="008D71FA">
              <w:rPr>
                <w:rFonts w:cs="Arial"/>
                <w:lang w:val="ru-RU"/>
              </w:rPr>
              <w:t xml:space="preserve">; </w:t>
            </w:r>
            <w:r w:rsidRPr="008D71FA">
              <w:rPr>
                <w:rFonts w:cs="Arial"/>
              </w:rPr>
              <w:t xml:space="preserve">тези проучвания показват, че започването на антибиотичното лечение скоро след експозицията предпазва от появата на заболяването, ако лечението е било насочено към намаляване броя на спорите в организма под инфекциозната доза. Препоръчваното използване при хора се основава предимно на </w:t>
            </w:r>
            <w:r w:rsidRPr="008D71FA">
              <w:rPr>
                <w:rFonts w:cs="Arial"/>
                <w:i/>
                <w:iCs/>
                <w:lang w:val="en-US"/>
              </w:rPr>
              <w:t>in</w:t>
            </w:r>
            <w:r w:rsidRPr="008D71FA">
              <w:rPr>
                <w:rFonts w:cs="Arial"/>
                <w:i/>
                <w:iCs/>
                <w:lang w:val="ru-RU"/>
              </w:rPr>
              <w:t xml:space="preserve"> </w:t>
            </w:r>
            <w:r w:rsidRPr="008D71FA">
              <w:rPr>
                <w:rFonts w:cs="Arial"/>
                <w:i/>
                <w:iCs/>
                <w:lang w:val="en-US"/>
              </w:rPr>
              <w:t>vitro</w:t>
            </w:r>
            <w:r w:rsidRPr="008D71FA">
              <w:rPr>
                <w:rFonts w:cs="Arial"/>
                <w:lang w:val="ru-RU"/>
              </w:rPr>
              <w:t xml:space="preserve"> </w:t>
            </w:r>
            <w:r w:rsidRPr="008D71FA">
              <w:rPr>
                <w:rFonts w:cs="Arial"/>
              </w:rPr>
              <w:t>чувствителността и на експерименталните данни при животни заедно с ограничените данни при хора. Приема се, че при възрастни двумесечният курс на лечение с перорал</w:t>
            </w:r>
            <w:r w:rsidRPr="008D71FA">
              <w:rPr>
                <w:rFonts w:cs="Arial"/>
                <w:lang w:val="en-US"/>
              </w:rPr>
              <w:t>e</w:t>
            </w:r>
            <w:r w:rsidRPr="008D71FA">
              <w:rPr>
                <w:rFonts w:cs="Arial"/>
              </w:rPr>
              <w:t xml:space="preserve">н ципрофлоксацин в доза 500 </w:t>
            </w:r>
            <w:r w:rsidRPr="008D71FA">
              <w:rPr>
                <w:rFonts w:cs="Arial"/>
                <w:lang w:val="en-US"/>
              </w:rPr>
              <w:t>mg</w:t>
            </w:r>
            <w:r w:rsidRPr="008D71FA">
              <w:rPr>
                <w:rFonts w:cs="Arial"/>
                <w:lang w:val="ru-RU"/>
              </w:rPr>
              <w:t xml:space="preserve"> </w:t>
            </w:r>
            <w:r w:rsidRPr="008D71FA">
              <w:rPr>
                <w:rFonts w:cs="Arial"/>
              </w:rPr>
              <w:t>два пъти дневно е ефикасен за предпазване от антраксна инфекция при хора. Лекуващите лекари могат да направят справка с националните и/или международните консенсусни документи по отношение лечението на антракс.</w:t>
            </w:r>
          </w:p>
          <w:p w14:paraId="2C0BC5E5" w14:textId="640E3CBB" w:rsidR="008D71FA" w:rsidRPr="008D71FA" w:rsidRDefault="008D71FA" w:rsidP="008D71FA">
            <w:pPr>
              <w:rPr>
                <w:rFonts w:cs="Arial"/>
              </w:rPr>
            </w:pPr>
            <w:r w:rsidRPr="008D71FA">
              <w:rPr>
                <w:rFonts w:cs="Arial"/>
              </w:rPr>
              <w:t xml:space="preserve">(2): Метицилин-резистентният 5. </w:t>
            </w:r>
            <w:proofErr w:type="gramStart"/>
            <w:r w:rsidRPr="008D71FA">
              <w:rPr>
                <w:rFonts w:cs="Arial"/>
                <w:i/>
                <w:iCs/>
                <w:lang w:val="en-US"/>
              </w:rPr>
              <w:t>aureus</w:t>
            </w:r>
            <w:proofErr w:type="gramEnd"/>
            <w:r w:rsidRPr="008D71FA">
              <w:rPr>
                <w:rFonts w:cs="Arial"/>
                <w:i/>
                <w:iCs/>
                <w:lang w:val="ru-RU"/>
              </w:rPr>
              <w:t xml:space="preserve"> </w:t>
            </w:r>
            <w:r w:rsidRPr="008D71FA">
              <w:rPr>
                <w:rFonts w:cs="Arial"/>
                <w:i/>
                <w:iCs/>
              </w:rPr>
              <w:t>много</w:t>
            </w:r>
            <w:r w:rsidRPr="008D71FA">
              <w:rPr>
                <w:rFonts w:cs="Arial"/>
              </w:rPr>
              <w:t xml:space="preserve"> често експресира едновременна резистентност към флуорохинолони. Честотата на резистентност към метицилин е около 20 до 50 % сред всички видове стафилококи и е обикновено по-висока при нозокомиалните изолати.</w:t>
            </w:r>
          </w:p>
        </w:tc>
      </w:tr>
    </w:tbl>
    <w:p w14:paraId="647CE0F4" w14:textId="77777777" w:rsidR="008D71FA" w:rsidRPr="008D71FA" w:rsidRDefault="008D71FA" w:rsidP="008D71FA"/>
    <w:p w14:paraId="346B622B" w14:textId="69D8D563" w:rsidR="00875EEC" w:rsidRDefault="002C50EE" w:rsidP="005726E3">
      <w:pPr>
        <w:pStyle w:val="Heading2"/>
      </w:pPr>
      <w:r>
        <w:lastRenderedPageBreak/>
        <w:t>5.2. Фармакокинетични свойства</w:t>
      </w:r>
    </w:p>
    <w:p w14:paraId="3E7F2449" w14:textId="2E9FDEE2" w:rsidR="008D71FA" w:rsidRDefault="008D71FA" w:rsidP="008D71FA"/>
    <w:p w14:paraId="659E93CD"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Абсорбция</w:t>
      </w:r>
    </w:p>
    <w:p w14:paraId="0AED798B" w14:textId="77777777" w:rsidR="008D71FA" w:rsidRPr="008D71FA" w:rsidRDefault="008D71FA" w:rsidP="008D71FA">
      <w:pPr>
        <w:spacing w:line="240" w:lineRule="auto"/>
        <w:rPr>
          <w:rFonts w:eastAsia="Times New Roman" w:cs="Arial"/>
          <w:color w:val="000000"/>
          <w:lang w:eastAsia="bg-BG"/>
        </w:rPr>
      </w:pPr>
    </w:p>
    <w:p w14:paraId="0F991EB4" w14:textId="260AE485"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След перорален прием на еднократни дози от 250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 xml:space="preserve">500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 xml:space="preserve">и 750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ципрофлоксацин под формата на таблетки, ципрофлоксацин се абсорбира бързо и в голяма степен основно в тънките черва, като достига максимални серумни концентрации след 1-2 часа.</w:t>
      </w:r>
    </w:p>
    <w:p w14:paraId="003BA334"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Еднократните дози в интервала 100 - 750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водят до зависими от дозата максимални серумни концентрации (С</w:t>
      </w:r>
      <w:r w:rsidRPr="008D71FA">
        <w:rPr>
          <w:rFonts w:eastAsia="Times New Roman" w:cs="Arial"/>
          <w:color w:val="000000"/>
          <w:vertAlign w:val="subscript"/>
          <w:lang w:val="en-US"/>
        </w:rPr>
        <w:t>max</w:t>
      </w:r>
      <w:r w:rsidRPr="008D71FA">
        <w:rPr>
          <w:rFonts w:eastAsia="Times New Roman" w:cs="Arial"/>
          <w:color w:val="000000"/>
          <w:lang w:eastAsia="bg-BG"/>
        </w:rPr>
        <w:t xml:space="preserve">) между 0,56 и 3,7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Серумните концентрации нарастват пропорционално с дозите до 1000 </w:t>
      </w:r>
      <w:r w:rsidRPr="008D71FA">
        <w:rPr>
          <w:rFonts w:eastAsia="Times New Roman" w:cs="Arial"/>
          <w:color w:val="000000"/>
          <w:lang w:val="en-US"/>
        </w:rPr>
        <w:t>mg</w:t>
      </w:r>
      <w:r w:rsidRPr="008D71FA">
        <w:rPr>
          <w:rFonts w:eastAsia="Times New Roman" w:cs="Arial"/>
          <w:color w:val="000000"/>
          <w:lang w:val="ru-RU"/>
        </w:rPr>
        <w:t>.</w:t>
      </w:r>
    </w:p>
    <w:p w14:paraId="0AF0C421"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Абсолютната бионаличност е около 70 - 80 %.</w:t>
      </w:r>
    </w:p>
    <w:p w14:paraId="1D7296CC" w14:textId="77777777" w:rsidR="008D71FA" w:rsidRPr="008D71FA" w:rsidRDefault="008D71FA" w:rsidP="008D71FA">
      <w:pPr>
        <w:rPr>
          <w:rFonts w:eastAsia="Times New Roman" w:cs="Arial"/>
          <w:color w:val="000000"/>
          <w:lang w:eastAsia="bg-BG"/>
        </w:rPr>
      </w:pPr>
    </w:p>
    <w:p w14:paraId="46366030" w14:textId="500FCAB4" w:rsidR="008D71FA" w:rsidRPr="008D71FA" w:rsidRDefault="008D71FA" w:rsidP="008D71FA">
      <w:pPr>
        <w:rPr>
          <w:rFonts w:eastAsia="Times New Roman" w:cs="Arial"/>
          <w:color w:val="000000"/>
          <w:lang w:eastAsia="bg-BG"/>
        </w:rPr>
      </w:pPr>
      <w:r w:rsidRPr="008D71FA">
        <w:rPr>
          <w:rFonts w:eastAsia="Times New Roman" w:cs="Arial"/>
          <w:color w:val="000000"/>
          <w:lang w:eastAsia="bg-BG"/>
        </w:rPr>
        <w:t xml:space="preserve">Установено е, че доза от 500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 xml:space="preserve">приемана перорално на 12 часа, води до площ под кривата на серумна концентрация - време </w:t>
      </w:r>
      <w:r w:rsidRPr="008D71FA">
        <w:rPr>
          <w:rFonts w:eastAsia="Times New Roman" w:cs="Arial"/>
          <w:color w:val="000000"/>
          <w:lang w:val="ru-RU"/>
        </w:rPr>
        <w:t>(</w:t>
      </w:r>
      <w:r w:rsidRPr="008D71FA">
        <w:rPr>
          <w:rFonts w:eastAsia="Times New Roman" w:cs="Arial"/>
          <w:color w:val="000000"/>
          <w:lang w:val="en-US"/>
        </w:rPr>
        <w:t>AUC</w:t>
      </w:r>
      <w:r w:rsidRPr="008D71FA">
        <w:rPr>
          <w:rFonts w:eastAsia="Times New Roman" w:cs="Arial"/>
          <w:color w:val="000000"/>
          <w:lang w:val="ru-RU"/>
        </w:rPr>
        <w:t xml:space="preserve">), </w:t>
      </w:r>
      <w:r w:rsidRPr="008D71FA">
        <w:rPr>
          <w:rFonts w:eastAsia="Times New Roman" w:cs="Arial"/>
          <w:color w:val="000000"/>
          <w:lang w:eastAsia="bg-BG"/>
        </w:rPr>
        <w:t xml:space="preserve">еквивалентна на тази, получена след интравенозна инфузия на 400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ципрофлоксацин за 60 минути на всеки 12 часа.</w:t>
      </w:r>
    </w:p>
    <w:p w14:paraId="08E036E2" w14:textId="1CA62743" w:rsidR="008D71FA" w:rsidRPr="008D71FA" w:rsidRDefault="008D71FA" w:rsidP="008D71FA">
      <w:pPr>
        <w:rPr>
          <w:rFonts w:eastAsia="Times New Roman" w:cs="Arial"/>
          <w:color w:val="000000"/>
          <w:lang w:eastAsia="bg-BG"/>
        </w:rPr>
      </w:pPr>
    </w:p>
    <w:p w14:paraId="455E9CC8"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Разпределение</w:t>
      </w:r>
    </w:p>
    <w:p w14:paraId="2BC5A238" w14:textId="77777777" w:rsidR="008D71FA" w:rsidRPr="008D71FA" w:rsidRDefault="008D71FA" w:rsidP="008D71FA">
      <w:pPr>
        <w:spacing w:line="240" w:lineRule="auto"/>
        <w:rPr>
          <w:rFonts w:eastAsia="Times New Roman" w:cs="Arial"/>
          <w:color w:val="000000"/>
          <w:lang w:eastAsia="bg-BG"/>
        </w:rPr>
      </w:pPr>
    </w:p>
    <w:p w14:paraId="59B187DC" w14:textId="52D40B62"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Свързването на ципрофлоксацин с плазмените протеини </w:t>
      </w:r>
      <w:r w:rsidRPr="008D71FA">
        <w:rPr>
          <w:rFonts w:eastAsia="Times New Roman" w:cs="Arial"/>
          <w:i/>
          <w:iCs/>
          <w:color w:val="000000"/>
          <w:lang w:eastAsia="bg-BG"/>
        </w:rPr>
        <w:t>е ниско</w:t>
      </w:r>
      <w:r w:rsidRPr="008D71FA">
        <w:rPr>
          <w:rFonts w:eastAsia="Times New Roman" w:cs="Arial"/>
          <w:color w:val="000000"/>
          <w:lang w:eastAsia="bg-BG"/>
        </w:rPr>
        <w:t xml:space="preserve"> (20-30 %). Ципрофлоксацин се намира в плазмата основно в нейонизирана форма и има голям обем на разпределение в стационарно състояние от 2 - 3 </w:t>
      </w:r>
      <w:r w:rsidRPr="008D71FA">
        <w:rPr>
          <w:rFonts w:eastAsia="Times New Roman" w:cs="Arial"/>
          <w:color w:val="000000"/>
          <w:lang w:val="en-US"/>
        </w:rPr>
        <w:t>L</w:t>
      </w:r>
      <w:r w:rsidRPr="008D71FA">
        <w:rPr>
          <w:rFonts w:eastAsia="Times New Roman" w:cs="Arial"/>
          <w:color w:val="000000"/>
          <w:lang w:val="ru-RU"/>
        </w:rPr>
        <w:t>/</w:t>
      </w:r>
      <w:r w:rsidRPr="008D71FA">
        <w:rPr>
          <w:rFonts w:eastAsia="Times New Roman" w:cs="Arial"/>
          <w:color w:val="000000"/>
          <w:lang w:val="en-US"/>
        </w:rPr>
        <w:t>kg</w:t>
      </w:r>
      <w:r w:rsidRPr="008D71FA">
        <w:rPr>
          <w:rFonts w:eastAsia="Times New Roman" w:cs="Arial"/>
          <w:color w:val="000000"/>
          <w:lang w:val="ru-RU"/>
        </w:rPr>
        <w:t xml:space="preserve"> </w:t>
      </w:r>
      <w:r w:rsidRPr="008D71FA">
        <w:rPr>
          <w:rFonts w:eastAsia="Times New Roman" w:cs="Arial"/>
          <w:color w:val="000000"/>
          <w:lang w:eastAsia="bg-BG"/>
        </w:rPr>
        <w:t>телесно тегло. Ципрофлоксацин достига високи концентрации в различни тъкани като напр. бял дроб (епителиална течност, алвеоларни макрофаги, биопсична тъкан), синусите, възпалителните огнища (везикуларна течност от кантаридис) и уро-гениталния тракт (урина, простата, ендометриум), където се достигат общи концентрации, надвишаващи тези в плазмата.</w:t>
      </w:r>
    </w:p>
    <w:p w14:paraId="399564FC" w14:textId="77777777" w:rsidR="008D71FA" w:rsidRPr="008D71FA" w:rsidRDefault="008D71FA" w:rsidP="008D71FA">
      <w:pPr>
        <w:spacing w:line="240" w:lineRule="auto"/>
        <w:rPr>
          <w:rFonts w:eastAsia="Times New Roman" w:cs="Arial"/>
          <w:color w:val="000000"/>
          <w:u w:val="single"/>
          <w:lang w:eastAsia="bg-BG"/>
        </w:rPr>
      </w:pPr>
    </w:p>
    <w:p w14:paraId="0AB5EFA5" w14:textId="57ECFC3C"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Биотрансформания</w:t>
      </w:r>
    </w:p>
    <w:p w14:paraId="1D3F90E4" w14:textId="77777777" w:rsidR="008D71FA" w:rsidRPr="008D71FA" w:rsidRDefault="008D71FA" w:rsidP="008D71FA">
      <w:pPr>
        <w:spacing w:line="240" w:lineRule="auto"/>
        <w:rPr>
          <w:rFonts w:eastAsia="Times New Roman" w:cs="Arial"/>
          <w:color w:val="000000"/>
          <w:lang w:eastAsia="bg-BG"/>
        </w:rPr>
      </w:pPr>
    </w:p>
    <w:p w14:paraId="00B755ED" w14:textId="334FF38F"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Установени са ниски концентрации на четири метаболита, които са идентифицирани като: деетиленципрофлоксацин </w:t>
      </w:r>
      <w:r w:rsidRPr="008D71FA">
        <w:rPr>
          <w:rFonts w:eastAsia="Times New Roman" w:cs="Arial"/>
          <w:color w:val="000000"/>
          <w:lang w:val="ru-RU"/>
        </w:rPr>
        <w:t>(</w:t>
      </w:r>
      <w:r w:rsidRPr="008D71FA">
        <w:rPr>
          <w:rFonts w:eastAsia="Times New Roman" w:cs="Arial"/>
          <w:color w:val="000000"/>
          <w:lang w:val="en-US"/>
        </w:rPr>
        <w:t>M</w:t>
      </w:r>
      <w:r w:rsidRPr="008D71FA">
        <w:rPr>
          <w:rFonts w:eastAsia="Times New Roman" w:cs="Arial"/>
          <w:color w:val="000000"/>
          <w:lang w:val="ru-RU"/>
        </w:rPr>
        <w:t xml:space="preserve">1), </w:t>
      </w:r>
      <w:r w:rsidRPr="008D71FA">
        <w:rPr>
          <w:rFonts w:eastAsia="Times New Roman" w:cs="Arial"/>
          <w:color w:val="000000"/>
          <w:lang w:eastAsia="bg-BG"/>
        </w:rPr>
        <w:t xml:space="preserve">сулфоципрофлоксацин (M2), оксоципрофлоксацин (M3) и формилципрофлоксацин (М4). Метаболитите имат антимикробна активност </w:t>
      </w:r>
      <w:r w:rsidRPr="008D71FA">
        <w:rPr>
          <w:rFonts w:eastAsia="Times New Roman" w:cs="Arial"/>
          <w:i/>
          <w:iCs/>
          <w:color w:val="000000"/>
          <w:lang w:val="en-US"/>
        </w:rPr>
        <w:t>in</w:t>
      </w:r>
      <w:r w:rsidRPr="008D71FA">
        <w:rPr>
          <w:rFonts w:eastAsia="Times New Roman" w:cs="Arial"/>
          <w:i/>
          <w:iCs/>
          <w:color w:val="000000"/>
          <w:lang w:val="ru-RU"/>
        </w:rPr>
        <w:t>-</w:t>
      </w:r>
      <w:r w:rsidRPr="008D71FA">
        <w:rPr>
          <w:rFonts w:eastAsia="Times New Roman" w:cs="Arial"/>
          <w:i/>
          <w:iCs/>
          <w:color w:val="000000"/>
          <w:lang w:val="en-US"/>
        </w:rPr>
        <w:t>vitro</w:t>
      </w:r>
      <w:r w:rsidRPr="008D71FA">
        <w:rPr>
          <w:rFonts w:eastAsia="Times New Roman" w:cs="Arial"/>
          <w:i/>
          <w:iCs/>
          <w:color w:val="000000"/>
          <w:lang w:val="ru-RU"/>
        </w:rPr>
        <w:t>,</w:t>
      </w:r>
      <w:r w:rsidRPr="008D71FA">
        <w:rPr>
          <w:rFonts w:eastAsia="Times New Roman" w:cs="Arial"/>
          <w:color w:val="000000"/>
          <w:lang w:val="ru-RU"/>
        </w:rPr>
        <w:t xml:space="preserve"> </w:t>
      </w:r>
      <w:r w:rsidRPr="008D71FA">
        <w:rPr>
          <w:rFonts w:eastAsia="Times New Roman" w:cs="Arial"/>
          <w:color w:val="000000"/>
          <w:lang w:eastAsia="bg-BG"/>
        </w:rPr>
        <w:t xml:space="preserve">но по-слаба в сравнение с изходното вещество. Знае се, че ципрофлоксацин е умерен инхибитор на </w:t>
      </w:r>
      <w:r w:rsidRPr="008D71FA">
        <w:rPr>
          <w:rFonts w:eastAsia="Times New Roman" w:cs="Arial"/>
          <w:color w:val="000000"/>
          <w:lang w:val="en-US"/>
        </w:rPr>
        <w:t>CYP</w:t>
      </w:r>
      <w:r w:rsidRPr="008D71FA">
        <w:rPr>
          <w:rFonts w:eastAsia="Times New Roman" w:cs="Arial"/>
          <w:color w:val="000000"/>
          <w:lang w:val="ru-RU"/>
        </w:rPr>
        <w:t xml:space="preserve"> </w:t>
      </w:r>
      <w:r w:rsidRPr="008D71FA">
        <w:rPr>
          <w:rFonts w:eastAsia="Times New Roman" w:cs="Arial"/>
          <w:color w:val="000000"/>
          <w:lang w:eastAsia="bg-BG"/>
        </w:rPr>
        <w:t>450 1А2 изо-ензимите.</w:t>
      </w:r>
    </w:p>
    <w:p w14:paraId="4390606A" w14:textId="77777777" w:rsidR="008D71FA" w:rsidRPr="008D71FA" w:rsidRDefault="008D71FA" w:rsidP="008D71FA">
      <w:pPr>
        <w:spacing w:line="240" w:lineRule="auto"/>
        <w:rPr>
          <w:rFonts w:eastAsia="Times New Roman" w:cs="Arial"/>
          <w:color w:val="000000"/>
          <w:u w:val="single"/>
          <w:lang w:eastAsia="bg-BG"/>
        </w:rPr>
      </w:pPr>
    </w:p>
    <w:p w14:paraId="1468156E" w14:textId="2AA6296F"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Елиминиране</w:t>
      </w:r>
    </w:p>
    <w:p w14:paraId="7B82B5F1" w14:textId="77777777" w:rsidR="008D71FA" w:rsidRPr="008D71FA" w:rsidRDefault="008D71FA" w:rsidP="008D71FA">
      <w:pPr>
        <w:spacing w:line="240" w:lineRule="auto"/>
        <w:rPr>
          <w:rFonts w:eastAsia="Times New Roman" w:cs="Arial"/>
          <w:color w:val="000000"/>
          <w:lang w:eastAsia="bg-BG"/>
        </w:rPr>
      </w:pPr>
    </w:p>
    <w:p w14:paraId="780AD681" w14:textId="14CF9B3A"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Ципрофлоксацин се екскретира до голяма степен непроменен през бъбреците и в по-малка степен - с фекалиите. Серумният елиминационен полуживот при лица с нормална бъбречна функция е приблизително 4-7 часа.</w:t>
      </w:r>
    </w:p>
    <w:p w14:paraId="2D3D00CB" w14:textId="59BFFB06" w:rsidR="008D71FA" w:rsidRDefault="008D71FA" w:rsidP="008D71FA"/>
    <w:tbl>
      <w:tblPr>
        <w:tblStyle w:val="TableGrid"/>
        <w:tblW w:w="0" w:type="auto"/>
        <w:tblLook w:val="04A0" w:firstRow="1" w:lastRow="0" w:firstColumn="1" w:lastColumn="0" w:noHBand="0" w:noVBand="1"/>
      </w:tblPr>
      <w:tblGrid>
        <w:gridCol w:w="3144"/>
        <w:gridCol w:w="3097"/>
        <w:gridCol w:w="3109"/>
      </w:tblGrid>
      <w:tr w:rsidR="008D71FA" w14:paraId="5D033384" w14:textId="77777777" w:rsidTr="005E6075">
        <w:tc>
          <w:tcPr>
            <w:tcW w:w="9576" w:type="dxa"/>
            <w:gridSpan w:val="3"/>
          </w:tcPr>
          <w:p w14:paraId="02DFC131" w14:textId="2C4E374A" w:rsidR="008D71FA" w:rsidRDefault="008D71FA" w:rsidP="008D71FA">
            <w:pPr>
              <w:jc w:val="center"/>
            </w:pPr>
            <w:r>
              <w:t>Екскреция на ципрофлоксацин (% от дозата)</w:t>
            </w:r>
          </w:p>
        </w:tc>
      </w:tr>
      <w:tr w:rsidR="008D71FA" w14:paraId="4A2BEF72" w14:textId="77777777" w:rsidTr="00641488">
        <w:tc>
          <w:tcPr>
            <w:tcW w:w="3192" w:type="dxa"/>
          </w:tcPr>
          <w:p w14:paraId="5EDC2A11" w14:textId="77777777" w:rsidR="008D71FA" w:rsidRDefault="008D71FA" w:rsidP="008D71FA"/>
        </w:tc>
        <w:tc>
          <w:tcPr>
            <w:tcW w:w="6384" w:type="dxa"/>
            <w:gridSpan w:val="2"/>
          </w:tcPr>
          <w:p w14:paraId="1762F3B4" w14:textId="683CB7D3" w:rsidR="008D71FA" w:rsidRPr="008D71FA" w:rsidRDefault="008D71FA" w:rsidP="008D71FA">
            <w:pPr>
              <w:jc w:val="center"/>
              <w:rPr>
                <w:b/>
              </w:rPr>
            </w:pPr>
            <w:r w:rsidRPr="008D71FA">
              <w:rPr>
                <w:b/>
              </w:rPr>
              <w:t>Перорално приложение</w:t>
            </w:r>
          </w:p>
        </w:tc>
      </w:tr>
      <w:tr w:rsidR="008D71FA" w14:paraId="1103162C" w14:textId="77777777" w:rsidTr="008D71FA">
        <w:tc>
          <w:tcPr>
            <w:tcW w:w="3192" w:type="dxa"/>
          </w:tcPr>
          <w:p w14:paraId="128DC4F4" w14:textId="77777777" w:rsidR="008D71FA" w:rsidRDefault="008D71FA" w:rsidP="008D71FA"/>
        </w:tc>
        <w:tc>
          <w:tcPr>
            <w:tcW w:w="3192" w:type="dxa"/>
          </w:tcPr>
          <w:p w14:paraId="63C984A1" w14:textId="5A58F8AC" w:rsidR="008D71FA" w:rsidRDefault="008D71FA" w:rsidP="008D71FA">
            <w:r>
              <w:rPr>
                <w:b/>
                <w:bCs/>
              </w:rPr>
              <w:t>Урина</w:t>
            </w:r>
          </w:p>
        </w:tc>
        <w:tc>
          <w:tcPr>
            <w:tcW w:w="3192" w:type="dxa"/>
          </w:tcPr>
          <w:p w14:paraId="44F1F2F9" w14:textId="2248D33A" w:rsidR="008D71FA" w:rsidRDefault="008D71FA" w:rsidP="008D71FA">
            <w:r>
              <w:rPr>
                <w:b/>
                <w:bCs/>
              </w:rPr>
              <w:t>Фекалии</w:t>
            </w:r>
          </w:p>
        </w:tc>
      </w:tr>
      <w:tr w:rsidR="008D71FA" w14:paraId="36377CF8" w14:textId="77777777" w:rsidTr="008D71FA">
        <w:tc>
          <w:tcPr>
            <w:tcW w:w="3192" w:type="dxa"/>
          </w:tcPr>
          <w:p w14:paraId="3E76560C" w14:textId="795E35F9" w:rsidR="008D71FA" w:rsidRDefault="008D71FA" w:rsidP="008D71FA">
            <w:r>
              <w:t>Ципрофлоксацин</w:t>
            </w:r>
          </w:p>
        </w:tc>
        <w:tc>
          <w:tcPr>
            <w:tcW w:w="3192" w:type="dxa"/>
          </w:tcPr>
          <w:p w14:paraId="5CCFEFD0" w14:textId="5EDC0B65" w:rsidR="008D71FA" w:rsidRDefault="008D71FA" w:rsidP="008D71FA">
            <w:r>
              <w:t>44,7</w:t>
            </w:r>
          </w:p>
        </w:tc>
        <w:tc>
          <w:tcPr>
            <w:tcW w:w="3192" w:type="dxa"/>
          </w:tcPr>
          <w:p w14:paraId="302FD628" w14:textId="3AAE0BCA" w:rsidR="008D71FA" w:rsidRDefault="008D71FA" w:rsidP="008D71FA">
            <w:r>
              <w:t>25,0</w:t>
            </w:r>
          </w:p>
        </w:tc>
      </w:tr>
      <w:tr w:rsidR="008D71FA" w14:paraId="5D99193E" w14:textId="77777777" w:rsidTr="008D71FA">
        <w:tc>
          <w:tcPr>
            <w:tcW w:w="3192" w:type="dxa"/>
          </w:tcPr>
          <w:p w14:paraId="09C21807" w14:textId="2E498A05" w:rsidR="008D71FA" w:rsidRDefault="008D71FA" w:rsidP="008D71FA">
            <w:r>
              <w:t>Метаболити (М1-М4)</w:t>
            </w:r>
          </w:p>
        </w:tc>
        <w:tc>
          <w:tcPr>
            <w:tcW w:w="3192" w:type="dxa"/>
          </w:tcPr>
          <w:p w14:paraId="76208787" w14:textId="42072604" w:rsidR="008D71FA" w:rsidRDefault="008D71FA" w:rsidP="008D71FA">
            <w:r>
              <w:t>11,3</w:t>
            </w:r>
          </w:p>
        </w:tc>
        <w:tc>
          <w:tcPr>
            <w:tcW w:w="3192" w:type="dxa"/>
          </w:tcPr>
          <w:p w14:paraId="58FC2EB7" w14:textId="274A34EE" w:rsidR="008D71FA" w:rsidRDefault="008D71FA" w:rsidP="008D71FA">
            <w:r>
              <w:t>7,5</w:t>
            </w:r>
          </w:p>
        </w:tc>
      </w:tr>
    </w:tbl>
    <w:p w14:paraId="350E0499" w14:textId="56409F55" w:rsidR="008D71FA" w:rsidRDefault="008D71FA" w:rsidP="008D71FA"/>
    <w:p w14:paraId="3C3ABC7A"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Бъбречният клирънс е между 180-300 </w:t>
      </w:r>
      <w:r w:rsidRPr="008D71FA">
        <w:rPr>
          <w:rFonts w:eastAsia="Times New Roman" w:cs="Arial"/>
          <w:color w:val="000000"/>
          <w:lang w:val="en-US"/>
        </w:rPr>
        <w:t>mL</w:t>
      </w:r>
      <w:r w:rsidRPr="008D71FA">
        <w:rPr>
          <w:rFonts w:eastAsia="Times New Roman" w:cs="Arial"/>
          <w:color w:val="000000"/>
          <w:lang w:val="ru-RU"/>
        </w:rPr>
        <w:t>/</w:t>
      </w:r>
      <w:r w:rsidRPr="008D71FA">
        <w:rPr>
          <w:rFonts w:eastAsia="Times New Roman" w:cs="Arial"/>
          <w:color w:val="000000"/>
          <w:lang w:val="en-US"/>
        </w:rPr>
        <w:t>kg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 xml:space="preserve">, </w:t>
      </w:r>
      <w:r w:rsidRPr="008D71FA">
        <w:rPr>
          <w:rFonts w:eastAsia="Times New Roman" w:cs="Arial"/>
          <w:color w:val="000000"/>
          <w:lang w:eastAsia="bg-BG"/>
        </w:rPr>
        <w:t xml:space="preserve">а общият телесен клирънс е между 480-600 </w:t>
      </w:r>
      <w:r w:rsidRPr="008D71FA">
        <w:rPr>
          <w:rFonts w:eastAsia="Times New Roman" w:cs="Arial"/>
          <w:color w:val="000000"/>
          <w:lang w:val="en-US"/>
        </w:rPr>
        <w:t>mL</w:t>
      </w:r>
      <w:r w:rsidRPr="008D71FA">
        <w:rPr>
          <w:rFonts w:eastAsia="Times New Roman" w:cs="Arial"/>
          <w:color w:val="000000"/>
          <w:lang w:val="ru-RU"/>
        </w:rPr>
        <w:t>/</w:t>
      </w:r>
      <w:r w:rsidRPr="008D71FA">
        <w:rPr>
          <w:rFonts w:eastAsia="Times New Roman" w:cs="Arial"/>
          <w:color w:val="000000"/>
          <w:lang w:val="en-US"/>
        </w:rPr>
        <w:t>kg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 xml:space="preserve">. </w:t>
      </w:r>
      <w:r w:rsidRPr="008D71FA">
        <w:rPr>
          <w:rFonts w:eastAsia="Times New Roman" w:cs="Arial"/>
          <w:color w:val="000000"/>
          <w:lang w:eastAsia="bg-BG"/>
        </w:rPr>
        <w:t xml:space="preserve">Ципрофлоксацин се подлага както на гломерулна филтрация, така и на </w:t>
      </w:r>
      <w:r w:rsidRPr="008D71FA">
        <w:rPr>
          <w:rFonts w:eastAsia="Times New Roman" w:cs="Arial"/>
          <w:color w:val="000000"/>
          <w:lang w:eastAsia="bg-BG"/>
        </w:rPr>
        <w:lastRenderedPageBreak/>
        <w:t>тубуларна секреция. Тежките нарушения на бъбречната функция водят до удължен полуживот на ципрофлоксацин до 12 часа.</w:t>
      </w:r>
    </w:p>
    <w:p w14:paraId="03B624C9" w14:textId="77777777" w:rsidR="008D71FA" w:rsidRPr="008D71FA" w:rsidRDefault="008D71FA" w:rsidP="008D71FA">
      <w:pPr>
        <w:spacing w:line="240" w:lineRule="auto"/>
        <w:rPr>
          <w:rFonts w:eastAsia="Times New Roman" w:cs="Arial"/>
          <w:color w:val="000000"/>
          <w:lang w:eastAsia="bg-BG"/>
        </w:rPr>
      </w:pPr>
    </w:p>
    <w:p w14:paraId="345D5F8D" w14:textId="4DD1C66D"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Извънбъбречният клирънс на ципрофлоксацин се осъществява основно с активна секреция в червата, както и с метаболизиране. 1 % от дозата се екскретира през жлъчния път. В жлъчката ципрофлоксацин е във високи концентрации.</w:t>
      </w:r>
    </w:p>
    <w:p w14:paraId="1111E319" w14:textId="77777777" w:rsidR="008D71FA" w:rsidRPr="008D71FA" w:rsidRDefault="008D71FA" w:rsidP="008D71FA">
      <w:pPr>
        <w:spacing w:line="240" w:lineRule="auto"/>
        <w:rPr>
          <w:rFonts w:eastAsia="Times New Roman" w:cs="Arial"/>
          <w:color w:val="000000"/>
          <w:u w:val="single"/>
          <w:lang w:eastAsia="bg-BG"/>
        </w:rPr>
      </w:pPr>
    </w:p>
    <w:p w14:paraId="7D2765C8" w14:textId="7DADD6AF"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Педиатрични пациенти</w:t>
      </w:r>
    </w:p>
    <w:p w14:paraId="5AE8A35C" w14:textId="77777777" w:rsidR="008D71FA" w:rsidRPr="008D71FA" w:rsidRDefault="008D71FA" w:rsidP="008D71FA">
      <w:pPr>
        <w:spacing w:line="240" w:lineRule="auto"/>
        <w:rPr>
          <w:rFonts w:eastAsia="Times New Roman" w:cs="Arial"/>
          <w:color w:val="000000"/>
          <w:lang w:eastAsia="bg-BG"/>
        </w:rPr>
      </w:pPr>
    </w:p>
    <w:p w14:paraId="6B78A762" w14:textId="22240536" w:rsidR="008D71FA" w:rsidRPr="008D71FA" w:rsidRDefault="008D71FA" w:rsidP="008D71FA">
      <w:pPr>
        <w:spacing w:line="240" w:lineRule="auto"/>
        <w:rPr>
          <w:rFonts w:eastAsia="Times New Roman" w:cs="Arial"/>
          <w:color w:val="000000"/>
          <w:lang w:eastAsia="bg-BG"/>
        </w:rPr>
      </w:pPr>
      <w:r w:rsidRPr="008D71FA">
        <w:rPr>
          <w:rFonts w:eastAsia="Times New Roman" w:cs="Arial"/>
          <w:color w:val="000000"/>
          <w:lang w:eastAsia="bg-BG"/>
        </w:rPr>
        <w:t>Данните относно фармакокинетиката при педиатрични пациенти са ограничени.</w:t>
      </w:r>
    </w:p>
    <w:p w14:paraId="284AF31D" w14:textId="77777777" w:rsidR="008D71FA" w:rsidRPr="008D71FA" w:rsidRDefault="008D71FA" w:rsidP="008D71FA">
      <w:pPr>
        <w:spacing w:line="240" w:lineRule="auto"/>
        <w:rPr>
          <w:rFonts w:eastAsia="Times New Roman" w:cs="Arial"/>
          <w:color w:val="000000"/>
          <w:lang w:eastAsia="bg-BG"/>
        </w:rPr>
      </w:pPr>
    </w:p>
    <w:p w14:paraId="0EBA5304" w14:textId="29CFE9D9"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При едно проучване при деца С</w:t>
      </w:r>
      <w:r w:rsidRPr="008D71FA">
        <w:rPr>
          <w:rFonts w:eastAsia="Times New Roman" w:cs="Arial"/>
          <w:color w:val="000000"/>
          <w:vertAlign w:val="subscript"/>
          <w:lang w:val="en-US"/>
        </w:rPr>
        <w:t>max</w:t>
      </w:r>
      <w:r w:rsidRPr="008D71FA">
        <w:rPr>
          <w:rFonts w:eastAsia="Times New Roman" w:cs="Arial"/>
          <w:color w:val="000000"/>
          <w:vertAlign w:val="subscript"/>
          <w:lang w:eastAsia="bg-BG"/>
        </w:rPr>
        <w:t xml:space="preserve"> </w:t>
      </w:r>
      <w:r w:rsidRPr="008D71FA">
        <w:rPr>
          <w:rFonts w:eastAsia="Times New Roman" w:cs="Arial"/>
          <w:color w:val="000000"/>
          <w:lang w:eastAsia="bg-BG"/>
        </w:rPr>
        <w:t xml:space="preserve">и </w:t>
      </w:r>
      <w:r w:rsidRPr="008D71FA">
        <w:rPr>
          <w:rFonts w:eastAsia="Times New Roman" w:cs="Arial"/>
          <w:color w:val="000000"/>
          <w:lang w:val="en-US"/>
        </w:rPr>
        <w:t>AUC</w:t>
      </w:r>
      <w:r w:rsidRPr="008D71FA">
        <w:rPr>
          <w:rFonts w:eastAsia="Times New Roman" w:cs="Arial"/>
          <w:color w:val="000000"/>
          <w:lang w:val="ru-RU"/>
        </w:rPr>
        <w:t xml:space="preserve"> </w:t>
      </w:r>
      <w:r w:rsidRPr="008D71FA">
        <w:rPr>
          <w:rFonts w:eastAsia="Times New Roman" w:cs="Arial"/>
          <w:color w:val="000000"/>
          <w:lang w:eastAsia="bg-BG"/>
        </w:rPr>
        <w:t>не са зависели от възрастта (над едногодишна възраст). Не е наблюдавано забележимо повишаване на С</w:t>
      </w:r>
      <w:r w:rsidRPr="008D71FA">
        <w:rPr>
          <w:rFonts w:eastAsia="Times New Roman" w:cs="Arial"/>
          <w:color w:val="000000"/>
          <w:vertAlign w:val="subscript"/>
          <w:lang w:val="en-US"/>
        </w:rPr>
        <w:t>max</w:t>
      </w:r>
      <w:r w:rsidRPr="008D71FA">
        <w:rPr>
          <w:rFonts w:eastAsia="Times New Roman" w:cs="Arial"/>
          <w:color w:val="000000"/>
          <w:lang w:eastAsia="bg-BG"/>
        </w:rPr>
        <w:t xml:space="preserve"> и </w:t>
      </w:r>
      <w:r w:rsidRPr="008D71FA">
        <w:rPr>
          <w:rFonts w:eastAsia="Times New Roman" w:cs="Arial"/>
          <w:color w:val="000000"/>
          <w:lang w:val="en-US"/>
        </w:rPr>
        <w:t>AUC</w:t>
      </w:r>
      <w:r w:rsidRPr="008D71FA">
        <w:rPr>
          <w:rFonts w:eastAsia="Times New Roman" w:cs="Arial"/>
          <w:color w:val="000000"/>
          <w:lang w:val="ru-RU"/>
        </w:rPr>
        <w:t xml:space="preserve"> </w:t>
      </w:r>
      <w:r w:rsidRPr="008D71FA">
        <w:rPr>
          <w:rFonts w:eastAsia="Times New Roman" w:cs="Arial"/>
          <w:color w:val="000000"/>
          <w:lang w:eastAsia="bg-BG"/>
        </w:rPr>
        <w:t xml:space="preserve">след многократно приложение (10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kg</w:t>
      </w:r>
      <w:r w:rsidRPr="008D71FA">
        <w:rPr>
          <w:rFonts w:eastAsia="Times New Roman" w:cs="Arial"/>
          <w:color w:val="000000"/>
          <w:lang w:val="ru-RU"/>
        </w:rPr>
        <w:t xml:space="preserve"> </w:t>
      </w:r>
      <w:r w:rsidRPr="008D71FA">
        <w:rPr>
          <w:rFonts w:eastAsia="Times New Roman" w:cs="Arial"/>
          <w:color w:val="000000"/>
          <w:lang w:eastAsia="bg-BG"/>
        </w:rPr>
        <w:t>три пъти на ден).</w:t>
      </w:r>
    </w:p>
    <w:p w14:paraId="1D0F7009"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При 10 деца с тежък сепсис С</w:t>
      </w:r>
      <w:r w:rsidRPr="008D71FA">
        <w:rPr>
          <w:rFonts w:eastAsia="Times New Roman" w:cs="Arial"/>
          <w:color w:val="000000"/>
          <w:vertAlign w:val="subscript"/>
          <w:lang w:val="en-US"/>
        </w:rPr>
        <w:t>max</w:t>
      </w:r>
      <w:r w:rsidRPr="008D71FA">
        <w:rPr>
          <w:rFonts w:eastAsia="Times New Roman" w:cs="Arial"/>
          <w:color w:val="000000"/>
          <w:lang w:eastAsia="bg-BG"/>
        </w:rPr>
        <w:t xml:space="preserve"> е била 6,1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(интервал 4,6 - 8,3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след едночасова интравенозна инфузия на доза 10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kg</w:t>
      </w:r>
      <w:r w:rsidRPr="008D71FA">
        <w:rPr>
          <w:rFonts w:eastAsia="Times New Roman" w:cs="Arial"/>
          <w:color w:val="000000"/>
          <w:lang w:val="ru-RU"/>
        </w:rPr>
        <w:t xml:space="preserve"> </w:t>
      </w:r>
      <w:r w:rsidRPr="008D71FA">
        <w:rPr>
          <w:rFonts w:eastAsia="Times New Roman" w:cs="Arial"/>
          <w:color w:val="000000"/>
          <w:lang w:eastAsia="bg-BG"/>
        </w:rPr>
        <w:t xml:space="preserve">при деца на възраст под 1 година в сравнение с 7,2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(интервал 4,7 - 11,8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при деца на възраст между 1 и 5 години. Стойностите на </w:t>
      </w:r>
      <w:r w:rsidRPr="008D71FA">
        <w:rPr>
          <w:rFonts w:eastAsia="Times New Roman" w:cs="Arial"/>
          <w:color w:val="000000"/>
          <w:lang w:val="en-US"/>
        </w:rPr>
        <w:t>AUC</w:t>
      </w:r>
      <w:r w:rsidRPr="008D71FA">
        <w:rPr>
          <w:rFonts w:eastAsia="Times New Roman" w:cs="Arial"/>
          <w:color w:val="000000"/>
          <w:lang w:val="ru-RU"/>
        </w:rPr>
        <w:t xml:space="preserve"> </w:t>
      </w:r>
      <w:r w:rsidRPr="008D71FA">
        <w:rPr>
          <w:rFonts w:eastAsia="Times New Roman" w:cs="Arial"/>
          <w:color w:val="000000"/>
          <w:lang w:eastAsia="bg-BG"/>
        </w:rPr>
        <w:t xml:space="preserve">за съответните възрастови групи са били съответно 17,4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(интервал 11,8 - 32,0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и 16,5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(интервал 11,0 - 23,8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w:t>
      </w:r>
    </w:p>
    <w:p w14:paraId="40FB0116" w14:textId="77777777" w:rsidR="008D71FA" w:rsidRPr="008D71FA" w:rsidRDefault="008D71FA" w:rsidP="008D71FA">
      <w:pPr>
        <w:spacing w:line="240" w:lineRule="auto"/>
        <w:rPr>
          <w:rFonts w:eastAsia="Times New Roman" w:cs="Arial"/>
          <w:color w:val="000000"/>
          <w:lang w:eastAsia="bg-BG"/>
        </w:rPr>
      </w:pPr>
    </w:p>
    <w:p w14:paraId="7449C9DB" w14:textId="107F8512" w:rsidR="008D71FA" w:rsidRPr="008D71FA" w:rsidRDefault="008D71FA" w:rsidP="008D71FA">
      <w:pPr>
        <w:rPr>
          <w:rFonts w:ascii="Times New Roman" w:eastAsia="Times New Roman" w:hAnsi="Times New Roman" w:cs="Times New Roman"/>
          <w:sz w:val="24"/>
          <w:szCs w:val="24"/>
        </w:rPr>
      </w:pPr>
      <w:r w:rsidRPr="008D71FA">
        <w:rPr>
          <w:rFonts w:eastAsia="Times New Roman" w:cs="Arial"/>
          <w:color w:val="000000"/>
          <w:lang w:eastAsia="bg-BG"/>
        </w:rPr>
        <w:t>Тези стойности са в границите на съобщаваните за възрастни при прилагане на базата на популационния фармакокинетичен анализ при педиатрични пациенти с прогнозният среден полуживот при деца е около 4-5 часа, а бионаличността на пероралната суспензия варира от 50 до 80 %.</w:t>
      </w:r>
    </w:p>
    <w:p w14:paraId="5BE54E0A" w14:textId="377000FF" w:rsidR="008D71FA" w:rsidRPr="008D71FA" w:rsidRDefault="008D71FA" w:rsidP="008D71FA"/>
    <w:p w14:paraId="4F31844C" w14:textId="5EE3060F" w:rsidR="00875EEC" w:rsidRDefault="002C50EE" w:rsidP="005726E3">
      <w:pPr>
        <w:pStyle w:val="Heading2"/>
      </w:pPr>
      <w:r>
        <w:t>5.3. Предклинични данни за безопасност</w:t>
      </w:r>
    </w:p>
    <w:p w14:paraId="466C5BF8" w14:textId="46110FDC" w:rsidR="008D71FA" w:rsidRDefault="008D71FA" w:rsidP="008D71FA"/>
    <w:p w14:paraId="28929B32"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Неклиничните данни не показват особен риск за хората на база на конвенционалните изпитвания за токсичност на единичната доза, токсичност при многократно прилагане, канцерогенен потенциал или репродуктивна токсичност.</w:t>
      </w:r>
    </w:p>
    <w:p w14:paraId="1B5890E7"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Подобно на много други хинолони, ципрофлоксацин е фототоксичен при животни при клинично значими нива на експозиция. Данните за фотомутагенност / фотоканцерогенност показват слаб фотомутагенен и фототуморогенен ефект на ципрофлоксацин </w:t>
      </w:r>
      <w:r w:rsidRPr="008D71FA">
        <w:rPr>
          <w:rFonts w:eastAsia="Times New Roman" w:cs="Arial"/>
          <w:i/>
          <w:iCs/>
          <w:color w:val="000000"/>
          <w:lang w:val="en-US"/>
        </w:rPr>
        <w:t>in</w:t>
      </w:r>
      <w:r w:rsidRPr="008D71FA">
        <w:rPr>
          <w:rFonts w:eastAsia="Times New Roman" w:cs="Arial"/>
          <w:i/>
          <w:iCs/>
          <w:color w:val="000000"/>
          <w:lang w:val="ru-RU"/>
        </w:rPr>
        <w:t xml:space="preserve"> </w:t>
      </w:r>
      <w:r w:rsidRPr="008D71FA">
        <w:rPr>
          <w:rFonts w:eastAsia="Times New Roman" w:cs="Arial"/>
          <w:i/>
          <w:iCs/>
          <w:color w:val="000000"/>
          <w:lang w:val="en-US"/>
        </w:rPr>
        <w:t>vitro</w:t>
      </w:r>
      <w:r w:rsidRPr="008D71FA">
        <w:rPr>
          <w:rFonts w:eastAsia="Times New Roman" w:cs="Arial"/>
          <w:color w:val="000000"/>
          <w:lang w:val="ru-RU"/>
        </w:rPr>
        <w:t xml:space="preserve"> </w:t>
      </w:r>
      <w:r w:rsidRPr="008D71FA">
        <w:rPr>
          <w:rFonts w:eastAsia="Times New Roman" w:cs="Arial"/>
          <w:color w:val="000000"/>
          <w:lang w:eastAsia="bg-BG"/>
        </w:rPr>
        <w:t>и при експерименти с животни. Този ефект е съпоставим с този на други гиразни инхибитори.</w:t>
      </w:r>
    </w:p>
    <w:p w14:paraId="742DDFA8" w14:textId="77777777" w:rsidR="008D71FA" w:rsidRPr="008D71FA" w:rsidRDefault="008D71FA" w:rsidP="008D71FA">
      <w:pPr>
        <w:spacing w:line="240" w:lineRule="auto"/>
        <w:rPr>
          <w:rFonts w:eastAsia="Times New Roman" w:cs="Arial"/>
          <w:color w:val="000000"/>
          <w:u w:val="single"/>
          <w:lang w:eastAsia="bg-BG"/>
        </w:rPr>
      </w:pPr>
    </w:p>
    <w:p w14:paraId="2FBBA930" w14:textId="0643DACF"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Поносимост за ставите:</w:t>
      </w:r>
    </w:p>
    <w:p w14:paraId="4D5663EA"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Както е съобщавано за други гиразни инхибитори, ципрофлоксацин причинява увреждане на големите носещи стави при животни с незавършен растеж. Степента на увреждане на хрущяла варира според възрастта, животинския вид и дозата; увреждането на ставите може да се намали, ако ставите не се натоварват. Проучванията при зрели животни (плъхове, кучета) не показват данни за увреждане на хрущялите. При едно проучване върху млади кучета от порода бийгъл ципрофлоксацин е довел до тежки промени в ставите при прилагане на терапевтични дози в продължение на 2 седмици, които все още се наблюдават и след 5 месеца.</w:t>
      </w:r>
    </w:p>
    <w:p w14:paraId="179A51CD" w14:textId="77777777" w:rsidR="008D71FA" w:rsidRPr="008D71FA" w:rsidRDefault="008D71FA" w:rsidP="008D71FA"/>
    <w:p w14:paraId="1BA6531D" w14:textId="035F2820" w:rsidR="00B6672E" w:rsidRDefault="002C50EE" w:rsidP="00936AD0">
      <w:pPr>
        <w:pStyle w:val="Heading1"/>
      </w:pPr>
      <w:r>
        <w:t>7. ПРИТЕЖАТЕЛ НА РАЗРЕШЕНИЕТО ЗА УПОТРЕБА</w:t>
      </w:r>
    </w:p>
    <w:p w14:paraId="749303CD" w14:textId="4705C7CF" w:rsidR="008D71FA" w:rsidRDefault="008D71FA" w:rsidP="008D71FA"/>
    <w:p w14:paraId="753A6F58" w14:textId="77777777" w:rsidR="008D71FA" w:rsidRPr="008D71FA" w:rsidRDefault="008D71FA" w:rsidP="008D71FA">
      <w:pPr>
        <w:rPr>
          <w:sz w:val="24"/>
          <w:szCs w:val="24"/>
          <w:lang w:val="en-US"/>
        </w:rPr>
      </w:pPr>
      <w:r w:rsidRPr="008D71FA">
        <w:rPr>
          <w:lang w:val="en-US"/>
        </w:rPr>
        <w:lastRenderedPageBreak/>
        <w:t>Bayer AG</w:t>
      </w:r>
    </w:p>
    <w:p w14:paraId="5DCE6C77" w14:textId="77777777" w:rsidR="008D71FA" w:rsidRPr="008D71FA" w:rsidRDefault="008D71FA" w:rsidP="008D71FA">
      <w:pPr>
        <w:rPr>
          <w:sz w:val="24"/>
          <w:szCs w:val="24"/>
          <w:lang w:val="en-US"/>
        </w:rPr>
      </w:pPr>
      <w:r w:rsidRPr="008D71FA">
        <w:rPr>
          <w:lang w:val="en-US"/>
        </w:rPr>
        <w:t>Kaiser-Wilhelm-</w:t>
      </w:r>
      <w:proofErr w:type="spellStart"/>
      <w:r w:rsidRPr="008D71FA">
        <w:rPr>
          <w:lang w:val="en-US"/>
        </w:rPr>
        <w:t>Allee</w:t>
      </w:r>
      <w:proofErr w:type="spellEnd"/>
      <w:r w:rsidRPr="008D71FA">
        <w:rPr>
          <w:lang w:val="en-US"/>
        </w:rPr>
        <w:t xml:space="preserve"> </w:t>
      </w:r>
      <w:r w:rsidRPr="008D71FA">
        <w:rPr>
          <w:lang w:eastAsia="bg-BG"/>
        </w:rPr>
        <w:t>1</w:t>
      </w:r>
    </w:p>
    <w:p w14:paraId="43CF1F40" w14:textId="532407D7" w:rsidR="008D71FA" w:rsidRPr="008D71FA" w:rsidRDefault="008D71FA" w:rsidP="008D71FA">
      <w:r w:rsidRPr="008D71FA">
        <w:rPr>
          <w:lang w:eastAsia="bg-BG"/>
        </w:rPr>
        <w:t xml:space="preserve">51373 </w:t>
      </w:r>
      <w:r w:rsidRPr="008D71FA">
        <w:rPr>
          <w:lang w:val="en-US"/>
        </w:rPr>
        <w:t>Leverkusen</w:t>
      </w:r>
      <w:r w:rsidRPr="008D71FA">
        <w:rPr>
          <w:lang w:val="ru-RU"/>
        </w:rPr>
        <w:t xml:space="preserve">, </w:t>
      </w:r>
      <w:r w:rsidRPr="008D71FA">
        <w:rPr>
          <w:lang w:eastAsia="bg-BG"/>
        </w:rPr>
        <w:t>Германия</w:t>
      </w:r>
    </w:p>
    <w:p w14:paraId="508F3A54" w14:textId="284DB18D" w:rsidR="00B6672E" w:rsidRDefault="00936AD0" w:rsidP="00936AD0">
      <w:pPr>
        <w:pStyle w:val="Heading1"/>
      </w:pPr>
      <w:r>
        <w:t>8.</w:t>
      </w:r>
      <w:r w:rsidR="002C50EE">
        <w:t>НОМЕР НА РАЗРЕШЕНИЕТО ЗА УПОТРЕБА</w:t>
      </w:r>
    </w:p>
    <w:p w14:paraId="47A13E05" w14:textId="0FD530D1" w:rsidR="008D71FA" w:rsidRDefault="008D71FA" w:rsidP="008D71FA"/>
    <w:p w14:paraId="00BE8417" w14:textId="078564B5" w:rsidR="008D71FA" w:rsidRPr="008D71FA" w:rsidRDefault="008D71FA" w:rsidP="008D71FA">
      <w:r>
        <w:t>20010820</w:t>
      </w:r>
    </w:p>
    <w:p w14:paraId="3BC5EC53" w14:textId="23751686" w:rsidR="00875EEC" w:rsidRDefault="002C50EE" w:rsidP="005726E3">
      <w:pPr>
        <w:pStyle w:val="Heading1"/>
      </w:pPr>
      <w:r>
        <w:t>9. ДАТА НА ПЪРВО РАЗРЕШАВАНЕ/ПОДНОВЯВАНЕ НА РАЗРЕШЕНИЕТО ЗА УПОТРЕБА</w:t>
      </w:r>
    </w:p>
    <w:p w14:paraId="5DEDD0F2" w14:textId="0775AB95" w:rsidR="008D71FA" w:rsidRDefault="008D71FA" w:rsidP="008D71FA"/>
    <w:p w14:paraId="738AD9D7" w14:textId="77777777" w:rsidR="008D71FA" w:rsidRPr="008D71FA" w:rsidRDefault="008D71FA" w:rsidP="008D71FA">
      <w:pPr>
        <w:rPr>
          <w:sz w:val="24"/>
          <w:szCs w:val="24"/>
        </w:rPr>
      </w:pPr>
      <w:r w:rsidRPr="008D71FA">
        <w:rPr>
          <w:lang w:eastAsia="bg-BG"/>
        </w:rPr>
        <w:t>Дата на първо разрешаване: 02 октомври 1996 г.</w:t>
      </w:r>
    </w:p>
    <w:p w14:paraId="48443A89" w14:textId="6827D7FE" w:rsidR="008D71FA" w:rsidRPr="008D71FA" w:rsidRDefault="008D71FA" w:rsidP="008D71FA">
      <w:r w:rsidRPr="008D71FA">
        <w:rPr>
          <w:lang w:eastAsia="bg-BG"/>
        </w:rPr>
        <w:t>Д</w:t>
      </w:r>
      <w:r>
        <w:rPr>
          <w:lang w:eastAsia="bg-BG"/>
        </w:rPr>
        <w:t>ата на последно подновяване:</w:t>
      </w:r>
      <w:r w:rsidRPr="008D71FA">
        <w:rPr>
          <w:lang w:eastAsia="bg-BG"/>
        </w:rPr>
        <w:t>02 август 2012 г.</w:t>
      </w:r>
    </w:p>
    <w:p w14:paraId="43FB38A2" w14:textId="5B960C9B" w:rsidR="007C605B" w:rsidRDefault="002C50EE" w:rsidP="005726E3">
      <w:pPr>
        <w:pStyle w:val="Heading1"/>
      </w:pPr>
      <w:r>
        <w:t>10. ДАТА НА АКТУАЛИЗИРАНЕ НА ТЕКСТА</w:t>
      </w:r>
      <w:bookmarkEnd w:id="0"/>
    </w:p>
    <w:p w14:paraId="266E6E47" w14:textId="0ED055F1" w:rsidR="008D71FA" w:rsidRPr="008D71FA" w:rsidRDefault="008D71FA" w:rsidP="008D71FA">
      <w:r>
        <w:t>02/2022</w:t>
      </w:r>
      <w:bookmarkStart w:id="2" w:name="_GoBack"/>
      <w:bookmarkEnd w:id="2"/>
    </w:p>
    <w:sectPr w:rsidR="008D71FA" w:rsidRPr="008D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26973"/>
    <w:multiLevelType w:val="hybridMultilevel"/>
    <w:tmpl w:val="AF0E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B7F7C"/>
    <w:multiLevelType w:val="hybridMultilevel"/>
    <w:tmpl w:val="167E50D8"/>
    <w:lvl w:ilvl="0" w:tplc="4EB4BBCC">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23A63"/>
    <w:multiLevelType w:val="hybridMultilevel"/>
    <w:tmpl w:val="453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064"/>
    <w:multiLevelType w:val="hybridMultilevel"/>
    <w:tmpl w:val="CF6E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13083"/>
    <w:multiLevelType w:val="hybridMultilevel"/>
    <w:tmpl w:val="9AF668D8"/>
    <w:lvl w:ilvl="0" w:tplc="4EB4BBCC">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210C1"/>
    <w:multiLevelType w:val="hybridMultilevel"/>
    <w:tmpl w:val="C4F819FA"/>
    <w:lvl w:ilvl="0" w:tplc="4EB4BBCC">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5"/>
  </w:num>
  <w:num w:numId="4">
    <w:abstractNumId w:val="3"/>
  </w:num>
  <w:num w:numId="5">
    <w:abstractNumId w:val="1"/>
  </w:num>
  <w:num w:numId="6">
    <w:abstractNumId w:val="21"/>
  </w:num>
  <w:num w:numId="7">
    <w:abstractNumId w:val="13"/>
  </w:num>
  <w:num w:numId="8">
    <w:abstractNumId w:val="20"/>
  </w:num>
  <w:num w:numId="9">
    <w:abstractNumId w:val="2"/>
  </w:num>
  <w:num w:numId="10">
    <w:abstractNumId w:val="4"/>
  </w:num>
  <w:num w:numId="11">
    <w:abstractNumId w:val="35"/>
  </w:num>
  <w:num w:numId="12">
    <w:abstractNumId w:val="19"/>
  </w:num>
  <w:num w:numId="13">
    <w:abstractNumId w:val="24"/>
  </w:num>
  <w:num w:numId="14">
    <w:abstractNumId w:val="14"/>
  </w:num>
  <w:num w:numId="15">
    <w:abstractNumId w:val="34"/>
  </w:num>
  <w:num w:numId="16">
    <w:abstractNumId w:val="12"/>
  </w:num>
  <w:num w:numId="17">
    <w:abstractNumId w:val="29"/>
  </w:num>
  <w:num w:numId="18">
    <w:abstractNumId w:val="8"/>
  </w:num>
  <w:num w:numId="19">
    <w:abstractNumId w:val="31"/>
  </w:num>
  <w:num w:numId="20">
    <w:abstractNumId w:val="28"/>
  </w:num>
  <w:num w:numId="21">
    <w:abstractNumId w:val="22"/>
  </w:num>
  <w:num w:numId="22">
    <w:abstractNumId w:val="30"/>
  </w:num>
  <w:num w:numId="23">
    <w:abstractNumId w:val="23"/>
  </w:num>
  <w:num w:numId="24">
    <w:abstractNumId w:val="10"/>
  </w:num>
  <w:num w:numId="25">
    <w:abstractNumId w:val="27"/>
  </w:num>
  <w:num w:numId="26">
    <w:abstractNumId w:val="26"/>
  </w:num>
  <w:num w:numId="27">
    <w:abstractNumId w:val="37"/>
  </w:num>
  <w:num w:numId="28">
    <w:abstractNumId w:val="6"/>
  </w:num>
  <w:num w:numId="29">
    <w:abstractNumId w:val="25"/>
  </w:num>
  <w:num w:numId="30">
    <w:abstractNumId w:val="41"/>
  </w:num>
  <w:num w:numId="31">
    <w:abstractNumId w:val="5"/>
  </w:num>
  <w:num w:numId="32">
    <w:abstractNumId w:val="40"/>
  </w:num>
  <w:num w:numId="33">
    <w:abstractNumId w:val="33"/>
  </w:num>
  <w:num w:numId="34">
    <w:abstractNumId w:val="38"/>
  </w:num>
  <w:num w:numId="35">
    <w:abstractNumId w:val="7"/>
  </w:num>
  <w:num w:numId="36">
    <w:abstractNumId w:val="11"/>
  </w:num>
  <w:num w:numId="37">
    <w:abstractNumId w:val="18"/>
  </w:num>
  <w:num w:numId="38">
    <w:abstractNumId w:val="39"/>
  </w:num>
  <w:num w:numId="39">
    <w:abstractNumId w:val="9"/>
  </w:num>
  <w:num w:numId="40">
    <w:abstractNumId w:val="17"/>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5B207E"/>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D71FA"/>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8084</Words>
  <Characters>46079</Characters>
  <Application>Microsoft Office Word</Application>
  <DocSecurity>0</DocSecurity>
  <Lines>383</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2022-11-03T11:24:00Z</dcterms:created>
  <dcterms:modified xsi:type="dcterms:W3CDTF">2022-11-03T11:24:00Z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