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5E54F3F2" w:rsidR="009F77A4" w:rsidRDefault="00DD466D" w:rsidP="00387A66">
      <w:pPr>
        <w:pStyle w:val="Heading1"/>
      </w:pPr>
      <w:r>
        <w:t>1.ИМЕ НА ЛЕКАРСТВЕНИЯ ПРОДУКТ</w:t>
      </w:r>
    </w:p>
    <w:p w14:paraId="7C1F6A25" w14:textId="5C380879" w:rsidR="006D4094" w:rsidRDefault="006D4094" w:rsidP="006D4094"/>
    <w:p w14:paraId="4606307F" w14:textId="77777777" w:rsidR="006D4094" w:rsidRDefault="006D4094" w:rsidP="006D4094">
      <w:pPr>
        <w:rPr>
          <w:lang w:eastAsia="bg-BG"/>
        </w:rPr>
      </w:pPr>
      <w:r w:rsidRPr="006D4094">
        <w:rPr>
          <w:lang w:eastAsia="bg-BG"/>
        </w:rPr>
        <w:t xml:space="preserve">Цнпрофлав 10 </w:t>
      </w:r>
      <w:r w:rsidRPr="006D4094">
        <w:rPr>
          <w:lang w:val="en-US"/>
        </w:rPr>
        <w:t xml:space="preserve">mg/ml </w:t>
      </w:r>
      <w:r w:rsidRPr="006D4094">
        <w:rPr>
          <w:lang w:eastAsia="bg-BG"/>
        </w:rPr>
        <w:t xml:space="preserve">концентрат за инфузионен разтвор </w:t>
      </w:r>
    </w:p>
    <w:p w14:paraId="54AFB9B9" w14:textId="15CBC9B7" w:rsidR="006D4094" w:rsidRPr="006D4094" w:rsidRDefault="006D4094" w:rsidP="006D4094">
      <w:pPr>
        <w:rPr>
          <w:sz w:val="24"/>
          <w:szCs w:val="24"/>
          <w:lang w:val="en-US" w:eastAsia="bg-BG"/>
        </w:rPr>
      </w:pPr>
      <w:proofErr w:type="spellStart"/>
      <w:r w:rsidRPr="006D4094">
        <w:rPr>
          <w:lang w:val="en-US"/>
        </w:rPr>
        <w:t>Ciproflav</w:t>
      </w:r>
      <w:proofErr w:type="spellEnd"/>
      <w:r w:rsidRPr="006D4094">
        <w:rPr>
          <w:lang w:val="en-US"/>
        </w:rPr>
        <w:t xml:space="preserve"> </w:t>
      </w:r>
      <w:r w:rsidRPr="006D4094">
        <w:rPr>
          <w:lang w:eastAsia="bg-BG"/>
        </w:rPr>
        <w:t xml:space="preserve">10 </w:t>
      </w:r>
      <w:r w:rsidRPr="006D4094">
        <w:rPr>
          <w:lang w:val="en-US"/>
        </w:rPr>
        <w:t>mg/ml concentrate for solution for infusion</w:t>
      </w:r>
    </w:p>
    <w:p w14:paraId="6CA9EDAF" w14:textId="77777777" w:rsidR="006D4094" w:rsidRPr="006D4094" w:rsidRDefault="006D4094" w:rsidP="006D4094"/>
    <w:p w14:paraId="0DF202EC" w14:textId="7903AFCF" w:rsidR="00F53FB7" w:rsidRDefault="00DD466D" w:rsidP="00A93499">
      <w:pPr>
        <w:pStyle w:val="Heading1"/>
      </w:pPr>
      <w:r>
        <w:t>2. КАЧЕСТВЕН И КОЛИЧЕСТВЕН СЪСТАВ</w:t>
      </w:r>
    </w:p>
    <w:p w14:paraId="1D7C9BDA" w14:textId="5073B337" w:rsidR="006D4094" w:rsidRDefault="006D4094" w:rsidP="006D4094"/>
    <w:p w14:paraId="01AF2797" w14:textId="527ABCB2" w:rsidR="006D4094" w:rsidRPr="006D4094" w:rsidRDefault="006D4094" w:rsidP="006D4094">
      <w:r>
        <w:t xml:space="preserve">1 </w:t>
      </w:r>
      <w:r>
        <w:rPr>
          <w:lang w:val="en-US"/>
        </w:rPr>
        <w:t xml:space="preserve">ml </w:t>
      </w:r>
      <w:r>
        <w:t xml:space="preserve">от концентрата за инфузионен разтвор съдържа 10 </w:t>
      </w:r>
      <w:r>
        <w:rPr>
          <w:lang w:val="en-US"/>
        </w:rPr>
        <w:t xml:space="preserve">mg </w:t>
      </w:r>
      <w:r>
        <w:t xml:space="preserve">ципрофлоксацин </w:t>
      </w:r>
      <w:r>
        <w:rPr>
          <w:i/>
          <w:iCs/>
          <w:lang w:val="en-US"/>
        </w:rPr>
        <w:t>(ciprofloxacin).</w:t>
      </w:r>
    </w:p>
    <w:p w14:paraId="4CABB9ED" w14:textId="49A5DC3E" w:rsidR="00F53FB7" w:rsidRDefault="00DD466D" w:rsidP="00A93499">
      <w:pPr>
        <w:pStyle w:val="Heading1"/>
      </w:pPr>
      <w:r>
        <w:t>3. ЛЕКАРСТВЕНА ФОРМА</w:t>
      </w:r>
    </w:p>
    <w:p w14:paraId="7AFF1FB8" w14:textId="2870D6F2" w:rsidR="006D4094" w:rsidRDefault="006D4094" w:rsidP="006D4094"/>
    <w:p w14:paraId="0BF2DA8F" w14:textId="1B27F546" w:rsidR="006D4094" w:rsidRPr="006D4094" w:rsidRDefault="006D4094" w:rsidP="006D4094">
      <w:pPr>
        <w:rPr>
          <w:sz w:val="24"/>
          <w:szCs w:val="24"/>
          <w:lang w:eastAsia="bg-BG"/>
        </w:rPr>
      </w:pPr>
      <w:r w:rsidRPr="006D4094">
        <w:rPr>
          <w:lang w:eastAsia="bg-BG"/>
        </w:rPr>
        <w:t>Концентрат за инфузионен разтвор</w:t>
      </w:r>
    </w:p>
    <w:p w14:paraId="490FC2C4" w14:textId="6899DE43" w:rsidR="002C50EE" w:rsidRDefault="002C50EE" w:rsidP="002C50EE">
      <w:pPr>
        <w:pStyle w:val="Heading1"/>
      </w:pPr>
      <w:r>
        <w:t>4. КЛИНИЧНИ ДАННИ</w:t>
      </w:r>
    </w:p>
    <w:p w14:paraId="461901E4" w14:textId="2A7CEE03" w:rsidR="009F77A4" w:rsidRDefault="002C50EE" w:rsidP="00387A66">
      <w:pPr>
        <w:pStyle w:val="Heading2"/>
      </w:pPr>
      <w:r>
        <w:t>4.1. Терапевтични показания</w:t>
      </w:r>
    </w:p>
    <w:p w14:paraId="15C3B25F" w14:textId="0F9EB2B8" w:rsidR="006D4094" w:rsidRDefault="006D4094" w:rsidP="006D4094"/>
    <w:p w14:paraId="67CB562D" w14:textId="77777777" w:rsidR="006D4094" w:rsidRPr="006D4094" w:rsidRDefault="006D4094" w:rsidP="006D4094">
      <w:pPr>
        <w:spacing w:line="240" w:lineRule="auto"/>
        <w:rPr>
          <w:rFonts w:eastAsia="Times New Roman" w:cs="Arial"/>
          <w:sz w:val="28"/>
          <w:szCs w:val="28"/>
          <w:lang w:eastAsia="bg-BG"/>
        </w:rPr>
      </w:pPr>
      <w:bookmarkStart w:id="1" w:name="bookmark0"/>
      <w:r w:rsidRPr="006D4094">
        <w:rPr>
          <w:rFonts w:eastAsia="Times New Roman" w:cs="Arial"/>
          <w:b/>
          <w:bCs/>
          <w:color w:val="000000"/>
          <w:lang w:eastAsia="bg-BG"/>
        </w:rPr>
        <w:t>Възрастни</w:t>
      </w:r>
      <w:bookmarkEnd w:id="1"/>
    </w:p>
    <w:p w14:paraId="7EB5D7C2"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Инфекции на долните дихателни пътища, дължащи се на Грам-отрицателни бактерии</w:t>
      </w:r>
    </w:p>
    <w:p w14:paraId="21231E65" w14:textId="77777777"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Остра екзацербация на хронична обструктивна белодробна болест</w:t>
      </w:r>
    </w:p>
    <w:p w14:paraId="5B51D857" w14:textId="77777777"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При острата екзацербация на хронична обструктивна белодробна болест Ципрофлав трябва да се използва само когато се счита неприемливо използването на други антибактериални средства, които обикновено се препоръчват при лечението на тази инфекция.</w:t>
      </w:r>
    </w:p>
    <w:p w14:paraId="39BFD5C1" w14:textId="77777777"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 xml:space="preserve">Бронхо-пулмонарни инфекции при кистозна фиброза или при бронхиектазия. </w:t>
      </w:r>
    </w:p>
    <w:p w14:paraId="6DE55EAA" w14:textId="28720894"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Пневмония</w:t>
      </w:r>
    </w:p>
    <w:p w14:paraId="2A39F5DB"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Хроничен гноен отитис медиа</w:t>
      </w:r>
    </w:p>
    <w:p w14:paraId="49FF7A6B"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Злокачествен външен отит</w:t>
      </w:r>
    </w:p>
    <w:p w14:paraId="3C05B393"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Остра екзацербация на хроничен синузит, особено ако е причинен от Грам-отрицателни бактерии</w:t>
      </w:r>
    </w:p>
    <w:p w14:paraId="6C3FDB4B"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Усложнени инфекции на пикочните пътища.</w:t>
      </w:r>
    </w:p>
    <w:p w14:paraId="74EB63AE"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Остър пиелонефрит</w:t>
      </w:r>
    </w:p>
    <w:p w14:paraId="453DB731"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Бактериален простатит</w:t>
      </w:r>
    </w:p>
    <w:p w14:paraId="714967D4"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 xml:space="preserve">Гонококов уретрит и цервицид, дължащи се на възприемчивост към </w:t>
      </w:r>
      <w:r w:rsidRPr="006D4094">
        <w:rPr>
          <w:rFonts w:eastAsia="Times New Roman" w:cs="Arial"/>
          <w:i/>
          <w:iCs/>
          <w:color w:val="000000"/>
          <w:lang w:val="en-US"/>
        </w:rPr>
        <w:t>Neisseria gonorrhoeae.</w:t>
      </w:r>
    </w:p>
    <w:p w14:paraId="0EB3D114"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 xml:space="preserve">Орхиепидидимит, включително случаи, дължащи се на възприемчивост към </w:t>
      </w:r>
      <w:r w:rsidRPr="006D4094">
        <w:rPr>
          <w:rFonts w:eastAsia="Times New Roman" w:cs="Arial"/>
          <w:i/>
          <w:iCs/>
          <w:color w:val="000000"/>
          <w:lang w:val="en-US"/>
        </w:rPr>
        <w:t>Neisseria gonorrhoeae</w:t>
      </w:r>
    </w:p>
    <w:p w14:paraId="09074F06"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 xml:space="preserve">Възпаление на тазовите органи включително случаи, дължащи се на възприемчивост към </w:t>
      </w:r>
      <w:r w:rsidRPr="006D4094">
        <w:rPr>
          <w:rFonts w:eastAsia="Times New Roman" w:cs="Arial"/>
          <w:i/>
          <w:iCs/>
          <w:color w:val="000000"/>
          <w:lang w:val="en-US"/>
        </w:rPr>
        <w:t>Neisseria gonorrhoeae.</w:t>
      </w:r>
      <w:r w:rsidRPr="006D4094">
        <w:rPr>
          <w:rFonts w:eastAsia="Times New Roman" w:cs="Arial"/>
          <w:color w:val="000000"/>
          <w:lang w:val="en-US"/>
        </w:rPr>
        <w:t xml:space="preserve"> </w:t>
      </w:r>
      <w:r w:rsidRPr="006D4094">
        <w:rPr>
          <w:rFonts w:eastAsia="Times New Roman" w:cs="Arial"/>
          <w:color w:val="000000"/>
          <w:lang w:eastAsia="bg-BG"/>
        </w:rPr>
        <w:t xml:space="preserve">Изясняването на местната информация за резистентността към ципрофлоксацин и подсигуряване на </w:t>
      </w:r>
      <w:r w:rsidRPr="006D4094">
        <w:rPr>
          <w:rFonts w:eastAsia="Times New Roman" w:cs="Arial"/>
          <w:color w:val="000000"/>
          <w:lang w:eastAsia="bg-BG"/>
        </w:rPr>
        <w:lastRenderedPageBreak/>
        <w:t xml:space="preserve">възприемчивостта посредством лабораторни тестове е от ключово значение, особено в случаите, когато </w:t>
      </w:r>
      <w:r w:rsidRPr="006D4094">
        <w:rPr>
          <w:rFonts w:eastAsia="Times New Roman" w:cs="Arial"/>
          <w:i/>
          <w:iCs/>
          <w:color w:val="000000"/>
          <w:lang w:val="en-US"/>
        </w:rPr>
        <w:t>Neisseria gonorrhoeae</w:t>
      </w:r>
      <w:r w:rsidRPr="006D4094">
        <w:rPr>
          <w:rFonts w:eastAsia="Times New Roman" w:cs="Arial"/>
          <w:color w:val="000000"/>
          <w:lang w:val="en-US"/>
        </w:rPr>
        <w:t xml:space="preserve"> </w:t>
      </w:r>
      <w:r w:rsidRPr="006D4094">
        <w:rPr>
          <w:rFonts w:eastAsia="Times New Roman" w:cs="Arial"/>
          <w:color w:val="000000"/>
          <w:lang w:eastAsia="bg-BG"/>
        </w:rPr>
        <w:t>е подозиран или потвърден причинител на гореспоменатите инфекции на гениталните пътища.</w:t>
      </w:r>
    </w:p>
    <w:p w14:paraId="25D10B32"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Инфекции на стомашно-чревния тракт (напр. диария при пътуване)</w:t>
      </w:r>
    </w:p>
    <w:p w14:paraId="31800A0D"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Вътрекоремни инфекции</w:t>
      </w:r>
    </w:p>
    <w:p w14:paraId="76167B42"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Инфекции на кожата и меките тъкани, предизвикани от Грам-отрицателни бактерии</w:t>
      </w:r>
    </w:p>
    <w:p w14:paraId="6B67B738"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Инфекции на костите и ставите</w:t>
      </w:r>
    </w:p>
    <w:p w14:paraId="00D8FFEB"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Ципрофлоксацин може да се използва при лечение на пациенти с неутропения, когато се подозира, че високата температура се дължи на бактериална инфекция.</w:t>
      </w:r>
    </w:p>
    <w:p w14:paraId="7860A103"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Профилактика на инфекции при пациенти с неутропения</w:t>
      </w:r>
    </w:p>
    <w:p w14:paraId="43EA77EF"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 xml:space="preserve">Профилактика на инвазивни инфекции, причинени от </w:t>
      </w:r>
      <w:r w:rsidRPr="006D4094">
        <w:rPr>
          <w:rFonts w:eastAsia="Times New Roman" w:cs="Arial"/>
          <w:i/>
          <w:iCs/>
          <w:color w:val="000000"/>
          <w:lang w:val="en-US"/>
        </w:rPr>
        <w:t>Neisseria meningitides</w:t>
      </w:r>
    </w:p>
    <w:p w14:paraId="62C73AF0" w14:textId="77777777"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Инхалационен антракс (профилактика след излагане антраксни спори и лечение)</w:t>
      </w:r>
    </w:p>
    <w:p w14:paraId="51F47E13" w14:textId="2B1514AF" w:rsidR="006D4094" w:rsidRPr="006D4094" w:rsidRDefault="006D4094" w:rsidP="006D4094">
      <w:pPr>
        <w:pStyle w:val="ListParagraph"/>
        <w:numPr>
          <w:ilvl w:val="0"/>
          <w:numId w:val="40"/>
        </w:numPr>
        <w:spacing w:line="240" w:lineRule="auto"/>
        <w:rPr>
          <w:rFonts w:eastAsia="Times New Roman" w:cs="Arial"/>
          <w:color w:val="000000"/>
          <w:lang w:eastAsia="bg-BG"/>
        </w:rPr>
      </w:pPr>
      <w:r w:rsidRPr="006D4094">
        <w:rPr>
          <w:rFonts w:eastAsia="Times New Roman" w:cs="Arial"/>
          <w:color w:val="000000"/>
          <w:lang w:eastAsia="bg-BG"/>
        </w:rPr>
        <w:t xml:space="preserve">Инхалационен антракс за редукция на прогресията на заболяването след вдишване на аерозолен </w:t>
      </w:r>
      <w:r w:rsidRPr="006D4094">
        <w:rPr>
          <w:rFonts w:eastAsia="Times New Roman" w:cs="Arial"/>
          <w:i/>
          <w:iCs/>
          <w:color w:val="000000"/>
          <w:lang w:val="en-US"/>
        </w:rPr>
        <w:t>Bacillus anthracis.</w:t>
      </w:r>
    </w:p>
    <w:p w14:paraId="3C0D1A2A" w14:textId="77777777" w:rsidR="006D4094" w:rsidRPr="006D4094" w:rsidRDefault="006D4094" w:rsidP="006D4094">
      <w:pPr>
        <w:spacing w:line="240" w:lineRule="auto"/>
        <w:rPr>
          <w:rFonts w:eastAsia="Times New Roman" w:cs="Arial"/>
          <w:b/>
          <w:bCs/>
          <w:color w:val="000000"/>
          <w:lang w:eastAsia="bg-BG"/>
        </w:rPr>
      </w:pPr>
    </w:p>
    <w:p w14:paraId="2B958628" w14:textId="2AEC0874" w:rsidR="006D4094" w:rsidRPr="006D4094" w:rsidRDefault="006D4094" w:rsidP="006D4094">
      <w:pPr>
        <w:spacing w:line="240" w:lineRule="auto"/>
        <w:rPr>
          <w:rFonts w:eastAsia="Times New Roman" w:cs="Arial"/>
          <w:sz w:val="28"/>
          <w:szCs w:val="28"/>
          <w:lang w:eastAsia="bg-BG"/>
        </w:rPr>
      </w:pPr>
      <w:r w:rsidRPr="006D4094">
        <w:rPr>
          <w:rFonts w:eastAsia="Times New Roman" w:cs="Arial"/>
          <w:b/>
          <w:bCs/>
          <w:color w:val="000000"/>
          <w:lang w:eastAsia="bg-BG"/>
        </w:rPr>
        <w:t>Деца</w:t>
      </w:r>
    </w:p>
    <w:p w14:paraId="2918971A" w14:textId="77777777"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 xml:space="preserve">Бронхо-пулмонарни инфекции, дължащи се на </w:t>
      </w:r>
      <w:r w:rsidRPr="006D4094">
        <w:rPr>
          <w:rFonts w:eastAsia="Times New Roman" w:cs="Arial"/>
          <w:i/>
          <w:iCs/>
          <w:color w:val="000000"/>
          <w:lang w:val="en-US"/>
        </w:rPr>
        <w:t>Pseudomonas aeruginosa</w:t>
      </w:r>
      <w:r w:rsidRPr="006D4094">
        <w:rPr>
          <w:rFonts w:eastAsia="Times New Roman" w:cs="Arial"/>
          <w:color w:val="000000"/>
          <w:lang w:val="en-US"/>
        </w:rPr>
        <w:t xml:space="preserve"> </w:t>
      </w:r>
      <w:r w:rsidRPr="006D4094">
        <w:rPr>
          <w:rFonts w:eastAsia="Times New Roman" w:cs="Arial"/>
          <w:color w:val="000000"/>
          <w:lang w:eastAsia="bg-BG"/>
        </w:rPr>
        <w:t>при пациенти с кистозна фиброза</w:t>
      </w:r>
    </w:p>
    <w:p w14:paraId="7CACE39E" w14:textId="77777777"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 xml:space="preserve">Усложнени инфекции на пикочните пътища и остър пиелонефрит </w:t>
      </w:r>
    </w:p>
    <w:p w14:paraId="4F52AA7B" w14:textId="2339D4FE"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 xml:space="preserve">Инхалационен антракс за редукция на прогресията на заболяването след вдишване на аерозолен </w:t>
      </w:r>
      <w:r w:rsidRPr="006D4094">
        <w:rPr>
          <w:rFonts w:eastAsia="Times New Roman" w:cs="Arial"/>
          <w:i/>
          <w:iCs/>
          <w:color w:val="000000"/>
          <w:lang w:val="en-US"/>
        </w:rPr>
        <w:t>Bacillus anthracis.</w:t>
      </w:r>
    </w:p>
    <w:p w14:paraId="480FDA63" w14:textId="77777777" w:rsidR="006D4094" w:rsidRPr="006D4094" w:rsidRDefault="006D4094" w:rsidP="006D4094">
      <w:pPr>
        <w:spacing w:line="240" w:lineRule="auto"/>
        <w:rPr>
          <w:rFonts w:eastAsia="Times New Roman" w:cs="Arial"/>
          <w:color w:val="000000"/>
          <w:lang w:eastAsia="bg-BG"/>
        </w:rPr>
      </w:pPr>
    </w:p>
    <w:p w14:paraId="31631B9C" w14:textId="063C081C"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Трябва да се съобразят официалните препоръки за подходящата употреба на антибактериални средства.</w:t>
      </w:r>
    </w:p>
    <w:p w14:paraId="4EFD1514" w14:textId="77777777" w:rsidR="006D4094" w:rsidRPr="006D4094" w:rsidRDefault="006D4094" w:rsidP="006D4094"/>
    <w:p w14:paraId="31744E5A" w14:textId="2EAE8829" w:rsidR="009F77A4" w:rsidRDefault="002C50EE" w:rsidP="00387A66">
      <w:pPr>
        <w:pStyle w:val="Heading2"/>
      </w:pPr>
      <w:r>
        <w:t>4.2. Дозировка и начин на приложение</w:t>
      </w:r>
    </w:p>
    <w:p w14:paraId="78AA4AB5" w14:textId="3800FC56" w:rsidR="006D4094" w:rsidRDefault="006D4094" w:rsidP="006D4094"/>
    <w:p w14:paraId="6080E374" w14:textId="77777777" w:rsidR="006D4094" w:rsidRPr="006D4094" w:rsidRDefault="006D4094" w:rsidP="006D4094">
      <w:pPr>
        <w:rPr>
          <w:sz w:val="24"/>
          <w:szCs w:val="24"/>
          <w:lang w:eastAsia="bg-BG"/>
        </w:rPr>
      </w:pPr>
      <w:r w:rsidRPr="006D4094">
        <w:rPr>
          <w:lang w:eastAsia="bg-BG"/>
        </w:rPr>
        <w:t>Този лекарствен продукт е за венозно приложение и трябва да се разтвори преди употреба.</w:t>
      </w:r>
    </w:p>
    <w:p w14:paraId="18DD4F61" w14:textId="7750FB2D" w:rsidR="006D4094" w:rsidRDefault="006D4094" w:rsidP="006D4094">
      <w:pPr>
        <w:rPr>
          <w:lang w:eastAsia="bg-BG"/>
        </w:rPr>
      </w:pPr>
      <w:r w:rsidRPr="006D4094">
        <w:rPr>
          <w:lang w:eastAsia="bg-BG"/>
        </w:rPr>
        <w:t>Препоръчителните дози са:</w:t>
      </w:r>
    </w:p>
    <w:tbl>
      <w:tblPr>
        <w:tblStyle w:val="TableGrid"/>
        <w:tblW w:w="0" w:type="auto"/>
        <w:tblLook w:val="04A0" w:firstRow="1" w:lastRow="0" w:firstColumn="1" w:lastColumn="0" w:noHBand="0" w:noVBand="1"/>
      </w:tblPr>
      <w:tblGrid>
        <w:gridCol w:w="2330"/>
        <w:gridCol w:w="2360"/>
        <w:gridCol w:w="2281"/>
        <w:gridCol w:w="2379"/>
      </w:tblGrid>
      <w:tr w:rsidR="006D4094" w14:paraId="2384E9AE" w14:textId="225AB471" w:rsidTr="00DC1EB6">
        <w:tc>
          <w:tcPr>
            <w:tcW w:w="4788" w:type="dxa"/>
            <w:gridSpan w:val="2"/>
          </w:tcPr>
          <w:p w14:paraId="255602F5" w14:textId="790321DB" w:rsidR="006D4094" w:rsidRPr="006D4094" w:rsidRDefault="006D4094" w:rsidP="006D4094">
            <w:r w:rsidRPr="006D4094">
              <w:rPr>
                <w:b/>
                <w:bCs/>
              </w:rPr>
              <w:t>Показания</w:t>
            </w:r>
          </w:p>
        </w:tc>
        <w:tc>
          <w:tcPr>
            <w:tcW w:w="2394" w:type="dxa"/>
          </w:tcPr>
          <w:p w14:paraId="6FBC3D34" w14:textId="0836D7AE" w:rsidR="006D4094" w:rsidRPr="006D4094" w:rsidRDefault="006D4094" w:rsidP="006D4094">
            <w:r w:rsidRPr="006D4094">
              <w:rPr>
                <w:b/>
                <w:bCs/>
              </w:rPr>
              <w:t xml:space="preserve">Дневна доза в </w:t>
            </w:r>
            <w:r w:rsidRPr="006D4094">
              <w:rPr>
                <w:b/>
                <w:bCs/>
                <w:lang w:val="en-US"/>
              </w:rPr>
              <w:t>mg</w:t>
            </w:r>
          </w:p>
        </w:tc>
        <w:tc>
          <w:tcPr>
            <w:tcW w:w="2394" w:type="dxa"/>
          </w:tcPr>
          <w:p w14:paraId="0CC914D7" w14:textId="3AFCF146" w:rsidR="006D4094" w:rsidRPr="006D4094" w:rsidRDefault="006D4094" w:rsidP="006D4094">
            <w:r w:rsidRPr="006D4094">
              <w:rPr>
                <w:b/>
                <w:bCs/>
              </w:rPr>
              <w:t>Обща продължителност на лечението (вкл. превключване на перорално лечение възможно най-скоро)</w:t>
            </w:r>
          </w:p>
        </w:tc>
      </w:tr>
      <w:tr w:rsidR="006D4094" w14:paraId="53C04E00" w14:textId="19314204" w:rsidTr="00151EDE">
        <w:tc>
          <w:tcPr>
            <w:tcW w:w="4788" w:type="dxa"/>
            <w:gridSpan w:val="2"/>
          </w:tcPr>
          <w:p w14:paraId="171A6CEB" w14:textId="14C0D3B6" w:rsidR="006D4094" w:rsidRPr="006D4094" w:rsidRDefault="006D4094" w:rsidP="006D4094">
            <w:r w:rsidRPr="006D4094">
              <w:t>Инфекции на долните дихателни пътища</w:t>
            </w:r>
          </w:p>
        </w:tc>
        <w:tc>
          <w:tcPr>
            <w:tcW w:w="2394" w:type="dxa"/>
          </w:tcPr>
          <w:p w14:paraId="6BD133E2" w14:textId="4486B952"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11BE58FD" w14:textId="7F804E36" w:rsidR="006D4094" w:rsidRPr="006D4094" w:rsidRDefault="006D4094" w:rsidP="006D4094">
            <w:r w:rsidRPr="006D4094">
              <w:t>7 до 14 дни</w:t>
            </w:r>
          </w:p>
        </w:tc>
      </w:tr>
      <w:tr w:rsidR="006D4094" w14:paraId="7C83C19E" w14:textId="4E68AAF7" w:rsidTr="006D4094">
        <w:tc>
          <w:tcPr>
            <w:tcW w:w="2394" w:type="dxa"/>
            <w:vMerge w:val="restart"/>
          </w:tcPr>
          <w:p w14:paraId="137D3B3B" w14:textId="54CBE012" w:rsidR="006D4094" w:rsidRPr="006D4094" w:rsidRDefault="006D4094" w:rsidP="006D4094">
            <w:r w:rsidRPr="006D4094">
              <w:t>Инфекции на горните дихателни пътища</w:t>
            </w:r>
          </w:p>
        </w:tc>
        <w:tc>
          <w:tcPr>
            <w:tcW w:w="2394" w:type="dxa"/>
          </w:tcPr>
          <w:p w14:paraId="4656091F" w14:textId="2C5FFD17" w:rsidR="006D4094" w:rsidRPr="006D4094" w:rsidRDefault="006D4094" w:rsidP="006D4094">
            <w:r w:rsidRPr="006D4094">
              <w:t>Остра екзацербация на хроничен синузит</w:t>
            </w:r>
          </w:p>
        </w:tc>
        <w:tc>
          <w:tcPr>
            <w:tcW w:w="2394" w:type="dxa"/>
          </w:tcPr>
          <w:p w14:paraId="6DA8B710" w14:textId="797D1A11"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2073A365" w14:textId="4F5DFFA7" w:rsidR="006D4094" w:rsidRPr="006D4094" w:rsidRDefault="006D4094" w:rsidP="006D4094">
            <w:r w:rsidRPr="006D4094">
              <w:t>7 до 14 дни</w:t>
            </w:r>
          </w:p>
        </w:tc>
      </w:tr>
      <w:tr w:rsidR="006D4094" w14:paraId="6F0D8964" w14:textId="0F500F1E" w:rsidTr="006D4094">
        <w:tc>
          <w:tcPr>
            <w:tcW w:w="2394" w:type="dxa"/>
            <w:vMerge/>
          </w:tcPr>
          <w:p w14:paraId="65A7BE4F" w14:textId="77777777" w:rsidR="006D4094" w:rsidRPr="006D4094" w:rsidRDefault="006D4094" w:rsidP="006D4094"/>
        </w:tc>
        <w:tc>
          <w:tcPr>
            <w:tcW w:w="2394" w:type="dxa"/>
          </w:tcPr>
          <w:p w14:paraId="6F3CDCE6" w14:textId="64257EB6" w:rsidR="006D4094" w:rsidRPr="006D4094" w:rsidRDefault="006D4094" w:rsidP="006D4094">
            <w:r w:rsidRPr="006D4094">
              <w:t>Хроничен гноен отитис медна</w:t>
            </w:r>
          </w:p>
        </w:tc>
        <w:tc>
          <w:tcPr>
            <w:tcW w:w="2394" w:type="dxa"/>
          </w:tcPr>
          <w:p w14:paraId="0CF35B98" w14:textId="0D7AEC2E"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0D60B8EF" w14:textId="3FC34EF1" w:rsidR="006D4094" w:rsidRPr="006D4094" w:rsidRDefault="006D4094" w:rsidP="006D4094">
            <w:r w:rsidRPr="006D4094">
              <w:t>7 до 14 дни</w:t>
            </w:r>
          </w:p>
        </w:tc>
      </w:tr>
      <w:tr w:rsidR="006D4094" w14:paraId="3E14AD32" w14:textId="52A363CB" w:rsidTr="006D4094">
        <w:tc>
          <w:tcPr>
            <w:tcW w:w="2394" w:type="dxa"/>
            <w:vMerge/>
          </w:tcPr>
          <w:p w14:paraId="755CC3DA" w14:textId="77777777" w:rsidR="006D4094" w:rsidRPr="006D4094" w:rsidRDefault="006D4094" w:rsidP="006D4094"/>
        </w:tc>
        <w:tc>
          <w:tcPr>
            <w:tcW w:w="2394" w:type="dxa"/>
          </w:tcPr>
          <w:p w14:paraId="02D26C39" w14:textId="42B8502A" w:rsidR="006D4094" w:rsidRPr="006D4094" w:rsidRDefault="006D4094" w:rsidP="006D4094">
            <w:r w:rsidRPr="006D4094">
              <w:t>Злокачествен външен отит</w:t>
            </w:r>
          </w:p>
        </w:tc>
        <w:tc>
          <w:tcPr>
            <w:tcW w:w="2394" w:type="dxa"/>
          </w:tcPr>
          <w:p w14:paraId="5D8E7B15" w14:textId="33E82237" w:rsidR="006D4094" w:rsidRPr="006D4094" w:rsidRDefault="006D4094" w:rsidP="006D4094">
            <w:r w:rsidRPr="006D4094">
              <w:t xml:space="preserve">400 </w:t>
            </w:r>
            <w:r w:rsidRPr="006D4094">
              <w:rPr>
                <w:lang w:val="en-US"/>
              </w:rPr>
              <w:t xml:space="preserve">mg </w:t>
            </w:r>
            <w:r w:rsidRPr="006D4094">
              <w:t>три пъти дневно</w:t>
            </w:r>
          </w:p>
        </w:tc>
        <w:tc>
          <w:tcPr>
            <w:tcW w:w="2394" w:type="dxa"/>
          </w:tcPr>
          <w:p w14:paraId="61383AB6" w14:textId="6B757257" w:rsidR="006D4094" w:rsidRPr="006D4094" w:rsidRDefault="006D4094" w:rsidP="006D4094">
            <w:r w:rsidRPr="006D4094">
              <w:t>28 дни до 3 месеца</w:t>
            </w:r>
          </w:p>
        </w:tc>
      </w:tr>
      <w:tr w:rsidR="006D4094" w14:paraId="703EE7A4" w14:textId="45313B66" w:rsidTr="006D4094">
        <w:tc>
          <w:tcPr>
            <w:tcW w:w="2394" w:type="dxa"/>
            <w:vMerge w:val="restart"/>
          </w:tcPr>
          <w:p w14:paraId="3A453C78" w14:textId="13B0760F" w:rsidR="006D4094" w:rsidRPr="006D4094" w:rsidRDefault="006D4094" w:rsidP="006D4094">
            <w:r w:rsidRPr="006D4094">
              <w:t>Усложнени инфекции на пикочните пътища</w:t>
            </w:r>
          </w:p>
        </w:tc>
        <w:tc>
          <w:tcPr>
            <w:tcW w:w="2394" w:type="dxa"/>
          </w:tcPr>
          <w:p w14:paraId="0D2D9140" w14:textId="73ADDA10" w:rsidR="006D4094" w:rsidRPr="006D4094" w:rsidRDefault="006D4094" w:rsidP="006D4094">
            <w:r w:rsidRPr="006D4094">
              <w:t>Усложнен и остър пиелонефрит</w:t>
            </w:r>
          </w:p>
        </w:tc>
        <w:tc>
          <w:tcPr>
            <w:tcW w:w="2394" w:type="dxa"/>
          </w:tcPr>
          <w:p w14:paraId="282A0CEF" w14:textId="6F9395FD"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0CC08562" w14:textId="0BEE069F" w:rsidR="006D4094" w:rsidRPr="006D4094" w:rsidRDefault="006D4094" w:rsidP="006D4094">
            <w:r w:rsidRPr="006D4094">
              <w:t>7 до 21 дни, може да бъде продължено повече от 21 дни при специфични обстоятелства (като абсцес)</w:t>
            </w:r>
          </w:p>
        </w:tc>
      </w:tr>
      <w:tr w:rsidR="006D4094" w14:paraId="019ADAE0" w14:textId="50C9C576" w:rsidTr="006D4094">
        <w:tc>
          <w:tcPr>
            <w:tcW w:w="2394" w:type="dxa"/>
            <w:vMerge/>
          </w:tcPr>
          <w:p w14:paraId="38496EF9" w14:textId="77777777" w:rsidR="006D4094" w:rsidRPr="006D4094" w:rsidRDefault="006D4094" w:rsidP="006D4094"/>
        </w:tc>
        <w:tc>
          <w:tcPr>
            <w:tcW w:w="2394" w:type="dxa"/>
          </w:tcPr>
          <w:p w14:paraId="74330B9D" w14:textId="4580B10B" w:rsidR="006D4094" w:rsidRPr="006D4094" w:rsidRDefault="006D4094" w:rsidP="006D4094">
            <w:r w:rsidRPr="006D4094">
              <w:t>Бактериален простатит</w:t>
            </w:r>
          </w:p>
        </w:tc>
        <w:tc>
          <w:tcPr>
            <w:tcW w:w="2394" w:type="dxa"/>
          </w:tcPr>
          <w:p w14:paraId="655178F9" w14:textId="7514BE12"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67A916EF" w14:textId="37CCB8E4" w:rsidR="006D4094" w:rsidRPr="006D4094" w:rsidRDefault="006D4094" w:rsidP="006D4094">
            <w:r w:rsidRPr="006D4094">
              <w:t>2 до 4 седмици (остър)</w:t>
            </w:r>
          </w:p>
        </w:tc>
      </w:tr>
      <w:tr w:rsidR="006D4094" w14:paraId="4326AFED" w14:textId="5CE1AB36" w:rsidTr="006D4094">
        <w:tc>
          <w:tcPr>
            <w:tcW w:w="2394" w:type="dxa"/>
          </w:tcPr>
          <w:p w14:paraId="2CCB84DD" w14:textId="43DDE283" w:rsidR="006D4094" w:rsidRPr="006D4094" w:rsidRDefault="006D4094" w:rsidP="006D4094">
            <w:r w:rsidRPr="006D4094">
              <w:t>Инфекции на гениталния тракт</w:t>
            </w:r>
          </w:p>
        </w:tc>
        <w:tc>
          <w:tcPr>
            <w:tcW w:w="2394" w:type="dxa"/>
          </w:tcPr>
          <w:p w14:paraId="16B4E2B0" w14:textId="324793B5" w:rsidR="006D4094" w:rsidRPr="006D4094" w:rsidRDefault="006D4094" w:rsidP="006D4094">
            <w:r w:rsidRPr="006D4094">
              <w:t xml:space="preserve">Орхиепидидимит и възпаление на тазовите органи, причинено от </w:t>
            </w:r>
            <w:r w:rsidRPr="006D4094">
              <w:rPr>
                <w:i/>
                <w:iCs/>
                <w:lang w:val="en-US"/>
              </w:rPr>
              <w:t xml:space="preserve">Neisseria </w:t>
            </w:r>
            <w:proofErr w:type="spellStart"/>
            <w:r w:rsidRPr="006D4094">
              <w:rPr>
                <w:i/>
                <w:iCs/>
                <w:lang w:val="en-US"/>
              </w:rPr>
              <w:t>gonorrhoae</w:t>
            </w:r>
            <w:proofErr w:type="spellEnd"/>
          </w:p>
        </w:tc>
        <w:tc>
          <w:tcPr>
            <w:tcW w:w="2394" w:type="dxa"/>
          </w:tcPr>
          <w:p w14:paraId="34693518" w14:textId="7EFA519B"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58720F08" w14:textId="641992C1" w:rsidR="006D4094" w:rsidRPr="006D4094" w:rsidRDefault="006D4094" w:rsidP="006D4094">
            <w:r w:rsidRPr="006D4094">
              <w:t>Най-малко 14 дни</w:t>
            </w:r>
          </w:p>
        </w:tc>
      </w:tr>
      <w:tr w:rsidR="006D4094" w14:paraId="2DEF6D1B" w14:textId="2AB78CA2" w:rsidTr="006D4094">
        <w:tc>
          <w:tcPr>
            <w:tcW w:w="2394" w:type="dxa"/>
            <w:vMerge w:val="restart"/>
          </w:tcPr>
          <w:p w14:paraId="3E37DCE5" w14:textId="441FE23C" w:rsidR="006D4094" w:rsidRPr="006D4094" w:rsidRDefault="006D4094" w:rsidP="006D4094">
            <w:r w:rsidRPr="006D4094">
              <w:t>Инфекции на стомашно-чревния тракт и интра- абдоминални инфекции</w:t>
            </w:r>
          </w:p>
        </w:tc>
        <w:tc>
          <w:tcPr>
            <w:tcW w:w="2394" w:type="dxa"/>
          </w:tcPr>
          <w:p w14:paraId="00220B6C" w14:textId="1636F5C3" w:rsidR="006D4094" w:rsidRPr="006D4094" w:rsidRDefault="006D4094" w:rsidP="006D4094">
            <w:r w:rsidRPr="006D4094">
              <w:t xml:space="preserve">Диария, причинена от бактериални патогени, вкл. </w:t>
            </w:r>
            <w:r w:rsidRPr="006D4094">
              <w:rPr>
                <w:i/>
                <w:iCs/>
                <w:lang w:val="en-US"/>
              </w:rPr>
              <w:t>Shigella</w:t>
            </w:r>
            <w:r w:rsidRPr="006D4094">
              <w:rPr>
                <w:lang w:val="en-US"/>
              </w:rPr>
              <w:t xml:space="preserve"> spp. </w:t>
            </w:r>
            <w:r w:rsidRPr="006D4094">
              <w:t xml:space="preserve">Различна от </w:t>
            </w:r>
            <w:r w:rsidRPr="006D4094">
              <w:rPr>
                <w:i/>
                <w:iCs/>
                <w:lang w:val="en-US"/>
              </w:rPr>
              <w:t xml:space="preserve">Shigella </w:t>
            </w:r>
            <w:proofErr w:type="spellStart"/>
            <w:r w:rsidRPr="006D4094">
              <w:rPr>
                <w:i/>
                <w:iCs/>
                <w:lang w:val="en-US"/>
              </w:rPr>
              <w:t>dysenteriae</w:t>
            </w:r>
            <w:proofErr w:type="spellEnd"/>
            <w:r w:rsidRPr="006D4094">
              <w:rPr>
                <w:lang w:val="en-US"/>
              </w:rPr>
              <w:t xml:space="preserve"> </w:t>
            </w:r>
            <w:r w:rsidRPr="006D4094">
              <w:t>тип 1 и емпирично лечение на тежка диария на пътуването</w:t>
            </w:r>
          </w:p>
        </w:tc>
        <w:tc>
          <w:tcPr>
            <w:tcW w:w="2394" w:type="dxa"/>
          </w:tcPr>
          <w:p w14:paraId="351CD3A0" w14:textId="557EE4C6" w:rsidR="006D4094" w:rsidRPr="006D4094" w:rsidRDefault="006D4094" w:rsidP="006D4094">
            <w:r w:rsidRPr="006D4094">
              <w:t xml:space="preserve">400 </w:t>
            </w:r>
            <w:r w:rsidRPr="006D4094">
              <w:rPr>
                <w:lang w:val="en-US"/>
              </w:rPr>
              <w:t xml:space="preserve">mg </w:t>
            </w:r>
            <w:r w:rsidRPr="006D4094">
              <w:t>два пъти дневно</w:t>
            </w:r>
          </w:p>
        </w:tc>
        <w:tc>
          <w:tcPr>
            <w:tcW w:w="2394" w:type="dxa"/>
          </w:tcPr>
          <w:p w14:paraId="5E9AFDD0" w14:textId="001B5CD8" w:rsidR="006D4094" w:rsidRPr="006D4094" w:rsidRDefault="006D4094" w:rsidP="006D4094">
            <w:r w:rsidRPr="006D4094">
              <w:t>1 ден</w:t>
            </w:r>
          </w:p>
        </w:tc>
      </w:tr>
      <w:tr w:rsidR="006D4094" w14:paraId="2CB19705" w14:textId="7B080208" w:rsidTr="006D4094">
        <w:tc>
          <w:tcPr>
            <w:tcW w:w="2394" w:type="dxa"/>
            <w:vMerge/>
          </w:tcPr>
          <w:p w14:paraId="55396DB6" w14:textId="77777777" w:rsidR="006D4094" w:rsidRPr="006D4094" w:rsidRDefault="006D4094" w:rsidP="006D4094"/>
        </w:tc>
        <w:tc>
          <w:tcPr>
            <w:tcW w:w="2394" w:type="dxa"/>
          </w:tcPr>
          <w:p w14:paraId="1732D535" w14:textId="34C586F0" w:rsidR="006D4094" w:rsidRPr="006D4094" w:rsidRDefault="006D4094" w:rsidP="006D4094">
            <w:r w:rsidRPr="006D4094">
              <w:t xml:space="preserve">Диария, причинена от </w:t>
            </w:r>
            <w:r w:rsidRPr="006D4094">
              <w:rPr>
                <w:i/>
                <w:iCs/>
                <w:lang w:val="en-US"/>
              </w:rPr>
              <w:t xml:space="preserve">Shigella </w:t>
            </w:r>
            <w:proofErr w:type="spellStart"/>
            <w:r w:rsidRPr="006D4094">
              <w:rPr>
                <w:i/>
                <w:iCs/>
                <w:lang w:val="en-US"/>
              </w:rPr>
              <w:t>dysenteriae</w:t>
            </w:r>
            <w:proofErr w:type="spellEnd"/>
            <w:r w:rsidRPr="006D4094">
              <w:rPr>
                <w:lang w:val="en-US"/>
              </w:rPr>
              <w:t xml:space="preserve"> </w:t>
            </w:r>
            <w:r w:rsidRPr="006D4094">
              <w:t>тип 1</w:t>
            </w:r>
          </w:p>
        </w:tc>
        <w:tc>
          <w:tcPr>
            <w:tcW w:w="2394" w:type="dxa"/>
          </w:tcPr>
          <w:p w14:paraId="142A0FEC" w14:textId="18D66F12" w:rsidR="006D4094" w:rsidRPr="006D4094" w:rsidRDefault="006D4094" w:rsidP="006D4094">
            <w:r w:rsidRPr="006D4094">
              <w:t xml:space="preserve">400 </w:t>
            </w:r>
            <w:r w:rsidRPr="006D4094">
              <w:rPr>
                <w:lang w:val="en-US"/>
              </w:rPr>
              <w:t xml:space="preserve">mg </w:t>
            </w:r>
            <w:r w:rsidRPr="006D4094">
              <w:t>два пъти дневно</w:t>
            </w:r>
          </w:p>
        </w:tc>
        <w:tc>
          <w:tcPr>
            <w:tcW w:w="2394" w:type="dxa"/>
          </w:tcPr>
          <w:p w14:paraId="7D42D534" w14:textId="756FCB25" w:rsidR="006D4094" w:rsidRPr="006D4094" w:rsidRDefault="006D4094" w:rsidP="006D4094">
            <w:r w:rsidRPr="006D4094">
              <w:t>5 дни</w:t>
            </w:r>
          </w:p>
        </w:tc>
      </w:tr>
      <w:tr w:rsidR="006D4094" w14:paraId="3AE62267" w14:textId="07FA261A" w:rsidTr="00DE29E9">
        <w:tc>
          <w:tcPr>
            <w:tcW w:w="2394" w:type="dxa"/>
            <w:vMerge/>
          </w:tcPr>
          <w:p w14:paraId="33FB5CD4" w14:textId="77777777" w:rsidR="006D4094" w:rsidRDefault="006D4094" w:rsidP="006D4094"/>
        </w:tc>
        <w:tc>
          <w:tcPr>
            <w:tcW w:w="2394" w:type="dxa"/>
            <w:vAlign w:val="bottom"/>
          </w:tcPr>
          <w:p w14:paraId="4D250BD4" w14:textId="1C09D7DA" w:rsidR="006D4094" w:rsidRPr="006D4094" w:rsidRDefault="006D4094" w:rsidP="006D4094">
            <w:r w:rsidRPr="006D4094">
              <w:t xml:space="preserve">Диария, причинена от </w:t>
            </w:r>
            <w:r w:rsidRPr="006D4094">
              <w:rPr>
                <w:i/>
                <w:iCs/>
                <w:lang w:val="en-US"/>
              </w:rPr>
              <w:t>Vibrio cholerae</w:t>
            </w:r>
          </w:p>
        </w:tc>
        <w:tc>
          <w:tcPr>
            <w:tcW w:w="2394" w:type="dxa"/>
            <w:vAlign w:val="bottom"/>
          </w:tcPr>
          <w:p w14:paraId="2143A38D" w14:textId="40AA7C5E" w:rsidR="006D4094" w:rsidRPr="006D4094" w:rsidRDefault="006D4094" w:rsidP="006D4094">
            <w:r w:rsidRPr="006D4094">
              <w:rPr>
                <w:i/>
                <w:iCs/>
              </w:rPr>
              <w:t xml:space="preserve">400 </w:t>
            </w:r>
            <w:r w:rsidRPr="006D4094">
              <w:rPr>
                <w:i/>
                <w:iCs/>
                <w:lang w:val="en-US"/>
              </w:rPr>
              <w:t xml:space="preserve">mg </w:t>
            </w:r>
            <w:r w:rsidRPr="006D4094">
              <w:rPr>
                <w:i/>
                <w:iCs/>
              </w:rPr>
              <w:t>два</w:t>
            </w:r>
            <w:r w:rsidRPr="006D4094">
              <w:t xml:space="preserve"> пъти дневно</w:t>
            </w:r>
          </w:p>
        </w:tc>
        <w:tc>
          <w:tcPr>
            <w:tcW w:w="2394" w:type="dxa"/>
          </w:tcPr>
          <w:p w14:paraId="229470D0" w14:textId="67720880" w:rsidR="006D4094" w:rsidRPr="006D4094" w:rsidRDefault="006D4094" w:rsidP="006D4094">
            <w:r w:rsidRPr="006D4094">
              <w:t>Здни</w:t>
            </w:r>
          </w:p>
        </w:tc>
      </w:tr>
      <w:tr w:rsidR="006D4094" w14:paraId="3517C9A4" w14:textId="33B8AC56" w:rsidTr="00DE29E9">
        <w:tc>
          <w:tcPr>
            <w:tcW w:w="2394" w:type="dxa"/>
            <w:vMerge/>
          </w:tcPr>
          <w:p w14:paraId="29C29C84" w14:textId="77777777" w:rsidR="006D4094" w:rsidRDefault="006D4094" w:rsidP="006D4094"/>
        </w:tc>
        <w:tc>
          <w:tcPr>
            <w:tcW w:w="2394" w:type="dxa"/>
          </w:tcPr>
          <w:p w14:paraId="29FB384A" w14:textId="1CBCF4FD" w:rsidR="006D4094" w:rsidRPr="006D4094" w:rsidRDefault="006D4094" w:rsidP="006D4094">
            <w:r w:rsidRPr="006D4094">
              <w:t>Тифоидна треска</w:t>
            </w:r>
          </w:p>
        </w:tc>
        <w:tc>
          <w:tcPr>
            <w:tcW w:w="2394" w:type="dxa"/>
            <w:vAlign w:val="bottom"/>
          </w:tcPr>
          <w:p w14:paraId="25AB3B89" w14:textId="180F4343" w:rsidR="006D4094" w:rsidRPr="006D4094" w:rsidRDefault="006D4094" w:rsidP="006D4094">
            <w:r w:rsidRPr="006D4094">
              <w:t xml:space="preserve">400 </w:t>
            </w:r>
            <w:r w:rsidRPr="006D4094">
              <w:rPr>
                <w:lang w:val="en-US"/>
              </w:rPr>
              <w:t xml:space="preserve">mg </w:t>
            </w:r>
            <w:r w:rsidRPr="006D4094">
              <w:t>два пъти дневно</w:t>
            </w:r>
          </w:p>
        </w:tc>
        <w:tc>
          <w:tcPr>
            <w:tcW w:w="2394" w:type="dxa"/>
          </w:tcPr>
          <w:p w14:paraId="4EB831BD" w14:textId="1C942168" w:rsidR="006D4094" w:rsidRPr="006D4094" w:rsidRDefault="006D4094" w:rsidP="006D4094">
            <w:r w:rsidRPr="006D4094">
              <w:t>7 дни</w:t>
            </w:r>
          </w:p>
        </w:tc>
      </w:tr>
      <w:tr w:rsidR="006D4094" w14:paraId="26C624BE" w14:textId="0B58F8FA" w:rsidTr="00DE29E9">
        <w:tc>
          <w:tcPr>
            <w:tcW w:w="2394" w:type="dxa"/>
            <w:vMerge/>
          </w:tcPr>
          <w:p w14:paraId="6C9F6E5E" w14:textId="77777777" w:rsidR="006D4094" w:rsidRDefault="006D4094" w:rsidP="006D4094"/>
        </w:tc>
        <w:tc>
          <w:tcPr>
            <w:tcW w:w="2394" w:type="dxa"/>
            <w:vAlign w:val="bottom"/>
          </w:tcPr>
          <w:p w14:paraId="3B5A0B87" w14:textId="79D251DE" w:rsidR="006D4094" w:rsidRPr="006D4094" w:rsidRDefault="006D4094" w:rsidP="006D4094">
            <w:r w:rsidRPr="006D4094">
              <w:t>Интра-абдоминални инфекции, дължащи се на Грам- отрицателни бактерии</w:t>
            </w:r>
          </w:p>
        </w:tc>
        <w:tc>
          <w:tcPr>
            <w:tcW w:w="2394" w:type="dxa"/>
            <w:vAlign w:val="bottom"/>
          </w:tcPr>
          <w:p w14:paraId="08790BCB" w14:textId="149BAF9B"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6F545613" w14:textId="33AC8DD3" w:rsidR="006D4094" w:rsidRPr="006D4094" w:rsidRDefault="006D4094" w:rsidP="006D4094">
            <w:r w:rsidRPr="006D4094">
              <w:t>5 до 14 дни</w:t>
            </w:r>
          </w:p>
        </w:tc>
      </w:tr>
      <w:tr w:rsidR="006D4094" w14:paraId="7A851B55" w14:textId="11770D24" w:rsidTr="00892AA2">
        <w:tc>
          <w:tcPr>
            <w:tcW w:w="4788" w:type="dxa"/>
            <w:gridSpan w:val="2"/>
          </w:tcPr>
          <w:p w14:paraId="2F27591E" w14:textId="4017EB65" w:rsidR="006D4094" w:rsidRPr="006D4094" w:rsidRDefault="006D4094" w:rsidP="006D4094">
            <w:r w:rsidRPr="006D4094">
              <w:t>Инфекции на кожата и меките тъкани</w:t>
            </w:r>
          </w:p>
        </w:tc>
        <w:tc>
          <w:tcPr>
            <w:tcW w:w="2394" w:type="dxa"/>
            <w:vAlign w:val="bottom"/>
          </w:tcPr>
          <w:p w14:paraId="13929C5B" w14:textId="70AE5E60" w:rsidR="006D4094" w:rsidRPr="006D4094" w:rsidRDefault="006D4094" w:rsidP="006D4094">
            <w:r w:rsidRPr="006D4094">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1F3FE9D5" w14:textId="6C677D29" w:rsidR="006D4094" w:rsidRPr="006D4094" w:rsidRDefault="006D4094" w:rsidP="006D4094">
            <w:r w:rsidRPr="006D4094">
              <w:t>7 до 14 дни</w:t>
            </w:r>
          </w:p>
        </w:tc>
      </w:tr>
      <w:tr w:rsidR="006D4094" w14:paraId="18CD6094" w14:textId="71FA5C5A" w:rsidTr="00892AA2">
        <w:tc>
          <w:tcPr>
            <w:tcW w:w="4788" w:type="dxa"/>
            <w:gridSpan w:val="2"/>
          </w:tcPr>
          <w:p w14:paraId="61649953" w14:textId="59398A80" w:rsidR="006D4094" w:rsidRPr="006D4094" w:rsidRDefault="006D4094" w:rsidP="006D4094">
            <w:r w:rsidRPr="006D4094">
              <w:t>Инфекции на костите и ставите</w:t>
            </w:r>
          </w:p>
        </w:tc>
        <w:tc>
          <w:tcPr>
            <w:tcW w:w="2394" w:type="dxa"/>
            <w:vAlign w:val="bottom"/>
          </w:tcPr>
          <w:p w14:paraId="6B5AE343" w14:textId="0F832D0A" w:rsidR="006D4094" w:rsidRPr="006D4094" w:rsidRDefault="006D4094" w:rsidP="006D4094">
            <w:r w:rsidRPr="006D4094">
              <w:rPr>
                <w:i/>
                <w:iCs/>
              </w:rPr>
              <w:t>400</w:t>
            </w:r>
            <w:r w:rsidRPr="006D4094">
              <w:t xml:space="preserve">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2CB5EFF1" w14:textId="3663989F" w:rsidR="006D4094" w:rsidRPr="006D4094" w:rsidRDefault="006D4094" w:rsidP="006D4094">
            <w:r w:rsidRPr="006D4094">
              <w:t>макс. 3 месеца</w:t>
            </w:r>
          </w:p>
        </w:tc>
      </w:tr>
      <w:tr w:rsidR="006D4094" w14:paraId="2CF42406" w14:textId="5AC2C525" w:rsidTr="00892AA2">
        <w:tc>
          <w:tcPr>
            <w:tcW w:w="4788" w:type="dxa"/>
            <w:gridSpan w:val="2"/>
            <w:vAlign w:val="bottom"/>
          </w:tcPr>
          <w:p w14:paraId="25E2EA40" w14:textId="77777777" w:rsidR="006D4094" w:rsidRPr="006D4094" w:rsidRDefault="006D4094" w:rsidP="006D4094">
            <w:r w:rsidRPr="006D4094">
              <w:t>Пациенти с неутропения и висока температура, за която се подозира, че се дължи на бактериална инфекция.</w:t>
            </w:r>
          </w:p>
          <w:p w14:paraId="5C84C1FD" w14:textId="0D414E9A" w:rsidR="006D4094" w:rsidRPr="006D4094" w:rsidRDefault="006D4094" w:rsidP="006D4094">
            <w:r w:rsidRPr="006D4094">
              <w:lastRenderedPageBreak/>
              <w:t>Ципрофлоксацин трябва да бъде прилаган заедно с подходящо антибактериално средство/а, в съответствие с официалните препоръки.</w:t>
            </w:r>
          </w:p>
        </w:tc>
        <w:tc>
          <w:tcPr>
            <w:tcW w:w="2394" w:type="dxa"/>
          </w:tcPr>
          <w:p w14:paraId="6C12EBFC" w14:textId="1D712A03" w:rsidR="006D4094" w:rsidRPr="006D4094" w:rsidRDefault="006D4094" w:rsidP="006D4094">
            <w:r w:rsidRPr="006D4094">
              <w:lastRenderedPageBreak/>
              <w:t xml:space="preserve">400 </w:t>
            </w:r>
            <w:r w:rsidRPr="006D4094">
              <w:rPr>
                <w:lang w:val="en-US"/>
              </w:rPr>
              <w:t xml:space="preserve">mg </w:t>
            </w:r>
            <w:r w:rsidRPr="006D4094">
              <w:t xml:space="preserve">два пъти дневно до 400 </w:t>
            </w:r>
            <w:r w:rsidRPr="006D4094">
              <w:rPr>
                <w:lang w:val="en-US"/>
              </w:rPr>
              <w:t xml:space="preserve">mg </w:t>
            </w:r>
            <w:r w:rsidRPr="006D4094">
              <w:t>три пъти дневно</w:t>
            </w:r>
          </w:p>
        </w:tc>
        <w:tc>
          <w:tcPr>
            <w:tcW w:w="2394" w:type="dxa"/>
          </w:tcPr>
          <w:p w14:paraId="7D11F90D" w14:textId="1965742F" w:rsidR="006D4094" w:rsidRPr="006D4094" w:rsidRDefault="006D4094" w:rsidP="006D4094">
            <w:r w:rsidRPr="006D4094">
              <w:t>Лечението трябва да продължи през целия период на неутропения</w:t>
            </w:r>
          </w:p>
        </w:tc>
      </w:tr>
      <w:tr w:rsidR="006D4094" w14:paraId="364E3AB9" w14:textId="358C550B" w:rsidTr="00892AA2">
        <w:tc>
          <w:tcPr>
            <w:tcW w:w="4788" w:type="dxa"/>
            <w:gridSpan w:val="2"/>
            <w:vAlign w:val="bottom"/>
          </w:tcPr>
          <w:p w14:paraId="6426E04D" w14:textId="77777777" w:rsidR="006D4094" w:rsidRPr="006D4094" w:rsidRDefault="006D4094" w:rsidP="006D4094">
            <w:r w:rsidRPr="006D4094">
              <w:t>Инхалационен антракс (профилактика след излагане на антраксни спори и лечение)</w:t>
            </w:r>
          </w:p>
          <w:p w14:paraId="5F189DC3" w14:textId="4277D0C6" w:rsidR="006D4094" w:rsidRPr="006D4094" w:rsidRDefault="006D4094" w:rsidP="006D4094">
            <w:r w:rsidRPr="006D4094">
              <w:t>Приложението на лекарството да започне възможно най-скоро след подозираната или потвърдена експозиция.</w:t>
            </w:r>
          </w:p>
        </w:tc>
        <w:tc>
          <w:tcPr>
            <w:tcW w:w="2394" w:type="dxa"/>
          </w:tcPr>
          <w:p w14:paraId="4E693CCC" w14:textId="09911DDD" w:rsidR="006D4094" w:rsidRPr="006D4094" w:rsidRDefault="006D4094" w:rsidP="006D4094">
            <w:r w:rsidRPr="006D4094">
              <w:t xml:space="preserve">400 </w:t>
            </w:r>
            <w:r w:rsidRPr="006D4094">
              <w:rPr>
                <w:lang w:val="en-US"/>
              </w:rPr>
              <w:t xml:space="preserve">mg </w:t>
            </w:r>
            <w:r w:rsidRPr="006D4094">
              <w:t>два пъти дневно</w:t>
            </w:r>
          </w:p>
        </w:tc>
        <w:tc>
          <w:tcPr>
            <w:tcW w:w="2394" w:type="dxa"/>
          </w:tcPr>
          <w:p w14:paraId="63A7616F" w14:textId="1F336A46" w:rsidR="006D4094" w:rsidRPr="006D4094" w:rsidRDefault="006D4094" w:rsidP="006D4094">
            <w:r w:rsidRPr="006D4094">
              <w:t>60 дни от потвърждението</w:t>
            </w:r>
          </w:p>
        </w:tc>
      </w:tr>
    </w:tbl>
    <w:p w14:paraId="78C0EAC6" w14:textId="1280C1BF" w:rsidR="006D4094" w:rsidRDefault="006D4094" w:rsidP="006D4094"/>
    <w:p w14:paraId="70956658" w14:textId="11F3554B" w:rsidR="006D4094" w:rsidRPr="006D4094" w:rsidRDefault="006D4094" w:rsidP="006D4094">
      <w:pPr>
        <w:rPr>
          <w:i/>
          <w:iCs/>
        </w:rPr>
      </w:pPr>
      <w:r w:rsidRPr="006D4094">
        <w:rPr>
          <w:i/>
          <w:iCs/>
        </w:rPr>
        <w:t>Педиатрична популация</w:t>
      </w:r>
    </w:p>
    <w:p w14:paraId="3F1BDA30" w14:textId="49BB4320" w:rsidR="006D4094" w:rsidRDefault="006D4094" w:rsidP="006D4094">
      <w:pPr>
        <w:rPr>
          <w:i/>
          <w:iCs/>
          <w:sz w:val="20"/>
          <w:szCs w:val="20"/>
        </w:rPr>
      </w:pPr>
    </w:p>
    <w:tbl>
      <w:tblPr>
        <w:tblStyle w:val="TableGrid"/>
        <w:tblW w:w="0" w:type="auto"/>
        <w:tblLook w:val="04A0" w:firstRow="1" w:lastRow="0" w:firstColumn="1" w:lastColumn="0" w:noHBand="0" w:noVBand="1"/>
      </w:tblPr>
      <w:tblGrid>
        <w:gridCol w:w="3113"/>
        <w:gridCol w:w="3105"/>
        <w:gridCol w:w="3132"/>
      </w:tblGrid>
      <w:tr w:rsidR="006D4094" w14:paraId="4BDD2D99" w14:textId="77777777" w:rsidTr="004A4D86">
        <w:tc>
          <w:tcPr>
            <w:tcW w:w="3166" w:type="dxa"/>
            <w:vAlign w:val="center"/>
          </w:tcPr>
          <w:p w14:paraId="2815F6B1" w14:textId="5AD3CBA5" w:rsidR="006D4094" w:rsidRPr="006D4094" w:rsidRDefault="006D4094" w:rsidP="006D4094">
            <w:pPr>
              <w:rPr>
                <w:i/>
                <w:iCs/>
              </w:rPr>
            </w:pPr>
            <w:r w:rsidRPr="006D4094">
              <w:rPr>
                <w:b/>
                <w:bCs/>
              </w:rPr>
              <w:t>Показания</w:t>
            </w:r>
          </w:p>
        </w:tc>
        <w:tc>
          <w:tcPr>
            <w:tcW w:w="3167" w:type="dxa"/>
            <w:vAlign w:val="center"/>
          </w:tcPr>
          <w:p w14:paraId="6DA5AD6E" w14:textId="0A385375" w:rsidR="006D4094" w:rsidRPr="006D4094" w:rsidRDefault="006D4094" w:rsidP="006D4094">
            <w:pPr>
              <w:rPr>
                <w:i/>
                <w:iCs/>
              </w:rPr>
            </w:pPr>
            <w:r w:rsidRPr="006D4094">
              <w:rPr>
                <w:b/>
                <w:bCs/>
              </w:rPr>
              <w:t xml:space="preserve">Дневна доза в </w:t>
            </w:r>
            <w:r w:rsidRPr="006D4094">
              <w:rPr>
                <w:b/>
                <w:bCs/>
                <w:lang w:val="en-US"/>
              </w:rPr>
              <w:t>mg</w:t>
            </w:r>
          </w:p>
        </w:tc>
        <w:tc>
          <w:tcPr>
            <w:tcW w:w="3167" w:type="dxa"/>
            <w:vAlign w:val="bottom"/>
          </w:tcPr>
          <w:p w14:paraId="07FB3998" w14:textId="2DE6732A" w:rsidR="006D4094" w:rsidRPr="006D4094" w:rsidRDefault="006D4094" w:rsidP="006D4094">
            <w:pPr>
              <w:rPr>
                <w:i/>
                <w:iCs/>
              </w:rPr>
            </w:pPr>
            <w:r w:rsidRPr="006D4094">
              <w:rPr>
                <w:b/>
                <w:bCs/>
              </w:rPr>
              <w:t>Обща продължителност на лечението (вкл. превключване на перорално лечение възможно най-скоро)</w:t>
            </w:r>
          </w:p>
        </w:tc>
      </w:tr>
      <w:tr w:rsidR="006D4094" w14:paraId="53C42E8E" w14:textId="77777777" w:rsidTr="004A4D86">
        <w:tc>
          <w:tcPr>
            <w:tcW w:w="3166" w:type="dxa"/>
            <w:vAlign w:val="bottom"/>
          </w:tcPr>
          <w:p w14:paraId="7F2B14F4" w14:textId="7CDCECEB" w:rsidR="006D4094" w:rsidRPr="006D4094" w:rsidRDefault="006D4094" w:rsidP="006D4094">
            <w:pPr>
              <w:rPr>
                <w:i/>
                <w:iCs/>
              </w:rPr>
            </w:pPr>
            <w:r w:rsidRPr="006D4094">
              <w:t xml:space="preserve">Бронхо-пулмонарни инфекции, дължащи се </w:t>
            </w:r>
            <w:r w:rsidRPr="006D4094">
              <w:rPr>
                <w:i/>
                <w:iCs/>
                <w:lang w:val="en-US"/>
              </w:rPr>
              <w:t>Pseudomonas aeruginosa</w:t>
            </w:r>
            <w:r w:rsidRPr="006D4094">
              <w:rPr>
                <w:lang w:val="en-US"/>
              </w:rPr>
              <w:t xml:space="preserve"> </w:t>
            </w:r>
            <w:r w:rsidRPr="006D4094">
              <w:t>при пациенти с кистозна фиброза</w:t>
            </w:r>
          </w:p>
        </w:tc>
        <w:tc>
          <w:tcPr>
            <w:tcW w:w="3167" w:type="dxa"/>
          </w:tcPr>
          <w:p w14:paraId="32CFD4B2" w14:textId="4279EB55" w:rsidR="006D4094" w:rsidRPr="006D4094" w:rsidRDefault="006D4094" w:rsidP="006D4094">
            <w:pPr>
              <w:rPr>
                <w:i/>
                <w:iCs/>
              </w:rPr>
            </w:pPr>
            <w:r w:rsidRPr="006D4094">
              <w:t xml:space="preserve">10 </w:t>
            </w:r>
            <w:r w:rsidRPr="006D4094">
              <w:rPr>
                <w:lang w:val="en-US"/>
              </w:rPr>
              <w:t xml:space="preserve">mg/kg </w:t>
            </w:r>
            <w:r w:rsidRPr="006D4094">
              <w:t xml:space="preserve">телесно тегло три пъти дневно с максимална доза 400 </w:t>
            </w:r>
            <w:r w:rsidRPr="006D4094">
              <w:rPr>
                <w:lang w:val="en-US"/>
              </w:rPr>
              <w:t>mg</w:t>
            </w:r>
          </w:p>
        </w:tc>
        <w:tc>
          <w:tcPr>
            <w:tcW w:w="3167" w:type="dxa"/>
          </w:tcPr>
          <w:p w14:paraId="6A1F7479" w14:textId="5A45EE60" w:rsidR="006D4094" w:rsidRPr="006D4094" w:rsidRDefault="006D4094" w:rsidP="006D4094">
            <w:pPr>
              <w:rPr>
                <w:i/>
                <w:iCs/>
              </w:rPr>
            </w:pPr>
            <w:r w:rsidRPr="006D4094">
              <w:t>10 до 14 дни</w:t>
            </w:r>
          </w:p>
        </w:tc>
      </w:tr>
      <w:tr w:rsidR="006D4094" w14:paraId="05831404" w14:textId="77777777" w:rsidTr="004A4D86">
        <w:tc>
          <w:tcPr>
            <w:tcW w:w="3166" w:type="dxa"/>
          </w:tcPr>
          <w:p w14:paraId="283AED4E" w14:textId="47D6B230" w:rsidR="006D4094" w:rsidRPr="006D4094" w:rsidRDefault="006D4094" w:rsidP="006D4094">
            <w:pPr>
              <w:rPr>
                <w:i/>
                <w:iCs/>
              </w:rPr>
            </w:pPr>
            <w:r w:rsidRPr="006D4094">
              <w:t>Усложнени инфекции на уринарния тракт и остър пиелонефрит.</w:t>
            </w:r>
          </w:p>
        </w:tc>
        <w:tc>
          <w:tcPr>
            <w:tcW w:w="3167" w:type="dxa"/>
            <w:vAlign w:val="bottom"/>
          </w:tcPr>
          <w:p w14:paraId="77AE9C81" w14:textId="127EC910" w:rsidR="006D4094" w:rsidRPr="006D4094" w:rsidRDefault="006D4094" w:rsidP="006D4094">
            <w:pPr>
              <w:rPr>
                <w:i/>
                <w:iCs/>
              </w:rPr>
            </w:pPr>
            <w:r w:rsidRPr="006D4094">
              <w:t xml:space="preserve">6 </w:t>
            </w:r>
            <w:r w:rsidRPr="006D4094">
              <w:rPr>
                <w:lang w:val="en-US"/>
              </w:rPr>
              <w:t xml:space="preserve">mg/ kg </w:t>
            </w:r>
            <w:r w:rsidRPr="006D4094">
              <w:t xml:space="preserve">телесно тегло три пъти дневно до 10 </w:t>
            </w:r>
            <w:r w:rsidRPr="006D4094">
              <w:rPr>
                <w:lang w:val="en-US"/>
              </w:rPr>
              <w:t xml:space="preserve">mg/kg </w:t>
            </w:r>
            <w:r w:rsidRPr="006D4094">
              <w:t xml:space="preserve">телесно тегло три пъти дневно с максимална доза 400 </w:t>
            </w:r>
            <w:r w:rsidRPr="006D4094">
              <w:rPr>
                <w:lang w:val="en-US"/>
              </w:rPr>
              <w:t>mg.</w:t>
            </w:r>
          </w:p>
        </w:tc>
        <w:tc>
          <w:tcPr>
            <w:tcW w:w="3167" w:type="dxa"/>
          </w:tcPr>
          <w:p w14:paraId="00B6F289" w14:textId="24F41453" w:rsidR="006D4094" w:rsidRPr="006D4094" w:rsidRDefault="006D4094" w:rsidP="006D4094">
            <w:pPr>
              <w:rPr>
                <w:i/>
                <w:iCs/>
              </w:rPr>
            </w:pPr>
            <w:r w:rsidRPr="006D4094">
              <w:t>10 до 21 дни</w:t>
            </w:r>
          </w:p>
        </w:tc>
      </w:tr>
      <w:tr w:rsidR="006D4094" w14:paraId="3794D6F3" w14:textId="77777777" w:rsidTr="004A4D86">
        <w:tc>
          <w:tcPr>
            <w:tcW w:w="3166" w:type="dxa"/>
            <w:vAlign w:val="bottom"/>
          </w:tcPr>
          <w:p w14:paraId="10A3914F" w14:textId="42BC7FC1" w:rsidR="006D4094" w:rsidRPr="006D4094" w:rsidRDefault="006D4094" w:rsidP="006D4094">
            <w:pPr>
              <w:rPr>
                <w:i/>
                <w:iCs/>
              </w:rPr>
            </w:pPr>
            <w:r w:rsidRPr="006D4094">
              <w:t>Инхалационен антракс профилактика след излагане на антраксни спори - за лица, изискващи паретерално лечение. Приложението на лекарството да започне възможно най-скоро след подозираната или потвърдена експозиция.</w:t>
            </w:r>
          </w:p>
        </w:tc>
        <w:tc>
          <w:tcPr>
            <w:tcW w:w="3167" w:type="dxa"/>
          </w:tcPr>
          <w:p w14:paraId="6E0A36FB" w14:textId="547DF384" w:rsidR="006D4094" w:rsidRPr="006D4094" w:rsidRDefault="006D4094" w:rsidP="006D4094">
            <w:pPr>
              <w:rPr>
                <w:i/>
                <w:iCs/>
              </w:rPr>
            </w:pPr>
            <w:r w:rsidRPr="006D4094">
              <w:t xml:space="preserve">10 </w:t>
            </w:r>
            <w:r w:rsidRPr="006D4094">
              <w:rPr>
                <w:lang w:val="en-US"/>
              </w:rPr>
              <w:t xml:space="preserve">mg/ kg </w:t>
            </w:r>
            <w:r w:rsidRPr="006D4094">
              <w:t xml:space="preserve">телесно тегло два пъти дневно до 15 </w:t>
            </w:r>
            <w:r w:rsidRPr="006D4094">
              <w:rPr>
                <w:lang w:val="en-US"/>
              </w:rPr>
              <w:t xml:space="preserve">mg/kg </w:t>
            </w:r>
            <w:r w:rsidRPr="006D4094">
              <w:t xml:space="preserve">телесно тегло два пъти дневно с максимална доза 400 </w:t>
            </w:r>
            <w:r w:rsidRPr="006D4094">
              <w:rPr>
                <w:lang w:val="en-US"/>
              </w:rPr>
              <w:t>mg.</w:t>
            </w:r>
          </w:p>
        </w:tc>
        <w:tc>
          <w:tcPr>
            <w:tcW w:w="3167" w:type="dxa"/>
          </w:tcPr>
          <w:p w14:paraId="18EC2D5C" w14:textId="7EF3F813" w:rsidR="006D4094" w:rsidRPr="006D4094" w:rsidRDefault="006D4094" w:rsidP="006D4094">
            <w:pPr>
              <w:rPr>
                <w:i/>
                <w:iCs/>
              </w:rPr>
            </w:pPr>
            <w:r w:rsidRPr="006D4094">
              <w:t xml:space="preserve">60 дни от потвърждението за експозиция на </w:t>
            </w:r>
            <w:r w:rsidRPr="006D4094">
              <w:rPr>
                <w:i/>
                <w:iCs/>
                <w:lang w:val="en-US"/>
              </w:rPr>
              <w:t>Bacillus anthracis</w:t>
            </w:r>
          </w:p>
        </w:tc>
      </w:tr>
      <w:tr w:rsidR="006D4094" w14:paraId="7F7240C9" w14:textId="77777777" w:rsidTr="004A4D86">
        <w:tc>
          <w:tcPr>
            <w:tcW w:w="3166" w:type="dxa"/>
          </w:tcPr>
          <w:p w14:paraId="6406E86A" w14:textId="7080EB08" w:rsidR="006D4094" w:rsidRPr="006D4094" w:rsidRDefault="006D4094" w:rsidP="006D4094">
            <w:pPr>
              <w:rPr>
                <w:i/>
                <w:iCs/>
              </w:rPr>
            </w:pPr>
            <w:r w:rsidRPr="006D4094">
              <w:t>Други тежки инфекции</w:t>
            </w:r>
          </w:p>
        </w:tc>
        <w:tc>
          <w:tcPr>
            <w:tcW w:w="3167" w:type="dxa"/>
            <w:vAlign w:val="bottom"/>
          </w:tcPr>
          <w:p w14:paraId="780F16ED" w14:textId="1CC5951C" w:rsidR="006D4094" w:rsidRPr="006D4094" w:rsidRDefault="006D4094" w:rsidP="006D4094">
            <w:pPr>
              <w:rPr>
                <w:i/>
                <w:iCs/>
              </w:rPr>
            </w:pPr>
            <w:r w:rsidRPr="006D4094">
              <w:t xml:space="preserve">10 </w:t>
            </w:r>
            <w:r w:rsidRPr="006D4094">
              <w:rPr>
                <w:lang w:val="en-US"/>
              </w:rPr>
              <w:t xml:space="preserve">mg/kg </w:t>
            </w:r>
            <w:r w:rsidRPr="006D4094">
              <w:t xml:space="preserve">телесно тегло три пъти дневно с максимална доза 400 </w:t>
            </w:r>
            <w:r w:rsidRPr="006D4094">
              <w:rPr>
                <w:lang w:val="en-US"/>
              </w:rPr>
              <w:t>mg.</w:t>
            </w:r>
          </w:p>
        </w:tc>
        <w:tc>
          <w:tcPr>
            <w:tcW w:w="3167" w:type="dxa"/>
          </w:tcPr>
          <w:p w14:paraId="62F608BE" w14:textId="77777777" w:rsidR="006D4094" w:rsidRPr="006D4094" w:rsidRDefault="006D4094" w:rsidP="006D4094">
            <w:r w:rsidRPr="006D4094">
              <w:t xml:space="preserve">Съответно на вида на </w:t>
            </w:r>
          </w:p>
          <w:p w14:paraId="75EF7BEE" w14:textId="13BA5C5C" w:rsidR="006D4094" w:rsidRPr="006D4094" w:rsidRDefault="006D4094" w:rsidP="006D4094">
            <w:pPr>
              <w:rPr>
                <w:i/>
                <w:iCs/>
              </w:rPr>
            </w:pPr>
            <w:r w:rsidRPr="006D4094">
              <w:t>инфекцията.</w:t>
            </w:r>
          </w:p>
        </w:tc>
      </w:tr>
    </w:tbl>
    <w:p w14:paraId="300B066E" w14:textId="77777777" w:rsidR="006D4094" w:rsidRDefault="006D4094" w:rsidP="006D4094">
      <w:pPr>
        <w:rPr>
          <w:i/>
          <w:iCs/>
          <w:sz w:val="20"/>
          <w:szCs w:val="20"/>
        </w:rPr>
      </w:pPr>
    </w:p>
    <w:p w14:paraId="2F9D89C6" w14:textId="475C5ACE" w:rsidR="006D4094" w:rsidRDefault="006D4094" w:rsidP="006D4094"/>
    <w:p w14:paraId="3F20B163" w14:textId="77777777" w:rsidR="006D4094" w:rsidRPr="006D4094" w:rsidRDefault="006D4094" w:rsidP="006D4094">
      <w:pPr>
        <w:spacing w:line="240" w:lineRule="auto"/>
        <w:rPr>
          <w:rFonts w:eastAsia="Times New Roman" w:cs="Arial"/>
          <w:sz w:val="28"/>
          <w:szCs w:val="28"/>
          <w:lang w:eastAsia="bg-BG"/>
        </w:rPr>
      </w:pPr>
      <w:r w:rsidRPr="006D4094">
        <w:rPr>
          <w:rFonts w:eastAsia="Times New Roman" w:cs="Arial"/>
          <w:i/>
          <w:iCs/>
          <w:color w:val="000000"/>
          <w:lang w:eastAsia="bg-BG"/>
        </w:rPr>
        <w:t>Пациенти в старческа възраст</w:t>
      </w:r>
    </w:p>
    <w:p w14:paraId="2C9B2ADE" w14:textId="77777777" w:rsidR="006D4094" w:rsidRPr="006D4094" w:rsidRDefault="006D4094" w:rsidP="006D4094">
      <w:pPr>
        <w:spacing w:line="240" w:lineRule="auto"/>
        <w:rPr>
          <w:rFonts w:eastAsia="Times New Roman" w:cs="Arial"/>
          <w:color w:val="000000"/>
          <w:lang w:eastAsia="bg-BG"/>
        </w:rPr>
      </w:pPr>
    </w:p>
    <w:p w14:paraId="6441E773" w14:textId="4A013D58"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Пациентите в старческа възраст трябва да получават доза, подбрана съответно на тежестта на инфекцията и креатининовия им клирьнс.</w:t>
      </w:r>
    </w:p>
    <w:p w14:paraId="777E7952" w14:textId="77777777" w:rsidR="006D4094" w:rsidRPr="006D4094" w:rsidRDefault="006D4094" w:rsidP="006D4094">
      <w:pPr>
        <w:spacing w:line="240" w:lineRule="auto"/>
        <w:rPr>
          <w:rFonts w:eastAsia="Times New Roman" w:cs="Arial"/>
          <w:i/>
          <w:iCs/>
          <w:color w:val="000000"/>
          <w:lang w:eastAsia="bg-BG"/>
        </w:rPr>
      </w:pPr>
    </w:p>
    <w:p w14:paraId="4F59015D" w14:textId="62A88EE3" w:rsidR="006D4094" w:rsidRPr="006D4094" w:rsidRDefault="006D4094" w:rsidP="006D4094">
      <w:pPr>
        <w:spacing w:line="240" w:lineRule="auto"/>
        <w:rPr>
          <w:rFonts w:eastAsia="Times New Roman" w:cs="Arial"/>
          <w:sz w:val="28"/>
          <w:szCs w:val="28"/>
          <w:lang w:eastAsia="bg-BG"/>
        </w:rPr>
      </w:pPr>
      <w:r w:rsidRPr="006D4094">
        <w:rPr>
          <w:rFonts w:eastAsia="Times New Roman" w:cs="Arial"/>
          <w:i/>
          <w:iCs/>
          <w:color w:val="000000"/>
          <w:lang w:eastAsia="bg-BG"/>
        </w:rPr>
        <w:lastRenderedPageBreak/>
        <w:t xml:space="preserve">Пациенти с увредена бъбречна </w:t>
      </w:r>
      <w:proofErr w:type="spellStart"/>
      <w:r w:rsidRPr="006D4094">
        <w:rPr>
          <w:rFonts w:eastAsia="Times New Roman" w:cs="Arial"/>
          <w:i/>
          <w:iCs/>
          <w:color w:val="000000"/>
          <w:lang w:val="en-US"/>
        </w:rPr>
        <w:t>uJwiu</w:t>
      </w:r>
      <w:proofErr w:type="spellEnd"/>
      <w:r w:rsidRPr="006D4094">
        <w:rPr>
          <w:rFonts w:eastAsia="Times New Roman" w:cs="Arial"/>
          <w:i/>
          <w:iCs/>
          <w:color w:val="000000"/>
          <w:lang w:val="en-US"/>
        </w:rPr>
        <w:t xml:space="preserve"> </w:t>
      </w:r>
      <w:r w:rsidRPr="006D4094">
        <w:rPr>
          <w:rFonts w:eastAsia="Times New Roman" w:cs="Arial"/>
          <w:i/>
          <w:iCs/>
          <w:color w:val="000000"/>
          <w:lang w:eastAsia="bg-BG"/>
        </w:rPr>
        <w:t>чернодробна функция</w:t>
      </w:r>
    </w:p>
    <w:p w14:paraId="3A7B6BFE" w14:textId="77777777" w:rsidR="006D4094" w:rsidRPr="006D4094" w:rsidRDefault="006D4094" w:rsidP="006D4094">
      <w:pPr>
        <w:spacing w:line="240" w:lineRule="auto"/>
        <w:rPr>
          <w:rFonts w:eastAsia="Times New Roman" w:cs="Arial"/>
          <w:color w:val="000000"/>
          <w:lang w:eastAsia="bg-BG"/>
        </w:rPr>
      </w:pPr>
    </w:p>
    <w:p w14:paraId="24963DC7" w14:textId="57C84E94"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Препоръчителна начална и поддържаща доза при пациенти с увредена бъбречна функция.</w:t>
      </w:r>
    </w:p>
    <w:p w14:paraId="3D145BC4" w14:textId="4214B934" w:rsidR="006D4094" w:rsidRDefault="006D4094" w:rsidP="006D4094"/>
    <w:tbl>
      <w:tblPr>
        <w:tblStyle w:val="TableGrid"/>
        <w:tblW w:w="0" w:type="auto"/>
        <w:tblLook w:val="04A0" w:firstRow="1" w:lastRow="0" w:firstColumn="1" w:lastColumn="0" w:noHBand="0" w:noVBand="1"/>
      </w:tblPr>
      <w:tblGrid>
        <w:gridCol w:w="3119"/>
        <w:gridCol w:w="3109"/>
        <w:gridCol w:w="3122"/>
      </w:tblGrid>
      <w:tr w:rsidR="006D4094" w14:paraId="535473C9" w14:textId="77777777" w:rsidTr="006D4094">
        <w:tc>
          <w:tcPr>
            <w:tcW w:w="3166" w:type="dxa"/>
          </w:tcPr>
          <w:p w14:paraId="74E1D7F8" w14:textId="20C23C2C" w:rsidR="006D4094" w:rsidRPr="006D4094" w:rsidRDefault="006D4094" w:rsidP="006D4094">
            <w:r w:rsidRPr="006D4094">
              <w:rPr>
                <w:b/>
                <w:bCs/>
              </w:rPr>
              <w:t xml:space="preserve">Креатининов клирънс </w:t>
            </w:r>
            <w:r w:rsidRPr="006D4094">
              <w:rPr>
                <w:b/>
                <w:bCs/>
                <w:lang w:val="en-US"/>
              </w:rPr>
              <w:t>[ml/min/1.73 m</w:t>
            </w:r>
            <w:r w:rsidRPr="006D4094">
              <w:rPr>
                <w:b/>
                <w:bCs/>
                <w:vertAlign w:val="superscript"/>
                <w:lang w:val="en-US"/>
              </w:rPr>
              <w:t>2</w:t>
            </w:r>
            <w:r w:rsidRPr="006D4094">
              <w:rPr>
                <w:b/>
                <w:bCs/>
                <w:lang w:val="en-US"/>
              </w:rPr>
              <w:t>]</w:t>
            </w:r>
          </w:p>
        </w:tc>
        <w:tc>
          <w:tcPr>
            <w:tcW w:w="3167" w:type="dxa"/>
          </w:tcPr>
          <w:p w14:paraId="568B2F96" w14:textId="77777777" w:rsidR="006D4094" w:rsidRPr="006D4094" w:rsidRDefault="006D4094" w:rsidP="006D4094">
            <w:r w:rsidRPr="006D4094">
              <w:rPr>
                <w:b/>
                <w:bCs/>
              </w:rPr>
              <w:t>Серумен креатннин</w:t>
            </w:r>
          </w:p>
          <w:p w14:paraId="172738B6" w14:textId="34AD71E6" w:rsidR="006D4094" w:rsidRPr="006D4094" w:rsidRDefault="006D4094" w:rsidP="006D4094">
            <w:r w:rsidRPr="006D4094">
              <w:t>[μ</w:t>
            </w:r>
            <w:r w:rsidRPr="006D4094">
              <w:rPr>
                <w:lang w:val="en-US"/>
              </w:rPr>
              <w:t>mol/l]</w:t>
            </w:r>
          </w:p>
        </w:tc>
        <w:tc>
          <w:tcPr>
            <w:tcW w:w="3167" w:type="dxa"/>
          </w:tcPr>
          <w:p w14:paraId="56B75C15" w14:textId="7CF74750" w:rsidR="006D4094" w:rsidRPr="006D4094" w:rsidRDefault="006D4094" w:rsidP="006D4094">
            <w:r w:rsidRPr="006D4094">
              <w:rPr>
                <w:b/>
                <w:bCs/>
              </w:rPr>
              <w:t xml:space="preserve">Интравенозна доза </w:t>
            </w:r>
            <w:r w:rsidRPr="006D4094">
              <w:rPr>
                <w:b/>
                <w:bCs/>
                <w:lang w:val="en-US"/>
              </w:rPr>
              <w:t>[mg]</w:t>
            </w:r>
          </w:p>
        </w:tc>
      </w:tr>
      <w:tr w:rsidR="006D4094" w14:paraId="6A3AB5B3" w14:textId="77777777" w:rsidTr="006D4094">
        <w:tc>
          <w:tcPr>
            <w:tcW w:w="3166" w:type="dxa"/>
          </w:tcPr>
          <w:p w14:paraId="69EABDE8" w14:textId="3577C232" w:rsidR="006D4094" w:rsidRPr="006D4094" w:rsidRDefault="006D4094" w:rsidP="006D4094">
            <w:r w:rsidRPr="006D4094">
              <w:t>&gt;60</w:t>
            </w:r>
          </w:p>
        </w:tc>
        <w:tc>
          <w:tcPr>
            <w:tcW w:w="3167" w:type="dxa"/>
          </w:tcPr>
          <w:p w14:paraId="6D846FF4" w14:textId="4E61D500" w:rsidR="006D4094" w:rsidRPr="006D4094" w:rsidRDefault="006D4094" w:rsidP="006D4094">
            <w:r w:rsidRPr="006D4094">
              <w:t>&lt;124</w:t>
            </w:r>
          </w:p>
        </w:tc>
        <w:tc>
          <w:tcPr>
            <w:tcW w:w="3167" w:type="dxa"/>
          </w:tcPr>
          <w:p w14:paraId="0CC7DB74" w14:textId="1A353CDD" w:rsidR="006D4094" w:rsidRPr="006D4094" w:rsidRDefault="006D4094" w:rsidP="006D4094">
            <w:r w:rsidRPr="006D4094">
              <w:t>Вж. обичайната дозировка</w:t>
            </w:r>
          </w:p>
        </w:tc>
      </w:tr>
      <w:tr w:rsidR="006D4094" w14:paraId="0C7015D3" w14:textId="77777777" w:rsidTr="006D4094">
        <w:tc>
          <w:tcPr>
            <w:tcW w:w="3166" w:type="dxa"/>
          </w:tcPr>
          <w:p w14:paraId="69597595" w14:textId="076CB84A" w:rsidR="006D4094" w:rsidRPr="006D4094" w:rsidRDefault="006D4094" w:rsidP="006D4094">
            <w:r w:rsidRPr="006D4094">
              <w:t>30-60</w:t>
            </w:r>
          </w:p>
        </w:tc>
        <w:tc>
          <w:tcPr>
            <w:tcW w:w="3167" w:type="dxa"/>
          </w:tcPr>
          <w:p w14:paraId="2800C200" w14:textId="70E6A5BA" w:rsidR="006D4094" w:rsidRPr="006D4094" w:rsidRDefault="006D4094" w:rsidP="006D4094">
            <w:r w:rsidRPr="006D4094">
              <w:t>124 до 168</w:t>
            </w:r>
          </w:p>
        </w:tc>
        <w:tc>
          <w:tcPr>
            <w:tcW w:w="3167" w:type="dxa"/>
          </w:tcPr>
          <w:p w14:paraId="401F50EB" w14:textId="5B70CF46" w:rsidR="006D4094" w:rsidRPr="006D4094" w:rsidRDefault="006D4094" w:rsidP="006D4094">
            <w:r w:rsidRPr="006D4094">
              <w:t xml:space="preserve">200 - 400 </w:t>
            </w:r>
            <w:r w:rsidRPr="006D4094">
              <w:rPr>
                <w:lang w:val="en-US"/>
              </w:rPr>
              <w:t xml:space="preserve">mg </w:t>
            </w:r>
            <w:r w:rsidRPr="006D4094">
              <w:t xml:space="preserve">на всеки 12 </w:t>
            </w:r>
            <w:r w:rsidRPr="006D4094">
              <w:rPr>
                <w:lang w:val="en-US"/>
              </w:rPr>
              <w:t>h</w:t>
            </w:r>
          </w:p>
        </w:tc>
      </w:tr>
      <w:tr w:rsidR="006D4094" w14:paraId="477C45B2" w14:textId="77777777" w:rsidTr="006D4094">
        <w:tc>
          <w:tcPr>
            <w:tcW w:w="3166" w:type="dxa"/>
          </w:tcPr>
          <w:p w14:paraId="4301F9F2" w14:textId="11CC9044" w:rsidR="006D4094" w:rsidRPr="006D4094" w:rsidRDefault="006D4094" w:rsidP="006D4094">
            <w:r w:rsidRPr="006D4094">
              <w:t>&lt;30</w:t>
            </w:r>
          </w:p>
        </w:tc>
        <w:tc>
          <w:tcPr>
            <w:tcW w:w="3167" w:type="dxa"/>
          </w:tcPr>
          <w:p w14:paraId="3DDE9EE4" w14:textId="6FC74064" w:rsidR="006D4094" w:rsidRPr="006D4094" w:rsidRDefault="006D4094" w:rsidP="006D4094">
            <w:r w:rsidRPr="006D4094">
              <w:t>&gt;169</w:t>
            </w:r>
          </w:p>
        </w:tc>
        <w:tc>
          <w:tcPr>
            <w:tcW w:w="3167" w:type="dxa"/>
          </w:tcPr>
          <w:p w14:paraId="208272D6" w14:textId="49FE254D" w:rsidR="006D4094" w:rsidRPr="006D4094" w:rsidRDefault="006D4094" w:rsidP="006D4094">
            <w:r w:rsidRPr="006D4094">
              <w:t xml:space="preserve">200 - 400 </w:t>
            </w:r>
            <w:r w:rsidRPr="006D4094">
              <w:rPr>
                <w:lang w:val="en-US"/>
              </w:rPr>
              <w:t xml:space="preserve">mg </w:t>
            </w:r>
            <w:r w:rsidRPr="006D4094">
              <w:t xml:space="preserve">на всеки 24 </w:t>
            </w:r>
            <w:r w:rsidRPr="006D4094">
              <w:rPr>
                <w:lang w:val="en-US"/>
              </w:rPr>
              <w:t>h</w:t>
            </w:r>
          </w:p>
        </w:tc>
      </w:tr>
      <w:tr w:rsidR="006D4094" w14:paraId="7B32C61D" w14:textId="77777777" w:rsidTr="006D4094">
        <w:tc>
          <w:tcPr>
            <w:tcW w:w="3166" w:type="dxa"/>
          </w:tcPr>
          <w:p w14:paraId="058AA239" w14:textId="35E9E73F" w:rsidR="006D4094" w:rsidRPr="006D4094" w:rsidRDefault="006D4094" w:rsidP="006D4094">
            <w:r w:rsidRPr="006D4094">
              <w:t>Пациенти на хемодиализа</w:t>
            </w:r>
          </w:p>
        </w:tc>
        <w:tc>
          <w:tcPr>
            <w:tcW w:w="3167" w:type="dxa"/>
          </w:tcPr>
          <w:p w14:paraId="327E0F0B" w14:textId="6959216B" w:rsidR="006D4094" w:rsidRPr="006D4094" w:rsidRDefault="006D4094" w:rsidP="006D4094">
            <w:r w:rsidRPr="006D4094">
              <w:t>&gt;169</w:t>
            </w:r>
          </w:p>
        </w:tc>
        <w:tc>
          <w:tcPr>
            <w:tcW w:w="3167" w:type="dxa"/>
          </w:tcPr>
          <w:p w14:paraId="2913E487" w14:textId="1B63F54B" w:rsidR="006D4094" w:rsidRPr="006D4094" w:rsidRDefault="006D4094" w:rsidP="006D4094">
            <w:r w:rsidRPr="006D4094">
              <w:t xml:space="preserve">200 - 400 </w:t>
            </w:r>
            <w:r w:rsidRPr="006D4094">
              <w:rPr>
                <w:lang w:val="en-US"/>
              </w:rPr>
              <w:t xml:space="preserve">mg </w:t>
            </w:r>
            <w:r w:rsidRPr="006D4094">
              <w:t xml:space="preserve">на всеки 24 </w:t>
            </w:r>
            <w:r w:rsidRPr="006D4094">
              <w:rPr>
                <w:lang w:val="en-US"/>
              </w:rPr>
              <w:t xml:space="preserve">h </w:t>
            </w:r>
            <w:r w:rsidRPr="006D4094">
              <w:t>(след диализа)</w:t>
            </w:r>
          </w:p>
        </w:tc>
      </w:tr>
      <w:tr w:rsidR="006D4094" w14:paraId="46DDD5EC" w14:textId="77777777" w:rsidTr="006D4094">
        <w:tc>
          <w:tcPr>
            <w:tcW w:w="3166" w:type="dxa"/>
          </w:tcPr>
          <w:p w14:paraId="65E733C7" w14:textId="64C5F58B" w:rsidR="006D4094" w:rsidRPr="006D4094" w:rsidRDefault="006D4094" w:rsidP="006D4094">
            <w:r w:rsidRPr="006D4094">
              <w:t>Пациенти на перитонеална диализа</w:t>
            </w:r>
          </w:p>
        </w:tc>
        <w:tc>
          <w:tcPr>
            <w:tcW w:w="3167" w:type="dxa"/>
          </w:tcPr>
          <w:p w14:paraId="71BA5333" w14:textId="1969B149" w:rsidR="006D4094" w:rsidRPr="006D4094" w:rsidRDefault="006D4094" w:rsidP="006D4094">
            <w:r w:rsidRPr="006D4094">
              <w:t>&gt; 169</w:t>
            </w:r>
          </w:p>
        </w:tc>
        <w:tc>
          <w:tcPr>
            <w:tcW w:w="3167" w:type="dxa"/>
          </w:tcPr>
          <w:p w14:paraId="1416B9AD" w14:textId="06C3048E" w:rsidR="006D4094" w:rsidRPr="006D4094" w:rsidRDefault="006D4094" w:rsidP="006D4094">
            <w:r w:rsidRPr="006D4094">
              <w:t xml:space="preserve">200 - 400 </w:t>
            </w:r>
            <w:r w:rsidRPr="006D4094">
              <w:rPr>
                <w:lang w:val="en-US"/>
              </w:rPr>
              <w:t xml:space="preserve">mg </w:t>
            </w:r>
            <w:r w:rsidRPr="006D4094">
              <w:t xml:space="preserve">на всеки 24 </w:t>
            </w:r>
            <w:r w:rsidRPr="006D4094">
              <w:rPr>
                <w:lang w:val="en-US"/>
              </w:rPr>
              <w:t>h</w:t>
            </w:r>
          </w:p>
        </w:tc>
      </w:tr>
    </w:tbl>
    <w:p w14:paraId="3011EAAA" w14:textId="7942A12A" w:rsidR="006D4094" w:rsidRDefault="006D4094" w:rsidP="006D4094"/>
    <w:p w14:paraId="7EFEDEFD" w14:textId="77777777"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При пациенти с увредена чернодробна функция не се изисква адаптиране на дозата.</w:t>
      </w:r>
    </w:p>
    <w:p w14:paraId="50C9317B" w14:textId="77777777" w:rsidR="006D4094" w:rsidRPr="006D4094" w:rsidRDefault="006D4094" w:rsidP="006D4094">
      <w:pPr>
        <w:spacing w:line="240" w:lineRule="auto"/>
        <w:rPr>
          <w:rFonts w:eastAsia="Times New Roman" w:cs="Arial"/>
          <w:color w:val="000000"/>
          <w:lang w:eastAsia="bg-BG"/>
        </w:rPr>
      </w:pPr>
    </w:p>
    <w:p w14:paraId="12BD8D45" w14:textId="5DD5090D"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Дозирането при деца с увредена бъбречна и/или чернодробна функция не е проучено.</w:t>
      </w:r>
    </w:p>
    <w:p w14:paraId="7ED77F29" w14:textId="77777777" w:rsidR="006D4094" w:rsidRPr="006D4094" w:rsidRDefault="006D4094" w:rsidP="006D4094">
      <w:pPr>
        <w:spacing w:line="240" w:lineRule="auto"/>
        <w:rPr>
          <w:rFonts w:eastAsia="Times New Roman" w:cs="Arial"/>
          <w:b/>
          <w:bCs/>
          <w:color w:val="000000"/>
          <w:lang w:eastAsia="bg-BG"/>
        </w:rPr>
      </w:pPr>
    </w:p>
    <w:p w14:paraId="0CE15621" w14:textId="67FA0D27" w:rsidR="006D4094" w:rsidRPr="006D4094" w:rsidRDefault="006D4094" w:rsidP="006D4094">
      <w:pPr>
        <w:spacing w:line="240" w:lineRule="auto"/>
        <w:rPr>
          <w:rFonts w:eastAsia="Times New Roman" w:cs="Arial"/>
          <w:sz w:val="28"/>
          <w:szCs w:val="28"/>
          <w:lang w:eastAsia="bg-BG"/>
        </w:rPr>
      </w:pPr>
      <w:r w:rsidRPr="006D4094">
        <w:rPr>
          <w:rFonts w:eastAsia="Times New Roman" w:cs="Arial"/>
          <w:b/>
          <w:bCs/>
          <w:color w:val="000000"/>
          <w:lang w:eastAsia="bg-BG"/>
        </w:rPr>
        <w:t>Метод на приложение</w:t>
      </w:r>
    </w:p>
    <w:p w14:paraId="3BB1DD19" w14:textId="43136163"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u w:val="single"/>
          <w:lang w:eastAsia="bg-BG"/>
        </w:rPr>
        <w:t>Този медицински продукт е в концентрирана дозова Форма. Той трябва да се разтвори непосредствено преди приложението като интравенозна инфузия (</w:t>
      </w:r>
      <w:r w:rsidRPr="006D4094">
        <w:rPr>
          <w:rFonts w:eastAsia="Times New Roman" w:cs="Arial"/>
          <w:color w:val="000000"/>
          <w:lang w:eastAsia="bg-BG"/>
        </w:rPr>
        <w:t>вж. точка 6.6).</w:t>
      </w:r>
    </w:p>
    <w:p w14:paraId="3773501C" w14:textId="77777777" w:rsidR="006D4094" w:rsidRPr="006D4094" w:rsidRDefault="006D4094" w:rsidP="006D4094">
      <w:pPr>
        <w:rPr>
          <w:rFonts w:eastAsia="Times New Roman" w:cs="Arial"/>
          <w:color w:val="000000"/>
          <w:lang w:eastAsia="bg-BG"/>
        </w:rPr>
      </w:pPr>
    </w:p>
    <w:p w14:paraId="0C2DD3B4" w14:textId="517C1BE4" w:rsidR="006D4094" w:rsidRPr="006D4094" w:rsidRDefault="006D4094" w:rsidP="006D4094">
      <w:pPr>
        <w:rPr>
          <w:rFonts w:eastAsia="Times New Roman" w:cs="Arial"/>
          <w:color w:val="000000"/>
          <w:lang w:eastAsia="bg-BG"/>
        </w:rPr>
      </w:pPr>
      <w:r w:rsidRPr="006D4094">
        <w:rPr>
          <w:rFonts w:eastAsia="Times New Roman" w:cs="Arial"/>
          <w:color w:val="000000"/>
          <w:lang w:eastAsia="bg-BG"/>
        </w:rPr>
        <w:t>Приготвеният разтвор трябва да се прилага като бавна интравенозна инфузия за около 60 минути. За да се избегне дискомфорт и венозно дразнене продуктът трябва да се въведе в голяма вена.</w:t>
      </w:r>
    </w:p>
    <w:p w14:paraId="2146DC5C" w14:textId="77777777" w:rsidR="006D4094" w:rsidRPr="006D4094" w:rsidRDefault="006D4094" w:rsidP="006D4094"/>
    <w:p w14:paraId="5D9E65DA" w14:textId="774DC7C8" w:rsidR="009F77A4" w:rsidRDefault="002C50EE" w:rsidP="00387A66">
      <w:pPr>
        <w:pStyle w:val="Heading2"/>
      </w:pPr>
      <w:r>
        <w:t>4.3. Противопоказания</w:t>
      </w:r>
    </w:p>
    <w:p w14:paraId="7DF646DA" w14:textId="6C091B7E" w:rsidR="006D4094" w:rsidRDefault="006D4094" w:rsidP="006D4094"/>
    <w:p w14:paraId="507E67CD" w14:textId="77777777" w:rsidR="006D4094" w:rsidRPr="006D4094" w:rsidRDefault="006D4094" w:rsidP="006D4094">
      <w:pPr>
        <w:spacing w:line="240" w:lineRule="auto"/>
        <w:rPr>
          <w:rFonts w:eastAsia="Times New Roman" w:cs="Arial"/>
          <w:sz w:val="28"/>
          <w:szCs w:val="28"/>
          <w:lang w:eastAsia="bg-BG"/>
        </w:rPr>
      </w:pPr>
      <w:r w:rsidRPr="006D4094">
        <w:rPr>
          <w:rFonts w:eastAsia="Times New Roman" w:cs="Arial"/>
          <w:color w:val="000000"/>
          <w:lang w:eastAsia="bg-BG"/>
        </w:rPr>
        <w:t>Ципрофлав не трябва да се използва:</w:t>
      </w:r>
    </w:p>
    <w:p w14:paraId="02BE9164" w14:textId="77777777"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В случай на свръхчувствителност към ципрофлоксацин или други хинолони, както и към някои от съставките на продукта</w:t>
      </w:r>
    </w:p>
    <w:p w14:paraId="26F58894" w14:textId="77777777"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При бременност и кърмене</w:t>
      </w:r>
    </w:p>
    <w:p w14:paraId="41BC9A48" w14:textId="48B01A80" w:rsidR="006D4094" w:rsidRPr="006D4094" w:rsidRDefault="006D4094" w:rsidP="006D4094">
      <w:pPr>
        <w:pStyle w:val="ListParagraph"/>
        <w:numPr>
          <w:ilvl w:val="0"/>
          <w:numId w:val="2"/>
        </w:numPr>
        <w:spacing w:line="240" w:lineRule="auto"/>
        <w:rPr>
          <w:rFonts w:eastAsia="Times New Roman" w:cs="Arial"/>
          <w:sz w:val="28"/>
          <w:szCs w:val="28"/>
          <w:lang w:eastAsia="bg-BG"/>
        </w:rPr>
      </w:pPr>
      <w:r w:rsidRPr="006D4094">
        <w:rPr>
          <w:rFonts w:eastAsia="Times New Roman" w:cs="Arial"/>
          <w:color w:val="000000"/>
          <w:lang w:eastAsia="bg-BG"/>
        </w:rPr>
        <w:t>Едновременно с тизанидин, поради риск от повишаване на серумните нива на тизанидин и клинично значимите странични ефекти - хипотензия и сънливост.</w:t>
      </w:r>
    </w:p>
    <w:p w14:paraId="3470AC2E" w14:textId="77777777" w:rsidR="006D4094" w:rsidRPr="006D4094" w:rsidRDefault="006D4094" w:rsidP="006D4094"/>
    <w:p w14:paraId="1C27CE53" w14:textId="64485EFA" w:rsidR="009F77A4" w:rsidRDefault="002C50EE" w:rsidP="00387A66">
      <w:pPr>
        <w:pStyle w:val="Heading2"/>
      </w:pPr>
      <w:r>
        <w:t>4.4. Специални предупреждения и предпазни мерки при употреба</w:t>
      </w:r>
    </w:p>
    <w:p w14:paraId="4770965B" w14:textId="4544EC5D" w:rsidR="006D4094" w:rsidRDefault="006D4094" w:rsidP="006D4094"/>
    <w:p w14:paraId="1241E67C"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Употребата на ципрофлоксацин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26FE0B30" w14:textId="77777777" w:rsidR="006D4094" w:rsidRPr="006D4094" w:rsidRDefault="006D4094" w:rsidP="006D4094">
      <w:pPr>
        <w:spacing w:line="240" w:lineRule="auto"/>
        <w:rPr>
          <w:rFonts w:eastAsia="Times New Roman" w:cs="Arial"/>
          <w:i/>
          <w:iCs/>
          <w:color w:val="000000"/>
          <w:lang w:eastAsia="bg-BG"/>
        </w:rPr>
      </w:pPr>
    </w:p>
    <w:p w14:paraId="0533CE96" w14:textId="3C94794B"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Педиатрична популация</w:t>
      </w:r>
    </w:p>
    <w:p w14:paraId="2F88F210"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Употребата на ципрофлоксацин при деца и юноши трябва да следва наличните официални препоръки. Лечение с ципрофлоксацин трябва да се започва само от лекари, опитни в лечението на кистична фиброза и/или тежки инфекции при деца и юноши.</w:t>
      </w:r>
    </w:p>
    <w:p w14:paraId="326EA81E" w14:textId="77777777" w:rsidR="006D4094" w:rsidRPr="006D4094" w:rsidRDefault="006D4094" w:rsidP="006D4094">
      <w:pPr>
        <w:rPr>
          <w:rFonts w:eastAsia="Times New Roman" w:cs="Arial"/>
          <w:lang w:eastAsia="bg-BG"/>
        </w:rPr>
      </w:pPr>
      <w:r w:rsidRPr="006D4094">
        <w:rPr>
          <w:rFonts w:eastAsia="Times New Roman" w:cs="Arial"/>
          <w:color w:val="000000"/>
          <w:lang w:eastAsia="bg-BG"/>
        </w:rPr>
        <w:lastRenderedPageBreak/>
        <w:t xml:space="preserve">Показано е, че ципрофлоксацин може да причини артропатия на големите носещи стави на животни с незавършен растеж. Данни за безопасност от рандомизирано, двойносляпо изследване върху употребата на ципрофлоксацин при деца (ципрофлоксацин: </w:t>
      </w:r>
      <w:r w:rsidRPr="006D4094">
        <w:rPr>
          <w:rFonts w:eastAsia="Times New Roman" w:cs="Arial"/>
          <w:color w:val="000000"/>
          <w:lang w:val="en-US"/>
        </w:rPr>
        <w:t>n</w:t>
      </w:r>
      <w:r w:rsidRPr="006D4094">
        <w:rPr>
          <w:rFonts w:eastAsia="Times New Roman" w:cs="Arial"/>
          <w:color w:val="000000"/>
          <w:lang w:eastAsia="bg-BG"/>
        </w:rPr>
        <w:t xml:space="preserve"> = 335, средна възраст= 6,3 години; лекарства за сравнение: </w:t>
      </w:r>
      <w:r w:rsidRPr="006D4094">
        <w:rPr>
          <w:rFonts w:eastAsia="Times New Roman" w:cs="Arial"/>
          <w:color w:val="000000"/>
          <w:lang w:val="en-US"/>
        </w:rPr>
        <w:t>n</w:t>
      </w:r>
      <w:r w:rsidRPr="006D4094">
        <w:rPr>
          <w:rFonts w:eastAsia="Times New Roman" w:cs="Arial"/>
          <w:color w:val="000000"/>
          <w:lang w:eastAsia="bg-BG"/>
        </w:rPr>
        <w:t xml:space="preserve"> = 349, средна възраст = 6,2 години; възрастов интервал=1 до 17 години) открит инцидент на подозряна лекарствено-свързана артропатия (разпозната чрез ставно-свързани клинични признаци и симптоми) на ден 42 - 7,2% и 4,6%. Съответно инцидент на лекарствено-свързана артропатия, проследен след 1 година е бил 9,0% </w:t>
      </w:r>
      <w:r w:rsidRPr="006D4094">
        <w:rPr>
          <w:rFonts w:eastAsia="Times New Roman" w:cs="Arial"/>
          <w:color w:val="000000"/>
          <w:lang w:val="en-US"/>
        </w:rPr>
        <w:t xml:space="preserve">and </w:t>
      </w:r>
      <w:r w:rsidRPr="006D4094">
        <w:rPr>
          <w:rFonts w:eastAsia="Times New Roman" w:cs="Arial"/>
          <w:color w:val="000000"/>
          <w:lang w:eastAsia="bg-BG"/>
        </w:rPr>
        <w:t>5,7%. Повишаването на случаи на подозираната, свързана с лекарството артропатия след време не е със статистически значима разлика между групите. Лечение трябва да се започва само след внимателна преценка на съотношението полза/риск, поради възможни нежелани реакции, свързани със ставите и/или заобикалящата ги тъкан (вж. точка 4.8).</w:t>
      </w:r>
    </w:p>
    <w:p w14:paraId="3566EA81" w14:textId="77777777" w:rsidR="006D4094" w:rsidRPr="006D4094" w:rsidRDefault="006D4094" w:rsidP="006D4094">
      <w:pPr>
        <w:spacing w:line="240" w:lineRule="auto"/>
        <w:rPr>
          <w:rFonts w:eastAsia="Times New Roman" w:cs="Arial"/>
          <w:color w:val="000000"/>
          <w:lang w:eastAsia="bg-BG"/>
        </w:rPr>
      </w:pPr>
    </w:p>
    <w:p w14:paraId="5A345173" w14:textId="2438E2F1"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 xml:space="preserve">Ципрофлоксацин може да се използва при деца и подрастващи при лечение на изострена дихателна недостатъчност при кистична фиброза, причинена от </w:t>
      </w:r>
      <w:r w:rsidRPr="006D4094">
        <w:rPr>
          <w:rFonts w:eastAsia="Times New Roman" w:cs="Arial"/>
          <w:i/>
          <w:iCs/>
          <w:color w:val="000000"/>
          <w:lang w:val="en-US"/>
        </w:rPr>
        <w:t xml:space="preserve">Pseudomonas aeruginosa </w:t>
      </w:r>
      <w:r w:rsidRPr="006D4094">
        <w:rPr>
          <w:rFonts w:eastAsia="Times New Roman" w:cs="Arial"/>
          <w:color w:val="000000"/>
          <w:lang w:eastAsia="bg-BG"/>
        </w:rPr>
        <w:t>(препоръчително при деца между 5 и 17 години). А също така и за лечение на инфалация на антракс. В тези случаи лечението с ципрофлоксацин показва превишаване на възможния риск.</w:t>
      </w:r>
    </w:p>
    <w:p w14:paraId="7FE41CD3" w14:textId="77777777" w:rsidR="006D4094" w:rsidRPr="006D4094" w:rsidRDefault="006D4094" w:rsidP="006D4094">
      <w:pPr>
        <w:spacing w:line="240" w:lineRule="auto"/>
        <w:rPr>
          <w:rFonts w:eastAsia="Times New Roman" w:cs="Arial"/>
          <w:color w:val="000000"/>
          <w:lang w:eastAsia="bg-BG"/>
        </w:rPr>
      </w:pPr>
    </w:p>
    <w:p w14:paraId="24259EB7" w14:textId="3C7C1951"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При други индикации не се препоръчва използването на ципрофлоксацин при деца и подрастващи в периода на растеж. Установена е не напълно изяснена връзка между употребата на ципрофлоксацин и ставни и хрущялни увреждания, наблюдавани при пациенти под 18 години, лекувани от кистична фиброза. Негативният ефект на гиразните инхибитори върху ставния хрущял на незрели индивиди не е доказан при изследвания върху животни.</w:t>
      </w:r>
    </w:p>
    <w:p w14:paraId="38735B23" w14:textId="77777777" w:rsidR="006D4094" w:rsidRPr="006D4094" w:rsidRDefault="006D4094" w:rsidP="006D4094">
      <w:pPr>
        <w:spacing w:line="240" w:lineRule="auto"/>
        <w:rPr>
          <w:rFonts w:eastAsia="Times New Roman" w:cs="Arial"/>
          <w:i/>
          <w:iCs/>
          <w:color w:val="000000"/>
          <w:lang w:eastAsia="bg-BG"/>
        </w:rPr>
      </w:pPr>
    </w:p>
    <w:p w14:paraId="5246A893" w14:textId="483F1E1F"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Цитохром Р450</w:t>
      </w:r>
    </w:p>
    <w:p w14:paraId="7BBDDDED"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 xml:space="preserve">Ципрофлоксацин инхибира цитохром </w:t>
      </w:r>
      <w:r w:rsidRPr="006D4094">
        <w:rPr>
          <w:rFonts w:eastAsia="Times New Roman" w:cs="Arial"/>
          <w:color w:val="000000"/>
          <w:lang w:val="en-US"/>
        </w:rPr>
        <w:t>CYP1</w:t>
      </w:r>
      <w:r w:rsidRPr="006D4094">
        <w:rPr>
          <w:rFonts w:eastAsia="Times New Roman" w:cs="Arial"/>
          <w:color w:val="000000"/>
          <w:lang w:eastAsia="bg-BG"/>
        </w:rPr>
        <w:t>А2 и това може да причини повишени серумни концентрации на едновременно приложени други субстанции, метаболизирани чрез този ензим (напр. теофилин, клозапин, оланзапин, ропинирол, тизанидин, дулоксетин, агомелатин).</w:t>
      </w:r>
    </w:p>
    <w:p w14:paraId="3DF7B4B9"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Едновременното приложение на ципрофлоксацин и тизанидин е противопоказано.</w:t>
      </w:r>
    </w:p>
    <w:p w14:paraId="62DCFF23"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Следователно, пациентите, приемащи тези субстанции едновременно с ципрофлоксацин, трябва да бъдат вниматело проследявани за клинични признаци на предозиране и може да се наложи определяне на серумните концентрации (напр. на теофилин) (вж. точка 4.5).</w:t>
      </w:r>
    </w:p>
    <w:p w14:paraId="52E76AEC" w14:textId="77777777" w:rsidR="006D4094" w:rsidRPr="006D4094" w:rsidRDefault="006D4094" w:rsidP="006D4094">
      <w:pPr>
        <w:spacing w:line="240" w:lineRule="auto"/>
        <w:rPr>
          <w:rFonts w:eastAsia="Times New Roman" w:cs="Arial"/>
          <w:i/>
          <w:iCs/>
          <w:color w:val="000000"/>
          <w:lang w:eastAsia="bg-BG"/>
        </w:rPr>
      </w:pPr>
    </w:p>
    <w:p w14:paraId="5334CB10" w14:textId="6D32DA23"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Гастроинтестинален тракт</w:t>
      </w:r>
    </w:p>
    <w:p w14:paraId="2B5F0D7D"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 xml:space="preserve">Тежки случаи на псевдомембранозен колит са съобщени по време на лечение с ципрофлоксацин. Тежка и персистираща диария по време или след лечението може да бъде индикация за животозастрашаващ псевдомембранозен колит. Подходящи терапевтични мерки трябва да се вземат, ако се потвърди инфекция с </w:t>
      </w:r>
      <w:r w:rsidRPr="006D4094">
        <w:rPr>
          <w:rFonts w:eastAsia="Times New Roman" w:cs="Arial"/>
          <w:i/>
          <w:iCs/>
          <w:color w:val="000000"/>
          <w:lang w:val="en-US"/>
        </w:rPr>
        <w:t>Clostridium difficile.</w:t>
      </w:r>
      <w:r w:rsidRPr="006D4094">
        <w:rPr>
          <w:rFonts w:eastAsia="Times New Roman" w:cs="Arial"/>
          <w:color w:val="000000"/>
          <w:lang w:val="en-US"/>
        </w:rPr>
        <w:t xml:space="preserve"> </w:t>
      </w:r>
      <w:r w:rsidRPr="006D4094">
        <w:rPr>
          <w:rFonts w:eastAsia="Times New Roman" w:cs="Arial"/>
          <w:color w:val="000000"/>
          <w:lang w:eastAsia="bg-BG"/>
        </w:rPr>
        <w:t>При леките случаи обикновено е достатъчно да се спре лекарственият продукт. Антибактериална терапия може да е необходима понякога (напр. приложение на перорален ванкомицин). Инхибитори на перисталтиката са противопоказани.</w:t>
      </w:r>
    </w:p>
    <w:p w14:paraId="2C407D01" w14:textId="77777777" w:rsidR="006D4094" w:rsidRPr="006D4094" w:rsidRDefault="006D4094" w:rsidP="006D4094">
      <w:pPr>
        <w:spacing w:line="240" w:lineRule="auto"/>
        <w:rPr>
          <w:rFonts w:eastAsia="Times New Roman" w:cs="Arial"/>
          <w:color w:val="000000"/>
          <w:lang w:eastAsia="bg-BG"/>
        </w:rPr>
      </w:pPr>
    </w:p>
    <w:p w14:paraId="789544BB" w14:textId="12FDC378"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Холестатична жълтеница и преходно повишаване на активността на аминотрансферазите и алкалната фосфатаза могат да се наблюдават при пациенти с чернодробна недостатъчност.</w:t>
      </w:r>
    </w:p>
    <w:p w14:paraId="799F0E3C" w14:textId="77777777" w:rsidR="006D4094" w:rsidRPr="006D4094" w:rsidRDefault="006D4094" w:rsidP="006D4094">
      <w:pPr>
        <w:spacing w:line="240" w:lineRule="auto"/>
        <w:rPr>
          <w:rFonts w:eastAsia="Times New Roman" w:cs="Arial"/>
          <w:i/>
          <w:iCs/>
          <w:color w:val="000000"/>
          <w:lang w:eastAsia="bg-BG"/>
        </w:rPr>
      </w:pPr>
    </w:p>
    <w:p w14:paraId="117AAF59" w14:textId="410861DC"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Дисгликемия</w:t>
      </w:r>
    </w:p>
    <w:p w14:paraId="2AA5B516"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lastRenderedPageBreak/>
        <w:t>Както при всички хинолони, има съобщения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 глибенкламцд) или с инсулин. Съобщавани са случаи на хипогликемична кома.</w:t>
      </w:r>
    </w:p>
    <w:p w14:paraId="3220D8F8"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Препоръчва се внимателно проследяване на глюкозата в кръвта при пациенти с диабет.</w:t>
      </w:r>
    </w:p>
    <w:p w14:paraId="102D35D3" w14:textId="77777777" w:rsidR="006D4094" w:rsidRPr="006D4094" w:rsidRDefault="006D4094" w:rsidP="006D4094">
      <w:pPr>
        <w:spacing w:line="240" w:lineRule="auto"/>
        <w:rPr>
          <w:rFonts w:eastAsia="Times New Roman" w:cs="Arial"/>
          <w:i/>
          <w:iCs/>
          <w:color w:val="000000"/>
          <w:lang w:eastAsia="bg-BG"/>
        </w:rPr>
      </w:pPr>
    </w:p>
    <w:p w14:paraId="313082FA" w14:textId="65F2016A"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Нервна система</w:t>
      </w:r>
    </w:p>
    <w:p w14:paraId="2D1D8557"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При пациенти със суспекгни или диагностицирани заболявания на ЦНС, ципрофлоксацин трябва да се прилага внимателно и само ако терапевтичната полза надвишава потенциалния риск. Това особено се отнася за пациенти с напреднал стадий на церебрална атеросклероза, епилепсия, нисък праг на припадъци, анамнеза за припадъци и структурни изменения на мозъка.</w:t>
      </w:r>
    </w:p>
    <w:p w14:paraId="2BE05735" w14:textId="77777777" w:rsidR="006D4094" w:rsidRPr="006D4094" w:rsidRDefault="006D4094" w:rsidP="006D4094">
      <w:pPr>
        <w:spacing w:line="240" w:lineRule="auto"/>
        <w:rPr>
          <w:rFonts w:eastAsia="Times New Roman" w:cs="Arial"/>
          <w:color w:val="000000"/>
          <w:lang w:eastAsia="bg-BG"/>
        </w:rPr>
      </w:pPr>
    </w:p>
    <w:p w14:paraId="39F2768D" w14:textId="77777777" w:rsidR="006D4094" w:rsidRPr="006D4094" w:rsidRDefault="006D4094" w:rsidP="006D4094">
      <w:pPr>
        <w:rPr>
          <w:rFonts w:eastAsia="Times New Roman" w:cs="Arial"/>
          <w:lang w:eastAsia="bg-BG"/>
        </w:rPr>
      </w:pPr>
      <w:r w:rsidRPr="006D4094">
        <w:rPr>
          <w:rFonts w:eastAsia="Times New Roman" w:cs="Arial"/>
          <w:color w:val="000000"/>
          <w:lang w:eastAsia="bg-BG"/>
        </w:rPr>
        <w:t>Хинолоните могат да предизвикат свръхстимулация на ЦНС със симптоми, включващи тремор, възбуда, объркване, загуба на съзнание и халюцинации. Ако се появят някои от изброе</w:t>
      </w:r>
      <w:r w:rsidRPr="006D4094">
        <w:rPr>
          <w:rFonts w:eastAsia="Times New Roman" w:cs="Arial"/>
          <w:color w:val="000000"/>
          <w:u w:val="single"/>
          <w:lang w:eastAsia="bg-BG"/>
        </w:rPr>
        <w:t xml:space="preserve">ните </w:t>
      </w:r>
      <w:r w:rsidRPr="006D4094">
        <w:rPr>
          <w:rFonts w:eastAsia="Times New Roman" w:cs="Arial"/>
          <w:color w:val="000000"/>
          <w:lang w:eastAsia="bg-BG"/>
        </w:rPr>
        <w:t>симптоми, лекарственият продукт трябва да се спре веднага и да се започне подходяща терапия Припадъци, интракраниална хипертензия и психози са наблюдавани при пациенти, лекуивани с ципрофлоксацин. При депресивни и психотични пациенти тези реакции могат да се появят дори след еднократна доза от ципрофлоксацин и в редки случаи могат да прогресират себеувреждащо поведение. В тези случаи ципрофлоксацин трябва да се спре незабавно.</w:t>
      </w:r>
    </w:p>
    <w:p w14:paraId="03BF3D72" w14:textId="77777777" w:rsidR="006D4094" w:rsidRPr="006D4094" w:rsidRDefault="006D4094" w:rsidP="006D4094">
      <w:pPr>
        <w:spacing w:line="240" w:lineRule="auto"/>
        <w:rPr>
          <w:rFonts w:eastAsia="Times New Roman" w:cs="Arial"/>
          <w:i/>
          <w:iCs/>
          <w:color w:val="000000"/>
          <w:lang w:eastAsia="bg-BG"/>
        </w:rPr>
      </w:pPr>
    </w:p>
    <w:p w14:paraId="25BACDAD" w14:textId="48586FA1"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Периферна невропатия</w:t>
      </w:r>
    </w:p>
    <w:p w14:paraId="0A712025"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7525DB3B" w14:textId="77777777" w:rsidR="006D4094" w:rsidRPr="006D4094" w:rsidRDefault="006D4094" w:rsidP="006D4094">
      <w:pPr>
        <w:spacing w:line="240" w:lineRule="auto"/>
        <w:rPr>
          <w:rFonts w:eastAsia="Times New Roman" w:cs="Arial"/>
          <w:i/>
          <w:iCs/>
          <w:color w:val="000000"/>
          <w:lang w:eastAsia="bg-BG"/>
        </w:rPr>
      </w:pPr>
    </w:p>
    <w:p w14:paraId="30EAEB0F" w14:textId="77182A90"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Свръхчувствителност</w:t>
      </w:r>
    </w:p>
    <w:p w14:paraId="3F485A18"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Тежки алергични реакции са наблюдавани при пациенти лекувани с хинолони. Анафилаксия и анафилактоидни реакции могат в много редки случаи да се развият до животозастрашаващ шок. Тези реакции, понякога наблюдавани след първия прием, се появяват заедно с циркулаторен колапс, загуба на съзнание, изтръпване, подуване на лицето и ръцете, диспнея, уртикария и сърбеж. Само малка част от пациентите са с анамнеза за алергия. Тежките алергични реакции изискват незабавно лечение, включващо приложение на епинефрин и други животоподдържащи мерки, като подаване на кислород, интравенозни вливания, антихистамини, кортикостероиди и въздушна вентилация при нужда.</w:t>
      </w:r>
    </w:p>
    <w:p w14:paraId="067B9703" w14:textId="77777777" w:rsidR="006D4094" w:rsidRPr="006D4094" w:rsidRDefault="006D4094" w:rsidP="006D4094">
      <w:pPr>
        <w:spacing w:line="240" w:lineRule="auto"/>
        <w:rPr>
          <w:rFonts w:eastAsia="Times New Roman" w:cs="Arial"/>
          <w:i/>
          <w:iCs/>
          <w:color w:val="000000"/>
          <w:lang w:eastAsia="bg-BG"/>
        </w:rPr>
      </w:pPr>
    </w:p>
    <w:p w14:paraId="55B514AC" w14:textId="5AA4FC9A"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Продължителни, инвалидизиращи и потенциално необратими сериозни нежелани лекарствени реакции</w:t>
      </w:r>
    </w:p>
    <w:p w14:paraId="1EE6EF0A"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 xml:space="preserve">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w:t>
      </w:r>
      <w:r w:rsidRPr="006D4094">
        <w:rPr>
          <w:rFonts w:eastAsia="Times New Roman" w:cs="Arial"/>
          <w:color w:val="000000"/>
          <w:lang w:eastAsia="bg-BG"/>
        </w:rPr>
        <w:lastRenderedPageBreak/>
        <w:t>фактори. Ципрофлоксацин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5EECE20C" w14:textId="77777777" w:rsidR="006D4094" w:rsidRPr="006D4094" w:rsidRDefault="006D4094" w:rsidP="006D4094">
      <w:pPr>
        <w:spacing w:line="240" w:lineRule="auto"/>
        <w:rPr>
          <w:rFonts w:eastAsia="Times New Roman" w:cs="Arial"/>
          <w:i/>
          <w:iCs/>
          <w:color w:val="000000"/>
          <w:lang w:eastAsia="bg-BG"/>
        </w:rPr>
      </w:pPr>
    </w:p>
    <w:p w14:paraId="1C6D2355" w14:textId="4E5CF341"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Реакции на мястото на инжектиране</w:t>
      </w:r>
    </w:p>
    <w:p w14:paraId="21F13F69"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Локални реакции са наблюдавани след интравенозно приложение на ципрофлоксацин. Тези реакции се появяват по-често когато инфузията продължава 30 минути или по-малко и стихват скоро след прекратяването й. Ако такива реакции се появят при последващи инфузии, те не са противопоказани, докато локалните симптоми не се повторят или не станат по-тежки.</w:t>
      </w:r>
    </w:p>
    <w:p w14:paraId="13DEF91E" w14:textId="77777777" w:rsidR="006D4094" w:rsidRPr="006D4094" w:rsidRDefault="006D4094" w:rsidP="006D4094">
      <w:pPr>
        <w:spacing w:line="240" w:lineRule="auto"/>
        <w:rPr>
          <w:rFonts w:eastAsia="Times New Roman" w:cs="Arial"/>
          <w:i/>
          <w:iCs/>
          <w:color w:val="000000"/>
          <w:lang w:eastAsia="bg-BG"/>
        </w:rPr>
      </w:pPr>
    </w:p>
    <w:p w14:paraId="3F1A5638" w14:textId="26833D9A"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Тендинит и разкъсване на сухожилие</w:t>
      </w:r>
    </w:p>
    <w:p w14:paraId="706A6939"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3D53A977"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27CAB4B5" w14:textId="77777777" w:rsidR="006D4094" w:rsidRPr="006D4094" w:rsidRDefault="006D4094" w:rsidP="006D4094">
      <w:pPr>
        <w:spacing w:line="240" w:lineRule="auto"/>
        <w:rPr>
          <w:rFonts w:eastAsia="Times New Roman" w:cs="Arial"/>
          <w:i/>
          <w:iCs/>
          <w:color w:val="000000"/>
          <w:lang w:eastAsia="bg-BG"/>
        </w:rPr>
      </w:pPr>
    </w:p>
    <w:p w14:paraId="4D991A83" w14:textId="40A8D39B"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Кожа и придатъците й</w:t>
      </w:r>
    </w:p>
    <w:p w14:paraId="059AFD18"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 xml:space="preserve">Флуорохинолоните предизвикват реакции на фоточувствителност. Пациентите, приемащи ципрофлоксацин трябва да избягват директно излагане на силна слънчева светлина или </w:t>
      </w:r>
      <w:r w:rsidRPr="006D4094">
        <w:rPr>
          <w:rFonts w:eastAsia="Times New Roman" w:cs="Arial"/>
          <w:color w:val="000000"/>
          <w:lang w:val="en-US"/>
        </w:rPr>
        <w:t>UV</w:t>
      </w:r>
      <w:r w:rsidRPr="006D4094">
        <w:rPr>
          <w:rFonts w:eastAsia="Times New Roman" w:cs="Arial"/>
          <w:color w:val="000000"/>
          <w:lang w:eastAsia="bg-BG"/>
        </w:rPr>
        <w:t>-лъчи. Терапията трябва да се спре при фотосенсибилизация (реакция на кожата, подобна на слънчево изгаряне).</w:t>
      </w:r>
    </w:p>
    <w:p w14:paraId="6091303F" w14:textId="6C07A1E7" w:rsidR="006D4094" w:rsidRPr="006D4094" w:rsidRDefault="006D4094" w:rsidP="006D4094">
      <w:pPr>
        <w:spacing w:line="240" w:lineRule="auto"/>
        <w:rPr>
          <w:rFonts w:eastAsia="Times New Roman" w:cs="Arial"/>
          <w:lang w:eastAsia="bg-BG"/>
        </w:rPr>
      </w:pPr>
    </w:p>
    <w:p w14:paraId="3DEBCB7A" w14:textId="77777777"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Зрителни смущения</w:t>
      </w:r>
    </w:p>
    <w:p w14:paraId="19E9E402"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При нарушение в зрението или други ефекти в очите, веднага трябва да се потърси консултация със специалист - офталмолог.</w:t>
      </w:r>
    </w:p>
    <w:p w14:paraId="17DEB1B3" w14:textId="77777777" w:rsidR="006D4094" w:rsidRPr="006D4094" w:rsidRDefault="006D4094" w:rsidP="006D4094">
      <w:pPr>
        <w:spacing w:line="240" w:lineRule="auto"/>
        <w:rPr>
          <w:rFonts w:eastAsia="Times New Roman" w:cs="Arial"/>
          <w:i/>
          <w:iCs/>
          <w:color w:val="000000"/>
          <w:lang w:eastAsia="bg-BG"/>
        </w:rPr>
      </w:pPr>
    </w:p>
    <w:p w14:paraId="3CDCEEA7" w14:textId="7A8693BD"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Сърдечно-съдова система</w:t>
      </w:r>
    </w:p>
    <w:p w14:paraId="02BC52EA"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Аневризма и дисекация на аортата и регургитация/недостатъчност на сърдечните клапи. Епидемиологични проучвания показват повишен риск от аортна аневризма и дисекация, особено при пациенти в старческа възраст, както и от регургитация на аортната и м игралната клапи след прием на флуорохинолони. Съобщени са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при пациенти, приемащи флуорохинолони (вж. точка 4.8.).</w:t>
      </w:r>
    </w:p>
    <w:p w14:paraId="0BDA4E0E" w14:textId="77777777" w:rsidR="006D4094" w:rsidRPr="006D4094" w:rsidRDefault="006D4094" w:rsidP="006D4094">
      <w:pPr>
        <w:spacing w:line="240" w:lineRule="auto"/>
        <w:rPr>
          <w:rFonts w:eastAsia="Times New Roman" w:cs="Arial"/>
          <w:color w:val="000000"/>
          <w:lang w:eastAsia="bg-BG"/>
        </w:rPr>
      </w:pPr>
    </w:p>
    <w:p w14:paraId="0DC5911C" w14:textId="5553D334"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 xml:space="preserve">Следователно, флуорохинолоните трябва да се използват след внимателна преценка на съотношението полза/риск и след като се вземат предвид други терапевтични възможности при пациенти с положителна фамилна анамнеза за аневрични заболявания или вродено заболяване на сърдечните клапи или при пациенти, диагностицирани с предшестваща аневризма на аортата и/или аортна дисекация, или заболяване на </w:t>
      </w:r>
      <w:r w:rsidRPr="006D4094">
        <w:rPr>
          <w:rFonts w:eastAsia="Times New Roman" w:cs="Arial"/>
          <w:color w:val="000000"/>
          <w:lang w:eastAsia="bg-BG"/>
        </w:rPr>
        <w:lastRenderedPageBreak/>
        <w:t>сърдечните клапи, или при съществуване на други рискови фактори или състояния, предразполагащи</w:t>
      </w:r>
    </w:p>
    <w:p w14:paraId="680C4C8E" w14:textId="77777777" w:rsidR="006D4094" w:rsidRPr="006D4094" w:rsidRDefault="006D4094" w:rsidP="006D4094">
      <w:pPr>
        <w:pStyle w:val="ListParagraph"/>
        <w:numPr>
          <w:ilvl w:val="0"/>
          <w:numId w:val="2"/>
        </w:numPr>
        <w:spacing w:line="240" w:lineRule="auto"/>
        <w:rPr>
          <w:rFonts w:eastAsia="Times New Roman" w:cs="Arial"/>
          <w:lang w:eastAsia="bg-BG"/>
        </w:rPr>
      </w:pPr>
      <w:r w:rsidRPr="006D4094">
        <w:rPr>
          <w:rFonts w:eastAsia="Times New Roman" w:cs="Arial"/>
          <w:color w:val="000000"/>
          <w:lang w:eastAsia="bg-BG"/>
        </w:rPr>
        <w:t>както към аневризма и дисекация на аортата така и към регургитация на сърдечните клапи (нарушения на съединителната тъкан, напр. синдром на Марфан или синдром на Елерс Данлос, синдром на Търнър, болест на Бехчет, хипертония, ревматоиден артрит) или допълнително</w:t>
      </w:r>
    </w:p>
    <w:p w14:paraId="6AB884D1" w14:textId="77777777" w:rsidR="006D4094" w:rsidRPr="006D4094" w:rsidRDefault="006D4094" w:rsidP="006D4094">
      <w:pPr>
        <w:pStyle w:val="ListParagraph"/>
        <w:numPr>
          <w:ilvl w:val="0"/>
          <w:numId w:val="2"/>
        </w:numPr>
        <w:spacing w:line="240" w:lineRule="auto"/>
        <w:rPr>
          <w:rFonts w:eastAsia="Times New Roman" w:cs="Arial"/>
          <w:lang w:eastAsia="bg-BG"/>
        </w:rPr>
      </w:pPr>
      <w:r w:rsidRPr="006D4094">
        <w:rPr>
          <w:rFonts w:eastAsia="Times New Roman" w:cs="Arial"/>
          <w:color w:val="000000"/>
          <w:lang w:eastAsia="bg-BG"/>
        </w:rPr>
        <w:t>при аневризма и дисекация на аортата (напр. съдови нарушения като артериит на Такаясу, гигантоклетъчен артериит, или известна атеросклероза, или синдром на Сьогрен), или допълнително</w:t>
      </w:r>
    </w:p>
    <w:p w14:paraId="296F537E" w14:textId="7A961535" w:rsidR="006D4094" w:rsidRPr="006D4094" w:rsidRDefault="006D4094" w:rsidP="006D4094">
      <w:pPr>
        <w:pStyle w:val="ListParagraph"/>
        <w:numPr>
          <w:ilvl w:val="0"/>
          <w:numId w:val="2"/>
        </w:numPr>
        <w:spacing w:line="240" w:lineRule="auto"/>
        <w:rPr>
          <w:rFonts w:eastAsia="Times New Roman" w:cs="Arial"/>
          <w:lang w:eastAsia="bg-BG"/>
        </w:rPr>
      </w:pPr>
      <w:r w:rsidRPr="006D4094">
        <w:rPr>
          <w:rFonts w:eastAsia="Times New Roman" w:cs="Arial"/>
          <w:color w:val="000000"/>
          <w:lang w:eastAsia="bg-BG"/>
        </w:rPr>
        <w:t>при регургитация/на сърдечните клапи (напр. инфекциозен ендокардит).</w:t>
      </w:r>
    </w:p>
    <w:p w14:paraId="0D1E8383" w14:textId="77777777" w:rsidR="006D4094" w:rsidRPr="006D4094" w:rsidRDefault="006D4094" w:rsidP="006D4094">
      <w:pPr>
        <w:spacing w:line="240" w:lineRule="auto"/>
        <w:rPr>
          <w:rFonts w:eastAsia="Times New Roman" w:cs="Arial"/>
          <w:color w:val="000000"/>
          <w:lang w:eastAsia="bg-BG"/>
        </w:rPr>
      </w:pPr>
    </w:p>
    <w:p w14:paraId="2EE2D427" w14:textId="43CC3BCA"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Рискът от аневризма и дисекация на аортата и тяхното разкъсванеможе също да се повиши при пациенти, лекувани едновременно със системни кортикостероиди.</w:t>
      </w:r>
    </w:p>
    <w:p w14:paraId="4EF1ABAB"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В случай на внезапна болка в корема, гърдите или гърба, пациентите трябва да бъдат посъветвани незабавно да се обърнат към лекар в спешно отделение.</w:t>
      </w:r>
    </w:p>
    <w:p w14:paraId="28538E3F"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52042643" w14:textId="77777777" w:rsidR="006D4094" w:rsidRPr="006D4094" w:rsidRDefault="006D4094" w:rsidP="006D4094">
      <w:pPr>
        <w:spacing w:line="240" w:lineRule="auto"/>
        <w:rPr>
          <w:rFonts w:eastAsia="Times New Roman" w:cs="Arial"/>
          <w:i/>
          <w:iCs/>
          <w:color w:val="000000"/>
          <w:lang w:eastAsia="bg-BG"/>
        </w:rPr>
      </w:pPr>
    </w:p>
    <w:p w14:paraId="2884D989" w14:textId="66A7E4DF"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Допълнителни данни</w:t>
      </w:r>
    </w:p>
    <w:p w14:paraId="0B9A1DA9"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Ципрофлав, концентрат за разтвор за инфузия може да се разрежда в 0,9% разтвор на натриев хлорид или 5% разтвор на глюкоза. Съдържанието на натрий в разтворителя трябва да се има предвид, когато се пресмята общото съдържание на натрий в приготвения разтвор на продукта. За по-подробна информация относно натриевото съдържание в разтвора, използван за разреждане на продукта, отнесете се до кратката му характеристика.</w:t>
      </w:r>
    </w:p>
    <w:p w14:paraId="002C7452" w14:textId="3CF4D254" w:rsidR="006D4094" w:rsidRPr="006D4094" w:rsidRDefault="006D4094" w:rsidP="006D4094"/>
    <w:p w14:paraId="1DA47448" w14:textId="2143527D"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EC0384A" w14:textId="1F3C2F2C" w:rsidR="006D4094" w:rsidRDefault="006D4094" w:rsidP="006D4094"/>
    <w:p w14:paraId="26502810"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Едновременното приложение на омепразол и ципрофлоксацин предизвиква леко понижение на С</w:t>
      </w:r>
      <w:r w:rsidRPr="006D4094">
        <w:rPr>
          <w:rFonts w:eastAsia="Times New Roman" w:cs="Arial"/>
          <w:color w:val="000000"/>
          <w:vertAlign w:val="subscript"/>
          <w:lang w:val="en-US"/>
        </w:rPr>
        <w:t>max</w:t>
      </w:r>
      <w:r w:rsidRPr="006D4094">
        <w:rPr>
          <w:rFonts w:eastAsia="Times New Roman" w:cs="Arial"/>
          <w:color w:val="000000"/>
          <w:lang w:eastAsia="bg-BG"/>
        </w:rPr>
        <w:t xml:space="preserve"> и </w:t>
      </w:r>
      <w:r w:rsidRPr="006D4094">
        <w:rPr>
          <w:rFonts w:eastAsia="Times New Roman" w:cs="Arial"/>
          <w:color w:val="000000"/>
          <w:lang w:val="en-US"/>
        </w:rPr>
        <w:t xml:space="preserve">AUC </w:t>
      </w:r>
      <w:r w:rsidRPr="006D4094">
        <w:rPr>
          <w:rFonts w:eastAsia="Times New Roman" w:cs="Arial"/>
          <w:color w:val="000000"/>
          <w:lang w:eastAsia="bg-BG"/>
        </w:rPr>
        <w:t>на ципрофлоксацин.</w:t>
      </w:r>
    </w:p>
    <w:p w14:paraId="67C6772C"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Ципрофлоксацин потиска метаболизма на теофилин и може да доведе до повишаване на теофилиновите нива с риск от сериозни нежелани реакции. Тежки нежелани реакции са съобщени, включително сърдечен арест, конвулсии, статус епилептикус и дихателна недостатъчност. Въпреки че такива симптоми са наблюдавани и при самостоятелно приложение на теофилин, не може да се изключи ролята на ципрофлоксацин за повишаване на риска от появата им, тъй като той потиска метаболизма на теофилин и така води до повишаване на неговите нива. Въпреки това, ако се налага едновременно приложение на теофилин и ципрофлоксацин, трябва да се мониторират серумните нива на теофилин и да се избере подходящата дозировка.</w:t>
      </w:r>
    </w:p>
    <w:p w14:paraId="18F8E8FC"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Изследвания при животни показват, че едновременното приложение на ципрофлоксацин и някои несгероидни противовъзпалителни средства (напр. фенбуфен, но не и ацетилсалицилова киселина) могат да доведат до конвулсии. Не е известно дали това взаимодействие се появява при хора.</w:t>
      </w:r>
    </w:p>
    <w:p w14:paraId="2ADB3284"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Едновременното приложение на ципрофлоксацин и циклоспорин може да доведе до преходно повишаване на серумния креатинин. Поради това се препоръчва мониториране на серумните креатининови нива 2 пъти седмично.</w:t>
      </w:r>
    </w:p>
    <w:p w14:paraId="6221613D"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lastRenderedPageBreak/>
        <w:t>Хинолоните усилват антикоагулантния ефект на варфарин (и потенцират други орални антикоагуланти).</w:t>
      </w:r>
    </w:p>
    <w:p w14:paraId="1C30B310"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Едновременното приложение на някои хинолони (включително ципрофлоксацин) и глибенкламид в редки случаи може да предизвика сигнификантна хипогликемия.</w:t>
      </w:r>
    </w:p>
    <w:p w14:paraId="307B3FA0"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Пробенецид редуцира клирънса на ципрофлоксацин и води до повишаване на серумните му нива.</w:t>
      </w:r>
    </w:p>
    <w:p w14:paraId="6E75437E"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Метоклопрамид повишава абсорбцията на ципрофлоксацин, което води до намаляване на времето за достигане на максимални серумни нива (С</w:t>
      </w:r>
      <w:r w:rsidRPr="006D4094">
        <w:rPr>
          <w:rFonts w:eastAsia="Times New Roman" w:cs="Arial"/>
          <w:color w:val="000000"/>
          <w:vertAlign w:val="subscript"/>
          <w:lang w:val="en-US"/>
        </w:rPr>
        <w:t>max</w:t>
      </w:r>
      <w:r w:rsidRPr="006D4094">
        <w:rPr>
          <w:rFonts w:eastAsia="Times New Roman" w:cs="Arial"/>
          <w:color w:val="000000"/>
          <w:lang w:eastAsia="bg-BG"/>
        </w:rPr>
        <w:t>) без да повлиява неговата бионаличност.</w:t>
      </w:r>
    </w:p>
    <w:p w14:paraId="431A2F56"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Едновременното приложение на ципрофлоксацин и мексилетин може да доведе до повишени нива на мексилетин.</w:t>
      </w:r>
    </w:p>
    <w:p w14:paraId="79A4F021"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Едновременното приложение с фенитоин може да доведе до увеличаване или редукция на кръвните нива на фенитоин.</w:t>
      </w:r>
    </w:p>
    <w:p w14:paraId="0DB786BF"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Едновременното приложение с диазепам потиска метаболизма на диазепам (понижен клирънс, удължен полуживот). Поради това е необходимо внимателно мониториране при пациенти получаващи ципрофлоксацин и диазепам.</w:t>
      </w:r>
    </w:p>
    <w:p w14:paraId="166D7B1A"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 xml:space="preserve">Реналният тубуларен </w:t>
      </w:r>
      <w:r w:rsidRPr="006D4094">
        <w:rPr>
          <w:rFonts w:eastAsia="Times New Roman" w:cs="Arial"/>
          <w:i/>
          <w:iCs/>
          <w:color w:val="000000"/>
          <w:lang w:eastAsia="bg-BG"/>
        </w:rPr>
        <w:t>транспорт на метотрексат може</w:t>
      </w:r>
      <w:r w:rsidRPr="006D4094">
        <w:rPr>
          <w:rFonts w:eastAsia="Times New Roman" w:cs="Arial"/>
          <w:color w:val="000000"/>
          <w:lang w:eastAsia="bg-BG"/>
        </w:rPr>
        <w:t xml:space="preserve"> да се потисне при едновременно приложение с ципрофлоксацин, което води до повишаване на серумните нива на метотрексат. Това може да повиши риска от метотрексат асоциирани токсични реакции. Поради това се препоръчва внимателно мониториране при пациенти, получаващи тези две лекарства.</w:t>
      </w:r>
    </w:p>
    <w:p w14:paraId="460E957E"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Повишаване на серумния тизанидин е наблюдавано при едновременна употреба с ципрофлоксацин (средно повишение на С</w:t>
      </w:r>
      <w:r w:rsidRPr="006D4094">
        <w:rPr>
          <w:rFonts w:eastAsia="Times New Roman" w:cs="Arial"/>
          <w:color w:val="000000"/>
          <w:lang w:val="en-US"/>
        </w:rPr>
        <w:t>max</w:t>
      </w:r>
      <w:r w:rsidRPr="006D4094">
        <w:rPr>
          <w:rFonts w:eastAsia="Times New Roman" w:cs="Arial"/>
          <w:color w:val="000000"/>
          <w:lang w:eastAsia="bg-BG"/>
        </w:rPr>
        <w:t xml:space="preserve">: 7 пъти, обхват: 4 до 21 пъти; средно повишение на </w:t>
      </w:r>
      <w:r w:rsidRPr="006D4094">
        <w:rPr>
          <w:rFonts w:eastAsia="Times New Roman" w:cs="Arial"/>
          <w:color w:val="000000"/>
          <w:lang w:val="en-US"/>
        </w:rPr>
        <w:t xml:space="preserve">AUC: </w:t>
      </w:r>
      <w:r w:rsidRPr="006D4094">
        <w:rPr>
          <w:rFonts w:eastAsia="Times New Roman" w:cs="Arial"/>
          <w:color w:val="000000"/>
          <w:lang w:eastAsia="bg-BG"/>
        </w:rPr>
        <w:t>10 пъти, обхват: 6 до 24 пъти). Повишените нива на тизанидин са причина за хипотензивни и седативни ефекти. Тизанидин не трябва да се използва заедно с ципрофлоксацин.</w:t>
      </w:r>
    </w:p>
    <w:p w14:paraId="47AE2324"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 xml:space="preserve">Съвместната употреба на дулоксетин с инхибитори на </w:t>
      </w:r>
      <w:r w:rsidRPr="006D4094">
        <w:rPr>
          <w:rFonts w:eastAsia="Times New Roman" w:cs="Arial"/>
          <w:color w:val="000000"/>
          <w:lang w:val="en-US"/>
        </w:rPr>
        <w:t xml:space="preserve">CYP450 </w:t>
      </w:r>
      <w:r w:rsidRPr="006D4094">
        <w:rPr>
          <w:rFonts w:eastAsia="Times New Roman" w:cs="Arial"/>
          <w:color w:val="000000"/>
          <w:lang w:eastAsia="bg-BG"/>
        </w:rPr>
        <w:t xml:space="preserve">1А2 изоензима като флувоксамин води до повишаване на </w:t>
      </w:r>
      <w:r w:rsidRPr="006D4094">
        <w:rPr>
          <w:rFonts w:eastAsia="Times New Roman" w:cs="Arial"/>
          <w:color w:val="000000"/>
          <w:lang w:val="en-US"/>
        </w:rPr>
        <w:t xml:space="preserve">AUC </w:t>
      </w:r>
      <w:r w:rsidRPr="006D4094">
        <w:rPr>
          <w:rFonts w:eastAsia="Times New Roman" w:cs="Arial"/>
          <w:color w:val="000000"/>
          <w:lang w:eastAsia="bg-BG"/>
        </w:rPr>
        <w:t>и С</w:t>
      </w:r>
      <w:r w:rsidRPr="006D4094">
        <w:rPr>
          <w:rFonts w:eastAsia="Times New Roman" w:cs="Arial"/>
          <w:color w:val="000000"/>
          <w:lang w:val="en-US"/>
        </w:rPr>
        <w:t>max</w:t>
      </w:r>
      <w:r w:rsidRPr="006D4094">
        <w:rPr>
          <w:rFonts w:eastAsia="Times New Roman" w:cs="Arial"/>
          <w:color w:val="000000"/>
          <w:lang w:eastAsia="bg-BG"/>
        </w:rPr>
        <w:t xml:space="preserve"> на дулоксетин. Въпреки, че няма налични клинични данни за възможно такова взаимодействие с ципрофлоксацин, подобни ефекти могат да се очакват при едновременно приложение.</w:t>
      </w:r>
    </w:p>
    <w:p w14:paraId="40450E13" w14:textId="77777777"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 xml:space="preserve">Агомелатин - в клинични проучвания е показано, че флувоксамин, като силен инхибитор на </w:t>
      </w:r>
      <w:r w:rsidRPr="006D4094">
        <w:rPr>
          <w:rFonts w:eastAsia="Times New Roman" w:cs="Arial"/>
          <w:color w:val="000000"/>
          <w:lang w:val="en-US"/>
        </w:rPr>
        <w:t xml:space="preserve">CYP450 </w:t>
      </w:r>
      <w:r w:rsidRPr="006D4094">
        <w:rPr>
          <w:rFonts w:eastAsia="Times New Roman" w:cs="Arial"/>
          <w:color w:val="000000"/>
          <w:lang w:eastAsia="bg-BG"/>
        </w:rPr>
        <w:t xml:space="preserve">1А2 изоензима, забележимо повлиява метаболизма на агомелатин, което дава като резултат 60-кратно повишение на експозицията на агомелатин. Въпреки че няма клинични данни за възможно взаимодействие с ципрофлоксацин, който е умерен инхибитор на </w:t>
      </w:r>
      <w:r w:rsidRPr="006D4094">
        <w:rPr>
          <w:rFonts w:eastAsia="Times New Roman" w:cs="Arial"/>
          <w:color w:val="000000"/>
          <w:lang w:val="en-US"/>
        </w:rPr>
        <w:t xml:space="preserve">CYP450 </w:t>
      </w:r>
      <w:r w:rsidRPr="006D4094">
        <w:rPr>
          <w:rFonts w:eastAsia="Times New Roman" w:cs="Arial"/>
          <w:color w:val="000000"/>
          <w:lang w:eastAsia="bg-BG"/>
        </w:rPr>
        <w:t>1А2, могат да бъдат очаквани сходни ефекти при едновременно приложение (вж. ‘Цитохром Р450’ в точка ‘Специални предупреждения и предпазни мерки за употреба’).</w:t>
      </w:r>
    </w:p>
    <w:p w14:paraId="3B34E39D" w14:textId="6184D750" w:rsidR="006D4094" w:rsidRPr="006D4094" w:rsidRDefault="006D4094" w:rsidP="006D4094">
      <w:pPr>
        <w:pStyle w:val="ListParagraph"/>
        <w:numPr>
          <w:ilvl w:val="0"/>
          <w:numId w:val="41"/>
        </w:numPr>
        <w:spacing w:line="240" w:lineRule="auto"/>
        <w:rPr>
          <w:rFonts w:eastAsia="Times New Roman" w:cs="Arial"/>
          <w:color w:val="000000"/>
          <w:lang w:eastAsia="bg-BG"/>
        </w:rPr>
      </w:pPr>
      <w:r w:rsidRPr="006D4094">
        <w:rPr>
          <w:rFonts w:eastAsia="Times New Roman" w:cs="Arial"/>
          <w:color w:val="000000"/>
          <w:lang w:eastAsia="bg-BG"/>
        </w:rPr>
        <w:t>Золпидем - едновременното приложение на ципрофлоксацин може да повиши нивата в кръвта на золпидем, поради това едновременната употреба не се препоръчва.</w:t>
      </w:r>
    </w:p>
    <w:p w14:paraId="25DF8E21" w14:textId="77777777" w:rsidR="006D4094" w:rsidRPr="006D4094" w:rsidRDefault="006D4094" w:rsidP="006D4094"/>
    <w:p w14:paraId="48846BBA" w14:textId="1894E021" w:rsidR="009F77A4" w:rsidRDefault="002C50EE" w:rsidP="00387A66">
      <w:pPr>
        <w:pStyle w:val="Heading2"/>
      </w:pPr>
      <w:r>
        <w:t>4.6. Фертилитет, бременност и кърмене</w:t>
      </w:r>
    </w:p>
    <w:p w14:paraId="2266FF79" w14:textId="6463823F" w:rsidR="006D4094" w:rsidRDefault="006D4094" w:rsidP="006D4094"/>
    <w:p w14:paraId="0FBCF678" w14:textId="77777777" w:rsidR="006D4094" w:rsidRPr="006D4094" w:rsidRDefault="006D4094" w:rsidP="006D4094">
      <w:pPr>
        <w:rPr>
          <w:sz w:val="24"/>
          <w:szCs w:val="24"/>
          <w:lang w:eastAsia="bg-BG"/>
        </w:rPr>
      </w:pPr>
      <w:r w:rsidRPr="006D4094">
        <w:rPr>
          <w:lang w:eastAsia="bg-BG"/>
        </w:rPr>
        <w:t>Ципрофлоксацин е противопоказан при бременност. Няма налични данни от проучвания за безопасността на ципрофлоксацин при бременни жени. Негативните ефекти на ципрофлоксацин върху ставния хрущял при незрели индивиди не са потвърдени при изследвания върху живо</w:t>
      </w:r>
      <w:r w:rsidRPr="006D4094">
        <w:rPr>
          <w:u w:val="single"/>
          <w:lang w:eastAsia="bg-BG"/>
        </w:rPr>
        <w:t xml:space="preserve">тни. </w:t>
      </w:r>
      <w:r w:rsidRPr="006D4094">
        <w:rPr>
          <w:lang w:eastAsia="bg-BG"/>
        </w:rPr>
        <w:t>Тератогенни ефекти (вродени заболявания) не са наблюдавани при експериментални изследвания върху животни.</w:t>
      </w:r>
    </w:p>
    <w:p w14:paraId="3E71082A" w14:textId="77777777" w:rsidR="006D4094" w:rsidRDefault="006D4094" w:rsidP="006D4094">
      <w:pPr>
        <w:rPr>
          <w:lang w:eastAsia="bg-BG"/>
        </w:rPr>
      </w:pPr>
    </w:p>
    <w:p w14:paraId="58889B0E" w14:textId="1E12486C" w:rsidR="006D4094" w:rsidRPr="006D4094" w:rsidRDefault="006D4094" w:rsidP="006D4094">
      <w:r w:rsidRPr="006D4094">
        <w:rPr>
          <w:lang w:eastAsia="bg-BG"/>
        </w:rPr>
        <w:t>Ципрофлоксацин не трябва да се използва по време на кърмене.</w:t>
      </w:r>
    </w:p>
    <w:p w14:paraId="321AAB00" w14:textId="336FDBD6" w:rsidR="009F77A4" w:rsidRDefault="002C50EE" w:rsidP="00387A66">
      <w:pPr>
        <w:pStyle w:val="Heading2"/>
      </w:pPr>
      <w:r>
        <w:t>4.7. Ефекти върху способността за шофиране и работа с машини</w:t>
      </w:r>
    </w:p>
    <w:p w14:paraId="65515F88" w14:textId="7DCAC67C" w:rsidR="006D4094" w:rsidRDefault="006D4094" w:rsidP="006D4094"/>
    <w:p w14:paraId="672D7A55" w14:textId="36B00189" w:rsidR="006D4094" w:rsidRDefault="006D4094" w:rsidP="006D4094">
      <w:pPr>
        <w:rPr>
          <w:lang w:eastAsia="bg-BG"/>
        </w:rPr>
      </w:pPr>
      <w:r w:rsidRPr="006D4094">
        <w:rPr>
          <w:lang w:eastAsia="bg-BG"/>
        </w:rPr>
        <w:t>Дори когато се приема стриктно според лекарското предписание, ципрофлоксацин може да повлияе върху способността за шофиране и работата с машини. Този ефект се потенцира от алкохол.</w:t>
      </w:r>
    </w:p>
    <w:p w14:paraId="1937A642" w14:textId="77777777" w:rsidR="006D4094" w:rsidRPr="006D4094" w:rsidRDefault="006D4094" w:rsidP="006D4094">
      <w:pPr>
        <w:rPr>
          <w:sz w:val="24"/>
          <w:szCs w:val="24"/>
          <w:lang w:eastAsia="bg-BG"/>
        </w:rPr>
      </w:pPr>
    </w:p>
    <w:p w14:paraId="136C86B8" w14:textId="06F20261" w:rsidR="009F77A4" w:rsidRDefault="002C50EE" w:rsidP="00387A66">
      <w:pPr>
        <w:pStyle w:val="Heading2"/>
      </w:pPr>
      <w:r>
        <w:t>4.8. Нежелани лекарствени реакции</w:t>
      </w:r>
    </w:p>
    <w:p w14:paraId="0D51F2E5" w14:textId="1BE002C0" w:rsidR="006D4094" w:rsidRDefault="006D4094" w:rsidP="006D4094"/>
    <w:p w14:paraId="294122E8"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Нежеланите реакции са разределени според честотата на появата им:</w:t>
      </w:r>
    </w:p>
    <w:p w14:paraId="42E4D49B" w14:textId="77777777"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Много чести (≥1/10), чести (≥1/100 до &lt;1/10), нечести (≥1/1 000 до &lt;1/100), редки (≥1/10 000 до &lt;1/1 000), много редки (&lt;1/10 000), с неизвестна честота (честотата не може да се определи от наличните данни).</w:t>
      </w:r>
    </w:p>
    <w:p w14:paraId="2B57E5DB" w14:textId="77777777" w:rsidR="006D4094" w:rsidRPr="008D1663" w:rsidRDefault="006D4094" w:rsidP="006D4094">
      <w:pPr>
        <w:spacing w:line="240" w:lineRule="auto"/>
        <w:rPr>
          <w:rFonts w:eastAsia="Times New Roman" w:cs="Arial"/>
          <w:i/>
          <w:iCs/>
          <w:color w:val="000000"/>
          <w:lang w:eastAsia="bg-BG"/>
        </w:rPr>
      </w:pPr>
    </w:p>
    <w:p w14:paraId="5FBD0C3B" w14:textId="08A48A3C"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Стомашно-чревни нарушения</w:t>
      </w:r>
    </w:p>
    <w:p w14:paraId="4B2BE430"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Чести: гадене, диария</w:t>
      </w:r>
    </w:p>
    <w:p w14:paraId="66873846"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 xml:space="preserve">Нечести: повишена активност на чернодробните ензими -аминотрансферази </w:t>
      </w:r>
      <w:r w:rsidRPr="008D1663">
        <w:rPr>
          <w:rFonts w:eastAsia="Times New Roman" w:cs="Arial"/>
          <w:color w:val="000000"/>
          <w:lang w:val="en-US"/>
        </w:rPr>
        <w:t>(</w:t>
      </w:r>
      <w:proofErr w:type="spellStart"/>
      <w:r w:rsidRPr="008D1663">
        <w:rPr>
          <w:rFonts w:eastAsia="Times New Roman" w:cs="Arial"/>
          <w:color w:val="000000"/>
          <w:lang w:val="en-US"/>
        </w:rPr>
        <w:t>AspAT</w:t>
      </w:r>
      <w:proofErr w:type="spellEnd"/>
      <w:r w:rsidRPr="008D1663">
        <w:rPr>
          <w:rFonts w:eastAsia="Times New Roman" w:cs="Arial"/>
          <w:color w:val="000000"/>
          <w:lang w:val="en-US"/>
        </w:rPr>
        <w:t xml:space="preserve">, </w:t>
      </w:r>
      <w:r w:rsidRPr="008D1663">
        <w:rPr>
          <w:rFonts w:eastAsia="Times New Roman" w:cs="Arial"/>
          <w:color w:val="000000"/>
          <w:lang w:eastAsia="bg-BG"/>
        </w:rPr>
        <w:t>А1АТ) и алкална фосфатаза, абнормни изследвания на черния дроб, повръщане, стомашно разстройство, загуба на апетит, флатуленция, билирубинемия.</w:t>
      </w:r>
    </w:p>
    <w:p w14:paraId="595DCC57"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гъбичка инфекция на устата, жълтеница, холестатична жълтеница, диария, свързана с антибиотици, вкл. псевдомембранозен колит (много рядко с възможен фатален изход) (вж. точка 4.4).</w:t>
      </w:r>
    </w:p>
    <w:p w14:paraId="684C4BCA" w14:textId="2E17928C"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гъбичка инфекция на храносмилателната система, хепатит, чернодробна некроза (много рядко прогресираща до животозасрашаваща чернодробна недостатъчност), тежък животозастрашаващ псевдомембранозен колит, панкреатит.</w:t>
      </w:r>
    </w:p>
    <w:p w14:paraId="6B1C3734" w14:textId="77777777" w:rsidR="006D4094" w:rsidRPr="008D1663" w:rsidRDefault="006D4094" w:rsidP="006D4094">
      <w:pPr>
        <w:spacing w:line="240" w:lineRule="auto"/>
        <w:rPr>
          <w:rFonts w:eastAsia="Times New Roman" w:cs="Arial"/>
          <w:i/>
          <w:iCs/>
          <w:color w:val="000000"/>
          <w:lang w:eastAsia="bg-BG"/>
        </w:rPr>
      </w:pPr>
    </w:p>
    <w:p w14:paraId="52047DD7" w14:textId="7E750A61"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Психични нарушения*</w:t>
      </w:r>
    </w:p>
    <w:p w14:paraId="115C8BCE" w14:textId="582E40DF"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С неизвестна честота: мания, хипомания.</w:t>
      </w:r>
    </w:p>
    <w:p w14:paraId="7A830681" w14:textId="77777777" w:rsidR="006D4094" w:rsidRPr="008D1663" w:rsidRDefault="006D4094" w:rsidP="006D4094">
      <w:pPr>
        <w:spacing w:line="240" w:lineRule="auto"/>
        <w:rPr>
          <w:rFonts w:eastAsia="Times New Roman" w:cs="Arial"/>
          <w:i/>
          <w:iCs/>
          <w:color w:val="000000"/>
          <w:lang w:eastAsia="bg-BG"/>
        </w:rPr>
      </w:pPr>
    </w:p>
    <w:p w14:paraId="266C2A7D" w14:textId="347EAB6B"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нервната система*</w:t>
      </w:r>
    </w:p>
    <w:p w14:paraId="0D17761B"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главоболие, световъртеж, безсъние, възбуда, объркване</w:t>
      </w:r>
    </w:p>
    <w:p w14:paraId="298C3F18"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халюцинации, обилно изпотяване, парестезии, тревожност, нарушения на съня (кошмари), депресия, тремор, конвулсии, отслабени сухожилни рефлекси</w:t>
      </w:r>
    </w:p>
    <w:p w14:paraId="5CE9564A" w14:textId="3638511B"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гранд мал конвулсии, абнормна походка, психоза, интракраниална хипертензия, атаксия, усилени сухожилни рефлекси, хипертония, тремор.</w:t>
      </w:r>
    </w:p>
    <w:p w14:paraId="081609C0" w14:textId="77777777" w:rsidR="006D4094" w:rsidRPr="008D1663" w:rsidRDefault="006D4094" w:rsidP="006D4094">
      <w:pPr>
        <w:spacing w:line="240" w:lineRule="auto"/>
        <w:rPr>
          <w:rFonts w:eastAsia="Times New Roman" w:cs="Arial"/>
          <w:i/>
          <w:iCs/>
          <w:color w:val="000000"/>
          <w:lang w:eastAsia="bg-BG"/>
        </w:rPr>
      </w:pPr>
    </w:p>
    <w:p w14:paraId="7EA04CFE" w14:textId="045D3DBC"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очите*</w:t>
      </w:r>
    </w:p>
    <w:p w14:paraId="53CCE874"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зрителни нарушения (например диплопия, двойно виждане)</w:t>
      </w:r>
    </w:p>
    <w:p w14:paraId="05F5B93F" w14:textId="501BC121"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нарушения на цветното зрение</w:t>
      </w:r>
    </w:p>
    <w:p w14:paraId="1C67CDE0" w14:textId="77777777" w:rsidR="006D4094" w:rsidRPr="008D1663" w:rsidRDefault="006D4094" w:rsidP="006D4094">
      <w:pPr>
        <w:spacing w:line="240" w:lineRule="auto"/>
        <w:rPr>
          <w:rFonts w:eastAsia="Times New Roman" w:cs="Arial"/>
          <w:i/>
          <w:iCs/>
          <w:color w:val="000000"/>
          <w:lang w:eastAsia="bg-BG"/>
        </w:rPr>
      </w:pPr>
    </w:p>
    <w:p w14:paraId="3ED06846" w14:textId="76FE7F55"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Сърдечни и съдови нарушения**</w:t>
      </w:r>
    </w:p>
    <w:p w14:paraId="5A5AA70A"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тромбофлебит</w:t>
      </w:r>
    </w:p>
    <w:p w14:paraId="5BC6BB8F"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lastRenderedPageBreak/>
        <w:t>Редки: тахикардия, мигрена, синкоп, вазодилатация (топлинен стрес), хипотония</w:t>
      </w:r>
    </w:p>
    <w:p w14:paraId="6A08FAC4" w14:textId="524C7F91"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васкулит (петехии, хеморагични були, папули, крусти)</w:t>
      </w:r>
    </w:p>
    <w:p w14:paraId="5CAD6D9C" w14:textId="77777777" w:rsidR="006D4094" w:rsidRPr="008D1663" w:rsidRDefault="006D4094" w:rsidP="006D4094">
      <w:pPr>
        <w:spacing w:line="240" w:lineRule="auto"/>
        <w:rPr>
          <w:rFonts w:eastAsia="Times New Roman" w:cs="Arial"/>
          <w:i/>
          <w:iCs/>
          <w:color w:val="000000"/>
          <w:lang w:eastAsia="bg-BG"/>
        </w:rPr>
      </w:pPr>
    </w:p>
    <w:p w14:paraId="7589190D" w14:textId="72164DA3"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ухото и лабиринта*</w:t>
      </w:r>
    </w:p>
    <w:p w14:paraId="2792FE7C" w14:textId="36A9510C"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шум в ушите, преходна загуба на слуха (особено във високите честоти)</w:t>
      </w:r>
    </w:p>
    <w:p w14:paraId="084964E9" w14:textId="77777777" w:rsidR="006D4094" w:rsidRPr="008D1663" w:rsidRDefault="006D4094" w:rsidP="006D4094">
      <w:pPr>
        <w:spacing w:line="240" w:lineRule="auto"/>
        <w:rPr>
          <w:rFonts w:eastAsia="Times New Roman" w:cs="Arial"/>
          <w:i/>
          <w:iCs/>
          <w:color w:val="000000"/>
          <w:lang w:eastAsia="bg-BG"/>
        </w:rPr>
      </w:pPr>
    </w:p>
    <w:p w14:paraId="4D39B124" w14:textId="2EEAFF1A"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кръвта и лимфната система</w:t>
      </w:r>
    </w:p>
    <w:p w14:paraId="51036209"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еозинофилия, левкопения.</w:t>
      </w:r>
    </w:p>
    <w:p w14:paraId="2FFEAB90"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анемия, гранулоцитопения, левкоцитоза, нарушено протромбиново време, тромбоцитопения, тромбоцитоза.</w:t>
      </w:r>
    </w:p>
    <w:p w14:paraId="6EAE40B8" w14:textId="0B54A54F"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хемолитична анемия, петехии (локални подкожни кръвоизливи), апластична анемия (животозастрашаваща), агранулоцитоза, костно-мозъчна депресия (животозастрашаваща).</w:t>
      </w:r>
    </w:p>
    <w:p w14:paraId="7BD64521" w14:textId="4956782D" w:rsidR="006D4094" w:rsidRPr="008D1663" w:rsidRDefault="006D4094" w:rsidP="006D4094">
      <w:pPr>
        <w:rPr>
          <w:rFonts w:cs="Arial"/>
        </w:rPr>
      </w:pPr>
    </w:p>
    <w:p w14:paraId="52C3B045" w14:textId="77777777"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мускулно-скелетната система и съединителната тъкан*</w:t>
      </w:r>
    </w:p>
    <w:p w14:paraId="3E068C12"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ставни болки</w:t>
      </w:r>
    </w:p>
    <w:p w14:paraId="68D873BD"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миалгия, ставни отоци</w:t>
      </w:r>
    </w:p>
    <w:p w14:paraId="4A648B95" w14:textId="201BE2CC"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тендинит (особено на Ахилесовото сухожилие), частична или пълна руптура на сухожилие (особено на Ахилесовото сухожилие), влошаване на миастения гравис</w:t>
      </w:r>
    </w:p>
    <w:p w14:paraId="05309C3D" w14:textId="77777777" w:rsidR="006D4094" w:rsidRPr="008D1663" w:rsidRDefault="006D4094" w:rsidP="006D4094">
      <w:pPr>
        <w:spacing w:line="240" w:lineRule="auto"/>
        <w:rPr>
          <w:rFonts w:eastAsia="Times New Roman" w:cs="Arial"/>
          <w:i/>
          <w:iCs/>
          <w:color w:val="000000"/>
          <w:lang w:eastAsia="bg-BG"/>
        </w:rPr>
      </w:pPr>
    </w:p>
    <w:p w14:paraId="0E4BA913" w14:textId="52DD0C60"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кожата и подкожната тъкан</w:t>
      </w:r>
    </w:p>
    <w:p w14:paraId="455DC207"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Чести: обрив</w:t>
      </w:r>
    </w:p>
    <w:p w14:paraId="6ECE8A77"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силен сърбеж, макулопапуларен обрив.</w:t>
      </w:r>
    </w:p>
    <w:p w14:paraId="1482A459"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фотосенсибилизация</w:t>
      </w:r>
    </w:p>
    <w:p w14:paraId="0DE19A4F"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петехии, еритема мултиформе (минор), еритема нодозум, синдром на Стивънс Джонсън, токсична епидермална некролиза (синдром на Лийл), персистиращи кожни ерупции.</w:t>
      </w:r>
    </w:p>
    <w:p w14:paraId="003B9F78" w14:textId="5CA054C9"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С неизвестна честота: ЛРЕСС (Лекарствена Реакция с Еозинофилия и Системни Симптоми).</w:t>
      </w:r>
    </w:p>
    <w:p w14:paraId="734A90A3" w14:textId="77777777" w:rsidR="006D4094" w:rsidRPr="008D1663" w:rsidRDefault="006D4094" w:rsidP="006D4094">
      <w:pPr>
        <w:spacing w:line="240" w:lineRule="auto"/>
        <w:rPr>
          <w:rFonts w:eastAsia="Times New Roman" w:cs="Arial"/>
          <w:i/>
          <w:iCs/>
          <w:color w:val="000000"/>
          <w:lang w:eastAsia="bg-BG"/>
        </w:rPr>
      </w:pPr>
    </w:p>
    <w:p w14:paraId="0A616470" w14:textId="22E982C5"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сетивните органи</w:t>
      </w:r>
    </w:p>
    <w:p w14:paraId="2BB58F58"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нарушения на вкуса</w:t>
      </w:r>
    </w:p>
    <w:p w14:paraId="5138200B"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загуба на вкуса.</w:t>
      </w:r>
    </w:p>
    <w:p w14:paraId="31EF0C35" w14:textId="617499AB"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олфакторна дисфункция, загуба на обоняние (обикновено обратима след спиране на лечението)</w:t>
      </w:r>
    </w:p>
    <w:p w14:paraId="2C243918" w14:textId="77777777" w:rsidR="006D4094" w:rsidRPr="008D1663" w:rsidRDefault="006D4094" w:rsidP="006D4094">
      <w:pPr>
        <w:spacing w:line="240" w:lineRule="auto"/>
        <w:rPr>
          <w:rFonts w:eastAsia="Times New Roman" w:cs="Arial"/>
          <w:i/>
          <w:iCs/>
          <w:color w:val="000000"/>
          <w:lang w:eastAsia="bg-BG"/>
        </w:rPr>
      </w:pPr>
    </w:p>
    <w:p w14:paraId="3AB41A35" w14:textId="7132278D"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Свръхчувствителност</w:t>
      </w:r>
    </w:p>
    <w:p w14:paraId="7D511627"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 xml:space="preserve">Редки: алергични реакции, </w:t>
      </w:r>
      <w:r w:rsidRPr="008D1663">
        <w:rPr>
          <w:rFonts w:eastAsia="Times New Roman" w:cs="Arial"/>
          <w:i/>
          <w:iCs/>
          <w:color w:val="000000"/>
          <w:lang w:eastAsia="bg-BG"/>
        </w:rPr>
        <w:t>лекарствена треска, анафилактоидни реакции.</w:t>
      </w:r>
    </w:p>
    <w:p w14:paraId="79BCD185" w14:textId="4497597E"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шок (анафилактичен, животозастрашаващ), сърбящ обрив, симптоми, подобни на тези при серумна болест.</w:t>
      </w:r>
    </w:p>
    <w:p w14:paraId="6A3C1D0D" w14:textId="77777777" w:rsidR="006D4094" w:rsidRPr="008D1663" w:rsidRDefault="006D4094" w:rsidP="006D4094">
      <w:pPr>
        <w:spacing w:line="240" w:lineRule="auto"/>
        <w:rPr>
          <w:rFonts w:eastAsia="Times New Roman" w:cs="Arial"/>
          <w:i/>
          <w:iCs/>
          <w:color w:val="000000"/>
          <w:lang w:eastAsia="bg-BG"/>
        </w:rPr>
      </w:pPr>
    </w:p>
    <w:p w14:paraId="5BBEDC31" w14:textId="2ACBDF23"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ендокринната система</w:t>
      </w:r>
    </w:p>
    <w:p w14:paraId="44122DD3" w14:textId="7EE0F96D"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lastRenderedPageBreak/>
        <w:t xml:space="preserve">С неизвестна честота: синдром на неадекватна секреция на антидиуретичен хормон </w:t>
      </w:r>
      <w:r w:rsidRPr="008D1663">
        <w:rPr>
          <w:rFonts w:eastAsia="Times New Roman" w:cs="Arial"/>
          <w:color w:val="000000"/>
          <w:lang w:val="en-US"/>
        </w:rPr>
        <w:t>(SIADH).</w:t>
      </w:r>
    </w:p>
    <w:p w14:paraId="2274E2DF" w14:textId="77777777" w:rsidR="006D4094" w:rsidRPr="008D1663" w:rsidRDefault="006D4094" w:rsidP="006D4094">
      <w:pPr>
        <w:spacing w:line="240" w:lineRule="auto"/>
        <w:rPr>
          <w:rFonts w:eastAsia="Times New Roman" w:cs="Arial"/>
          <w:i/>
          <w:iCs/>
          <w:color w:val="000000"/>
          <w:lang w:eastAsia="bg-BG"/>
        </w:rPr>
      </w:pPr>
    </w:p>
    <w:p w14:paraId="0874D252" w14:textId="093DC9D7"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метаболизма и храненето</w:t>
      </w:r>
    </w:p>
    <w:p w14:paraId="27D516E4"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повишени кръвни креатининови нива, повишени кръвни нива на урея и азот.</w:t>
      </w:r>
    </w:p>
    <w:p w14:paraId="1B0D0A4B"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отоци (периферни, лицеви), хипергликемия, хипогликемия.</w:t>
      </w:r>
    </w:p>
    <w:p w14:paraId="5E62E159"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Много редки: повишена активност на амилаза/липаза.</w:t>
      </w:r>
    </w:p>
    <w:p w14:paraId="0FA649A1" w14:textId="6B20A4E5"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С неизвестна честота: хипогликемична кома (вж. точка 4.4.).</w:t>
      </w:r>
    </w:p>
    <w:p w14:paraId="5159C3F3" w14:textId="77777777" w:rsidR="006D4094" w:rsidRPr="008D1663" w:rsidRDefault="006D4094" w:rsidP="006D4094">
      <w:pPr>
        <w:spacing w:line="240" w:lineRule="auto"/>
        <w:rPr>
          <w:rFonts w:eastAsia="Times New Roman" w:cs="Arial"/>
          <w:i/>
          <w:iCs/>
          <w:color w:val="000000"/>
          <w:lang w:eastAsia="bg-BG"/>
        </w:rPr>
      </w:pPr>
    </w:p>
    <w:p w14:paraId="79634EC5" w14:textId="126BEC6D"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Респираторни, гръдни и медиастинални нарушения</w:t>
      </w:r>
    </w:p>
    <w:p w14:paraId="71D1DEFD" w14:textId="30153A15"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недостиг на въздух, ларингеален оток.</w:t>
      </w:r>
    </w:p>
    <w:p w14:paraId="514C5BBD" w14:textId="77777777" w:rsidR="006D4094" w:rsidRPr="008D1663" w:rsidRDefault="006D4094" w:rsidP="006D4094">
      <w:pPr>
        <w:spacing w:line="240" w:lineRule="auto"/>
        <w:rPr>
          <w:rFonts w:eastAsia="Times New Roman" w:cs="Arial"/>
          <w:i/>
          <w:iCs/>
          <w:color w:val="000000"/>
          <w:lang w:eastAsia="bg-BG"/>
        </w:rPr>
      </w:pPr>
    </w:p>
    <w:p w14:paraId="1B6480D4" w14:textId="47FD08EE"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Нарушения на пикочополовата система</w:t>
      </w:r>
    </w:p>
    <w:p w14:paraId="79AF14A9" w14:textId="27DD444B"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остра бъбречна недостатъчност, нарушена бъбречна функция, вагинална монилиаза, хематурия, кристалурия, интерстициален нефрит.</w:t>
      </w:r>
    </w:p>
    <w:p w14:paraId="47CDCE6E" w14:textId="77777777" w:rsidR="006D4094" w:rsidRPr="008D1663" w:rsidRDefault="006D4094" w:rsidP="006D4094">
      <w:pPr>
        <w:spacing w:line="240" w:lineRule="auto"/>
        <w:rPr>
          <w:rFonts w:eastAsia="Times New Roman" w:cs="Arial"/>
          <w:i/>
          <w:iCs/>
          <w:color w:val="000000"/>
          <w:lang w:eastAsia="bg-BG"/>
        </w:rPr>
      </w:pPr>
    </w:p>
    <w:p w14:paraId="4CB89AD1" w14:textId="5558B969" w:rsidR="006D4094" w:rsidRPr="006D4094" w:rsidRDefault="006D4094" w:rsidP="006D4094">
      <w:pPr>
        <w:spacing w:line="240" w:lineRule="auto"/>
        <w:rPr>
          <w:rFonts w:eastAsia="Times New Roman" w:cs="Arial"/>
          <w:lang w:eastAsia="bg-BG"/>
        </w:rPr>
      </w:pPr>
      <w:r w:rsidRPr="006D4094">
        <w:rPr>
          <w:rFonts w:eastAsia="Times New Roman" w:cs="Arial"/>
          <w:i/>
          <w:iCs/>
          <w:color w:val="000000"/>
          <w:lang w:eastAsia="bg-BG"/>
        </w:rPr>
        <w:t>Общи нарушения и ефекти на мястото на приложение*</w:t>
      </w:r>
    </w:p>
    <w:p w14:paraId="4EC48DB4"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коремна болка, микози, астения (общо усещане за слабост, умора), реакции на мястото на инжекцията (напр. оток, реакции на свръхчувствителност, болка).</w:t>
      </w:r>
    </w:p>
    <w:p w14:paraId="78B0120A" w14:textId="7B88EBA2"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болка в крайниците, болка в гърба, гръдна болка.</w:t>
      </w:r>
    </w:p>
    <w:p w14:paraId="07E69525" w14:textId="77777777" w:rsidR="006D4094" w:rsidRPr="008D1663" w:rsidRDefault="006D4094" w:rsidP="006D4094">
      <w:pPr>
        <w:spacing w:line="240" w:lineRule="auto"/>
        <w:rPr>
          <w:rFonts w:eastAsia="Times New Roman" w:cs="Arial"/>
          <w:color w:val="000000"/>
          <w:lang w:eastAsia="bg-BG"/>
        </w:rPr>
      </w:pPr>
    </w:p>
    <w:p w14:paraId="15B10617" w14:textId="657D02F0" w:rsidR="006D4094" w:rsidRPr="006D4094" w:rsidRDefault="006D4094" w:rsidP="006D4094">
      <w:pPr>
        <w:spacing w:line="240" w:lineRule="auto"/>
        <w:rPr>
          <w:rFonts w:eastAsia="Times New Roman" w:cs="Arial"/>
          <w:lang w:eastAsia="bg-BG"/>
        </w:rPr>
      </w:pPr>
      <w:r w:rsidRPr="006D4094">
        <w:rPr>
          <w:rFonts w:eastAsia="Times New Roman" w:cs="Arial"/>
          <w:color w:val="000000"/>
          <w:lang w:eastAsia="bg-BG"/>
        </w:rPr>
        <w:t>Следните нежелани реакции са наблюдавани по-често при подгрупа пациенти, получаващи ципрофлоксацин интравенозно или като последваща терапия (интравенозно след перорално приложение):</w:t>
      </w:r>
    </w:p>
    <w:p w14:paraId="1EC2FCD0" w14:textId="77777777" w:rsidR="006D4094" w:rsidRPr="008D1663" w:rsidRDefault="006D4094" w:rsidP="006D4094">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Чести: повръщане, преходно повишение на трансаминазите, обрив.</w:t>
      </w:r>
    </w:p>
    <w:p w14:paraId="6921C287" w14:textId="77777777" w:rsidR="008D1663" w:rsidRPr="008D1663" w:rsidRDefault="006D4094" w:rsidP="008D1663">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Нечести: тромбоцитопения, тромбоцитоза, объркване, дезориентация, халюцинации, парестезии, епилепсия, световъртеж, нарушения на зрението, загуба на слуха, тахикардия, вазодилатация, хипотония, преходно нарушение на чернодробната функция, жълтеница, бъбречна недостатъчност, отоци.</w:t>
      </w:r>
    </w:p>
    <w:p w14:paraId="5B9B2B72" w14:textId="223F1552" w:rsidR="008D1663" w:rsidRPr="008D1663" w:rsidRDefault="008D1663" w:rsidP="008D1663">
      <w:pPr>
        <w:pStyle w:val="ListParagraph"/>
        <w:numPr>
          <w:ilvl w:val="0"/>
          <w:numId w:val="2"/>
        </w:numPr>
        <w:spacing w:line="240" w:lineRule="auto"/>
        <w:rPr>
          <w:rFonts w:eastAsia="Times New Roman" w:cs="Arial"/>
          <w:lang w:eastAsia="bg-BG"/>
        </w:rPr>
      </w:pPr>
      <w:r w:rsidRPr="008D1663">
        <w:rPr>
          <w:rFonts w:eastAsia="Times New Roman" w:cs="Arial"/>
          <w:color w:val="000000"/>
          <w:lang w:eastAsia="bg-BG"/>
        </w:rPr>
        <w:t>Редки: апластична анемия, костно-мозъчна депресия, анафилактичен шок, психози, мигрена, нарушения на вкуса, шум в ушите, васкулит, панкреатит, чернодробна некроза, петехии, руптура на сухожилия.</w:t>
      </w:r>
    </w:p>
    <w:p w14:paraId="18EE3759" w14:textId="77777777" w:rsidR="008D1663" w:rsidRPr="008D1663" w:rsidRDefault="008D1663" w:rsidP="008D1663">
      <w:pPr>
        <w:spacing w:line="240" w:lineRule="auto"/>
        <w:rPr>
          <w:rFonts w:eastAsia="Times New Roman" w:cs="Arial"/>
          <w:color w:val="000000"/>
          <w:lang w:eastAsia="bg-BG"/>
        </w:rPr>
      </w:pPr>
    </w:p>
    <w:p w14:paraId="6ADE9525" w14:textId="05CE1512" w:rsidR="008D1663" w:rsidRPr="008D1663" w:rsidRDefault="008D1663" w:rsidP="008D1663">
      <w:pPr>
        <w:spacing w:line="240" w:lineRule="auto"/>
        <w:rPr>
          <w:rFonts w:eastAsia="Times New Roman" w:cs="Arial"/>
          <w:color w:val="000000"/>
          <w:lang w:eastAsia="bg-BG"/>
        </w:rPr>
      </w:pPr>
      <w:r w:rsidRPr="008D1663">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аргралгия,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780C9962" w14:textId="4B5266BD" w:rsidR="008D1663" w:rsidRPr="008D1663" w:rsidRDefault="008D1663" w:rsidP="008D1663">
      <w:pPr>
        <w:spacing w:line="240" w:lineRule="auto"/>
        <w:rPr>
          <w:rFonts w:eastAsia="Times New Roman" w:cs="Arial"/>
          <w:color w:val="000000"/>
          <w:lang w:eastAsia="bg-BG"/>
        </w:rPr>
      </w:pPr>
      <w:r w:rsidRPr="008D1663">
        <w:rPr>
          <w:rFonts w:eastAsia="Times New Roman" w:cs="Arial"/>
          <w:color w:val="000000"/>
          <w:lang w:eastAsia="bg-BG"/>
        </w:rPr>
        <w:t>** При пациентите, приемащи флуорохинолони, са съобщени случаи на аневризма и дисекация на аортата, понякога усложнени поради разкъсване (включително с фатален изход) и регургитация/недостатъчност на сърдечните клапи (вж. точка 4.4.).</w:t>
      </w:r>
    </w:p>
    <w:p w14:paraId="2B0FB5FB" w14:textId="77777777" w:rsidR="008D1663" w:rsidRPr="008D1663" w:rsidRDefault="008D1663" w:rsidP="008D1663">
      <w:pPr>
        <w:spacing w:line="240" w:lineRule="auto"/>
        <w:rPr>
          <w:rFonts w:eastAsia="Times New Roman" w:cs="Arial"/>
          <w:color w:val="000000"/>
          <w:u w:val="single"/>
          <w:lang w:eastAsia="bg-BG"/>
        </w:rPr>
      </w:pPr>
    </w:p>
    <w:p w14:paraId="16654901" w14:textId="333C4AD6" w:rsidR="008D1663" w:rsidRPr="008D1663" w:rsidRDefault="008D1663" w:rsidP="008D1663">
      <w:pPr>
        <w:spacing w:line="240" w:lineRule="auto"/>
        <w:rPr>
          <w:rFonts w:eastAsia="Times New Roman" w:cs="Arial"/>
          <w:lang w:eastAsia="bg-BG"/>
        </w:rPr>
      </w:pPr>
      <w:r w:rsidRPr="008D1663">
        <w:rPr>
          <w:rFonts w:eastAsia="Times New Roman" w:cs="Arial"/>
          <w:color w:val="000000"/>
          <w:u w:val="single"/>
          <w:lang w:eastAsia="bg-BG"/>
        </w:rPr>
        <w:t>Съобщаване на подозирани нежелани реакции</w:t>
      </w:r>
    </w:p>
    <w:p w14:paraId="46AE5D57" w14:textId="77777777" w:rsidR="008D1663" w:rsidRPr="008D1663" w:rsidRDefault="008D1663" w:rsidP="008D1663">
      <w:pPr>
        <w:spacing w:line="240" w:lineRule="auto"/>
        <w:rPr>
          <w:rFonts w:eastAsia="Times New Roman" w:cs="Arial"/>
          <w:lang w:eastAsia="bg-BG"/>
        </w:rPr>
      </w:pPr>
      <w:r w:rsidRPr="008D1663">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A3FB25E" w14:textId="77777777" w:rsidR="008D1663" w:rsidRPr="008D1663" w:rsidRDefault="008D1663" w:rsidP="008D1663">
      <w:pPr>
        <w:spacing w:line="240" w:lineRule="auto"/>
        <w:rPr>
          <w:rFonts w:eastAsia="Times New Roman" w:cs="Arial"/>
          <w:lang w:eastAsia="bg-BG"/>
        </w:rPr>
      </w:pPr>
      <w:r w:rsidRPr="008D1663">
        <w:rPr>
          <w:rFonts w:eastAsia="Times New Roman" w:cs="Arial"/>
          <w:color w:val="000000"/>
          <w:lang w:eastAsia="bg-BG"/>
        </w:rPr>
        <w:t>Изпълнителна агенция по лекарствата</w:t>
      </w:r>
    </w:p>
    <w:p w14:paraId="68AA78DE" w14:textId="77777777" w:rsidR="008D1663" w:rsidRPr="008D1663" w:rsidRDefault="008D1663" w:rsidP="008D1663">
      <w:pPr>
        <w:spacing w:line="240" w:lineRule="auto"/>
        <w:rPr>
          <w:rFonts w:eastAsia="Times New Roman" w:cs="Arial"/>
          <w:lang w:eastAsia="bg-BG"/>
        </w:rPr>
      </w:pPr>
      <w:r w:rsidRPr="008D1663">
        <w:rPr>
          <w:rFonts w:eastAsia="Times New Roman" w:cs="Arial"/>
          <w:color w:val="000000"/>
          <w:lang w:eastAsia="bg-BG"/>
        </w:rPr>
        <w:t>ул., Дамян Груев” № 8</w:t>
      </w:r>
    </w:p>
    <w:p w14:paraId="6EEBC9BE" w14:textId="77777777" w:rsidR="008D1663" w:rsidRPr="008D1663" w:rsidRDefault="008D1663" w:rsidP="008D1663">
      <w:pPr>
        <w:spacing w:line="240" w:lineRule="auto"/>
        <w:rPr>
          <w:rFonts w:eastAsia="Times New Roman" w:cs="Arial"/>
          <w:lang w:eastAsia="bg-BG"/>
        </w:rPr>
      </w:pPr>
      <w:r w:rsidRPr="008D1663">
        <w:rPr>
          <w:rFonts w:eastAsia="Times New Roman" w:cs="Arial"/>
          <w:color w:val="000000"/>
          <w:lang w:eastAsia="bg-BG"/>
        </w:rPr>
        <w:t>1303 София</w:t>
      </w:r>
    </w:p>
    <w:p w14:paraId="66A769D8" w14:textId="77777777" w:rsidR="008D1663" w:rsidRPr="008D1663" w:rsidRDefault="008D1663" w:rsidP="008D1663">
      <w:pPr>
        <w:spacing w:line="240" w:lineRule="auto"/>
        <w:rPr>
          <w:rFonts w:eastAsia="Times New Roman" w:cs="Arial"/>
          <w:lang w:eastAsia="bg-BG"/>
        </w:rPr>
      </w:pPr>
      <w:r w:rsidRPr="008D1663">
        <w:rPr>
          <w:rFonts w:eastAsia="Times New Roman" w:cs="Arial"/>
          <w:color w:val="000000"/>
          <w:lang w:eastAsia="bg-BG"/>
        </w:rPr>
        <w:t>Тел.: +35 928903417</w:t>
      </w:r>
    </w:p>
    <w:p w14:paraId="3F946BFE" w14:textId="77777777" w:rsidR="008D1663" w:rsidRPr="008D1663" w:rsidRDefault="008D1663" w:rsidP="008D1663">
      <w:pPr>
        <w:spacing w:line="240" w:lineRule="auto"/>
        <w:rPr>
          <w:rFonts w:eastAsia="Times New Roman" w:cs="Arial"/>
          <w:lang w:eastAsia="bg-BG"/>
        </w:rPr>
      </w:pPr>
      <w:r w:rsidRPr="008D1663">
        <w:rPr>
          <w:rFonts w:eastAsia="Times New Roman" w:cs="Arial"/>
          <w:color w:val="000000"/>
          <w:lang w:eastAsia="bg-BG"/>
        </w:rPr>
        <w:t xml:space="preserve">уебсайт: </w:t>
      </w:r>
      <w:hyperlink r:id="rId5" w:history="1">
        <w:r w:rsidRPr="008D1663">
          <w:rPr>
            <w:rFonts w:eastAsia="Times New Roman" w:cs="Arial"/>
            <w:color w:val="000000"/>
            <w:lang w:val="en-US"/>
          </w:rPr>
          <w:t>www.bda.bg</w:t>
        </w:r>
      </w:hyperlink>
    </w:p>
    <w:p w14:paraId="4CCE2AE4" w14:textId="77777777" w:rsidR="008D1663" w:rsidRPr="006D4094" w:rsidRDefault="008D1663" w:rsidP="006D4094"/>
    <w:p w14:paraId="378A0F20" w14:textId="52E00EA1" w:rsidR="001D095A" w:rsidRDefault="002C50EE" w:rsidP="00340E8D">
      <w:pPr>
        <w:pStyle w:val="Heading2"/>
      </w:pPr>
      <w:r>
        <w:t>4.9. Предозиране</w:t>
      </w:r>
    </w:p>
    <w:p w14:paraId="789E19D7" w14:textId="645247C3" w:rsidR="008D1663" w:rsidRDefault="008D1663" w:rsidP="008D1663"/>
    <w:p w14:paraId="4397EB04" w14:textId="26E7E8F5" w:rsidR="008D1663" w:rsidRPr="008D1663" w:rsidRDefault="008D1663" w:rsidP="008D1663">
      <w:r>
        <w:t>Ограничена информация е налична за предозиране на ципрофлоксацин при интравенозна инфузия при хора. В случай на предозиране пациентът трябва да се мониторира и да се приложат симптоматични мерки. Само малка част от ципрофлоксацин (по-малко от 10%) се елиминират чрез хемодиализа или перитонеална диализа.</w:t>
      </w:r>
    </w:p>
    <w:p w14:paraId="02081B24" w14:textId="36FE76F4" w:rsidR="00395555" w:rsidRPr="00395555" w:rsidRDefault="002C50EE" w:rsidP="008A6AF2">
      <w:pPr>
        <w:pStyle w:val="Heading1"/>
      </w:pPr>
      <w:r>
        <w:t>5. ФАРМАКОЛОГИЧНИ СВОЙСТВА</w:t>
      </w:r>
    </w:p>
    <w:p w14:paraId="7F6CC5E1" w14:textId="01CAD809" w:rsidR="00F62E44" w:rsidRDefault="002C50EE" w:rsidP="00387A66">
      <w:pPr>
        <w:pStyle w:val="Heading2"/>
      </w:pPr>
      <w:r>
        <w:t>5.1. Фармакодинамични свойства</w:t>
      </w:r>
    </w:p>
    <w:p w14:paraId="5DCE8C3D" w14:textId="57E6D821" w:rsidR="008D1663" w:rsidRDefault="008D1663" w:rsidP="008D1663"/>
    <w:p w14:paraId="4D402B4D"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Фармакотерапевтична група: хинолонови антибактериални средства за системна употреба, флуорохинолони</w:t>
      </w:r>
    </w:p>
    <w:p w14:paraId="31CA0463"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val="en-US"/>
        </w:rPr>
        <w:t xml:space="preserve">ATC code: J01M </w:t>
      </w:r>
      <w:r w:rsidRPr="008D1663">
        <w:rPr>
          <w:rFonts w:eastAsia="Times New Roman" w:cs="Arial"/>
          <w:color w:val="000000"/>
          <w:lang w:eastAsia="bg-BG"/>
        </w:rPr>
        <w:t>А02</w:t>
      </w:r>
    </w:p>
    <w:p w14:paraId="2745855F" w14:textId="77777777" w:rsidR="008D1663" w:rsidRPr="008D1663" w:rsidRDefault="008D1663" w:rsidP="008D1663">
      <w:pPr>
        <w:spacing w:line="240" w:lineRule="auto"/>
        <w:rPr>
          <w:rFonts w:eastAsia="Times New Roman" w:cs="Arial"/>
          <w:color w:val="000000"/>
          <w:lang w:eastAsia="bg-BG"/>
        </w:rPr>
      </w:pPr>
    </w:p>
    <w:p w14:paraId="2E171485" w14:textId="2355A271"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Ципрофлоксацин е широкоспектърен химиотерапевтичен агент от групата на флуорираните хинолони.</w:t>
      </w:r>
    </w:p>
    <w:p w14:paraId="467B01E4"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Механизмът на действие на флуорохинолоните води до потискане на ДНК-гиразата (тип II топоизомераза) и топоизомераза IV.</w:t>
      </w:r>
    </w:p>
    <w:p w14:paraId="30F4BF35" w14:textId="77777777" w:rsidR="008D1663" w:rsidRPr="008D1663" w:rsidRDefault="008D1663" w:rsidP="008D1663">
      <w:pPr>
        <w:spacing w:line="240" w:lineRule="auto"/>
        <w:rPr>
          <w:rFonts w:eastAsia="Times New Roman" w:cs="Arial"/>
          <w:color w:val="000000"/>
          <w:lang w:eastAsia="bg-BG"/>
        </w:rPr>
      </w:pPr>
      <w:r w:rsidRPr="008D1663">
        <w:rPr>
          <w:rFonts w:eastAsia="Times New Roman" w:cs="Arial"/>
          <w:color w:val="000000"/>
          <w:lang w:eastAsia="bg-BG"/>
        </w:rPr>
        <w:t xml:space="preserve">Потискайки тези ензими, хинолоните нарушават ДНК синтезата и предизвикват клетъчна смърт. </w:t>
      </w:r>
    </w:p>
    <w:p w14:paraId="78045DEB" w14:textId="38581B96"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Ципрофлоксацин има бактерицидно действие по време на лаг и стационарната фаза на бактериален растеж.</w:t>
      </w:r>
    </w:p>
    <w:p w14:paraId="5A93F542"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 xml:space="preserve">Базирайки се на </w:t>
      </w:r>
      <w:r w:rsidRPr="008D1663">
        <w:rPr>
          <w:rFonts w:eastAsia="Times New Roman" w:cs="Arial"/>
          <w:i/>
          <w:iCs/>
          <w:color w:val="000000"/>
          <w:lang w:val="en-US"/>
        </w:rPr>
        <w:t>in-vitro</w:t>
      </w:r>
      <w:r w:rsidRPr="008D1663">
        <w:rPr>
          <w:rFonts w:eastAsia="Times New Roman" w:cs="Arial"/>
          <w:color w:val="000000"/>
          <w:lang w:val="en-US"/>
        </w:rPr>
        <w:t xml:space="preserve"> </w:t>
      </w:r>
      <w:r w:rsidRPr="008D1663">
        <w:rPr>
          <w:rFonts w:eastAsia="Times New Roman" w:cs="Arial"/>
          <w:color w:val="000000"/>
          <w:lang w:eastAsia="bg-BG"/>
        </w:rPr>
        <w:t>проучвания е потвърдена чувствителност към ципрофлоксацин за следните микроорганизми:</w:t>
      </w:r>
    </w:p>
    <w:p w14:paraId="7934CC99" w14:textId="77777777" w:rsidR="008D1663" w:rsidRPr="008D1663" w:rsidRDefault="008D1663" w:rsidP="008D1663">
      <w:pPr>
        <w:spacing w:line="240" w:lineRule="auto"/>
        <w:rPr>
          <w:rFonts w:eastAsia="Times New Roman" w:cs="Arial"/>
          <w:sz w:val="28"/>
          <w:szCs w:val="28"/>
          <w:lang w:eastAsia="bg-BG"/>
        </w:rPr>
      </w:pPr>
      <w:proofErr w:type="spellStart"/>
      <w:r w:rsidRPr="008D1663">
        <w:rPr>
          <w:rFonts w:eastAsia="Times New Roman" w:cs="Arial"/>
          <w:i/>
          <w:iCs/>
          <w:color w:val="000000"/>
          <w:lang w:val="en-US"/>
        </w:rPr>
        <w:t>Aeinetobacter</w:t>
      </w:r>
      <w:proofErr w:type="spellEnd"/>
      <w:r w:rsidRPr="008D1663">
        <w:rPr>
          <w:rFonts w:eastAsia="Times New Roman" w:cs="Arial"/>
          <w:i/>
          <w:iCs/>
          <w:color w:val="000000"/>
          <w:lang w:val="en-US"/>
        </w:rPr>
        <w:t xml:space="preserve">, Aeromonas, Bacillus anthracis, Brucella, Campylobacter, Chlamydia, Citrobacter, Corynebacterium, </w:t>
      </w:r>
      <w:proofErr w:type="spellStart"/>
      <w:r w:rsidRPr="008D1663">
        <w:rPr>
          <w:rFonts w:eastAsia="Times New Roman" w:cs="Arial"/>
          <w:i/>
          <w:iCs/>
          <w:color w:val="000000"/>
          <w:lang w:val="en-US"/>
        </w:rPr>
        <w:t>Edwardsiella</w:t>
      </w:r>
      <w:proofErr w:type="spellEnd"/>
      <w:r w:rsidRPr="008D1663">
        <w:rPr>
          <w:rFonts w:eastAsia="Times New Roman" w:cs="Arial"/>
          <w:i/>
          <w:iCs/>
          <w:color w:val="000000"/>
          <w:lang w:val="en-US"/>
        </w:rPr>
        <w:t xml:space="preserve">, Enterobacter, Escherichia coli, </w:t>
      </w:r>
      <w:proofErr w:type="spellStart"/>
      <w:r w:rsidRPr="008D1663">
        <w:rPr>
          <w:rFonts w:eastAsia="Times New Roman" w:cs="Arial"/>
          <w:i/>
          <w:iCs/>
          <w:color w:val="000000"/>
          <w:lang w:val="en-US"/>
        </w:rPr>
        <w:t>Haemophilus</w:t>
      </w:r>
      <w:proofErr w:type="spellEnd"/>
      <w:r w:rsidRPr="008D1663">
        <w:rPr>
          <w:rFonts w:eastAsia="Times New Roman" w:cs="Arial"/>
          <w:i/>
          <w:iCs/>
          <w:color w:val="000000"/>
          <w:lang w:val="en-US"/>
        </w:rPr>
        <w:t xml:space="preserve">, </w:t>
      </w:r>
      <w:proofErr w:type="spellStart"/>
      <w:r w:rsidRPr="008D1663">
        <w:rPr>
          <w:rFonts w:eastAsia="Times New Roman" w:cs="Arial"/>
          <w:i/>
          <w:iCs/>
          <w:color w:val="000000"/>
          <w:lang w:val="en-US"/>
        </w:rPr>
        <w:t>Hafriia</w:t>
      </w:r>
      <w:proofErr w:type="spellEnd"/>
      <w:r w:rsidRPr="008D1663">
        <w:rPr>
          <w:rFonts w:eastAsia="Times New Roman" w:cs="Arial"/>
          <w:i/>
          <w:iCs/>
          <w:color w:val="000000"/>
          <w:lang w:val="en-US"/>
        </w:rPr>
        <w:t>, Klebsiella,</w:t>
      </w:r>
    </w:p>
    <w:p w14:paraId="4DFE3DE8" w14:textId="23104ABA" w:rsidR="008D1663" w:rsidRPr="008D1663" w:rsidRDefault="008D1663" w:rsidP="008D1663">
      <w:pPr>
        <w:rPr>
          <w:rFonts w:eastAsia="Times New Roman" w:cs="Arial"/>
          <w:i/>
          <w:iCs/>
          <w:color w:val="000000"/>
          <w:lang w:val="en-US"/>
        </w:rPr>
      </w:pPr>
      <w:r w:rsidRPr="008D1663">
        <w:rPr>
          <w:rFonts w:eastAsia="Times New Roman" w:cs="Arial"/>
          <w:i/>
          <w:iCs/>
          <w:color w:val="000000"/>
          <w:lang w:val="en-US"/>
        </w:rPr>
        <w:t xml:space="preserve">Legionella, Listeria, </w:t>
      </w:r>
      <w:proofErr w:type="spellStart"/>
      <w:r w:rsidRPr="008D1663">
        <w:rPr>
          <w:rFonts w:eastAsia="Times New Roman" w:cs="Arial"/>
          <w:i/>
          <w:iCs/>
          <w:color w:val="000000"/>
          <w:lang w:val="en-US"/>
        </w:rPr>
        <w:t>Morganella</w:t>
      </w:r>
      <w:proofErr w:type="spellEnd"/>
      <w:r w:rsidRPr="008D1663">
        <w:rPr>
          <w:rFonts w:eastAsia="Times New Roman" w:cs="Arial"/>
          <w:i/>
          <w:iCs/>
          <w:color w:val="000000"/>
          <w:lang w:val="en-US"/>
        </w:rPr>
        <w:t xml:space="preserve">, Moraxella, Pasteurella, </w:t>
      </w:r>
      <w:proofErr w:type="spellStart"/>
      <w:r w:rsidRPr="008D1663">
        <w:rPr>
          <w:rFonts w:eastAsia="Times New Roman" w:cs="Arial"/>
          <w:i/>
          <w:iCs/>
          <w:color w:val="000000"/>
          <w:lang w:val="en-US"/>
        </w:rPr>
        <w:t>Plesiomonas</w:t>
      </w:r>
      <w:proofErr w:type="spellEnd"/>
      <w:r w:rsidRPr="008D1663">
        <w:rPr>
          <w:rFonts w:eastAsia="Times New Roman" w:cs="Arial"/>
          <w:i/>
          <w:iCs/>
          <w:color w:val="000000"/>
          <w:lang w:val="en-US"/>
        </w:rPr>
        <w:t>, Providencia, Proteus (</w:t>
      </w:r>
      <w:r w:rsidRPr="008D1663">
        <w:rPr>
          <w:rFonts w:eastAsia="Times New Roman" w:cs="Arial"/>
          <w:i/>
          <w:iCs/>
          <w:color w:val="000000"/>
          <w:lang w:eastAsia="bg-BG"/>
        </w:rPr>
        <w:t xml:space="preserve">индол </w:t>
      </w:r>
      <w:r w:rsidRPr="008D1663">
        <w:rPr>
          <w:rFonts w:eastAsia="Times New Roman" w:cs="Arial"/>
          <w:color w:val="000000"/>
          <w:lang w:eastAsia="bg-BG"/>
        </w:rPr>
        <w:t xml:space="preserve">позитивни и негативни щамове), </w:t>
      </w:r>
      <w:r w:rsidRPr="008D1663">
        <w:rPr>
          <w:rFonts w:eastAsia="Times New Roman" w:cs="Arial"/>
          <w:i/>
          <w:iCs/>
          <w:color w:val="000000"/>
          <w:lang w:val="en-US"/>
        </w:rPr>
        <w:t xml:space="preserve">Pseudomonas, Salmonella, Serratia, Shigella, </w:t>
      </w:r>
      <w:proofErr w:type="spellStart"/>
      <w:r w:rsidRPr="008D1663">
        <w:rPr>
          <w:rFonts w:eastAsia="Times New Roman" w:cs="Arial"/>
          <w:i/>
          <w:iCs/>
          <w:color w:val="000000"/>
          <w:lang w:val="en-US"/>
        </w:rPr>
        <w:t>Staphyulococcus</w:t>
      </w:r>
      <w:proofErr w:type="spellEnd"/>
      <w:r w:rsidRPr="008D1663">
        <w:rPr>
          <w:rFonts w:eastAsia="Times New Roman" w:cs="Arial"/>
          <w:i/>
          <w:iCs/>
          <w:color w:val="000000"/>
          <w:lang w:val="en-US"/>
        </w:rPr>
        <w:t xml:space="preserve"> Vibrio, Yersinia.</w:t>
      </w:r>
    </w:p>
    <w:p w14:paraId="430F7FFC" w14:textId="311A4975" w:rsidR="008D1663" w:rsidRPr="008D1663" w:rsidRDefault="008D1663" w:rsidP="008D1663">
      <w:pPr>
        <w:rPr>
          <w:rFonts w:eastAsia="Times New Roman" w:cs="Arial"/>
          <w:i/>
          <w:iCs/>
          <w:color w:val="000000"/>
          <w:lang w:val="en-US"/>
        </w:rPr>
      </w:pPr>
    </w:p>
    <w:p w14:paraId="2910556B"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 xml:space="preserve">Бактериални щамове с променяща се степен на чувствителност към ципрофлоксацин: </w:t>
      </w:r>
      <w:r w:rsidRPr="008D1663">
        <w:rPr>
          <w:rFonts w:eastAsia="Times New Roman" w:cs="Arial"/>
          <w:i/>
          <w:iCs/>
          <w:color w:val="000000"/>
          <w:lang w:val="en-US"/>
        </w:rPr>
        <w:t xml:space="preserve">Alcaligenes, Enterococcus faecalis, Flavobacterium, Gardnerella, Mycoplasma hominis, Mycobacterium tuberculosis, Mycobacterium </w:t>
      </w:r>
      <w:proofErr w:type="spellStart"/>
      <w:r w:rsidRPr="008D1663">
        <w:rPr>
          <w:rFonts w:eastAsia="Times New Roman" w:cs="Arial"/>
          <w:i/>
          <w:iCs/>
          <w:color w:val="000000"/>
          <w:lang w:val="en-US"/>
        </w:rPr>
        <w:t>fortuitum</w:t>
      </w:r>
      <w:proofErr w:type="spellEnd"/>
      <w:r w:rsidRPr="008D1663">
        <w:rPr>
          <w:rFonts w:eastAsia="Times New Roman" w:cs="Arial"/>
          <w:i/>
          <w:iCs/>
          <w:color w:val="000000"/>
          <w:lang w:val="en-US"/>
        </w:rPr>
        <w:t xml:space="preserve">, Neisseria, Streptococcus agalactiae, Streptococcus pyogenes, Streptococcus pneumoniae, Streptococcus </w:t>
      </w:r>
      <w:proofErr w:type="spellStart"/>
      <w:r w:rsidRPr="008D1663">
        <w:rPr>
          <w:rFonts w:eastAsia="Times New Roman" w:cs="Arial"/>
          <w:i/>
          <w:iCs/>
          <w:color w:val="000000"/>
          <w:lang w:val="en-US"/>
        </w:rPr>
        <w:t>viridans</w:t>
      </w:r>
      <w:proofErr w:type="spellEnd"/>
      <w:r w:rsidRPr="008D1663">
        <w:rPr>
          <w:rFonts w:eastAsia="Times New Roman" w:cs="Arial"/>
          <w:i/>
          <w:iCs/>
          <w:color w:val="000000"/>
          <w:lang w:val="en-US"/>
        </w:rPr>
        <w:t>.</w:t>
      </w:r>
    </w:p>
    <w:p w14:paraId="42569A58" w14:textId="77777777" w:rsidR="008D1663" w:rsidRPr="008D1663" w:rsidRDefault="008D1663" w:rsidP="008D1663">
      <w:pPr>
        <w:spacing w:line="240" w:lineRule="auto"/>
        <w:rPr>
          <w:rFonts w:eastAsia="Times New Roman" w:cs="Arial"/>
          <w:color w:val="000000"/>
          <w:lang w:eastAsia="bg-BG"/>
        </w:rPr>
      </w:pPr>
    </w:p>
    <w:p w14:paraId="72A9B28C" w14:textId="7B95F14A"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 xml:space="preserve">Щамове </w:t>
      </w:r>
      <w:r w:rsidRPr="008D1663">
        <w:rPr>
          <w:rFonts w:eastAsia="Times New Roman" w:cs="Arial"/>
          <w:color w:val="000000"/>
          <w:lang w:val="en-US"/>
        </w:rPr>
        <w:t xml:space="preserve">c </w:t>
      </w:r>
      <w:r w:rsidRPr="008D1663">
        <w:rPr>
          <w:rFonts w:eastAsia="Times New Roman" w:cs="Arial"/>
          <w:color w:val="000000"/>
          <w:lang w:eastAsia="bg-BG"/>
        </w:rPr>
        <w:t>вродена резистентонст:</w:t>
      </w:r>
    </w:p>
    <w:p w14:paraId="7333AC67"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i/>
          <w:iCs/>
          <w:color w:val="000000"/>
          <w:lang w:val="en-US"/>
        </w:rPr>
        <w:t xml:space="preserve">Enterococcus faecium, </w:t>
      </w:r>
      <w:proofErr w:type="spellStart"/>
      <w:r w:rsidRPr="008D1663">
        <w:rPr>
          <w:rFonts w:eastAsia="Times New Roman" w:cs="Arial"/>
          <w:i/>
          <w:iCs/>
          <w:color w:val="000000"/>
          <w:lang w:val="en-US"/>
        </w:rPr>
        <w:t>Ureaplasma</w:t>
      </w:r>
      <w:proofErr w:type="spellEnd"/>
      <w:r w:rsidRPr="008D1663">
        <w:rPr>
          <w:rFonts w:eastAsia="Times New Roman" w:cs="Arial"/>
          <w:i/>
          <w:iCs/>
          <w:color w:val="000000"/>
          <w:lang w:val="en-US"/>
        </w:rPr>
        <w:t xml:space="preserve"> </w:t>
      </w:r>
      <w:proofErr w:type="spellStart"/>
      <w:r w:rsidRPr="008D1663">
        <w:rPr>
          <w:rFonts w:eastAsia="Times New Roman" w:cs="Arial"/>
          <w:i/>
          <w:iCs/>
          <w:color w:val="000000"/>
          <w:lang w:val="en-US"/>
        </w:rPr>
        <w:t>urealyticum</w:t>
      </w:r>
      <w:proofErr w:type="spellEnd"/>
      <w:r w:rsidRPr="008D1663">
        <w:rPr>
          <w:rFonts w:eastAsia="Times New Roman" w:cs="Arial"/>
          <w:i/>
          <w:iCs/>
          <w:color w:val="000000"/>
          <w:lang w:val="en-US"/>
        </w:rPr>
        <w:t xml:space="preserve">, Nocardia </w:t>
      </w:r>
      <w:proofErr w:type="spellStart"/>
      <w:r w:rsidRPr="008D1663">
        <w:rPr>
          <w:rFonts w:eastAsia="Times New Roman" w:cs="Arial"/>
          <w:i/>
          <w:iCs/>
          <w:color w:val="000000"/>
          <w:lang w:val="en-US"/>
        </w:rPr>
        <w:t>asteroides</w:t>
      </w:r>
      <w:proofErr w:type="spellEnd"/>
      <w:r w:rsidRPr="008D1663">
        <w:rPr>
          <w:rFonts w:eastAsia="Times New Roman" w:cs="Arial"/>
          <w:i/>
          <w:iCs/>
          <w:color w:val="000000"/>
          <w:lang w:val="en-US"/>
        </w:rPr>
        <w:t>.</w:t>
      </w:r>
    </w:p>
    <w:p w14:paraId="3DAABA3B" w14:textId="77777777" w:rsidR="008D1663" w:rsidRPr="008D1663" w:rsidRDefault="008D1663" w:rsidP="008D1663">
      <w:pPr>
        <w:spacing w:line="240" w:lineRule="auto"/>
        <w:rPr>
          <w:rFonts w:eastAsia="Times New Roman" w:cs="Arial"/>
          <w:color w:val="000000"/>
          <w:lang w:val="en-US"/>
        </w:rPr>
      </w:pPr>
    </w:p>
    <w:p w14:paraId="2069DBE3" w14:textId="0F6C028E"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val="en-US"/>
        </w:rPr>
        <w:lastRenderedPageBreak/>
        <w:t xml:space="preserve">C </w:t>
      </w:r>
      <w:r w:rsidRPr="008D1663">
        <w:rPr>
          <w:rFonts w:eastAsia="Times New Roman" w:cs="Arial"/>
          <w:color w:val="000000"/>
          <w:lang w:eastAsia="bg-BG"/>
        </w:rPr>
        <w:t xml:space="preserve">някои изключения анаеробните бактерии са умерено чувствителни </w:t>
      </w:r>
      <w:r w:rsidRPr="008D1663">
        <w:rPr>
          <w:rFonts w:eastAsia="Times New Roman" w:cs="Arial"/>
          <w:i/>
          <w:iCs/>
          <w:color w:val="000000"/>
          <w:lang w:val="en-US"/>
        </w:rPr>
        <w:t>(</w:t>
      </w:r>
      <w:proofErr w:type="spellStart"/>
      <w:r w:rsidRPr="008D1663">
        <w:rPr>
          <w:rFonts w:eastAsia="Times New Roman" w:cs="Arial"/>
          <w:i/>
          <w:iCs/>
          <w:color w:val="000000"/>
          <w:lang w:val="en-US"/>
        </w:rPr>
        <w:t>Peptococcus</w:t>
      </w:r>
      <w:proofErr w:type="spellEnd"/>
      <w:r w:rsidRPr="008D1663">
        <w:rPr>
          <w:rFonts w:eastAsia="Times New Roman" w:cs="Arial"/>
          <w:i/>
          <w:iCs/>
          <w:color w:val="000000"/>
          <w:lang w:val="en-US"/>
        </w:rPr>
        <w:t xml:space="preserve">, </w:t>
      </w:r>
      <w:proofErr w:type="spellStart"/>
      <w:r w:rsidRPr="008D1663">
        <w:rPr>
          <w:rFonts w:eastAsia="Times New Roman" w:cs="Arial"/>
          <w:i/>
          <w:iCs/>
          <w:color w:val="000000"/>
          <w:lang w:val="en-US"/>
        </w:rPr>
        <w:t>Peptostreptococcus</w:t>
      </w:r>
      <w:proofErr w:type="spellEnd"/>
      <w:r w:rsidRPr="008D1663">
        <w:rPr>
          <w:rFonts w:eastAsia="Times New Roman" w:cs="Arial"/>
          <w:i/>
          <w:iCs/>
          <w:color w:val="000000"/>
          <w:lang w:val="en-US"/>
        </w:rPr>
        <w:t>)</w:t>
      </w:r>
      <w:r w:rsidRPr="008D1663">
        <w:rPr>
          <w:rFonts w:eastAsia="Times New Roman" w:cs="Arial"/>
          <w:color w:val="000000"/>
          <w:lang w:val="en-US"/>
        </w:rPr>
        <w:t xml:space="preserve"> </w:t>
      </w:r>
      <w:r w:rsidRPr="008D1663">
        <w:rPr>
          <w:rFonts w:eastAsia="Times New Roman" w:cs="Arial"/>
          <w:color w:val="000000"/>
          <w:lang w:eastAsia="bg-BG"/>
        </w:rPr>
        <w:t xml:space="preserve">или нечувствителни </w:t>
      </w:r>
      <w:r w:rsidRPr="008D1663">
        <w:rPr>
          <w:rFonts w:eastAsia="Times New Roman" w:cs="Arial"/>
          <w:i/>
          <w:iCs/>
          <w:color w:val="000000"/>
          <w:lang w:val="en-US"/>
        </w:rPr>
        <w:t xml:space="preserve">(Bacteroides) </w:t>
      </w:r>
      <w:r w:rsidRPr="008D1663">
        <w:rPr>
          <w:rFonts w:eastAsia="Times New Roman" w:cs="Arial"/>
          <w:i/>
          <w:iCs/>
          <w:color w:val="000000"/>
          <w:lang w:eastAsia="bg-BG"/>
        </w:rPr>
        <w:t>към</w:t>
      </w:r>
      <w:r w:rsidRPr="008D1663">
        <w:rPr>
          <w:rFonts w:eastAsia="Times New Roman" w:cs="Arial"/>
          <w:color w:val="000000"/>
          <w:lang w:eastAsia="bg-BG"/>
        </w:rPr>
        <w:t xml:space="preserve"> ципрофлоксацин. Ципрофлоксацин не е ефективен срещу </w:t>
      </w:r>
      <w:r w:rsidRPr="008D1663">
        <w:rPr>
          <w:rFonts w:eastAsia="Times New Roman" w:cs="Arial"/>
          <w:i/>
          <w:iCs/>
          <w:color w:val="000000"/>
          <w:lang w:val="en-US"/>
        </w:rPr>
        <w:t>Treponema pallidum.</w:t>
      </w:r>
    </w:p>
    <w:p w14:paraId="687410E4" w14:textId="77777777" w:rsidR="008D1663" w:rsidRPr="008D1663" w:rsidRDefault="008D1663" w:rsidP="008D1663">
      <w:pPr>
        <w:spacing w:line="240" w:lineRule="auto"/>
        <w:rPr>
          <w:rFonts w:eastAsia="Times New Roman" w:cs="Arial"/>
          <w:color w:val="000000"/>
          <w:lang w:eastAsia="bg-BG"/>
        </w:rPr>
      </w:pPr>
    </w:p>
    <w:p w14:paraId="18255FAB" w14:textId="59B74F8F"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Степента на резистентност показвана от определени микроорганизми може да варира съобразно географската локализация и времето на изолация. Следователно е необходимо да се взема под внимание местната информация за резистентност, особено когато се лекуват тежки инфекции. Информацията в този раздел дава само приблизително ръководство за възможностите кога микроорганизмите ще бъдат чувствителни към ципрофлоксацин или не.</w:t>
      </w:r>
    </w:p>
    <w:p w14:paraId="1AE59D39" w14:textId="77777777" w:rsidR="008D1663" w:rsidRPr="008D1663" w:rsidRDefault="008D1663" w:rsidP="008D1663">
      <w:pPr>
        <w:spacing w:line="240" w:lineRule="auto"/>
        <w:rPr>
          <w:rFonts w:eastAsia="Times New Roman" w:cs="Arial"/>
          <w:color w:val="000000"/>
          <w:lang w:eastAsia="bg-BG"/>
        </w:rPr>
      </w:pPr>
    </w:p>
    <w:p w14:paraId="6CD3F28B" w14:textId="47B8E2E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Развитието на резистентност към ципрофлоксацин е бавен и многостъпален процес.</w:t>
      </w:r>
    </w:p>
    <w:p w14:paraId="62838177" w14:textId="77777777" w:rsidR="008D1663" w:rsidRPr="008D1663" w:rsidRDefault="008D1663" w:rsidP="008D1663">
      <w:pPr>
        <w:spacing w:line="240" w:lineRule="auto"/>
        <w:rPr>
          <w:rFonts w:eastAsia="Times New Roman" w:cs="Arial"/>
          <w:color w:val="000000"/>
          <w:lang w:eastAsia="bg-BG"/>
        </w:rPr>
      </w:pPr>
    </w:p>
    <w:p w14:paraId="1A0CAD05" w14:textId="75CD5D5C"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Плазмид-свързана резистентност не е наблюдавана. От клинично значение е, че плазмид-съдържащите бактерии са напълно чувствителни към ципрофлоксацин. Няма кръстосана резистентност между ципрофлоксацин и бета-лактами, аминогликозиди, тетрациклини, макролцди, полипептиди, сулфонамиди, триметоприм или нитрофуран деривати. Все пак кръстосана резистентност понякога е наблюдавана при бактерии при групата на гиразните инхибитори. Въпреки това ципрофлоксацин понякога е ефективен срещу бактерии, резистентни на други гиразни инхибитори.</w:t>
      </w:r>
    </w:p>
    <w:p w14:paraId="32CBD348" w14:textId="77777777" w:rsidR="008D1663" w:rsidRPr="008D1663" w:rsidRDefault="008D1663" w:rsidP="008D1663">
      <w:pPr>
        <w:spacing w:line="240" w:lineRule="auto"/>
        <w:rPr>
          <w:rFonts w:eastAsia="Times New Roman" w:cs="Arial"/>
          <w:color w:val="000000"/>
          <w:lang w:eastAsia="bg-BG"/>
        </w:rPr>
      </w:pPr>
    </w:p>
    <w:p w14:paraId="7356494B" w14:textId="6A0A938F"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Поради химичната си структура ципрофлоксацин е ефективен срещу бактерии, продуциращи бета-лактамаза.</w:t>
      </w:r>
    </w:p>
    <w:p w14:paraId="3A755C3B" w14:textId="77777777" w:rsidR="008D1663" w:rsidRPr="008D1663" w:rsidRDefault="008D1663" w:rsidP="008D1663">
      <w:pPr>
        <w:spacing w:line="240" w:lineRule="auto"/>
        <w:rPr>
          <w:rFonts w:eastAsia="Times New Roman" w:cs="Arial"/>
          <w:i/>
          <w:iCs/>
          <w:color w:val="000000"/>
          <w:lang w:val="en-US"/>
        </w:rPr>
      </w:pPr>
    </w:p>
    <w:p w14:paraId="5046B017" w14:textId="50752E13" w:rsidR="008D1663" w:rsidRPr="008D1663" w:rsidRDefault="008D1663" w:rsidP="008D1663">
      <w:pPr>
        <w:spacing w:line="240" w:lineRule="auto"/>
        <w:rPr>
          <w:rFonts w:eastAsia="Times New Roman" w:cs="Arial"/>
          <w:sz w:val="28"/>
          <w:szCs w:val="28"/>
          <w:lang w:eastAsia="bg-BG"/>
        </w:rPr>
      </w:pPr>
      <w:r w:rsidRPr="008D1663">
        <w:rPr>
          <w:rFonts w:eastAsia="Times New Roman" w:cs="Arial"/>
          <w:i/>
          <w:iCs/>
          <w:color w:val="000000"/>
          <w:lang w:val="en-US"/>
        </w:rPr>
        <w:t>In-vitro</w:t>
      </w:r>
      <w:r w:rsidRPr="008D1663">
        <w:rPr>
          <w:rFonts w:eastAsia="Times New Roman" w:cs="Arial"/>
          <w:color w:val="000000"/>
          <w:lang w:val="en-US"/>
        </w:rPr>
        <w:t xml:space="preserve"> </w:t>
      </w:r>
      <w:r w:rsidRPr="008D1663">
        <w:rPr>
          <w:rFonts w:eastAsia="Times New Roman" w:cs="Arial"/>
          <w:color w:val="000000"/>
          <w:lang w:eastAsia="bg-BG"/>
        </w:rPr>
        <w:t>приложението на комбинацията от ципрофлоксацин с бета-лактами и аминогликозиди води до адитивни или неутрални ефекти. Синергично действие е релативно рядко, а антагонистични реакции са много редки. Ципрофлоксацин може да се използва в комбинирана терапия с други антибактериални агенти при лечение на инфекции, причинени от:</w:t>
      </w:r>
    </w:p>
    <w:p w14:paraId="36E81867" w14:textId="77777777" w:rsidR="008D1663" w:rsidRPr="008D1663" w:rsidRDefault="008D1663" w:rsidP="008D1663">
      <w:pPr>
        <w:pStyle w:val="ListParagraph"/>
        <w:numPr>
          <w:ilvl w:val="0"/>
          <w:numId w:val="42"/>
        </w:numPr>
        <w:spacing w:line="240" w:lineRule="auto"/>
        <w:rPr>
          <w:rFonts w:eastAsia="Times New Roman" w:cs="Arial"/>
          <w:sz w:val="28"/>
          <w:szCs w:val="28"/>
          <w:lang w:eastAsia="bg-BG"/>
        </w:rPr>
      </w:pPr>
      <w:r w:rsidRPr="008D1663">
        <w:rPr>
          <w:rFonts w:eastAsia="Times New Roman" w:cs="Arial"/>
          <w:i/>
          <w:iCs/>
          <w:color w:val="000000"/>
          <w:lang w:val="en-US"/>
        </w:rPr>
        <w:t>Pseudomonas:</w:t>
      </w:r>
      <w:r w:rsidRPr="008D1663">
        <w:rPr>
          <w:rFonts w:eastAsia="Times New Roman" w:cs="Arial"/>
          <w:color w:val="000000"/>
          <w:lang w:val="en-US"/>
        </w:rPr>
        <w:t xml:space="preserve"> </w:t>
      </w:r>
      <w:r w:rsidRPr="008D1663">
        <w:rPr>
          <w:rFonts w:eastAsia="Times New Roman" w:cs="Arial"/>
          <w:color w:val="000000"/>
          <w:lang w:eastAsia="bg-BG"/>
        </w:rPr>
        <w:t>с азлоцилин, цефтазидим</w:t>
      </w:r>
    </w:p>
    <w:p w14:paraId="1E000966" w14:textId="77777777" w:rsidR="008D1663" w:rsidRPr="008D1663" w:rsidRDefault="008D1663" w:rsidP="008D1663">
      <w:pPr>
        <w:pStyle w:val="ListParagraph"/>
        <w:numPr>
          <w:ilvl w:val="0"/>
          <w:numId w:val="42"/>
        </w:numPr>
        <w:spacing w:line="240" w:lineRule="auto"/>
        <w:rPr>
          <w:rFonts w:eastAsia="Times New Roman" w:cs="Arial"/>
          <w:sz w:val="28"/>
          <w:szCs w:val="28"/>
          <w:lang w:eastAsia="bg-BG"/>
        </w:rPr>
      </w:pPr>
      <w:r w:rsidRPr="008D1663">
        <w:rPr>
          <w:rFonts w:eastAsia="Times New Roman" w:cs="Arial"/>
          <w:i/>
          <w:iCs/>
          <w:color w:val="000000"/>
          <w:lang w:val="en-US"/>
        </w:rPr>
        <w:t>Streptococcus:</w:t>
      </w:r>
      <w:r w:rsidRPr="008D1663">
        <w:rPr>
          <w:rFonts w:eastAsia="Times New Roman" w:cs="Arial"/>
          <w:color w:val="000000"/>
          <w:lang w:val="en-US"/>
        </w:rPr>
        <w:t xml:space="preserve"> </w:t>
      </w:r>
      <w:r w:rsidRPr="008D1663">
        <w:rPr>
          <w:rFonts w:eastAsia="Times New Roman" w:cs="Arial"/>
          <w:color w:val="000000"/>
          <w:lang w:eastAsia="bg-BG"/>
        </w:rPr>
        <w:t>с азлоцилин, мезлоцилин и други ефективни бета-лактамни антибиотици</w:t>
      </w:r>
    </w:p>
    <w:p w14:paraId="14FB126B" w14:textId="77777777" w:rsidR="008D1663" w:rsidRPr="008D1663" w:rsidRDefault="008D1663" w:rsidP="008D1663">
      <w:pPr>
        <w:pStyle w:val="ListParagraph"/>
        <w:numPr>
          <w:ilvl w:val="0"/>
          <w:numId w:val="42"/>
        </w:numPr>
        <w:spacing w:line="240" w:lineRule="auto"/>
        <w:rPr>
          <w:rFonts w:eastAsia="Times New Roman" w:cs="Arial"/>
          <w:sz w:val="28"/>
          <w:szCs w:val="28"/>
          <w:lang w:eastAsia="bg-BG"/>
        </w:rPr>
      </w:pPr>
      <w:r w:rsidRPr="008D1663">
        <w:rPr>
          <w:rFonts w:eastAsia="Times New Roman" w:cs="Arial"/>
          <w:i/>
          <w:iCs/>
          <w:color w:val="000000"/>
          <w:lang w:val="en-US"/>
        </w:rPr>
        <w:t>Staphylococcus:</w:t>
      </w:r>
      <w:r w:rsidRPr="008D1663">
        <w:rPr>
          <w:rFonts w:eastAsia="Times New Roman" w:cs="Arial"/>
          <w:color w:val="000000"/>
          <w:lang w:val="en-US"/>
        </w:rPr>
        <w:t xml:space="preserve"> </w:t>
      </w:r>
      <w:r w:rsidRPr="008D1663">
        <w:rPr>
          <w:rFonts w:eastAsia="Times New Roman" w:cs="Arial"/>
          <w:color w:val="000000"/>
          <w:lang w:eastAsia="bg-BG"/>
        </w:rPr>
        <w:t>с бета-лактамни антибиотици, особено пеницилини, изоксазолини и ванкомицин.</w:t>
      </w:r>
    </w:p>
    <w:p w14:paraId="20DFD697" w14:textId="43E07526" w:rsidR="008D1663" w:rsidRPr="008D1663" w:rsidRDefault="008D1663" w:rsidP="008D1663">
      <w:pPr>
        <w:pStyle w:val="ListParagraph"/>
        <w:numPr>
          <w:ilvl w:val="0"/>
          <w:numId w:val="42"/>
        </w:numPr>
        <w:spacing w:line="240" w:lineRule="auto"/>
        <w:rPr>
          <w:rFonts w:eastAsia="Times New Roman" w:cs="Arial"/>
          <w:sz w:val="28"/>
          <w:szCs w:val="28"/>
          <w:lang w:eastAsia="bg-BG"/>
        </w:rPr>
      </w:pPr>
      <w:r w:rsidRPr="008D1663">
        <w:rPr>
          <w:rFonts w:eastAsia="Times New Roman" w:cs="Arial"/>
          <w:color w:val="000000"/>
          <w:lang w:eastAsia="bg-BG"/>
        </w:rPr>
        <w:t>анаероби: с клиндамицин, метронидазол.</w:t>
      </w:r>
    </w:p>
    <w:p w14:paraId="5880CCF8" w14:textId="77777777" w:rsidR="008D1663" w:rsidRDefault="008D1663" w:rsidP="008D1663">
      <w:pPr>
        <w:rPr>
          <w:rFonts w:ascii="Times New Roman" w:eastAsia="Times New Roman" w:hAnsi="Times New Roman" w:cs="Times New Roman"/>
          <w:i/>
          <w:iCs/>
          <w:color w:val="000000"/>
          <w:sz w:val="20"/>
          <w:szCs w:val="20"/>
          <w:lang w:val="en-US"/>
        </w:rPr>
      </w:pPr>
    </w:p>
    <w:p w14:paraId="5A7DB355" w14:textId="77777777" w:rsidR="008D1663" w:rsidRPr="008D1663" w:rsidRDefault="008D1663" w:rsidP="008D1663"/>
    <w:p w14:paraId="544FFDAF" w14:textId="7EFE3DA7" w:rsidR="00F62E44" w:rsidRDefault="002C50EE" w:rsidP="00387A66">
      <w:pPr>
        <w:pStyle w:val="Heading2"/>
      </w:pPr>
      <w:r>
        <w:t>5.2. Фармакокинетични свойства</w:t>
      </w:r>
    </w:p>
    <w:p w14:paraId="7A902501" w14:textId="06E88297" w:rsidR="008D1663" w:rsidRDefault="008D1663" w:rsidP="008D1663"/>
    <w:p w14:paraId="4C25A7E1"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i/>
          <w:iCs/>
          <w:color w:val="000000"/>
          <w:lang w:eastAsia="bg-BG"/>
        </w:rPr>
        <w:t>Абсорбция</w:t>
      </w:r>
    </w:p>
    <w:p w14:paraId="20E68BA3" w14:textId="18507345" w:rsidR="008D1663" w:rsidRPr="008D1663" w:rsidRDefault="008D1663" w:rsidP="008D1663">
      <w:pPr>
        <w:rPr>
          <w:rFonts w:eastAsia="Times New Roman" w:cs="Arial"/>
          <w:color w:val="000000"/>
          <w:lang w:eastAsia="bg-BG"/>
        </w:rPr>
      </w:pPr>
      <w:r w:rsidRPr="008D1663">
        <w:rPr>
          <w:rFonts w:eastAsia="Times New Roman" w:cs="Arial"/>
          <w:color w:val="000000"/>
          <w:lang w:eastAsia="bg-BG"/>
        </w:rPr>
        <w:t xml:space="preserve">Фармакокинетиката на интравенозния ципрофлоксацин може да се опише като трикомпонентен отворен фармакокинетичен модел с абсорбция от първи порядък. Фармакокинетиката на ципрофлоксацин е линеарна до дози от порядъка на 200 до 400 </w:t>
      </w:r>
      <w:r w:rsidRPr="008D1663">
        <w:rPr>
          <w:rFonts w:eastAsia="Times New Roman" w:cs="Arial"/>
          <w:color w:val="000000"/>
          <w:lang w:val="en-US"/>
        </w:rPr>
        <w:t xml:space="preserve">mg </w:t>
      </w:r>
      <w:r w:rsidRPr="008D1663">
        <w:rPr>
          <w:rFonts w:eastAsia="Times New Roman" w:cs="Arial"/>
          <w:color w:val="000000"/>
          <w:lang w:eastAsia="bg-BG"/>
        </w:rPr>
        <w:t xml:space="preserve">приложени венозно. 60- минутна интравенозна инфузия на 200 </w:t>
      </w:r>
      <w:r w:rsidRPr="008D1663">
        <w:rPr>
          <w:rFonts w:eastAsia="Times New Roman" w:cs="Arial"/>
          <w:color w:val="000000"/>
          <w:lang w:val="en-US"/>
        </w:rPr>
        <w:t xml:space="preserve">mg </w:t>
      </w:r>
      <w:r w:rsidRPr="008D1663">
        <w:rPr>
          <w:rFonts w:eastAsia="Times New Roman" w:cs="Arial"/>
          <w:color w:val="000000"/>
          <w:lang w:eastAsia="bg-BG"/>
        </w:rPr>
        <w:t xml:space="preserve">ципрофлоксацин или перорален прием на 250 </w:t>
      </w:r>
      <w:r w:rsidRPr="008D1663">
        <w:rPr>
          <w:rFonts w:eastAsia="Times New Roman" w:cs="Arial"/>
          <w:color w:val="000000"/>
          <w:lang w:val="en-US"/>
        </w:rPr>
        <w:t xml:space="preserve">mg </w:t>
      </w:r>
      <w:r w:rsidRPr="008D1663">
        <w:rPr>
          <w:rFonts w:eastAsia="Times New Roman" w:cs="Arial"/>
          <w:color w:val="000000"/>
          <w:lang w:eastAsia="bg-BG"/>
        </w:rPr>
        <w:t xml:space="preserve">ципрофлоксацин (и двата приемани на интервал от 12 часа) образуват еквивалентна площ под кривата на серумната концентрация </w:t>
      </w:r>
      <w:r w:rsidRPr="008D1663">
        <w:rPr>
          <w:rFonts w:eastAsia="Times New Roman" w:cs="Arial"/>
          <w:color w:val="000000"/>
          <w:lang w:val="en-US"/>
        </w:rPr>
        <w:t xml:space="preserve">(AUC). </w:t>
      </w:r>
      <w:r w:rsidRPr="008D1663">
        <w:rPr>
          <w:rFonts w:eastAsia="Times New Roman" w:cs="Arial"/>
          <w:color w:val="000000"/>
          <w:lang w:eastAsia="bg-BG"/>
        </w:rPr>
        <w:t xml:space="preserve">След 60-минутна интравенозна инфузия на 400 </w:t>
      </w:r>
      <w:r w:rsidRPr="008D1663">
        <w:rPr>
          <w:rFonts w:eastAsia="Times New Roman" w:cs="Arial"/>
          <w:color w:val="000000"/>
          <w:lang w:val="en-US"/>
        </w:rPr>
        <w:t xml:space="preserve">mg </w:t>
      </w:r>
      <w:r w:rsidRPr="008D1663">
        <w:rPr>
          <w:rFonts w:eastAsia="Times New Roman" w:cs="Arial"/>
          <w:color w:val="000000"/>
          <w:lang w:eastAsia="bg-BG"/>
        </w:rPr>
        <w:t xml:space="preserve">ципрофлоксацин на 12 часа </w:t>
      </w:r>
      <w:r w:rsidRPr="008D1663">
        <w:rPr>
          <w:rFonts w:eastAsia="Times New Roman" w:cs="Arial"/>
          <w:color w:val="000000"/>
          <w:lang w:val="en-US"/>
        </w:rPr>
        <w:t xml:space="preserve">AUC </w:t>
      </w:r>
      <w:r w:rsidRPr="008D1663">
        <w:rPr>
          <w:rFonts w:eastAsia="Times New Roman" w:cs="Arial"/>
          <w:color w:val="000000"/>
          <w:lang w:eastAsia="bg-BG"/>
        </w:rPr>
        <w:t xml:space="preserve">стойностите са подобни на тези след приложение на 500 </w:t>
      </w:r>
      <w:r w:rsidRPr="008D1663">
        <w:rPr>
          <w:rFonts w:eastAsia="Times New Roman" w:cs="Arial"/>
          <w:color w:val="000000"/>
          <w:lang w:val="en-US"/>
        </w:rPr>
        <w:t xml:space="preserve">mg </w:t>
      </w:r>
      <w:r w:rsidRPr="008D1663">
        <w:rPr>
          <w:rFonts w:eastAsia="Times New Roman" w:cs="Arial"/>
          <w:color w:val="000000"/>
          <w:lang w:eastAsia="bg-BG"/>
        </w:rPr>
        <w:t>орална доза на 12 часа. 60-</w:t>
      </w:r>
      <w:r w:rsidRPr="008D1663">
        <w:rPr>
          <w:rFonts w:eastAsia="Times New Roman" w:cs="Arial"/>
          <w:color w:val="000000"/>
          <w:lang w:eastAsia="bg-BG"/>
        </w:rPr>
        <w:lastRenderedPageBreak/>
        <w:t xml:space="preserve">минутна интравенозна инфузия на 400 </w:t>
      </w:r>
      <w:r w:rsidRPr="008D1663">
        <w:rPr>
          <w:rFonts w:eastAsia="Times New Roman" w:cs="Arial"/>
          <w:color w:val="000000"/>
          <w:lang w:val="en-US"/>
        </w:rPr>
        <w:t xml:space="preserve">mg </w:t>
      </w:r>
      <w:r w:rsidRPr="008D1663">
        <w:rPr>
          <w:rFonts w:eastAsia="Times New Roman" w:cs="Arial"/>
          <w:color w:val="000000"/>
          <w:lang w:eastAsia="bg-BG"/>
        </w:rPr>
        <w:t xml:space="preserve">ципрофлоксацин на 8 часа е еквивалентна на </w:t>
      </w:r>
      <w:r w:rsidRPr="008D1663">
        <w:rPr>
          <w:rFonts w:eastAsia="Times New Roman" w:cs="Arial"/>
          <w:color w:val="000000"/>
          <w:lang w:val="en-US"/>
        </w:rPr>
        <w:t xml:space="preserve">AUC </w:t>
      </w:r>
      <w:r w:rsidRPr="008D1663">
        <w:rPr>
          <w:rFonts w:eastAsia="Times New Roman" w:cs="Arial"/>
          <w:color w:val="000000"/>
          <w:lang w:eastAsia="bg-BG"/>
        </w:rPr>
        <w:t xml:space="preserve">при 750 </w:t>
      </w:r>
      <w:r w:rsidRPr="008D1663">
        <w:rPr>
          <w:rFonts w:eastAsia="Times New Roman" w:cs="Arial"/>
          <w:color w:val="000000"/>
          <w:lang w:val="en-US"/>
        </w:rPr>
        <w:t xml:space="preserve">mg </w:t>
      </w:r>
      <w:r w:rsidRPr="008D1663">
        <w:rPr>
          <w:rFonts w:eastAsia="Times New Roman" w:cs="Arial"/>
          <w:color w:val="000000"/>
          <w:lang w:eastAsia="bg-BG"/>
        </w:rPr>
        <w:t>орална доза, давана на 12 часа.</w:t>
      </w:r>
    </w:p>
    <w:p w14:paraId="6162D463" w14:textId="277ACE41" w:rsidR="008D1663" w:rsidRPr="008D1663" w:rsidRDefault="008D1663" w:rsidP="008D1663">
      <w:pPr>
        <w:rPr>
          <w:rFonts w:eastAsia="Times New Roman" w:cs="Arial"/>
          <w:color w:val="000000"/>
          <w:lang w:eastAsia="bg-BG"/>
        </w:rPr>
      </w:pPr>
    </w:p>
    <w:p w14:paraId="0062E69C"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i/>
          <w:iCs/>
          <w:color w:val="000000"/>
          <w:lang w:eastAsia="bg-BG"/>
        </w:rPr>
        <w:t>Разпределение</w:t>
      </w:r>
    </w:p>
    <w:p w14:paraId="6D3597E1"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 xml:space="preserve">Свързването на ципрофлоксацин с плазмените протеини е 20-30%. Той се намира в плазмата предимно в нейонизирана форма и има обем на разпределание от 2-3 </w:t>
      </w:r>
      <w:r w:rsidRPr="008D1663">
        <w:rPr>
          <w:rFonts w:eastAsia="Times New Roman" w:cs="Arial"/>
          <w:color w:val="000000"/>
          <w:lang w:val="en-US"/>
        </w:rPr>
        <w:t xml:space="preserve">1/kg </w:t>
      </w:r>
      <w:r w:rsidRPr="008D1663">
        <w:rPr>
          <w:rFonts w:eastAsia="Times New Roman" w:cs="Arial"/>
          <w:color w:val="000000"/>
          <w:lang w:eastAsia="bg-BG"/>
        </w:rPr>
        <w:t>телесно тегло. Ципрофлав достига високи концентрации в повечето тъкани и телесни течности, където общите концентрации надвишават тези в серума.</w:t>
      </w:r>
    </w:p>
    <w:p w14:paraId="215E7691" w14:textId="77777777" w:rsidR="008D1663" w:rsidRPr="008D1663" w:rsidRDefault="008D1663" w:rsidP="008D1663">
      <w:pPr>
        <w:spacing w:line="240" w:lineRule="auto"/>
        <w:rPr>
          <w:rFonts w:eastAsia="Times New Roman" w:cs="Arial"/>
          <w:i/>
          <w:iCs/>
          <w:color w:val="000000"/>
          <w:lang w:eastAsia="bg-BG"/>
        </w:rPr>
      </w:pPr>
    </w:p>
    <w:p w14:paraId="3C108F32" w14:textId="32C3ECC1" w:rsidR="008D1663" w:rsidRPr="008D1663" w:rsidRDefault="008D1663" w:rsidP="008D1663">
      <w:pPr>
        <w:spacing w:line="240" w:lineRule="auto"/>
        <w:rPr>
          <w:rFonts w:eastAsia="Times New Roman" w:cs="Arial"/>
          <w:sz w:val="28"/>
          <w:szCs w:val="28"/>
          <w:lang w:eastAsia="bg-BG"/>
        </w:rPr>
      </w:pPr>
      <w:r w:rsidRPr="008D1663">
        <w:rPr>
          <w:rFonts w:eastAsia="Times New Roman" w:cs="Arial"/>
          <w:i/>
          <w:iCs/>
          <w:color w:val="000000"/>
          <w:lang w:eastAsia="bg-BG"/>
        </w:rPr>
        <w:t>Метаболизъм</w:t>
      </w:r>
    </w:p>
    <w:p w14:paraId="62524E26"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Идентифицирани са 4 метаболита на ципрофлоксацин: десетиленципрофлоксацин, сулфоципрофлоксацин, оксоципрофлоксацин и формилципрофлоксацин. Всички те имат частична, но сигнификантно ниска антибактериална активност. Метаболитите се екскретират с урината (9,5% от приложената доза) и чрез фецеса (2,6%).</w:t>
      </w:r>
    </w:p>
    <w:p w14:paraId="0E36DA13" w14:textId="77777777" w:rsidR="008D1663" w:rsidRPr="008D1663" w:rsidRDefault="008D1663" w:rsidP="008D1663">
      <w:pPr>
        <w:spacing w:line="240" w:lineRule="auto"/>
        <w:rPr>
          <w:rFonts w:eastAsia="Times New Roman" w:cs="Arial"/>
          <w:i/>
          <w:iCs/>
          <w:color w:val="000000"/>
          <w:lang w:eastAsia="bg-BG"/>
        </w:rPr>
      </w:pPr>
    </w:p>
    <w:p w14:paraId="0A8CF19B" w14:textId="3FF752F8" w:rsidR="008D1663" w:rsidRPr="008D1663" w:rsidRDefault="008D1663" w:rsidP="008D1663">
      <w:pPr>
        <w:spacing w:line="240" w:lineRule="auto"/>
        <w:rPr>
          <w:rFonts w:eastAsia="Times New Roman" w:cs="Arial"/>
          <w:sz w:val="28"/>
          <w:szCs w:val="28"/>
          <w:lang w:eastAsia="bg-BG"/>
        </w:rPr>
      </w:pPr>
      <w:r w:rsidRPr="008D1663">
        <w:rPr>
          <w:rFonts w:eastAsia="Times New Roman" w:cs="Arial"/>
          <w:i/>
          <w:iCs/>
          <w:color w:val="000000"/>
          <w:lang w:eastAsia="bg-BG"/>
        </w:rPr>
        <w:t>Елиминиране</w:t>
      </w:r>
    </w:p>
    <w:p w14:paraId="5C1D8D11"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Ципрофлоксацин се отделя предимно непроменен както чрез бъбреците така и в по-малка степен екстраренално. След интравенозна инфузия 61,5% от дозата се намира в урината и 15,2% във фецеса. Общият клирьнс е между 0,48-0,60</w:t>
      </w:r>
      <w:r w:rsidRPr="008D1663">
        <w:rPr>
          <w:rFonts w:eastAsia="Times New Roman" w:cs="Arial"/>
          <w:color w:val="000000"/>
          <w:lang w:val="en-US"/>
        </w:rPr>
        <w:t xml:space="preserve">1/h/kg, </w:t>
      </w:r>
      <w:r w:rsidRPr="008D1663">
        <w:rPr>
          <w:rFonts w:eastAsia="Times New Roman" w:cs="Arial"/>
          <w:color w:val="000000"/>
          <w:lang w:eastAsia="bg-BG"/>
        </w:rPr>
        <w:t>с бъбречен клирьнс между 0,18-0,30</w:t>
      </w:r>
      <w:r w:rsidRPr="008D1663">
        <w:rPr>
          <w:rFonts w:eastAsia="Times New Roman" w:cs="Arial"/>
          <w:color w:val="000000"/>
          <w:lang w:val="en-US"/>
        </w:rPr>
        <w:t xml:space="preserve">1/h/kg. </w:t>
      </w:r>
      <w:r w:rsidRPr="008D1663">
        <w:rPr>
          <w:rFonts w:eastAsia="Times New Roman" w:cs="Arial"/>
          <w:color w:val="000000"/>
          <w:lang w:eastAsia="bg-BG"/>
        </w:rPr>
        <w:t>Извънбъбречния клирьнс на ципрофлоксацин се дължи главно на активна трансинтестинална секреция, както и на метаболизация. 1 % от дозата се отделя чрез жлъчката. Ципрофликсацин се намира в жлъчката във високи концентрации.</w:t>
      </w:r>
    </w:p>
    <w:p w14:paraId="0DC5B2D1" w14:textId="77777777" w:rsidR="008D1663" w:rsidRPr="008D1663" w:rsidRDefault="008D1663" w:rsidP="008D1663">
      <w:pPr>
        <w:spacing w:line="240" w:lineRule="auto"/>
        <w:rPr>
          <w:rFonts w:eastAsia="Times New Roman" w:cs="Arial"/>
          <w:color w:val="000000"/>
          <w:lang w:eastAsia="bg-BG"/>
        </w:rPr>
      </w:pPr>
    </w:p>
    <w:p w14:paraId="74B9A322" w14:textId="6958C68B" w:rsidR="008D1663" w:rsidRPr="008D1663" w:rsidRDefault="008D1663" w:rsidP="008D1663">
      <w:pPr>
        <w:spacing w:line="240" w:lineRule="auto"/>
        <w:rPr>
          <w:rFonts w:ascii="Times New Roman" w:eastAsia="Times New Roman" w:hAnsi="Times New Roman" w:cs="Times New Roman"/>
          <w:sz w:val="24"/>
          <w:szCs w:val="24"/>
          <w:lang w:eastAsia="bg-BG"/>
        </w:rPr>
      </w:pPr>
      <w:r w:rsidRPr="008D1663">
        <w:rPr>
          <w:rFonts w:eastAsia="Times New Roman" w:cs="Arial"/>
          <w:color w:val="000000"/>
          <w:lang w:eastAsia="bg-BG"/>
        </w:rPr>
        <w:t>Ципрофлоксацин преминава плапентарната бариера и прониква в майчиното мляко.</w:t>
      </w:r>
    </w:p>
    <w:p w14:paraId="2D4769DB" w14:textId="77777777" w:rsidR="008D1663" w:rsidRPr="008D1663" w:rsidRDefault="008D1663" w:rsidP="008D1663"/>
    <w:p w14:paraId="6925FEB0" w14:textId="4A117272" w:rsidR="00F62E44" w:rsidRDefault="002C50EE" w:rsidP="00387A66">
      <w:pPr>
        <w:pStyle w:val="Heading2"/>
      </w:pPr>
      <w:r>
        <w:t>5.3. Предклинични данни за безопасност</w:t>
      </w:r>
    </w:p>
    <w:p w14:paraId="1A6052E3" w14:textId="7C588F46" w:rsidR="008D1663" w:rsidRDefault="008D1663" w:rsidP="008D1663"/>
    <w:p w14:paraId="10EC5439"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 xml:space="preserve">Няколко проучвания </w:t>
      </w:r>
      <w:r w:rsidRPr="008D1663">
        <w:rPr>
          <w:rFonts w:eastAsia="Times New Roman" w:cs="Arial"/>
          <w:i/>
          <w:iCs/>
          <w:color w:val="000000"/>
          <w:lang w:val="en-US"/>
        </w:rPr>
        <w:t>in vitro</w:t>
      </w:r>
      <w:r w:rsidRPr="008D1663">
        <w:rPr>
          <w:rFonts w:eastAsia="Times New Roman" w:cs="Arial"/>
          <w:color w:val="000000"/>
          <w:lang w:val="en-US"/>
        </w:rPr>
        <w:t xml:space="preserve"> </w:t>
      </w:r>
      <w:r w:rsidRPr="008D1663">
        <w:rPr>
          <w:rFonts w:eastAsia="Times New Roman" w:cs="Arial"/>
          <w:color w:val="000000"/>
          <w:lang w:eastAsia="bg-BG"/>
        </w:rPr>
        <w:t xml:space="preserve">и </w:t>
      </w:r>
      <w:r w:rsidRPr="008D1663">
        <w:rPr>
          <w:rFonts w:eastAsia="Times New Roman" w:cs="Arial"/>
          <w:i/>
          <w:iCs/>
          <w:color w:val="000000"/>
          <w:lang w:val="en-US"/>
        </w:rPr>
        <w:t>in vivo</w:t>
      </w:r>
      <w:r w:rsidRPr="008D1663">
        <w:rPr>
          <w:rFonts w:eastAsia="Times New Roman" w:cs="Arial"/>
          <w:color w:val="000000"/>
          <w:lang w:val="en-US"/>
        </w:rPr>
        <w:t xml:space="preserve"> </w:t>
      </w:r>
      <w:r w:rsidRPr="008D1663">
        <w:rPr>
          <w:rFonts w:eastAsia="Times New Roman" w:cs="Arial"/>
          <w:color w:val="000000"/>
          <w:lang w:eastAsia="bg-BG"/>
        </w:rPr>
        <w:t xml:space="preserve">върху карциногенеза и тератогенеза са свързани с ципрофлоксацин. Две от осем </w:t>
      </w:r>
      <w:r w:rsidRPr="008D1663">
        <w:rPr>
          <w:rFonts w:eastAsia="Times New Roman" w:cs="Arial"/>
          <w:i/>
          <w:iCs/>
          <w:color w:val="000000"/>
          <w:lang w:val="en-US"/>
        </w:rPr>
        <w:t>in vitro</w:t>
      </w:r>
      <w:r w:rsidRPr="008D1663">
        <w:rPr>
          <w:rFonts w:eastAsia="Times New Roman" w:cs="Arial"/>
          <w:color w:val="000000"/>
          <w:lang w:val="en-US"/>
        </w:rPr>
        <w:t xml:space="preserve"> </w:t>
      </w:r>
      <w:r w:rsidRPr="008D1663">
        <w:rPr>
          <w:rFonts w:eastAsia="Times New Roman" w:cs="Arial"/>
          <w:color w:val="000000"/>
          <w:lang w:eastAsia="bg-BG"/>
        </w:rPr>
        <w:t xml:space="preserve">проучвания дават позитивни резултати: </w:t>
      </w:r>
      <w:r w:rsidRPr="008D1663">
        <w:rPr>
          <w:rFonts w:eastAsia="Times New Roman" w:cs="Arial"/>
          <w:i/>
          <w:iCs/>
          <w:color w:val="000000"/>
          <w:lang w:val="en-US"/>
        </w:rPr>
        <w:t>Mouse Lymphoma Cell Forward Mutation Assay</w:t>
      </w:r>
      <w:r w:rsidRPr="008D1663">
        <w:rPr>
          <w:rFonts w:eastAsia="Times New Roman" w:cs="Arial"/>
          <w:color w:val="000000"/>
          <w:lang w:val="en-US"/>
        </w:rPr>
        <w:t xml:space="preserve"> </w:t>
      </w:r>
      <w:r w:rsidRPr="008D1663">
        <w:rPr>
          <w:rFonts w:eastAsia="Times New Roman" w:cs="Arial"/>
          <w:color w:val="000000"/>
          <w:lang w:eastAsia="bg-BG"/>
        </w:rPr>
        <w:t xml:space="preserve">и </w:t>
      </w:r>
      <w:r w:rsidRPr="008D1663">
        <w:rPr>
          <w:rFonts w:eastAsia="Times New Roman" w:cs="Arial"/>
          <w:i/>
          <w:iCs/>
          <w:color w:val="000000"/>
          <w:lang w:val="en-US"/>
        </w:rPr>
        <w:t xml:space="preserve">Rat Hepatocyte Primary Culture DNA </w:t>
      </w:r>
      <w:proofErr w:type="spellStart"/>
      <w:r w:rsidRPr="008D1663">
        <w:rPr>
          <w:rFonts w:eastAsia="Times New Roman" w:cs="Arial"/>
          <w:i/>
          <w:iCs/>
          <w:color w:val="000000"/>
          <w:lang w:val="en-US"/>
        </w:rPr>
        <w:t>Repcar</w:t>
      </w:r>
      <w:proofErr w:type="spellEnd"/>
      <w:r w:rsidRPr="008D1663">
        <w:rPr>
          <w:rFonts w:eastAsia="Times New Roman" w:cs="Arial"/>
          <w:i/>
          <w:iCs/>
          <w:color w:val="000000"/>
          <w:lang w:val="en-US"/>
        </w:rPr>
        <w:t xml:space="preserve"> Assay (USD).</w:t>
      </w:r>
      <w:r w:rsidRPr="008D1663">
        <w:rPr>
          <w:rFonts w:eastAsia="Times New Roman" w:cs="Arial"/>
          <w:color w:val="000000"/>
          <w:lang w:val="en-US"/>
        </w:rPr>
        <w:t xml:space="preserve"> </w:t>
      </w:r>
      <w:r w:rsidRPr="008D1663">
        <w:rPr>
          <w:rFonts w:eastAsia="Times New Roman" w:cs="Arial"/>
          <w:color w:val="000000"/>
          <w:lang w:eastAsia="bg-BG"/>
        </w:rPr>
        <w:t xml:space="preserve">Въпреки това, негативни резултати при четирите </w:t>
      </w:r>
      <w:r w:rsidRPr="008D1663">
        <w:rPr>
          <w:rFonts w:eastAsia="Times New Roman" w:cs="Arial"/>
          <w:i/>
          <w:iCs/>
          <w:color w:val="000000"/>
          <w:lang w:val="en-US"/>
        </w:rPr>
        <w:t>in vivo</w:t>
      </w:r>
      <w:r w:rsidRPr="008D1663">
        <w:rPr>
          <w:rFonts w:eastAsia="Times New Roman" w:cs="Arial"/>
          <w:color w:val="000000"/>
          <w:lang w:val="en-US"/>
        </w:rPr>
        <w:t xml:space="preserve"> </w:t>
      </w:r>
      <w:r w:rsidRPr="008D1663">
        <w:rPr>
          <w:rFonts w:eastAsia="Times New Roman" w:cs="Arial"/>
          <w:color w:val="000000"/>
          <w:lang w:eastAsia="bg-BG"/>
        </w:rPr>
        <w:t>проучвания. Все пак ципрофлоксацин няма сигнификантен мутагенен потенциал, както е потвърдено при дългогодишни проучвания върху мишки и плъхове.</w:t>
      </w:r>
    </w:p>
    <w:p w14:paraId="7C9B8D08" w14:textId="77777777" w:rsidR="008D1663" w:rsidRPr="008D1663" w:rsidRDefault="008D1663" w:rsidP="008D1663">
      <w:pPr>
        <w:spacing w:line="240" w:lineRule="auto"/>
        <w:rPr>
          <w:rFonts w:eastAsia="Times New Roman" w:cs="Arial"/>
          <w:color w:val="000000"/>
          <w:lang w:eastAsia="bg-BG"/>
        </w:rPr>
      </w:pPr>
    </w:p>
    <w:p w14:paraId="5567DA75" w14:textId="395B3F63"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При дългосрочно две годишно проучване върху мишки и плъхове не е установен карциногенен потенциал или индукция на тумори. Ципрофлоксацин също не повлиява фертилността, вътреутробното развитие и постнаталното развитие при млади плъхове.</w:t>
      </w:r>
    </w:p>
    <w:p w14:paraId="0C34ACD9"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Няма данни за ембриотоксично или тератогенно действие на ципрофлоксацин.</w:t>
      </w:r>
    </w:p>
    <w:p w14:paraId="5BD7BB5A"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Не са установени ефекти върху перинаталното и постнаталното развитие при животни. Хистологични изследвания не показват белези на увреждане на хрущяла.</w:t>
      </w:r>
    </w:p>
    <w:p w14:paraId="7E3B4036"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Изследвания върху животни, както със старите гиразни инхибитори (налидиксова киселина), така и с по-новите (норфлоксацин) показват, че тези субстанции предизвикват характерни увреждания на бъбреците, очите и ставния хрущял у незрели животни.</w:t>
      </w:r>
    </w:p>
    <w:p w14:paraId="421B53A0"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 xml:space="preserve">Кристализацията, наблюдавана при проучвания върху животни се проявява при </w:t>
      </w:r>
      <w:r w:rsidRPr="008D1663">
        <w:rPr>
          <w:rFonts w:eastAsia="Times New Roman" w:cs="Arial"/>
          <w:color w:val="000000"/>
          <w:lang w:val="en-US"/>
        </w:rPr>
        <w:t xml:space="preserve">pH </w:t>
      </w:r>
      <w:r w:rsidRPr="008D1663">
        <w:rPr>
          <w:rFonts w:eastAsia="Times New Roman" w:cs="Arial"/>
          <w:color w:val="000000"/>
          <w:lang w:eastAsia="bg-BG"/>
        </w:rPr>
        <w:t xml:space="preserve">условия по- ниски от тези при човека. В сравнение с бързата инфузия, рискът от преципитация на кристали е по-нисък при бавна инфузия. Забелязано е, че преципитацията на кристали в реналните тубули не води незабавно и автоматично до бъбречно увреждане. При проучванията върху животни, бъбречно увреждане се наблюдава само след осем дози с кореспондиращи високи нива на кристалурия. </w:t>
      </w:r>
      <w:r w:rsidRPr="008D1663">
        <w:rPr>
          <w:rFonts w:eastAsia="Times New Roman" w:cs="Arial"/>
          <w:color w:val="000000"/>
          <w:lang w:eastAsia="bg-BG"/>
        </w:rPr>
        <w:lastRenderedPageBreak/>
        <w:t>Бъбречно увреждане без наличие на кристалурия не е наблюдавано. Следователно бъбречното увреждане, наблюдавано при проучванията върху животни, трябва да се разглежда като типична вторична възпалителна реакция тип чуждо тяло, дължаща се на преципитация на кристален комплекс от ципрофлоксацин, магнезий и протеин.</w:t>
      </w:r>
    </w:p>
    <w:p w14:paraId="2D63EC48" w14:textId="77777777"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Както и другите хинолони ципрофлоксацин предизвиква увреждане на големите носещи стави при животни в период на растеж. Степента на ставното увреждане варира според възрастта, вида и дозата; увреждането може да се намали като се отбременят ставите. Проучвания върху зрели животни (плъх, куче) не показват данни за увреждания на хрущялите, дължащи се на ципрофлоксацин.</w:t>
      </w:r>
    </w:p>
    <w:p w14:paraId="6D6C40BF" w14:textId="0277B1BC" w:rsidR="008D1663" w:rsidRPr="008D1663" w:rsidRDefault="008D1663" w:rsidP="008D1663">
      <w:pPr>
        <w:spacing w:line="240" w:lineRule="auto"/>
        <w:rPr>
          <w:rFonts w:eastAsia="Times New Roman" w:cs="Arial"/>
          <w:sz w:val="28"/>
          <w:szCs w:val="28"/>
          <w:lang w:eastAsia="bg-BG"/>
        </w:rPr>
      </w:pPr>
      <w:r w:rsidRPr="008D1663">
        <w:rPr>
          <w:rFonts w:eastAsia="Times New Roman" w:cs="Arial"/>
          <w:color w:val="000000"/>
          <w:lang w:eastAsia="bg-BG"/>
        </w:rPr>
        <w:t>Проучвания върху токсичността показват, че ципрофлоксацин не е свързан с риск от индукция на катаракта. Също така ципрофлоксацин не влияе върху морфологичната структура</w:t>
      </w:r>
      <w:r w:rsidR="00F12635">
        <w:rPr>
          <w:rFonts w:eastAsia="Times New Roman" w:cs="Arial"/>
          <w:color w:val="000000"/>
          <w:lang w:eastAsia="bg-BG"/>
        </w:rPr>
        <w:t xml:space="preserve"> на ретината и</w:t>
      </w:r>
      <w:r w:rsidRPr="008D1663">
        <w:rPr>
          <w:rFonts w:eastAsia="Times New Roman" w:cs="Arial"/>
          <w:color w:val="000000"/>
          <w:lang w:eastAsia="bg-BG"/>
        </w:rPr>
        <w:t xml:space="preserve"> резултатите от електроретинографията.</w:t>
      </w:r>
    </w:p>
    <w:p w14:paraId="6C7D7533" w14:textId="77777777" w:rsidR="008D1663" w:rsidRPr="008D1663" w:rsidRDefault="008D1663" w:rsidP="008D1663"/>
    <w:p w14:paraId="357049A8" w14:textId="7B81219C" w:rsidR="00BB22B4" w:rsidRDefault="002C50EE" w:rsidP="00471F10">
      <w:pPr>
        <w:pStyle w:val="Heading1"/>
      </w:pPr>
      <w:r>
        <w:t>7. ПРИТЕЖАТЕЛ НА РАЗРЕШЕНИЕТО ЗА УПОТРЕБА</w:t>
      </w:r>
    </w:p>
    <w:p w14:paraId="23F352A3" w14:textId="48B5FF85" w:rsidR="008D1663" w:rsidRDefault="008D1663" w:rsidP="008D1663"/>
    <w:p w14:paraId="635577FF" w14:textId="77777777" w:rsidR="008D1663" w:rsidRPr="008D1663" w:rsidRDefault="008D1663" w:rsidP="008D1663">
      <w:pPr>
        <w:rPr>
          <w:sz w:val="24"/>
          <w:szCs w:val="24"/>
          <w:lang w:val="en-US" w:eastAsia="bg-BG"/>
        </w:rPr>
      </w:pPr>
      <w:r w:rsidRPr="008D1663">
        <w:rPr>
          <w:lang w:val="en-US"/>
        </w:rPr>
        <w:t xml:space="preserve">Warsaw Pharmaceutical Works </w:t>
      </w:r>
      <w:proofErr w:type="spellStart"/>
      <w:r w:rsidRPr="008D1663">
        <w:rPr>
          <w:lang w:val="en-US"/>
        </w:rPr>
        <w:t>Polfa</w:t>
      </w:r>
      <w:proofErr w:type="spellEnd"/>
      <w:r w:rsidRPr="008D1663">
        <w:rPr>
          <w:lang w:val="en-US"/>
        </w:rPr>
        <w:t xml:space="preserve"> S.A.</w:t>
      </w:r>
    </w:p>
    <w:p w14:paraId="09187606" w14:textId="60E95391" w:rsidR="008D1663" w:rsidRPr="008D1663" w:rsidRDefault="008D1663" w:rsidP="008D1663">
      <w:proofErr w:type="spellStart"/>
      <w:r w:rsidRPr="008D1663">
        <w:rPr>
          <w:lang w:val="en-US"/>
        </w:rPr>
        <w:t>Karolkowa</w:t>
      </w:r>
      <w:proofErr w:type="spellEnd"/>
      <w:r w:rsidRPr="008D1663">
        <w:rPr>
          <w:lang w:val="en-US"/>
        </w:rPr>
        <w:t xml:space="preserve"> Str. </w:t>
      </w:r>
      <w:r w:rsidRPr="008D1663">
        <w:rPr>
          <w:lang w:eastAsia="bg-BG"/>
        </w:rPr>
        <w:t xml:space="preserve">22/24; </w:t>
      </w:r>
      <w:r w:rsidRPr="008D1663">
        <w:rPr>
          <w:lang w:val="en-US"/>
        </w:rPr>
        <w:t xml:space="preserve">01-207 Warsaw, </w:t>
      </w:r>
      <w:r w:rsidRPr="008D1663">
        <w:rPr>
          <w:lang w:eastAsia="bg-BG"/>
        </w:rPr>
        <w:t>Полша</w:t>
      </w:r>
    </w:p>
    <w:p w14:paraId="0A53321D" w14:textId="44FB5DB0" w:rsidR="00EE6C97" w:rsidRDefault="00936AD0" w:rsidP="00A93499">
      <w:pPr>
        <w:pStyle w:val="Heading1"/>
      </w:pPr>
      <w:r>
        <w:t>8.</w:t>
      </w:r>
      <w:r w:rsidR="002C50EE">
        <w:t>НОМЕР НА РАЗРЕШЕНИЕТО ЗА УПОТРЕБА</w:t>
      </w:r>
    </w:p>
    <w:p w14:paraId="7A4604DF" w14:textId="6B35DA57" w:rsidR="008D1663" w:rsidRDefault="008D1663" w:rsidP="008D1663"/>
    <w:p w14:paraId="0C063B36" w14:textId="13ACB9A4" w:rsidR="008D1663" w:rsidRPr="008D1663" w:rsidRDefault="008D1663" w:rsidP="008D1663">
      <w:r>
        <w:t>Регистрационен номер: 20060130</w:t>
      </w:r>
    </w:p>
    <w:p w14:paraId="7C2688F5" w14:textId="6D610EDF" w:rsidR="00F62E44" w:rsidRDefault="00F62E44" w:rsidP="00F62E44"/>
    <w:p w14:paraId="00481C21" w14:textId="055E9C12" w:rsidR="00F62E44" w:rsidRDefault="002C50EE" w:rsidP="00387A66">
      <w:pPr>
        <w:pStyle w:val="Heading1"/>
      </w:pPr>
      <w:r>
        <w:t>9. ДАТА НА ПЪРВО РАЗРЕШАВАНЕ/ПОДНОВЯВАНЕ НА РАЗРЕШЕНИЕТО ЗА УПОТРЕБА</w:t>
      </w:r>
    </w:p>
    <w:p w14:paraId="19960AD3" w14:textId="2C2A018B" w:rsidR="008D1663" w:rsidRDefault="008D1663" w:rsidP="008D1663"/>
    <w:p w14:paraId="6289F082" w14:textId="2540FF6C" w:rsidR="008D1663" w:rsidRPr="008D1663" w:rsidRDefault="008D1663" w:rsidP="008D1663">
      <w:r>
        <w:t>20.03.2006/11.11.2011</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E24AB"/>
    <w:multiLevelType w:val="hybridMultilevel"/>
    <w:tmpl w:val="DC4AAE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E795A"/>
    <w:multiLevelType w:val="hybridMultilevel"/>
    <w:tmpl w:val="967A50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274ED"/>
    <w:multiLevelType w:val="hybridMultilevel"/>
    <w:tmpl w:val="1FFC5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7"/>
  </w:num>
  <w:num w:numId="4" w16cid:durableId="2135319613">
    <w:abstractNumId w:val="3"/>
  </w:num>
  <w:num w:numId="5" w16cid:durableId="740105516">
    <w:abstractNumId w:val="1"/>
  </w:num>
  <w:num w:numId="6" w16cid:durableId="1668363208">
    <w:abstractNumId w:val="21"/>
  </w:num>
  <w:num w:numId="7" w16cid:durableId="1241988161">
    <w:abstractNumId w:val="13"/>
  </w:num>
  <w:num w:numId="8" w16cid:durableId="2102022361">
    <w:abstractNumId w:val="20"/>
  </w:num>
  <w:num w:numId="9" w16cid:durableId="1154613663">
    <w:abstractNumId w:val="2"/>
  </w:num>
  <w:num w:numId="10" w16cid:durableId="1733848127">
    <w:abstractNumId w:val="4"/>
  </w:num>
  <w:num w:numId="11" w16cid:durableId="1861704680">
    <w:abstractNumId w:val="35"/>
  </w:num>
  <w:num w:numId="12" w16cid:durableId="1434934028">
    <w:abstractNumId w:val="18"/>
  </w:num>
  <w:num w:numId="13" w16cid:durableId="479157895">
    <w:abstractNumId w:val="24"/>
  </w:num>
  <w:num w:numId="14" w16cid:durableId="1670476636">
    <w:abstractNumId w:val="15"/>
  </w:num>
  <w:num w:numId="15" w16cid:durableId="1000155783">
    <w:abstractNumId w:val="34"/>
  </w:num>
  <w:num w:numId="16" w16cid:durableId="2056420707">
    <w:abstractNumId w:val="12"/>
  </w:num>
  <w:num w:numId="17" w16cid:durableId="1787119182">
    <w:abstractNumId w:val="29"/>
  </w:num>
  <w:num w:numId="18" w16cid:durableId="722945139">
    <w:abstractNumId w:val="8"/>
  </w:num>
  <w:num w:numId="19" w16cid:durableId="1678728408">
    <w:abstractNumId w:val="31"/>
  </w:num>
  <w:num w:numId="20" w16cid:durableId="1970816657">
    <w:abstractNumId w:val="28"/>
  </w:num>
  <w:num w:numId="21" w16cid:durableId="1531146514">
    <w:abstractNumId w:val="22"/>
  </w:num>
  <w:num w:numId="22" w16cid:durableId="1276465">
    <w:abstractNumId w:val="30"/>
  </w:num>
  <w:num w:numId="23" w16cid:durableId="1624310558">
    <w:abstractNumId w:val="23"/>
  </w:num>
  <w:num w:numId="24" w16cid:durableId="1692877547">
    <w:abstractNumId w:val="9"/>
  </w:num>
  <w:num w:numId="25" w16cid:durableId="50930855">
    <w:abstractNumId w:val="27"/>
  </w:num>
  <w:num w:numId="26" w16cid:durableId="176701536">
    <w:abstractNumId w:val="26"/>
  </w:num>
  <w:num w:numId="27" w16cid:durableId="2050564750">
    <w:abstractNumId w:val="37"/>
  </w:num>
  <w:num w:numId="28" w16cid:durableId="1820733422">
    <w:abstractNumId w:val="6"/>
  </w:num>
  <w:num w:numId="29" w16cid:durableId="973678124">
    <w:abstractNumId w:val="25"/>
  </w:num>
  <w:num w:numId="30" w16cid:durableId="154884452">
    <w:abstractNumId w:val="41"/>
  </w:num>
  <w:num w:numId="31" w16cid:durableId="1053964910">
    <w:abstractNumId w:val="5"/>
  </w:num>
  <w:num w:numId="32" w16cid:durableId="2073575793">
    <w:abstractNumId w:val="39"/>
  </w:num>
  <w:num w:numId="33" w16cid:durableId="1566643170">
    <w:abstractNumId w:val="33"/>
  </w:num>
  <w:num w:numId="34" w16cid:durableId="2060787732">
    <w:abstractNumId w:val="38"/>
  </w:num>
  <w:num w:numId="35" w16cid:durableId="34161354">
    <w:abstractNumId w:val="7"/>
  </w:num>
  <w:num w:numId="36" w16cid:durableId="1976908676">
    <w:abstractNumId w:val="10"/>
  </w:num>
  <w:num w:numId="37" w16cid:durableId="758528303">
    <w:abstractNumId w:val="19"/>
  </w:num>
  <w:num w:numId="38" w16cid:durableId="178396561">
    <w:abstractNumId w:val="40"/>
  </w:num>
  <w:num w:numId="39" w16cid:durableId="934825996">
    <w:abstractNumId w:val="14"/>
  </w:num>
  <w:num w:numId="40" w16cid:durableId="817918499">
    <w:abstractNumId w:val="36"/>
  </w:num>
  <w:num w:numId="41" w16cid:durableId="1976450209">
    <w:abstractNumId w:val="16"/>
  </w:num>
  <w:num w:numId="42" w16cid:durableId="1726492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6D4094"/>
    <w:rsid w:val="007122AD"/>
    <w:rsid w:val="0075649D"/>
    <w:rsid w:val="007C605B"/>
    <w:rsid w:val="008134C8"/>
    <w:rsid w:val="00814073"/>
    <w:rsid w:val="00826F0D"/>
    <w:rsid w:val="00875EEC"/>
    <w:rsid w:val="00893B92"/>
    <w:rsid w:val="008A6AF2"/>
    <w:rsid w:val="008C70A2"/>
    <w:rsid w:val="008D1663"/>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12635"/>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5773</Words>
  <Characters>32909</Characters>
  <Application>Microsoft Office Word</Application>
  <DocSecurity>0</DocSecurity>
  <Lines>274</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2023-03-05T12:10:00Z</dcterms:created>
  <dcterms:modified xsi:type="dcterms:W3CDTF">2023-03-05T19:05:00Z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