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5113FEE6"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 xml:space="preserve">Ципрофлоксацин Екофарм 500 </w:t>
      </w:r>
      <w:r w:rsidRPr="00595C6C">
        <w:rPr>
          <w:rFonts w:eastAsia="Times New Roman" w:cs="Arial"/>
          <w:color w:val="000000"/>
          <w:szCs w:val="20"/>
          <w:lang w:val="en-US"/>
        </w:rPr>
        <w:t xml:space="preserve">mg </w:t>
      </w:r>
      <w:r w:rsidRPr="00595C6C">
        <w:rPr>
          <w:rFonts w:eastAsia="Times New Roman" w:cs="Arial"/>
          <w:color w:val="000000"/>
          <w:szCs w:val="20"/>
          <w:lang w:eastAsia="bg-BG"/>
        </w:rPr>
        <w:t>филмирани таблетки</w:t>
      </w:r>
    </w:p>
    <w:p w14:paraId="6399510B" w14:textId="77777777" w:rsidR="00595C6C" w:rsidRPr="00595C6C" w:rsidRDefault="00595C6C" w:rsidP="00595C6C">
      <w:pPr>
        <w:rPr>
          <w:rFonts w:eastAsia="Times New Roman" w:cs="Arial"/>
          <w:color w:val="000000"/>
          <w:szCs w:val="20"/>
          <w:lang w:val="en-US"/>
        </w:rPr>
      </w:pPr>
    </w:p>
    <w:p w14:paraId="5015A1FD" w14:textId="71F1C82D" w:rsidR="00A73575" w:rsidRPr="00595C6C" w:rsidRDefault="00595C6C" w:rsidP="00595C6C">
      <w:pPr>
        <w:rPr>
          <w:rFonts w:cs="Arial"/>
          <w:sz w:val="24"/>
        </w:rPr>
      </w:pPr>
      <w:r w:rsidRPr="00595C6C">
        <w:rPr>
          <w:rFonts w:eastAsia="Times New Roman" w:cs="Arial"/>
          <w:color w:val="000000"/>
          <w:szCs w:val="20"/>
          <w:lang w:val="en-US"/>
        </w:rPr>
        <w:t xml:space="preserve">Ciprofloxacin </w:t>
      </w:r>
      <w:proofErr w:type="spellStart"/>
      <w:r w:rsidRPr="00595C6C">
        <w:rPr>
          <w:rFonts w:eastAsia="Times New Roman" w:cs="Arial"/>
          <w:color w:val="000000"/>
          <w:szCs w:val="20"/>
          <w:lang w:val="en-US"/>
        </w:rPr>
        <w:t>Ecopharm</w:t>
      </w:r>
      <w:proofErr w:type="spellEnd"/>
      <w:r w:rsidRPr="00595C6C">
        <w:rPr>
          <w:rFonts w:eastAsia="Times New Roman" w:cs="Arial"/>
          <w:color w:val="000000"/>
          <w:szCs w:val="20"/>
          <w:lang w:val="en-US"/>
        </w:rPr>
        <w:t xml:space="preserve"> </w:t>
      </w:r>
      <w:r w:rsidRPr="00595C6C">
        <w:rPr>
          <w:rFonts w:eastAsia="Times New Roman" w:cs="Arial"/>
          <w:color w:val="000000"/>
          <w:szCs w:val="20"/>
          <w:lang w:eastAsia="bg-BG"/>
        </w:rPr>
        <w:t xml:space="preserve">500 </w:t>
      </w:r>
      <w:r w:rsidRPr="00595C6C">
        <w:rPr>
          <w:rFonts w:eastAsia="Times New Roman" w:cs="Arial"/>
          <w:color w:val="000000"/>
          <w:szCs w:val="2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6C54D269"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 xml:space="preserve">Всяка филмирана таблетка съдържа ципрофлоксацин хидрохлорца </w:t>
      </w:r>
      <w:r w:rsidRPr="00595C6C">
        <w:rPr>
          <w:rFonts w:eastAsia="Times New Roman" w:cs="Arial"/>
          <w:i/>
          <w:iCs/>
          <w:color w:val="000000"/>
          <w:szCs w:val="20"/>
          <w:lang w:val="en-US"/>
        </w:rPr>
        <w:t xml:space="preserve">(ciprofloxacin hydrochloride), </w:t>
      </w:r>
      <w:r w:rsidRPr="00595C6C">
        <w:rPr>
          <w:rFonts w:eastAsia="Times New Roman" w:cs="Arial"/>
          <w:color w:val="000000"/>
          <w:szCs w:val="20"/>
          <w:lang w:eastAsia="bg-BG"/>
        </w:rPr>
        <w:t xml:space="preserve">еквивалентен на 500 </w:t>
      </w:r>
      <w:r w:rsidRPr="00595C6C">
        <w:rPr>
          <w:rFonts w:eastAsia="Times New Roman" w:cs="Arial"/>
          <w:color w:val="000000"/>
          <w:szCs w:val="20"/>
          <w:lang w:val="en-US"/>
        </w:rPr>
        <w:t xml:space="preserve">mg </w:t>
      </w:r>
      <w:r w:rsidRPr="00595C6C">
        <w:rPr>
          <w:rFonts w:eastAsia="Times New Roman" w:cs="Arial"/>
          <w:color w:val="000000"/>
          <w:szCs w:val="20"/>
          <w:lang w:eastAsia="bg-BG"/>
        </w:rPr>
        <w:t xml:space="preserve">ципрофлоксацин </w:t>
      </w:r>
      <w:r w:rsidRPr="00595C6C">
        <w:rPr>
          <w:rFonts w:eastAsia="Times New Roman" w:cs="Arial"/>
          <w:i/>
          <w:iCs/>
          <w:color w:val="000000"/>
          <w:szCs w:val="20"/>
          <w:lang w:val="en-US"/>
        </w:rPr>
        <w:t>(ciprofloxacin).</w:t>
      </w:r>
    </w:p>
    <w:p w14:paraId="03110A50" w14:textId="0D18F2CB" w:rsidR="0091385D" w:rsidRPr="00595C6C" w:rsidRDefault="00595C6C" w:rsidP="00595C6C">
      <w:pPr>
        <w:rPr>
          <w:rFonts w:cs="Arial"/>
          <w:sz w:val="24"/>
        </w:rPr>
      </w:pPr>
      <w:r w:rsidRPr="00595C6C">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ED2BAB5"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Филмирани таблетки</w:t>
      </w:r>
    </w:p>
    <w:p w14:paraId="4129ADBB" w14:textId="65516C59" w:rsidR="0091385D" w:rsidRPr="00595C6C" w:rsidRDefault="00595C6C" w:rsidP="00595C6C">
      <w:pPr>
        <w:rPr>
          <w:rFonts w:cs="Arial"/>
          <w:sz w:val="24"/>
        </w:rPr>
      </w:pPr>
      <w:r w:rsidRPr="00595C6C">
        <w:rPr>
          <w:rFonts w:eastAsia="Times New Roman" w:cs="Arial"/>
          <w:color w:val="000000"/>
          <w:szCs w:val="20"/>
          <w:lang w:eastAsia="bg-BG"/>
        </w:rPr>
        <w:t>Бели до почти бели, продълговати, двойно изпъкнали таблетки, с вдлъбнато релефно означение „500” от едната страна и гладки от другата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DFD3A4" w14:textId="77777777" w:rsidR="00595C6C" w:rsidRPr="00595C6C" w:rsidRDefault="00595C6C" w:rsidP="00595C6C">
      <w:pPr>
        <w:rPr>
          <w:rFonts w:cs="Arial"/>
          <w:sz w:val="24"/>
        </w:rPr>
      </w:pPr>
      <w:r w:rsidRPr="00595C6C">
        <w:rPr>
          <w:rFonts w:cs="Arial"/>
          <w:szCs w:val="20"/>
        </w:rPr>
        <w:t xml:space="preserve">Ципрофлоксацин Екофарм 500 </w:t>
      </w:r>
      <w:r w:rsidRPr="00595C6C">
        <w:rPr>
          <w:rFonts w:cs="Arial"/>
          <w:szCs w:val="20"/>
          <w:lang w:val="en-US"/>
        </w:rPr>
        <w:t xml:space="preserve">mg </w:t>
      </w:r>
      <w:r w:rsidRPr="00595C6C">
        <w:rPr>
          <w:rFonts w:cs="Arial"/>
          <w:szCs w:val="20"/>
        </w:rPr>
        <w:t>филмирани таблетки са предназначени за лечение на следните инфекции (вж. точки 4.4 и 5.1). Преди започване на лечението трябва да се обърне специално внимание на наличната информация за резистентност към ципрофлоксацин.</w:t>
      </w:r>
    </w:p>
    <w:p w14:paraId="3110278A" w14:textId="77777777" w:rsidR="00595C6C" w:rsidRPr="00595C6C" w:rsidRDefault="00595C6C" w:rsidP="00595C6C">
      <w:pPr>
        <w:rPr>
          <w:rFonts w:cs="Arial"/>
          <w:i/>
          <w:iCs/>
          <w:szCs w:val="20"/>
          <w:u w:val="single"/>
        </w:rPr>
      </w:pPr>
    </w:p>
    <w:p w14:paraId="6CC71F34" w14:textId="7DEE1107" w:rsidR="00595C6C" w:rsidRPr="00595C6C" w:rsidRDefault="00595C6C" w:rsidP="00595C6C">
      <w:pPr>
        <w:rPr>
          <w:rFonts w:cs="Arial"/>
          <w:sz w:val="24"/>
        </w:rPr>
      </w:pPr>
      <w:r w:rsidRPr="00595C6C">
        <w:rPr>
          <w:rFonts w:cs="Arial"/>
          <w:i/>
          <w:iCs/>
          <w:szCs w:val="20"/>
          <w:u w:val="single"/>
        </w:rPr>
        <w:t>Възрастни</w:t>
      </w:r>
    </w:p>
    <w:p w14:paraId="55DE1BB7" w14:textId="77777777"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 xml:space="preserve">Инфекции на долните дихателни пътища с Грам-отрицателни бактерии </w:t>
      </w:r>
    </w:p>
    <w:p w14:paraId="51A9A13A" w14:textId="77777777" w:rsidR="00595C6C" w:rsidRPr="00595C6C" w:rsidRDefault="00595C6C" w:rsidP="00595C6C">
      <w:pPr>
        <w:pStyle w:val="ListParagraph"/>
        <w:numPr>
          <w:ilvl w:val="0"/>
          <w:numId w:val="37"/>
        </w:numPr>
        <w:spacing w:line="240" w:lineRule="auto"/>
        <w:rPr>
          <w:rFonts w:cs="Arial"/>
          <w:szCs w:val="20"/>
        </w:rPr>
      </w:pPr>
      <w:r w:rsidRPr="00595C6C">
        <w:rPr>
          <w:rFonts w:cs="Arial"/>
          <w:szCs w:val="20"/>
        </w:rPr>
        <w:t>бронхо-пулмонални инфекции при кистозна фиброза или при бронхиектазна болест</w:t>
      </w:r>
    </w:p>
    <w:p w14:paraId="2E050BFF" w14:textId="03B85536" w:rsidR="00595C6C" w:rsidRPr="00595C6C" w:rsidRDefault="00595C6C" w:rsidP="00595C6C">
      <w:pPr>
        <w:pStyle w:val="ListParagraph"/>
        <w:numPr>
          <w:ilvl w:val="0"/>
          <w:numId w:val="37"/>
        </w:numPr>
        <w:spacing w:line="240" w:lineRule="auto"/>
        <w:rPr>
          <w:rFonts w:cs="Arial"/>
          <w:szCs w:val="20"/>
        </w:rPr>
      </w:pPr>
      <w:r w:rsidRPr="00595C6C">
        <w:rPr>
          <w:rFonts w:cs="Arial"/>
          <w:szCs w:val="20"/>
        </w:rPr>
        <w:t>пневмония</w:t>
      </w:r>
    </w:p>
    <w:p w14:paraId="552F6D6B" w14:textId="77777777"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Хронично супуративно възпаление на средното ухо</w:t>
      </w:r>
    </w:p>
    <w:p w14:paraId="66966B76" w14:textId="77777777"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 xml:space="preserve">Остра екзацербация на хроничен синуит, особено ако е причинена от Грам-отрицателни </w:t>
      </w:r>
      <w:r w:rsidRPr="00595C6C">
        <w:rPr>
          <w:rFonts w:cs="Arial"/>
          <w:i/>
          <w:iCs/>
          <w:szCs w:val="20"/>
        </w:rPr>
        <w:t>бактерии</w:t>
      </w:r>
    </w:p>
    <w:p w14:paraId="25766FB8" w14:textId="77777777"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Остър пиелонефрит</w:t>
      </w:r>
    </w:p>
    <w:p w14:paraId="3450C30A" w14:textId="77777777"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Усложнени инфекции на пикочните пътища</w:t>
      </w:r>
    </w:p>
    <w:p w14:paraId="66AEF7A6" w14:textId="77777777"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Бактериален простатит</w:t>
      </w:r>
    </w:p>
    <w:p w14:paraId="0A5E272D" w14:textId="29CADDE2" w:rsidR="00595C6C" w:rsidRPr="00595C6C" w:rsidRDefault="00595C6C" w:rsidP="00595C6C">
      <w:pPr>
        <w:pStyle w:val="ListParagraph"/>
        <w:numPr>
          <w:ilvl w:val="0"/>
          <w:numId w:val="35"/>
        </w:numPr>
        <w:spacing w:line="240" w:lineRule="auto"/>
        <w:rPr>
          <w:rFonts w:cs="Arial"/>
          <w:szCs w:val="20"/>
        </w:rPr>
      </w:pPr>
      <w:r w:rsidRPr="00595C6C">
        <w:rPr>
          <w:rFonts w:cs="Arial"/>
          <w:szCs w:val="20"/>
        </w:rPr>
        <w:t>Инфекции на гениталния тракт</w:t>
      </w:r>
    </w:p>
    <w:p w14:paraId="763A1C51" w14:textId="77777777" w:rsidR="00595C6C" w:rsidRPr="00595C6C" w:rsidRDefault="00595C6C" w:rsidP="00595C6C">
      <w:pPr>
        <w:pStyle w:val="ListParagraph"/>
        <w:numPr>
          <w:ilvl w:val="0"/>
          <w:numId w:val="36"/>
        </w:numPr>
        <w:rPr>
          <w:rFonts w:cs="Arial"/>
          <w:sz w:val="24"/>
        </w:rPr>
      </w:pPr>
      <w:r w:rsidRPr="00595C6C">
        <w:rPr>
          <w:rFonts w:cs="Arial"/>
          <w:szCs w:val="20"/>
        </w:rPr>
        <w:lastRenderedPageBreak/>
        <w:t xml:space="preserve">гонококов уретрит и цервицит, причинени от чувствителни към ципрофлоксацин </w:t>
      </w:r>
      <w:r w:rsidRPr="00595C6C">
        <w:rPr>
          <w:rFonts w:cs="Arial"/>
          <w:i/>
          <w:iCs/>
          <w:szCs w:val="20"/>
          <w:lang w:val="en-US"/>
        </w:rPr>
        <w:t xml:space="preserve">Neisseria </w:t>
      </w:r>
      <w:proofErr w:type="spellStart"/>
      <w:r w:rsidRPr="00595C6C">
        <w:rPr>
          <w:rFonts w:cs="Arial"/>
          <w:i/>
          <w:iCs/>
          <w:szCs w:val="20"/>
          <w:lang w:val="en-US"/>
        </w:rPr>
        <w:t>gonorrhoeae</w:t>
      </w:r>
      <w:proofErr w:type="spellEnd"/>
    </w:p>
    <w:p w14:paraId="374061E8" w14:textId="77777777" w:rsidR="00595C6C" w:rsidRPr="00595C6C" w:rsidRDefault="00595C6C" w:rsidP="00595C6C">
      <w:pPr>
        <w:pStyle w:val="ListParagraph"/>
        <w:numPr>
          <w:ilvl w:val="0"/>
          <w:numId w:val="36"/>
        </w:numPr>
        <w:rPr>
          <w:rFonts w:cs="Arial"/>
          <w:sz w:val="24"/>
        </w:rPr>
      </w:pPr>
      <w:r w:rsidRPr="00595C6C">
        <w:rPr>
          <w:rFonts w:cs="Arial"/>
          <w:szCs w:val="20"/>
        </w:rPr>
        <w:t xml:space="preserve">орхиепидидимит, включително случаи, причинени от чувствителни към ципрофлоксацин </w:t>
      </w:r>
      <w:r w:rsidRPr="00595C6C">
        <w:rPr>
          <w:rFonts w:cs="Arial"/>
          <w:i/>
          <w:iCs/>
          <w:szCs w:val="20"/>
          <w:lang w:val="en-US"/>
        </w:rPr>
        <w:t xml:space="preserve">Neisseria </w:t>
      </w:r>
      <w:proofErr w:type="spellStart"/>
      <w:r w:rsidRPr="00595C6C">
        <w:rPr>
          <w:rFonts w:cs="Arial"/>
          <w:i/>
          <w:iCs/>
          <w:szCs w:val="20"/>
          <w:lang w:val="en-US"/>
        </w:rPr>
        <w:t>gonorrhoeae</w:t>
      </w:r>
      <w:proofErr w:type="spellEnd"/>
    </w:p>
    <w:p w14:paraId="34DBD2AA" w14:textId="6685D4C4" w:rsidR="00595C6C" w:rsidRPr="00595C6C" w:rsidRDefault="00595C6C" w:rsidP="00595C6C">
      <w:pPr>
        <w:pStyle w:val="ListParagraph"/>
        <w:numPr>
          <w:ilvl w:val="0"/>
          <w:numId w:val="36"/>
        </w:numPr>
        <w:rPr>
          <w:rFonts w:cs="Arial"/>
          <w:sz w:val="24"/>
        </w:rPr>
      </w:pPr>
      <w:r w:rsidRPr="00595C6C">
        <w:rPr>
          <w:rFonts w:cs="Arial"/>
          <w:szCs w:val="20"/>
        </w:rPr>
        <w:t xml:space="preserve">възпалително заболяване на тазовите органи, включително случаи, причинени от чувствителни към ципрофлоксацин </w:t>
      </w:r>
      <w:r w:rsidRPr="00595C6C">
        <w:rPr>
          <w:rFonts w:cs="Arial"/>
          <w:i/>
          <w:iCs/>
          <w:szCs w:val="20"/>
          <w:lang w:val="en-US"/>
        </w:rPr>
        <w:t xml:space="preserve">Neisseria </w:t>
      </w:r>
      <w:proofErr w:type="spellStart"/>
      <w:r w:rsidRPr="00595C6C">
        <w:rPr>
          <w:rFonts w:cs="Arial"/>
          <w:i/>
          <w:iCs/>
          <w:szCs w:val="20"/>
          <w:lang w:val="en-US"/>
        </w:rPr>
        <w:t>gonorrhoeae</w:t>
      </w:r>
      <w:proofErr w:type="spellEnd"/>
    </w:p>
    <w:p w14:paraId="02E9C9FB" w14:textId="77777777" w:rsidR="00595C6C" w:rsidRPr="00595C6C" w:rsidRDefault="00595C6C" w:rsidP="00595C6C">
      <w:pPr>
        <w:pStyle w:val="ListParagraph"/>
        <w:numPr>
          <w:ilvl w:val="0"/>
          <w:numId w:val="38"/>
        </w:numPr>
        <w:spacing w:line="240" w:lineRule="auto"/>
        <w:rPr>
          <w:rFonts w:cs="Arial"/>
          <w:szCs w:val="20"/>
        </w:rPr>
      </w:pPr>
      <w:r w:rsidRPr="00595C6C">
        <w:rPr>
          <w:rFonts w:cs="Arial"/>
          <w:szCs w:val="20"/>
        </w:rPr>
        <w:t>Инфекции на стомашно-чревния тракт (т.н. диария на пътешествениците)</w:t>
      </w:r>
    </w:p>
    <w:p w14:paraId="160B6BDF" w14:textId="77777777" w:rsidR="00595C6C" w:rsidRPr="00595C6C" w:rsidRDefault="00595C6C" w:rsidP="00595C6C">
      <w:pPr>
        <w:pStyle w:val="ListParagraph"/>
        <w:numPr>
          <w:ilvl w:val="0"/>
          <w:numId w:val="38"/>
        </w:numPr>
        <w:spacing w:line="240" w:lineRule="auto"/>
        <w:rPr>
          <w:rFonts w:cs="Arial"/>
          <w:szCs w:val="20"/>
        </w:rPr>
      </w:pPr>
      <w:r w:rsidRPr="00595C6C">
        <w:rPr>
          <w:rFonts w:cs="Arial"/>
          <w:szCs w:val="20"/>
        </w:rPr>
        <w:t>Интраабдоминални инфекции</w:t>
      </w:r>
    </w:p>
    <w:p w14:paraId="1ACEEED5" w14:textId="77777777" w:rsidR="00595C6C" w:rsidRPr="00595C6C" w:rsidRDefault="00595C6C" w:rsidP="00595C6C">
      <w:pPr>
        <w:pStyle w:val="ListParagraph"/>
        <w:numPr>
          <w:ilvl w:val="0"/>
          <w:numId w:val="38"/>
        </w:numPr>
        <w:spacing w:line="240" w:lineRule="auto"/>
        <w:rPr>
          <w:rFonts w:cs="Arial"/>
          <w:szCs w:val="20"/>
        </w:rPr>
      </w:pPr>
      <w:r w:rsidRPr="00595C6C">
        <w:rPr>
          <w:rFonts w:cs="Arial"/>
          <w:szCs w:val="20"/>
        </w:rPr>
        <w:t xml:space="preserve">Инфекции на кожата и меките тъкани, причинени от Грам-отрицателни бактерии </w:t>
      </w:r>
    </w:p>
    <w:p w14:paraId="71BE90CF" w14:textId="77777777" w:rsidR="00595C6C" w:rsidRPr="00595C6C" w:rsidRDefault="00595C6C" w:rsidP="00595C6C">
      <w:pPr>
        <w:pStyle w:val="ListParagraph"/>
        <w:numPr>
          <w:ilvl w:val="0"/>
          <w:numId w:val="38"/>
        </w:numPr>
        <w:spacing w:line="240" w:lineRule="auto"/>
        <w:rPr>
          <w:rFonts w:cs="Arial"/>
          <w:szCs w:val="20"/>
        </w:rPr>
      </w:pPr>
      <w:r w:rsidRPr="00595C6C">
        <w:rPr>
          <w:rFonts w:cs="Arial"/>
          <w:szCs w:val="20"/>
        </w:rPr>
        <w:t>Малигнен външен отит</w:t>
      </w:r>
    </w:p>
    <w:p w14:paraId="6E0BA8A4" w14:textId="77777777" w:rsidR="00595C6C" w:rsidRPr="00595C6C" w:rsidRDefault="00595C6C" w:rsidP="00595C6C">
      <w:pPr>
        <w:pStyle w:val="ListParagraph"/>
        <w:numPr>
          <w:ilvl w:val="0"/>
          <w:numId w:val="38"/>
        </w:numPr>
        <w:spacing w:line="240" w:lineRule="auto"/>
        <w:rPr>
          <w:rFonts w:cs="Arial"/>
          <w:szCs w:val="20"/>
        </w:rPr>
      </w:pPr>
      <w:r w:rsidRPr="00595C6C">
        <w:rPr>
          <w:rFonts w:cs="Arial"/>
          <w:szCs w:val="20"/>
        </w:rPr>
        <w:t>Инфекции на костите и ставите</w:t>
      </w:r>
    </w:p>
    <w:p w14:paraId="5B5E5A60" w14:textId="0DD16DBF" w:rsidR="00595C6C" w:rsidRPr="00595C6C" w:rsidRDefault="00595C6C" w:rsidP="00595C6C">
      <w:pPr>
        <w:pStyle w:val="ListParagraph"/>
        <w:numPr>
          <w:ilvl w:val="0"/>
          <w:numId w:val="38"/>
        </w:numPr>
        <w:spacing w:line="240" w:lineRule="auto"/>
        <w:rPr>
          <w:rFonts w:cs="Arial"/>
          <w:szCs w:val="20"/>
        </w:rPr>
      </w:pPr>
      <w:r w:rsidRPr="00595C6C">
        <w:rPr>
          <w:rFonts w:cs="Arial"/>
          <w:szCs w:val="20"/>
        </w:rPr>
        <w:t xml:space="preserve">Профилактика на инвазивни инфекции, причинени от </w:t>
      </w:r>
      <w:r w:rsidRPr="00595C6C">
        <w:rPr>
          <w:rFonts w:cs="Arial"/>
          <w:i/>
          <w:iCs/>
          <w:szCs w:val="20"/>
          <w:lang w:val="en-US"/>
        </w:rPr>
        <w:t>Neisseria meningitides</w:t>
      </w:r>
    </w:p>
    <w:p w14:paraId="04B2E99C" w14:textId="11E3631F" w:rsidR="0091385D" w:rsidRPr="00595C6C" w:rsidRDefault="00595C6C" w:rsidP="00595C6C">
      <w:pPr>
        <w:pStyle w:val="ListParagraph"/>
        <w:numPr>
          <w:ilvl w:val="0"/>
          <w:numId w:val="38"/>
        </w:numPr>
        <w:spacing w:line="240" w:lineRule="auto"/>
        <w:rPr>
          <w:rFonts w:cs="Arial"/>
          <w:szCs w:val="20"/>
        </w:rPr>
      </w:pPr>
      <w:r w:rsidRPr="00595C6C">
        <w:rPr>
          <w:rFonts w:cs="Arial"/>
          <w:szCs w:val="20"/>
        </w:rPr>
        <w:t>Инхалаторен антракс (профилактика след експозиция и лечение)</w:t>
      </w:r>
    </w:p>
    <w:p w14:paraId="6DFA4B9D" w14:textId="0E69AFB2" w:rsidR="0091385D" w:rsidRDefault="0091385D" w:rsidP="0091385D"/>
    <w:p w14:paraId="5FA89DD7"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Ципрофлоксацин може да бъде използван при лечение на неутропенични пациенти с повишена температура, когато се предполага, че причината е бактериална инфекция.</w:t>
      </w:r>
    </w:p>
    <w:p w14:paraId="7202C159" w14:textId="77777777" w:rsidR="00595C6C" w:rsidRPr="00595C6C" w:rsidRDefault="00595C6C" w:rsidP="00595C6C">
      <w:pPr>
        <w:spacing w:line="240" w:lineRule="auto"/>
        <w:rPr>
          <w:rFonts w:eastAsia="Times New Roman" w:cs="Arial"/>
          <w:color w:val="000000"/>
          <w:szCs w:val="20"/>
          <w:lang w:eastAsia="bg-BG"/>
        </w:rPr>
      </w:pPr>
    </w:p>
    <w:p w14:paraId="62BC2AC1" w14:textId="79DB6D73"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 xml:space="preserve">При следните показания Ципрофлоксацин Екофарм 500 </w:t>
      </w:r>
      <w:r w:rsidRPr="00595C6C">
        <w:rPr>
          <w:rFonts w:eastAsia="Times New Roman" w:cs="Arial"/>
          <w:color w:val="000000"/>
          <w:szCs w:val="20"/>
          <w:lang w:val="en-US"/>
        </w:rPr>
        <w:t xml:space="preserve">mg </w:t>
      </w:r>
      <w:r w:rsidRPr="00595C6C">
        <w:rPr>
          <w:rFonts w:eastAsia="Times New Roman" w:cs="Arial"/>
          <w:color w:val="000000"/>
          <w:szCs w:val="20"/>
          <w:lang w:eastAsia="bg-BG"/>
        </w:rPr>
        <w:t>филмирани таблетки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7412070E" w14:textId="77777777" w:rsidR="00595C6C" w:rsidRPr="00595C6C" w:rsidRDefault="00595C6C" w:rsidP="00595C6C">
      <w:pPr>
        <w:pStyle w:val="ListParagraph"/>
        <w:numPr>
          <w:ilvl w:val="0"/>
          <w:numId w:val="39"/>
        </w:numPr>
        <w:spacing w:line="240" w:lineRule="auto"/>
        <w:rPr>
          <w:rFonts w:eastAsia="Times New Roman" w:cs="Arial"/>
          <w:color w:val="000000"/>
          <w:szCs w:val="20"/>
          <w:lang w:eastAsia="bg-BG"/>
        </w:rPr>
      </w:pPr>
      <w:r w:rsidRPr="00595C6C">
        <w:rPr>
          <w:rFonts w:eastAsia="Times New Roman" w:cs="Arial"/>
          <w:color w:val="000000"/>
          <w:szCs w:val="20"/>
          <w:lang w:eastAsia="bg-BG"/>
        </w:rPr>
        <w:t xml:space="preserve">Обостряне на </w:t>
      </w:r>
      <w:r w:rsidRPr="00595C6C">
        <w:rPr>
          <w:rFonts w:eastAsia="Times New Roman" w:cs="Arial"/>
          <w:i/>
          <w:iCs/>
          <w:color w:val="000000"/>
          <w:szCs w:val="20"/>
          <w:lang w:eastAsia="bg-BG"/>
        </w:rPr>
        <w:t>хронична обструктивна белодробна</w:t>
      </w:r>
      <w:r w:rsidRPr="00595C6C">
        <w:rPr>
          <w:rFonts w:eastAsia="Times New Roman" w:cs="Arial"/>
          <w:color w:val="000000"/>
          <w:szCs w:val="20"/>
          <w:lang w:eastAsia="bg-BG"/>
        </w:rPr>
        <w:t xml:space="preserve"> болест</w:t>
      </w:r>
    </w:p>
    <w:p w14:paraId="7401A5CF" w14:textId="22BE2805" w:rsidR="00595C6C" w:rsidRPr="00595C6C" w:rsidRDefault="00595C6C" w:rsidP="00595C6C">
      <w:pPr>
        <w:pStyle w:val="ListParagraph"/>
        <w:numPr>
          <w:ilvl w:val="0"/>
          <w:numId w:val="39"/>
        </w:numPr>
        <w:spacing w:line="240" w:lineRule="auto"/>
        <w:rPr>
          <w:rFonts w:eastAsia="Times New Roman" w:cs="Arial"/>
          <w:color w:val="000000"/>
          <w:szCs w:val="20"/>
          <w:lang w:eastAsia="bg-BG"/>
        </w:rPr>
      </w:pPr>
      <w:r w:rsidRPr="00595C6C">
        <w:rPr>
          <w:rFonts w:eastAsia="Times New Roman" w:cs="Arial"/>
          <w:color w:val="000000"/>
          <w:szCs w:val="20"/>
          <w:lang w:eastAsia="bg-BG"/>
        </w:rPr>
        <w:t>Неусложнен остър цистит</w:t>
      </w:r>
    </w:p>
    <w:p w14:paraId="6382958A" w14:textId="77777777" w:rsidR="00595C6C" w:rsidRPr="00595C6C" w:rsidRDefault="00595C6C" w:rsidP="00595C6C">
      <w:pPr>
        <w:spacing w:line="240" w:lineRule="auto"/>
        <w:rPr>
          <w:rFonts w:eastAsia="Times New Roman" w:cs="Arial"/>
          <w:i/>
          <w:iCs/>
          <w:color w:val="000000"/>
          <w:szCs w:val="20"/>
          <w:u w:val="single"/>
          <w:lang w:eastAsia="bg-BG"/>
        </w:rPr>
      </w:pPr>
    </w:p>
    <w:p w14:paraId="7E42ED1B" w14:textId="6EC054D0" w:rsidR="00595C6C" w:rsidRPr="00595C6C" w:rsidRDefault="00595C6C" w:rsidP="00595C6C">
      <w:pPr>
        <w:spacing w:line="240" w:lineRule="auto"/>
        <w:rPr>
          <w:rFonts w:eastAsia="Times New Roman" w:cs="Arial"/>
          <w:sz w:val="28"/>
          <w:szCs w:val="24"/>
          <w:lang w:eastAsia="bg-BG"/>
        </w:rPr>
      </w:pPr>
      <w:r w:rsidRPr="00595C6C">
        <w:rPr>
          <w:rFonts w:eastAsia="Times New Roman" w:cs="Arial"/>
          <w:i/>
          <w:iCs/>
          <w:color w:val="000000"/>
          <w:szCs w:val="20"/>
          <w:u w:val="single"/>
          <w:lang w:eastAsia="bg-BG"/>
        </w:rPr>
        <w:t>Педиатрична популация</w:t>
      </w:r>
    </w:p>
    <w:p w14:paraId="048EC3F8" w14:textId="77777777" w:rsidR="00595C6C" w:rsidRPr="00595C6C" w:rsidRDefault="00595C6C" w:rsidP="00595C6C">
      <w:pPr>
        <w:pStyle w:val="ListParagraph"/>
        <w:numPr>
          <w:ilvl w:val="0"/>
          <w:numId w:val="40"/>
        </w:numPr>
        <w:spacing w:line="240" w:lineRule="auto"/>
        <w:rPr>
          <w:rFonts w:eastAsia="Times New Roman" w:cs="Arial"/>
          <w:color w:val="000000"/>
          <w:szCs w:val="20"/>
          <w:lang w:eastAsia="bg-BG"/>
        </w:rPr>
      </w:pPr>
      <w:r w:rsidRPr="00595C6C">
        <w:rPr>
          <w:rFonts w:eastAsia="Times New Roman" w:cs="Arial"/>
          <w:color w:val="000000"/>
          <w:szCs w:val="20"/>
          <w:lang w:eastAsia="bg-BG"/>
        </w:rPr>
        <w:t xml:space="preserve">Бронхо-пулмонални инфекции при кистозна фиброза, причинени от </w:t>
      </w:r>
      <w:r w:rsidRPr="00595C6C">
        <w:rPr>
          <w:rFonts w:eastAsia="Times New Roman" w:cs="Arial"/>
          <w:i/>
          <w:iCs/>
          <w:color w:val="000000"/>
          <w:szCs w:val="20"/>
          <w:lang w:val="en-US"/>
        </w:rPr>
        <w:t>Pseudomonas aeruginosa</w:t>
      </w:r>
    </w:p>
    <w:p w14:paraId="219A5B6E" w14:textId="77777777" w:rsidR="00595C6C" w:rsidRPr="00595C6C" w:rsidRDefault="00595C6C" w:rsidP="00595C6C">
      <w:pPr>
        <w:pStyle w:val="ListParagraph"/>
        <w:numPr>
          <w:ilvl w:val="0"/>
          <w:numId w:val="40"/>
        </w:numPr>
        <w:spacing w:line="240" w:lineRule="auto"/>
        <w:rPr>
          <w:rFonts w:eastAsia="Times New Roman" w:cs="Arial"/>
          <w:color w:val="000000"/>
          <w:szCs w:val="20"/>
          <w:lang w:eastAsia="bg-BG"/>
        </w:rPr>
      </w:pPr>
      <w:r w:rsidRPr="00595C6C">
        <w:rPr>
          <w:rFonts w:eastAsia="Times New Roman" w:cs="Arial"/>
          <w:color w:val="000000"/>
          <w:szCs w:val="20"/>
          <w:lang w:eastAsia="bg-BG"/>
        </w:rPr>
        <w:t>Усложнени инфекции на пикочните пътища и остър пиелонефрит</w:t>
      </w:r>
    </w:p>
    <w:p w14:paraId="5E33F43B" w14:textId="4ABBCC53" w:rsidR="00595C6C" w:rsidRPr="00595C6C" w:rsidRDefault="00595C6C" w:rsidP="00595C6C">
      <w:pPr>
        <w:pStyle w:val="ListParagraph"/>
        <w:numPr>
          <w:ilvl w:val="0"/>
          <w:numId w:val="40"/>
        </w:numPr>
        <w:spacing w:line="240" w:lineRule="auto"/>
        <w:rPr>
          <w:rFonts w:eastAsia="Times New Roman" w:cs="Arial"/>
          <w:color w:val="000000"/>
          <w:szCs w:val="20"/>
          <w:lang w:eastAsia="bg-BG"/>
        </w:rPr>
      </w:pPr>
      <w:r w:rsidRPr="00595C6C">
        <w:rPr>
          <w:rFonts w:eastAsia="Times New Roman" w:cs="Arial"/>
          <w:color w:val="000000"/>
          <w:szCs w:val="20"/>
          <w:lang w:eastAsia="bg-BG"/>
        </w:rPr>
        <w:t>Инхалаторен антракс (профилактика след експозиция и лечение)</w:t>
      </w:r>
    </w:p>
    <w:p w14:paraId="262E5BE8" w14:textId="77777777" w:rsidR="00595C6C" w:rsidRPr="00595C6C" w:rsidRDefault="00595C6C" w:rsidP="00595C6C">
      <w:pPr>
        <w:spacing w:line="240" w:lineRule="auto"/>
        <w:rPr>
          <w:rFonts w:eastAsia="Times New Roman" w:cs="Arial"/>
          <w:color w:val="000000"/>
          <w:szCs w:val="20"/>
          <w:lang w:eastAsia="bg-BG"/>
        </w:rPr>
      </w:pPr>
    </w:p>
    <w:p w14:paraId="0A2D5221" w14:textId="23AFB13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Ципрофлоксацин може да се използва за лечение на тежки инфекции при деца и юноши, когато се счита, че това е необходимо.</w:t>
      </w:r>
    </w:p>
    <w:p w14:paraId="20A386C5" w14:textId="77777777" w:rsidR="00595C6C" w:rsidRPr="00595C6C" w:rsidRDefault="00595C6C" w:rsidP="00595C6C">
      <w:pPr>
        <w:spacing w:line="240" w:lineRule="auto"/>
        <w:rPr>
          <w:rFonts w:eastAsia="Times New Roman" w:cs="Arial"/>
          <w:color w:val="000000"/>
          <w:szCs w:val="20"/>
          <w:lang w:eastAsia="bg-BG"/>
        </w:rPr>
      </w:pPr>
    </w:p>
    <w:p w14:paraId="07B47589" w14:textId="5B888D59"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Лечението трябва да бъде започнато само от лекари с опит в лечението на кистозна фиброза и/или тежки инфекции при деца и юноши (вж. точки 4.4 и 5.1).</w:t>
      </w:r>
    </w:p>
    <w:p w14:paraId="1540FF3C" w14:textId="77777777" w:rsidR="00595C6C" w:rsidRPr="00595C6C" w:rsidRDefault="00595C6C" w:rsidP="00595C6C">
      <w:pPr>
        <w:rPr>
          <w:rFonts w:eastAsia="Times New Roman" w:cs="Arial"/>
          <w:color w:val="000000"/>
          <w:szCs w:val="20"/>
          <w:lang w:eastAsia="bg-BG"/>
        </w:rPr>
      </w:pPr>
    </w:p>
    <w:p w14:paraId="0785F7A4" w14:textId="3C75FB93" w:rsidR="00595C6C" w:rsidRPr="00595C6C" w:rsidRDefault="00595C6C" w:rsidP="00595C6C">
      <w:pPr>
        <w:rPr>
          <w:rFonts w:cs="Arial"/>
          <w:sz w:val="24"/>
        </w:rPr>
      </w:pPr>
      <w:r w:rsidRPr="00595C6C">
        <w:rPr>
          <w:rFonts w:eastAsia="Times New Roman" w:cs="Arial"/>
          <w:color w:val="000000"/>
          <w:szCs w:val="20"/>
          <w:lang w:eastAsia="bg-BG"/>
        </w:rPr>
        <w:t>Трябва да се има предвид официалното ръководство за подходящо използване на антибактериални средства.</w:t>
      </w:r>
    </w:p>
    <w:p w14:paraId="16DED995" w14:textId="77777777" w:rsidR="00595C6C" w:rsidRPr="0091385D" w:rsidRDefault="00595C6C"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DFC62F8" w14:textId="77777777" w:rsidR="00595C6C" w:rsidRPr="003A30A5" w:rsidRDefault="00595C6C" w:rsidP="003A30A5">
      <w:pPr>
        <w:pStyle w:val="Heading3"/>
        <w:rPr>
          <w:rFonts w:eastAsia="Times New Roman"/>
          <w:sz w:val="28"/>
          <w:u w:val="single"/>
          <w:lang w:eastAsia="bg-BG"/>
        </w:rPr>
      </w:pPr>
      <w:r w:rsidRPr="003A30A5">
        <w:rPr>
          <w:rFonts w:eastAsia="Times New Roman"/>
          <w:u w:val="single"/>
          <w:lang w:eastAsia="bg-BG"/>
        </w:rPr>
        <w:t>Дозировка</w:t>
      </w:r>
    </w:p>
    <w:p w14:paraId="630F0D02" w14:textId="77777777" w:rsidR="00595C6C" w:rsidRPr="00595C6C" w:rsidRDefault="00595C6C" w:rsidP="00595C6C">
      <w:pPr>
        <w:spacing w:line="240" w:lineRule="auto"/>
        <w:rPr>
          <w:rFonts w:eastAsia="Times New Roman" w:cs="Arial"/>
          <w:color w:val="000000"/>
          <w:szCs w:val="20"/>
          <w:lang w:eastAsia="bg-BG"/>
        </w:rPr>
      </w:pPr>
    </w:p>
    <w:p w14:paraId="266D7373" w14:textId="1DC67F51"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Дозировката се определя от показанията, тежестта и мястото на инфекцията, чувствителността на причинителя към ципрофлоксацин, бъбречната функция на пациента и телесното тегло при деца и юноши.</w:t>
      </w:r>
    </w:p>
    <w:p w14:paraId="7992C85C" w14:textId="77777777" w:rsidR="00595C6C" w:rsidRPr="00595C6C" w:rsidRDefault="00595C6C" w:rsidP="00595C6C">
      <w:pPr>
        <w:spacing w:line="240" w:lineRule="auto"/>
        <w:rPr>
          <w:rFonts w:eastAsia="Times New Roman" w:cs="Arial"/>
          <w:color w:val="000000"/>
          <w:szCs w:val="20"/>
          <w:lang w:eastAsia="bg-BG"/>
        </w:rPr>
      </w:pPr>
    </w:p>
    <w:p w14:paraId="4FF2D4D3" w14:textId="5372E39C"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Продължителността на лечението зависи от тежестта на заболяването, от клиничното протичане и бактериологичното развитие.</w:t>
      </w:r>
    </w:p>
    <w:p w14:paraId="78B0CC74" w14:textId="77777777" w:rsidR="00595C6C" w:rsidRPr="00595C6C" w:rsidRDefault="00595C6C" w:rsidP="00595C6C">
      <w:pPr>
        <w:spacing w:line="240" w:lineRule="auto"/>
        <w:rPr>
          <w:rFonts w:eastAsia="Times New Roman" w:cs="Arial"/>
          <w:color w:val="000000"/>
          <w:szCs w:val="20"/>
          <w:lang w:eastAsia="bg-BG"/>
        </w:rPr>
      </w:pPr>
    </w:p>
    <w:p w14:paraId="31DB7885" w14:textId="0F1D78D2"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 xml:space="preserve">Лечението на инфекции, причинени от определени бактерии (напр. </w:t>
      </w:r>
      <w:r w:rsidRPr="00595C6C">
        <w:rPr>
          <w:rFonts w:eastAsia="Times New Roman" w:cs="Arial"/>
          <w:i/>
          <w:iCs/>
          <w:color w:val="000000"/>
          <w:szCs w:val="20"/>
          <w:lang w:val="en-US"/>
        </w:rPr>
        <w:t xml:space="preserve">Pseudomonas aeruginosa, </w:t>
      </w:r>
      <w:proofErr w:type="spellStart"/>
      <w:r w:rsidRPr="00595C6C">
        <w:rPr>
          <w:rFonts w:eastAsia="Times New Roman" w:cs="Arial"/>
          <w:i/>
          <w:iCs/>
          <w:color w:val="000000"/>
          <w:szCs w:val="20"/>
          <w:lang w:val="en-US"/>
        </w:rPr>
        <w:t>Acinetobacter</w:t>
      </w:r>
      <w:proofErr w:type="spellEnd"/>
      <w:r w:rsidRPr="00595C6C">
        <w:rPr>
          <w:rFonts w:eastAsia="Times New Roman" w:cs="Arial"/>
          <w:color w:val="000000"/>
          <w:szCs w:val="20"/>
          <w:lang w:val="en-US"/>
        </w:rPr>
        <w:t xml:space="preserve"> </w:t>
      </w:r>
      <w:r w:rsidRPr="00595C6C">
        <w:rPr>
          <w:rFonts w:eastAsia="Times New Roman" w:cs="Arial"/>
          <w:color w:val="000000"/>
          <w:szCs w:val="20"/>
          <w:lang w:eastAsia="bg-BG"/>
        </w:rPr>
        <w:t xml:space="preserve">или </w:t>
      </w:r>
      <w:r w:rsidRPr="00595C6C">
        <w:rPr>
          <w:rFonts w:eastAsia="Times New Roman" w:cs="Arial"/>
          <w:i/>
          <w:iCs/>
          <w:color w:val="000000"/>
          <w:szCs w:val="20"/>
          <w:lang w:val="en-US"/>
        </w:rPr>
        <w:t>Staphylococci),</w:t>
      </w:r>
      <w:r w:rsidRPr="00595C6C">
        <w:rPr>
          <w:rFonts w:eastAsia="Times New Roman" w:cs="Arial"/>
          <w:color w:val="000000"/>
          <w:szCs w:val="20"/>
          <w:lang w:val="en-US"/>
        </w:rPr>
        <w:t xml:space="preserve"> </w:t>
      </w:r>
      <w:r w:rsidRPr="00595C6C">
        <w:rPr>
          <w:rFonts w:eastAsia="Times New Roman" w:cs="Arial"/>
          <w:color w:val="000000"/>
          <w:szCs w:val="20"/>
          <w:lang w:eastAsia="bg-BG"/>
        </w:rPr>
        <w:t>може да изисква по-високи дози ципрофлоксацин и едновременното приложение на други подходящи антибактериални средства.</w:t>
      </w:r>
    </w:p>
    <w:p w14:paraId="7449F13A" w14:textId="77777777" w:rsidR="00595C6C" w:rsidRPr="00595C6C" w:rsidRDefault="00595C6C" w:rsidP="00595C6C">
      <w:pPr>
        <w:spacing w:line="240" w:lineRule="auto"/>
        <w:rPr>
          <w:rFonts w:eastAsia="Times New Roman" w:cs="Arial"/>
          <w:color w:val="000000"/>
          <w:szCs w:val="20"/>
          <w:lang w:eastAsia="bg-BG"/>
        </w:rPr>
      </w:pPr>
    </w:p>
    <w:p w14:paraId="4BAB664D" w14:textId="31A078E0"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Лечението на някои инфекции (напр. възпалително заболяване на тазовите органи, интраабдоминални инфекции, инфекции при неутропенични пациенти и инфекции на костите и ставите) може да изисква едновременно прилагане на други подходящи антибактериални средства в зависимост от съответните патогени.</w:t>
      </w:r>
    </w:p>
    <w:p w14:paraId="5F566872" w14:textId="77777777" w:rsidR="00595C6C" w:rsidRPr="00595C6C" w:rsidRDefault="00595C6C" w:rsidP="00595C6C">
      <w:pPr>
        <w:rPr>
          <w:rFonts w:eastAsia="Times New Roman" w:cs="Arial"/>
          <w:i/>
          <w:iCs/>
          <w:color w:val="000000"/>
          <w:szCs w:val="20"/>
          <w:u w:val="single"/>
          <w:lang w:eastAsia="bg-BG"/>
        </w:rPr>
      </w:pPr>
    </w:p>
    <w:p w14:paraId="475300EC" w14:textId="53B845B1" w:rsidR="0091385D" w:rsidRPr="00595C6C" w:rsidRDefault="00595C6C" w:rsidP="00595C6C">
      <w:pPr>
        <w:rPr>
          <w:rFonts w:cs="Arial"/>
          <w:sz w:val="24"/>
        </w:rPr>
      </w:pPr>
      <w:r w:rsidRPr="00595C6C">
        <w:rPr>
          <w:rFonts w:eastAsia="Times New Roman" w:cs="Arial"/>
          <w:i/>
          <w:iCs/>
          <w:color w:val="000000"/>
          <w:szCs w:val="20"/>
          <w:u w:val="single"/>
          <w:lang w:eastAsia="bg-BG"/>
        </w:rPr>
        <w:t>Възрастни</w:t>
      </w:r>
    </w:p>
    <w:p w14:paraId="6ACAF645" w14:textId="2D5939C9" w:rsidR="0091385D" w:rsidRDefault="0091385D" w:rsidP="0091385D"/>
    <w:tbl>
      <w:tblPr>
        <w:tblStyle w:val="TableGrid"/>
        <w:tblW w:w="0" w:type="auto"/>
        <w:tblLook w:val="04A0" w:firstRow="1" w:lastRow="0" w:firstColumn="1" w:lastColumn="0" w:noHBand="0" w:noVBand="1"/>
      </w:tblPr>
      <w:tblGrid>
        <w:gridCol w:w="2375"/>
        <w:gridCol w:w="2375"/>
        <w:gridCol w:w="2375"/>
        <w:gridCol w:w="2375"/>
      </w:tblGrid>
      <w:tr w:rsidR="00595C6C" w:rsidRPr="003A30A5" w14:paraId="7C5BA7F9" w14:textId="77777777" w:rsidTr="00431E5F">
        <w:tc>
          <w:tcPr>
            <w:tcW w:w="4750" w:type="dxa"/>
            <w:gridSpan w:val="2"/>
          </w:tcPr>
          <w:p w14:paraId="3A60A2C2" w14:textId="5F231B4F" w:rsidR="00595C6C" w:rsidRPr="003A30A5" w:rsidRDefault="00595C6C" w:rsidP="00595C6C">
            <w:pPr>
              <w:rPr>
                <w:rFonts w:cs="Arial"/>
              </w:rPr>
            </w:pPr>
            <w:r w:rsidRPr="003A30A5">
              <w:rPr>
                <w:rFonts w:cs="Arial"/>
                <w:b/>
                <w:bCs/>
              </w:rPr>
              <w:t>Показания</w:t>
            </w:r>
          </w:p>
        </w:tc>
        <w:tc>
          <w:tcPr>
            <w:tcW w:w="2375" w:type="dxa"/>
          </w:tcPr>
          <w:p w14:paraId="2850B16A" w14:textId="60DB9A49" w:rsidR="00595C6C" w:rsidRPr="003A30A5" w:rsidRDefault="00595C6C" w:rsidP="00595C6C">
            <w:pPr>
              <w:rPr>
                <w:rFonts w:cs="Arial"/>
              </w:rPr>
            </w:pPr>
            <w:r w:rsidRPr="003A30A5">
              <w:rPr>
                <w:rFonts w:cs="Arial"/>
                <w:b/>
                <w:bCs/>
              </w:rPr>
              <w:t xml:space="preserve">Дневна доза в </w:t>
            </w:r>
            <w:r w:rsidRPr="003A30A5">
              <w:rPr>
                <w:rFonts w:cs="Arial"/>
                <w:b/>
                <w:bCs/>
                <w:lang w:val="en-US"/>
              </w:rPr>
              <w:t>mg</w:t>
            </w:r>
          </w:p>
        </w:tc>
        <w:tc>
          <w:tcPr>
            <w:tcW w:w="2375" w:type="dxa"/>
          </w:tcPr>
          <w:p w14:paraId="3AB2E72E" w14:textId="63BAD4A2" w:rsidR="00595C6C" w:rsidRPr="003A30A5" w:rsidRDefault="00595C6C" w:rsidP="00595C6C">
            <w:pPr>
              <w:rPr>
                <w:rFonts w:cs="Arial"/>
              </w:rPr>
            </w:pPr>
            <w:r w:rsidRPr="003A30A5">
              <w:rPr>
                <w:rFonts w:cs="Arial"/>
                <w:b/>
                <w:bCs/>
              </w:rPr>
              <w:t>Обща продължителност на лечение (потенциално включващо начално парентерално лечение с ципрофлоксацин)</w:t>
            </w:r>
          </w:p>
        </w:tc>
      </w:tr>
      <w:tr w:rsidR="00595C6C" w:rsidRPr="003A30A5" w14:paraId="6C7A4BC8" w14:textId="77777777" w:rsidTr="00431E5F">
        <w:tc>
          <w:tcPr>
            <w:tcW w:w="4750" w:type="dxa"/>
            <w:gridSpan w:val="2"/>
          </w:tcPr>
          <w:p w14:paraId="5B6615F3" w14:textId="117C3D32" w:rsidR="00595C6C" w:rsidRPr="003A30A5" w:rsidRDefault="00595C6C" w:rsidP="00595C6C">
            <w:pPr>
              <w:rPr>
                <w:rFonts w:cs="Arial"/>
              </w:rPr>
            </w:pPr>
            <w:r w:rsidRPr="003A30A5">
              <w:rPr>
                <w:rFonts w:cs="Arial"/>
              </w:rPr>
              <w:t>Инфекции на долните дихателни пътища</w:t>
            </w:r>
          </w:p>
        </w:tc>
        <w:tc>
          <w:tcPr>
            <w:tcW w:w="2375" w:type="dxa"/>
          </w:tcPr>
          <w:p w14:paraId="7664FEF7" w14:textId="664461AE" w:rsidR="00595C6C" w:rsidRPr="003A30A5" w:rsidRDefault="00595C6C" w:rsidP="00595C6C">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1B9634F5" w14:textId="68644B17" w:rsidR="00595C6C" w:rsidRPr="003A30A5" w:rsidRDefault="00595C6C" w:rsidP="00595C6C">
            <w:pPr>
              <w:rPr>
                <w:rFonts w:cs="Arial"/>
              </w:rPr>
            </w:pPr>
            <w:r w:rsidRPr="003A30A5">
              <w:rPr>
                <w:rFonts w:cs="Arial"/>
              </w:rPr>
              <w:t>7 до 14 дни</w:t>
            </w:r>
          </w:p>
        </w:tc>
      </w:tr>
      <w:tr w:rsidR="003A30A5" w:rsidRPr="003A30A5" w14:paraId="070A28BA" w14:textId="77777777" w:rsidTr="00431E5F">
        <w:trPr>
          <w:trHeight w:val="736"/>
        </w:trPr>
        <w:tc>
          <w:tcPr>
            <w:tcW w:w="2375" w:type="dxa"/>
            <w:vMerge w:val="restart"/>
          </w:tcPr>
          <w:p w14:paraId="2ABA1B03" w14:textId="4160CAE4" w:rsidR="003A30A5" w:rsidRPr="003A30A5" w:rsidRDefault="003A30A5" w:rsidP="003A30A5">
            <w:pPr>
              <w:rPr>
                <w:rFonts w:cs="Arial"/>
                <w:lang w:val="en-US"/>
              </w:rPr>
            </w:pPr>
            <w:r w:rsidRPr="003A30A5">
              <w:rPr>
                <w:rFonts w:cs="Arial"/>
              </w:rPr>
              <w:t>Инфекции на горните</w:t>
            </w:r>
            <w:r w:rsidRPr="003A30A5">
              <w:rPr>
                <w:rFonts w:cs="Arial"/>
                <w:lang w:val="en-US"/>
              </w:rPr>
              <w:t xml:space="preserve"> </w:t>
            </w:r>
            <w:r w:rsidRPr="003A30A5">
              <w:rPr>
                <w:rFonts w:cs="Arial"/>
              </w:rPr>
              <w:t>дихателни пътища</w:t>
            </w:r>
          </w:p>
        </w:tc>
        <w:tc>
          <w:tcPr>
            <w:tcW w:w="2375" w:type="dxa"/>
          </w:tcPr>
          <w:p w14:paraId="7C455A64" w14:textId="77777777" w:rsidR="003A30A5" w:rsidRPr="003A30A5" w:rsidRDefault="003A30A5" w:rsidP="003A30A5">
            <w:pPr>
              <w:rPr>
                <w:rFonts w:cs="Arial"/>
              </w:rPr>
            </w:pPr>
            <w:r w:rsidRPr="003A30A5">
              <w:rPr>
                <w:rFonts w:cs="Arial"/>
              </w:rPr>
              <w:t>Остро обостряне на</w:t>
            </w:r>
          </w:p>
          <w:p w14:paraId="40AB1689" w14:textId="0BA9ABD6" w:rsidR="003A30A5" w:rsidRPr="003A30A5" w:rsidRDefault="003A30A5" w:rsidP="003A30A5">
            <w:pPr>
              <w:rPr>
                <w:rFonts w:cs="Arial"/>
              </w:rPr>
            </w:pPr>
            <w:r w:rsidRPr="003A30A5">
              <w:rPr>
                <w:rFonts w:cs="Arial"/>
              </w:rPr>
              <w:t>хроничен синуит</w:t>
            </w:r>
          </w:p>
        </w:tc>
        <w:tc>
          <w:tcPr>
            <w:tcW w:w="2375" w:type="dxa"/>
          </w:tcPr>
          <w:p w14:paraId="724BA427" w14:textId="77777777"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два пъти</w:t>
            </w:r>
          </w:p>
          <w:p w14:paraId="7E8C5471" w14:textId="5AE571C4" w:rsidR="003A30A5" w:rsidRPr="003A30A5" w:rsidRDefault="003A30A5" w:rsidP="003A30A5">
            <w:pPr>
              <w:rPr>
                <w:rFonts w:cs="Arial"/>
              </w:rPr>
            </w:pPr>
            <w:r w:rsidRPr="003A30A5">
              <w:rPr>
                <w:rFonts w:cs="Arial"/>
              </w:rPr>
              <w:t xml:space="preserve">дневно до 750 </w:t>
            </w:r>
            <w:r w:rsidRPr="003A30A5">
              <w:rPr>
                <w:rFonts w:cs="Arial"/>
                <w:lang w:val="en-US"/>
              </w:rPr>
              <w:t xml:space="preserve">mg </w:t>
            </w:r>
            <w:r w:rsidRPr="003A30A5">
              <w:rPr>
                <w:rFonts w:cs="Arial"/>
              </w:rPr>
              <w:t>два пъти дневно</w:t>
            </w:r>
          </w:p>
        </w:tc>
        <w:tc>
          <w:tcPr>
            <w:tcW w:w="2375" w:type="dxa"/>
          </w:tcPr>
          <w:p w14:paraId="6890689C" w14:textId="75501657" w:rsidR="003A30A5" w:rsidRPr="003A30A5" w:rsidRDefault="003A30A5" w:rsidP="003A30A5">
            <w:pPr>
              <w:rPr>
                <w:rFonts w:cs="Arial"/>
              </w:rPr>
            </w:pPr>
            <w:r w:rsidRPr="003A30A5">
              <w:rPr>
                <w:rFonts w:cs="Arial"/>
              </w:rPr>
              <w:t>7 до</w:t>
            </w:r>
            <w:r w:rsidRPr="003A30A5">
              <w:rPr>
                <w:rFonts w:cs="Arial"/>
                <w:lang w:val="en-US"/>
              </w:rPr>
              <w:t xml:space="preserve"> 14 </w:t>
            </w:r>
            <w:r w:rsidRPr="003A30A5">
              <w:rPr>
                <w:rFonts w:cs="Arial"/>
              </w:rPr>
              <w:t>дни</w:t>
            </w:r>
          </w:p>
        </w:tc>
      </w:tr>
      <w:tr w:rsidR="003A30A5" w:rsidRPr="003A30A5" w14:paraId="7E804CE6" w14:textId="77777777" w:rsidTr="00431E5F">
        <w:tc>
          <w:tcPr>
            <w:tcW w:w="2375" w:type="dxa"/>
            <w:vMerge/>
          </w:tcPr>
          <w:p w14:paraId="633D85CF" w14:textId="77777777" w:rsidR="003A30A5" w:rsidRPr="003A30A5" w:rsidRDefault="003A30A5" w:rsidP="003A30A5">
            <w:pPr>
              <w:rPr>
                <w:rFonts w:cs="Arial"/>
              </w:rPr>
            </w:pPr>
          </w:p>
        </w:tc>
        <w:tc>
          <w:tcPr>
            <w:tcW w:w="2375" w:type="dxa"/>
            <w:vAlign w:val="bottom"/>
          </w:tcPr>
          <w:p w14:paraId="4A434E02" w14:textId="7B7C515F" w:rsidR="003A30A5" w:rsidRPr="003A30A5" w:rsidRDefault="003A30A5" w:rsidP="003A30A5">
            <w:pPr>
              <w:rPr>
                <w:rFonts w:cs="Arial"/>
              </w:rPr>
            </w:pPr>
            <w:r w:rsidRPr="003A30A5">
              <w:rPr>
                <w:rFonts w:cs="Arial"/>
              </w:rPr>
              <w:t>Хронично супуративно възпаление на средното ухо</w:t>
            </w:r>
          </w:p>
        </w:tc>
        <w:tc>
          <w:tcPr>
            <w:tcW w:w="2375" w:type="dxa"/>
          </w:tcPr>
          <w:p w14:paraId="13148D94" w14:textId="6B4A9721"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16881AFE" w14:textId="2794C34D" w:rsidR="003A30A5" w:rsidRPr="003A30A5" w:rsidRDefault="003A30A5" w:rsidP="003A30A5">
            <w:pPr>
              <w:rPr>
                <w:rFonts w:cs="Arial"/>
              </w:rPr>
            </w:pPr>
            <w:r w:rsidRPr="003A30A5">
              <w:rPr>
                <w:rFonts w:cs="Arial"/>
              </w:rPr>
              <w:t>7 до 14 дни</w:t>
            </w:r>
          </w:p>
        </w:tc>
      </w:tr>
      <w:tr w:rsidR="003A30A5" w:rsidRPr="003A30A5" w14:paraId="50C1CA0C" w14:textId="77777777" w:rsidTr="00431E5F">
        <w:tc>
          <w:tcPr>
            <w:tcW w:w="2375" w:type="dxa"/>
            <w:vMerge/>
          </w:tcPr>
          <w:p w14:paraId="1B131076" w14:textId="77777777" w:rsidR="003A30A5" w:rsidRPr="003A30A5" w:rsidRDefault="003A30A5" w:rsidP="003A30A5">
            <w:pPr>
              <w:rPr>
                <w:rFonts w:cs="Arial"/>
              </w:rPr>
            </w:pPr>
          </w:p>
        </w:tc>
        <w:tc>
          <w:tcPr>
            <w:tcW w:w="2375" w:type="dxa"/>
            <w:vAlign w:val="bottom"/>
          </w:tcPr>
          <w:p w14:paraId="456B50EA" w14:textId="1115339F" w:rsidR="003A30A5" w:rsidRPr="003A30A5" w:rsidRDefault="003A30A5" w:rsidP="003A30A5">
            <w:pPr>
              <w:rPr>
                <w:rFonts w:cs="Arial"/>
              </w:rPr>
            </w:pPr>
            <w:r w:rsidRPr="003A30A5">
              <w:rPr>
                <w:rFonts w:cs="Arial"/>
              </w:rPr>
              <w:t>Малигнен външен отит</w:t>
            </w:r>
          </w:p>
        </w:tc>
        <w:tc>
          <w:tcPr>
            <w:tcW w:w="2375" w:type="dxa"/>
            <w:vAlign w:val="bottom"/>
          </w:tcPr>
          <w:p w14:paraId="410BF6E0" w14:textId="756A1BA6" w:rsidR="003A30A5" w:rsidRPr="003A30A5" w:rsidRDefault="003A30A5" w:rsidP="003A30A5">
            <w:pPr>
              <w:rPr>
                <w:rFonts w:cs="Arial"/>
              </w:rPr>
            </w:pPr>
            <w:r w:rsidRPr="003A30A5">
              <w:rPr>
                <w:rFonts w:cs="Arial"/>
              </w:rPr>
              <w:t xml:space="preserve">750 </w:t>
            </w:r>
            <w:r w:rsidRPr="003A30A5">
              <w:rPr>
                <w:rFonts w:cs="Arial"/>
                <w:lang w:val="en-US"/>
              </w:rPr>
              <w:t xml:space="preserve">mg </w:t>
            </w:r>
            <w:r w:rsidRPr="003A30A5">
              <w:rPr>
                <w:rFonts w:cs="Arial"/>
              </w:rPr>
              <w:t>два пъти дневно</w:t>
            </w:r>
          </w:p>
        </w:tc>
        <w:tc>
          <w:tcPr>
            <w:tcW w:w="2375" w:type="dxa"/>
          </w:tcPr>
          <w:p w14:paraId="030ACF5D" w14:textId="02B394B0" w:rsidR="003A30A5" w:rsidRPr="003A30A5" w:rsidRDefault="003A30A5" w:rsidP="003A30A5">
            <w:pPr>
              <w:rPr>
                <w:rFonts w:cs="Arial"/>
              </w:rPr>
            </w:pPr>
            <w:r w:rsidRPr="003A30A5">
              <w:rPr>
                <w:rFonts w:cs="Arial"/>
              </w:rPr>
              <w:t>28 дни до 3 месеца</w:t>
            </w:r>
          </w:p>
        </w:tc>
      </w:tr>
      <w:tr w:rsidR="003A30A5" w:rsidRPr="003A30A5" w14:paraId="7A1A1988" w14:textId="77777777" w:rsidTr="00431E5F">
        <w:tc>
          <w:tcPr>
            <w:tcW w:w="2375" w:type="dxa"/>
            <w:vMerge w:val="restart"/>
          </w:tcPr>
          <w:p w14:paraId="35710F18" w14:textId="75FBAC71" w:rsidR="003A30A5" w:rsidRPr="003A30A5" w:rsidRDefault="003A30A5" w:rsidP="003A30A5">
            <w:pPr>
              <w:rPr>
                <w:rFonts w:cs="Arial"/>
              </w:rPr>
            </w:pPr>
            <w:r w:rsidRPr="003A30A5">
              <w:rPr>
                <w:rFonts w:cs="Arial"/>
              </w:rPr>
              <w:t>Инфекции на пикочните пътища (виж точка 4.4)</w:t>
            </w:r>
          </w:p>
        </w:tc>
        <w:tc>
          <w:tcPr>
            <w:tcW w:w="2375" w:type="dxa"/>
            <w:vMerge w:val="restart"/>
          </w:tcPr>
          <w:p w14:paraId="4D5CE94E" w14:textId="43B8C07F" w:rsidR="003A30A5" w:rsidRPr="003A30A5" w:rsidRDefault="003A30A5" w:rsidP="003A30A5">
            <w:pPr>
              <w:rPr>
                <w:rFonts w:cs="Arial"/>
              </w:rPr>
            </w:pPr>
            <w:r w:rsidRPr="003A30A5">
              <w:rPr>
                <w:rFonts w:cs="Arial"/>
              </w:rPr>
              <w:t>Неусложнен остър цистит</w:t>
            </w:r>
          </w:p>
        </w:tc>
        <w:tc>
          <w:tcPr>
            <w:tcW w:w="2375" w:type="dxa"/>
            <w:vAlign w:val="bottom"/>
          </w:tcPr>
          <w:p w14:paraId="006F2A29" w14:textId="440DD18C" w:rsidR="003A30A5" w:rsidRPr="003A30A5" w:rsidRDefault="003A30A5" w:rsidP="003A30A5">
            <w:pPr>
              <w:rPr>
                <w:rFonts w:cs="Arial"/>
              </w:rPr>
            </w:pPr>
            <w:r w:rsidRPr="003A30A5">
              <w:rPr>
                <w:rFonts w:cs="Arial"/>
              </w:rPr>
              <w:t xml:space="preserve">250 </w:t>
            </w:r>
            <w:r w:rsidRPr="003A30A5">
              <w:rPr>
                <w:rFonts w:cs="Arial"/>
                <w:lang w:val="en-US"/>
              </w:rPr>
              <w:t xml:space="preserve">mg </w:t>
            </w:r>
            <w:r w:rsidRPr="003A30A5">
              <w:rPr>
                <w:rFonts w:cs="Arial"/>
              </w:rPr>
              <w:t xml:space="preserve">два пъти дневно до 500 </w:t>
            </w:r>
            <w:r w:rsidRPr="003A30A5">
              <w:rPr>
                <w:rFonts w:cs="Arial"/>
                <w:lang w:val="en-US"/>
              </w:rPr>
              <w:t xml:space="preserve">mg </w:t>
            </w:r>
            <w:r w:rsidRPr="003A30A5">
              <w:rPr>
                <w:rFonts w:cs="Arial"/>
              </w:rPr>
              <w:t>два пъти дневно</w:t>
            </w:r>
          </w:p>
        </w:tc>
        <w:tc>
          <w:tcPr>
            <w:tcW w:w="2375" w:type="dxa"/>
          </w:tcPr>
          <w:p w14:paraId="43B10BAF" w14:textId="612CB99B" w:rsidR="003A30A5" w:rsidRPr="003A30A5" w:rsidRDefault="003A30A5" w:rsidP="003A30A5">
            <w:pPr>
              <w:rPr>
                <w:rFonts w:cs="Arial"/>
              </w:rPr>
            </w:pPr>
            <w:r w:rsidRPr="003A30A5">
              <w:rPr>
                <w:rFonts w:cs="Arial"/>
              </w:rPr>
              <w:t>3 дни</w:t>
            </w:r>
          </w:p>
        </w:tc>
      </w:tr>
      <w:tr w:rsidR="003A30A5" w:rsidRPr="003A30A5" w14:paraId="55BD051C" w14:textId="77777777" w:rsidTr="00431E5F">
        <w:tc>
          <w:tcPr>
            <w:tcW w:w="2375" w:type="dxa"/>
            <w:vMerge/>
          </w:tcPr>
          <w:p w14:paraId="56525D5B" w14:textId="77777777" w:rsidR="003A30A5" w:rsidRPr="003A30A5" w:rsidRDefault="003A30A5" w:rsidP="003A30A5">
            <w:pPr>
              <w:rPr>
                <w:rFonts w:cs="Arial"/>
              </w:rPr>
            </w:pPr>
          </w:p>
        </w:tc>
        <w:tc>
          <w:tcPr>
            <w:tcW w:w="2375" w:type="dxa"/>
            <w:vMerge/>
          </w:tcPr>
          <w:p w14:paraId="30D45C14" w14:textId="77777777" w:rsidR="003A30A5" w:rsidRPr="003A30A5" w:rsidRDefault="003A30A5" w:rsidP="003A30A5">
            <w:pPr>
              <w:rPr>
                <w:rFonts w:cs="Arial"/>
              </w:rPr>
            </w:pPr>
          </w:p>
        </w:tc>
        <w:tc>
          <w:tcPr>
            <w:tcW w:w="4750" w:type="dxa"/>
            <w:gridSpan w:val="2"/>
          </w:tcPr>
          <w:p w14:paraId="0A1EAC1A" w14:textId="4526249E" w:rsidR="003A30A5" w:rsidRPr="003A30A5" w:rsidRDefault="003A30A5" w:rsidP="003A30A5">
            <w:pPr>
              <w:rPr>
                <w:rFonts w:cs="Arial"/>
              </w:rPr>
            </w:pPr>
            <w:r w:rsidRPr="003A30A5">
              <w:rPr>
                <w:rFonts w:cs="Arial"/>
              </w:rPr>
              <w:t xml:space="preserve">При жени в пременопауза може да се използва 500 </w:t>
            </w:r>
            <w:r w:rsidRPr="003A30A5">
              <w:rPr>
                <w:rFonts w:cs="Arial"/>
                <w:lang w:val="en-US"/>
              </w:rPr>
              <w:t xml:space="preserve">mg </w:t>
            </w:r>
            <w:r w:rsidRPr="003A30A5">
              <w:rPr>
                <w:rFonts w:cs="Arial"/>
              </w:rPr>
              <w:t>еднократна доза</w:t>
            </w:r>
          </w:p>
        </w:tc>
      </w:tr>
      <w:tr w:rsidR="003A30A5" w:rsidRPr="003A30A5" w14:paraId="10E47E3C" w14:textId="77777777" w:rsidTr="00431E5F">
        <w:tc>
          <w:tcPr>
            <w:tcW w:w="2375" w:type="dxa"/>
            <w:vMerge/>
          </w:tcPr>
          <w:p w14:paraId="4F79EEB1" w14:textId="77777777" w:rsidR="003A30A5" w:rsidRPr="003A30A5" w:rsidRDefault="003A30A5" w:rsidP="003A30A5">
            <w:pPr>
              <w:rPr>
                <w:rFonts w:cs="Arial"/>
              </w:rPr>
            </w:pPr>
          </w:p>
        </w:tc>
        <w:tc>
          <w:tcPr>
            <w:tcW w:w="2375" w:type="dxa"/>
            <w:vAlign w:val="bottom"/>
          </w:tcPr>
          <w:p w14:paraId="13C6EF3E" w14:textId="21BD8F65" w:rsidR="003A30A5" w:rsidRPr="003A30A5" w:rsidRDefault="003A30A5" w:rsidP="003A30A5">
            <w:pPr>
              <w:rPr>
                <w:rFonts w:cs="Arial"/>
              </w:rPr>
            </w:pPr>
            <w:r w:rsidRPr="003A30A5">
              <w:rPr>
                <w:rFonts w:cs="Arial"/>
              </w:rPr>
              <w:t>Усложнени инфекции на пикочните пътища</w:t>
            </w:r>
          </w:p>
        </w:tc>
        <w:tc>
          <w:tcPr>
            <w:tcW w:w="2375" w:type="dxa"/>
            <w:vAlign w:val="bottom"/>
          </w:tcPr>
          <w:p w14:paraId="51D4E96D" w14:textId="3FFE69E6"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два пъти дневно</w:t>
            </w:r>
          </w:p>
        </w:tc>
        <w:tc>
          <w:tcPr>
            <w:tcW w:w="2375" w:type="dxa"/>
          </w:tcPr>
          <w:p w14:paraId="700BD482" w14:textId="1E316E9B" w:rsidR="003A30A5" w:rsidRPr="003A30A5" w:rsidRDefault="003A30A5" w:rsidP="003A30A5">
            <w:pPr>
              <w:rPr>
                <w:rFonts w:cs="Arial"/>
              </w:rPr>
            </w:pPr>
            <w:r w:rsidRPr="003A30A5">
              <w:rPr>
                <w:rFonts w:cs="Arial"/>
              </w:rPr>
              <w:t>7 дни</w:t>
            </w:r>
          </w:p>
        </w:tc>
      </w:tr>
      <w:tr w:rsidR="003A30A5" w:rsidRPr="003A30A5" w14:paraId="597B5EB5" w14:textId="77777777" w:rsidTr="00431E5F">
        <w:tc>
          <w:tcPr>
            <w:tcW w:w="2375" w:type="dxa"/>
            <w:vMerge/>
          </w:tcPr>
          <w:p w14:paraId="28CB72C7" w14:textId="77777777" w:rsidR="003A30A5" w:rsidRPr="003A30A5" w:rsidRDefault="003A30A5" w:rsidP="003A30A5">
            <w:pPr>
              <w:rPr>
                <w:rFonts w:cs="Arial"/>
              </w:rPr>
            </w:pPr>
          </w:p>
        </w:tc>
        <w:tc>
          <w:tcPr>
            <w:tcW w:w="2375" w:type="dxa"/>
          </w:tcPr>
          <w:p w14:paraId="1FFF11DD" w14:textId="0032E592" w:rsidR="003A30A5" w:rsidRPr="003A30A5" w:rsidRDefault="003A30A5" w:rsidP="003A30A5">
            <w:pPr>
              <w:rPr>
                <w:rFonts w:cs="Arial"/>
              </w:rPr>
            </w:pPr>
            <w:r w:rsidRPr="003A30A5">
              <w:rPr>
                <w:rFonts w:cs="Arial"/>
              </w:rPr>
              <w:t>Усложнен пиелонефрит</w:t>
            </w:r>
          </w:p>
        </w:tc>
        <w:tc>
          <w:tcPr>
            <w:tcW w:w="2375" w:type="dxa"/>
          </w:tcPr>
          <w:p w14:paraId="175D0F66" w14:textId="696CDFD0"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vAlign w:val="bottom"/>
          </w:tcPr>
          <w:p w14:paraId="682473CD" w14:textId="10D30E8D" w:rsidR="003A30A5" w:rsidRPr="003A30A5" w:rsidRDefault="003A30A5" w:rsidP="003A30A5">
            <w:pPr>
              <w:rPr>
                <w:rFonts w:cs="Arial"/>
              </w:rPr>
            </w:pPr>
            <w:r w:rsidRPr="003A30A5">
              <w:rPr>
                <w:rFonts w:cs="Arial"/>
              </w:rPr>
              <w:t>минимум 10 дни, може да бъде продължено до повече от 21 дни в определени случаи (напр. абсцеси)</w:t>
            </w:r>
          </w:p>
        </w:tc>
      </w:tr>
      <w:tr w:rsidR="003A30A5" w:rsidRPr="003A30A5" w14:paraId="198D9F39" w14:textId="77777777" w:rsidTr="00595C6C">
        <w:tc>
          <w:tcPr>
            <w:tcW w:w="2375" w:type="dxa"/>
            <w:vMerge/>
          </w:tcPr>
          <w:p w14:paraId="6CED1A6C" w14:textId="77777777" w:rsidR="003A30A5" w:rsidRPr="003A30A5" w:rsidRDefault="003A30A5" w:rsidP="003A30A5">
            <w:pPr>
              <w:rPr>
                <w:rFonts w:cs="Arial"/>
              </w:rPr>
            </w:pPr>
          </w:p>
        </w:tc>
        <w:tc>
          <w:tcPr>
            <w:tcW w:w="2375" w:type="dxa"/>
          </w:tcPr>
          <w:p w14:paraId="5F1B84D0" w14:textId="3B9DB747" w:rsidR="003A30A5" w:rsidRPr="003A30A5" w:rsidRDefault="003A30A5" w:rsidP="003A30A5">
            <w:pPr>
              <w:rPr>
                <w:rFonts w:cs="Arial"/>
              </w:rPr>
            </w:pPr>
            <w:r w:rsidRPr="003A30A5">
              <w:rPr>
                <w:rFonts w:cs="Arial"/>
              </w:rPr>
              <w:t>Бактериален простатит</w:t>
            </w:r>
          </w:p>
        </w:tc>
        <w:tc>
          <w:tcPr>
            <w:tcW w:w="2375" w:type="dxa"/>
          </w:tcPr>
          <w:p w14:paraId="3DC308D6" w14:textId="0BE1DE7D"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73211BC7" w14:textId="77777777" w:rsidR="003A30A5" w:rsidRPr="003A30A5" w:rsidRDefault="003A30A5" w:rsidP="003A30A5">
            <w:pPr>
              <w:rPr>
                <w:rFonts w:cs="Arial"/>
              </w:rPr>
            </w:pPr>
            <w:r w:rsidRPr="003A30A5">
              <w:rPr>
                <w:rFonts w:cs="Arial"/>
              </w:rPr>
              <w:t>2 до 4 седмици (остър)</w:t>
            </w:r>
          </w:p>
          <w:p w14:paraId="7E36DB72" w14:textId="58338E3D" w:rsidR="003A30A5" w:rsidRPr="003A30A5" w:rsidRDefault="003A30A5" w:rsidP="003A30A5">
            <w:pPr>
              <w:rPr>
                <w:rFonts w:cs="Arial"/>
              </w:rPr>
            </w:pPr>
            <w:r w:rsidRPr="003A30A5">
              <w:rPr>
                <w:rFonts w:cs="Arial"/>
              </w:rPr>
              <w:t>4 до 6 седмици (хроничен)</w:t>
            </w:r>
          </w:p>
        </w:tc>
      </w:tr>
      <w:tr w:rsidR="003A30A5" w:rsidRPr="003A30A5" w14:paraId="35A36962" w14:textId="77777777" w:rsidTr="00431E5F">
        <w:tc>
          <w:tcPr>
            <w:tcW w:w="2375" w:type="dxa"/>
            <w:vMerge w:val="restart"/>
          </w:tcPr>
          <w:p w14:paraId="69221C74" w14:textId="53135047" w:rsidR="003A30A5" w:rsidRPr="003A30A5" w:rsidRDefault="003A30A5" w:rsidP="003A30A5">
            <w:pPr>
              <w:rPr>
                <w:rFonts w:cs="Arial"/>
              </w:rPr>
            </w:pPr>
            <w:r w:rsidRPr="003A30A5">
              <w:rPr>
                <w:rFonts w:cs="Arial"/>
              </w:rPr>
              <w:t>Инфекции на гениталния тракт</w:t>
            </w:r>
          </w:p>
        </w:tc>
        <w:tc>
          <w:tcPr>
            <w:tcW w:w="2375" w:type="dxa"/>
            <w:vAlign w:val="bottom"/>
          </w:tcPr>
          <w:p w14:paraId="5CAA8AAC" w14:textId="635A5799" w:rsidR="003A30A5" w:rsidRPr="003A30A5" w:rsidRDefault="003A30A5" w:rsidP="003A30A5">
            <w:pPr>
              <w:rPr>
                <w:rFonts w:cs="Arial"/>
              </w:rPr>
            </w:pPr>
            <w:r w:rsidRPr="003A30A5">
              <w:rPr>
                <w:rFonts w:cs="Arial"/>
              </w:rPr>
              <w:t>Гонококов уретрит и цервицит</w:t>
            </w:r>
          </w:p>
        </w:tc>
        <w:tc>
          <w:tcPr>
            <w:tcW w:w="2375" w:type="dxa"/>
            <w:vAlign w:val="bottom"/>
          </w:tcPr>
          <w:p w14:paraId="1596BDFB" w14:textId="1BDF7621"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като еднократна доза</w:t>
            </w:r>
          </w:p>
        </w:tc>
        <w:tc>
          <w:tcPr>
            <w:tcW w:w="2375" w:type="dxa"/>
          </w:tcPr>
          <w:p w14:paraId="53030353" w14:textId="66C398E4" w:rsidR="003A30A5" w:rsidRPr="003A30A5" w:rsidRDefault="003A30A5" w:rsidP="003A30A5">
            <w:pPr>
              <w:rPr>
                <w:rFonts w:cs="Arial"/>
              </w:rPr>
            </w:pPr>
            <w:r w:rsidRPr="003A30A5">
              <w:rPr>
                <w:rFonts w:cs="Arial"/>
              </w:rPr>
              <w:t>1 ден (еднократна доза)</w:t>
            </w:r>
          </w:p>
        </w:tc>
      </w:tr>
      <w:tr w:rsidR="003A30A5" w:rsidRPr="003A30A5" w14:paraId="18388DAD" w14:textId="77777777" w:rsidTr="00431E5F">
        <w:tc>
          <w:tcPr>
            <w:tcW w:w="2375" w:type="dxa"/>
            <w:vMerge/>
          </w:tcPr>
          <w:p w14:paraId="590EB376" w14:textId="77777777" w:rsidR="003A30A5" w:rsidRPr="003A30A5" w:rsidRDefault="003A30A5" w:rsidP="003A30A5">
            <w:pPr>
              <w:rPr>
                <w:rFonts w:cs="Arial"/>
              </w:rPr>
            </w:pPr>
          </w:p>
        </w:tc>
        <w:tc>
          <w:tcPr>
            <w:tcW w:w="2375" w:type="dxa"/>
            <w:vAlign w:val="bottom"/>
          </w:tcPr>
          <w:p w14:paraId="24078E0F" w14:textId="78CD58E9" w:rsidR="003A30A5" w:rsidRPr="003A30A5" w:rsidRDefault="003A30A5" w:rsidP="003A30A5">
            <w:pPr>
              <w:rPr>
                <w:rFonts w:cs="Arial"/>
              </w:rPr>
            </w:pPr>
            <w:r w:rsidRPr="003A30A5">
              <w:rPr>
                <w:rFonts w:cs="Arial"/>
              </w:rPr>
              <w:t>Орхиепидидимит и възпалителни заболявания на тазовите органи</w:t>
            </w:r>
          </w:p>
        </w:tc>
        <w:tc>
          <w:tcPr>
            <w:tcW w:w="2375" w:type="dxa"/>
          </w:tcPr>
          <w:p w14:paraId="50E1A745" w14:textId="78D8ED09"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7BDAE964" w14:textId="350A5EFE" w:rsidR="003A30A5" w:rsidRPr="003A30A5" w:rsidRDefault="003A30A5" w:rsidP="003A30A5">
            <w:pPr>
              <w:rPr>
                <w:rFonts w:cs="Arial"/>
              </w:rPr>
            </w:pPr>
            <w:r w:rsidRPr="003A30A5">
              <w:rPr>
                <w:rFonts w:cs="Arial"/>
              </w:rPr>
              <w:t>най-малко 14 дни</w:t>
            </w:r>
          </w:p>
        </w:tc>
      </w:tr>
      <w:tr w:rsidR="003A30A5" w:rsidRPr="003A30A5" w14:paraId="4E3FCC72" w14:textId="77777777" w:rsidTr="00431E5F">
        <w:tc>
          <w:tcPr>
            <w:tcW w:w="2375" w:type="dxa"/>
            <w:vMerge w:val="restart"/>
          </w:tcPr>
          <w:p w14:paraId="4C9FF280" w14:textId="26FB9CEB" w:rsidR="003A30A5" w:rsidRPr="003A30A5" w:rsidRDefault="003A30A5" w:rsidP="003A30A5">
            <w:pPr>
              <w:rPr>
                <w:rFonts w:cs="Arial"/>
              </w:rPr>
            </w:pPr>
            <w:r w:rsidRPr="003A30A5">
              <w:rPr>
                <w:rFonts w:cs="Arial"/>
              </w:rPr>
              <w:t>Инфекции на стомашно-чревния тракт и интраабдоминални инфекции</w:t>
            </w:r>
          </w:p>
        </w:tc>
        <w:tc>
          <w:tcPr>
            <w:tcW w:w="2375" w:type="dxa"/>
            <w:vAlign w:val="bottom"/>
          </w:tcPr>
          <w:p w14:paraId="2F26EB5F" w14:textId="69EAFF54" w:rsidR="003A30A5" w:rsidRPr="003A30A5" w:rsidRDefault="003A30A5" w:rsidP="003A30A5">
            <w:pPr>
              <w:rPr>
                <w:rFonts w:cs="Arial"/>
              </w:rPr>
            </w:pPr>
            <w:r w:rsidRPr="003A30A5">
              <w:rPr>
                <w:rFonts w:cs="Arial"/>
              </w:rPr>
              <w:t xml:space="preserve">Диария, причинена от бактерии, вкл. </w:t>
            </w:r>
            <w:proofErr w:type="spellStart"/>
            <w:r w:rsidRPr="003A30A5">
              <w:rPr>
                <w:rFonts w:cs="Arial"/>
                <w:i/>
                <w:iCs/>
                <w:lang w:val="en-US"/>
              </w:rPr>
              <w:t>Shigella</w:t>
            </w:r>
            <w:proofErr w:type="spellEnd"/>
            <w:r w:rsidRPr="003A30A5">
              <w:rPr>
                <w:rFonts w:cs="Arial"/>
                <w:i/>
                <w:iCs/>
                <w:lang w:val="en-US"/>
              </w:rPr>
              <w:t xml:space="preserve"> spp.</w:t>
            </w:r>
            <w:r w:rsidRPr="003A30A5">
              <w:rPr>
                <w:rFonts w:cs="Arial"/>
                <w:lang w:val="en-US"/>
              </w:rPr>
              <w:t xml:space="preserve"> </w:t>
            </w:r>
            <w:r w:rsidRPr="003A30A5">
              <w:rPr>
                <w:rFonts w:cs="Arial"/>
              </w:rPr>
              <w:t xml:space="preserve">различни от </w:t>
            </w:r>
            <w:proofErr w:type="spellStart"/>
            <w:r w:rsidRPr="003A30A5">
              <w:rPr>
                <w:rFonts w:cs="Arial"/>
                <w:i/>
                <w:iCs/>
                <w:lang w:val="en-US"/>
              </w:rPr>
              <w:t>Shigella</w:t>
            </w:r>
            <w:proofErr w:type="spellEnd"/>
            <w:r w:rsidRPr="003A30A5">
              <w:rPr>
                <w:rFonts w:cs="Arial"/>
                <w:i/>
                <w:iCs/>
                <w:lang w:val="en-US"/>
              </w:rPr>
              <w:t xml:space="preserve"> </w:t>
            </w:r>
            <w:proofErr w:type="spellStart"/>
            <w:r w:rsidRPr="003A30A5">
              <w:rPr>
                <w:rFonts w:cs="Arial"/>
                <w:i/>
                <w:iCs/>
                <w:lang w:val="en-US"/>
              </w:rPr>
              <w:t>dysenteriae</w:t>
            </w:r>
            <w:proofErr w:type="spellEnd"/>
            <w:r w:rsidRPr="003A30A5">
              <w:rPr>
                <w:rFonts w:cs="Arial"/>
                <w:i/>
                <w:iCs/>
                <w:lang w:val="en-US"/>
              </w:rPr>
              <w:t xml:space="preserve"> </w:t>
            </w:r>
            <w:r w:rsidRPr="003A30A5">
              <w:rPr>
                <w:rFonts w:cs="Arial"/>
              </w:rPr>
              <w:t>тип I и емпирично лечение на тежка диария на пътешествениците</w:t>
            </w:r>
          </w:p>
        </w:tc>
        <w:tc>
          <w:tcPr>
            <w:tcW w:w="2375" w:type="dxa"/>
          </w:tcPr>
          <w:p w14:paraId="0320714F" w14:textId="7752172C"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два пъти дневно</w:t>
            </w:r>
          </w:p>
        </w:tc>
        <w:tc>
          <w:tcPr>
            <w:tcW w:w="2375" w:type="dxa"/>
          </w:tcPr>
          <w:p w14:paraId="0EA7965B" w14:textId="234FF523" w:rsidR="003A30A5" w:rsidRPr="003A30A5" w:rsidRDefault="003A30A5" w:rsidP="003A30A5">
            <w:pPr>
              <w:rPr>
                <w:rFonts w:cs="Arial"/>
              </w:rPr>
            </w:pPr>
            <w:r w:rsidRPr="003A30A5">
              <w:rPr>
                <w:rFonts w:cs="Arial"/>
              </w:rPr>
              <w:t>1 ден</w:t>
            </w:r>
          </w:p>
        </w:tc>
      </w:tr>
      <w:tr w:rsidR="003A30A5" w:rsidRPr="003A30A5" w14:paraId="561D9C5F" w14:textId="77777777" w:rsidTr="00431E5F">
        <w:tc>
          <w:tcPr>
            <w:tcW w:w="2375" w:type="dxa"/>
            <w:vMerge/>
          </w:tcPr>
          <w:p w14:paraId="0093026A" w14:textId="77777777" w:rsidR="003A30A5" w:rsidRPr="003A30A5" w:rsidRDefault="003A30A5" w:rsidP="003A30A5">
            <w:pPr>
              <w:rPr>
                <w:rFonts w:cs="Arial"/>
              </w:rPr>
            </w:pPr>
          </w:p>
        </w:tc>
        <w:tc>
          <w:tcPr>
            <w:tcW w:w="2375" w:type="dxa"/>
            <w:vAlign w:val="bottom"/>
          </w:tcPr>
          <w:p w14:paraId="22D05D8C" w14:textId="4D7C06D2" w:rsidR="003A30A5" w:rsidRPr="003A30A5" w:rsidRDefault="003A30A5" w:rsidP="003A30A5">
            <w:pPr>
              <w:rPr>
                <w:rFonts w:cs="Arial"/>
              </w:rPr>
            </w:pPr>
            <w:r w:rsidRPr="003A30A5">
              <w:rPr>
                <w:rFonts w:cs="Arial"/>
              </w:rPr>
              <w:t xml:space="preserve">Диария, причинена от </w:t>
            </w:r>
            <w:proofErr w:type="spellStart"/>
            <w:r w:rsidRPr="003A30A5">
              <w:rPr>
                <w:rFonts w:cs="Arial"/>
                <w:i/>
                <w:iCs/>
                <w:lang w:val="en-US"/>
              </w:rPr>
              <w:t>Shigella</w:t>
            </w:r>
            <w:proofErr w:type="spellEnd"/>
            <w:r w:rsidRPr="003A30A5">
              <w:rPr>
                <w:rFonts w:cs="Arial"/>
                <w:i/>
                <w:iCs/>
                <w:lang w:val="en-US"/>
              </w:rPr>
              <w:t xml:space="preserve"> </w:t>
            </w:r>
            <w:proofErr w:type="spellStart"/>
            <w:r w:rsidRPr="003A30A5">
              <w:rPr>
                <w:rFonts w:cs="Arial"/>
                <w:i/>
                <w:iCs/>
                <w:lang w:val="en-US"/>
              </w:rPr>
              <w:t>dysenteriae</w:t>
            </w:r>
            <w:proofErr w:type="spellEnd"/>
            <w:r w:rsidRPr="003A30A5">
              <w:rPr>
                <w:rFonts w:cs="Arial"/>
                <w:i/>
                <w:iCs/>
                <w:lang w:val="en-US"/>
              </w:rPr>
              <w:t xml:space="preserve"> </w:t>
            </w:r>
            <w:r w:rsidRPr="003A30A5">
              <w:rPr>
                <w:rFonts w:cs="Arial"/>
              </w:rPr>
              <w:t>тип I</w:t>
            </w:r>
          </w:p>
        </w:tc>
        <w:tc>
          <w:tcPr>
            <w:tcW w:w="2375" w:type="dxa"/>
          </w:tcPr>
          <w:p w14:paraId="2EA190D0" w14:textId="2A1E8E97"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два пъти дневно</w:t>
            </w:r>
          </w:p>
        </w:tc>
        <w:tc>
          <w:tcPr>
            <w:tcW w:w="2375" w:type="dxa"/>
          </w:tcPr>
          <w:p w14:paraId="073D4F73" w14:textId="71510AB3" w:rsidR="003A30A5" w:rsidRPr="003A30A5" w:rsidRDefault="003A30A5" w:rsidP="003A30A5">
            <w:pPr>
              <w:rPr>
                <w:rFonts w:cs="Arial"/>
              </w:rPr>
            </w:pPr>
            <w:r w:rsidRPr="003A30A5">
              <w:rPr>
                <w:rFonts w:cs="Arial"/>
              </w:rPr>
              <w:t>5 дни</w:t>
            </w:r>
          </w:p>
        </w:tc>
      </w:tr>
      <w:tr w:rsidR="003A30A5" w:rsidRPr="003A30A5" w14:paraId="2E1F3AED" w14:textId="77777777" w:rsidTr="00431E5F">
        <w:tc>
          <w:tcPr>
            <w:tcW w:w="2375" w:type="dxa"/>
            <w:vMerge/>
          </w:tcPr>
          <w:p w14:paraId="4904C370" w14:textId="77777777" w:rsidR="003A30A5" w:rsidRPr="003A30A5" w:rsidRDefault="003A30A5" w:rsidP="003A30A5">
            <w:pPr>
              <w:rPr>
                <w:rFonts w:cs="Arial"/>
              </w:rPr>
            </w:pPr>
          </w:p>
        </w:tc>
        <w:tc>
          <w:tcPr>
            <w:tcW w:w="2375" w:type="dxa"/>
            <w:vAlign w:val="bottom"/>
          </w:tcPr>
          <w:p w14:paraId="4D1458AE" w14:textId="77777777" w:rsidR="003A30A5" w:rsidRPr="003A30A5" w:rsidRDefault="003A30A5" w:rsidP="003A30A5">
            <w:pPr>
              <w:rPr>
                <w:rFonts w:cs="Arial"/>
              </w:rPr>
            </w:pPr>
            <w:r w:rsidRPr="003A30A5">
              <w:rPr>
                <w:rFonts w:cs="Arial"/>
              </w:rPr>
              <w:t>Диария, причинена от</w:t>
            </w:r>
          </w:p>
          <w:p w14:paraId="56CA7674" w14:textId="209AFB88" w:rsidR="003A30A5" w:rsidRPr="003A30A5" w:rsidRDefault="003A30A5" w:rsidP="003A30A5">
            <w:pPr>
              <w:rPr>
                <w:rFonts w:cs="Arial"/>
              </w:rPr>
            </w:pPr>
            <w:r w:rsidRPr="003A30A5">
              <w:rPr>
                <w:rFonts w:cs="Arial"/>
                <w:i/>
                <w:iCs/>
                <w:lang w:val="en-US"/>
              </w:rPr>
              <w:t xml:space="preserve">Vibrio </w:t>
            </w:r>
            <w:proofErr w:type="spellStart"/>
            <w:r w:rsidRPr="003A30A5">
              <w:rPr>
                <w:rFonts w:cs="Arial"/>
                <w:i/>
                <w:iCs/>
                <w:lang w:val="en-US"/>
              </w:rPr>
              <w:t>cholerae</w:t>
            </w:r>
            <w:proofErr w:type="spellEnd"/>
          </w:p>
        </w:tc>
        <w:tc>
          <w:tcPr>
            <w:tcW w:w="2375" w:type="dxa"/>
            <w:vAlign w:val="bottom"/>
          </w:tcPr>
          <w:p w14:paraId="302F2705" w14:textId="74B04E98"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два пъти дневно</w:t>
            </w:r>
          </w:p>
        </w:tc>
        <w:tc>
          <w:tcPr>
            <w:tcW w:w="2375" w:type="dxa"/>
          </w:tcPr>
          <w:p w14:paraId="1BF8AD5B" w14:textId="2AC41448" w:rsidR="003A30A5" w:rsidRPr="003A30A5" w:rsidRDefault="003A30A5" w:rsidP="003A30A5">
            <w:pPr>
              <w:rPr>
                <w:rFonts w:cs="Arial"/>
              </w:rPr>
            </w:pPr>
            <w:r w:rsidRPr="003A30A5">
              <w:rPr>
                <w:rFonts w:cs="Arial"/>
              </w:rPr>
              <w:t>3 дни</w:t>
            </w:r>
          </w:p>
        </w:tc>
      </w:tr>
      <w:tr w:rsidR="003A30A5" w:rsidRPr="003A30A5" w14:paraId="7A3FB681" w14:textId="77777777" w:rsidTr="00431E5F">
        <w:tc>
          <w:tcPr>
            <w:tcW w:w="2375" w:type="dxa"/>
            <w:vMerge/>
          </w:tcPr>
          <w:p w14:paraId="7F2458C8" w14:textId="77777777" w:rsidR="003A30A5" w:rsidRPr="003A30A5" w:rsidRDefault="003A30A5" w:rsidP="003A30A5">
            <w:pPr>
              <w:rPr>
                <w:rFonts w:cs="Arial"/>
              </w:rPr>
            </w:pPr>
          </w:p>
        </w:tc>
        <w:tc>
          <w:tcPr>
            <w:tcW w:w="2375" w:type="dxa"/>
          </w:tcPr>
          <w:p w14:paraId="306EE3D3" w14:textId="3F4AD9C2" w:rsidR="003A30A5" w:rsidRPr="003A30A5" w:rsidRDefault="003A30A5" w:rsidP="003A30A5">
            <w:pPr>
              <w:rPr>
                <w:rFonts w:cs="Arial"/>
              </w:rPr>
            </w:pPr>
            <w:r w:rsidRPr="003A30A5">
              <w:rPr>
                <w:rFonts w:cs="Arial"/>
              </w:rPr>
              <w:t>Тифоидна треска</w:t>
            </w:r>
          </w:p>
        </w:tc>
        <w:tc>
          <w:tcPr>
            <w:tcW w:w="2375" w:type="dxa"/>
            <w:vAlign w:val="bottom"/>
          </w:tcPr>
          <w:p w14:paraId="2926D02C" w14:textId="3590CBE2"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два пъти дневно</w:t>
            </w:r>
          </w:p>
        </w:tc>
        <w:tc>
          <w:tcPr>
            <w:tcW w:w="2375" w:type="dxa"/>
          </w:tcPr>
          <w:p w14:paraId="510CFC81" w14:textId="0EEA5FDE" w:rsidR="003A30A5" w:rsidRPr="003A30A5" w:rsidRDefault="003A30A5" w:rsidP="003A30A5">
            <w:pPr>
              <w:rPr>
                <w:rFonts w:cs="Arial"/>
              </w:rPr>
            </w:pPr>
            <w:r w:rsidRPr="003A30A5">
              <w:rPr>
                <w:rFonts w:cs="Arial"/>
              </w:rPr>
              <w:t>7 дни</w:t>
            </w:r>
          </w:p>
        </w:tc>
      </w:tr>
      <w:tr w:rsidR="003A30A5" w:rsidRPr="003A30A5" w14:paraId="1050652F" w14:textId="77777777" w:rsidTr="00431E5F">
        <w:tc>
          <w:tcPr>
            <w:tcW w:w="2375" w:type="dxa"/>
            <w:vMerge/>
          </w:tcPr>
          <w:p w14:paraId="7949644D" w14:textId="77777777" w:rsidR="003A30A5" w:rsidRPr="003A30A5" w:rsidRDefault="003A30A5" w:rsidP="003A30A5">
            <w:pPr>
              <w:rPr>
                <w:rFonts w:cs="Arial"/>
              </w:rPr>
            </w:pPr>
          </w:p>
        </w:tc>
        <w:tc>
          <w:tcPr>
            <w:tcW w:w="2375" w:type="dxa"/>
            <w:vAlign w:val="bottom"/>
          </w:tcPr>
          <w:p w14:paraId="0F99DE7A" w14:textId="506C750E" w:rsidR="003A30A5" w:rsidRPr="003A30A5" w:rsidRDefault="003A30A5" w:rsidP="003A30A5">
            <w:pPr>
              <w:rPr>
                <w:rFonts w:cs="Arial"/>
              </w:rPr>
            </w:pPr>
            <w:r w:rsidRPr="003A30A5">
              <w:rPr>
                <w:rFonts w:cs="Arial"/>
              </w:rPr>
              <w:t>Интраабдоминални инфекции, причинени от Грам-отрицателни бактерии</w:t>
            </w:r>
          </w:p>
        </w:tc>
        <w:tc>
          <w:tcPr>
            <w:tcW w:w="2375" w:type="dxa"/>
          </w:tcPr>
          <w:p w14:paraId="1CF8B594" w14:textId="6BD376C5"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0C5ABEA5" w14:textId="2A8057DB" w:rsidR="003A30A5" w:rsidRPr="003A30A5" w:rsidRDefault="003A30A5" w:rsidP="003A30A5">
            <w:pPr>
              <w:rPr>
                <w:rFonts w:cs="Arial"/>
              </w:rPr>
            </w:pPr>
            <w:r w:rsidRPr="003A30A5">
              <w:rPr>
                <w:rFonts w:cs="Arial"/>
              </w:rPr>
              <w:t>5 до 14 дни</w:t>
            </w:r>
          </w:p>
        </w:tc>
      </w:tr>
      <w:tr w:rsidR="003A30A5" w:rsidRPr="003A30A5" w14:paraId="5CB424BB" w14:textId="77777777" w:rsidTr="00431E5F">
        <w:tc>
          <w:tcPr>
            <w:tcW w:w="4750" w:type="dxa"/>
            <w:gridSpan w:val="2"/>
          </w:tcPr>
          <w:p w14:paraId="65C793A8" w14:textId="48983805" w:rsidR="003A30A5" w:rsidRPr="003A30A5" w:rsidRDefault="003A30A5" w:rsidP="003A30A5">
            <w:pPr>
              <w:rPr>
                <w:rFonts w:cs="Arial"/>
              </w:rPr>
            </w:pPr>
            <w:r w:rsidRPr="003A30A5">
              <w:rPr>
                <w:rFonts w:cs="Arial"/>
              </w:rPr>
              <w:t>Инфекции на кожата и меките тъкани</w:t>
            </w:r>
          </w:p>
        </w:tc>
        <w:tc>
          <w:tcPr>
            <w:tcW w:w="2375" w:type="dxa"/>
          </w:tcPr>
          <w:p w14:paraId="34788E3E" w14:textId="12A9F5A1"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0FF59DD1" w14:textId="1D40E4DA" w:rsidR="003A30A5" w:rsidRPr="003A30A5" w:rsidRDefault="003A30A5" w:rsidP="003A30A5">
            <w:pPr>
              <w:rPr>
                <w:rFonts w:cs="Arial"/>
              </w:rPr>
            </w:pPr>
            <w:r w:rsidRPr="003A30A5">
              <w:rPr>
                <w:rFonts w:cs="Arial"/>
              </w:rPr>
              <w:t>7 до 14 дни</w:t>
            </w:r>
          </w:p>
        </w:tc>
      </w:tr>
      <w:tr w:rsidR="003A30A5" w:rsidRPr="003A30A5" w14:paraId="22ACD07B" w14:textId="77777777" w:rsidTr="00431E5F">
        <w:tc>
          <w:tcPr>
            <w:tcW w:w="4750" w:type="dxa"/>
            <w:gridSpan w:val="2"/>
          </w:tcPr>
          <w:p w14:paraId="2DA62A2A" w14:textId="5D983DFC" w:rsidR="003A30A5" w:rsidRPr="003A30A5" w:rsidRDefault="003A30A5" w:rsidP="003A30A5">
            <w:pPr>
              <w:rPr>
                <w:rFonts w:cs="Arial"/>
              </w:rPr>
            </w:pPr>
            <w:r w:rsidRPr="003A30A5">
              <w:rPr>
                <w:rFonts w:cs="Arial"/>
              </w:rPr>
              <w:t>Инфекции на костите и ставите</w:t>
            </w:r>
          </w:p>
        </w:tc>
        <w:tc>
          <w:tcPr>
            <w:tcW w:w="2375" w:type="dxa"/>
          </w:tcPr>
          <w:p w14:paraId="5AAC5809" w14:textId="348ECEA1"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vAlign w:val="bottom"/>
          </w:tcPr>
          <w:p w14:paraId="20BA35C0" w14:textId="6599C769" w:rsidR="003A30A5" w:rsidRPr="003A30A5" w:rsidRDefault="003A30A5" w:rsidP="003A30A5">
            <w:pPr>
              <w:rPr>
                <w:rFonts w:cs="Arial"/>
              </w:rPr>
            </w:pPr>
            <w:r w:rsidRPr="003A30A5">
              <w:rPr>
                <w:rFonts w:cs="Arial"/>
              </w:rPr>
              <w:t>максимално 3 месеца</w:t>
            </w:r>
          </w:p>
        </w:tc>
      </w:tr>
      <w:tr w:rsidR="003A30A5" w:rsidRPr="003A30A5" w14:paraId="1C1693EA" w14:textId="77777777" w:rsidTr="00431E5F">
        <w:tc>
          <w:tcPr>
            <w:tcW w:w="4750" w:type="dxa"/>
            <w:gridSpan w:val="2"/>
          </w:tcPr>
          <w:p w14:paraId="13AA4C34" w14:textId="77777777" w:rsidR="003A30A5" w:rsidRPr="003A30A5" w:rsidRDefault="003A30A5" w:rsidP="003A30A5">
            <w:pPr>
              <w:rPr>
                <w:rFonts w:cs="Arial"/>
              </w:rPr>
            </w:pPr>
            <w:r w:rsidRPr="003A30A5">
              <w:rPr>
                <w:rFonts w:cs="Arial"/>
              </w:rPr>
              <w:t>Неутропенични пациенти с повишена температура, когато се предполага, че причината е бактериална инфекция.</w:t>
            </w:r>
          </w:p>
          <w:p w14:paraId="17E66FF1" w14:textId="073A19C5" w:rsidR="003A30A5" w:rsidRPr="003A30A5" w:rsidRDefault="003A30A5" w:rsidP="003A30A5">
            <w:pPr>
              <w:rPr>
                <w:rFonts w:cs="Arial"/>
              </w:rPr>
            </w:pPr>
            <w:r w:rsidRPr="003A30A5">
              <w:rPr>
                <w:rFonts w:cs="Arial"/>
              </w:rPr>
              <w:t>Ципрофлоксацин трябва да се комбинира с други подходящи антибактериални средства в съответствие с официалното ръководство.</w:t>
            </w:r>
          </w:p>
        </w:tc>
        <w:tc>
          <w:tcPr>
            <w:tcW w:w="2375" w:type="dxa"/>
          </w:tcPr>
          <w:p w14:paraId="7E613AF3" w14:textId="5AFB5ADB"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 xml:space="preserve">два пъти дневно до 750 </w:t>
            </w:r>
            <w:r w:rsidRPr="003A30A5">
              <w:rPr>
                <w:rFonts w:cs="Arial"/>
                <w:lang w:val="en-US"/>
              </w:rPr>
              <w:t xml:space="preserve">mg </w:t>
            </w:r>
            <w:r w:rsidRPr="003A30A5">
              <w:rPr>
                <w:rFonts w:cs="Arial"/>
              </w:rPr>
              <w:t>два пъти дневно</w:t>
            </w:r>
          </w:p>
        </w:tc>
        <w:tc>
          <w:tcPr>
            <w:tcW w:w="2375" w:type="dxa"/>
          </w:tcPr>
          <w:p w14:paraId="731F8AA3" w14:textId="77D9578D" w:rsidR="003A30A5" w:rsidRPr="003A30A5" w:rsidRDefault="003A30A5" w:rsidP="003A30A5">
            <w:pPr>
              <w:rPr>
                <w:rFonts w:cs="Arial"/>
              </w:rPr>
            </w:pPr>
            <w:r w:rsidRPr="003A30A5">
              <w:rPr>
                <w:rFonts w:cs="Arial"/>
              </w:rPr>
              <w:t>Лечението трябва да продължи през целия период на неутропенията</w:t>
            </w:r>
          </w:p>
        </w:tc>
      </w:tr>
      <w:tr w:rsidR="003A30A5" w:rsidRPr="003A30A5" w14:paraId="13E6B4C4" w14:textId="77777777" w:rsidTr="00431E5F">
        <w:tc>
          <w:tcPr>
            <w:tcW w:w="4750" w:type="dxa"/>
            <w:gridSpan w:val="2"/>
          </w:tcPr>
          <w:p w14:paraId="7BC5D831" w14:textId="6800ADD0" w:rsidR="003A30A5" w:rsidRPr="003A30A5" w:rsidRDefault="003A30A5" w:rsidP="003A30A5">
            <w:pPr>
              <w:rPr>
                <w:rFonts w:cs="Arial"/>
              </w:rPr>
            </w:pPr>
            <w:r w:rsidRPr="003A30A5">
              <w:rPr>
                <w:rFonts w:cs="Arial"/>
              </w:rPr>
              <w:t xml:space="preserve">Профилактика на инвазивни инфекции с </w:t>
            </w:r>
            <w:r w:rsidRPr="003A30A5">
              <w:rPr>
                <w:rFonts w:cs="Arial"/>
                <w:i/>
                <w:iCs/>
                <w:lang w:val="en-US"/>
              </w:rPr>
              <w:t xml:space="preserve">Neisseria </w:t>
            </w:r>
            <w:proofErr w:type="spellStart"/>
            <w:r w:rsidRPr="003A30A5">
              <w:rPr>
                <w:rFonts w:cs="Arial"/>
                <w:i/>
                <w:iCs/>
                <w:lang w:val="en-US"/>
              </w:rPr>
              <w:t>meningitidis</w:t>
            </w:r>
            <w:proofErr w:type="spellEnd"/>
          </w:p>
        </w:tc>
        <w:tc>
          <w:tcPr>
            <w:tcW w:w="2375" w:type="dxa"/>
          </w:tcPr>
          <w:p w14:paraId="7003D6BE" w14:textId="7D18EC7C" w:rsidR="003A30A5" w:rsidRPr="003A30A5" w:rsidRDefault="003A30A5" w:rsidP="003A30A5">
            <w:pPr>
              <w:rPr>
                <w:rFonts w:cs="Arial"/>
              </w:rPr>
            </w:pPr>
            <w:r w:rsidRPr="003A30A5">
              <w:rPr>
                <w:rFonts w:cs="Arial"/>
              </w:rPr>
              <w:t xml:space="preserve">500 </w:t>
            </w:r>
            <w:r w:rsidRPr="003A30A5">
              <w:rPr>
                <w:rFonts w:cs="Arial"/>
                <w:lang w:val="en-US"/>
              </w:rPr>
              <w:t xml:space="preserve">mg </w:t>
            </w:r>
            <w:r w:rsidRPr="003A30A5">
              <w:rPr>
                <w:rFonts w:cs="Arial"/>
              </w:rPr>
              <w:t>като еднократна доза</w:t>
            </w:r>
          </w:p>
        </w:tc>
        <w:tc>
          <w:tcPr>
            <w:tcW w:w="2375" w:type="dxa"/>
          </w:tcPr>
          <w:p w14:paraId="5E523C78" w14:textId="40354EC7" w:rsidR="003A30A5" w:rsidRPr="003A30A5" w:rsidRDefault="003A30A5" w:rsidP="003A30A5">
            <w:pPr>
              <w:rPr>
                <w:rFonts w:cs="Arial"/>
              </w:rPr>
            </w:pPr>
            <w:r w:rsidRPr="003A30A5">
              <w:rPr>
                <w:rFonts w:cs="Arial"/>
              </w:rPr>
              <w:t>1 ден (еднократна доза)</w:t>
            </w:r>
          </w:p>
        </w:tc>
      </w:tr>
      <w:tr w:rsidR="003A30A5" w:rsidRPr="003A30A5" w14:paraId="07F41A73" w14:textId="77777777" w:rsidTr="00431E5F">
        <w:tc>
          <w:tcPr>
            <w:tcW w:w="4750" w:type="dxa"/>
            <w:gridSpan w:val="2"/>
          </w:tcPr>
          <w:p w14:paraId="7ADFF7D0" w14:textId="581BFA57" w:rsidR="003A30A5" w:rsidRPr="003A30A5" w:rsidRDefault="003A30A5" w:rsidP="003A30A5">
            <w:pPr>
              <w:rPr>
                <w:rFonts w:cs="Arial"/>
              </w:rPr>
            </w:pPr>
            <w:r w:rsidRPr="003A30A5">
              <w:rPr>
                <w:rFonts w:cs="Arial"/>
              </w:rPr>
              <w:t xml:space="preserve">Инхалаторен антракс - за вторична </w:t>
            </w:r>
            <w:r w:rsidRPr="003A30A5">
              <w:rPr>
                <w:rFonts w:cs="Arial"/>
              </w:rPr>
              <w:lastRenderedPageBreak/>
              <w:t>профилактика след експозиция, както и за лечение на лица, които могат да се лекуват чрез перорално приложение. Прилагането на лекарството трябва да започне колкото е възможно по-скоро след подозиран или потвърден контакт.</w:t>
            </w:r>
          </w:p>
        </w:tc>
        <w:tc>
          <w:tcPr>
            <w:tcW w:w="2375" w:type="dxa"/>
          </w:tcPr>
          <w:p w14:paraId="7D32EF14" w14:textId="445FB179" w:rsidR="003A30A5" w:rsidRPr="003A30A5" w:rsidRDefault="003A30A5" w:rsidP="003A30A5">
            <w:pPr>
              <w:rPr>
                <w:rFonts w:cs="Arial"/>
              </w:rPr>
            </w:pPr>
            <w:r w:rsidRPr="003A30A5">
              <w:rPr>
                <w:rFonts w:cs="Arial"/>
              </w:rPr>
              <w:lastRenderedPageBreak/>
              <w:t xml:space="preserve">500 </w:t>
            </w:r>
            <w:r w:rsidRPr="003A30A5">
              <w:rPr>
                <w:rFonts w:cs="Arial"/>
                <w:lang w:val="en-US"/>
              </w:rPr>
              <w:t xml:space="preserve">mg </w:t>
            </w:r>
            <w:r w:rsidRPr="003A30A5">
              <w:rPr>
                <w:rFonts w:cs="Arial"/>
              </w:rPr>
              <w:t xml:space="preserve">два пъти </w:t>
            </w:r>
            <w:r w:rsidRPr="003A30A5">
              <w:rPr>
                <w:rFonts w:cs="Arial"/>
              </w:rPr>
              <w:lastRenderedPageBreak/>
              <w:t>дневно</w:t>
            </w:r>
          </w:p>
        </w:tc>
        <w:tc>
          <w:tcPr>
            <w:tcW w:w="2375" w:type="dxa"/>
          </w:tcPr>
          <w:p w14:paraId="260AD0AC" w14:textId="26284EF1" w:rsidR="003A30A5" w:rsidRPr="003A30A5" w:rsidRDefault="003A30A5" w:rsidP="003A30A5">
            <w:pPr>
              <w:rPr>
                <w:rFonts w:cs="Arial"/>
              </w:rPr>
            </w:pPr>
            <w:r w:rsidRPr="003A30A5">
              <w:rPr>
                <w:rFonts w:cs="Arial"/>
              </w:rPr>
              <w:lastRenderedPageBreak/>
              <w:t xml:space="preserve">60 дена след </w:t>
            </w:r>
            <w:r w:rsidRPr="003A30A5">
              <w:rPr>
                <w:rFonts w:cs="Arial"/>
              </w:rPr>
              <w:lastRenderedPageBreak/>
              <w:t xml:space="preserve">потвърждаване на експозиция на </w:t>
            </w:r>
            <w:r w:rsidRPr="003A30A5">
              <w:rPr>
                <w:rFonts w:cs="Arial"/>
                <w:i/>
                <w:iCs/>
                <w:lang w:val="en-US"/>
              </w:rPr>
              <w:t xml:space="preserve">Bacillus </w:t>
            </w:r>
            <w:proofErr w:type="spellStart"/>
            <w:r w:rsidRPr="003A30A5">
              <w:rPr>
                <w:rFonts w:cs="Arial"/>
                <w:i/>
                <w:iCs/>
                <w:lang w:val="en-US"/>
              </w:rPr>
              <w:t>anthracis</w:t>
            </w:r>
            <w:proofErr w:type="spellEnd"/>
          </w:p>
        </w:tc>
      </w:tr>
    </w:tbl>
    <w:p w14:paraId="530A9249" w14:textId="77777777" w:rsidR="00595C6C" w:rsidRPr="003A30A5" w:rsidRDefault="00595C6C" w:rsidP="0091385D">
      <w:pPr>
        <w:rPr>
          <w:rFonts w:cs="Arial"/>
        </w:rPr>
      </w:pPr>
    </w:p>
    <w:p w14:paraId="282EFAD3" w14:textId="18D421DC" w:rsidR="00595C6C" w:rsidRPr="003A30A5" w:rsidRDefault="00595C6C" w:rsidP="0091385D">
      <w:pPr>
        <w:rPr>
          <w:rFonts w:cs="Arial"/>
        </w:rPr>
      </w:pPr>
      <w:r w:rsidRPr="003A30A5">
        <w:rPr>
          <w:rFonts w:cs="Arial"/>
          <w:i/>
          <w:iCs/>
          <w:u w:val="single"/>
        </w:rPr>
        <w:t>Педиатрична популация</w:t>
      </w:r>
    </w:p>
    <w:p w14:paraId="40D7FCF8" w14:textId="1D23B417" w:rsidR="00595C6C" w:rsidRPr="003A30A5" w:rsidRDefault="00595C6C" w:rsidP="0091385D">
      <w:pPr>
        <w:rPr>
          <w:rFonts w:cs="Arial"/>
        </w:rPr>
      </w:pPr>
    </w:p>
    <w:tbl>
      <w:tblPr>
        <w:tblStyle w:val="TableGrid"/>
        <w:tblW w:w="0" w:type="auto"/>
        <w:tblLook w:val="04A0" w:firstRow="1" w:lastRow="0" w:firstColumn="1" w:lastColumn="0" w:noHBand="0" w:noVBand="1"/>
      </w:tblPr>
      <w:tblGrid>
        <w:gridCol w:w="3166"/>
        <w:gridCol w:w="3167"/>
        <w:gridCol w:w="3167"/>
      </w:tblGrid>
      <w:tr w:rsidR="003A30A5" w:rsidRPr="003A30A5" w14:paraId="05021747" w14:textId="77777777" w:rsidTr="00595C6C">
        <w:tc>
          <w:tcPr>
            <w:tcW w:w="3166" w:type="dxa"/>
          </w:tcPr>
          <w:p w14:paraId="57C119C7" w14:textId="6FEF74A6" w:rsidR="003A30A5" w:rsidRPr="003A30A5" w:rsidRDefault="003A30A5" w:rsidP="003A30A5">
            <w:pPr>
              <w:rPr>
                <w:rFonts w:cs="Arial"/>
              </w:rPr>
            </w:pPr>
            <w:r w:rsidRPr="003A30A5">
              <w:rPr>
                <w:rFonts w:cs="Arial"/>
                <w:b/>
                <w:bCs/>
              </w:rPr>
              <w:t>Показания</w:t>
            </w:r>
          </w:p>
        </w:tc>
        <w:tc>
          <w:tcPr>
            <w:tcW w:w="3167" w:type="dxa"/>
          </w:tcPr>
          <w:p w14:paraId="2606DECE" w14:textId="505AEEDA" w:rsidR="003A30A5" w:rsidRPr="003A30A5" w:rsidRDefault="003A30A5" w:rsidP="003A30A5">
            <w:pPr>
              <w:rPr>
                <w:rFonts w:cs="Arial"/>
              </w:rPr>
            </w:pPr>
            <w:r w:rsidRPr="003A30A5">
              <w:rPr>
                <w:rFonts w:cs="Arial"/>
                <w:b/>
                <w:bCs/>
              </w:rPr>
              <w:t xml:space="preserve">Дневна доза в </w:t>
            </w:r>
            <w:r w:rsidRPr="003A30A5">
              <w:rPr>
                <w:rFonts w:cs="Arial"/>
                <w:b/>
                <w:bCs/>
                <w:lang w:val="en-US"/>
              </w:rPr>
              <w:t>mg</w:t>
            </w:r>
          </w:p>
        </w:tc>
        <w:tc>
          <w:tcPr>
            <w:tcW w:w="3167" w:type="dxa"/>
          </w:tcPr>
          <w:p w14:paraId="709E53CF" w14:textId="4B8A066C" w:rsidR="003A30A5" w:rsidRPr="003A30A5" w:rsidRDefault="003A30A5" w:rsidP="003A30A5">
            <w:pPr>
              <w:rPr>
                <w:rFonts w:cs="Arial"/>
              </w:rPr>
            </w:pPr>
            <w:r w:rsidRPr="003A30A5">
              <w:rPr>
                <w:rFonts w:cs="Arial"/>
                <w:b/>
                <w:bCs/>
              </w:rPr>
              <w:t>Обща продължителност на лечение (потенциално включващо начално парентерално лечение с ципрофлоксацин)</w:t>
            </w:r>
          </w:p>
        </w:tc>
      </w:tr>
      <w:tr w:rsidR="003A30A5" w:rsidRPr="003A30A5" w14:paraId="357711EF" w14:textId="77777777" w:rsidTr="00595C6C">
        <w:tc>
          <w:tcPr>
            <w:tcW w:w="3166" w:type="dxa"/>
          </w:tcPr>
          <w:p w14:paraId="3C43A1A3" w14:textId="0925464A" w:rsidR="003A30A5" w:rsidRPr="003A30A5" w:rsidRDefault="003A30A5" w:rsidP="003A30A5">
            <w:pPr>
              <w:rPr>
                <w:rFonts w:cs="Arial"/>
              </w:rPr>
            </w:pPr>
            <w:r w:rsidRPr="003A30A5">
              <w:rPr>
                <w:rFonts w:cs="Arial"/>
              </w:rPr>
              <w:t>Кистозна фиброза</w:t>
            </w:r>
          </w:p>
        </w:tc>
        <w:tc>
          <w:tcPr>
            <w:tcW w:w="3167" w:type="dxa"/>
          </w:tcPr>
          <w:p w14:paraId="099CAF74" w14:textId="76062B51" w:rsidR="003A30A5" w:rsidRPr="003A30A5" w:rsidRDefault="003A30A5" w:rsidP="003A30A5">
            <w:pPr>
              <w:rPr>
                <w:rFonts w:cs="Arial"/>
              </w:rPr>
            </w:pPr>
            <w:r w:rsidRPr="003A30A5">
              <w:rPr>
                <w:rFonts w:cs="Arial"/>
              </w:rPr>
              <w:t xml:space="preserve">20 </w:t>
            </w:r>
            <w:r w:rsidRPr="003A30A5">
              <w:rPr>
                <w:rFonts w:cs="Arial"/>
                <w:lang w:val="en-US"/>
              </w:rPr>
              <w:t xml:space="preserve">mg/kg </w:t>
            </w:r>
            <w:r w:rsidRPr="003A30A5">
              <w:rPr>
                <w:rFonts w:cs="Arial"/>
              </w:rPr>
              <w:t xml:space="preserve">телесно тегло два пъти дневно до максимум 750 </w:t>
            </w:r>
            <w:r w:rsidRPr="003A30A5">
              <w:rPr>
                <w:rFonts w:cs="Arial"/>
                <w:lang w:val="en-US"/>
              </w:rPr>
              <w:t xml:space="preserve">mg </w:t>
            </w:r>
            <w:r w:rsidRPr="003A30A5">
              <w:rPr>
                <w:rFonts w:cs="Arial"/>
              </w:rPr>
              <w:t>на доза.</w:t>
            </w:r>
          </w:p>
        </w:tc>
        <w:tc>
          <w:tcPr>
            <w:tcW w:w="3167" w:type="dxa"/>
          </w:tcPr>
          <w:p w14:paraId="5B03A252" w14:textId="65B8C998" w:rsidR="003A30A5" w:rsidRPr="003A30A5" w:rsidRDefault="003A30A5" w:rsidP="003A30A5">
            <w:pPr>
              <w:rPr>
                <w:rFonts w:cs="Arial"/>
              </w:rPr>
            </w:pPr>
            <w:r w:rsidRPr="003A30A5">
              <w:rPr>
                <w:rFonts w:cs="Arial"/>
              </w:rPr>
              <w:t>10 до 14 дни</w:t>
            </w:r>
          </w:p>
        </w:tc>
      </w:tr>
      <w:tr w:rsidR="003A30A5" w:rsidRPr="003A30A5" w14:paraId="47692323" w14:textId="77777777" w:rsidTr="00595C6C">
        <w:tc>
          <w:tcPr>
            <w:tcW w:w="3166" w:type="dxa"/>
          </w:tcPr>
          <w:p w14:paraId="33F7D81D" w14:textId="7D1AC021" w:rsidR="003A30A5" w:rsidRPr="003A30A5" w:rsidRDefault="003A30A5" w:rsidP="003A30A5">
            <w:pPr>
              <w:rPr>
                <w:rFonts w:cs="Arial"/>
              </w:rPr>
            </w:pPr>
            <w:r w:rsidRPr="003A30A5">
              <w:rPr>
                <w:rFonts w:cs="Arial"/>
              </w:rPr>
              <w:t>Усложнени инфекции на пикочните пътища и остър пиелонефрит</w:t>
            </w:r>
          </w:p>
        </w:tc>
        <w:tc>
          <w:tcPr>
            <w:tcW w:w="3167" w:type="dxa"/>
          </w:tcPr>
          <w:p w14:paraId="462AA5A7" w14:textId="0649B21F" w:rsidR="003A30A5" w:rsidRPr="003A30A5" w:rsidRDefault="003A30A5" w:rsidP="003A30A5">
            <w:pPr>
              <w:rPr>
                <w:rFonts w:cs="Arial"/>
              </w:rPr>
            </w:pPr>
            <w:r w:rsidRPr="003A30A5">
              <w:rPr>
                <w:rFonts w:cs="Arial"/>
              </w:rPr>
              <w:t xml:space="preserve">10 </w:t>
            </w:r>
            <w:r w:rsidRPr="003A30A5">
              <w:rPr>
                <w:rFonts w:cs="Arial"/>
                <w:lang w:val="en-US"/>
              </w:rPr>
              <w:t xml:space="preserve">mg/kg </w:t>
            </w:r>
            <w:r w:rsidRPr="003A30A5">
              <w:rPr>
                <w:rFonts w:cs="Arial"/>
              </w:rPr>
              <w:t xml:space="preserve">телесно тегло два пъти дневно до 20 </w:t>
            </w:r>
            <w:r w:rsidRPr="003A30A5">
              <w:rPr>
                <w:rFonts w:cs="Arial"/>
                <w:lang w:val="en-US"/>
              </w:rPr>
              <w:t xml:space="preserve">mg/kg </w:t>
            </w:r>
            <w:r w:rsidRPr="003A30A5">
              <w:rPr>
                <w:rFonts w:cs="Arial"/>
              </w:rPr>
              <w:t xml:space="preserve">телесно тегло два пъти дневно до максимум 750 </w:t>
            </w:r>
            <w:r w:rsidRPr="003A30A5">
              <w:rPr>
                <w:rFonts w:cs="Arial"/>
                <w:lang w:val="en-US"/>
              </w:rPr>
              <w:t xml:space="preserve">mg </w:t>
            </w:r>
            <w:r w:rsidRPr="003A30A5">
              <w:rPr>
                <w:rFonts w:cs="Arial"/>
              </w:rPr>
              <w:t>на доза</w:t>
            </w:r>
          </w:p>
        </w:tc>
        <w:tc>
          <w:tcPr>
            <w:tcW w:w="3167" w:type="dxa"/>
          </w:tcPr>
          <w:p w14:paraId="6D21DEB1" w14:textId="5442F3C0" w:rsidR="003A30A5" w:rsidRPr="003A30A5" w:rsidRDefault="003A30A5" w:rsidP="003A30A5">
            <w:pPr>
              <w:rPr>
                <w:rFonts w:cs="Arial"/>
              </w:rPr>
            </w:pPr>
            <w:r w:rsidRPr="003A30A5">
              <w:rPr>
                <w:rFonts w:cs="Arial"/>
              </w:rPr>
              <w:t>10 до 21 дни</w:t>
            </w:r>
          </w:p>
        </w:tc>
      </w:tr>
      <w:tr w:rsidR="003A30A5" w:rsidRPr="003A30A5" w14:paraId="70C9025E" w14:textId="77777777" w:rsidTr="00595C6C">
        <w:tc>
          <w:tcPr>
            <w:tcW w:w="3166" w:type="dxa"/>
          </w:tcPr>
          <w:p w14:paraId="2775D2DA" w14:textId="278DF833" w:rsidR="003A30A5" w:rsidRPr="003A30A5" w:rsidRDefault="003A30A5" w:rsidP="003A30A5">
            <w:pPr>
              <w:rPr>
                <w:rFonts w:cs="Arial"/>
              </w:rPr>
            </w:pPr>
            <w:r w:rsidRPr="003A30A5">
              <w:rPr>
                <w:rFonts w:cs="Arial"/>
              </w:rPr>
              <w:t>Инхалаторен антракс — за вторична профилактика след експозиция, както и за лечение на лица, които могат да се лекуват чрез перорално приложение, когато е клинично показано. Прилагането на лекарството трябва да започне колкото е възможно по-скоро след подозиран или потвърден контакт</w:t>
            </w:r>
          </w:p>
        </w:tc>
        <w:tc>
          <w:tcPr>
            <w:tcW w:w="3167" w:type="dxa"/>
          </w:tcPr>
          <w:p w14:paraId="6E26C691" w14:textId="0C778224" w:rsidR="003A30A5" w:rsidRPr="003A30A5" w:rsidRDefault="003A30A5" w:rsidP="003A30A5">
            <w:pPr>
              <w:rPr>
                <w:rFonts w:cs="Arial"/>
              </w:rPr>
            </w:pPr>
            <w:r w:rsidRPr="003A30A5">
              <w:rPr>
                <w:rFonts w:cs="Arial"/>
              </w:rPr>
              <w:t xml:space="preserve">10 </w:t>
            </w:r>
            <w:r w:rsidRPr="003A30A5">
              <w:rPr>
                <w:rFonts w:cs="Arial"/>
                <w:lang w:val="en-US"/>
              </w:rPr>
              <w:t xml:space="preserve">mg/kg </w:t>
            </w:r>
            <w:r w:rsidRPr="003A30A5">
              <w:rPr>
                <w:rFonts w:cs="Arial"/>
              </w:rPr>
              <w:t xml:space="preserve">телесно тегло два пъти дневно до 15 </w:t>
            </w:r>
            <w:r w:rsidRPr="003A30A5">
              <w:rPr>
                <w:rFonts w:cs="Arial"/>
                <w:lang w:val="en-US"/>
              </w:rPr>
              <w:t xml:space="preserve">mg/kg </w:t>
            </w:r>
            <w:r w:rsidRPr="003A30A5">
              <w:rPr>
                <w:rFonts w:cs="Arial"/>
              </w:rPr>
              <w:t xml:space="preserve">телесно тегло два пъти дневно с максимум 500 </w:t>
            </w:r>
            <w:r w:rsidRPr="003A30A5">
              <w:rPr>
                <w:rFonts w:cs="Arial"/>
                <w:lang w:val="en-US"/>
              </w:rPr>
              <w:t xml:space="preserve">mg </w:t>
            </w:r>
            <w:r w:rsidRPr="003A30A5">
              <w:rPr>
                <w:rFonts w:cs="Arial"/>
              </w:rPr>
              <w:t>на доза</w:t>
            </w:r>
          </w:p>
        </w:tc>
        <w:tc>
          <w:tcPr>
            <w:tcW w:w="3167" w:type="dxa"/>
          </w:tcPr>
          <w:p w14:paraId="609C8C8E" w14:textId="5FC848BD" w:rsidR="003A30A5" w:rsidRPr="003A30A5" w:rsidRDefault="003A30A5" w:rsidP="003A30A5">
            <w:pPr>
              <w:rPr>
                <w:rFonts w:cs="Arial"/>
              </w:rPr>
            </w:pPr>
            <w:r w:rsidRPr="003A30A5">
              <w:rPr>
                <w:rFonts w:cs="Arial"/>
              </w:rPr>
              <w:t xml:space="preserve">60 дена след потвърждаване на експозиция на </w:t>
            </w:r>
            <w:r w:rsidRPr="003A30A5">
              <w:rPr>
                <w:rFonts w:cs="Arial"/>
                <w:i/>
                <w:iCs/>
                <w:lang w:val="en-US"/>
              </w:rPr>
              <w:t xml:space="preserve">Bacillus </w:t>
            </w:r>
            <w:proofErr w:type="spellStart"/>
            <w:r w:rsidRPr="003A30A5">
              <w:rPr>
                <w:rFonts w:cs="Arial"/>
                <w:i/>
                <w:iCs/>
                <w:lang w:val="en-US"/>
              </w:rPr>
              <w:t>anthracis</w:t>
            </w:r>
            <w:proofErr w:type="spellEnd"/>
          </w:p>
        </w:tc>
      </w:tr>
      <w:tr w:rsidR="003A30A5" w:rsidRPr="003A30A5" w14:paraId="63F9960A" w14:textId="77777777" w:rsidTr="00595C6C">
        <w:tc>
          <w:tcPr>
            <w:tcW w:w="3166" w:type="dxa"/>
          </w:tcPr>
          <w:p w14:paraId="6A6CC7BB" w14:textId="219B5434" w:rsidR="003A30A5" w:rsidRPr="003A30A5" w:rsidRDefault="003A30A5" w:rsidP="003A30A5">
            <w:pPr>
              <w:rPr>
                <w:rFonts w:cs="Arial"/>
              </w:rPr>
            </w:pPr>
            <w:r w:rsidRPr="003A30A5">
              <w:rPr>
                <w:rFonts w:cs="Arial"/>
              </w:rPr>
              <w:t>Други тежки инфекции</w:t>
            </w:r>
          </w:p>
        </w:tc>
        <w:tc>
          <w:tcPr>
            <w:tcW w:w="3167" w:type="dxa"/>
          </w:tcPr>
          <w:p w14:paraId="6A374D3D" w14:textId="5EFA04B0" w:rsidR="003A30A5" w:rsidRPr="003A30A5" w:rsidRDefault="003A30A5" w:rsidP="003A30A5">
            <w:pPr>
              <w:rPr>
                <w:rFonts w:cs="Arial"/>
              </w:rPr>
            </w:pPr>
            <w:r w:rsidRPr="003A30A5">
              <w:rPr>
                <w:rFonts w:cs="Arial"/>
              </w:rPr>
              <w:t xml:space="preserve">20 </w:t>
            </w:r>
            <w:r w:rsidRPr="003A30A5">
              <w:rPr>
                <w:rFonts w:cs="Arial"/>
                <w:lang w:val="en-US"/>
              </w:rPr>
              <w:t xml:space="preserve">mg/kg </w:t>
            </w:r>
            <w:r w:rsidRPr="003A30A5">
              <w:rPr>
                <w:rFonts w:cs="Arial"/>
              </w:rPr>
              <w:t xml:space="preserve">телесно тегло два пъти дневно до максимум 750 </w:t>
            </w:r>
            <w:r w:rsidRPr="003A30A5">
              <w:rPr>
                <w:rFonts w:cs="Arial"/>
                <w:lang w:val="en-US"/>
              </w:rPr>
              <w:t xml:space="preserve">mg </w:t>
            </w:r>
            <w:r w:rsidRPr="003A30A5">
              <w:rPr>
                <w:rFonts w:cs="Arial"/>
              </w:rPr>
              <w:t>на доза.</w:t>
            </w:r>
          </w:p>
        </w:tc>
        <w:tc>
          <w:tcPr>
            <w:tcW w:w="3167" w:type="dxa"/>
          </w:tcPr>
          <w:p w14:paraId="669B041C" w14:textId="3892BDD0" w:rsidR="003A30A5" w:rsidRPr="003A30A5" w:rsidRDefault="003A30A5" w:rsidP="003A30A5">
            <w:pPr>
              <w:rPr>
                <w:rFonts w:cs="Arial"/>
              </w:rPr>
            </w:pPr>
            <w:r w:rsidRPr="003A30A5">
              <w:rPr>
                <w:rFonts w:cs="Arial"/>
              </w:rPr>
              <w:t>В зависимост от вида на инфекциите</w:t>
            </w:r>
          </w:p>
        </w:tc>
      </w:tr>
    </w:tbl>
    <w:p w14:paraId="7DC08E8C" w14:textId="5F2999E7" w:rsidR="00595C6C" w:rsidRDefault="00595C6C" w:rsidP="0091385D"/>
    <w:p w14:paraId="729980FF"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i/>
          <w:iCs/>
          <w:color w:val="000000"/>
          <w:szCs w:val="20"/>
          <w:u w:val="single"/>
          <w:lang w:eastAsia="bg-BG"/>
        </w:rPr>
        <w:t>Пациенти в старческа възраст</w:t>
      </w:r>
    </w:p>
    <w:p w14:paraId="05F6BA1F"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Пациентите в старческа възраст трябва да получават доза, подбрана според тежестта на инфекцията и креатининовия клирънс на пациента.</w:t>
      </w:r>
    </w:p>
    <w:p w14:paraId="337FF7AC" w14:textId="77777777" w:rsidR="00595C6C" w:rsidRPr="00595C6C" w:rsidRDefault="00595C6C" w:rsidP="00595C6C">
      <w:pPr>
        <w:spacing w:line="240" w:lineRule="auto"/>
        <w:rPr>
          <w:rFonts w:eastAsia="Times New Roman" w:cs="Arial"/>
          <w:i/>
          <w:iCs/>
          <w:color w:val="000000"/>
          <w:szCs w:val="20"/>
          <w:u w:val="single"/>
          <w:lang w:eastAsia="bg-BG"/>
        </w:rPr>
      </w:pPr>
    </w:p>
    <w:p w14:paraId="654EEA23" w14:textId="05E81526" w:rsidR="00595C6C" w:rsidRPr="00595C6C" w:rsidRDefault="00595C6C" w:rsidP="00595C6C">
      <w:pPr>
        <w:spacing w:line="240" w:lineRule="auto"/>
        <w:rPr>
          <w:rFonts w:eastAsia="Times New Roman" w:cs="Arial"/>
          <w:sz w:val="28"/>
          <w:szCs w:val="24"/>
          <w:lang w:eastAsia="bg-BG"/>
        </w:rPr>
      </w:pPr>
      <w:r w:rsidRPr="00595C6C">
        <w:rPr>
          <w:rFonts w:eastAsia="Times New Roman" w:cs="Arial"/>
          <w:i/>
          <w:iCs/>
          <w:color w:val="000000"/>
          <w:szCs w:val="20"/>
          <w:u w:val="single"/>
          <w:lang w:eastAsia="bg-BG"/>
        </w:rPr>
        <w:t>Паииенти с бъбречно и чернодробно увреждане</w:t>
      </w:r>
    </w:p>
    <w:p w14:paraId="5A02154C" w14:textId="4F4D430C" w:rsidR="00595C6C" w:rsidRPr="00595C6C" w:rsidRDefault="00595C6C" w:rsidP="00595C6C">
      <w:pPr>
        <w:rPr>
          <w:rFonts w:eastAsia="Times New Roman" w:cs="Arial"/>
          <w:color w:val="000000"/>
          <w:szCs w:val="20"/>
          <w:lang w:eastAsia="bg-BG"/>
        </w:rPr>
      </w:pPr>
      <w:r w:rsidRPr="00595C6C">
        <w:rPr>
          <w:rFonts w:eastAsia="Times New Roman" w:cs="Arial"/>
          <w:color w:val="000000"/>
          <w:szCs w:val="20"/>
          <w:lang w:eastAsia="bg-BG"/>
        </w:rPr>
        <w:t>Препоръчителни начални и поддържащи дози при пациенти с нарушена бъбречна функция:</w:t>
      </w:r>
    </w:p>
    <w:tbl>
      <w:tblPr>
        <w:tblStyle w:val="TableGrid"/>
        <w:tblW w:w="0" w:type="auto"/>
        <w:tblLook w:val="04A0" w:firstRow="1" w:lastRow="0" w:firstColumn="1" w:lastColumn="0" w:noHBand="0" w:noVBand="1"/>
      </w:tblPr>
      <w:tblGrid>
        <w:gridCol w:w="3166"/>
        <w:gridCol w:w="3167"/>
        <w:gridCol w:w="3167"/>
      </w:tblGrid>
      <w:tr w:rsidR="003A30A5" w14:paraId="01A52DE7" w14:textId="77777777" w:rsidTr="00431E5F">
        <w:tc>
          <w:tcPr>
            <w:tcW w:w="3166" w:type="dxa"/>
          </w:tcPr>
          <w:p w14:paraId="03FF6807" w14:textId="4FCFA053" w:rsidR="003A30A5" w:rsidRPr="003A30A5" w:rsidRDefault="003A30A5" w:rsidP="003A30A5">
            <w:r w:rsidRPr="003A30A5">
              <w:rPr>
                <w:b/>
                <w:bCs/>
                <w:szCs w:val="20"/>
              </w:rPr>
              <w:t xml:space="preserve">Креатининов клирънс </w:t>
            </w:r>
            <w:r w:rsidRPr="003A30A5">
              <w:rPr>
                <w:b/>
                <w:bCs/>
                <w:szCs w:val="20"/>
                <w:lang w:val="en-US"/>
              </w:rPr>
              <w:t>[ml/min/1,73 m</w:t>
            </w:r>
            <w:r w:rsidRPr="003A30A5">
              <w:rPr>
                <w:b/>
                <w:bCs/>
                <w:szCs w:val="20"/>
                <w:vertAlign w:val="superscript"/>
                <w:lang w:val="en-US"/>
              </w:rPr>
              <w:t>2</w:t>
            </w:r>
            <w:r w:rsidRPr="003A30A5">
              <w:rPr>
                <w:b/>
                <w:bCs/>
                <w:szCs w:val="20"/>
                <w:lang w:val="en-US"/>
              </w:rPr>
              <w:t>]</w:t>
            </w:r>
          </w:p>
        </w:tc>
        <w:tc>
          <w:tcPr>
            <w:tcW w:w="3167" w:type="dxa"/>
          </w:tcPr>
          <w:p w14:paraId="78469714" w14:textId="6B4666FE" w:rsidR="003A30A5" w:rsidRPr="003A30A5" w:rsidRDefault="003A30A5" w:rsidP="003A30A5">
            <w:r w:rsidRPr="003A30A5">
              <w:rPr>
                <w:b/>
                <w:bCs/>
                <w:szCs w:val="20"/>
              </w:rPr>
              <w:t>Серумен креатинин</w:t>
            </w:r>
          </w:p>
        </w:tc>
        <w:tc>
          <w:tcPr>
            <w:tcW w:w="3167" w:type="dxa"/>
            <w:vAlign w:val="bottom"/>
          </w:tcPr>
          <w:p w14:paraId="471EBF7E" w14:textId="06EA0C1F" w:rsidR="003A30A5" w:rsidRPr="003A30A5" w:rsidRDefault="003A30A5" w:rsidP="003A30A5">
            <w:r w:rsidRPr="003A30A5">
              <w:rPr>
                <w:b/>
                <w:bCs/>
                <w:szCs w:val="20"/>
              </w:rPr>
              <w:t>Интравенозна доза</w:t>
            </w:r>
          </w:p>
        </w:tc>
      </w:tr>
      <w:tr w:rsidR="003A30A5" w14:paraId="0B76E35E" w14:textId="77777777" w:rsidTr="00595C6C">
        <w:tc>
          <w:tcPr>
            <w:tcW w:w="3166" w:type="dxa"/>
          </w:tcPr>
          <w:p w14:paraId="38DEA453" w14:textId="2B7F42AC" w:rsidR="003A30A5" w:rsidRPr="003A30A5" w:rsidRDefault="003A30A5" w:rsidP="003A30A5">
            <w:r w:rsidRPr="003A30A5">
              <w:rPr>
                <w:szCs w:val="20"/>
              </w:rPr>
              <w:lastRenderedPageBreak/>
              <w:t>&gt;60</w:t>
            </w:r>
          </w:p>
        </w:tc>
        <w:tc>
          <w:tcPr>
            <w:tcW w:w="3167" w:type="dxa"/>
          </w:tcPr>
          <w:p w14:paraId="5052E0D7" w14:textId="4C2D85F1" w:rsidR="003A30A5" w:rsidRPr="003A30A5" w:rsidRDefault="003A30A5" w:rsidP="003A30A5">
            <w:r w:rsidRPr="003A30A5">
              <w:rPr>
                <w:szCs w:val="20"/>
              </w:rPr>
              <w:t>&lt;124</w:t>
            </w:r>
          </w:p>
        </w:tc>
        <w:tc>
          <w:tcPr>
            <w:tcW w:w="3167" w:type="dxa"/>
          </w:tcPr>
          <w:p w14:paraId="1688717F" w14:textId="09785701" w:rsidR="003A30A5" w:rsidRPr="003A30A5" w:rsidRDefault="003A30A5" w:rsidP="003A30A5">
            <w:r w:rsidRPr="003A30A5">
              <w:rPr>
                <w:szCs w:val="20"/>
              </w:rPr>
              <w:t>Вижте обичайните дози.</w:t>
            </w:r>
          </w:p>
        </w:tc>
      </w:tr>
      <w:tr w:rsidR="003A30A5" w14:paraId="1F775859" w14:textId="77777777" w:rsidTr="00595C6C">
        <w:tc>
          <w:tcPr>
            <w:tcW w:w="3166" w:type="dxa"/>
          </w:tcPr>
          <w:p w14:paraId="6AFD3289" w14:textId="68AE7CC7" w:rsidR="003A30A5" w:rsidRPr="003A30A5" w:rsidRDefault="003A30A5" w:rsidP="003A30A5">
            <w:r w:rsidRPr="003A30A5">
              <w:rPr>
                <w:szCs w:val="20"/>
              </w:rPr>
              <w:t>30-60</w:t>
            </w:r>
          </w:p>
        </w:tc>
        <w:tc>
          <w:tcPr>
            <w:tcW w:w="3167" w:type="dxa"/>
          </w:tcPr>
          <w:p w14:paraId="0E88A41D" w14:textId="08F5E013" w:rsidR="003A30A5" w:rsidRPr="003A30A5" w:rsidRDefault="003A30A5" w:rsidP="003A30A5">
            <w:r w:rsidRPr="003A30A5">
              <w:rPr>
                <w:szCs w:val="20"/>
              </w:rPr>
              <w:t>124 до 168</w:t>
            </w:r>
          </w:p>
        </w:tc>
        <w:tc>
          <w:tcPr>
            <w:tcW w:w="3167" w:type="dxa"/>
          </w:tcPr>
          <w:p w14:paraId="2B0CA735" w14:textId="5BA1DD17" w:rsidR="003A30A5" w:rsidRPr="003A30A5" w:rsidRDefault="003A30A5" w:rsidP="003A30A5">
            <w:r w:rsidRPr="003A30A5">
              <w:rPr>
                <w:szCs w:val="20"/>
              </w:rPr>
              <w:t xml:space="preserve">250-500 </w:t>
            </w:r>
            <w:r w:rsidRPr="003A30A5">
              <w:rPr>
                <w:szCs w:val="20"/>
                <w:lang w:val="en-US"/>
              </w:rPr>
              <w:t xml:space="preserve">mg </w:t>
            </w:r>
            <w:r w:rsidRPr="003A30A5">
              <w:rPr>
                <w:szCs w:val="20"/>
              </w:rPr>
              <w:t xml:space="preserve">на всеки 12 </w:t>
            </w:r>
            <w:r w:rsidRPr="003A30A5">
              <w:rPr>
                <w:szCs w:val="20"/>
                <w:lang w:val="en-US"/>
              </w:rPr>
              <w:t>h</w:t>
            </w:r>
          </w:p>
        </w:tc>
      </w:tr>
      <w:tr w:rsidR="003A30A5" w14:paraId="28F162CD" w14:textId="77777777" w:rsidTr="00595C6C">
        <w:tc>
          <w:tcPr>
            <w:tcW w:w="3166" w:type="dxa"/>
          </w:tcPr>
          <w:p w14:paraId="40851BBC" w14:textId="6BABB14A" w:rsidR="003A30A5" w:rsidRPr="003A30A5" w:rsidRDefault="003A30A5" w:rsidP="003A30A5">
            <w:r w:rsidRPr="003A30A5">
              <w:rPr>
                <w:szCs w:val="20"/>
              </w:rPr>
              <w:t>&lt;30</w:t>
            </w:r>
          </w:p>
        </w:tc>
        <w:tc>
          <w:tcPr>
            <w:tcW w:w="3167" w:type="dxa"/>
          </w:tcPr>
          <w:p w14:paraId="4D85C720" w14:textId="34BD6057" w:rsidR="003A30A5" w:rsidRPr="003A30A5" w:rsidRDefault="003A30A5" w:rsidP="003A30A5">
            <w:r w:rsidRPr="003A30A5">
              <w:rPr>
                <w:szCs w:val="20"/>
              </w:rPr>
              <w:t>&gt;169</w:t>
            </w:r>
          </w:p>
        </w:tc>
        <w:tc>
          <w:tcPr>
            <w:tcW w:w="3167" w:type="dxa"/>
          </w:tcPr>
          <w:p w14:paraId="2034E993" w14:textId="6025B834" w:rsidR="003A30A5" w:rsidRPr="003A30A5" w:rsidRDefault="003A30A5" w:rsidP="003A30A5">
            <w:r w:rsidRPr="003A30A5">
              <w:rPr>
                <w:szCs w:val="20"/>
              </w:rPr>
              <w:t xml:space="preserve">250-500 </w:t>
            </w:r>
            <w:r w:rsidRPr="003A30A5">
              <w:rPr>
                <w:szCs w:val="20"/>
                <w:lang w:val="en-US"/>
              </w:rPr>
              <w:t xml:space="preserve">mg </w:t>
            </w:r>
            <w:r w:rsidRPr="003A30A5">
              <w:rPr>
                <w:szCs w:val="20"/>
              </w:rPr>
              <w:t xml:space="preserve">на всеки 24 </w:t>
            </w:r>
            <w:r w:rsidRPr="003A30A5">
              <w:rPr>
                <w:szCs w:val="20"/>
                <w:lang w:val="en-US"/>
              </w:rPr>
              <w:t>h</w:t>
            </w:r>
          </w:p>
        </w:tc>
      </w:tr>
      <w:tr w:rsidR="003A30A5" w14:paraId="3217EBC8" w14:textId="77777777" w:rsidTr="00595C6C">
        <w:tc>
          <w:tcPr>
            <w:tcW w:w="3166" w:type="dxa"/>
          </w:tcPr>
          <w:p w14:paraId="4F68275E" w14:textId="2218917D" w:rsidR="003A30A5" w:rsidRPr="003A30A5" w:rsidRDefault="003A30A5" w:rsidP="003A30A5">
            <w:r w:rsidRPr="003A30A5">
              <w:rPr>
                <w:szCs w:val="20"/>
              </w:rPr>
              <w:t>Пациенти на хемодиализа</w:t>
            </w:r>
          </w:p>
        </w:tc>
        <w:tc>
          <w:tcPr>
            <w:tcW w:w="3167" w:type="dxa"/>
          </w:tcPr>
          <w:p w14:paraId="69BB1345" w14:textId="23921FC9" w:rsidR="003A30A5" w:rsidRPr="003A30A5" w:rsidRDefault="003A30A5" w:rsidP="003A30A5">
            <w:r w:rsidRPr="003A30A5">
              <w:rPr>
                <w:szCs w:val="20"/>
              </w:rPr>
              <w:t>&gt;169</w:t>
            </w:r>
          </w:p>
        </w:tc>
        <w:tc>
          <w:tcPr>
            <w:tcW w:w="3167" w:type="dxa"/>
          </w:tcPr>
          <w:p w14:paraId="48DF1AE7" w14:textId="37DA1E6A" w:rsidR="003A30A5" w:rsidRPr="003A30A5" w:rsidRDefault="003A30A5" w:rsidP="003A30A5">
            <w:r w:rsidRPr="003A30A5">
              <w:rPr>
                <w:szCs w:val="20"/>
              </w:rPr>
              <w:t xml:space="preserve">250 - 500 </w:t>
            </w:r>
            <w:r w:rsidRPr="003A30A5">
              <w:rPr>
                <w:szCs w:val="20"/>
                <w:lang w:val="en-US"/>
              </w:rPr>
              <w:t xml:space="preserve">mg </w:t>
            </w:r>
            <w:r w:rsidRPr="003A30A5">
              <w:rPr>
                <w:szCs w:val="20"/>
              </w:rPr>
              <w:t xml:space="preserve">на всеки 24 </w:t>
            </w:r>
            <w:r w:rsidRPr="003A30A5">
              <w:rPr>
                <w:szCs w:val="20"/>
                <w:lang w:val="en-US"/>
              </w:rPr>
              <w:t xml:space="preserve">h </w:t>
            </w:r>
            <w:r w:rsidRPr="003A30A5">
              <w:rPr>
                <w:szCs w:val="20"/>
              </w:rPr>
              <w:t>(след диализа)</w:t>
            </w:r>
          </w:p>
        </w:tc>
      </w:tr>
      <w:tr w:rsidR="003A30A5" w14:paraId="211DEB0C" w14:textId="77777777" w:rsidTr="00595C6C">
        <w:tc>
          <w:tcPr>
            <w:tcW w:w="3166" w:type="dxa"/>
          </w:tcPr>
          <w:p w14:paraId="5ABD25A8" w14:textId="45CD8B6B" w:rsidR="003A30A5" w:rsidRPr="003A30A5" w:rsidRDefault="003A30A5" w:rsidP="003A30A5">
            <w:r w:rsidRPr="003A30A5">
              <w:rPr>
                <w:szCs w:val="20"/>
              </w:rPr>
              <w:t>Пациенти на перитонеална диализа</w:t>
            </w:r>
          </w:p>
        </w:tc>
        <w:tc>
          <w:tcPr>
            <w:tcW w:w="3167" w:type="dxa"/>
          </w:tcPr>
          <w:p w14:paraId="255A7B3E" w14:textId="796A6993" w:rsidR="003A30A5" w:rsidRPr="003A30A5" w:rsidRDefault="003A30A5" w:rsidP="003A30A5">
            <w:r w:rsidRPr="003A30A5">
              <w:rPr>
                <w:szCs w:val="20"/>
              </w:rPr>
              <w:t>&gt;169</w:t>
            </w:r>
          </w:p>
        </w:tc>
        <w:tc>
          <w:tcPr>
            <w:tcW w:w="3167" w:type="dxa"/>
          </w:tcPr>
          <w:p w14:paraId="1B36D1DE" w14:textId="02612737" w:rsidR="003A30A5" w:rsidRPr="003A30A5" w:rsidRDefault="003A30A5" w:rsidP="003A30A5">
            <w:r w:rsidRPr="003A30A5">
              <w:rPr>
                <w:szCs w:val="20"/>
              </w:rPr>
              <w:t xml:space="preserve">250-500 </w:t>
            </w:r>
            <w:r w:rsidRPr="003A30A5">
              <w:rPr>
                <w:szCs w:val="20"/>
                <w:lang w:val="en-US"/>
              </w:rPr>
              <w:t xml:space="preserve">mg </w:t>
            </w:r>
            <w:r w:rsidRPr="003A30A5">
              <w:rPr>
                <w:szCs w:val="20"/>
              </w:rPr>
              <w:t xml:space="preserve">на всеки 24 </w:t>
            </w:r>
            <w:r w:rsidRPr="003A30A5">
              <w:rPr>
                <w:szCs w:val="20"/>
                <w:lang w:val="en-US"/>
              </w:rPr>
              <w:t>h</w:t>
            </w:r>
          </w:p>
        </w:tc>
      </w:tr>
    </w:tbl>
    <w:p w14:paraId="6211FAB9" w14:textId="13CEE415" w:rsidR="00595C6C" w:rsidRDefault="00595C6C" w:rsidP="00595C6C"/>
    <w:p w14:paraId="57512A28"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Не се налага коригиране на дозата при пациенти с нарушена чернодробна функция.</w:t>
      </w:r>
    </w:p>
    <w:p w14:paraId="7DC52EE2" w14:textId="77777777" w:rsidR="00595C6C" w:rsidRPr="00595C6C" w:rsidRDefault="00595C6C" w:rsidP="00595C6C">
      <w:pPr>
        <w:spacing w:line="240" w:lineRule="auto"/>
        <w:rPr>
          <w:rFonts w:eastAsia="Times New Roman" w:cs="Arial"/>
          <w:color w:val="000000"/>
          <w:szCs w:val="20"/>
          <w:lang w:eastAsia="bg-BG"/>
        </w:rPr>
      </w:pPr>
    </w:p>
    <w:p w14:paraId="5FCB1413" w14:textId="435A6443"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Няма проучвания за прилагане при деца с увредена бъбречна и/или чернодробна функция.</w:t>
      </w:r>
    </w:p>
    <w:p w14:paraId="165E54B4" w14:textId="77777777" w:rsidR="00595C6C" w:rsidRPr="00595C6C" w:rsidRDefault="00595C6C" w:rsidP="00595C6C">
      <w:pPr>
        <w:spacing w:line="240" w:lineRule="auto"/>
        <w:rPr>
          <w:rFonts w:eastAsia="Times New Roman" w:cs="Arial"/>
          <w:color w:val="000000"/>
          <w:szCs w:val="20"/>
          <w:u w:val="single"/>
          <w:lang w:eastAsia="bg-BG"/>
        </w:rPr>
      </w:pPr>
    </w:p>
    <w:p w14:paraId="0CCE0B0D" w14:textId="10A49E6C" w:rsidR="00595C6C" w:rsidRPr="003A30A5" w:rsidRDefault="00595C6C" w:rsidP="003A30A5">
      <w:pPr>
        <w:pStyle w:val="Heading3"/>
        <w:rPr>
          <w:rFonts w:eastAsia="Times New Roman"/>
          <w:sz w:val="28"/>
          <w:u w:val="single"/>
          <w:lang w:eastAsia="bg-BG"/>
        </w:rPr>
      </w:pPr>
      <w:r w:rsidRPr="003A30A5">
        <w:rPr>
          <w:rFonts w:eastAsia="Times New Roman"/>
          <w:u w:val="single"/>
          <w:lang w:eastAsia="bg-BG"/>
        </w:rPr>
        <w:t>Начин на приложение</w:t>
      </w:r>
    </w:p>
    <w:p w14:paraId="3B563047" w14:textId="77777777" w:rsidR="00595C6C" w:rsidRPr="00595C6C" w:rsidRDefault="00595C6C" w:rsidP="00595C6C">
      <w:pPr>
        <w:spacing w:line="240" w:lineRule="auto"/>
        <w:rPr>
          <w:rFonts w:eastAsia="Times New Roman" w:cs="Arial"/>
          <w:color w:val="000000"/>
          <w:szCs w:val="20"/>
          <w:lang w:eastAsia="bg-BG"/>
        </w:rPr>
      </w:pPr>
    </w:p>
    <w:p w14:paraId="578AA5A6" w14:textId="3BE42B19"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Таблетките трябва да се гълтат с течност без да се дъвчат. Могат да се приемат с или без храна. Ако се приемат на празен стомах, резорбцията на активното вещество става по-бързо. Калцият, съдържащ се в нормалните храни, не повлиява значимо абсорбцията. Таблетките ципрофлоксацин не трябва да се приемат само с млечни продукти (напр. прясно мляко, кисело мляко) или обогатени на минерали плодови сокове (напр. обогатен на калций портокалов сок) (вж. точка 4.5).</w:t>
      </w:r>
    </w:p>
    <w:p w14:paraId="78D58052" w14:textId="77777777" w:rsidR="00595C6C" w:rsidRPr="00595C6C" w:rsidRDefault="00595C6C" w:rsidP="00595C6C">
      <w:pPr>
        <w:rPr>
          <w:rFonts w:eastAsia="Times New Roman" w:cs="Arial"/>
          <w:color w:val="000000"/>
          <w:szCs w:val="20"/>
          <w:lang w:eastAsia="bg-BG"/>
        </w:rPr>
      </w:pPr>
    </w:p>
    <w:p w14:paraId="0310C05E" w14:textId="7486F798" w:rsidR="00595C6C" w:rsidRPr="00595C6C" w:rsidRDefault="00595C6C" w:rsidP="00595C6C">
      <w:pPr>
        <w:rPr>
          <w:rFonts w:cs="Arial"/>
          <w:sz w:val="24"/>
        </w:rPr>
      </w:pPr>
      <w:r w:rsidRPr="00595C6C">
        <w:rPr>
          <w:rFonts w:eastAsia="Times New Roman" w:cs="Arial"/>
          <w:color w:val="000000"/>
          <w:szCs w:val="20"/>
          <w:lang w:eastAsia="bg-BG"/>
        </w:rPr>
        <w:t>При тежки случаи или при невъзможност на пациента да поглъща таблетки (например при пациенти на ентерално хранене) се препоръчва терапията да бъде започната с интравенозна форма на ципрофлоксацин. След интравенозното приложение лечението може да продължи перорално.</w:t>
      </w:r>
    </w:p>
    <w:p w14:paraId="3E56E216" w14:textId="77777777" w:rsidR="00595C6C" w:rsidRPr="0091385D" w:rsidRDefault="00595C6C"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5A50298F" w14:textId="77777777" w:rsidR="00595C6C" w:rsidRPr="00595C6C" w:rsidRDefault="00595C6C" w:rsidP="00595C6C">
      <w:pPr>
        <w:pStyle w:val="ListParagraph"/>
        <w:numPr>
          <w:ilvl w:val="0"/>
          <w:numId w:val="41"/>
        </w:numPr>
        <w:spacing w:line="240" w:lineRule="auto"/>
        <w:rPr>
          <w:rFonts w:eastAsia="Times New Roman" w:cs="Arial"/>
          <w:sz w:val="28"/>
          <w:szCs w:val="24"/>
          <w:lang w:eastAsia="bg-BG"/>
        </w:rPr>
      </w:pPr>
      <w:r w:rsidRPr="00595C6C">
        <w:rPr>
          <w:rFonts w:eastAsia="Times New Roman" w:cs="Arial"/>
          <w:color w:val="000000"/>
          <w:szCs w:val="20"/>
          <w:lang w:eastAsia="bg-BG"/>
        </w:rPr>
        <w:t>Свръхчувствителност към ципрофлоксацин или други хинолонови продукти, както и към някое от помощните вещества, изброени в точка 6.1.</w:t>
      </w:r>
    </w:p>
    <w:p w14:paraId="2309EAB0" w14:textId="792D4F82" w:rsidR="0091385D" w:rsidRPr="00595C6C" w:rsidRDefault="00595C6C" w:rsidP="00595C6C">
      <w:pPr>
        <w:pStyle w:val="ListParagraph"/>
        <w:numPr>
          <w:ilvl w:val="0"/>
          <w:numId w:val="41"/>
        </w:numPr>
        <w:spacing w:line="240" w:lineRule="auto"/>
        <w:rPr>
          <w:rFonts w:eastAsia="Times New Roman" w:cs="Arial"/>
          <w:sz w:val="28"/>
          <w:szCs w:val="24"/>
          <w:lang w:eastAsia="bg-BG"/>
        </w:rPr>
      </w:pPr>
      <w:r w:rsidRPr="00595C6C">
        <w:rPr>
          <w:rFonts w:eastAsia="Times New Roman" w:cs="Arial"/>
          <w:color w:val="000000"/>
          <w:szCs w:val="20"/>
          <w:lang w:eastAsia="bg-BG"/>
        </w:rPr>
        <w:t>Едновременно прилагане на ципрофлоксацин и тизанидин (вж. точка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27326B11"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i/>
          <w:iCs/>
          <w:color w:val="000000"/>
          <w:szCs w:val="20"/>
          <w:u w:val="single"/>
          <w:lang w:eastAsia="bg-BG"/>
        </w:rPr>
        <w:t>Тежки инфекции и смесени инфекции с Грам-положителни и анаеробни патогени</w:t>
      </w:r>
    </w:p>
    <w:p w14:paraId="5442210C"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Монотерапия с ципрофлоксацин не е подходяща за лечение на тежки инфекции и инфекции, които биха могли да се дължат на Грам-положителни или анаеробни патогени. При подобни инфекции ципрофлоксацин трябва да се прилага едновременно с други подходящи антибактериални средства.</w:t>
      </w:r>
    </w:p>
    <w:p w14:paraId="27A65D13" w14:textId="77777777" w:rsidR="00595C6C" w:rsidRPr="00595C6C" w:rsidRDefault="00595C6C" w:rsidP="00595C6C">
      <w:pPr>
        <w:spacing w:line="240" w:lineRule="auto"/>
        <w:rPr>
          <w:rFonts w:eastAsia="Times New Roman" w:cs="Arial"/>
          <w:i/>
          <w:iCs/>
          <w:color w:val="000000"/>
          <w:szCs w:val="20"/>
          <w:u w:val="single"/>
          <w:lang w:eastAsia="bg-BG"/>
        </w:rPr>
      </w:pPr>
    </w:p>
    <w:p w14:paraId="07FABA35" w14:textId="2CDFFAD4" w:rsidR="00595C6C" w:rsidRPr="00595C6C" w:rsidRDefault="00595C6C" w:rsidP="00595C6C">
      <w:pPr>
        <w:spacing w:line="240" w:lineRule="auto"/>
        <w:rPr>
          <w:rFonts w:eastAsia="Times New Roman" w:cs="Arial"/>
          <w:sz w:val="28"/>
          <w:szCs w:val="24"/>
          <w:lang w:eastAsia="bg-BG"/>
        </w:rPr>
      </w:pPr>
      <w:r w:rsidRPr="00595C6C">
        <w:rPr>
          <w:rFonts w:eastAsia="Times New Roman" w:cs="Arial"/>
          <w:i/>
          <w:iCs/>
          <w:color w:val="000000"/>
          <w:szCs w:val="20"/>
          <w:u w:val="single"/>
          <w:lang w:eastAsia="bg-BG"/>
        </w:rPr>
        <w:t>Стрептококови инфекции (включително стрептококова пневмония)</w:t>
      </w:r>
    </w:p>
    <w:p w14:paraId="38C6257F"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Ципрофлоксацин не се препоръчва за лечение на стрептококови инфекции поради недостатъчна ефикасност.</w:t>
      </w:r>
    </w:p>
    <w:p w14:paraId="0D811A70" w14:textId="77777777" w:rsidR="00595C6C" w:rsidRPr="00595C6C" w:rsidRDefault="00595C6C" w:rsidP="00595C6C">
      <w:pPr>
        <w:spacing w:line="240" w:lineRule="auto"/>
        <w:rPr>
          <w:rFonts w:eastAsia="Times New Roman" w:cs="Arial"/>
          <w:i/>
          <w:iCs/>
          <w:color w:val="000000"/>
          <w:szCs w:val="20"/>
          <w:u w:val="single"/>
          <w:lang w:eastAsia="bg-BG"/>
        </w:rPr>
      </w:pPr>
    </w:p>
    <w:p w14:paraId="2499535A" w14:textId="2228ACFD" w:rsidR="00595C6C" w:rsidRPr="00595C6C" w:rsidRDefault="00595C6C" w:rsidP="00595C6C">
      <w:pPr>
        <w:spacing w:line="240" w:lineRule="auto"/>
        <w:rPr>
          <w:rFonts w:eastAsia="Times New Roman" w:cs="Arial"/>
          <w:sz w:val="28"/>
          <w:szCs w:val="24"/>
          <w:lang w:eastAsia="bg-BG"/>
        </w:rPr>
      </w:pPr>
      <w:r w:rsidRPr="00595C6C">
        <w:rPr>
          <w:rFonts w:eastAsia="Times New Roman" w:cs="Arial"/>
          <w:i/>
          <w:iCs/>
          <w:color w:val="000000"/>
          <w:szCs w:val="20"/>
          <w:u w:val="single"/>
          <w:lang w:eastAsia="bg-BG"/>
        </w:rPr>
        <w:t>Инфекции на гениталния тракт</w:t>
      </w:r>
    </w:p>
    <w:p w14:paraId="291F71D9" w14:textId="77777777" w:rsidR="00595C6C" w:rsidRPr="00595C6C" w:rsidRDefault="00595C6C" w:rsidP="00595C6C">
      <w:pPr>
        <w:spacing w:line="240" w:lineRule="auto"/>
        <w:rPr>
          <w:rFonts w:eastAsia="Times New Roman" w:cs="Arial"/>
          <w:sz w:val="28"/>
          <w:szCs w:val="24"/>
          <w:lang w:eastAsia="bg-BG"/>
        </w:rPr>
      </w:pPr>
      <w:r w:rsidRPr="00595C6C">
        <w:rPr>
          <w:rFonts w:eastAsia="Times New Roman" w:cs="Arial"/>
          <w:color w:val="000000"/>
          <w:szCs w:val="20"/>
          <w:lang w:eastAsia="bg-BG"/>
        </w:rPr>
        <w:t xml:space="preserve">Гонококов уретрит, цервицит, орхиепидидимит и възпалително заболяване на тазовите органи могат да се причинят от изолати на флуорохинолон-резистентни </w:t>
      </w:r>
      <w:r w:rsidRPr="00595C6C">
        <w:rPr>
          <w:rFonts w:eastAsia="Times New Roman" w:cs="Arial"/>
          <w:i/>
          <w:iCs/>
          <w:color w:val="000000"/>
          <w:szCs w:val="20"/>
          <w:lang w:val="en-US"/>
        </w:rPr>
        <w:t xml:space="preserve">Neisseria </w:t>
      </w:r>
      <w:proofErr w:type="spellStart"/>
      <w:r w:rsidRPr="00595C6C">
        <w:rPr>
          <w:rFonts w:eastAsia="Times New Roman" w:cs="Arial"/>
          <w:i/>
          <w:iCs/>
          <w:color w:val="000000"/>
          <w:szCs w:val="20"/>
          <w:lang w:val="en-US"/>
        </w:rPr>
        <w:lastRenderedPageBreak/>
        <w:t>gonorrhoeae</w:t>
      </w:r>
      <w:proofErr w:type="spellEnd"/>
      <w:r w:rsidRPr="00595C6C">
        <w:rPr>
          <w:rFonts w:eastAsia="Times New Roman" w:cs="Arial"/>
          <w:i/>
          <w:iCs/>
          <w:color w:val="000000"/>
          <w:szCs w:val="20"/>
          <w:lang w:val="en-US"/>
        </w:rPr>
        <w:t>.</w:t>
      </w:r>
      <w:r w:rsidRPr="00595C6C">
        <w:rPr>
          <w:rFonts w:eastAsia="Times New Roman" w:cs="Arial"/>
          <w:color w:val="000000"/>
          <w:szCs w:val="20"/>
          <w:lang w:val="en-US"/>
        </w:rPr>
        <w:t xml:space="preserve"> </w:t>
      </w:r>
      <w:r w:rsidRPr="00595C6C">
        <w:rPr>
          <w:rFonts w:eastAsia="Times New Roman" w:cs="Arial"/>
          <w:color w:val="000000"/>
          <w:szCs w:val="20"/>
          <w:lang w:eastAsia="bg-BG"/>
        </w:rPr>
        <w:t xml:space="preserve">По тази причина ципрофлоксацин трябва да се прилага за лечение на гонококов уретрит или цервицит само, ако може да се изключат ципрофлоксацин-резистентни </w:t>
      </w:r>
      <w:r w:rsidRPr="00595C6C">
        <w:rPr>
          <w:rFonts w:eastAsia="Times New Roman" w:cs="Arial"/>
          <w:i/>
          <w:iCs/>
          <w:color w:val="000000"/>
          <w:szCs w:val="20"/>
          <w:lang w:val="en-US"/>
        </w:rPr>
        <w:t xml:space="preserve">Neisseria </w:t>
      </w:r>
      <w:proofErr w:type="spellStart"/>
      <w:r w:rsidRPr="00595C6C">
        <w:rPr>
          <w:rFonts w:eastAsia="Times New Roman" w:cs="Arial"/>
          <w:i/>
          <w:iCs/>
          <w:color w:val="000000"/>
          <w:szCs w:val="20"/>
          <w:lang w:val="en-US"/>
        </w:rPr>
        <w:t>gonorrhoeae</w:t>
      </w:r>
      <w:proofErr w:type="spellEnd"/>
      <w:r w:rsidRPr="00595C6C">
        <w:rPr>
          <w:rFonts w:eastAsia="Times New Roman" w:cs="Arial"/>
          <w:i/>
          <w:iCs/>
          <w:color w:val="000000"/>
          <w:szCs w:val="20"/>
          <w:lang w:val="en-US"/>
        </w:rPr>
        <w:t>.</w:t>
      </w:r>
    </w:p>
    <w:p w14:paraId="1A9CA4B1" w14:textId="77777777" w:rsidR="00595C6C" w:rsidRPr="00595C6C" w:rsidRDefault="00595C6C" w:rsidP="00595C6C">
      <w:pPr>
        <w:spacing w:line="240" w:lineRule="auto"/>
        <w:rPr>
          <w:rFonts w:eastAsia="Times New Roman" w:cs="Arial"/>
          <w:color w:val="000000"/>
          <w:szCs w:val="20"/>
          <w:lang w:eastAsia="bg-BG"/>
        </w:rPr>
      </w:pPr>
    </w:p>
    <w:p w14:paraId="365F569E" w14:textId="344D7560" w:rsidR="00595C6C" w:rsidRPr="00595C6C" w:rsidRDefault="00595C6C" w:rsidP="00595C6C">
      <w:pPr>
        <w:spacing w:line="240" w:lineRule="auto"/>
        <w:rPr>
          <w:rFonts w:eastAsia="Times New Roman" w:cs="Arial"/>
          <w:lang w:eastAsia="bg-BG"/>
        </w:rPr>
      </w:pPr>
      <w:r w:rsidRPr="00595C6C">
        <w:rPr>
          <w:rFonts w:eastAsia="Times New Roman" w:cs="Arial"/>
          <w:color w:val="000000"/>
          <w:lang w:eastAsia="bg-BG"/>
        </w:rPr>
        <w:t xml:space="preserve">При орхиепидидимит и възпалителни болести на тазовите органи емпирична </w:t>
      </w:r>
      <w:r w:rsidRPr="00595C6C">
        <w:rPr>
          <w:rFonts w:eastAsia="Times New Roman" w:cs="Arial"/>
          <w:color w:val="000000"/>
          <w:lang w:val="en-US"/>
        </w:rPr>
        <w:t>y</w:t>
      </w:r>
      <w:r w:rsidRPr="00595C6C">
        <w:rPr>
          <w:rFonts w:eastAsia="Times New Roman" w:cs="Arial"/>
          <w:color w:val="000000"/>
          <w:lang w:eastAsia="bg-BG"/>
        </w:rPr>
        <w:t>потреба на</w:t>
      </w:r>
    </w:p>
    <w:p w14:paraId="028ABB80" w14:textId="77777777" w:rsidR="00595C6C" w:rsidRPr="00595C6C" w:rsidRDefault="00595C6C" w:rsidP="00595C6C">
      <w:pPr>
        <w:spacing w:line="240" w:lineRule="auto"/>
        <w:rPr>
          <w:rFonts w:eastAsia="Times New Roman" w:cs="Arial"/>
          <w:lang w:eastAsia="bg-BG"/>
        </w:rPr>
      </w:pPr>
      <w:r w:rsidRPr="00595C6C">
        <w:rPr>
          <w:rFonts w:eastAsia="Times New Roman" w:cs="Arial"/>
          <w:color w:val="000000"/>
          <w:lang w:eastAsia="bg-BG"/>
        </w:rPr>
        <w:t>ципрофлоксацин може единствено да се обмисли в комбинация с друго подходящо</w:t>
      </w:r>
    </w:p>
    <w:p w14:paraId="499B7CED" w14:textId="77777777" w:rsidR="003A30A5" w:rsidRPr="003A30A5" w:rsidRDefault="00595C6C" w:rsidP="003A30A5">
      <w:pPr>
        <w:rPr>
          <w:rFonts w:cs="Arial"/>
        </w:rPr>
      </w:pPr>
      <w:r w:rsidRPr="003A30A5">
        <w:rPr>
          <w:rFonts w:eastAsia="Times New Roman" w:cs="Arial"/>
          <w:color w:val="000000"/>
          <w:lang w:eastAsia="bg-BG"/>
        </w:rPr>
        <w:t>антибактериално средство (напр. цефапоспорин), ако се изключат резистентни на</w:t>
      </w:r>
      <w:r w:rsidR="003A30A5" w:rsidRPr="003A30A5">
        <w:rPr>
          <w:rFonts w:eastAsia="Times New Roman" w:cs="Arial"/>
          <w:color w:val="000000"/>
          <w:lang w:val="en-US" w:eastAsia="bg-BG"/>
        </w:rPr>
        <w:t xml:space="preserve"> </w:t>
      </w:r>
      <w:r w:rsidR="003A30A5" w:rsidRPr="003A30A5">
        <w:rPr>
          <w:rFonts w:cs="Arial"/>
        </w:rPr>
        <w:t xml:space="preserve">ципрофлоксацин </w:t>
      </w:r>
      <w:r w:rsidR="003A30A5" w:rsidRPr="003A30A5">
        <w:rPr>
          <w:rFonts w:cs="Arial"/>
          <w:i/>
          <w:iCs/>
          <w:lang w:val="en-US"/>
        </w:rPr>
        <w:t xml:space="preserve">Neisseria </w:t>
      </w:r>
      <w:proofErr w:type="spellStart"/>
      <w:r w:rsidR="003A30A5" w:rsidRPr="003A30A5">
        <w:rPr>
          <w:rFonts w:cs="Arial"/>
          <w:i/>
          <w:iCs/>
          <w:lang w:val="en-US"/>
        </w:rPr>
        <w:t>gonorrhoeae</w:t>
      </w:r>
      <w:proofErr w:type="spellEnd"/>
      <w:r w:rsidR="003A30A5" w:rsidRPr="003A30A5">
        <w:rPr>
          <w:rFonts w:cs="Arial"/>
          <w:i/>
          <w:iCs/>
          <w:lang w:val="en-US"/>
        </w:rPr>
        <w:t>.</w:t>
      </w:r>
      <w:r w:rsidR="003A30A5" w:rsidRPr="003A30A5">
        <w:rPr>
          <w:rFonts w:cs="Arial"/>
          <w:lang w:val="en-US"/>
        </w:rPr>
        <w:t xml:space="preserve"> </w:t>
      </w:r>
      <w:r w:rsidR="003A30A5" w:rsidRPr="003A30A5">
        <w:rPr>
          <w:rFonts w:cs="Arial"/>
        </w:rPr>
        <w:t>Ако не се постигне клинично подобрение след тридневно лечение, терапията трябва да се преоцени.</w:t>
      </w:r>
    </w:p>
    <w:p w14:paraId="54EE6EF9" w14:textId="77777777" w:rsidR="003A30A5" w:rsidRPr="003A30A5" w:rsidRDefault="003A30A5" w:rsidP="003A30A5">
      <w:pPr>
        <w:rPr>
          <w:rFonts w:cs="Arial"/>
          <w:i/>
          <w:iCs/>
          <w:u w:val="single"/>
        </w:rPr>
      </w:pPr>
    </w:p>
    <w:p w14:paraId="6D14613E" w14:textId="68886DF0" w:rsidR="003A30A5" w:rsidRPr="003A30A5" w:rsidRDefault="003A30A5" w:rsidP="003A30A5">
      <w:pPr>
        <w:rPr>
          <w:rFonts w:cs="Arial"/>
        </w:rPr>
      </w:pPr>
      <w:r w:rsidRPr="003A30A5">
        <w:rPr>
          <w:rFonts w:cs="Arial"/>
          <w:i/>
          <w:iCs/>
          <w:u w:val="single"/>
        </w:rPr>
        <w:t>Инфекции на пикочните пътиша</w:t>
      </w:r>
    </w:p>
    <w:p w14:paraId="41E37CDD" w14:textId="77777777" w:rsidR="003A30A5" w:rsidRPr="003A30A5" w:rsidRDefault="003A30A5" w:rsidP="003A30A5">
      <w:pPr>
        <w:rPr>
          <w:rFonts w:cs="Arial"/>
        </w:rPr>
      </w:pPr>
      <w:r w:rsidRPr="003A30A5">
        <w:rPr>
          <w:rFonts w:cs="Arial"/>
        </w:rPr>
        <w:t xml:space="preserve">Резистентността към флуорохинолони на </w:t>
      </w:r>
      <w:r w:rsidRPr="003A30A5">
        <w:rPr>
          <w:rFonts w:cs="Arial"/>
          <w:i/>
          <w:iCs/>
          <w:lang w:val="en-US"/>
        </w:rPr>
        <w:t>Escherichia coli,</w:t>
      </w:r>
      <w:r w:rsidRPr="003A30A5">
        <w:rPr>
          <w:rFonts w:cs="Arial"/>
          <w:lang w:val="en-US"/>
        </w:rPr>
        <w:t xml:space="preserve"> </w:t>
      </w:r>
      <w:r w:rsidRPr="003A30A5">
        <w:rPr>
          <w:rFonts w:cs="Arial"/>
        </w:rPr>
        <w:t xml:space="preserve">най-честите патогени, причиняващи инфекции на пикочните пътища, варира в целия Европейски съюз. Препоръчително е предписващите лекари да вземат предвид разпространението на локалната резистентност на </w:t>
      </w:r>
      <w:r w:rsidRPr="003A30A5">
        <w:rPr>
          <w:rFonts w:cs="Arial"/>
          <w:i/>
          <w:iCs/>
          <w:lang w:val="en-US"/>
        </w:rPr>
        <w:t>Escherichia coli</w:t>
      </w:r>
      <w:r w:rsidRPr="003A30A5">
        <w:rPr>
          <w:rFonts w:cs="Arial"/>
          <w:lang w:val="en-US"/>
        </w:rPr>
        <w:t xml:space="preserve"> </w:t>
      </w:r>
      <w:r w:rsidRPr="003A30A5">
        <w:rPr>
          <w:rFonts w:cs="Arial"/>
        </w:rPr>
        <w:t>към флуорохинолони.</w:t>
      </w:r>
    </w:p>
    <w:p w14:paraId="35AD4428" w14:textId="77777777" w:rsidR="003A30A5" w:rsidRPr="003A30A5" w:rsidRDefault="003A30A5" w:rsidP="003A30A5">
      <w:pPr>
        <w:rPr>
          <w:rFonts w:cs="Arial"/>
        </w:rPr>
      </w:pPr>
    </w:p>
    <w:p w14:paraId="4F39EF25" w14:textId="5A2417AE" w:rsidR="003A30A5" w:rsidRPr="003A30A5" w:rsidRDefault="003A30A5" w:rsidP="003A30A5">
      <w:pPr>
        <w:rPr>
          <w:rFonts w:cs="Arial"/>
        </w:rPr>
      </w:pPr>
      <w:r w:rsidRPr="003A30A5">
        <w:rPr>
          <w:rFonts w:cs="Arial"/>
        </w:rPr>
        <w:t xml:space="preserve">Очаква се еднократната доза ципрофлоксацин, която може да се използва при неусложнен цистит при жени в пременопауза, да е свързана с по-ниска ефикасност в сравнение с продължителното лечение. Това също трябва да се вземе предвид, тъй като има отношение към увеличаващото се ниво на резистентност на </w:t>
      </w:r>
      <w:r w:rsidRPr="003A30A5">
        <w:rPr>
          <w:rFonts w:cs="Arial"/>
          <w:i/>
          <w:iCs/>
          <w:lang w:val="en-US"/>
        </w:rPr>
        <w:t>Escherichia coli</w:t>
      </w:r>
      <w:r w:rsidRPr="003A30A5">
        <w:rPr>
          <w:rFonts w:cs="Arial"/>
          <w:lang w:val="en-US"/>
        </w:rPr>
        <w:t xml:space="preserve"> </w:t>
      </w:r>
      <w:r w:rsidRPr="003A30A5">
        <w:rPr>
          <w:rFonts w:cs="Arial"/>
        </w:rPr>
        <w:t>към хинолони.</w:t>
      </w:r>
    </w:p>
    <w:p w14:paraId="057935C5" w14:textId="77777777" w:rsidR="003A30A5" w:rsidRPr="003A30A5" w:rsidRDefault="003A30A5" w:rsidP="003A30A5">
      <w:pPr>
        <w:rPr>
          <w:rFonts w:cs="Arial"/>
          <w:i/>
          <w:iCs/>
          <w:u w:val="single"/>
        </w:rPr>
      </w:pPr>
    </w:p>
    <w:p w14:paraId="7C983581" w14:textId="531C731E" w:rsidR="003A30A5" w:rsidRPr="003A30A5" w:rsidRDefault="003A30A5" w:rsidP="003A30A5">
      <w:pPr>
        <w:rPr>
          <w:rFonts w:cs="Arial"/>
        </w:rPr>
      </w:pPr>
      <w:r w:rsidRPr="003A30A5">
        <w:rPr>
          <w:rFonts w:cs="Arial"/>
          <w:i/>
          <w:iCs/>
          <w:u w:val="single"/>
        </w:rPr>
        <w:t>Интраабдоминални инфекции</w:t>
      </w:r>
    </w:p>
    <w:p w14:paraId="7649989C" w14:textId="77777777" w:rsidR="003A30A5" w:rsidRPr="003A30A5" w:rsidRDefault="003A30A5" w:rsidP="003A30A5">
      <w:pPr>
        <w:rPr>
          <w:rFonts w:cs="Arial"/>
        </w:rPr>
      </w:pPr>
      <w:r w:rsidRPr="003A30A5">
        <w:rPr>
          <w:rFonts w:cs="Arial"/>
        </w:rPr>
        <w:t>Има ограничени данни за ефикасността на ципрофлоксацин при лечението на постхирургични интраабдоминални инфекции.</w:t>
      </w:r>
    </w:p>
    <w:p w14:paraId="123D9D20" w14:textId="77777777" w:rsidR="003A30A5" w:rsidRPr="003A30A5" w:rsidRDefault="003A30A5" w:rsidP="003A30A5">
      <w:pPr>
        <w:rPr>
          <w:rFonts w:cs="Arial"/>
          <w:i/>
          <w:iCs/>
          <w:u w:val="single"/>
        </w:rPr>
      </w:pPr>
    </w:p>
    <w:p w14:paraId="00709788" w14:textId="16108150" w:rsidR="003A30A5" w:rsidRPr="003A30A5" w:rsidRDefault="003A30A5" w:rsidP="003A30A5">
      <w:pPr>
        <w:rPr>
          <w:rFonts w:cs="Arial"/>
        </w:rPr>
      </w:pPr>
      <w:r w:rsidRPr="003A30A5">
        <w:rPr>
          <w:rFonts w:cs="Arial"/>
          <w:i/>
          <w:iCs/>
          <w:u w:val="single"/>
        </w:rPr>
        <w:t>Диария на пътешествениците</w:t>
      </w:r>
    </w:p>
    <w:p w14:paraId="7A71DD72" w14:textId="77777777" w:rsidR="003A30A5" w:rsidRPr="003A30A5" w:rsidRDefault="003A30A5" w:rsidP="003A30A5">
      <w:pPr>
        <w:rPr>
          <w:rFonts w:cs="Arial"/>
        </w:rPr>
      </w:pPr>
      <w:r w:rsidRPr="003A30A5">
        <w:rPr>
          <w:rFonts w:cs="Arial"/>
        </w:rPr>
        <w:t>При избора на ципрофлоксацин трябва да се има предвид информацията за резистентността към ципрофлоксацин на съответните патогени в посетените страни.</w:t>
      </w:r>
    </w:p>
    <w:p w14:paraId="7ED3997B" w14:textId="77777777" w:rsidR="003A30A5" w:rsidRPr="003A30A5" w:rsidRDefault="003A30A5" w:rsidP="003A30A5">
      <w:pPr>
        <w:rPr>
          <w:rFonts w:cs="Arial"/>
          <w:i/>
          <w:iCs/>
          <w:u w:val="single"/>
        </w:rPr>
      </w:pPr>
    </w:p>
    <w:p w14:paraId="7D496296" w14:textId="60C19DE7" w:rsidR="003A30A5" w:rsidRPr="003A30A5" w:rsidRDefault="003A30A5" w:rsidP="003A30A5">
      <w:pPr>
        <w:rPr>
          <w:rFonts w:cs="Arial"/>
        </w:rPr>
      </w:pPr>
      <w:r w:rsidRPr="003A30A5">
        <w:rPr>
          <w:rFonts w:cs="Arial"/>
          <w:i/>
          <w:iCs/>
          <w:u w:val="single"/>
        </w:rPr>
        <w:t>Инфекции на костите и ставите</w:t>
      </w:r>
    </w:p>
    <w:p w14:paraId="035809C2" w14:textId="77777777" w:rsidR="003A30A5" w:rsidRPr="003A30A5" w:rsidRDefault="003A30A5" w:rsidP="003A30A5">
      <w:pPr>
        <w:rPr>
          <w:rFonts w:cs="Arial"/>
        </w:rPr>
      </w:pPr>
      <w:r w:rsidRPr="003A30A5">
        <w:rPr>
          <w:rFonts w:cs="Arial"/>
        </w:rPr>
        <w:t>Ципрофлоксацин трябва да се използва в комбинация с други антимикробни средства в зависимост от резултатите от микробиологичните изследвания.</w:t>
      </w:r>
    </w:p>
    <w:p w14:paraId="11765F1E" w14:textId="77777777" w:rsidR="003A30A5" w:rsidRPr="003A30A5" w:rsidRDefault="003A30A5" w:rsidP="003A30A5">
      <w:pPr>
        <w:rPr>
          <w:rFonts w:cs="Arial"/>
          <w:i/>
          <w:iCs/>
          <w:u w:val="single"/>
        </w:rPr>
      </w:pPr>
    </w:p>
    <w:p w14:paraId="637B154A" w14:textId="16B3F979" w:rsidR="003A30A5" w:rsidRPr="003A30A5" w:rsidRDefault="003A30A5" w:rsidP="003A30A5">
      <w:pPr>
        <w:rPr>
          <w:rFonts w:cs="Arial"/>
        </w:rPr>
      </w:pPr>
      <w:r w:rsidRPr="003A30A5">
        <w:rPr>
          <w:rFonts w:cs="Arial"/>
          <w:i/>
          <w:iCs/>
          <w:u w:val="single"/>
        </w:rPr>
        <w:t>Инхалаторен антракс</w:t>
      </w:r>
    </w:p>
    <w:p w14:paraId="03ECB278" w14:textId="77777777" w:rsidR="003A30A5" w:rsidRPr="003A30A5" w:rsidRDefault="003A30A5" w:rsidP="003A30A5">
      <w:pPr>
        <w:rPr>
          <w:rFonts w:cs="Arial"/>
        </w:rPr>
      </w:pPr>
      <w:r w:rsidRPr="003A30A5">
        <w:rPr>
          <w:rFonts w:cs="Arial"/>
        </w:rPr>
        <w:t xml:space="preserve">Използването при хора се основава на данните за чувствителността </w:t>
      </w:r>
      <w:r w:rsidRPr="003A30A5">
        <w:rPr>
          <w:rFonts w:cs="Arial"/>
          <w:i/>
          <w:iCs/>
          <w:lang w:val="en-US"/>
        </w:rPr>
        <w:t>in vitro</w:t>
      </w:r>
      <w:r w:rsidRPr="003A30A5">
        <w:rPr>
          <w:rFonts w:cs="Arial"/>
          <w:lang w:val="en-US"/>
        </w:rPr>
        <w:t xml:space="preserve"> </w:t>
      </w:r>
      <w:r w:rsidRPr="003A30A5">
        <w:rPr>
          <w:rFonts w:cs="Arial"/>
        </w:rPr>
        <w:t>и експериментални данни при животни заедно с ограничени данни при хора. Лекуващите лекари трябва да се съобразят с националните и/или международни консенсусни документи по отношение на лечението на антракс.</w:t>
      </w:r>
    </w:p>
    <w:p w14:paraId="78641AD9" w14:textId="77777777" w:rsidR="003A30A5" w:rsidRPr="003A30A5" w:rsidRDefault="003A30A5" w:rsidP="003A30A5">
      <w:pPr>
        <w:rPr>
          <w:rFonts w:cs="Arial"/>
          <w:u w:val="single"/>
        </w:rPr>
      </w:pPr>
    </w:p>
    <w:p w14:paraId="2A875F5D" w14:textId="052BB24E" w:rsidR="003A30A5" w:rsidRPr="003A30A5" w:rsidRDefault="003A30A5" w:rsidP="003A30A5">
      <w:pPr>
        <w:rPr>
          <w:rFonts w:cs="Arial"/>
        </w:rPr>
      </w:pPr>
      <w:r w:rsidRPr="003A30A5">
        <w:rPr>
          <w:rFonts w:cs="Arial"/>
          <w:u w:val="single"/>
        </w:rPr>
        <w:t>Педиатрична популация</w:t>
      </w:r>
    </w:p>
    <w:p w14:paraId="4EE4A7B7" w14:textId="77777777" w:rsidR="003A30A5" w:rsidRPr="003A30A5" w:rsidRDefault="003A30A5" w:rsidP="003A30A5">
      <w:pPr>
        <w:rPr>
          <w:rFonts w:cs="Arial"/>
        </w:rPr>
      </w:pPr>
    </w:p>
    <w:p w14:paraId="26624E59" w14:textId="3B3A83F2" w:rsidR="003A30A5" w:rsidRPr="003A30A5" w:rsidRDefault="003A30A5" w:rsidP="003A30A5">
      <w:pPr>
        <w:rPr>
          <w:rFonts w:cs="Arial"/>
        </w:rPr>
      </w:pPr>
      <w:r w:rsidRPr="003A30A5">
        <w:rPr>
          <w:rFonts w:cs="Arial"/>
        </w:rPr>
        <w:t>При употребата на ципрофлоксацин при деца и юноши трябва да се спазва наличното официално ръководство. Лечението с ципрофлоксацин трябва да се назначава само от лекари, които имат опит при лечение на кистозна фиброза и/или тежки инфекции при деца и юноши.</w:t>
      </w:r>
    </w:p>
    <w:p w14:paraId="0CA1EE2A" w14:textId="77777777" w:rsidR="003A30A5" w:rsidRPr="003A30A5" w:rsidRDefault="003A30A5" w:rsidP="003A30A5">
      <w:pPr>
        <w:rPr>
          <w:rFonts w:cs="Arial"/>
        </w:rPr>
      </w:pPr>
    </w:p>
    <w:p w14:paraId="246484D3" w14:textId="3366DFBC" w:rsidR="003A30A5" w:rsidRPr="003A30A5" w:rsidRDefault="003A30A5" w:rsidP="003A30A5">
      <w:pPr>
        <w:rPr>
          <w:rFonts w:cs="Arial"/>
        </w:rPr>
      </w:pPr>
      <w:r w:rsidRPr="003A30A5">
        <w:rPr>
          <w:rFonts w:cs="Arial"/>
        </w:rPr>
        <w:lastRenderedPageBreak/>
        <w:t xml:space="preserve">Установено е, че ципрофлоксацин предизвиква артропатия на носещите телесната маса стави при незрели животни. Данните за безопасност от рандомизираио, двойно-сляпо проучване за прилагането на ципрофлоксацин при деца (група на ципрофлоксацин: </w:t>
      </w:r>
      <w:r w:rsidRPr="003A30A5">
        <w:rPr>
          <w:rFonts w:cs="Arial"/>
          <w:lang w:val="en-US"/>
        </w:rPr>
        <w:t>n</w:t>
      </w:r>
      <w:r w:rsidRPr="003A30A5">
        <w:rPr>
          <w:rFonts w:cs="Arial"/>
        </w:rPr>
        <w:t xml:space="preserve"> = 335, средна възраст = 6,3 години; контролна група: </w:t>
      </w:r>
      <w:r w:rsidRPr="003A30A5">
        <w:rPr>
          <w:rFonts w:cs="Arial"/>
          <w:lang w:val="en-US"/>
        </w:rPr>
        <w:t>n</w:t>
      </w:r>
      <w:r w:rsidRPr="003A30A5">
        <w:rPr>
          <w:rFonts w:cs="Arial"/>
        </w:rPr>
        <w:t xml:space="preserve"> = 349, средна възраст = 6,2 години; възрастов диапазон = 1 до 17 години) показват честота на вероятно свързана с лекарството артропатия (установена на база клинични симптоми и оплаквания, свързани със ставите) до ден +42 от 7,2% и 4,6%.</w:t>
      </w:r>
    </w:p>
    <w:p w14:paraId="3F4859FC" w14:textId="77777777" w:rsidR="003A30A5" w:rsidRPr="003A30A5" w:rsidRDefault="003A30A5" w:rsidP="003A30A5">
      <w:pPr>
        <w:rPr>
          <w:rFonts w:cs="Arial"/>
        </w:rPr>
      </w:pPr>
      <w:r w:rsidRPr="003A30A5">
        <w:rPr>
          <w:rFonts w:cs="Arial"/>
        </w:rPr>
        <w:t>Съответно честотата на свързаната с лекарството артропатия след едногодишно проследяване е била 9,0% и 5,7%. Увеличението на честотата на вероятно свързаната с лекарството артропатия не се различава статистически значимо между групите. Лечението трябва да се започва само след внимателна оценка на съотношението полза/риск, поради вероятността от нежелани реакции, свързани със ставите и/или околните тъкани (виж точка 4.8).</w:t>
      </w:r>
    </w:p>
    <w:p w14:paraId="4DFBFC6F" w14:textId="77777777" w:rsidR="003A30A5" w:rsidRPr="003A30A5" w:rsidRDefault="003A30A5" w:rsidP="003A30A5">
      <w:pPr>
        <w:rPr>
          <w:rFonts w:cs="Arial"/>
          <w:i/>
          <w:iCs/>
          <w:u w:val="single"/>
        </w:rPr>
      </w:pPr>
    </w:p>
    <w:p w14:paraId="55B0EF63" w14:textId="3502F84A" w:rsidR="003A30A5" w:rsidRPr="003A30A5" w:rsidRDefault="003A30A5" w:rsidP="003A30A5">
      <w:pPr>
        <w:rPr>
          <w:rFonts w:cs="Arial"/>
        </w:rPr>
      </w:pPr>
      <w:r w:rsidRPr="003A30A5">
        <w:rPr>
          <w:rFonts w:cs="Arial"/>
          <w:i/>
          <w:iCs/>
          <w:u w:val="single"/>
        </w:rPr>
        <w:t>Бронхо-пулмонални инфекции при кистозна Фиброза</w:t>
      </w:r>
    </w:p>
    <w:p w14:paraId="7FDC96CE" w14:textId="77777777" w:rsidR="003A30A5" w:rsidRPr="003A30A5" w:rsidRDefault="003A30A5" w:rsidP="003A30A5">
      <w:pPr>
        <w:rPr>
          <w:rFonts w:cs="Arial"/>
        </w:rPr>
      </w:pPr>
      <w:r w:rsidRPr="003A30A5">
        <w:rPr>
          <w:rFonts w:cs="Arial"/>
        </w:rPr>
        <w:t>В клиничните проучвания са били обхванати деца и юноши на възраст между 5-17 години. Съществува по-ограничен опит при лечението на деца на възраст между 1 и 5 години.</w:t>
      </w:r>
    </w:p>
    <w:p w14:paraId="4C9267FA" w14:textId="77777777" w:rsidR="003A30A5" w:rsidRPr="003A30A5" w:rsidRDefault="003A30A5" w:rsidP="003A30A5">
      <w:pPr>
        <w:rPr>
          <w:rFonts w:cs="Arial"/>
        </w:rPr>
      </w:pPr>
    </w:p>
    <w:p w14:paraId="27ABC780" w14:textId="77777777" w:rsidR="003A30A5" w:rsidRPr="003A30A5" w:rsidRDefault="003A30A5" w:rsidP="003A30A5">
      <w:pPr>
        <w:rPr>
          <w:rFonts w:cs="Arial"/>
        </w:rPr>
      </w:pPr>
      <w:r w:rsidRPr="003A30A5">
        <w:rPr>
          <w:rFonts w:cs="Arial"/>
          <w:i/>
          <w:iCs/>
          <w:u w:val="single"/>
        </w:rPr>
        <w:t>Усложнени инфекции на пикочните пътища и остър пиелонефрит</w:t>
      </w:r>
    </w:p>
    <w:p w14:paraId="04113FA3" w14:textId="77777777" w:rsidR="003A30A5" w:rsidRPr="003A30A5" w:rsidRDefault="003A30A5" w:rsidP="003A30A5">
      <w:pPr>
        <w:rPr>
          <w:rFonts w:cs="Arial"/>
        </w:rPr>
      </w:pPr>
      <w:r w:rsidRPr="003A30A5">
        <w:rPr>
          <w:rFonts w:cs="Arial"/>
        </w:rPr>
        <w:t xml:space="preserve">Лечение с ципрофлоксацин при инфекции на пикочните пътища трябва да се обмисли, когато </w:t>
      </w:r>
    </w:p>
    <w:p w14:paraId="57AB91C2" w14:textId="77777777" w:rsidR="003A30A5" w:rsidRPr="003A30A5" w:rsidRDefault="003A30A5" w:rsidP="003A30A5">
      <w:pPr>
        <w:rPr>
          <w:rFonts w:eastAsia="Times New Roman" w:cs="Arial"/>
          <w:lang w:eastAsia="bg-BG"/>
        </w:rPr>
      </w:pPr>
      <w:r w:rsidRPr="003A30A5">
        <w:rPr>
          <w:rFonts w:cs="Arial"/>
        </w:rPr>
        <w:t>не може да се приложи друго лечение и трябва да се базира на резултатите от</w:t>
      </w:r>
      <w:r w:rsidRPr="003A30A5">
        <w:rPr>
          <w:rFonts w:cs="Arial"/>
          <w:lang w:val="en-US"/>
        </w:rPr>
        <w:t xml:space="preserve"> </w:t>
      </w:r>
      <w:r w:rsidRPr="003A30A5">
        <w:rPr>
          <w:rFonts w:eastAsia="Times New Roman" w:cs="Arial"/>
          <w:color w:val="000000"/>
          <w:lang w:eastAsia="bg-BG"/>
        </w:rPr>
        <w:t>микробиологичните изследвания.</w:t>
      </w:r>
    </w:p>
    <w:p w14:paraId="6C03A8C0"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В клиничните проучвания са включени деца и юноши на възраст между 1 и 17 години.</w:t>
      </w:r>
    </w:p>
    <w:p w14:paraId="1D099A9E" w14:textId="77777777" w:rsidR="003A30A5" w:rsidRPr="003A30A5" w:rsidRDefault="003A30A5" w:rsidP="003A30A5">
      <w:pPr>
        <w:spacing w:line="240" w:lineRule="auto"/>
        <w:rPr>
          <w:rFonts w:eastAsia="Times New Roman" w:cs="Arial"/>
          <w:i/>
          <w:iCs/>
          <w:color w:val="000000"/>
          <w:u w:val="single"/>
          <w:lang w:eastAsia="bg-BG"/>
        </w:rPr>
      </w:pPr>
    </w:p>
    <w:p w14:paraId="636DAF74" w14:textId="34FE5B84"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Други специфични тежки инфекции</w:t>
      </w:r>
    </w:p>
    <w:p w14:paraId="01F0EFF4"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Други тежки инфекции съгласно официалното ръководство или след внимателно оценяване на съотношението полза/риск, когато не може да се използва друго лечение или след неуспех на конвенционалната терапия и когато резултатите от микробиологичните изследвания подкрепят използването на ципрофлоксацин.</w:t>
      </w:r>
    </w:p>
    <w:p w14:paraId="13320BF5"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Използването на ципрофлоксацин при определени тежки инфекции, различни от отбелязаните по-горе, не е оценено в клинични проучвания или клиничният опит е ограничен. По тази причина се препоръчва повишено внимание при лечение на такива пациенти.</w:t>
      </w:r>
    </w:p>
    <w:p w14:paraId="2700CBA0" w14:textId="77777777" w:rsidR="003A30A5" w:rsidRPr="003A30A5" w:rsidRDefault="003A30A5" w:rsidP="003A30A5">
      <w:pPr>
        <w:spacing w:line="240" w:lineRule="auto"/>
        <w:rPr>
          <w:rFonts w:eastAsia="Times New Roman" w:cs="Arial"/>
          <w:color w:val="000000"/>
          <w:lang w:eastAsia="bg-BG"/>
        </w:rPr>
      </w:pPr>
    </w:p>
    <w:p w14:paraId="02015ED9" w14:textId="147D53B4"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Употребата на ципрофлоксацин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6B299321" w14:textId="77777777" w:rsidR="003A30A5" w:rsidRPr="003A30A5" w:rsidRDefault="003A30A5" w:rsidP="003A30A5">
      <w:pPr>
        <w:spacing w:line="240" w:lineRule="auto"/>
        <w:rPr>
          <w:rFonts w:eastAsia="Times New Roman" w:cs="Arial"/>
          <w:i/>
          <w:iCs/>
          <w:color w:val="000000"/>
          <w:u w:val="single"/>
          <w:lang w:eastAsia="bg-BG"/>
        </w:rPr>
      </w:pPr>
    </w:p>
    <w:p w14:paraId="09A04EBA" w14:textId="5E4DD678"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Свръхчувствителност</w:t>
      </w:r>
    </w:p>
    <w:p w14:paraId="65F8E945"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Свръхчувствителност и алергични реакции, включително анафилаксия и анафилактоидни реакции могат да се появят след еднократна доза (вж. точка 4.8) и могат да са животозастрашаващи. При поява на такава реакция приемът на ципрофлоксацин трябва да се прекрати и е необходимо адекватно медицинско лечение.</w:t>
      </w:r>
    </w:p>
    <w:p w14:paraId="7CD3A42A" w14:textId="77777777" w:rsidR="003A30A5" w:rsidRPr="003A30A5" w:rsidRDefault="003A30A5" w:rsidP="003A30A5">
      <w:pPr>
        <w:spacing w:line="240" w:lineRule="auto"/>
        <w:rPr>
          <w:rFonts w:eastAsia="Times New Roman" w:cs="Arial"/>
          <w:i/>
          <w:iCs/>
          <w:color w:val="000000"/>
          <w:u w:val="single"/>
          <w:lang w:eastAsia="bg-BG"/>
        </w:rPr>
      </w:pPr>
    </w:p>
    <w:p w14:paraId="1919F9A4" w14:textId="769CEA41"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Скелетно-мускулна система</w:t>
      </w:r>
    </w:p>
    <w:p w14:paraId="148ABD41"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lastRenderedPageBreak/>
        <w:t>По правило ципрофлоксацин не трябва да се прилага при пациенти с анамнестични данни за заболявания/нарушения на сухожилията, свързани с лечение с хинолони. Въпреки това в много редки случаи след микробиологично доказване на етиологичния причинител и преценка на съотношението полза/риск е възможно предписването на ципрофлоксацин на такива пациенти за лечение на определени тежки инфекции, особено в случаите на неуспех на стандартната терапия или бактериална резистентност, когато микробиологичните данни подкрепят използването на ципрофлоксацин.</w:t>
      </w:r>
    </w:p>
    <w:p w14:paraId="677E62B0" w14:textId="77777777" w:rsidR="003A30A5" w:rsidRPr="003A30A5" w:rsidRDefault="003A30A5" w:rsidP="003A30A5">
      <w:pPr>
        <w:spacing w:line="240" w:lineRule="auto"/>
        <w:rPr>
          <w:rFonts w:eastAsia="Times New Roman" w:cs="Arial"/>
          <w:i/>
          <w:iCs/>
          <w:color w:val="000000"/>
          <w:u w:val="single"/>
          <w:lang w:eastAsia="bg-BG"/>
        </w:rPr>
      </w:pPr>
    </w:p>
    <w:p w14:paraId="298B34B1" w14:textId="7B863A7A"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Продължителни, инвалидизиращи и потенциално необратими сериозни нежелани лекарствени реакции</w:t>
      </w:r>
    </w:p>
    <w:p w14:paraId="2A723C76" w14:textId="77777777" w:rsidR="003A30A5" w:rsidRPr="003A30A5" w:rsidRDefault="003A30A5" w:rsidP="003A30A5">
      <w:pPr>
        <w:spacing w:line="240" w:lineRule="auto"/>
        <w:rPr>
          <w:rFonts w:eastAsia="Times New Roman" w:cs="Arial"/>
          <w:color w:val="000000"/>
          <w:lang w:eastAsia="bg-BG"/>
        </w:rPr>
      </w:pPr>
    </w:p>
    <w:p w14:paraId="5C71281D" w14:textId="626DD431"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Ципрофлоксацин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37CD84D6" w14:textId="77777777" w:rsidR="003A30A5" w:rsidRPr="003A30A5" w:rsidRDefault="003A30A5" w:rsidP="003A30A5">
      <w:pPr>
        <w:spacing w:line="240" w:lineRule="auto"/>
        <w:rPr>
          <w:rFonts w:eastAsia="Times New Roman" w:cs="Arial"/>
          <w:i/>
          <w:iCs/>
          <w:color w:val="000000"/>
          <w:u w:val="single"/>
          <w:lang w:eastAsia="bg-BG"/>
        </w:rPr>
      </w:pPr>
    </w:p>
    <w:p w14:paraId="7C1CDB1D" w14:textId="671550E6"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Тендинит и разкъсване на сухожилие</w:t>
      </w:r>
    </w:p>
    <w:p w14:paraId="1A4E266F"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Тендинит или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няколко месеца след прекратяване на лечението. Рискът от тендинит и разкъсване на сухожилие се повишава при по-възрасни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056AA3A9" w14:textId="77777777" w:rsidR="003A30A5" w:rsidRPr="003A30A5" w:rsidRDefault="003A30A5" w:rsidP="003A30A5">
      <w:pPr>
        <w:spacing w:line="240" w:lineRule="auto"/>
        <w:rPr>
          <w:rFonts w:eastAsia="Times New Roman" w:cs="Arial"/>
          <w:lang w:eastAsia="bg-BG"/>
        </w:rPr>
      </w:pPr>
    </w:p>
    <w:p w14:paraId="0B3BEE35" w14:textId="432534E2" w:rsidR="0091385D"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крайник(ци) трябва да бъде(ат) лекуван(и) по подходящ начин (напр. обездвижване). Не трябва да се използват кортикостероиди, ако се появат признаци на тендинопатия.</w:t>
      </w:r>
    </w:p>
    <w:p w14:paraId="24E3E82F" w14:textId="57AA61D2" w:rsidR="0091385D" w:rsidRDefault="0091385D" w:rsidP="0091385D"/>
    <w:p w14:paraId="1C338BE5"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Ципрофлоксацин трябва да се използва с повишено внимание при пациенти с миастения гравис, защото симптомите могат да се обострят (вж. точка 4.8).</w:t>
      </w:r>
    </w:p>
    <w:p w14:paraId="3C4494FE" w14:textId="77777777" w:rsidR="003A30A5" w:rsidRPr="00431E5F" w:rsidRDefault="003A30A5" w:rsidP="003A30A5">
      <w:pPr>
        <w:spacing w:line="240" w:lineRule="auto"/>
        <w:rPr>
          <w:rFonts w:eastAsia="Times New Roman" w:cs="Arial"/>
          <w:i/>
          <w:iCs/>
          <w:color w:val="000000"/>
          <w:u w:val="single"/>
          <w:lang w:eastAsia="bg-BG"/>
        </w:rPr>
      </w:pPr>
    </w:p>
    <w:p w14:paraId="008A7FDA" w14:textId="1604412A"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Фоточувствителност</w:t>
      </w:r>
    </w:p>
    <w:p w14:paraId="5C576F63"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Установено е, че ципрофлоксацин причинява реакции на фоточувствителност. Пациентите, които приемат ципрофлоксацин, трябва да бъдат посъветвани да избягват директно излагане на силна слънчева светлина, както и на ултравиолетово облъчване по време на лечението (вж. точка 4.8).</w:t>
      </w:r>
    </w:p>
    <w:p w14:paraId="44268D37" w14:textId="77777777" w:rsidR="003A30A5" w:rsidRPr="00431E5F" w:rsidRDefault="003A30A5" w:rsidP="003A30A5">
      <w:pPr>
        <w:spacing w:line="240" w:lineRule="auto"/>
        <w:rPr>
          <w:rFonts w:eastAsia="Times New Roman" w:cs="Arial"/>
          <w:i/>
          <w:iCs/>
          <w:color w:val="000000"/>
          <w:u w:val="single"/>
          <w:lang w:eastAsia="bg-BG"/>
        </w:rPr>
      </w:pPr>
    </w:p>
    <w:p w14:paraId="215914B7" w14:textId="65247EEF"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Централна нервна система</w:t>
      </w:r>
    </w:p>
    <w:p w14:paraId="717C770F"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 xml:space="preserve">Известно е, че ципрофлоксацин, както и други хинолони, провокира гърчове или понижава прага за поява на гърчове. Съобщава се за случаи на </w:t>
      </w:r>
      <w:r w:rsidRPr="003A30A5">
        <w:rPr>
          <w:rFonts w:eastAsia="Times New Roman" w:cs="Arial"/>
          <w:i/>
          <w:iCs/>
          <w:color w:val="000000"/>
          <w:lang w:val="en-US"/>
        </w:rPr>
        <w:t>status epilepticus.</w:t>
      </w:r>
      <w:r w:rsidRPr="003A30A5">
        <w:rPr>
          <w:rFonts w:eastAsia="Times New Roman" w:cs="Arial"/>
          <w:color w:val="000000"/>
          <w:lang w:val="en-US"/>
        </w:rPr>
        <w:t xml:space="preserve"> </w:t>
      </w:r>
      <w:r w:rsidRPr="003A30A5">
        <w:rPr>
          <w:rFonts w:eastAsia="Times New Roman" w:cs="Arial"/>
          <w:color w:val="000000"/>
          <w:lang w:eastAsia="bg-BG"/>
        </w:rPr>
        <w:t xml:space="preserve">Ципрофлоксацин трябва да се използва с повишено внимание при пациенти с нарушения на ЦНС, които евентуално са предразположени към гърчове. Лечението с ципрофлоксацин трябва да бъде преустановено и незабавно трябва да се потърси консултация с лекар при поява на гърчове (вж. точка 4.8). Възможна е появата на психични реакции след първото прилагане </w:t>
      </w:r>
      <w:r w:rsidRPr="003A30A5">
        <w:rPr>
          <w:rFonts w:eastAsia="Times New Roman" w:cs="Arial"/>
          <w:color w:val="000000"/>
          <w:lang w:eastAsia="bg-BG"/>
        </w:rPr>
        <w:lastRenderedPageBreak/>
        <w:t>на ципрофлоксацин. В редки случаи е възможно депресията или психозата да прогресират до суицидни намерения/мисли, завършващи в опит за самоубийство или самоубийство. Ако съществува такава вероятност, лечението с ципрофлоксацин трябва да се прекрати.</w:t>
      </w:r>
    </w:p>
    <w:p w14:paraId="0285E165" w14:textId="77777777" w:rsidR="003A30A5" w:rsidRPr="00431E5F" w:rsidRDefault="003A30A5" w:rsidP="003A30A5">
      <w:pPr>
        <w:spacing w:line="240" w:lineRule="auto"/>
        <w:rPr>
          <w:rFonts w:eastAsia="Times New Roman" w:cs="Arial"/>
          <w:i/>
          <w:iCs/>
          <w:color w:val="000000"/>
          <w:u w:val="single"/>
          <w:lang w:eastAsia="bg-BG"/>
        </w:rPr>
      </w:pPr>
    </w:p>
    <w:p w14:paraId="4EF07EB2" w14:textId="3EE56CA6"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Периферна невропатия</w:t>
      </w:r>
    </w:p>
    <w:p w14:paraId="7B39636E"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5D4F07E6" w14:textId="77777777" w:rsidR="003A30A5" w:rsidRPr="00431E5F" w:rsidRDefault="003A30A5" w:rsidP="003A30A5">
      <w:pPr>
        <w:spacing w:line="240" w:lineRule="auto"/>
        <w:rPr>
          <w:rFonts w:eastAsia="Times New Roman" w:cs="Arial"/>
          <w:i/>
          <w:iCs/>
          <w:color w:val="000000"/>
          <w:u w:val="single"/>
          <w:lang w:eastAsia="bg-BG"/>
        </w:rPr>
      </w:pPr>
    </w:p>
    <w:p w14:paraId="63A85AF6" w14:textId="12EB05ED"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Сърдечни нарушения</w:t>
      </w:r>
    </w:p>
    <w:p w14:paraId="4CB66DB4"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 xml:space="preserve">Трябва да се внимава при използването на флуорохинолони, включително ципрофлоксацин, при пациенти с известни рискови фактори за удължаване на </w:t>
      </w:r>
      <w:r w:rsidRPr="003A30A5">
        <w:rPr>
          <w:rFonts w:eastAsia="Times New Roman" w:cs="Arial"/>
          <w:color w:val="000000"/>
          <w:lang w:val="en-US"/>
        </w:rPr>
        <w:t>QT</w:t>
      </w:r>
      <w:r w:rsidRPr="003A30A5">
        <w:rPr>
          <w:rFonts w:eastAsia="Times New Roman" w:cs="Arial"/>
          <w:color w:val="000000"/>
          <w:lang w:eastAsia="bg-BG"/>
        </w:rPr>
        <w:t>-интервала, като например:</w:t>
      </w:r>
    </w:p>
    <w:p w14:paraId="2A912B18" w14:textId="77777777" w:rsidR="00431E5F" w:rsidRPr="00431E5F" w:rsidRDefault="003A30A5" w:rsidP="003A30A5">
      <w:pPr>
        <w:pStyle w:val="ListParagraph"/>
        <w:numPr>
          <w:ilvl w:val="0"/>
          <w:numId w:val="42"/>
        </w:numPr>
        <w:spacing w:line="240" w:lineRule="auto"/>
        <w:rPr>
          <w:rFonts w:eastAsia="Times New Roman" w:cs="Arial"/>
          <w:lang w:eastAsia="bg-BG"/>
        </w:rPr>
      </w:pPr>
      <w:r w:rsidRPr="00431E5F">
        <w:rPr>
          <w:rFonts w:eastAsia="Times New Roman" w:cs="Arial"/>
          <w:color w:val="000000"/>
          <w:lang w:eastAsia="bg-BG"/>
        </w:rPr>
        <w:t xml:space="preserve">синдром на вродено удължаване на </w:t>
      </w:r>
      <w:r w:rsidRPr="00431E5F">
        <w:rPr>
          <w:rFonts w:eastAsia="Times New Roman" w:cs="Arial"/>
          <w:color w:val="000000"/>
          <w:lang w:val="en-US"/>
        </w:rPr>
        <w:t>QT</w:t>
      </w:r>
      <w:r w:rsidRPr="00431E5F">
        <w:rPr>
          <w:rFonts w:eastAsia="Times New Roman" w:cs="Arial"/>
          <w:color w:val="000000"/>
          <w:lang w:eastAsia="bg-BG"/>
        </w:rPr>
        <w:t>-интервала;</w:t>
      </w:r>
    </w:p>
    <w:p w14:paraId="7046D9FA" w14:textId="77777777" w:rsidR="00431E5F" w:rsidRPr="00431E5F" w:rsidRDefault="003A30A5" w:rsidP="003A30A5">
      <w:pPr>
        <w:pStyle w:val="ListParagraph"/>
        <w:numPr>
          <w:ilvl w:val="0"/>
          <w:numId w:val="42"/>
        </w:numPr>
        <w:spacing w:line="240" w:lineRule="auto"/>
        <w:rPr>
          <w:rFonts w:eastAsia="Times New Roman" w:cs="Arial"/>
          <w:lang w:eastAsia="bg-BG"/>
        </w:rPr>
      </w:pPr>
      <w:r w:rsidRPr="00431E5F">
        <w:rPr>
          <w:rFonts w:eastAsia="Times New Roman" w:cs="Arial"/>
          <w:color w:val="000000"/>
          <w:lang w:eastAsia="bg-BG"/>
        </w:rPr>
        <w:t xml:space="preserve">едновременна употреба на лекарства, за които се знае, че удължават </w:t>
      </w:r>
      <w:r w:rsidRPr="00431E5F">
        <w:rPr>
          <w:rFonts w:eastAsia="Times New Roman" w:cs="Arial"/>
          <w:color w:val="000000"/>
          <w:lang w:val="en-US"/>
        </w:rPr>
        <w:t>QT</w:t>
      </w:r>
      <w:r w:rsidRPr="00431E5F">
        <w:rPr>
          <w:rFonts w:eastAsia="Times New Roman" w:cs="Arial"/>
          <w:color w:val="000000"/>
          <w:lang w:eastAsia="bg-BG"/>
        </w:rPr>
        <w:t xml:space="preserve">-интервала (например клас </w:t>
      </w:r>
      <w:r w:rsidRPr="00431E5F">
        <w:rPr>
          <w:rFonts w:eastAsia="Times New Roman" w:cs="Arial"/>
          <w:color w:val="000000"/>
          <w:lang w:val="en-US"/>
        </w:rPr>
        <w:t xml:space="preserve">IA </w:t>
      </w:r>
      <w:r w:rsidRPr="00431E5F">
        <w:rPr>
          <w:rFonts w:eastAsia="Times New Roman" w:cs="Arial"/>
          <w:color w:val="000000"/>
          <w:lang w:eastAsia="bg-BG"/>
        </w:rPr>
        <w:t>и III антиаритмици, трициклични антидепресанти, макролиди, антипсихотици);</w:t>
      </w:r>
    </w:p>
    <w:p w14:paraId="2F6A2766" w14:textId="77777777" w:rsidR="00431E5F" w:rsidRPr="00431E5F" w:rsidRDefault="003A30A5" w:rsidP="003A30A5">
      <w:pPr>
        <w:pStyle w:val="ListParagraph"/>
        <w:numPr>
          <w:ilvl w:val="0"/>
          <w:numId w:val="42"/>
        </w:numPr>
        <w:spacing w:line="240" w:lineRule="auto"/>
        <w:rPr>
          <w:rFonts w:eastAsia="Times New Roman" w:cs="Arial"/>
          <w:lang w:eastAsia="bg-BG"/>
        </w:rPr>
      </w:pPr>
      <w:r w:rsidRPr="00431E5F">
        <w:rPr>
          <w:rFonts w:eastAsia="Times New Roman" w:cs="Arial"/>
          <w:color w:val="000000"/>
          <w:lang w:eastAsia="bg-BG"/>
        </w:rPr>
        <w:t>некоригиран електролитен дисбаланс (напр. х</w:t>
      </w:r>
      <w:r w:rsidR="00431E5F" w:rsidRPr="00431E5F">
        <w:rPr>
          <w:rFonts w:eastAsia="Times New Roman" w:cs="Arial"/>
          <w:color w:val="000000"/>
          <w:lang w:eastAsia="bg-BG"/>
        </w:rPr>
        <w:t xml:space="preserve">ипокалиемия, хипомагнезиемия); </w:t>
      </w:r>
    </w:p>
    <w:p w14:paraId="50807DCD" w14:textId="1B0F277A" w:rsidR="003A30A5" w:rsidRPr="00431E5F" w:rsidRDefault="003A30A5" w:rsidP="003A30A5">
      <w:pPr>
        <w:pStyle w:val="ListParagraph"/>
        <w:numPr>
          <w:ilvl w:val="0"/>
          <w:numId w:val="42"/>
        </w:numPr>
        <w:spacing w:line="240" w:lineRule="auto"/>
        <w:rPr>
          <w:rFonts w:eastAsia="Times New Roman" w:cs="Arial"/>
          <w:lang w:eastAsia="bg-BG"/>
        </w:rPr>
      </w:pPr>
      <w:r w:rsidRPr="00431E5F">
        <w:rPr>
          <w:rFonts w:eastAsia="Times New Roman" w:cs="Arial"/>
          <w:color w:val="000000"/>
          <w:lang w:eastAsia="bg-BG"/>
        </w:rPr>
        <w:t>сърдечно заболяване (напр. сърдечна недостатъчност, инфаркт на миокарда, брадикардия).</w:t>
      </w:r>
    </w:p>
    <w:p w14:paraId="566A1646" w14:textId="77777777" w:rsidR="003A30A5" w:rsidRPr="00431E5F" w:rsidRDefault="003A30A5" w:rsidP="003A30A5">
      <w:pPr>
        <w:spacing w:line="240" w:lineRule="auto"/>
        <w:rPr>
          <w:rFonts w:eastAsia="Times New Roman" w:cs="Arial"/>
          <w:color w:val="000000"/>
          <w:lang w:eastAsia="bg-BG"/>
        </w:rPr>
      </w:pPr>
    </w:p>
    <w:p w14:paraId="467BF575" w14:textId="25BCB033"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 xml:space="preserve">Пациентите в старческа възраст и жените могат да бъдат по-чувствителни към лекарства, удължаващи </w:t>
      </w:r>
      <w:proofErr w:type="spellStart"/>
      <w:r w:rsidRPr="003A30A5">
        <w:rPr>
          <w:rFonts w:eastAsia="Times New Roman" w:cs="Arial"/>
          <w:color w:val="000000"/>
          <w:lang w:val="en-US"/>
        </w:rPr>
        <w:t>QTc</w:t>
      </w:r>
      <w:proofErr w:type="spellEnd"/>
      <w:r w:rsidRPr="003A30A5">
        <w:rPr>
          <w:rFonts w:eastAsia="Times New Roman" w:cs="Arial"/>
          <w:color w:val="000000"/>
          <w:lang w:eastAsia="bg-BG"/>
        </w:rPr>
        <w:t>-интервала. Следователно флуорохинолоните, включително ципрофлоксацин, трябва да бъдат прилагани с повишено внимание при тези групи пациенти.</w:t>
      </w:r>
      <w:r w:rsidR="00431E5F">
        <w:rPr>
          <w:rFonts w:eastAsia="Times New Roman" w:cs="Arial"/>
          <w:lang w:val="en-US" w:eastAsia="bg-BG"/>
        </w:rPr>
        <w:t xml:space="preserve"> </w:t>
      </w:r>
      <w:r w:rsidRPr="003A30A5">
        <w:rPr>
          <w:rFonts w:eastAsia="Times New Roman" w:cs="Arial"/>
          <w:color w:val="000000"/>
          <w:lang w:eastAsia="bg-BG"/>
        </w:rPr>
        <w:t>(Виж точка 4.2 Пациенти в старческа възраст, точка 4.5, точка 4.8, точка 4.9).</w:t>
      </w:r>
    </w:p>
    <w:p w14:paraId="4D856E73" w14:textId="77777777" w:rsidR="003A30A5" w:rsidRPr="00431E5F" w:rsidRDefault="003A30A5" w:rsidP="003A30A5">
      <w:pPr>
        <w:spacing w:line="240" w:lineRule="auto"/>
        <w:rPr>
          <w:rFonts w:eastAsia="Times New Roman" w:cs="Arial"/>
          <w:i/>
          <w:iCs/>
          <w:color w:val="000000"/>
          <w:u w:val="single"/>
          <w:lang w:eastAsia="bg-BG"/>
        </w:rPr>
      </w:pPr>
    </w:p>
    <w:p w14:paraId="1C8467D7" w14:textId="7C0B032A"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Повишен риск от аневризма и дисекация на аортата и регургитаиия/недостатъчност на сърдечните клапи</w:t>
      </w:r>
    </w:p>
    <w:p w14:paraId="1E9070E2"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клапа след прием на флуорохинолони.</w:t>
      </w:r>
    </w:p>
    <w:p w14:paraId="787D5AA2" w14:textId="77777777" w:rsidR="003A30A5" w:rsidRPr="00431E5F" w:rsidRDefault="003A30A5" w:rsidP="003A30A5">
      <w:pPr>
        <w:spacing w:line="240" w:lineRule="auto"/>
        <w:rPr>
          <w:rFonts w:eastAsia="Times New Roman" w:cs="Arial"/>
          <w:color w:val="000000"/>
          <w:lang w:eastAsia="bg-BG"/>
        </w:rPr>
      </w:pPr>
    </w:p>
    <w:p w14:paraId="26475669" w14:textId="67210302"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Съобщени са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при пациенти, приемащи флуорохинолони (вж. точка 4.8).</w:t>
      </w:r>
    </w:p>
    <w:p w14:paraId="1B0D451C" w14:textId="77777777" w:rsidR="003A30A5" w:rsidRPr="00431E5F" w:rsidRDefault="003A30A5" w:rsidP="003A30A5">
      <w:pPr>
        <w:spacing w:line="240" w:lineRule="auto"/>
        <w:rPr>
          <w:rFonts w:eastAsia="Times New Roman" w:cs="Arial"/>
          <w:color w:val="000000"/>
          <w:lang w:eastAsia="bg-BG"/>
        </w:rPr>
      </w:pPr>
    </w:p>
    <w:p w14:paraId="34159744" w14:textId="17E5CB44" w:rsidR="003A30A5" w:rsidRPr="00431E5F" w:rsidRDefault="003A30A5" w:rsidP="003A30A5">
      <w:pPr>
        <w:rPr>
          <w:rFonts w:eastAsia="Times New Roman" w:cs="Arial"/>
          <w:color w:val="000000"/>
          <w:lang w:eastAsia="bg-BG"/>
        </w:rPr>
      </w:pPr>
      <w:r w:rsidRPr="003A30A5">
        <w:rPr>
          <w:rFonts w:eastAsia="Times New Roman" w:cs="Arial"/>
          <w:color w:val="000000"/>
          <w:lang w:eastAsia="bg-BG"/>
        </w:rPr>
        <w:t>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w:t>
      </w:r>
      <w:r w:rsidRPr="00431E5F">
        <w:rPr>
          <w:rFonts w:eastAsia="Times New Roman" w:cs="Arial"/>
          <w:lang w:val="en-US" w:eastAsia="bg-BG"/>
        </w:rPr>
        <w:t xml:space="preserve"> </w:t>
      </w:r>
      <w:r w:rsidRPr="00431E5F">
        <w:rPr>
          <w:rFonts w:eastAsia="Times New Roman" w:cs="Arial"/>
          <w:color w:val="000000"/>
          <w:lang w:eastAsia="bg-BG"/>
        </w:rPr>
        <w:t>пациенти с положителна фамилна анамнеза за аневризма или вродено заболяване на</w:t>
      </w:r>
      <w:r w:rsidRPr="00431E5F">
        <w:rPr>
          <w:rFonts w:eastAsia="Times New Roman" w:cs="Arial"/>
          <w:color w:val="000000"/>
          <w:lang w:val="en-US" w:eastAsia="bg-BG"/>
        </w:rPr>
        <w:t xml:space="preserve"> </w:t>
      </w:r>
      <w:r w:rsidRPr="00431E5F">
        <w:rPr>
          <w:rFonts w:eastAsia="Times New Roman" w:cs="Arial"/>
          <w:color w:val="000000"/>
          <w:lang w:eastAsia="bg-BG"/>
        </w:rPr>
        <w:t>сърдечните клапи, или при пациенти, диагностицирани с предшестваща аневризма и/или дисекация на аортата или заболяване на сърдечните клапи или при наличие на други рискови фактори или заболявания, предразполагащи</w:t>
      </w:r>
    </w:p>
    <w:p w14:paraId="65B39FF4" w14:textId="77777777" w:rsidR="003A30A5" w:rsidRPr="00431E5F" w:rsidRDefault="003A30A5" w:rsidP="003A30A5">
      <w:pPr>
        <w:rPr>
          <w:rFonts w:eastAsia="Times New Roman" w:cs="Arial"/>
          <w:lang w:eastAsia="bg-BG"/>
        </w:rPr>
      </w:pPr>
    </w:p>
    <w:p w14:paraId="2D8829A6" w14:textId="5BB29EFE" w:rsidR="00431E5F" w:rsidRPr="00431E5F" w:rsidRDefault="003A30A5" w:rsidP="003A30A5">
      <w:pPr>
        <w:pStyle w:val="ListParagraph"/>
        <w:numPr>
          <w:ilvl w:val="0"/>
          <w:numId w:val="43"/>
        </w:numPr>
        <w:spacing w:line="240" w:lineRule="auto"/>
        <w:rPr>
          <w:rFonts w:eastAsia="Times New Roman" w:cs="Arial"/>
          <w:color w:val="000000"/>
          <w:lang w:eastAsia="bg-BG"/>
        </w:rPr>
      </w:pPr>
      <w:r w:rsidRPr="00431E5F">
        <w:rPr>
          <w:rFonts w:eastAsia="Times New Roman" w:cs="Arial"/>
          <w:color w:val="000000"/>
          <w:lang w:eastAsia="bg-BG"/>
        </w:rPr>
        <w:t xml:space="preserve">както за аневризма, така и за дисекация на аортата и за регургитация/недостатъчност на сърдечните клапи (напр. нарушения на </w:t>
      </w:r>
      <w:r w:rsidRPr="00431E5F">
        <w:rPr>
          <w:rFonts w:eastAsia="Times New Roman" w:cs="Arial"/>
          <w:color w:val="000000"/>
          <w:lang w:eastAsia="bg-BG"/>
        </w:rPr>
        <w:lastRenderedPageBreak/>
        <w:t xml:space="preserve">съединителната тъкан, напр. синдром на </w:t>
      </w:r>
      <w:proofErr w:type="spellStart"/>
      <w:r w:rsidRPr="00431E5F">
        <w:rPr>
          <w:rFonts w:eastAsia="Times New Roman" w:cs="Arial"/>
          <w:color w:val="000000"/>
          <w:lang w:val="en-US"/>
        </w:rPr>
        <w:t>Marfan</w:t>
      </w:r>
      <w:proofErr w:type="spellEnd"/>
      <w:r w:rsidRPr="00431E5F">
        <w:rPr>
          <w:rFonts w:eastAsia="Times New Roman" w:cs="Arial"/>
          <w:color w:val="000000"/>
          <w:lang w:val="en-US"/>
        </w:rPr>
        <w:t xml:space="preserve"> </w:t>
      </w:r>
      <w:r w:rsidRPr="00431E5F">
        <w:rPr>
          <w:rFonts w:eastAsia="Times New Roman" w:cs="Arial"/>
          <w:color w:val="000000"/>
          <w:lang w:eastAsia="bg-BG"/>
        </w:rPr>
        <w:t xml:space="preserve">или синдром на </w:t>
      </w:r>
      <w:r w:rsidRPr="00431E5F">
        <w:rPr>
          <w:rFonts w:eastAsia="Times New Roman" w:cs="Arial"/>
          <w:color w:val="000000"/>
          <w:lang w:val="en-US"/>
        </w:rPr>
        <w:t>Ehlers-</w:t>
      </w:r>
      <w:proofErr w:type="spellStart"/>
      <w:r w:rsidRPr="00431E5F">
        <w:rPr>
          <w:rFonts w:eastAsia="Times New Roman" w:cs="Arial"/>
          <w:color w:val="000000"/>
          <w:lang w:val="en-US"/>
        </w:rPr>
        <w:t>Danlos</w:t>
      </w:r>
      <w:proofErr w:type="spellEnd"/>
      <w:r w:rsidRPr="00431E5F">
        <w:rPr>
          <w:rFonts w:eastAsia="Times New Roman" w:cs="Arial"/>
          <w:color w:val="000000"/>
          <w:lang w:val="en-US"/>
        </w:rPr>
        <w:t xml:space="preserve">, </w:t>
      </w:r>
      <w:r w:rsidRPr="00431E5F">
        <w:rPr>
          <w:rFonts w:eastAsia="Times New Roman" w:cs="Arial"/>
          <w:color w:val="000000"/>
          <w:lang w:eastAsia="bg-BG"/>
        </w:rPr>
        <w:t xml:space="preserve">синдром на </w:t>
      </w:r>
      <w:r w:rsidRPr="00431E5F">
        <w:rPr>
          <w:rFonts w:eastAsia="Times New Roman" w:cs="Arial"/>
          <w:color w:val="000000"/>
          <w:lang w:val="en-US"/>
        </w:rPr>
        <w:t xml:space="preserve">Turner, </w:t>
      </w:r>
      <w:r w:rsidRPr="00431E5F">
        <w:rPr>
          <w:rFonts w:eastAsia="Times New Roman" w:cs="Arial"/>
          <w:color w:val="000000"/>
          <w:lang w:eastAsia="bg-BG"/>
        </w:rPr>
        <w:t xml:space="preserve">болест на </w:t>
      </w:r>
      <w:proofErr w:type="spellStart"/>
      <w:r w:rsidRPr="00431E5F">
        <w:rPr>
          <w:rFonts w:eastAsia="Times New Roman" w:cs="Arial"/>
          <w:color w:val="000000"/>
          <w:lang w:val="en-US"/>
        </w:rPr>
        <w:t>Behcet</w:t>
      </w:r>
      <w:proofErr w:type="spellEnd"/>
      <w:r w:rsidRPr="00431E5F">
        <w:rPr>
          <w:rFonts w:eastAsia="Times New Roman" w:cs="Arial"/>
          <w:color w:val="000000"/>
          <w:lang w:val="en-US"/>
        </w:rPr>
        <w:t xml:space="preserve">, </w:t>
      </w:r>
      <w:r w:rsidRPr="00431E5F">
        <w:rPr>
          <w:rFonts w:eastAsia="Times New Roman" w:cs="Arial"/>
          <w:color w:val="000000"/>
          <w:lang w:eastAsia="bg-BG"/>
        </w:rPr>
        <w:t>хипертония, ревматоиден артрит) или допълнително</w:t>
      </w:r>
    </w:p>
    <w:p w14:paraId="6E8A605F" w14:textId="77777777" w:rsidR="00431E5F" w:rsidRPr="00431E5F" w:rsidRDefault="00431E5F" w:rsidP="00431E5F">
      <w:pPr>
        <w:pStyle w:val="ListParagraph"/>
        <w:spacing w:line="240" w:lineRule="auto"/>
        <w:rPr>
          <w:rFonts w:eastAsia="Times New Roman" w:cs="Arial"/>
          <w:color w:val="000000"/>
          <w:lang w:eastAsia="bg-BG"/>
        </w:rPr>
      </w:pPr>
    </w:p>
    <w:p w14:paraId="5A20718D" w14:textId="7535D70E" w:rsidR="003A30A5" w:rsidRPr="00431E5F" w:rsidRDefault="003A30A5" w:rsidP="003A30A5">
      <w:pPr>
        <w:pStyle w:val="ListParagraph"/>
        <w:numPr>
          <w:ilvl w:val="0"/>
          <w:numId w:val="43"/>
        </w:numPr>
        <w:spacing w:line="240" w:lineRule="auto"/>
        <w:rPr>
          <w:rFonts w:eastAsia="Times New Roman" w:cs="Arial"/>
          <w:color w:val="000000"/>
          <w:lang w:eastAsia="bg-BG"/>
        </w:rPr>
      </w:pPr>
      <w:r w:rsidRPr="00431E5F">
        <w:rPr>
          <w:rFonts w:eastAsia="Times New Roman" w:cs="Arial"/>
          <w:color w:val="000000"/>
          <w:lang w:eastAsia="bg-BG"/>
        </w:rPr>
        <w:t>при аневризма и дисекация на аортата (напр. съдови нарушения, напр. артериит на Т</w:t>
      </w:r>
      <w:proofErr w:type="spellStart"/>
      <w:r w:rsidRPr="00431E5F">
        <w:rPr>
          <w:rFonts w:eastAsia="Times New Roman" w:cs="Arial"/>
          <w:color w:val="000000"/>
          <w:lang w:val="en-US"/>
        </w:rPr>
        <w:t>akayasu</w:t>
      </w:r>
      <w:proofErr w:type="spellEnd"/>
      <w:r w:rsidRPr="00431E5F">
        <w:rPr>
          <w:rFonts w:eastAsia="Times New Roman" w:cs="Arial"/>
          <w:color w:val="000000"/>
          <w:lang w:val="en-US"/>
        </w:rPr>
        <w:t xml:space="preserve">, </w:t>
      </w:r>
      <w:r w:rsidRPr="00431E5F">
        <w:rPr>
          <w:rFonts w:eastAsia="Times New Roman" w:cs="Arial"/>
          <w:color w:val="000000"/>
          <w:lang w:eastAsia="bg-BG"/>
        </w:rPr>
        <w:t xml:space="preserve">гигантоклетьчен артериит или известна атеросклероза или синдром на </w:t>
      </w:r>
      <w:proofErr w:type="spellStart"/>
      <w:r w:rsidRPr="00431E5F">
        <w:rPr>
          <w:rFonts w:eastAsia="Times New Roman" w:cs="Arial"/>
          <w:color w:val="000000"/>
          <w:lang w:val="en-US"/>
        </w:rPr>
        <w:t>Sjogren</w:t>
      </w:r>
      <w:proofErr w:type="spellEnd"/>
      <w:r w:rsidRPr="00431E5F">
        <w:rPr>
          <w:rFonts w:eastAsia="Times New Roman" w:cs="Arial"/>
          <w:color w:val="000000"/>
          <w:lang w:val="en-US"/>
        </w:rPr>
        <w:t xml:space="preserve">), </w:t>
      </w:r>
      <w:r w:rsidRPr="00431E5F">
        <w:rPr>
          <w:rFonts w:eastAsia="Times New Roman" w:cs="Arial"/>
          <w:color w:val="000000"/>
          <w:lang w:eastAsia="bg-BG"/>
        </w:rPr>
        <w:t>или допълнително</w:t>
      </w:r>
    </w:p>
    <w:p w14:paraId="3FA37AFD" w14:textId="77777777" w:rsidR="00431E5F" w:rsidRPr="003A30A5" w:rsidRDefault="00431E5F" w:rsidP="003A30A5">
      <w:pPr>
        <w:spacing w:line="240" w:lineRule="auto"/>
        <w:rPr>
          <w:rFonts w:eastAsia="Times New Roman" w:cs="Arial"/>
          <w:lang w:eastAsia="bg-BG"/>
        </w:rPr>
      </w:pPr>
    </w:p>
    <w:p w14:paraId="29B10451" w14:textId="0DE59EFF" w:rsidR="003A30A5" w:rsidRPr="00431E5F" w:rsidRDefault="003A30A5" w:rsidP="00431E5F">
      <w:pPr>
        <w:pStyle w:val="ListParagraph"/>
        <w:numPr>
          <w:ilvl w:val="0"/>
          <w:numId w:val="43"/>
        </w:numPr>
        <w:spacing w:line="240" w:lineRule="auto"/>
        <w:rPr>
          <w:rFonts w:eastAsia="Times New Roman" w:cs="Arial"/>
          <w:lang w:eastAsia="bg-BG"/>
        </w:rPr>
      </w:pPr>
      <w:r w:rsidRPr="00431E5F">
        <w:rPr>
          <w:rFonts w:eastAsia="Times New Roman" w:cs="Arial"/>
          <w:color w:val="000000"/>
          <w:lang w:eastAsia="bg-BG"/>
        </w:rPr>
        <w:t>при регургитация/недостатъчност на сърдечните клапи (напр. инфекциозен ендокардит).</w:t>
      </w:r>
    </w:p>
    <w:p w14:paraId="41FD8F77" w14:textId="77777777" w:rsidR="00431E5F" w:rsidRPr="00431E5F" w:rsidRDefault="00431E5F" w:rsidP="003A30A5">
      <w:pPr>
        <w:spacing w:line="240" w:lineRule="auto"/>
        <w:rPr>
          <w:rFonts w:eastAsia="Times New Roman" w:cs="Arial"/>
          <w:color w:val="000000"/>
          <w:lang w:eastAsia="bg-BG"/>
        </w:rPr>
      </w:pPr>
    </w:p>
    <w:p w14:paraId="06FF65F4" w14:textId="65AD3CAC"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36B4DFC4" w14:textId="77777777" w:rsidR="00431E5F" w:rsidRPr="00431E5F" w:rsidRDefault="00431E5F" w:rsidP="003A30A5">
      <w:pPr>
        <w:spacing w:line="240" w:lineRule="auto"/>
        <w:rPr>
          <w:rFonts w:eastAsia="Times New Roman" w:cs="Arial"/>
          <w:color w:val="000000"/>
          <w:lang w:eastAsia="bg-BG"/>
        </w:rPr>
      </w:pPr>
    </w:p>
    <w:p w14:paraId="0EF702E8" w14:textId="3775A12C"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1759B385" w14:textId="77777777" w:rsidR="00431E5F" w:rsidRPr="00431E5F" w:rsidRDefault="00431E5F" w:rsidP="003A30A5">
      <w:pPr>
        <w:spacing w:line="240" w:lineRule="auto"/>
        <w:rPr>
          <w:rFonts w:eastAsia="Times New Roman" w:cs="Arial"/>
          <w:color w:val="000000"/>
          <w:lang w:eastAsia="bg-BG"/>
        </w:rPr>
      </w:pPr>
    </w:p>
    <w:p w14:paraId="353739C6" w14:textId="53F92051"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Пациентите трябва да бъдат посъветвани да потърсят незабавно медицинска помош в случай на остра диспнея, поява на сърцебиене (палпитации) или развитие на оток на корема или долните крайници.</w:t>
      </w:r>
    </w:p>
    <w:p w14:paraId="6DB914CA" w14:textId="77777777" w:rsidR="00431E5F" w:rsidRPr="00431E5F" w:rsidRDefault="00431E5F" w:rsidP="003A30A5">
      <w:pPr>
        <w:spacing w:line="240" w:lineRule="auto"/>
        <w:rPr>
          <w:rFonts w:eastAsia="Times New Roman" w:cs="Arial"/>
          <w:i/>
          <w:iCs/>
          <w:color w:val="000000"/>
          <w:u w:val="single"/>
          <w:lang w:eastAsia="bg-BG"/>
        </w:rPr>
      </w:pPr>
    </w:p>
    <w:p w14:paraId="22B04350" w14:textId="6748C4F7"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Дисгликемия</w:t>
      </w:r>
    </w:p>
    <w:p w14:paraId="5F131A7E"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Както при всички хинолони, има съобщения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 глибенкламид)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19DDEBE2" w14:textId="77777777" w:rsidR="00431E5F" w:rsidRPr="00431E5F" w:rsidRDefault="00431E5F" w:rsidP="003A30A5">
      <w:pPr>
        <w:spacing w:line="240" w:lineRule="auto"/>
        <w:rPr>
          <w:rFonts w:eastAsia="Times New Roman" w:cs="Arial"/>
          <w:i/>
          <w:iCs/>
          <w:color w:val="000000"/>
          <w:u w:val="single"/>
          <w:lang w:eastAsia="bg-BG"/>
        </w:rPr>
      </w:pPr>
    </w:p>
    <w:p w14:paraId="7AEC4A15" w14:textId="705F7A26"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Хипогликемия</w:t>
      </w:r>
    </w:p>
    <w:p w14:paraId="55E30090"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Както и при другите хинолони, съобщения за хипогликемия има най-често при диабетици, особено в старческата популация. Препоръчва се внимателно проследяване на глюкозата в кръвта при всички пациенти с диабет (виж точка 4.8).</w:t>
      </w:r>
    </w:p>
    <w:p w14:paraId="610ADB85" w14:textId="77777777" w:rsidR="00431E5F" w:rsidRPr="00431E5F" w:rsidRDefault="00431E5F" w:rsidP="003A30A5">
      <w:pPr>
        <w:spacing w:line="240" w:lineRule="auto"/>
        <w:rPr>
          <w:rFonts w:eastAsia="Times New Roman" w:cs="Arial"/>
          <w:i/>
          <w:iCs/>
          <w:color w:val="000000"/>
          <w:u w:val="single"/>
          <w:lang w:eastAsia="bg-BG"/>
        </w:rPr>
      </w:pPr>
    </w:p>
    <w:p w14:paraId="009974C0" w14:textId="71AEFC1D"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Стомашно-чревна система</w:t>
      </w:r>
    </w:p>
    <w:p w14:paraId="1A209476"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Появата на тежка и персистираща диария по време или след лечението (включително до няколко седмици след лечението) може да е симптом на антибиотик-свързан колит (животозастрашавашо състояние с възможен фатален изход), който налага незабавно лечение (вж. точка 4.8). При такива случаи лечението с ципрофлоксацин трябва незабавно да бъде прекратено и да се започне подходяща терапия. Прилагането на антиперисталтични лекарства е противопоказано в такива случаи.</w:t>
      </w:r>
    </w:p>
    <w:p w14:paraId="706FCDB7" w14:textId="77777777" w:rsidR="00431E5F" w:rsidRPr="00431E5F" w:rsidRDefault="00431E5F" w:rsidP="003A30A5">
      <w:pPr>
        <w:spacing w:line="240" w:lineRule="auto"/>
        <w:rPr>
          <w:rFonts w:eastAsia="Times New Roman" w:cs="Arial"/>
          <w:i/>
          <w:iCs/>
          <w:color w:val="000000"/>
          <w:u w:val="single"/>
          <w:lang w:eastAsia="bg-BG"/>
        </w:rPr>
      </w:pPr>
    </w:p>
    <w:p w14:paraId="6EEC3ADF" w14:textId="7894683C"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Отделителна система</w:t>
      </w:r>
    </w:p>
    <w:p w14:paraId="779B77B4"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Има съобщения за кристалурия, свързана с използването на ципрофлоксацин (вж. точка 4.8). Пациентите, получаващи ципрофлоксацин, трябва да бъдат добре хидратирани и трябва да се избягва прекалено алкализиране на урината.</w:t>
      </w:r>
    </w:p>
    <w:p w14:paraId="3B1F5D6E" w14:textId="77777777" w:rsidR="00431E5F" w:rsidRPr="00431E5F" w:rsidRDefault="00431E5F" w:rsidP="003A30A5">
      <w:pPr>
        <w:spacing w:line="240" w:lineRule="auto"/>
        <w:rPr>
          <w:rFonts w:eastAsia="Times New Roman" w:cs="Arial"/>
          <w:i/>
          <w:iCs/>
          <w:color w:val="000000"/>
          <w:u w:val="single"/>
          <w:lang w:eastAsia="bg-BG"/>
        </w:rPr>
      </w:pPr>
    </w:p>
    <w:p w14:paraId="224C3233" w14:textId="0C33D281"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Нарушена бъбречна функция</w:t>
      </w:r>
    </w:p>
    <w:p w14:paraId="602E811A" w14:textId="77777777" w:rsidR="003A30A5" w:rsidRPr="003A30A5" w:rsidRDefault="003A30A5" w:rsidP="003A30A5">
      <w:pPr>
        <w:spacing w:line="240" w:lineRule="auto"/>
        <w:rPr>
          <w:rFonts w:eastAsia="Times New Roman" w:cs="Arial"/>
          <w:lang w:eastAsia="bg-BG"/>
        </w:rPr>
      </w:pPr>
      <w:r w:rsidRPr="003A30A5">
        <w:rPr>
          <w:rFonts w:eastAsia="Times New Roman" w:cs="Arial"/>
          <w:color w:val="000000"/>
          <w:lang w:eastAsia="bg-BG"/>
        </w:rPr>
        <w:t xml:space="preserve">Тъй като ципрофлоксацин до голяма степен се екскретира непроменен през бъбреците, корекция на дозата е необходима при пациенти с нарушена бъбречна функция, както е </w:t>
      </w:r>
      <w:r w:rsidRPr="003A30A5">
        <w:rPr>
          <w:rFonts w:eastAsia="Times New Roman" w:cs="Arial"/>
          <w:color w:val="000000"/>
          <w:lang w:eastAsia="bg-BG"/>
        </w:rPr>
        <w:lastRenderedPageBreak/>
        <w:t>описано в точка 4.2, за да се избегне увеличаване на нежеланите лекарствени реакции, дължащи се на</w:t>
      </w:r>
      <w:r w:rsidRPr="003A30A5">
        <w:rPr>
          <w:rFonts w:eastAsia="Times New Roman" w:cs="Arial"/>
          <w:color w:val="000000"/>
          <w:u w:val="single"/>
          <w:lang w:eastAsia="bg-BG"/>
        </w:rPr>
        <w:t xml:space="preserve"> </w:t>
      </w:r>
      <w:r w:rsidRPr="003A30A5">
        <w:rPr>
          <w:rFonts w:eastAsia="Times New Roman" w:cs="Arial"/>
          <w:color w:val="000000"/>
          <w:lang w:eastAsia="bg-BG"/>
        </w:rPr>
        <w:t>натрупването наципрофлоксацин (виж точка 4.2).</w:t>
      </w:r>
    </w:p>
    <w:p w14:paraId="43D4A600" w14:textId="77777777" w:rsidR="00431E5F" w:rsidRPr="00431E5F" w:rsidRDefault="00431E5F" w:rsidP="003A30A5">
      <w:pPr>
        <w:spacing w:line="240" w:lineRule="auto"/>
        <w:rPr>
          <w:rFonts w:eastAsia="Times New Roman" w:cs="Arial"/>
          <w:i/>
          <w:iCs/>
          <w:color w:val="000000"/>
          <w:u w:val="single"/>
          <w:lang w:eastAsia="bg-BG"/>
        </w:rPr>
      </w:pPr>
    </w:p>
    <w:p w14:paraId="731BB396" w14:textId="3D501223" w:rsidR="003A30A5" w:rsidRPr="003A30A5" w:rsidRDefault="003A30A5" w:rsidP="003A30A5">
      <w:pPr>
        <w:spacing w:line="240" w:lineRule="auto"/>
        <w:rPr>
          <w:rFonts w:eastAsia="Times New Roman" w:cs="Arial"/>
          <w:lang w:eastAsia="bg-BG"/>
        </w:rPr>
      </w:pPr>
      <w:r w:rsidRPr="003A30A5">
        <w:rPr>
          <w:rFonts w:eastAsia="Times New Roman" w:cs="Arial"/>
          <w:i/>
          <w:iCs/>
          <w:color w:val="000000"/>
          <w:u w:val="single"/>
          <w:lang w:eastAsia="bg-BG"/>
        </w:rPr>
        <w:t>Хепатобилиарна система</w:t>
      </w:r>
    </w:p>
    <w:p w14:paraId="055FB9AC" w14:textId="77777777" w:rsidR="00431E5F" w:rsidRPr="00431E5F" w:rsidRDefault="003A30A5" w:rsidP="00431E5F">
      <w:pPr>
        <w:rPr>
          <w:rFonts w:eastAsia="Times New Roman" w:cs="Arial"/>
          <w:lang w:eastAsia="bg-BG"/>
        </w:rPr>
      </w:pPr>
      <w:r w:rsidRPr="00431E5F">
        <w:rPr>
          <w:rFonts w:eastAsia="Times New Roman" w:cs="Arial"/>
          <w:color w:val="000000"/>
          <w:lang w:eastAsia="bg-BG"/>
        </w:rPr>
        <w:t>Има съобщения за случаи на чернодробна некроза и животозастрашаваща чернодробна</w:t>
      </w:r>
      <w:r w:rsidR="00431E5F" w:rsidRPr="00431E5F">
        <w:rPr>
          <w:rFonts w:eastAsia="Times New Roman" w:cs="Arial"/>
          <w:color w:val="000000"/>
          <w:lang w:val="en-US" w:eastAsia="bg-BG"/>
        </w:rPr>
        <w:t xml:space="preserve"> </w:t>
      </w:r>
      <w:r w:rsidR="00431E5F" w:rsidRPr="00431E5F">
        <w:rPr>
          <w:rFonts w:eastAsia="Times New Roman" w:cs="Arial"/>
          <w:color w:val="000000"/>
          <w:lang w:eastAsia="bg-BG"/>
        </w:rPr>
        <w:t>недостатъчност при лечение с ципрофлоксацин (вж. точка 4.8). Лечението трябва да бъде прекратено при поява на каквито и да било белези и симптоми на чернодробно заболяване (като анорексия, иктер, тъмна урина, сърбеж или болезненост на корема).</w:t>
      </w:r>
    </w:p>
    <w:p w14:paraId="18EAEE84" w14:textId="77777777" w:rsidR="00431E5F" w:rsidRPr="00431E5F" w:rsidRDefault="00431E5F" w:rsidP="00431E5F">
      <w:pPr>
        <w:spacing w:line="240" w:lineRule="auto"/>
        <w:rPr>
          <w:rFonts w:eastAsia="Times New Roman" w:cs="Arial"/>
          <w:i/>
          <w:iCs/>
          <w:color w:val="000000"/>
          <w:u w:val="single"/>
          <w:lang w:eastAsia="bg-BG"/>
        </w:rPr>
      </w:pPr>
    </w:p>
    <w:p w14:paraId="4462C1D8" w14:textId="5E2DAA4B"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Дефицит на глюкозо-6-фосфат дехидрогеназа</w:t>
      </w:r>
    </w:p>
    <w:p w14:paraId="1BB34474"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Съобщавани сахемолитични реакции при прилагането на ципрофлоксацин при пациенти с дефицит на глюкозо-6-фосфат дехидрогеназа. Ципрофлоксацин трябва да се избягва при тези пациенти, освен ако потенциалната полза превишава възможния риск. В този случай потенциалната поява на хемолитична реакция трябва да се мониторира.</w:t>
      </w:r>
    </w:p>
    <w:p w14:paraId="260663C1" w14:textId="77777777" w:rsidR="00431E5F" w:rsidRPr="00431E5F" w:rsidRDefault="00431E5F" w:rsidP="00431E5F">
      <w:pPr>
        <w:spacing w:line="240" w:lineRule="auto"/>
        <w:rPr>
          <w:rFonts w:eastAsia="Times New Roman" w:cs="Arial"/>
          <w:i/>
          <w:iCs/>
          <w:color w:val="000000"/>
          <w:u w:val="single"/>
          <w:lang w:eastAsia="bg-BG"/>
        </w:rPr>
      </w:pPr>
    </w:p>
    <w:p w14:paraId="4755C678" w14:textId="469A3C41"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Резистентност</w:t>
      </w:r>
    </w:p>
    <w:p w14:paraId="40ABC981"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По време или след курса на лечение с ципрофлоксацин може да се изолират бактерии, които показват резистентност към ципрофлоксацин с или без клинично изявена суперинфекция. Може да има особен риск от развитие на ципрофлоксацин-резистентни бактерии при удължаване на времето на лечение и когато се лекуват нозокомиални инфекции и/или инфекции, причинени от </w:t>
      </w:r>
      <w:r w:rsidRPr="00431E5F">
        <w:rPr>
          <w:rFonts w:eastAsia="Times New Roman" w:cs="Arial"/>
          <w:i/>
          <w:iCs/>
          <w:color w:val="000000"/>
          <w:lang w:val="en-US"/>
        </w:rPr>
        <w:t>Staphylococcus</w:t>
      </w:r>
      <w:r w:rsidRPr="00431E5F">
        <w:rPr>
          <w:rFonts w:eastAsia="Times New Roman" w:cs="Arial"/>
          <w:color w:val="000000"/>
          <w:lang w:val="en-US"/>
        </w:rPr>
        <w:t xml:space="preserve"> </w:t>
      </w:r>
      <w:r w:rsidRPr="00431E5F">
        <w:rPr>
          <w:rFonts w:eastAsia="Times New Roman" w:cs="Arial"/>
          <w:color w:val="000000"/>
          <w:lang w:eastAsia="bg-BG"/>
        </w:rPr>
        <w:t xml:space="preserve">и </w:t>
      </w:r>
      <w:r w:rsidRPr="00431E5F">
        <w:rPr>
          <w:rFonts w:eastAsia="Times New Roman" w:cs="Arial"/>
          <w:i/>
          <w:iCs/>
          <w:color w:val="000000"/>
          <w:lang w:val="en-US"/>
        </w:rPr>
        <w:t>Pseudomonas.</w:t>
      </w:r>
    </w:p>
    <w:p w14:paraId="609289E0" w14:textId="77777777" w:rsidR="00431E5F" w:rsidRPr="00431E5F" w:rsidRDefault="00431E5F" w:rsidP="00431E5F">
      <w:pPr>
        <w:spacing w:line="240" w:lineRule="auto"/>
        <w:rPr>
          <w:rFonts w:eastAsia="Times New Roman" w:cs="Arial"/>
          <w:i/>
          <w:iCs/>
          <w:color w:val="000000"/>
          <w:u w:val="single"/>
          <w:lang w:eastAsia="bg-BG"/>
        </w:rPr>
      </w:pPr>
    </w:p>
    <w:p w14:paraId="195E2086" w14:textId="07CD0DAE"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Цитохром Р450</w:t>
      </w:r>
    </w:p>
    <w:p w14:paraId="4B12732B"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Ципрофлоксацин инхибира С</w:t>
      </w:r>
      <w:r w:rsidRPr="00431E5F">
        <w:rPr>
          <w:rFonts w:eastAsia="Times New Roman" w:cs="Arial"/>
          <w:color w:val="000000"/>
          <w:lang w:val="en-US"/>
        </w:rPr>
        <w:t>YP</w:t>
      </w:r>
      <w:r w:rsidRPr="00431E5F">
        <w:rPr>
          <w:rFonts w:eastAsia="Times New Roman" w:cs="Arial"/>
          <w:color w:val="000000"/>
          <w:lang w:eastAsia="bg-BG"/>
        </w:rPr>
        <w:t>1А2 и по този начин може да доведе до повишаване на серумните концентрации на едновременно прилагани вещества, които също се метаболизират от този ензим (напр. теофилин, клозапин, оланзапин, ропинириол, тизанидин, дулоксетин, агомелатин). Едновременното прилагане на ципрофлоксацин и тизанидин е противопоказано. По тази причина пациентите, приемащи такива вещества едновременно с ципрофлоксацин, трябва да бъдат внимателно мониторирани за клинични симптоми на предозиране и може да се наложи определяне на серумните им концентрации (напр. на теофилин) (вж. точка 4.5).</w:t>
      </w:r>
    </w:p>
    <w:p w14:paraId="1AD7FF32" w14:textId="77777777" w:rsidR="00431E5F" w:rsidRPr="00431E5F" w:rsidRDefault="00431E5F" w:rsidP="00431E5F">
      <w:pPr>
        <w:spacing w:line="240" w:lineRule="auto"/>
        <w:rPr>
          <w:rFonts w:eastAsia="Times New Roman" w:cs="Arial"/>
          <w:i/>
          <w:iCs/>
          <w:color w:val="000000"/>
          <w:u w:val="single"/>
          <w:lang w:eastAsia="bg-BG"/>
        </w:rPr>
      </w:pPr>
    </w:p>
    <w:p w14:paraId="1DD92532" w14:textId="70C04305"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Метотрексат</w:t>
      </w:r>
    </w:p>
    <w:p w14:paraId="2E74AA35"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Не се препоръчва едновременното прилагане на ципрофлоксацин и метотрексат (вж. точка 4.5).</w:t>
      </w:r>
    </w:p>
    <w:p w14:paraId="3CC3A771" w14:textId="77777777" w:rsidR="00431E5F" w:rsidRPr="00431E5F" w:rsidRDefault="00431E5F" w:rsidP="00431E5F">
      <w:pPr>
        <w:spacing w:line="240" w:lineRule="auto"/>
        <w:rPr>
          <w:rFonts w:eastAsia="Times New Roman" w:cs="Arial"/>
          <w:i/>
          <w:iCs/>
          <w:color w:val="000000"/>
          <w:u w:val="single"/>
          <w:lang w:eastAsia="bg-BG"/>
        </w:rPr>
      </w:pPr>
    </w:p>
    <w:p w14:paraId="4CB29230" w14:textId="6B65D5B0"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Повлияване на лабораторни изследвания</w:t>
      </w:r>
    </w:p>
    <w:p w14:paraId="799F1A98"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Активността </w:t>
      </w:r>
      <w:r w:rsidRPr="00431E5F">
        <w:rPr>
          <w:rFonts w:eastAsia="Times New Roman" w:cs="Arial"/>
          <w:i/>
          <w:iCs/>
          <w:color w:val="000000"/>
          <w:lang w:val="en-US"/>
        </w:rPr>
        <w:t>in vitro</w:t>
      </w:r>
      <w:r w:rsidRPr="00431E5F">
        <w:rPr>
          <w:rFonts w:eastAsia="Times New Roman" w:cs="Arial"/>
          <w:color w:val="000000"/>
          <w:lang w:val="en-US"/>
        </w:rPr>
        <w:t xml:space="preserve"> </w:t>
      </w:r>
      <w:r w:rsidRPr="00431E5F">
        <w:rPr>
          <w:rFonts w:eastAsia="Times New Roman" w:cs="Arial"/>
          <w:color w:val="000000"/>
          <w:lang w:eastAsia="bg-BG"/>
        </w:rPr>
        <w:t xml:space="preserve">на ципрофлоксацин срещу </w:t>
      </w:r>
      <w:r w:rsidRPr="00431E5F">
        <w:rPr>
          <w:rFonts w:eastAsia="Times New Roman" w:cs="Arial"/>
          <w:i/>
          <w:iCs/>
          <w:color w:val="000000"/>
          <w:lang w:val="en-US"/>
        </w:rPr>
        <w:t>Mycobacterium tuberculosis</w:t>
      </w:r>
      <w:r w:rsidRPr="00431E5F">
        <w:rPr>
          <w:rFonts w:eastAsia="Times New Roman" w:cs="Arial"/>
          <w:color w:val="000000"/>
          <w:lang w:val="en-US"/>
        </w:rPr>
        <w:t xml:space="preserve"> </w:t>
      </w:r>
      <w:r w:rsidRPr="00431E5F">
        <w:rPr>
          <w:rFonts w:eastAsia="Times New Roman" w:cs="Arial"/>
          <w:color w:val="000000"/>
          <w:lang w:eastAsia="bg-BG"/>
        </w:rPr>
        <w:t>може да доведе до фалшиво-отрицателни микробиологични резултати на проби от пациенти, които понастоящем приемат ципрофлоксацин.</w:t>
      </w:r>
    </w:p>
    <w:p w14:paraId="1EA2E5A5" w14:textId="77777777" w:rsidR="00431E5F" w:rsidRPr="00431E5F" w:rsidRDefault="00431E5F" w:rsidP="00431E5F">
      <w:pPr>
        <w:spacing w:line="240" w:lineRule="auto"/>
        <w:rPr>
          <w:rFonts w:eastAsia="Times New Roman" w:cs="Arial"/>
          <w:i/>
          <w:iCs/>
          <w:color w:val="000000"/>
          <w:u w:val="single"/>
          <w:lang w:eastAsia="bg-BG"/>
        </w:rPr>
      </w:pPr>
    </w:p>
    <w:p w14:paraId="67CC2D48" w14:textId="38FB601C"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Зрителни нарушения</w:t>
      </w:r>
    </w:p>
    <w:p w14:paraId="3E7787EF" w14:textId="1EF20AEF" w:rsidR="003A30A5" w:rsidRPr="00431E5F" w:rsidRDefault="00431E5F" w:rsidP="00431E5F">
      <w:pPr>
        <w:spacing w:line="240" w:lineRule="auto"/>
        <w:rPr>
          <w:rFonts w:eastAsia="Times New Roman" w:cs="Arial"/>
          <w:lang w:val="en-US" w:eastAsia="bg-BG"/>
        </w:rPr>
      </w:pPr>
      <w:r w:rsidRPr="00431E5F">
        <w:rPr>
          <w:rFonts w:eastAsia="Times New Roman" w:cs="Arial"/>
          <w:color w:val="000000"/>
          <w:lang w:eastAsia="bg-BG"/>
        </w:rPr>
        <w:t>Ако зрението се наруши или се установят някакви ефекти върху очите, незабавно трябва да се проведе консултация със специалист по очни болести.</w:t>
      </w:r>
    </w:p>
    <w:p w14:paraId="3A969548" w14:textId="77777777" w:rsidR="003A30A5" w:rsidRPr="0091385D" w:rsidRDefault="003A30A5"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9865C04" w14:textId="77777777"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Влияние на други лекарства върху ципрофлоксацин:</w:t>
      </w:r>
    </w:p>
    <w:p w14:paraId="586D8837" w14:textId="77777777" w:rsidR="00431E5F" w:rsidRPr="00431E5F" w:rsidRDefault="00431E5F" w:rsidP="00431E5F">
      <w:pPr>
        <w:spacing w:line="240" w:lineRule="auto"/>
        <w:rPr>
          <w:rFonts w:eastAsia="Times New Roman" w:cs="Arial"/>
          <w:i/>
          <w:iCs/>
          <w:color w:val="000000"/>
          <w:u w:val="single"/>
          <w:lang w:eastAsia="bg-BG"/>
        </w:rPr>
      </w:pPr>
    </w:p>
    <w:p w14:paraId="2284C704" w14:textId="7FED94AC"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lastRenderedPageBreak/>
        <w:t xml:space="preserve">Лекарства, за които е известно, че удължават </w:t>
      </w:r>
      <w:r w:rsidRPr="00431E5F">
        <w:rPr>
          <w:rFonts w:eastAsia="Times New Roman" w:cs="Arial"/>
          <w:i/>
          <w:iCs/>
          <w:color w:val="000000"/>
          <w:u w:val="single"/>
          <w:lang w:val="en-US"/>
        </w:rPr>
        <w:t>QT</w:t>
      </w:r>
      <w:r w:rsidRPr="00431E5F">
        <w:rPr>
          <w:rFonts w:eastAsia="Times New Roman" w:cs="Arial"/>
          <w:i/>
          <w:iCs/>
          <w:color w:val="000000"/>
          <w:u w:val="single"/>
          <w:lang w:eastAsia="bg-BG"/>
        </w:rPr>
        <w:t>-интервала</w:t>
      </w:r>
    </w:p>
    <w:p w14:paraId="5AD3BBD1"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Ципрофлоксацин, подобно на другите флуорохинолони, трябва да се използва с повишено внимание при пациенти, получаващи лекарства, за които е известно, че удължават </w:t>
      </w:r>
      <w:r w:rsidRPr="00431E5F">
        <w:rPr>
          <w:rFonts w:eastAsia="Times New Roman" w:cs="Arial"/>
          <w:color w:val="000000"/>
          <w:lang w:val="en-US"/>
        </w:rPr>
        <w:t>QT</w:t>
      </w:r>
      <w:r w:rsidRPr="00431E5F">
        <w:rPr>
          <w:rFonts w:eastAsia="Times New Roman" w:cs="Arial"/>
          <w:color w:val="000000"/>
          <w:lang w:eastAsia="bg-BG"/>
        </w:rPr>
        <w:t xml:space="preserve">- интервала (напр. клас </w:t>
      </w:r>
      <w:r w:rsidRPr="00431E5F">
        <w:rPr>
          <w:rFonts w:eastAsia="Times New Roman" w:cs="Arial"/>
          <w:color w:val="000000"/>
          <w:lang w:val="en-US"/>
        </w:rPr>
        <w:t xml:space="preserve">IA </w:t>
      </w:r>
      <w:r w:rsidRPr="00431E5F">
        <w:rPr>
          <w:rFonts w:eastAsia="Times New Roman" w:cs="Arial"/>
          <w:color w:val="000000"/>
          <w:lang w:eastAsia="bg-BG"/>
        </w:rPr>
        <w:t>и III антиаритмици, трициклични антидепресанти, макролиди, антипсихотици) (вж. точка 4.4).</w:t>
      </w:r>
    </w:p>
    <w:p w14:paraId="14E713C1" w14:textId="77777777" w:rsidR="00431E5F" w:rsidRPr="00431E5F" w:rsidRDefault="00431E5F" w:rsidP="00431E5F">
      <w:pPr>
        <w:spacing w:line="240" w:lineRule="auto"/>
        <w:rPr>
          <w:rFonts w:eastAsia="Times New Roman" w:cs="Arial"/>
          <w:i/>
          <w:iCs/>
          <w:color w:val="000000"/>
          <w:u w:val="single"/>
          <w:lang w:eastAsia="bg-BG"/>
        </w:rPr>
      </w:pPr>
    </w:p>
    <w:p w14:paraId="07D93930" w14:textId="77F5345F"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Образуване на хелатни комплекси</w:t>
      </w:r>
    </w:p>
    <w:p w14:paraId="172AE819" w14:textId="3373AE5F" w:rsidR="0091385D" w:rsidRPr="00431E5F" w:rsidRDefault="00431E5F" w:rsidP="00431E5F">
      <w:pPr>
        <w:rPr>
          <w:rFonts w:cs="Arial"/>
        </w:rPr>
      </w:pPr>
      <w:r w:rsidRPr="00431E5F">
        <w:rPr>
          <w:rFonts w:eastAsia="Times New Roman" w:cs="Arial"/>
          <w:color w:val="000000"/>
          <w:lang w:eastAsia="bg-BG"/>
        </w:rPr>
        <w:t xml:space="preserve">Едновременното прилагане на ципрофлоксацин (перорално) и многовалентни катионсъдържащи лекарства и минерални добавки (напр. калций, магнезий, алуминий, желязо), фосфатсвързващи полимери (напр. севеламер или лантанов карбонат), сукралфат или антиацидни средства, силно буферирани лекарства (напр. таблетки диданозин), които съдържат магнезий, алуминий или калций, намаляват абсорбцията на ципрофлоксацин. По тази причина ципрофлоксацин трябва да се прилага или 1 - 2 часа преди, или поне 4 часа след тези продукти. Това ограничение не се отнася за антиацидни средства от групата на </w:t>
      </w:r>
      <w:r w:rsidRPr="00431E5F">
        <w:rPr>
          <w:rFonts w:eastAsia="Times New Roman" w:cs="Arial"/>
          <w:color w:val="000000"/>
          <w:lang w:val="en-US"/>
        </w:rPr>
        <w:t>H2-</w:t>
      </w:r>
      <w:r w:rsidRPr="00431E5F">
        <w:rPr>
          <w:rFonts w:eastAsia="Times New Roman" w:cs="Arial"/>
          <w:color w:val="000000"/>
          <w:lang w:eastAsia="bg-BG"/>
        </w:rPr>
        <w:t>рецепторните блокери.</w:t>
      </w:r>
    </w:p>
    <w:p w14:paraId="5B2761C5" w14:textId="7D0F7806" w:rsidR="0091385D" w:rsidRPr="00431E5F" w:rsidRDefault="0091385D" w:rsidP="0091385D">
      <w:pPr>
        <w:rPr>
          <w:rFonts w:cs="Arial"/>
        </w:rPr>
      </w:pPr>
    </w:p>
    <w:p w14:paraId="55D453A4" w14:textId="77777777"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Храна и млечни продукти</w:t>
      </w:r>
    </w:p>
    <w:p w14:paraId="4D99A38D"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Калцият, съдържащ се в храните, не повлиява значимо абсорбцията. Трябва обаче да се избягва едновременният прием само на млечни продукти или обогатени на минерали напитки (напр. прясно мляко, кисело мляко, обогатен на калций портокалов сок) заедно с ципрофлоксацин, защото те могат да намалят абсорбцията на ципрофлоксацин.</w:t>
      </w:r>
    </w:p>
    <w:p w14:paraId="331AB4BE" w14:textId="77777777" w:rsidR="00431E5F" w:rsidRPr="00431E5F" w:rsidRDefault="00431E5F" w:rsidP="00431E5F">
      <w:pPr>
        <w:spacing w:line="240" w:lineRule="auto"/>
        <w:rPr>
          <w:rFonts w:eastAsia="Times New Roman" w:cs="Arial"/>
          <w:i/>
          <w:iCs/>
          <w:color w:val="000000"/>
          <w:u w:val="single"/>
          <w:lang w:eastAsia="bg-BG"/>
        </w:rPr>
      </w:pPr>
    </w:p>
    <w:p w14:paraId="1A24446C" w14:textId="47E18E3E"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Пробенецид</w:t>
      </w:r>
    </w:p>
    <w:p w14:paraId="7C61A1CC"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Пробенецид повлиява бъбречната секреция на ципрофлоксацин. Едновременното прилагане на пробенецид и ципрофлоксацин води до повишаване на серумната концентрация на ципрофлоксацин.</w:t>
      </w:r>
    </w:p>
    <w:p w14:paraId="26669151" w14:textId="77777777" w:rsidR="00431E5F" w:rsidRPr="00431E5F" w:rsidRDefault="00431E5F" w:rsidP="00431E5F">
      <w:pPr>
        <w:spacing w:line="240" w:lineRule="auto"/>
        <w:rPr>
          <w:rFonts w:eastAsia="Times New Roman" w:cs="Arial"/>
          <w:i/>
          <w:iCs/>
          <w:color w:val="000000"/>
          <w:u w:val="single"/>
          <w:lang w:eastAsia="bg-BG"/>
        </w:rPr>
      </w:pPr>
    </w:p>
    <w:p w14:paraId="488902A6" w14:textId="3A108261"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Метоклопрамид</w:t>
      </w:r>
    </w:p>
    <w:p w14:paraId="4B3777BD"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Метоклопрамид ускорява абсорбцията на ципрофлоксацин (перорален), което води до скъсяване на времето за достигане на максимална плазмена концентрация. Не се наблюдава въздействие върху бионаличността на ципрофлоксацин.</w:t>
      </w:r>
    </w:p>
    <w:p w14:paraId="1E6C4144" w14:textId="77777777" w:rsidR="00431E5F" w:rsidRPr="00431E5F" w:rsidRDefault="00431E5F" w:rsidP="00431E5F">
      <w:pPr>
        <w:spacing w:line="240" w:lineRule="auto"/>
        <w:rPr>
          <w:rFonts w:eastAsia="Times New Roman" w:cs="Arial"/>
          <w:i/>
          <w:iCs/>
          <w:color w:val="000000"/>
          <w:u w:val="single"/>
          <w:lang w:eastAsia="bg-BG"/>
        </w:rPr>
      </w:pPr>
    </w:p>
    <w:p w14:paraId="29F97AE8" w14:textId="2BFCDB0D"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Омепразол</w:t>
      </w:r>
    </w:p>
    <w:p w14:paraId="62ECE9AD"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Едновременното прилагане на ципрофлоксацин и омепразол-съдържащи лекарствени продукти води до незначително понижаване на С</w:t>
      </w:r>
      <w:r w:rsidRPr="00431E5F">
        <w:rPr>
          <w:rFonts w:eastAsia="Times New Roman" w:cs="Arial"/>
          <w:color w:val="000000"/>
          <w:vertAlign w:val="subscript"/>
          <w:lang w:val="en-US"/>
        </w:rPr>
        <w:t>max</w:t>
      </w:r>
      <w:r w:rsidRPr="00431E5F">
        <w:rPr>
          <w:rFonts w:eastAsia="Times New Roman" w:cs="Arial"/>
          <w:color w:val="000000"/>
          <w:lang w:eastAsia="bg-BG"/>
        </w:rPr>
        <w:t xml:space="preserve"> и </w:t>
      </w:r>
      <w:r w:rsidRPr="00431E5F">
        <w:rPr>
          <w:rFonts w:eastAsia="Times New Roman" w:cs="Arial"/>
          <w:color w:val="000000"/>
          <w:lang w:val="en-US"/>
        </w:rPr>
        <w:t xml:space="preserve">AUC </w:t>
      </w:r>
      <w:r w:rsidRPr="00431E5F">
        <w:rPr>
          <w:rFonts w:eastAsia="Times New Roman" w:cs="Arial"/>
          <w:color w:val="000000"/>
          <w:lang w:eastAsia="bg-BG"/>
        </w:rPr>
        <w:t>на ципрофлоксацин.</w:t>
      </w:r>
    </w:p>
    <w:p w14:paraId="3B8D04C5" w14:textId="77777777" w:rsidR="00431E5F" w:rsidRPr="00431E5F" w:rsidRDefault="00431E5F" w:rsidP="00431E5F">
      <w:pPr>
        <w:spacing w:line="240" w:lineRule="auto"/>
        <w:rPr>
          <w:rFonts w:eastAsia="Times New Roman" w:cs="Arial"/>
          <w:i/>
          <w:iCs/>
          <w:color w:val="000000"/>
          <w:u w:val="single"/>
          <w:lang w:eastAsia="bg-BG"/>
        </w:rPr>
      </w:pPr>
    </w:p>
    <w:p w14:paraId="35CD720E" w14:textId="7D4E2FCF"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Ефекти на ципрофлоксацин върху други лекарствени продукти:</w:t>
      </w:r>
    </w:p>
    <w:p w14:paraId="36873D7A" w14:textId="77777777" w:rsidR="00431E5F" w:rsidRPr="00431E5F" w:rsidRDefault="00431E5F" w:rsidP="00431E5F">
      <w:pPr>
        <w:spacing w:line="240" w:lineRule="auto"/>
        <w:rPr>
          <w:rFonts w:eastAsia="Times New Roman" w:cs="Arial"/>
          <w:i/>
          <w:iCs/>
          <w:color w:val="000000"/>
          <w:u w:val="single"/>
          <w:lang w:eastAsia="bg-BG"/>
        </w:rPr>
      </w:pPr>
    </w:p>
    <w:p w14:paraId="259D659E" w14:textId="35772305"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Тизанидин</w:t>
      </w:r>
    </w:p>
    <w:p w14:paraId="225032C5"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Тизанидин не трябва да се прилага едновременно с ципрофлоксацин (вж. точка 4.3). При едно клинично проучване върху здрави индивиди е установено повишаване на серумната концентрация на тизанидин (повишаване на С</w:t>
      </w:r>
      <w:r w:rsidRPr="00431E5F">
        <w:rPr>
          <w:rFonts w:eastAsia="Times New Roman" w:cs="Arial"/>
          <w:color w:val="000000"/>
          <w:vertAlign w:val="subscript"/>
          <w:lang w:val="en-US"/>
        </w:rPr>
        <w:t>max</w:t>
      </w:r>
      <w:r w:rsidRPr="00431E5F">
        <w:rPr>
          <w:rFonts w:eastAsia="Times New Roman" w:cs="Arial"/>
          <w:color w:val="000000"/>
          <w:lang w:eastAsia="bg-BG"/>
        </w:rPr>
        <w:t xml:space="preserve">: 7 пъти, интервал: 4 до 21 пъти; увеличаване на </w:t>
      </w:r>
      <w:r w:rsidRPr="00431E5F">
        <w:rPr>
          <w:rFonts w:eastAsia="Times New Roman" w:cs="Arial"/>
          <w:color w:val="000000"/>
          <w:lang w:val="en-US"/>
        </w:rPr>
        <w:t xml:space="preserve">AUC: </w:t>
      </w:r>
      <w:r w:rsidRPr="00431E5F">
        <w:rPr>
          <w:rFonts w:eastAsia="Times New Roman" w:cs="Arial"/>
          <w:color w:val="000000"/>
          <w:lang w:eastAsia="bg-BG"/>
        </w:rPr>
        <w:t>10 пъти, интервал: 6 до 24 пъти) при едновременно прилагане с ципрофлоксацин. Повишената серумна концентрация на тизанидин е свързана със засилен хипотензивен и седативен ефект.</w:t>
      </w:r>
    </w:p>
    <w:p w14:paraId="701374DD" w14:textId="77777777" w:rsidR="00431E5F" w:rsidRPr="00431E5F" w:rsidRDefault="00431E5F" w:rsidP="00431E5F">
      <w:pPr>
        <w:spacing w:line="240" w:lineRule="auto"/>
        <w:rPr>
          <w:rFonts w:eastAsia="Times New Roman" w:cs="Arial"/>
          <w:i/>
          <w:iCs/>
          <w:color w:val="000000"/>
          <w:u w:val="single"/>
          <w:lang w:eastAsia="bg-BG"/>
        </w:rPr>
      </w:pPr>
    </w:p>
    <w:p w14:paraId="79B87745" w14:textId="615AB660"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Метотрексат</w:t>
      </w:r>
    </w:p>
    <w:p w14:paraId="34C48BC0"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Бъбречният тубулен транспорт на метотрексат може да бъде потиснат при едновременно прилагане на ципрофлоксацин, което потенциално води до повишени плазмени нива на </w:t>
      </w:r>
      <w:r w:rsidRPr="00431E5F">
        <w:rPr>
          <w:rFonts w:eastAsia="Times New Roman" w:cs="Arial"/>
          <w:color w:val="000000"/>
          <w:lang w:eastAsia="bg-BG"/>
        </w:rPr>
        <w:lastRenderedPageBreak/>
        <w:t>метотрексат и повишен риск от токсични реакции, свързани с метотрексат. Едновременното използване не се препоръчва (вж. точка 4.4).</w:t>
      </w:r>
    </w:p>
    <w:p w14:paraId="28585FAA" w14:textId="77777777" w:rsidR="00431E5F" w:rsidRPr="00431E5F" w:rsidRDefault="00431E5F" w:rsidP="00431E5F">
      <w:pPr>
        <w:spacing w:line="240" w:lineRule="auto"/>
        <w:rPr>
          <w:rFonts w:eastAsia="Times New Roman" w:cs="Arial"/>
          <w:i/>
          <w:iCs/>
          <w:color w:val="000000"/>
          <w:u w:val="single"/>
          <w:lang w:eastAsia="bg-BG"/>
        </w:rPr>
      </w:pPr>
    </w:p>
    <w:p w14:paraId="73321DFD" w14:textId="305E2FB1"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Теофилин</w:t>
      </w:r>
    </w:p>
    <w:p w14:paraId="64B5598F"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Едновременното прилагане на ципрофлоксацин и теофилин може да доведе до нежелано повишаване на серумната концентрация на теофилин. Това може да доведе до нежелани реакции, свързани с теофилин, като в редки случаи е възможно те да са животозастрашаващи или фатални. По време на едновременната употреба серумните концентрации на теофилина трябва да се проверяват и ако е необходимо, дозата да се редуцира (вж. точка 4.4).</w:t>
      </w:r>
    </w:p>
    <w:p w14:paraId="02D13EAD" w14:textId="77777777" w:rsidR="00431E5F" w:rsidRPr="00431E5F" w:rsidRDefault="00431E5F" w:rsidP="00431E5F">
      <w:pPr>
        <w:spacing w:line="240" w:lineRule="auto"/>
        <w:rPr>
          <w:rFonts w:eastAsia="Times New Roman" w:cs="Arial"/>
          <w:i/>
          <w:iCs/>
          <w:color w:val="000000"/>
          <w:u w:val="single"/>
          <w:lang w:eastAsia="bg-BG"/>
        </w:rPr>
      </w:pPr>
    </w:p>
    <w:p w14:paraId="1C39BD76" w14:textId="2C8B9B4A"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Други ксантинови производни</w:t>
      </w:r>
    </w:p>
    <w:p w14:paraId="6E260AAB"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При едновременното прилагане на ципрофлоксацин и кофеин или пентоксифилин (оксипентифилин) има съобщения за повишени серумни концентрации на тези ксантинови производни.</w:t>
      </w:r>
    </w:p>
    <w:p w14:paraId="06F2D2BF" w14:textId="77777777" w:rsidR="00431E5F" w:rsidRPr="00431E5F" w:rsidRDefault="00431E5F" w:rsidP="00431E5F">
      <w:pPr>
        <w:spacing w:line="240" w:lineRule="auto"/>
        <w:rPr>
          <w:rFonts w:eastAsia="Times New Roman" w:cs="Arial"/>
          <w:i/>
          <w:iCs/>
          <w:color w:val="000000"/>
          <w:u w:val="single"/>
          <w:lang w:eastAsia="bg-BG"/>
        </w:rPr>
      </w:pPr>
    </w:p>
    <w:p w14:paraId="447421CE" w14:textId="0968723A"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Фенитоин</w:t>
      </w:r>
    </w:p>
    <w:p w14:paraId="3641B407"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Едновременното прилагане на ципрофлоксацин и фенитоин може да доведе до повишени или понижени серумни нива на фенитоин, поради което се препоръчва мониториране на лекарствените нива.</w:t>
      </w:r>
    </w:p>
    <w:p w14:paraId="0238C4BD" w14:textId="77777777" w:rsidR="00431E5F" w:rsidRPr="00431E5F" w:rsidRDefault="00431E5F" w:rsidP="00431E5F">
      <w:pPr>
        <w:spacing w:line="240" w:lineRule="auto"/>
        <w:rPr>
          <w:rFonts w:eastAsia="Times New Roman" w:cs="Arial"/>
          <w:i/>
          <w:iCs/>
          <w:color w:val="000000"/>
          <w:u w:val="single"/>
          <w:lang w:eastAsia="bg-BG"/>
        </w:rPr>
      </w:pPr>
    </w:p>
    <w:p w14:paraId="11A4425E" w14:textId="1DC74F45"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Циклоспорин</w:t>
      </w:r>
    </w:p>
    <w:p w14:paraId="1D6C5605" w14:textId="77777777" w:rsidR="00431E5F" w:rsidRPr="00431E5F" w:rsidRDefault="00431E5F" w:rsidP="00431E5F">
      <w:pPr>
        <w:rPr>
          <w:rFonts w:eastAsia="Times New Roman" w:cs="Arial"/>
          <w:lang w:eastAsia="bg-BG"/>
        </w:rPr>
      </w:pPr>
      <w:r w:rsidRPr="00431E5F">
        <w:rPr>
          <w:rFonts w:eastAsia="Times New Roman" w:cs="Arial"/>
          <w:color w:val="000000"/>
          <w:lang w:eastAsia="bg-BG"/>
        </w:rPr>
        <w:t>Преходно повишаване на концентрацията на серумния креатинин е наблюдавано при едновременното приложение на ципрофлоксацин и циклоспоринсъдържащи лекарствени</w:t>
      </w:r>
      <w:r w:rsidRPr="00431E5F">
        <w:rPr>
          <w:rFonts w:eastAsia="Times New Roman" w:cs="Arial"/>
          <w:color w:val="000000"/>
          <w:lang w:val="en-US" w:eastAsia="bg-BG"/>
        </w:rPr>
        <w:t xml:space="preserve"> </w:t>
      </w:r>
      <w:r w:rsidRPr="00431E5F">
        <w:rPr>
          <w:rFonts w:eastAsia="Times New Roman" w:cs="Arial"/>
          <w:color w:val="000000"/>
          <w:lang w:eastAsia="bg-BG"/>
        </w:rPr>
        <w:t>продукти. Поради това е необходимо често (два пъти седмично) да се контролират концентрациите на серумния креатинин при тези пациенти.</w:t>
      </w:r>
    </w:p>
    <w:p w14:paraId="30B5C431" w14:textId="77777777" w:rsidR="00431E5F" w:rsidRPr="00431E5F" w:rsidRDefault="00431E5F" w:rsidP="00431E5F">
      <w:pPr>
        <w:spacing w:line="240" w:lineRule="auto"/>
        <w:rPr>
          <w:rFonts w:eastAsia="Times New Roman" w:cs="Arial"/>
          <w:i/>
          <w:iCs/>
          <w:color w:val="000000"/>
          <w:u w:val="single"/>
          <w:lang w:eastAsia="bg-BG"/>
        </w:rPr>
      </w:pPr>
    </w:p>
    <w:p w14:paraId="602CBA48" w14:textId="17C6624C"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Антагонисти на витамин К</w:t>
      </w:r>
    </w:p>
    <w:p w14:paraId="2EF34C66"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Едновременното прилагане на ципрофлоксацин с антагонисти на витамин К може да увеличи неговите антикоагулиращи ефекти. Рискът може да варира в зависимост от подлежащата инфекция, възрастта и общото състояние на пациента, така че приносът на ципрофлоксацин за увеличение на </w:t>
      </w:r>
      <w:r w:rsidRPr="00431E5F">
        <w:rPr>
          <w:rFonts w:eastAsia="Times New Roman" w:cs="Arial"/>
          <w:color w:val="000000"/>
          <w:lang w:val="en-US"/>
        </w:rPr>
        <w:t xml:space="preserve">1NR </w:t>
      </w:r>
      <w:r w:rsidRPr="00431E5F">
        <w:rPr>
          <w:rFonts w:eastAsia="Times New Roman" w:cs="Arial"/>
          <w:color w:val="000000"/>
          <w:lang w:eastAsia="bg-BG"/>
        </w:rPr>
        <w:t xml:space="preserve">(международно нормализирано съотношение) е трудно да се прецени. </w:t>
      </w:r>
      <w:r w:rsidRPr="00431E5F">
        <w:rPr>
          <w:rFonts w:eastAsia="Times New Roman" w:cs="Arial"/>
          <w:color w:val="000000"/>
          <w:lang w:val="en-US"/>
        </w:rPr>
        <w:t xml:space="preserve">INR </w:t>
      </w:r>
      <w:r w:rsidRPr="00431E5F">
        <w:rPr>
          <w:rFonts w:eastAsia="Times New Roman" w:cs="Arial"/>
          <w:color w:val="000000"/>
          <w:lang w:eastAsia="bg-BG"/>
        </w:rPr>
        <w:t>трябва да се наблюдава често по време и непосредствено след едновременното прилагане на ципрофлоксацин с антагонисти на витамин К (напр. варфарин, аценокумарол, фенпрокумон или флуиндион).</w:t>
      </w:r>
    </w:p>
    <w:p w14:paraId="11F24ED1" w14:textId="77777777" w:rsidR="00431E5F" w:rsidRPr="00431E5F" w:rsidRDefault="00431E5F" w:rsidP="00431E5F">
      <w:pPr>
        <w:spacing w:line="240" w:lineRule="auto"/>
        <w:rPr>
          <w:rFonts w:eastAsia="Times New Roman" w:cs="Arial"/>
          <w:i/>
          <w:iCs/>
          <w:color w:val="000000"/>
          <w:u w:val="single"/>
          <w:lang w:eastAsia="bg-BG"/>
        </w:rPr>
      </w:pPr>
    </w:p>
    <w:p w14:paraId="46C6C2A4" w14:textId="055B12F1"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Дулоксетин</w:t>
      </w:r>
    </w:p>
    <w:p w14:paraId="5225E265"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В клинични проучвания е доказано, че едновременната употреба на дулоксетин с мощни инхибитори на изоензима </w:t>
      </w:r>
      <w:r w:rsidRPr="00431E5F">
        <w:rPr>
          <w:rFonts w:eastAsia="Times New Roman" w:cs="Arial"/>
          <w:color w:val="000000"/>
          <w:lang w:val="en-US"/>
        </w:rPr>
        <w:t xml:space="preserve">CYP450 </w:t>
      </w:r>
      <w:r w:rsidRPr="00431E5F">
        <w:rPr>
          <w:rFonts w:eastAsia="Times New Roman" w:cs="Arial"/>
          <w:color w:val="000000"/>
          <w:lang w:eastAsia="bg-BG"/>
        </w:rPr>
        <w:t xml:space="preserve">1А2 като флувоксамин може да доведе до повишаване на </w:t>
      </w:r>
      <w:r w:rsidRPr="00431E5F">
        <w:rPr>
          <w:rFonts w:eastAsia="Times New Roman" w:cs="Arial"/>
          <w:color w:val="000000"/>
          <w:lang w:val="en-US"/>
        </w:rPr>
        <w:t xml:space="preserve">AUC </w:t>
      </w:r>
      <w:r w:rsidRPr="00431E5F">
        <w:rPr>
          <w:rFonts w:eastAsia="Times New Roman" w:cs="Arial"/>
          <w:color w:val="000000"/>
          <w:lang w:eastAsia="bg-BG"/>
        </w:rPr>
        <w:t>и С</w:t>
      </w:r>
      <w:r w:rsidRPr="00431E5F">
        <w:rPr>
          <w:rFonts w:eastAsia="Times New Roman" w:cs="Arial"/>
          <w:color w:val="000000"/>
          <w:vertAlign w:val="subscript"/>
          <w:lang w:val="en-US"/>
        </w:rPr>
        <w:t>max</w:t>
      </w:r>
      <w:r w:rsidRPr="00431E5F">
        <w:rPr>
          <w:rFonts w:eastAsia="Times New Roman" w:cs="Arial"/>
          <w:color w:val="000000"/>
          <w:lang w:eastAsia="bg-BG"/>
        </w:rPr>
        <w:t xml:space="preserve"> на дулоксетин. Въпреки че няма клинични данни за възможно взаимодействие с ципрофлоксацин, подобни ефекти могат да се очакват при едновременно приложение (вж. точка 4.4).</w:t>
      </w:r>
    </w:p>
    <w:p w14:paraId="23476785" w14:textId="77777777" w:rsidR="00431E5F" w:rsidRPr="00431E5F" w:rsidRDefault="00431E5F" w:rsidP="00431E5F">
      <w:pPr>
        <w:spacing w:line="240" w:lineRule="auto"/>
        <w:rPr>
          <w:rFonts w:eastAsia="Times New Roman" w:cs="Arial"/>
          <w:i/>
          <w:iCs/>
          <w:color w:val="000000"/>
          <w:u w:val="single"/>
          <w:lang w:eastAsia="bg-BG"/>
        </w:rPr>
      </w:pPr>
    </w:p>
    <w:p w14:paraId="126B2E36" w14:textId="1963C348"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Ропинирол</w:t>
      </w:r>
    </w:p>
    <w:p w14:paraId="34D88836"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При едно клинично проучване е установено, че едновременното прилагане на ропинирол и ципрофлоксацин, умерен инхибитор на изоензима </w:t>
      </w:r>
      <w:r w:rsidRPr="00431E5F">
        <w:rPr>
          <w:rFonts w:eastAsia="Times New Roman" w:cs="Arial"/>
          <w:color w:val="000000"/>
          <w:lang w:val="en-US"/>
        </w:rPr>
        <w:t xml:space="preserve">CYP450 </w:t>
      </w:r>
      <w:r w:rsidRPr="00431E5F">
        <w:rPr>
          <w:rFonts w:eastAsia="Times New Roman" w:cs="Arial"/>
          <w:color w:val="000000"/>
          <w:lang w:eastAsia="bg-BG"/>
        </w:rPr>
        <w:t>1А2, води до повишаване на С</w:t>
      </w:r>
      <w:r w:rsidRPr="00431E5F">
        <w:rPr>
          <w:rFonts w:eastAsia="Times New Roman" w:cs="Arial"/>
          <w:color w:val="000000"/>
          <w:vertAlign w:val="subscript"/>
          <w:lang w:val="en-US"/>
        </w:rPr>
        <w:t>m</w:t>
      </w:r>
      <w:r w:rsidRPr="00431E5F">
        <w:rPr>
          <w:rFonts w:eastAsia="Times New Roman" w:cs="Arial"/>
          <w:color w:val="000000"/>
          <w:vertAlign w:val="subscript"/>
          <w:lang w:eastAsia="bg-BG"/>
        </w:rPr>
        <w:t xml:space="preserve">ах </w:t>
      </w:r>
      <w:r w:rsidRPr="00431E5F">
        <w:rPr>
          <w:rFonts w:eastAsia="Times New Roman" w:cs="Arial"/>
          <w:color w:val="000000"/>
          <w:lang w:eastAsia="bg-BG"/>
        </w:rPr>
        <w:t xml:space="preserve">и </w:t>
      </w:r>
      <w:r w:rsidRPr="00431E5F">
        <w:rPr>
          <w:rFonts w:eastAsia="Times New Roman" w:cs="Arial"/>
          <w:color w:val="000000"/>
          <w:lang w:val="en-US"/>
        </w:rPr>
        <w:t xml:space="preserve">AUC </w:t>
      </w:r>
      <w:r w:rsidRPr="00431E5F">
        <w:rPr>
          <w:rFonts w:eastAsia="Times New Roman" w:cs="Arial"/>
          <w:color w:val="000000"/>
          <w:lang w:eastAsia="bg-BG"/>
        </w:rPr>
        <w:t>за ропинирол съответно с 60% и 84%. Препоръчва се мониториране на нежеланите реакции, свързани с ропинирол, и съответно коригиране на дозата по време и непосредствено след едновременното прилагане с ципрофлоксацин (вж. точка 4.4).</w:t>
      </w:r>
    </w:p>
    <w:p w14:paraId="0247D930" w14:textId="77777777" w:rsidR="00431E5F" w:rsidRPr="00431E5F" w:rsidRDefault="00431E5F" w:rsidP="00431E5F">
      <w:pPr>
        <w:spacing w:line="240" w:lineRule="auto"/>
        <w:rPr>
          <w:rFonts w:eastAsia="Times New Roman" w:cs="Arial"/>
          <w:i/>
          <w:iCs/>
          <w:color w:val="000000"/>
          <w:u w:val="single"/>
          <w:lang w:eastAsia="bg-BG"/>
        </w:rPr>
      </w:pPr>
    </w:p>
    <w:p w14:paraId="71EE5B1A" w14:textId="529391A9"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lastRenderedPageBreak/>
        <w:t>Лидокаин</w:t>
      </w:r>
    </w:p>
    <w:p w14:paraId="6029EC54"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Доказано е при здрави индивиди, че едновременната употреба на лидокаин-съдържащи лекарствени продукти с ципрофлоксацин, умерен инхибитор на изоензима </w:t>
      </w:r>
      <w:r w:rsidRPr="00431E5F">
        <w:rPr>
          <w:rFonts w:eastAsia="Times New Roman" w:cs="Arial"/>
          <w:color w:val="000000"/>
          <w:lang w:val="en-US"/>
        </w:rPr>
        <w:t xml:space="preserve">CYP450 </w:t>
      </w:r>
      <w:r w:rsidRPr="00431E5F">
        <w:rPr>
          <w:rFonts w:eastAsia="Times New Roman" w:cs="Arial"/>
          <w:color w:val="000000"/>
          <w:lang w:eastAsia="bg-BG"/>
        </w:rPr>
        <w:t>1А2, намалява клирънса на интравенозен лидокаин с 22%. Въпреки че лечението с лидокаин се понася добре, възможно е едновременното приложение с ципрофлоксацин да е свързано с нежелани реакции, които могат да се дължат на взаимодействие между лекарствата.</w:t>
      </w:r>
    </w:p>
    <w:p w14:paraId="22C09EAA" w14:textId="77777777" w:rsidR="00431E5F" w:rsidRPr="00431E5F" w:rsidRDefault="00431E5F" w:rsidP="00431E5F">
      <w:pPr>
        <w:spacing w:line="240" w:lineRule="auto"/>
        <w:rPr>
          <w:rFonts w:eastAsia="Times New Roman" w:cs="Arial"/>
          <w:i/>
          <w:iCs/>
          <w:color w:val="000000"/>
          <w:u w:val="single"/>
          <w:lang w:eastAsia="bg-BG"/>
        </w:rPr>
      </w:pPr>
    </w:p>
    <w:p w14:paraId="435C4455" w14:textId="38F17920"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Клозапин</w:t>
      </w:r>
    </w:p>
    <w:p w14:paraId="45B64759"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След едновременно прилагане на 250 </w:t>
      </w:r>
      <w:r w:rsidRPr="00431E5F">
        <w:rPr>
          <w:rFonts w:eastAsia="Times New Roman" w:cs="Arial"/>
          <w:color w:val="000000"/>
          <w:lang w:val="en-US"/>
        </w:rPr>
        <w:t xml:space="preserve">mg </w:t>
      </w:r>
      <w:r w:rsidRPr="00431E5F">
        <w:rPr>
          <w:rFonts w:eastAsia="Times New Roman" w:cs="Arial"/>
          <w:color w:val="000000"/>
          <w:lang w:eastAsia="bg-BG"/>
        </w:rPr>
        <w:t xml:space="preserve">ципрофлоксацин с клозапин в продължение на 7 дни, серумните концентрации на клозапин и </w:t>
      </w:r>
      <w:r w:rsidRPr="00431E5F">
        <w:rPr>
          <w:rFonts w:eastAsia="Times New Roman" w:cs="Arial"/>
          <w:color w:val="000000"/>
          <w:lang w:val="en-US"/>
        </w:rPr>
        <w:t>N</w:t>
      </w:r>
      <w:r w:rsidRPr="00431E5F">
        <w:rPr>
          <w:rFonts w:eastAsia="Times New Roman" w:cs="Arial"/>
          <w:color w:val="000000"/>
          <w:lang w:eastAsia="bg-BG"/>
        </w:rPr>
        <w:t>-дезметилклозапин са повишени съответно с 29% и 31 %. Препоръчва се клинично проследяване и съответно коригиране на дозата на клозапин по време и непосредствено след едновременното прилагане с ципрофлоксацин (вж. точка 4.4).</w:t>
      </w:r>
    </w:p>
    <w:p w14:paraId="7F09E05E" w14:textId="77777777" w:rsidR="00431E5F" w:rsidRPr="00431E5F" w:rsidRDefault="00431E5F" w:rsidP="00431E5F">
      <w:pPr>
        <w:spacing w:line="240" w:lineRule="auto"/>
        <w:rPr>
          <w:rFonts w:eastAsia="Times New Roman" w:cs="Arial"/>
          <w:i/>
          <w:iCs/>
          <w:color w:val="000000"/>
          <w:u w:val="single"/>
          <w:lang w:eastAsia="bg-BG"/>
        </w:rPr>
      </w:pPr>
    </w:p>
    <w:p w14:paraId="7CDBEC55" w14:textId="033E1074"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Силденафил</w:t>
      </w:r>
    </w:p>
    <w:p w14:paraId="1C067244"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С</w:t>
      </w:r>
      <w:r w:rsidRPr="00431E5F">
        <w:rPr>
          <w:rFonts w:eastAsia="Times New Roman" w:cs="Arial"/>
          <w:color w:val="000000"/>
          <w:vertAlign w:val="subscript"/>
          <w:lang w:val="en-US"/>
        </w:rPr>
        <w:t>m</w:t>
      </w:r>
      <w:r w:rsidRPr="00431E5F">
        <w:rPr>
          <w:rFonts w:eastAsia="Times New Roman" w:cs="Arial"/>
          <w:color w:val="000000"/>
          <w:vertAlign w:val="subscript"/>
          <w:lang w:eastAsia="bg-BG"/>
        </w:rPr>
        <w:t>ах</w:t>
      </w:r>
      <w:r w:rsidRPr="00431E5F">
        <w:rPr>
          <w:rFonts w:eastAsia="Times New Roman" w:cs="Arial"/>
          <w:color w:val="000000"/>
          <w:lang w:eastAsia="bg-BG"/>
        </w:rPr>
        <w:t xml:space="preserve"> и </w:t>
      </w:r>
      <w:r w:rsidRPr="00431E5F">
        <w:rPr>
          <w:rFonts w:eastAsia="Times New Roman" w:cs="Arial"/>
          <w:color w:val="000000"/>
          <w:lang w:val="en-US"/>
        </w:rPr>
        <w:t xml:space="preserve">AUC </w:t>
      </w:r>
      <w:r w:rsidRPr="00431E5F">
        <w:rPr>
          <w:rFonts w:eastAsia="Times New Roman" w:cs="Arial"/>
          <w:color w:val="000000"/>
          <w:lang w:eastAsia="bg-BG"/>
        </w:rPr>
        <w:t xml:space="preserve">на силденафил са се увеличили близо два пъти при здрави индивиди след като перорална доза от 50 </w:t>
      </w:r>
      <w:r w:rsidRPr="00431E5F">
        <w:rPr>
          <w:rFonts w:eastAsia="Times New Roman" w:cs="Arial"/>
          <w:color w:val="000000"/>
          <w:lang w:val="en-US"/>
        </w:rPr>
        <w:t xml:space="preserve">mg </w:t>
      </w:r>
      <w:r w:rsidRPr="00431E5F">
        <w:rPr>
          <w:rFonts w:eastAsia="Times New Roman" w:cs="Arial"/>
          <w:color w:val="000000"/>
          <w:lang w:eastAsia="bg-BG"/>
        </w:rPr>
        <w:t xml:space="preserve">е прилагана едновременно с 500 </w:t>
      </w:r>
      <w:r w:rsidRPr="00431E5F">
        <w:rPr>
          <w:rFonts w:eastAsia="Times New Roman" w:cs="Arial"/>
          <w:color w:val="000000"/>
          <w:lang w:val="en-US"/>
        </w:rPr>
        <w:t xml:space="preserve">mg </w:t>
      </w:r>
      <w:r w:rsidRPr="00431E5F">
        <w:rPr>
          <w:rFonts w:eastAsia="Times New Roman" w:cs="Arial"/>
          <w:color w:val="000000"/>
          <w:lang w:eastAsia="bg-BG"/>
        </w:rPr>
        <w:t>ципрофлоксацин. Поради това трябва да се отчетат рискът и ползата при едновременното предписване на ципрофлоксацин и силденафил.</w:t>
      </w:r>
    </w:p>
    <w:p w14:paraId="7E93B2C4" w14:textId="77777777" w:rsidR="00431E5F" w:rsidRPr="00431E5F" w:rsidRDefault="00431E5F" w:rsidP="00431E5F">
      <w:pPr>
        <w:spacing w:line="240" w:lineRule="auto"/>
        <w:rPr>
          <w:rFonts w:eastAsia="Times New Roman" w:cs="Arial"/>
          <w:i/>
          <w:iCs/>
          <w:color w:val="000000"/>
          <w:u w:val="single"/>
          <w:lang w:eastAsia="bg-BG"/>
        </w:rPr>
      </w:pPr>
    </w:p>
    <w:p w14:paraId="3E5A5812" w14:textId="5EC31F46"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Агомелатин</w:t>
      </w:r>
    </w:p>
    <w:p w14:paraId="2AF17B50"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В клинични проучвания е доказано, че флувоксамин, като мощен инхибитор на изоензима </w:t>
      </w:r>
      <w:r w:rsidRPr="00431E5F">
        <w:rPr>
          <w:rFonts w:eastAsia="Times New Roman" w:cs="Arial"/>
          <w:color w:val="000000"/>
          <w:lang w:val="en-US"/>
        </w:rPr>
        <w:t xml:space="preserve">CYP450 </w:t>
      </w:r>
      <w:r w:rsidRPr="00431E5F">
        <w:rPr>
          <w:rFonts w:eastAsia="Times New Roman" w:cs="Arial"/>
          <w:color w:val="000000"/>
          <w:lang w:eastAsia="bg-BG"/>
        </w:rPr>
        <w:t xml:space="preserve">1А2, значително потиска метаболизма на агомелатин, което води до увеличение 60 пъти в експозицията на агомелатин. Въпреки че не съществуват клинични данни за възможни взаимодействия с ципрофлоксацин, който е умерен инхибитор на </w:t>
      </w:r>
      <w:r w:rsidRPr="00431E5F">
        <w:rPr>
          <w:rFonts w:eastAsia="Times New Roman" w:cs="Arial"/>
          <w:color w:val="000000"/>
          <w:lang w:val="en-US"/>
        </w:rPr>
        <w:t xml:space="preserve">CYP450 </w:t>
      </w:r>
      <w:r w:rsidRPr="00431E5F">
        <w:rPr>
          <w:rFonts w:eastAsia="Times New Roman" w:cs="Arial"/>
          <w:color w:val="000000"/>
          <w:lang w:eastAsia="bg-BG"/>
        </w:rPr>
        <w:t>1А2, при едновременна употреба с агомелатин могат да възникнат подобни ефекти (виж точка 4.4).</w:t>
      </w:r>
    </w:p>
    <w:p w14:paraId="0E5E9D3E" w14:textId="77777777" w:rsidR="00431E5F" w:rsidRPr="00431E5F" w:rsidRDefault="00431E5F" w:rsidP="00431E5F">
      <w:pPr>
        <w:spacing w:line="240" w:lineRule="auto"/>
        <w:rPr>
          <w:rFonts w:eastAsia="Times New Roman" w:cs="Arial"/>
          <w:i/>
          <w:iCs/>
          <w:color w:val="000000"/>
          <w:u w:val="single"/>
          <w:lang w:eastAsia="bg-BG"/>
        </w:rPr>
      </w:pPr>
    </w:p>
    <w:p w14:paraId="0D147E90" w14:textId="7531B0F5" w:rsidR="00431E5F" w:rsidRPr="00431E5F" w:rsidRDefault="00431E5F" w:rsidP="00431E5F">
      <w:pPr>
        <w:spacing w:line="240" w:lineRule="auto"/>
        <w:rPr>
          <w:rFonts w:eastAsia="Times New Roman" w:cs="Arial"/>
          <w:lang w:eastAsia="bg-BG"/>
        </w:rPr>
      </w:pPr>
      <w:r w:rsidRPr="00431E5F">
        <w:rPr>
          <w:rFonts w:eastAsia="Times New Roman" w:cs="Arial"/>
          <w:i/>
          <w:iCs/>
          <w:color w:val="000000"/>
          <w:u w:val="single"/>
          <w:lang w:eastAsia="bg-BG"/>
        </w:rPr>
        <w:t>Золпидем</w:t>
      </w:r>
    </w:p>
    <w:p w14:paraId="557C7A69" w14:textId="66480D43" w:rsidR="00431E5F" w:rsidRPr="00431E5F" w:rsidRDefault="00431E5F" w:rsidP="00431E5F">
      <w:pPr>
        <w:rPr>
          <w:rFonts w:cs="Arial"/>
          <w:lang w:val="en-US"/>
        </w:rPr>
      </w:pPr>
      <w:r w:rsidRPr="00431E5F">
        <w:rPr>
          <w:rFonts w:eastAsia="Times New Roman" w:cs="Arial"/>
          <w:color w:val="000000"/>
          <w:lang w:eastAsia="bg-BG"/>
        </w:rPr>
        <w:t>Приемът на золпидем заедно с ципрофлоксацин може да увеличи нивото на золпидем в кръвта, поради което едновременната употреба не е препоръчителна.</w:t>
      </w:r>
    </w:p>
    <w:p w14:paraId="3E71F55B" w14:textId="77777777" w:rsidR="00431E5F" w:rsidRPr="0091385D" w:rsidRDefault="00431E5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F2AA5B5" w14:textId="77777777" w:rsidR="00431E5F" w:rsidRPr="00431E5F" w:rsidRDefault="00431E5F" w:rsidP="00431E5F">
      <w:pPr>
        <w:pStyle w:val="Heading3"/>
        <w:rPr>
          <w:rFonts w:eastAsia="Times New Roman"/>
          <w:sz w:val="28"/>
          <w:u w:val="single"/>
          <w:lang w:eastAsia="bg-BG"/>
        </w:rPr>
      </w:pPr>
      <w:r w:rsidRPr="00431E5F">
        <w:rPr>
          <w:rFonts w:eastAsia="Times New Roman"/>
          <w:u w:val="single"/>
          <w:lang w:eastAsia="bg-BG"/>
        </w:rPr>
        <w:t>Бременност</w:t>
      </w:r>
    </w:p>
    <w:p w14:paraId="4223DC35" w14:textId="77777777" w:rsidR="00431E5F" w:rsidRPr="00431E5F" w:rsidRDefault="00431E5F" w:rsidP="00431E5F">
      <w:pPr>
        <w:spacing w:line="240" w:lineRule="auto"/>
        <w:rPr>
          <w:rFonts w:eastAsia="Times New Roman" w:cs="Arial"/>
          <w:sz w:val="28"/>
          <w:szCs w:val="24"/>
          <w:lang w:eastAsia="bg-BG"/>
        </w:rPr>
      </w:pPr>
      <w:r w:rsidRPr="00431E5F">
        <w:rPr>
          <w:rFonts w:eastAsia="Times New Roman" w:cs="Arial"/>
          <w:color w:val="000000"/>
          <w:szCs w:val="20"/>
          <w:lang w:eastAsia="bg-BG"/>
        </w:rPr>
        <w:t>Наличните данни за прилагането на ципрофлоксацин при бременни жени не показват малформации или фето-/неонатална токсичност на ципрофлоксацин. Проучванията при животни не показват директни или индиректни увреждащи ефекти по отношение на репродуктивната токсичност. При млади и при неродени животни с експозиция на хинолони са наблюдавани ефекти върху незрелия хрущял, поради което не може да се изключи възможността лекарството да причини увреждания на ставния хрущял при незавършил развитието си човешки организъм/фетус (вж. точка 5.3).</w:t>
      </w:r>
    </w:p>
    <w:p w14:paraId="3B2959E1" w14:textId="77777777" w:rsidR="00431E5F" w:rsidRPr="00431E5F" w:rsidRDefault="00431E5F" w:rsidP="00431E5F">
      <w:pPr>
        <w:spacing w:line="240" w:lineRule="auto"/>
        <w:rPr>
          <w:rFonts w:eastAsia="Times New Roman" w:cs="Arial"/>
          <w:color w:val="000000"/>
          <w:szCs w:val="20"/>
          <w:lang w:eastAsia="bg-BG"/>
        </w:rPr>
      </w:pPr>
    </w:p>
    <w:p w14:paraId="74C3B3B8" w14:textId="04A4A3B7" w:rsidR="00431E5F" w:rsidRPr="00431E5F" w:rsidRDefault="00431E5F" w:rsidP="00431E5F">
      <w:pPr>
        <w:spacing w:line="240" w:lineRule="auto"/>
        <w:rPr>
          <w:rFonts w:eastAsia="Times New Roman" w:cs="Arial"/>
          <w:sz w:val="28"/>
          <w:szCs w:val="24"/>
          <w:lang w:eastAsia="bg-BG"/>
        </w:rPr>
      </w:pPr>
      <w:r w:rsidRPr="00431E5F">
        <w:rPr>
          <w:rFonts w:eastAsia="Times New Roman" w:cs="Arial"/>
          <w:color w:val="000000"/>
          <w:szCs w:val="20"/>
          <w:lang w:eastAsia="bg-BG"/>
        </w:rPr>
        <w:t>Като предпазна мярка е за предпочитане да се избягва използването на ципрофлоксацин по време на бременност.</w:t>
      </w:r>
    </w:p>
    <w:p w14:paraId="25C7FF94" w14:textId="77777777" w:rsidR="00431E5F" w:rsidRPr="00431E5F" w:rsidRDefault="00431E5F" w:rsidP="00431E5F">
      <w:pPr>
        <w:spacing w:line="240" w:lineRule="auto"/>
        <w:rPr>
          <w:rFonts w:eastAsia="Times New Roman" w:cs="Arial"/>
          <w:color w:val="000000"/>
          <w:szCs w:val="20"/>
          <w:u w:val="single"/>
          <w:lang w:eastAsia="bg-BG"/>
        </w:rPr>
      </w:pPr>
    </w:p>
    <w:p w14:paraId="12D28B37" w14:textId="796B55D0" w:rsidR="00431E5F" w:rsidRPr="00431E5F" w:rsidRDefault="00431E5F" w:rsidP="00431E5F">
      <w:pPr>
        <w:pStyle w:val="Heading3"/>
        <w:rPr>
          <w:rFonts w:eastAsia="Times New Roman"/>
          <w:sz w:val="28"/>
          <w:u w:val="single"/>
          <w:lang w:eastAsia="bg-BG"/>
        </w:rPr>
      </w:pPr>
      <w:r w:rsidRPr="00431E5F">
        <w:rPr>
          <w:rFonts w:eastAsia="Times New Roman"/>
          <w:u w:val="single"/>
          <w:lang w:eastAsia="bg-BG"/>
        </w:rPr>
        <w:lastRenderedPageBreak/>
        <w:t>Кърмене</w:t>
      </w:r>
    </w:p>
    <w:p w14:paraId="776662C5" w14:textId="323369B7" w:rsidR="0091385D" w:rsidRPr="00431E5F" w:rsidRDefault="00431E5F" w:rsidP="00431E5F">
      <w:pPr>
        <w:rPr>
          <w:rFonts w:cs="Arial"/>
          <w:sz w:val="24"/>
        </w:rPr>
      </w:pPr>
      <w:r w:rsidRPr="00431E5F">
        <w:rPr>
          <w:rFonts w:eastAsia="Times New Roman" w:cs="Arial"/>
          <w:color w:val="000000"/>
          <w:szCs w:val="20"/>
          <w:lang w:eastAsia="bg-BG"/>
        </w:rPr>
        <w:t>Ципрофлоксацин се екскретира в кърмата. Поради потенциалния риск от увреждане на ставния хрущял, ципрофлоксацин не трябва да се използва по време на кърмене.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3D506B3C" w:rsidR="0091385D" w:rsidRPr="00431E5F" w:rsidRDefault="00431E5F" w:rsidP="0091385D">
      <w:pPr>
        <w:rPr>
          <w:rFonts w:cs="Arial"/>
          <w:sz w:val="24"/>
        </w:rPr>
      </w:pPr>
      <w:r w:rsidRPr="00431E5F">
        <w:rPr>
          <w:rFonts w:cs="Arial"/>
          <w:szCs w:val="20"/>
        </w:rPr>
        <w:t>Поради неврологичните си ефекти ципрофлоксацин може да повлияе времето за реакция. По тази причина способността за шофиране и работа с машини може да е нарушена.</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95BFFBD" w14:textId="77777777" w:rsidR="00431E5F" w:rsidRPr="00431E5F" w:rsidRDefault="00431E5F" w:rsidP="00431E5F">
      <w:pPr>
        <w:spacing w:line="240" w:lineRule="auto"/>
        <w:rPr>
          <w:rFonts w:eastAsia="Times New Roman" w:cs="Arial"/>
          <w:sz w:val="28"/>
          <w:szCs w:val="24"/>
          <w:lang w:eastAsia="bg-BG"/>
        </w:rPr>
      </w:pPr>
      <w:r w:rsidRPr="00431E5F">
        <w:rPr>
          <w:rFonts w:eastAsia="Times New Roman" w:cs="Arial"/>
          <w:color w:val="000000"/>
          <w:szCs w:val="20"/>
          <w:lang w:eastAsia="bg-BG"/>
        </w:rPr>
        <w:t>Най-често съобщаваните нежелани лекарствени реакции (НЛР) са гадене и диария.</w:t>
      </w:r>
    </w:p>
    <w:p w14:paraId="309F88AF" w14:textId="77777777" w:rsidR="00431E5F" w:rsidRPr="00431E5F" w:rsidRDefault="00431E5F" w:rsidP="00431E5F">
      <w:pPr>
        <w:rPr>
          <w:rFonts w:eastAsia="Times New Roman" w:cs="Arial"/>
          <w:color w:val="000000"/>
          <w:szCs w:val="20"/>
          <w:lang w:eastAsia="bg-BG"/>
        </w:rPr>
      </w:pPr>
    </w:p>
    <w:p w14:paraId="570508C4" w14:textId="4A40BD00" w:rsidR="0091385D" w:rsidRPr="00431E5F" w:rsidRDefault="00431E5F" w:rsidP="00431E5F">
      <w:pPr>
        <w:rPr>
          <w:rFonts w:cs="Arial"/>
          <w:sz w:val="24"/>
        </w:rPr>
      </w:pPr>
      <w:r w:rsidRPr="00431E5F">
        <w:rPr>
          <w:rFonts w:eastAsia="Times New Roman" w:cs="Arial"/>
          <w:color w:val="000000"/>
          <w:szCs w:val="20"/>
          <w:lang w:eastAsia="bg-BG"/>
        </w:rPr>
        <w:t>По-долу са представени данните за НЛР за ципрофлоксацин от клиничните проучвания и постмаркетинговото наблюдение (перорална, интравенозна и секвенциална терапия), подредени по честота. Анализът на честотата включва данните за перорално и интравенозно приложение на ципрофлоксацин.</w:t>
      </w:r>
    </w:p>
    <w:p w14:paraId="43E3C48F" w14:textId="734B79B0" w:rsidR="0091385D" w:rsidRDefault="0091385D" w:rsidP="0091385D"/>
    <w:tbl>
      <w:tblPr>
        <w:tblStyle w:val="TableGrid"/>
        <w:tblW w:w="0" w:type="auto"/>
        <w:tblLook w:val="04A0" w:firstRow="1" w:lastRow="0" w:firstColumn="1" w:lastColumn="0" w:noHBand="0" w:noVBand="1"/>
      </w:tblPr>
      <w:tblGrid>
        <w:gridCol w:w="1701"/>
        <w:gridCol w:w="901"/>
        <w:gridCol w:w="1659"/>
        <w:gridCol w:w="1890"/>
        <w:gridCol w:w="1825"/>
        <w:gridCol w:w="1600"/>
      </w:tblGrid>
      <w:tr w:rsidR="00431E5F" w14:paraId="19C9FA6F" w14:textId="77777777" w:rsidTr="00431E5F">
        <w:tc>
          <w:tcPr>
            <w:tcW w:w="1702" w:type="dxa"/>
          </w:tcPr>
          <w:p w14:paraId="1D5D0CBD" w14:textId="1E060980" w:rsidR="00431E5F" w:rsidRPr="00D92520" w:rsidRDefault="00431E5F" w:rsidP="00431E5F">
            <w:pPr>
              <w:rPr>
                <w:rFonts w:cs="Arial"/>
              </w:rPr>
            </w:pPr>
            <w:r w:rsidRPr="00D92520">
              <w:rPr>
                <w:rFonts w:cs="Arial"/>
                <w:b/>
                <w:bCs/>
              </w:rPr>
              <w:t>Системо- органна класификация</w:t>
            </w:r>
          </w:p>
        </w:tc>
        <w:tc>
          <w:tcPr>
            <w:tcW w:w="900" w:type="dxa"/>
          </w:tcPr>
          <w:p w14:paraId="68A72D74" w14:textId="77777777" w:rsidR="00431E5F" w:rsidRPr="00D92520" w:rsidRDefault="00431E5F" w:rsidP="00431E5F">
            <w:pPr>
              <w:rPr>
                <w:rFonts w:cs="Arial"/>
              </w:rPr>
            </w:pPr>
            <w:r w:rsidRPr="00D92520">
              <w:rPr>
                <w:rFonts w:cs="Arial"/>
                <w:b/>
                <w:bCs/>
              </w:rPr>
              <w:t>Чести</w:t>
            </w:r>
          </w:p>
          <w:p w14:paraId="15BE6D74" w14:textId="7087BB4E" w:rsidR="00431E5F" w:rsidRPr="00D92520" w:rsidRDefault="00431E5F" w:rsidP="00431E5F">
            <w:pPr>
              <w:rPr>
                <w:rFonts w:cs="Arial"/>
              </w:rPr>
            </w:pPr>
            <w:r w:rsidRPr="00D92520">
              <w:rPr>
                <w:rFonts w:cs="Arial"/>
                <w:b/>
                <w:bCs/>
              </w:rPr>
              <w:t>≥ 1/100 до &lt; 1/10</w:t>
            </w:r>
          </w:p>
        </w:tc>
        <w:tc>
          <w:tcPr>
            <w:tcW w:w="1659" w:type="dxa"/>
          </w:tcPr>
          <w:p w14:paraId="222980BF" w14:textId="77777777" w:rsidR="00431E5F" w:rsidRPr="00D92520" w:rsidRDefault="00431E5F" w:rsidP="00431E5F">
            <w:pPr>
              <w:rPr>
                <w:rFonts w:cs="Arial"/>
              </w:rPr>
            </w:pPr>
            <w:r w:rsidRPr="00D92520">
              <w:rPr>
                <w:rFonts w:cs="Arial"/>
                <w:b/>
                <w:bCs/>
              </w:rPr>
              <w:t>Нечести</w:t>
            </w:r>
          </w:p>
          <w:p w14:paraId="2D3CD7F6" w14:textId="77777777" w:rsidR="00431E5F" w:rsidRPr="00D92520" w:rsidRDefault="00431E5F" w:rsidP="00431E5F">
            <w:pPr>
              <w:rPr>
                <w:rFonts w:cs="Arial"/>
              </w:rPr>
            </w:pPr>
            <w:r w:rsidRPr="00D92520">
              <w:rPr>
                <w:rFonts w:cs="Arial"/>
                <w:b/>
                <w:bCs/>
              </w:rPr>
              <w:t>≥ 1/1,000 до &lt;</w:t>
            </w:r>
          </w:p>
          <w:p w14:paraId="4579B6DC" w14:textId="1235B12A" w:rsidR="00431E5F" w:rsidRPr="00D92520" w:rsidRDefault="00431E5F" w:rsidP="00431E5F">
            <w:pPr>
              <w:rPr>
                <w:rFonts w:cs="Arial"/>
              </w:rPr>
            </w:pPr>
            <w:r w:rsidRPr="00D92520">
              <w:rPr>
                <w:rFonts w:cs="Arial"/>
                <w:b/>
                <w:bCs/>
              </w:rPr>
              <w:t>1/100</w:t>
            </w:r>
          </w:p>
        </w:tc>
        <w:tc>
          <w:tcPr>
            <w:tcW w:w="1890" w:type="dxa"/>
          </w:tcPr>
          <w:p w14:paraId="30DA65F6" w14:textId="77777777" w:rsidR="00431E5F" w:rsidRPr="00D92520" w:rsidRDefault="00431E5F" w:rsidP="00431E5F">
            <w:pPr>
              <w:rPr>
                <w:rFonts w:cs="Arial"/>
              </w:rPr>
            </w:pPr>
            <w:r w:rsidRPr="00D92520">
              <w:rPr>
                <w:rFonts w:cs="Arial"/>
                <w:b/>
                <w:bCs/>
              </w:rPr>
              <w:t>Редки</w:t>
            </w:r>
          </w:p>
          <w:p w14:paraId="6968E6D8" w14:textId="45864FB4" w:rsidR="00431E5F" w:rsidRPr="00D92520" w:rsidRDefault="00431E5F" w:rsidP="00431E5F">
            <w:pPr>
              <w:rPr>
                <w:rFonts w:cs="Arial"/>
              </w:rPr>
            </w:pPr>
            <w:r w:rsidRPr="00D92520">
              <w:rPr>
                <w:rFonts w:cs="Arial"/>
                <w:b/>
                <w:bCs/>
              </w:rPr>
              <w:t>≥ 1/10,000 до &lt; 1/1,000</w:t>
            </w:r>
          </w:p>
        </w:tc>
        <w:tc>
          <w:tcPr>
            <w:tcW w:w="1825" w:type="dxa"/>
          </w:tcPr>
          <w:p w14:paraId="786CCCE6" w14:textId="4CAC9537" w:rsidR="00431E5F" w:rsidRPr="00D92520" w:rsidRDefault="00431E5F" w:rsidP="00431E5F">
            <w:pPr>
              <w:rPr>
                <w:rFonts w:cs="Arial"/>
              </w:rPr>
            </w:pPr>
            <w:r w:rsidRPr="00D92520">
              <w:rPr>
                <w:rFonts w:cs="Arial"/>
                <w:b/>
                <w:bCs/>
              </w:rPr>
              <w:t>Много редки &lt; 1/10,000</w:t>
            </w:r>
          </w:p>
        </w:tc>
        <w:tc>
          <w:tcPr>
            <w:tcW w:w="1600" w:type="dxa"/>
          </w:tcPr>
          <w:p w14:paraId="00FD8AFF" w14:textId="13E53D3E" w:rsidR="00431E5F" w:rsidRPr="00D92520" w:rsidRDefault="00431E5F" w:rsidP="00431E5F">
            <w:pPr>
              <w:rPr>
                <w:rFonts w:cs="Arial"/>
              </w:rPr>
            </w:pPr>
            <w:r w:rsidRPr="00D92520">
              <w:rPr>
                <w:rFonts w:cs="Arial"/>
                <w:b/>
                <w:bCs/>
              </w:rPr>
              <w:t>С неизвестна честота (от наличните данни не може да бъде направена оценка)</w:t>
            </w:r>
          </w:p>
        </w:tc>
      </w:tr>
      <w:tr w:rsidR="00431E5F" w14:paraId="458F1620" w14:textId="77777777" w:rsidTr="00431E5F">
        <w:tc>
          <w:tcPr>
            <w:tcW w:w="1702" w:type="dxa"/>
          </w:tcPr>
          <w:p w14:paraId="749924BA" w14:textId="5C6B3A54" w:rsidR="00431E5F" w:rsidRPr="00D92520" w:rsidRDefault="00431E5F" w:rsidP="00431E5F">
            <w:pPr>
              <w:rPr>
                <w:rFonts w:cs="Arial"/>
              </w:rPr>
            </w:pPr>
            <w:r w:rsidRPr="00D92520">
              <w:rPr>
                <w:rFonts w:cs="Arial"/>
                <w:b/>
                <w:bCs/>
              </w:rPr>
              <w:t>Инфекции и инфестации</w:t>
            </w:r>
          </w:p>
        </w:tc>
        <w:tc>
          <w:tcPr>
            <w:tcW w:w="900" w:type="dxa"/>
          </w:tcPr>
          <w:p w14:paraId="3222E5F3" w14:textId="77777777" w:rsidR="00431E5F" w:rsidRPr="00D92520" w:rsidRDefault="00431E5F" w:rsidP="00431E5F">
            <w:pPr>
              <w:rPr>
                <w:rFonts w:cs="Arial"/>
              </w:rPr>
            </w:pPr>
          </w:p>
        </w:tc>
        <w:tc>
          <w:tcPr>
            <w:tcW w:w="1659" w:type="dxa"/>
          </w:tcPr>
          <w:p w14:paraId="7FDC6C92" w14:textId="18A99B4F" w:rsidR="00431E5F" w:rsidRPr="00D92520" w:rsidRDefault="00431E5F" w:rsidP="00431E5F">
            <w:pPr>
              <w:rPr>
                <w:rFonts w:cs="Arial"/>
              </w:rPr>
            </w:pPr>
            <w:r w:rsidRPr="00D92520">
              <w:rPr>
                <w:rFonts w:cs="Arial"/>
              </w:rPr>
              <w:t>Микотични суперинфекции</w:t>
            </w:r>
          </w:p>
        </w:tc>
        <w:tc>
          <w:tcPr>
            <w:tcW w:w="1890" w:type="dxa"/>
          </w:tcPr>
          <w:p w14:paraId="463E2050" w14:textId="77777777" w:rsidR="00431E5F" w:rsidRPr="00D92520" w:rsidRDefault="00431E5F" w:rsidP="00431E5F">
            <w:pPr>
              <w:rPr>
                <w:rFonts w:cs="Arial"/>
              </w:rPr>
            </w:pPr>
          </w:p>
        </w:tc>
        <w:tc>
          <w:tcPr>
            <w:tcW w:w="1825" w:type="dxa"/>
          </w:tcPr>
          <w:p w14:paraId="586A7FE4" w14:textId="77777777" w:rsidR="00431E5F" w:rsidRPr="00D92520" w:rsidRDefault="00431E5F" w:rsidP="00431E5F">
            <w:pPr>
              <w:rPr>
                <w:rFonts w:cs="Arial"/>
              </w:rPr>
            </w:pPr>
          </w:p>
        </w:tc>
        <w:tc>
          <w:tcPr>
            <w:tcW w:w="1600" w:type="dxa"/>
          </w:tcPr>
          <w:p w14:paraId="08B93E13" w14:textId="77777777" w:rsidR="00431E5F" w:rsidRPr="00D92520" w:rsidRDefault="00431E5F" w:rsidP="00431E5F">
            <w:pPr>
              <w:rPr>
                <w:rFonts w:cs="Arial"/>
              </w:rPr>
            </w:pPr>
          </w:p>
        </w:tc>
      </w:tr>
      <w:tr w:rsidR="00431E5F" w14:paraId="17E86485" w14:textId="77777777" w:rsidTr="00431E5F">
        <w:tc>
          <w:tcPr>
            <w:tcW w:w="1702" w:type="dxa"/>
          </w:tcPr>
          <w:p w14:paraId="1D509E72" w14:textId="3DB7E3AA" w:rsidR="00431E5F" w:rsidRPr="00D92520" w:rsidRDefault="00431E5F" w:rsidP="00431E5F">
            <w:pPr>
              <w:rPr>
                <w:rFonts w:cs="Arial"/>
              </w:rPr>
            </w:pPr>
            <w:r w:rsidRPr="00D92520">
              <w:rPr>
                <w:rFonts w:cs="Arial"/>
                <w:b/>
                <w:bCs/>
              </w:rPr>
              <w:t>Нарушения на кръвта и лимфната система</w:t>
            </w:r>
          </w:p>
        </w:tc>
        <w:tc>
          <w:tcPr>
            <w:tcW w:w="900" w:type="dxa"/>
          </w:tcPr>
          <w:p w14:paraId="38DB4691" w14:textId="77777777" w:rsidR="00431E5F" w:rsidRPr="00D92520" w:rsidRDefault="00431E5F" w:rsidP="00431E5F">
            <w:pPr>
              <w:rPr>
                <w:rFonts w:cs="Arial"/>
              </w:rPr>
            </w:pPr>
          </w:p>
        </w:tc>
        <w:tc>
          <w:tcPr>
            <w:tcW w:w="1659" w:type="dxa"/>
          </w:tcPr>
          <w:p w14:paraId="4F2F09A2" w14:textId="52A5D2EA" w:rsidR="00431E5F" w:rsidRPr="00D92520" w:rsidRDefault="00431E5F" w:rsidP="00431E5F">
            <w:pPr>
              <w:rPr>
                <w:rFonts w:cs="Arial"/>
              </w:rPr>
            </w:pPr>
            <w:r w:rsidRPr="00D92520">
              <w:rPr>
                <w:rFonts w:cs="Arial"/>
              </w:rPr>
              <w:t>Еозинофилия</w:t>
            </w:r>
          </w:p>
        </w:tc>
        <w:tc>
          <w:tcPr>
            <w:tcW w:w="1890" w:type="dxa"/>
          </w:tcPr>
          <w:p w14:paraId="5A916756" w14:textId="3E9932E6" w:rsidR="00431E5F" w:rsidRPr="00D92520" w:rsidRDefault="00431E5F" w:rsidP="00431E5F">
            <w:pPr>
              <w:rPr>
                <w:rFonts w:cs="Arial"/>
              </w:rPr>
            </w:pPr>
            <w:r w:rsidRPr="00D92520">
              <w:rPr>
                <w:rFonts w:cs="Arial"/>
              </w:rPr>
              <w:t>Левкопения Анемия Неутропения Левкоцитоза Тромбоцитопения Тромбоцитемия</w:t>
            </w:r>
          </w:p>
        </w:tc>
        <w:tc>
          <w:tcPr>
            <w:tcW w:w="1825" w:type="dxa"/>
          </w:tcPr>
          <w:p w14:paraId="16427DDF" w14:textId="77777777" w:rsidR="00431E5F" w:rsidRPr="00D92520" w:rsidRDefault="00431E5F" w:rsidP="00431E5F">
            <w:pPr>
              <w:rPr>
                <w:rFonts w:cs="Arial"/>
              </w:rPr>
            </w:pPr>
            <w:r w:rsidRPr="00D92520">
              <w:rPr>
                <w:rFonts w:cs="Arial"/>
              </w:rPr>
              <w:t>Хемолитична анемия</w:t>
            </w:r>
          </w:p>
          <w:p w14:paraId="17364621" w14:textId="0FE37F19" w:rsidR="00431E5F" w:rsidRPr="00D92520" w:rsidRDefault="00431E5F" w:rsidP="00431E5F">
            <w:pPr>
              <w:rPr>
                <w:rFonts w:cs="Arial"/>
              </w:rPr>
            </w:pPr>
            <w:r w:rsidRPr="00D92520">
              <w:rPr>
                <w:rFonts w:cs="Arial"/>
              </w:rPr>
              <w:t>Агранулоцитоза Панцитопения (животозастра- шаваща) Потискане на костния мозък (животозастра- шаващо)</w:t>
            </w:r>
          </w:p>
        </w:tc>
        <w:tc>
          <w:tcPr>
            <w:tcW w:w="1600" w:type="dxa"/>
          </w:tcPr>
          <w:p w14:paraId="182D2B72" w14:textId="77777777" w:rsidR="00431E5F" w:rsidRPr="00D92520" w:rsidRDefault="00431E5F" w:rsidP="00431E5F">
            <w:pPr>
              <w:rPr>
                <w:rFonts w:cs="Arial"/>
              </w:rPr>
            </w:pPr>
          </w:p>
        </w:tc>
      </w:tr>
      <w:tr w:rsidR="00431E5F" w14:paraId="4C4EA992" w14:textId="77777777" w:rsidTr="00431E5F">
        <w:trPr>
          <w:trHeight w:val="2453"/>
        </w:trPr>
        <w:tc>
          <w:tcPr>
            <w:tcW w:w="1702" w:type="dxa"/>
          </w:tcPr>
          <w:p w14:paraId="49650D52" w14:textId="258FA692" w:rsidR="00431E5F" w:rsidRPr="00D92520" w:rsidRDefault="00431E5F" w:rsidP="00431E5F">
            <w:pPr>
              <w:rPr>
                <w:rFonts w:cs="Arial"/>
              </w:rPr>
            </w:pPr>
            <w:r w:rsidRPr="00D92520">
              <w:rPr>
                <w:rFonts w:cs="Arial"/>
                <w:b/>
                <w:bCs/>
              </w:rPr>
              <w:lastRenderedPageBreak/>
              <w:t>Нарушения на имунната система</w:t>
            </w:r>
          </w:p>
        </w:tc>
        <w:tc>
          <w:tcPr>
            <w:tcW w:w="900" w:type="dxa"/>
          </w:tcPr>
          <w:p w14:paraId="44BCD5CF" w14:textId="77777777" w:rsidR="00431E5F" w:rsidRPr="00D92520" w:rsidRDefault="00431E5F" w:rsidP="00431E5F">
            <w:pPr>
              <w:rPr>
                <w:rFonts w:cs="Arial"/>
              </w:rPr>
            </w:pPr>
          </w:p>
        </w:tc>
        <w:tc>
          <w:tcPr>
            <w:tcW w:w="1659" w:type="dxa"/>
          </w:tcPr>
          <w:p w14:paraId="1B6349EE" w14:textId="77777777" w:rsidR="00431E5F" w:rsidRPr="00D92520" w:rsidRDefault="00431E5F" w:rsidP="00431E5F">
            <w:pPr>
              <w:rPr>
                <w:rFonts w:cs="Arial"/>
              </w:rPr>
            </w:pPr>
          </w:p>
        </w:tc>
        <w:tc>
          <w:tcPr>
            <w:tcW w:w="1890" w:type="dxa"/>
          </w:tcPr>
          <w:p w14:paraId="4B18003C" w14:textId="12F5E344" w:rsidR="00431E5F" w:rsidRPr="00D92520" w:rsidRDefault="00431E5F" w:rsidP="00431E5F">
            <w:pPr>
              <w:rPr>
                <w:rFonts w:cs="Arial"/>
              </w:rPr>
            </w:pPr>
            <w:r w:rsidRPr="00D92520">
              <w:rPr>
                <w:rFonts w:cs="Arial"/>
              </w:rPr>
              <w:t>Алергична реакция Алергичен оток/ ангиоедем</w:t>
            </w:r>
          </w:p>
        </w:tc>
        <w:tc>
          <w:tcPr>
            <w:tcW w:w="1825" w:type="dxa"/>
          </w:tcPr>
          <w:p w14:paraId="7E1C7254" w14:textId="77777777" w:rsidR="00431E5F" w:rsidRPr="00D92520" w:rsidRDefault="00431E5F" w:rsidP="00431E5F">
            <w:pPr>
              <w:rPr>
                <w:rFonts w:cs="Arial"/>
              </w:rPr>
            </w:pPr>
            <w:r w:rsidRPr="00D92520">
              <w:rPr>
                <w:rFonts w:cs="Arial"/>
              </w:rPr>
              <w:t>Анафилактична реакция</w:t>
            </w:r>
          </w:p>
          <w:p w14:paraId="0E839625" w14:textId="77777777" w:rsidR="00431E5F" w:rsidRPr="00D92520" w:rsidRDefault="00431E5F" w:rsidP="00431E5F">
            <w:pPr>
              <w:rPr>
                <w:rFonts w:cs="Arial"/>
              </w:rPr>
            </w:pPr>
            <w:r w:rsidRPr="00D92520">
              <w:rPr>
                <w:rFonts w:cs="Arial"/>
              </w:rPr>
              <w:t>Анафилактичен шок</w:t>
            </w:r>
          </w:p>
          <w:p w14:paraId="6923BA71" w14:textId="77777777" w:rsidR="00431E5F" w:rsidRPr="00D92520" w:rsidRDefault="00431E5F" w:rsidP="00431E5F">
            <w:pPr>
              <w:rPr>
                <w:rFonts w:cs="Arial"/>
              </w:rPr>
            </w:pPr>
            <w:r w:rsidRPr="00D92520">
              <w:rPr>
                <w:rFonts w:cs="Arial"/>
              </w:rPr>
              <w:t>(животозастраша</w:t>
            </w:r>
          </w:p>
          <w:p w14:paraId="1AB47950" w14:textId="77777777" w:rsidR="00431E5F" w:rsidRPr="00D92520" w:rsidRDefault="00431E5F" w:rsidP="00431E5F">
            <w:pPr>
              <w:rPr>
                <w:rFonts w:cs="Arial"/>
              </w:rPr>
            </w:pPr>
            <w:r w:rsidRPr="00D92520">
              <w:rPr>
                <w:rFonts w:cs="Arial"/>
              </w:rPr>
              <w:t>-ващ) (вж. точка</w:t>
            </w:r>
          </w:p>
          <w:p w14:paraId="189EB9FF" w14:textId="77777777" w:rsidR="00431E5F" w:rsidRPr="00D92520" w:rsidRDefault="00431E5F" w:rsidP="00431E5F">
            <w:pPr>
              <w:rPr>
                <w:rFonts w:cs="Arial"/>
              </w:rPr>
            </w:pPr>
            <w:r w:rsidRPr="00D92520">
              <w:rPr>
                <w:rFonts w:cs="Arial"/>
              </w:rPr>
              <w:t>4.4)</w:t>
            </w:r>
          </w:p>
          <w:p w14:paraId="72CDD04A" w14:textId="1C522D80" w:rsidR="00431E5F" w:rsidRPr="00D92520" w:rsidRDefault="00431E5F" w:rsidP="00431E5F">
            <w:pPr>
              <w:rPr>
                <w:rFonts w:cs="Arial"/>
              </w:rPr>
            </w:pPr>
            <w:r w:rsidRPr="00D92520">
              <w:rPr>
                <w:rFonts w:cs="Arial"/>
              </w:rPr>
              <w:t>Реакции, наподобяващи серумна болест</w:t>
            </w:r>
          </w:p>
        </w:tc>
        <w:tc>
          <w:tcPr>
            <w:tcW w:w="1600" w:type="dxa"/>
            <w:textDirection w:val="btLr"/>
          </w:tcPr>
          <w:p w14:paraId="5CBCA68F" w14:textId="77777777" w:rsidR="00431E5F" w:rsidRPr="00D92520" w:rsidRDefault="00431E5F" w:rsidP="00431E5F">
            <w:pPr>
              <w:rPr>
                <w:rFonts w:cs="Arial"/>
              </w:rPr>
            </w:pPr>
          </w:p>
        </w:tc>
      </w:tr>
      <w:tr w:rsidR="00431E5F" w14:paraId="0540064A" w14:textId="77777777" w:rsidTr="00431E5F">
        <w:tc>
          <w:tcPr>
            <w:tcW w:w="1702" w:type="dxa"/>
          </w:tcPr>
          <w:p w14:paraId="13779B0D" w14:textId="0835E640" w:rsidR="00431E5F" w:rsidRPr="00D92520" w:rsidRDefault="00431E5F" w:rsidP="00431E5F">
            <w:pPr>
              <w:rPr>
                <w:rFonts w:cs="Arial"/>
              </w:rPr>
            </w:pPr>
            <w:r w:rsidRPr="00D92520">
              <w:rPr>
                <w:rFonts w:cs="Arial"/>
                <w:b/>
                <w:bCs/>
              </w:rPr>
              <w:t>Нарушения на ендокринната система</w:t>
            </w:r>
          </w:p>
        </w:tc>
        <w:tc>
          <w:tcPr>
            <w:tcW w:w="900" w:type="dxa"/>
          </w:tcPr>
          <w:p w14:paraId="6E83F5F2" w14:textId="77777777" w:rsidR="00431E5F" w:rsidRPr="00D92520" w:rsidRDefault="00431E5F" w:rsidP="00431E5F">
            <w:pPr>
              <w:rPr>
                <w:rFonts w:cs="Arial"/>
              </w:rPr>
            </w:pPr>
          </w:p>
        </w:tc>
        <w:tc>
          <w:tcPr>
            <w:tcW w:w="1659" w:type="dxa"/>
          </w:tcPr>
          <w:p w14:paraId="577F35E8" w14:textId="77777777" w:rsidR="00431E5F" w:rsidRPr="00D92520" w:rsidRDefault="00431E5F" w:rsidP="00431E5F">
            <w:pPr>
              <w:rPr>
                <w:rFonts w:cs="Arial"/>
              </w:rPr>
            </w:pPr>
          </w:p>
        </w:tc>
        <w:tc>
          <w:tcPr>
            <w:tcW w:w="1890" w:type="dxa"/>
          </w:tcPr>
          <w:p w14:paraId="4643DBD3" w14:textId="77777777" w:rsidR="00431E5F" w:rsidRPr="00D92520" w:rsidRDefault="00431E5F" w:rsidP="00431E5F">
            <w:pPr>
              <w:rPr>
                <w:rFonts w:cs="Arial"/>
              </w:rPr>
            </w:pPr>
          </w:p>
        </w:tc>
        <w:tc>
          <w:tcPr>
            <w:tcW w:w="1825" w:type="dxa"/>
          </w:tcPr>
          <w:p w14:paraId="3454FFA0" w14:textId="77777777" w:rsidR="00431E5F" w:rsidRPr="00D92520" w:rsidRDefault="00431E5F" w:rsidP="00431E5F">
            <w:pPr>
              <w:rPr>
                <w:rFonts w:cs="Arial"/>
              </w:rPr>
            </w:pPr>
          </w:p>
        </w:tc>
        <w:tc>
          <w:tcPr>
            <w:tcW w:w="1600" w:type="dxa"/>
            <w:vAlign w:val="bottom"/>
          </w:tcPr>
          <w:p w14:paraId="3BDF6C06" w14:textId="16CED43C" w:rsidR="00431E5F" w:rsidRPr="00D92520" w:rsidRDefault="00431E5F" w:rsidP="00431E5F">
            <w:pPr>
              <w:rPr>
                <w:rFonts w:cs="Arial"/>
              </w:rPr>
            </w:pPr>
            <w:r w:rsidRPr="00D92520">
              <w:rPr>
                <w:rFonts w:cs="Arial"/>
              </w:rPr>
              <w:t xml:space="preserve">Синдром на неадекватна секреция на антидиуретиче н хормон </w:t>
            </w:r>
            <w:r w:rsidRPr="00D92520">
              <w:rPr>
                <w:rFonts w:cs="Arial"/>
                <w:lang w:val="en-US"/>
              </w:rPr>
              <w:t>(SIADH)</w:t>
            </w:r>
          </w:p>
        </w:tc>
      </w:tr>
      <w:tr w:rsidR="00431E5F" w14:paraId="01D8EF49" w14:textId="77777777" w:rsidTr="00431E5F">
        <w:tc>
          <w:tcPr>
            <w:tcW w:w="1702" w:type="dxa"/>
          </w:tcPr>
          <w:p w14:paraId="043DEBC6" w14:textId="17B0B101" w:rsidR="00431E5F" w:rsidRPr="00D92520" w:rsidRDefault="00431E5F" w:rsidP="00431E5F">
            <w:pPr>
              <w:rPr>
                <w:rFonts w:cs="Arial"/>
              </w:rPr>
            </w:pPr>
            <w:r w:rsidRPr="00D92520">
              <w:rPr>
                <w:rFonts w:cs="Arial"/>
                <w:b/>
                <w:bCs/>
              </w:rPr>
              <w:t>Нарушения на метаболизма и храненето</w:t>
            </w:r>
          </w:p>
        </w:tc>
        <w:tc>
          <w:tcPr>
            <w:tcW w:w="900" w:type="dxa"/>
          </w:tcPr>
          <w:p w14:paraId="568AC8D2" w14:textId="77777777" w:rsidR="00431E5F" w:rsidRPr="00D92520" w:rsidRDefault="00431E5F" w:rsidP="00431E5F">
            <w:pPr>
              <w:rPr>
                <w:rFonts w:cs="Arial"/>
              </w:rPr>
            </w:pPr>
          </w:p>
        </w:tc>
        <w:tc>
          <w:tcPr>
            <w:tcW w:w="1659" w:type="dxa"/>
          </w:tcPr>
          <w:p w14:paraId="2546FB7B" w14:textId="70833778" w:rsidR="00431E5F" w:rsidRPr="00D92520" w:rsidRDefault="00431E5F" w:rsidP="00431E5F">
            <w:pPr>
              <w:rPr>
                <w:rFonts w:cs="Arial"/>
              </w:rPr>
            </w:pPr>
            <w:r w:rsidRPr="00D92520">
              <w:rPr>
                <w:rFonts w:cs="Arial"/>
              </w:rPr>
              <w:t>Намален апетит</w:t>
            </w:r>
          </w:p>
        </w:tc>
        <w:tc>
          <w:tcPr>
            <w:tcW w:w="1890" w:type="dxa"/>
          </w:tcPr>
          <w:p w14:paraId="2F2A5355" w14:textId="74F3FB10" w:rsidR="00431E5F" w:rsidRPr="00D92520" w:rsidRDefault="00431E5F" w:rsidP="00431E5F">
            <w:pPr>
              <w:rPr>
                <w:rFonts w:cs="Arial"/>
              </w:rPr>
            </w:pPr>
            <w:r w:rsidRPr="00D92520">
              <w:rPr>
                <w:rFonts w:cs="Arial"/>
              </w:rPr>
              <w:t>Хипергликемия Хипогликемия (виж точка 4.4)</w:t>
            </w:r>
          </w:p>
        </w:tc>
        <w:tc>
          <w:tcPr>
            <w:tcW w:w="1825" w:type="dxa"/>
          </w:tcPr>
          <w:p w14:paraId="05CBBFD2" w14:textId="77777777" w:rsidR="00431E5F" w:rsidRPr="00D92520" w:rsidRDefault="00431E5F" w:rsidP="00431E5F">
            <w:pPr>
              <w:rPr>
                <w:rFonts w:cs="Arial"/>
              </w:rPr>
            </w:pPr>
          </w:p>
        </w:tc>
        <w:tc>
          <w:tcPr>
            <w:tcW w:w="1600" w:type="dxa"/>
          </w:tcPr>
          <w:p w14:paraId="748A89E4" w14:textId="4EF39A69" w:rsidR="00431E5F" w:rsidRPr="00D92520" w:rsidRDefault="00431E5F" w:rsidP="00431E5F">
            <w:pPr>
              <w:rPr>
                <w:rFonts w:cs="Arial"/>
              </w:rPr>
            </w:pPr>
            <w:r w:rsidRPr="00D92520">
              <w:rPr>
                <w:rFonts w:cs="Arial"/>
              </w:rPr>
              <w:t>Хипогликемич на кома (вж. точка 4.4)</w:t>
            </w:r>
          </w:p>
        </w:tc>
      </w:tr>
      <w:tr w:rsidR="00431E5F" w14:paraId="44CC5295" w14:textId="77777777" w:rsidTr="00431E5F">
        <w:tc>
          <w:tcPr>
            <w:tcW w:w="1702" w:type="dxa"/>
          </w:tcPr>
          <w:p w14:paraId="7A6075F1" w14:textId="727782E3" w:rsidR="00431E5F" w:rsidRPr="00D92520" w:rsidRDefault="00431E5F" w:rsidP="00431E5F">
            <w:pPr>
              <w:rPr>
                <w:rFonts w:cs="Arial"/>
              </w:rPr>
            </w:pPr>
            <w:r w:rsidRPr="00D92520">
              <w:rPr>
                <w:rFonts w:cs="Arial"/>
                <w:b/>
                <w:bCs/>
              </w:rPr>
              <w:t>Психични нарушения*</w:t>
            </w:r>
          </w:p>
        </w:tc>
        <w:tc>
          <w:tcPr>
            <w:tcW w:w="900" w:type="dxa"/>
          </w:tcPr>
          <w:p w14:paraId="6199A81F" w14:textId="77777777" w:rsidR="00431E5F" w:rsidRPr="00D92520" w:rsidRDefault="00431E5F" w:rsidP="00431E5F">
            <w:pPr>
              <w:rPr>
                <w:rFonts w:cs="Arial"/>
              </w:rPr>
            </w:pPr>
          </w:p>
        </w:tc>
        <w:tc>
          <w:tcPr>
            <w:tcW w:w="1659" w:type="dxa"/>
          </w:tcPr>
          <w:p w14:paraId="5ED38AB2" w14:textId="6DE52903" w:rsidR="00431E5F" w:rsidRPr="00D92520" w:rsidRDefault="00431E5F" w:rsidP="00431E5F">
            <w:pPr>
              <w:rPr>
                <w:rFonts w:cs="Arial"/>
              </w:rPr>
            </w:pPr>
            <w:r w:rsidRPr="00D92520">
              <w:rPr>
                <w:rFonts w:cs="Arial"/>
              </w:rPr>
              <w:t>Психомоторна хиперактив- ност/възбуда</w:t>
            </w:r>
          </w:p>
        </w:tc>
        <w:tc>
          <w:tcPr>
            <w:tcW w:w="1890" w:type="dxa"/>
            <w:vAlign w:val="bottom"/>
          </w:tcPr>
          <w:p w14:paraId="747CBBE8" w14:textId="0B633D52" w:rsidR="00431E5F" w:rsidRPr="00D92520" w:rsidRDefault="00431E5F" w:rsidP="00431E5F">
            <w:pPr>
              <w:rPr>
                <w:rFonts w:cs="Arial"/>
              </w:rPr>
            </w:pPr>
            <w:r w:rsidRPr="00D92520">
              <w:rPr>
                <w:rFonts w:cs="Arial"/>
              </w:rPr>
              <w:t>Объркване и дезориентация Реакция на безпокойство Необичайни сънища Депресия (потенциално завършваща в суицидни намерения/мисли или опити за самоубийство или самоубийство) (вж. точка 4.4) Халюцинации</w:t>
            </w:r>
          </w:p>
        </w:tc>
        <w:tc>
          <w:tcPr>
            <w:tcW w:w="1825" w:type="dxa"/>
          </w:tcPr>
          <w:p w14:paraId="7041AD09" w14:textId="7934358C" w:rsidR="00431E5F" w:rsidRPr="00D92520" w:rsidRDefault="00431E5F" w:rsidP="00431E5F">
            <w:pPr>
              <w:rPr>
                <w:rFonts w:cs="Arial"/>
              </w:rPr>
            </w:pPr>
            <w:r w:rsidRPr="00D92520">
              <w:rPr>
                <w:rFonts w:cs="Arial"/>
              </w:rPr>
              <w:t>Психотични реакции (потенциално завършващи в суицидни намерения/мис</w:t>
            </w:r>
            <w:r w:rsidRPr="00D92520">
              <w:rPr>
                <w:rFonts w:cs="Arial"/>
              </w:rPr>
              <w:softHyphen/>
              <w:t>ли, опити за самоубийство или самоубийство) (вж. точка 4.4)</w:t>
            </w:r>
          </w:p>
        </w:tc>
        <w:tc>
          <w:tcPr>
            <w:tcW w:w="1600" w:type="dxa"/>
          </w:tcPr>
          <w:p w14:paraId="229838EB" w14:textId="62F735FE" w:rsidR="00431E5F" w:rsidRPr="00D92520" w:rsidRDefault="00431E5F" w:rsidP="00431E5F">
            <w:pPr>
              <w:rPr>
                <w:rFonts w:cs="Arial"/>
              </w:rPr>
            </w:pPr>
            <w:r w:rsidRPr="00D92520">
              <w:rPr>
                <w:rFonts w:cs="Arial"/>
              </w:rPr>
              <w:t>Мания, хипомания</w:t>
            </w:r>
          </w:p>
        </w:tc>
      </w:tr>
      <w:tr w:rsidR="00431E5F" w14:paraId="4E4F516D" w14:textId="77777777" w:rsidTr="00431E5F">
        <w:tc>
          <w:tcPr>
            <w:tcW w:w="1702" w:type="dxa"/>
          </w:tcPr>
          <w:p w14:paraId="6D88F558" w14:textId="40DF2E1C" w:rsidR="00431E5F" w:rsidRPr="00D92520" w:rsidRDefault="00431E5F" w:rsidP="00431E5F">
            <w:pPr>
              <w:rPr>
                <w:rFonts w:cs="Arial"/>
              </w:rPr>
            </w:pPr>
            <w:r w:rsidRPr="00D92520">
              <w:rPr>
                <w:rFonts w:cs="Arial"/>
                <w:b/>
                <w:bCs/>
              </w:rPr>
              <w:t>Нарушения на нервната система*</w:t>
            </w:r>
          </w:p>
        </w:tc>
        <w:tc>
          <w:tcPr>
            <w:tcW w:w="900" w:type="dxa"/>
          </w:tcPr>
          <w:p w14:paraId="3A391B4B" w14:textId="77777777" w:rsidR="00431E5F" w:rsidRPr="00D92520" w:rsidRDefault="00431E5F" w:rsidP="00431E5F">
            <w:pPr>
              <w:rPr>
                <w:rFonts w:cs="Arial"/>
              </w:rPr>
            </w:pPr>
          </w:p>
        </w:tc>
        <w:tc>
          <w:tcPr>
            <w:tcW w:w="1659" w:type="dxa"/>
          </w:tcPr>
          <w:p w14:paraId="3BD8DC7F" w14:textId="4CF8C409" w:rsidR="00431E5F" w:rsidRPr="00D92520" w:rsidRDefault="00431E5F" w:rsidP="00431E5F">
            <w:pPr>
              <w:rPr>
                <w:rFonts w:cs="Arial"/>
              </w:rPr>
            </w:pPr>
            <w:r w:rsidRPr="00D92520">
              <w:rPr>
                <w:rFonts w:cs="Arial"/>
              </w:rPr>
              <w:t>Главоболие Замаяност Нарушения на съня Нарушения на вкуса</w:t>
            </w:r>
          </w:p>
        </w:tc>
        <w:tc>
          <w:tcPr>
            <w:tcW w:w="1890" w:type="dxa"/>
          </w:tcPr>
          <w:p w14:paraId="098FBC39" w14:textId="7E855B44" w:rsidR="00431E5F" w:rsidRPr="00D92520" w:rsidRDefault="00431E5F" w:rsidP="00431E5F">
            <w:pPr>
              <w:rPr>
                <w:rFonts w:cs="Arial"/>
              </w:rPr>
            </w:pPr>
            <w:r w:rsidRPr="00D92520">
              <w:rPr>
                <w:rFonts w:cs="Arial"/>
              </w:rPr>
              <w:t xml:space="preserve">Парастезия и дизестезия Хипоестезия Тремор Припадъци (вкл. </w:t>
            </w:r>
            <w:r w:rsidRPr="00D92520">
              <w:rPr>
                <w:rFonts w:cs="Arial"/>
                <w:i/>
                <w:iCs/>
                <w:lang w:val="en-US"/>
              </w:rPr>
              <w:t xml:space="preserve">status epilepticus) </w:t>
            </w:r>
            <w:r w:rsidRPr="00D92520">
              <w:rPr>
                <w:rFonts w:cs="Arial"/>
              </w:rPr>
              <w:t xml:space="preserve">(вж. </w:t>
            </w:r>
            <w:r w:rsidRPr="00D92520">
              <w:rPr>
                <w:rFonts w:cs="Arial"/>
              </w:rPr>
              <w:lastRenderedPageBreak/>
              <w:t>точка 4.4) Световъртеж</w:t>
            </w:r>
          </w:p>
        </w:tc>
        <w:tc>
          <w:tcPr>
            <w:tcW w:w="1825" w:type="dxa"/>
          </w:tcPr>
          <w:p w14:paraId="6A348024" w14:textId="5D0B4347" w:rsidR="00431E5F" w:rsidRPr="00D92520" w:rsidRDefault="00431E5F" w:rsidP="00431E5F">
            <w:pPr>
              <w:rPr>
                <w:rFonts w:cs="Arial"/>
              </w:rPr>
            </w:pPr>
            <w:r w:rsidRPr="00D92520">
              <w:rPr>
                <w:rFonts w:cs="Arial"/>
              </w:rPr>
              <w:lastRenderedPageBreak/>
              <w:t xml:space="preserve">Мигрена Нарушена координация Нарушения на походката Нарушения на обонянието </w:t>
            </w:r>
            <w:r w:rsidRPr="00D92520">
              <w:rPr>
                <w:rFonts w:cs="Arial"/>
              </w:rPr>
              <w:lastRenderedPageBreak/>
              <w:t xml:space="preserve">Интракраниална хипертония и </w:t>
            </w:r>
            <w:proofErr w:type="spellStart"/>
            <w:r w:rsidRPr="00D92520">
              <w:rPr>
                <w:rFonts w:cs="Arial"/>
                <w:i/>
                <w:iCs/>
                <w:lang w:val="en-US"/>
              </w:rPr>
              <w:t>pseudotumor</w:t>
            </w:r>
            <w:proofErr w:type="spellEnd"/>
            <w:r w:rsidRPr="00D92520">
              <w:rPr>
                <w:rFonts w:cs="Arial"/>
                <w:i/>
                <w:iCs/>
                <w:lang w:val="en-US"/>
              </w:rPr>
              <w:t xml:space="preserve"> </w:t>
            </w:r>
            <w:proofErr w:type="spellStart"/>
            <w:r w:rsidRPr="00D92520">
              <w:rPr>
                <w:rFonts w:cs="Arial"/>
                <w:i/>
                <w:iCs/>
                <w:lang w:val="en-US"/>
              </w:rPr>
              <w:t>cerebri</w:t>
            </w:r>
            <w:proofErr w:type="spellEnd"/>
          </w:p>
        </w:tc>
        <w:tc>
          <w:tcPr>
            <w:tcW w:w="1600" w:type="dxa"/>
          </w:tcPr>
          <w:p w14:paraId="7B24D013" w14:textId="1420D323" w:rsidR="00431E5F" w:rsidRPr="00D92520" w:rsidRDefault="00431E5F" w:rsidP="00431E5F">
            <w:pPr>
              <w:rPr>
                <w:rFonts w:cs="Arial"/>
              </w:rPr>
            </w:pPr>
            <w:r w:rsidRPr="00D92520">
              <w:rPr>
                <w:rFonts w:cs="Arial"/>
              </w:rPr>
              <w:lastRenderedPageBreak/>
              <w:t>Периферна невропатия и полиневро- патия (вж. точка 4.4)</w:t>
            </w:r>
          </w:p>
        </w:tc>
      </w:tr>
      <w:tr w:rsidR="00431E5F" w14:paraId="7C1E6E12" w14:textId="77777777" w:rsidTr="00431E5F">
        <w:tc>
          <w:tcPr>
            <w:tcW w:w="1702" w:type="dxa"/>
          </w:tcPr>
          <w:p w14:paraId="53F3AB6C" w14:textId="15D7FBC7" w:rsidR="00431E5F" w:rsidRPr="00D92520" w:rsidRDefault="00431E5F" w:rsidP="00431E5F">
            <w:pPr>
              <w:rPr>
                <w:rFonts w:cs="Arial"/>
              </w:rPr>
            </w:pPr>
            <w:r w:rsidRPr="00D92520">
              <w:rPr>
                <w:rFonts w:cs="Arial"/>
                <w:b/>
                <w:bCs/>
              </w:rPr>
              <w:t>Нарушения на очите*</w:t>
            </w:r>
          </w:p>
        </w:tc>
        <w:tc>
          <w:tcPr>
            <w:tcW w:w="900" w:type="dxa"/>
          </w:tcPr>
          <w:p w14:paraId="46042C7E" w14:textId="77777777" w:rsidR="00431E5F" w:rsidRPr="00D92520" w:rsidRDefault="00431E5F" w:rsidP="00431E5F">
            <w:pPr>
              <w:rPr>
                <w:rFonts w:cs="Arial"/>
              </w:rPr>
            </w:pPr>
          </w:p>
        </w:tc>
        <w:tc>
          <w:tcPr>
            <w:tcW w:w="1659" w:type="dxa"/>
          </w:tcPr>
          <w:p w14:paraId="292BCAF2" w14:textId="77777777" w:rsidR="00431E5F" w:rsidRPr="00D92520" w:rsidRDefault="00431E5F" w:rsidP="00431E5F">
            <w:pPr>
              <w:rPr>
                <w:rFonts w:cs="Arial"/>
              </w:rPr>
            </w:pPr>
          </w:p>
        </w:tc>
        <w:tc>
          <w:tcPr>
            <w:tcW w:w="1890" w:type="dxa"/>
            <w:vAlign w:val="bottom"/>
          </w:tcPr>
          <w:p w14:paraId="10157258" w14:textId="19E2AF27" w:rsidR="00431E5F" w:rsidRPr="00D92520" w:rsidRDefault="00431E5F" w:rsidP="00431E5F">
            <w:pPr>
              <w:rPr>
                <w:rFonts w:cs="Arial"/>
              </w:rPr>
            </w:pPr>
            <w:r w:rsidRPr="00D92520">
              <w:rPr>
                <w:rFonts w:cs="Arial"/>
              </w:rPr>
              <w:t>Нарушения на зрението(напр. диплопия)</w:t>
            </w:r>
          </w:p>
        </w:tc>
        <w:tc>
          <w:tcPr>
            <w:tcW w:w="1825" w:type="dxa"/>
          </w:tcPr>
          <w:p w14:paraId="21D057F0" w14:textId="286624F0" w:rsidR="00431E5F" w:rsidRPr="00D92520" w:rsidRDefault="00431E5F" w:rsidP="00431E5F">
            <w:pPr>
              <w:rPr>
                <w:rFonts w:cs="Arial"/>
              </w:rPr>
            </w:pPr>
            <w:r w:rsidRPr="00D92520">
              <w:rPr>
                <w:rFonts w:cs="Arial"/>
              </w:rPr>
              <w:t>Нарушения на цветоусешането</w:t>
            </w:r>
          </w:p>
        </w:tc>
        <w:tc>
          <w:tcPr>
            <w:tcW w:w="1600" w:type="dxa"/>
          </w:tcPr>
          <w:p w14:paraId="50CA4DFB" w14:textId="77777777" w:rsidR="00431E5F" w:rsidRPr="00D92520" w:rsidRDefault="00431E5F" w:rsidP="00431E5F">
            <w:pPr>
              <w:rPr>
                <w:rFonts w:cs="Arial"/>
              </w:rPr>
            </w:pPr>
          </w:p>
        </w:tc>
      </w:tr>
      <w:tr w:rsidR="00431E5F" w14:paraId="4669A7F9" w14:textId="77777777" w:rsidTr="00431E5F">
        <w:tc>
          <w:tcPr>
            <w:tcW w:w="1702" w:type="dxa"/>
          </w:tcPr>
          <w:p w14:paraId="3671AB37" w14:textId="71A3E6BF" w:rsidR="00431E5F" w:rsidRPr="00D92520" w:rsidRDefault="00431E5F" w:rsidP="00431E5F">
            <w:pPr>
              <w:rPr>
                <w:rFonts w:cs="Arial"/>
              </w:rPr>
            </w:pPr>
            <w:r w:rsidRPr="00D92520">
              <w:rPr>
                <w:rFonts w:cs="Arial"/>
                <w:b/>
                <w:bCs/>
              </w:rPr>
              <w:t>Нарушения на ухото и лабиринта*</w:t>
            </w:r>
          </w:p>
        </w:tc>
        <w:tc>
          <w:tcPr>
            <w:tcW w:w="900" w:type="dxa"/>
          </w:tcPr>
          <w:p w14:paraId="41C22E6E" w14:textId="77777777" w:rsidR="00431E5F" w:rsidRPr="00D92520" w:rsidRDefault="00431E5F" w:rsidP="00431E5F">
            <w:pPr>
              <w:rPr>
                <w:rFonts w:cs="Arial"/>
              </w:rPr>
            </w:pPr>
          </w:p>
        </w:tc>
        <w:tc>
          <w:tcPr>
            <w:tcW w:w="1659" w:type="dxa"/>
          </w:tcPr>
          <w:p w14:paraId="517BF672" w14:textId="77777777" w:rsidR="00431E5F" w:rsidRPr="00D92520" w:rsidRDefault="00431E5F" w:rsidP="00431E5F">
            <w:pPr>
              <w:rPr>
                <w:rFonts w:cs="Arial"/>
              </w:rPr>
            </w:pPr>
          </w:p>
        </w:tc>
        <w:tc>
          <w:tcPr>
            <w:tcW w:w="1890" w:type="dxa"/>
            <w:vAlign w:val="bottom"/>
          </w:tcPr>
          <w:p w14:paraId="37D82C3E" w14:textId="77777777" w:rsidR="00431E5F" w:rsidRPr="00D92520" w:rsidRDefault="00431E5F" w:rsidP="00431E5F">
            <w:pPr>
              <w:rPr>
                <w:rFonts w:cs="Arial"/>
              </w:rPr>
            </w:pPr>
            <w:r w:rsidRPr="00D92520">
              <w:rPr>
                <w:rFonts w:cs="Arial"/>
              </w:rPr>
              <w:t>Тинитус</w:t>
            </w:r>
          </w:p>
          <w:p w14:paraId="1BAA4E01" w14:textId="7B260DED" w:rsidR="00431E5F" w:rsidRPr="00D92520" w:rsidRDefault="00431E5F" w:rsidP="00431E5F">
            <w:pPr>
              <w:rPr>
                <w:rFonts w:cs="Arial"/>
              </w:rPr>
            </w:pPr>
            <w:r w:rsidRPr="00D92520">
              <w:rPr>
                <w:rFonts w:cs="Arial"/>
              </w:rPr>
              <w:t>Загуба на слуха/ увреждане на слуха</w:t>
            </w:r>
          </w:p>
        </w:tc>
        <w:tc>
          <w:tcPr>
            <w:tcW w:w="1825" w:type="dxa"/>
          </w:tcPr>
          <w:p w14:paraId="6F7F46FD" w14:textId="77777777" w:rsidR="00431E5F" w:rsidRPr="00D92520" w:rsidRDefault="00431E5F" w:rsidP="00431E5F">
            <w:pPr>
              <w:rPr>
                <w:rFonts w:cs="Arial"/>
              </w:rPr>
            </w:pPr>
          </w:p>
        </w:tc>
        <w:tc>
          <w:tcPr>
            <w:tcW w:w="1600" w:type="dxa"/>
          </w:tcPr>
          <w:p w14:paraId="00D354D2" w14:textId="77777777" w:rsidR="00431E5F" w:rsidRPr="00D92520" w:rsidRDefault="00431E5F" w:rsidP="00431E5F">
            <w:pPr>
              <w:rPr>
                <w:rFonts w:cs="Arial"/>
              </w:rPr>
            </w:pPr>
          </w:p>
        </w:tc>
      </w:tr>
      <w:tr w:rsidR="00431E5F" w14:paraId="4C520D5A" w14:textId="77777777" w:rsidTr="00431E5F">
        <w:tc>
          <w:tcPr>
            <w:tcW w:w="1702" w:type="dxa"/>
          </w:tcPr>
          <w:p w14:paraId="5E5DD153" w14:textId="0FCF9E7C" w:rsidR="00431E5F" w:rsidRPr="00D92520" w:rsidRDefault="00431E5F" w:rsidP="00431E5F">
            <w:pPr>
              <w:rPr>
                <w:rFonts w:cs="Arial"/>
              </w:rPr>
            </w:pPr>
            <w:r w:rsidRPr="00D92520">
              <w:rPr>
                <w:rFonts w:cs="Arial"/>
                <w:b/>
                <w:bCs/>
              </w:rPr>
              <w:t>Сърдечни нарушения**</w:t>
            </w:r>
          </w:p>
        </w:tc>
        <w:tc>
          <w:tcPr>
            <w:tcW w:w="900" w:type="dxa"/>
          </w:tcPr>
          <w:p w14:paraId="50344899" w14:textId="77777777" w:rsidR="00431E5F" w:rsidRPr="00D92520" w:rsidRDefault="00431E5F" w:rsidP="00431E5F">
            <w:pPr>
              <w:rPr>
                <w:rFonts w:cs="Arial"/>
              </w:rPr>
            </w:pPr>
          </w:p>
        </w:tc>
        <w:tc>
          <w:tcPr>
            <w:tcW w:w="1659" w:type="dxa"/>
          </w:tcPr>
          <w:p w14:paraId="00D2018F" w14:textId="77777777" w:rsidR="00431E5F" w:rsidRPr="00D92520" w:rsidRDefault="00431E5F" w:rsidP="00431E5F">
            <w:pPr>
              <w:rPr>
                <w:rFonts w:cs="Arial"/>
              </w:rPr>
            </w:pPr>
          </w:p>
        </w:tc>
        <w:tc>
          <w:tcPr>
            <w:tcW w:w="1890" w:type="dxa"/>
          </w:tcPr>
          <w:p w14:paraId="1392749D" w14:textId="2AFFC740" w:rsidR="00431E5F" w:rsidRPr="00D92520" w:rsidRDefault="00431E5F" w:rsidP="00431E5F">
            <w:pPr>
              <w:rPr>
                <w:rFonts w:cs="Arial"/>
              </w:rPr>
            </w:pPr>
            <w:r w:rsidRPr="00D92520">
              <w:rPr>
                <w:rFonts w:cs="Arial"/>
              </w:rPr>
              <w:t>Тахикардия</w:t>
            </w:r>
          </w:p>
        </w:tc>
        <w:tc>
          <w:tcPr>
            <w:tcW w:w="1825" w:type="dxa"/>
          </w:tcPr>
          <w:p w14:paraId="74905E36" w14:textId="77777777" w:rsidR="00431E5F" w:rsidRPr="00D92520" w:rsidRDefault="00431E5F" w:rsidP="00431E5F">
            <w:pPr>
              <w:rPr>
                <w:rFonts w:cs="Arial"/>
              </w:rPr>
            </w:pPr>
          </w:p>
        </w:tc>
        <w:tc>
          <w:tcPr>
            <w:tcW w:w="1600" w:type="dxa"/>
          </w:tcPr>
          <w:p w14:paraId="617B2547" w14:textId="318BB1AD" w:rsidR="00431E5F" w:rsidRPr="00D92520" w:rsidRDefault="00431E5F" w:rsidP="00431E5F">
            <w:pPr>
              <w:rPr>
                <w:rFonts w:cs="Arial"/>
              </w:rPr>
            </w:pPr>
            <w:r w:rsidRPr="00D92520">
              <w:rPr>
                <w:rFonts w:cs="Arial"/>
              </w:rPr>
              <w:t xml:space="preserve">Камерна аритмия и </w:t>
            </w:r>
            <w:proofErr w:type="spellStart"/>
            <w:r w:rsidRPr="00D92520">
              <w:rPr>
                <w:rFonts w:cs="Arial"/>
                <w:i/>
                <w:iCs/>
                <w:lang w:val="en-US"/>
              </w:rPr>
              <w:t>torsades</w:t>
            </w:r>
            <w:proofErr w:type="spellEnd"/>
            <w:r w:rsidRPr="00D92520">
              <w:rPr>
                <w:rFonts w:cs="Arial"/>
                <w:i/>
                <w:iCs/>
                <w:lang w:val="en-US"/>
              </w:rPr>
              <w:t xml:space="preserve"> de pointes </w:t>
            </w:r>
            <w:r w:rsidRPr="00D92520">
              <w:rPr>
                <w:rFonts w:cs="Arial"/>
              </w:rPr>
              <w:t xml:space="preserve">(съобщавани предимно при пациенти с рискови фактори за удължаване на </w:t>
            </w:r>
            <w:r w:rsidRPr="00D92520">
              <w:rPr>
                <w:rFonts w:cs="Arial"/>
                <w:lang w:val="en-US"/>
              </w:rPr>
              <w:t>QT</w:t>
            </w:r>
            <w:r w:rsidRPr="00D92520">
              <w:rPr>
                <w:rFonts w:cs="Arial"/>
              </w:rPr>
              <w:t>-интерва</w:t>
            </w:r>
            <w:r w:rsidRPr="00D92520">
              <w:rPr>
                <w:rFonts w:cs="Arial"/>
              </w:rPr>
              <w:softHyphen/>
              <w:t xml:space="preserve">ла), удължен ЕКГ </w:t>
            </w:r>
            <w:r w:rsidRPr="00D92520">
              <w:rPr>
                <w:rFonts w:cs="Arial"/>
                <w:lang w:val="en-US"/>
              </w:rPr>
              <w:t xml:space="preserve">QT- </w:t>
            </w:r>
            <w:r w:rsidRPr="00D92520">
              <w:rPr>
                <w:rFonts w:cs="Arial"/>
              </w:rPr>
              <w:t>интервал (вж. точка 4.4 и 4.9)</w:t>
            </w:r>
          </w:p>
        </w:tc>
      </w:tr>
      <w:tr w:rsidR="00431E5F" w14:paraId="53EBDF91" w14:textId="77777777" w:rsidTr="00431E5F">
        <w:tc>
          <w:tcPr>
            <w:tcW w:w="1702" w:type="dxa"/>
          </w:tcPr>
          <w:p w14:paraId="02D71981" w14:textId="572C0201" w:rsidR="00431E5F" w:rsidRPr="00D92520" w:rsidRDefault="00431E5F" w:rsidP="00431E5F">
            <w:pPr>
              <w:rPr>
                <w:rFonts w:cs="Arial"/>
              </w:rPr>
            </w:pPr>
            <w:r w:rsidRPr="00D92520">
              <w:rPr>
                <w:rFonts w:cs="Arial"/>
                <w:b/>
                <w:bCs/>
              </w:rPr>
              <w:t>Съдови нарушения**</w:t>
            </w:r>
          </w:p>
        </w:tc>
        <w:tc>
          <w:tcPr>
            <w:tcW w:w="900" w:type="dxa"/>
          </w:tcPr>
          <w:p w14:paraId="10FA1B3F" w14:textId="77777777" w:rsidR="00431E5F" w:rsidRPr="00D92520" w:rsidRDefault="00431E5F" w:rsidP="00431E5F">
            <w:pPr>
              <w:rPr>
                <w:rFonts w:cs="Arial"/>
              </w:rPr>
            </w:pPr>
          </w:p>
        </w:tc>
        <w:tc>
          <w:tcPr>
            <w:tcW w:w="1659" w:type="dxa"/>
          </w:tcPr>
          <w:p w14:paraId="65F3E7E6" w14:textId="77777777" w:rsidR="00431E5F" w:rsidRPr="00D92520" w:rsidRDefault="00431E5F" w:rsidP="00431E5F">
            <w:pPr>
              <w:rPr>
                <w:rFonts w:cs="Arial"/>
              </w:rPr>
            </w:pPr>
          </w:p>
        </w:tc>
        <w:tc>
          <w:tcPr>
            <w:tcW w:w="1890" w:type="dxa"/>
            <w:vAlign w:val="bottom"/>
          </w:tcPr>
          <w:p w14:paraId="5914533F" w14:textId="4E55B721" w:rsidR="00431E5F" w:rsidRPr="00D92520" w:rsidRDefault="00431E5F" w:rsidP="00431E5F">
            <w:pPr>
              <w:rPr>
                <w:rFonts w:cs="Arial"/>
              </w:rPr>
            </w:pPr>
            <w:r w:rsidRPr="00D92520">
              <w:rPr>
                <w:rFonts w:cs="Arial"/>
              </w:rPr>
              <w:t>Вазодилатация Хипотония Синкоп</w:t>
            </w:r>
          </w:p>
        </w:tc>
        <w:tc>
          <w:tcPr>
            <w:tcW w:w="1825" w:type="dxa"/>
          </w:tcPr>
          <w:p w14:paraId="7BCA78EA" w14:textId="495F53DD" w:rsidR="00431E5F" w:rsidRPr="00D92520" w:rsidRDefault="00431E5F" w:rsidP="00431E5F">
            <w:pPr>
              <w:rPr>
                <w:rFonts w:cs="Arial"/>
              </w:rPr>
            </w:pPr>
            <w:r w:rsidRPr="00D92520">
              <w:rPr>
                <w:rFonts w:cs="Arial"/>
              </w:rPr>
              <w:t>Васкулит</w:t>
            </w:r>
          </w:p>
        </w:tc>
        <w:tc>
          <w:tcPr>
            <w:tcW w:w="1600" w:type="dxa"/>
          </w:tcPr>
          <w:p w14:paraId="218DB1D4" w14:textId="77777777" w:rsidR="00431E5F" w:rsidRPr="00D92520" w:rsidRDefault="00431E5F" w:rsidP="00431E5F">
            <w:pPr>
              <w:rPr>
                <w:rFonts w:cs="Arial"/>
              </w:rPr>
            </w:pPr>
          </w:p>
        </w:tc>
      </w:tr>
      <w:tr w:rsidR="00431E5F" w14:paraId="5C9D9D40" w14:textId="77777777" w:rsidTr="00431E5F">
        <w:tc>
          <w:tcPr>
            <w:tcW w:w="1702" w:type="dxa"/>
            <w:vAlign w:val="bottom"/>
          </w:tcPr>
          <w:p w14:paraId="1AEC9771" w14:textId="69212E2F" w:rsidR="00431E5F" w:rsidRPr="00D92520" w:rsidRDefault="00431E5F" w:rsidP="00431E5F">
            <w:pPr>
              <w:rPr>
                <w:rFonts w:cs="Arial"/>
              </w:rPr>
            </w:pPr>
            <w:r w:rsidRPr="00D92520">
              <w:rPr>
                <w:rFonts w:cs="Arial"/>
                <w:b/>
                <w:bCs/>
              </w:rPr>
              <w:t>Респираторни, гръдни и медиастинал- ни нарушения</w:t>
            </w:r>
          </w:p>
        </w:tc>
        <w:tc>
          <w:tcPr>
            <w:tcW w:w="900" w:type="dxa"/>
          </w:tcPr>
          <w:p w14:paraId="017A94C2" w14:textId="77777777" w:rsidR="00431E5F" w:rsidRPr="00D92520" w:rsidRDefault="00431E5F" w:rsidP="00431E5F">
            <w:pPr>
              <w:rPr>
                <w:rFonts w:cs="Arial"/>
              </w:rPr>
            </w:pPr>
          </w:p>
        </w:tc>
        <w:tc>
          <w:tcPr>
            <w:tcW w:w="1659" w:type="dxa"/>
          </w:tcPr>
          <w:p w14:paraId="56A98D9F" w14:textId="77777777" w:rsidR="00431E5F" w:rsidRPr="00D92520" w:rsidRDefault="00431E5F" w:rsidP="00431E5F">
            <w:pPr>
              <w:rPr>
                <w:rFonts w:cs="Arial"/>
              </w:rPr>
            </w:pPr>
          </w:p>
        </w:tc>
        <w:tc>
          <w:tcPr>
            <w:tcW w:w="1890" w:type="dxa"/>
          </w:tcPr>
          <w:p w14:paraId="41AB00FA" w14:textId="38F5A64E" w:rsidR="00431E5F" w:rsidRPr="00D92520" w:rsidRDefault="00431E5F" w:rsidP="00431E5F">
            <w:pPr>
              <w:rPr>
                <w:rFonts w:cs="Arial"/>
              </w:rPr>
            </w:pPr>
            <w:r w:rsidRPr="00D92520">
              <w:rPr>
                <w:rFonts w:cs="Arial"/>
              </w:rPr>
              <w:t>Диспнея (вкл. астматични състояния)</w:t>
            </w:r>
          </w:p>
        </w:tc>
        <w:tc>
          <w:tcPr>
            <w:tcW w:w="1825" w:type="dxa"/>
          </w:tcPr>
          <w:p w14:paraId="5851518F" w14:textId="77777777" w:rsidR="00431E5F" w:rsidRPr="00D92520" w:rsidRDefault="00431E5F" w:rsidP="00431E5F">
            <w:pPr>
              <w:rPr>
                <w:rFonts w:cs="Arial"/>
              </w:rPr>
            </w:pPr>
          </w:p>
        </w:tc>
        <w:tc>
          <w:tcPr>
            <w:tcW w:w="1600" w:type="dxa"/>
          </w:tcPr>
          <w:p w14:paraId="42B2B384" w14:textId="77777777" w:rsidR="00431E5F" w:rsidRPr="00D92520" w:rsidRDefault="00431E5F" w:rsidP="00431E5F">
            <w:pPr>
              <w:rPr>
                <w:rFonts w:cs="Arial"/>
              </w:rPr>
            </w:pPr>
          </w:p>
        </w:tc>
      </w:tr>
      <w:tr w:rsidR="00431E5F" w14:paraId="1978A156" w14:textId="77777777" w:rsidTr="00431E5F">
        <w:tc>
          <w:tcPr>
            <w:tcW w:w="1702" w:type="dxa"/>
          </w:tcPr>
          <w:p w14:paraId="25A69956" w14:textId="42F9C106" w:rsidR="00431E5F" w:rsidRPr="00D92520" w:rsidRDefault="00431E5F" w:rsidP="00431E5F">
            <w:pPr>
              <w:rPr>
                <w:rFonts w:cs="Arial"/>
              </w:rPr>
            </w:pPr>
            <w:r w:rsidRPr="00D92520">
              <w:rPr>
                <w:rFonts w:cs="Arial"/>
                <w:b/>
                <w:bCs/>
              </w:rPr>
              <w:t>Стомашно- чревни нарушения</w:t>
            </w:r>
          </w:p>
        </w:tc>
        <w:tc>
          <w:tcPr>
            <w:tcW w:w="900" w:type="dxa"/>
          </w:tcPr>
          <w:p w14:paraId="026ECFFC" w14:textId="77777777" w:rsidR="00431E5F" w:rsidRPr="00D92520" w:rsidRDefault="00431E5F" w:rsidP="00431E5F">
            <w:pPr>
              <w:rPr>
                <w:rFonts w:cs="Arial"/>
              </w:rPr>
            </w:pPr>
            <w:r w:rsidRPr="00D92520">
              <w:rPr>
                <w:rFonts w:cs="Arial"/>
              </w:rPr>
              <w:t>Гадене</w:t>
            </w:r>
          </w:p>
          <w:p w14:paraId="0355401A" w14:textId="702DB0FD" w:rsidR="00431E5F" w:rsidRPr="00D92520" w:rsidRDefault="00431E5F" w:rsidP="00431E5F">
            <w:pPr>
              <w:rPr>
                <w:rFonts w:cs="Arial"/>
              </w:rPr>
            </w:pPr>
            <w:r w:rsidRPr="00D92520">
              <w:rPr>
                <w:rFonts w:cs="Arial"/>
              </w:rPr>
              <w:t>Диария</w:t>
            </w:r>
          </w:p>
        </w:tc>
        <w:tc>
          <w:tcPr>
            <w:tcW w:w="1659" w:type="dxa"/>
          </w:tcPr>
          <w:p w14:paraId="7888E056" w14:textId="23EBCDD4" w:rsidR="00431E5F" w:rsidRPr="00D92520" w:rsidRDefault="00431E5F" w:rsidP="00431E5F">
            <w:pPr>
              <w:rPr>
                <w:rFonts w:cs="Arial"/>
              </w:rPr>
            </w:pPr>
            <w:r w:rsidRPr="00D92520">
              <w:rPr>
                <w:rFonts w:cs="Arial"/>
              </w:rPr>
              <w:t>Повръщане, Стомашно- чревна и коремна болка Диспепсия Газове</w:t>
            </w:r>
          </w:p>
        </w:tc>
        <w:tc>
          <w:tcPr>
            <w:tcW w:w="1890" w:type="dxa"/>
            <w:vAlign w:val="bottom"/>
          </w:tcPr>
          <w:p w14:paraId="36133A9B" w14:textId="2844086C" w:rsidR="00431E5F" w:rsidRPr="00D92520" w:rsidRDefault="00431E5F" w:rsidP="00431E5F">
            <w:pPr>
              <w:rPr>
                <w:rFonts w:cs="Arial"/>
              </w:rPr>
            </w:pPr>
            <w:r w:rsidRPr="00D92520">
              <w:rPr>
                <w:rFonts w:cs="Arial"/>
              </w:rPr>
              <w:t>Антибиотик- свързан псевдомем- бранозен колит (много рядко с възможен фатален изход) (вж. точка 4.4)</w:t>
            </w:r>
          </w:p>
        </w:tc>
        <w:tc>
          <w:tcPr>
            <w:tcW w:w="1825" w:type="dxa"/>
          </w:tcPr>
          <w:p w14:paraId="1ABC245A" w14:textId="5503D8DF" w:rsidR="00431E5F" w:rsidRPr="00D92520" w:rsidRDefault="00431E5F" w:rsidP="00431E5F">
            <w:pPr>
              <w:rPr>
                <w:rFonts w:cs="Arial"/>
              </w:rPr>
            </w:pPr>
            <w:r w:rsidRPr="00D92520">
              <w:rPr>
                <w:rFonts w:cs="Arial"/>
              </w:rPr>
              <w:t>Панкреатит</w:t>
            </w:r>
          </w:p>
        </w:tc>
        <w:tc>
          <w:tcPr>
            <w:tcW w:w="1600" w:type="dxa"/>
          </w:tcPr>
          <w:p w14:paraId="3ECB5495" w14:textId="77777777" w:rsidR="00431E5F" w:rsidRPr="00D92520" w:rsidRDefault="00431E5F" w:rsidP="00431E5F">
            <w:pPr>
              <w:rPr>
                <w:rFonts w:cs="Arial"/>
              </w:rPr>
            </w:pPr>
          </w:p>
        </w:tc>
      </w:tr>
      <w:tr w:rsidR="00431E5F" w14:paraId="52C2FA3A" w14:textId="77777777" w:rsidTr="00431E5F">
        <w:tc>
          <w:tcPr>
            <w:tcW w:w="1702" w:type="dxa"/>
          </w:tcPr>
          <w:p w14:paraId="43D2257A" w14:textId="0FA3C15A" w:rsidR="00431E5F" w:rsidRPr="00D92520" w:rsidRDefault="00431E5F" w:rsidP="00431E5F">
            <w:pPr>
              <w:rPr>
                <w:rFonts w:cs="Arial"/>
              </w:rPr>
            </w:pPr>
            <w:r w:rsidRPr="00D92520">
              <w:rPr>
                <w:rFonts w:cs="Arial"/>
                <w:b/>
                <w:bCs/>
              </w:rPr>
              <w:t xml:space="preserve">Хепато- билиарни </w:t>
            </w:r>
            <w:r w:rsidRPr="00D92520">
              <w:rPr>
                <w:rFonts w:cs="Arial"/>
                <w:b/>
                <w:bCs/>
              </w:rPr>
              <w:lastRenderedPageBreak/>
              <w:t>нарушения</w:t>
            </w:r>
          </w:p>
        </w:tc>
        <w:tc>
          <w:tcPr>
            <w:tcW w:w="900" w:type="dxa"/>
          </w:tcPr>
          <w:p w14:paraId="6FF48CDD" w14:textId="77777777" w:rsidR="00431E5F" w:rsidRPr="00D92520" w:rsidRDefault="00431E5F" w:rsidP="00431E5F">
            <w:pPr>
              <w:rPr>
                <w:rFonts w:cs="Arial"/>
              </w:rPr>
            </w:pPr>
          </w:p>
        </w:tc>
        <w:tc>
          <w:tcPr>
            <w:tcW w:w="1659" w:type="dxa"/>
          </w:tcPr>
          <w:p w14:paraId="13CCE86F" w14:textId="183D411C" w:rsidR="00431E5F" w:rsidRPr="00D92520" w:rsidRDefault="00431E5F" w:rsidP="00431E5F">
            <w:pPr>
              <w:rPr>
                <w:rFonts w:cs="Arial"/>
              </w:rPr>
            </w:pPr>
            <w:r w:rsidRPr="00D92520">
              <w:rPr>
                <w:rFonts w:cs="Arial"/>
              </w:rPr>
              <w:t xml:space="preserve">Повишени трансаминази </w:t>
            </w:r>
            <w:r w:rsidRPr="00D92520">
              <w:rPr>
                <w:rFonts w:cs="Arial"/>
              </w:rPr>
              <w:lastRenderedPageBreak/>
              <w:t>Повишен билирубин</w:t>
            </w:r>
          </w:p>
        </w:tc>
        <w:tc>
          <w:tcPr>
            <w:tcW w:w="1890" w:type="dxa"/>
          </w:tcPr>
          <w:p w14:paraId="36FD9E66" w14:textId="00F7977B" w:rsidR="00431E5F" w:rsidRPr="00D92520" w:rsidRDefault="00431E5F" w:rsidP="00431E5F">
            <w:pPr>
              <w:rPr>
                <w:rFonts w:cs="Arial"/>
              </w:rPr>
            </w:pPr>
            <w:r w:rsidRPr="00D92520">
              <w:rPr>
                <w:rFonts w:cs="Arial"/>
              </w:rPr>
              <w:lastRenderedPageBreak/>
              <w:t xml:space="preserve">Чернодробно увреждане, </w:t>
            </w:r>
            <w:r w:rsidRPr="00D92520">
              <w:rPr>
                <w:rFonts w:cs="Arial"/>
              </w:rPr>
              <w:lastRenderedPageBreak/>
              <w:t>Холестатичен иктер Хепатит</w:t>
            </w:r>
          </w:p>
        </w:tc>
        <w:tc>
          <w:tcPr>
            <w:tcW w:w="1825" w:type="dxa"/>
            <w:vAlign w:val="bottom"/>
          </w:tcPr>
          <w:p w14:paraId="3AB2921C" w14:textId="357B0806" w:rsidR="00431E5F" w:rsidRPr="00D92520" w:rsidRDefault="00431E5F" w:rsidP="00431E5F">
            <w:pPr>
              <w:rPr>
                <w:rFonts w:cs="Arial"/>
              </w:rPr>
            </w:pPr>
            <w:r w:rsidRPr="00D92520">
              <w:rPr>
                <w:rFonts w:cs="Arial"/>
              </w:rPr>
              <w:lastRenderedPageBreak/>
              <w:t xml:space="preserve">Чернодробна некроза (много </w:t>
            </w:r>
            <w:r w:rsidRPr="00D92520">
              <w:rPr>
                <w:rFonts w:cs="Arial"/>
              </w:rPr>
              <w:lastRenderedPageBreak/>
              <w:t>рядко прогресираща до животозастраша- ваща чернодробна недостатъчност) (вж. точка 4.4)</w:t>
            </w:r>
          </w:p>
        </w:tc>
        <w:tc>
          <w:tcPr>
            <w:tcW w:w="1600" w:type="dxa"/>
          </w:tcPr>
          <w:p w14:paraId="6F9C1AF4" w14:textId="77777777" w:rsidR="00431E5F" w:rsidRPr="00D92520" w:rsidRDefault="00431E5F" w:rsidP="00431E5F">
            <w:pPr>
              <w:rPr>
                <w:rFonts w:cs="Arial"/>
              </w:rPr>
            </w:pPr>
          </w:p>
        </w:tc>
      </w:tr>
      <w:tr w:rsidR="00431E5F" w14:paraId="1DC5631F" w14:textId="77777777" w:rsidTr="00431E5F">
        <w:trPr>
          <w:trHeight w:val="3680"/>
        </w:trPr>
        <w:tc>
          <w:tcPr>
            <w:tcW w:w="1702" w:type="dxa"/>
          </w:tcPr>
          <w:p w14:paraId="1D065904" w14:textId="0A706CE3" w:rsidR="00431E5F" w:rsidRPr="00D92520" w:rsidRDefault="00431E5F" w:rsidP="00431E5F">
            <w:pPr>
              <w:rPr>
                <w:rFonts w:cs="Arial"/>
              </w:rPr>
            </w:pPr>
            <w:r w:rsidRPr="00D92520">
              <w:rPr>
                <w:rFonts w:cs="Arial"/>
                <w:b/>
                <w:bCs/>
              </w:rPr>
              <w:t>Нарушения на кожата и подкожната тъкан</w:t>
            </w:r>
          </w:p>
        </w:tc>
        <w:tc>
          <w:tcPr>
            <w:tcW w:w="900" w:type="dxa"/>
          </w:tcPr>
          <w:p w14:paraId="1791AF0B" w14:textId="77777777" w:rsidR="00431E5F" w:rsidRPr="00D92520" w:rsidRDefault="00431E5F" w:rsidP="00431E5F">
            <w:pPr>
              <w:rPr>
                <w:rFonts w:cs="Arial"/>
              </w:rPr>
            </w:pPr>
          </w:p>
        </w:tc>
        <w:tc>
          <w:tcPr>
            <w:tcW w:w="1659" w:type="dxa"/>
          </w:tcPr>
          <w:p w14:paraId="4AF50280" w14:textId="160DF6CA" w:rsidR="00431E5F" w:rsidRPr="00D92520" w:rsidRDefault="00431E5F" w:rsidP="00431E5F">
            <w:pPr>
              <w:rPr>
                <w:rFonts w:cs="Arial"/>
              </w:rPr>
            </w:pPr>
            <w:r w:rsidRPr="00D92520">
              <w:rPr>
                <w:rFonts w:cs="Arial"/>
              </w:rPr>
              <w:t>Обрив Сърбеж Уртикария</w:t>
            </w:r>
          </w:p>
        </w:tc>
        <w:tc>
          <w:tcPr>
            <w:tcW w:w="1890" w:type="dxa"/>
          </w:tcPr>
          <w:p w14:paraId="346DC99C" w14:textId="30C1714F" w:rsidR="00431E5F" w:rsidRPr="00D92520" w:rsidRDefault="00431E5F" w:rsidP="00431E5F">
            <w:pPr>
              <w:rPr>
                <w:rFonts w:cs="Arial"/>
              </w:rPr>
            </w:pPr>
            <w:r w:rsidRPr="00D92520">
              <w:rPr>
                <w:rFonts w:cs="Arial"/>
              </w:rPr>
              <w:t>Реакции на фото- чувствителност (вж. точка 4.4)</w:t>
            </w:r>
          </w:p>
        </w:tc>
        <w:tc>
          <w:tcPr>
            <w:tcW w:w="1825" w:type="dxa"/>
            <w:vAlign w:val="bottom"/>
          </w:tcPr>
          <w:p w14:paraId="0824B9F2" w14:textId="77777777" w:rsidR="00431E5F" w:rsidRPr="00D92520" w:rsidRDefault="00431E5F" w:rsidP="00431E5F">
            <w:pPr>
              <w:rPr>
                <w:rFonts w:cs="Arial"/>
              </w:rPr>
            </w:pPr>
            <w:r w:rsidRPr="00D92520">
              <w:rPr>
                <w:rFonts w:cs="Arial"/>
              </w:rPr>
              <w:t xml:space="preserve">Петехии Еритема мултиформе Еритема нодозум Синдром на </w:t>
            </w:r>
            <w:r w:rsidRPr="00D92520">
              <w:rPr>
                <w:rFonts w:cs="Arial"/>
                <w:lang w:val="en-US"/>
              </w:rPr>
              <w:t xml:space="preserve">Stevens-Johnson </w:t>
            </w:r>
            <w:r w:rsidRPr="00D92520">
              <w:rPr>
                <w:rFonts w:cs="Arial"/>
              </w:rPr>
              <w:t>(потенциално животозастраша- ващ) Токсична епидермална</w:t>
            </w:r>
          </w:p>
          <w:p w14:paraId="03FE2F04" w14:textId="77777777" w:rsidR="00431E5F" w:rsidRPr="00D92520" w:rsidRDefault="00431E5F" w:rsidP="00431E5F">
            <w:pPr>
              <w:rPr>
                <w:rFonts w:cs="Arial"/>
              </w:rPr>
            </w:pPr>
            <w:r w:rsidRPr="00D92520">
              <w:rPr>
                <w:rFonts w:cs="Arial"/>
              </w:rPr>
              <w:t>некролиза</w:t>
            </w:r>
          </w:p>
          <w:p w14:paraId="4DCBB472" w14:textId="77777777" w:rsidR="00431E5F" w:rsidRPr="00D92520" w:rsidRDefault="00431E5F" w:rsidP="00431E5F">
            <w:pPr>
              <w:rPr>
                <w:rFonts w:cs="Arial"/>
              </w:rPr>
            </w:pPr>
            <w:r w:rsidRPr="00D92520">
              <w:rPr>
                <w:rFonts w:cs="Arial"/>
              </w:rPr>
              <w:t>(потенциално</w:t>
            </w:r>
          </w:p>
          <w:p w14:paraId="72DC28BB" w14:textId="1AD64DA3" w:rsidR="00431E5F" w:rsidRPr="00D92520" w:rsidRDefault="00431E5F" w:rsidP="00431E5F">
            <w:pPr>
              <w:rPr>
                <w:rFonts w:cs="Arial"/>
              </w:rPr>
            </w:pPr>
            <w:r w:rsidRPr="00D92520">
              <w:rPr>
                <w:rFonts w:cs="Arial"/>
              </w:rPr>
              <w:t>животозастраша- ваща)</w:t>
            </w:r>
          </w:p>
        </w:tc>
        <w:tc>
          <w:tcPr>
            <w:tcW w:w="1600" w:type="dxa"/>
          </w:tcPr>
          <w:p w14:paraId="03137D95" w14:textId="4567B590" w:rsidR="00431E5F" w:rsidRPr="00D92520" w:rsidRDefault="00431E5F" w:rsidP="00431E5F">
            <w:pPr>
              <w:rPr>
                <w:rFonts w:cs="Arial"/>
              </w:rPr>
            </w:pPr>
            <w:r w:rsidRPr="00D92520">
              <w:rPr>
                <w:rFonts w:cs="Arial"/>
              </w:rPr>
              <w:t>Остра генерали</w:t>
            </w:r>
            <w:r w:rsidRPr="00D92520">
              <w:rPr>
                <w:rFonts w:cs="Arial"/>
              </w:rPr>
              <w:softHyphen/>
              <w:t xml:space="preserve">зирана екзантема- тозна пустолоза </w:t>
            </w:r>
            <w:r w:rsidRPr="00D92520">
              <w:rPr>
                <w:rFonts w:cs="Arial"/>
                <w:lang w:val="en-US"/>
              </w:rPr>
              <w:t xml:space="preserve">(AGEP), DRESS </w:t>
            </w:r>
            <w:r w:rsidRPr="00D92520">
              <w:rPr>
                <w:rFonts w:cs="Arial"/>
              </w:rPr>
              <w:t>синдром</w:t>
            </w:r>
          </w:p>
        </w:tc>
      </w:tr>
      <w:tr w:rsidR="00431E5F" w14:paraId="22931AD1" w14:textId="77777777" w:rsidTr="00431E5F">
        <w:tc>
          <w:tcPr>
            <w:tcW w:w="1702" w:type="dxa"/>
          </w:tcPr>
          <w:p w14:paraId="2B9A614A" w14:textId="5A8F500B" w:rsidR="00431E5F" w:rsidRPr="00D92520" w:rsidRDefault="00431E5F" w:rsidP="00431E5F">
            <w:pPr>
              <w:rPr>
                <w:rFonts w:cs="Arial"/>
              </w:rPr>
            </w:pPr>
            <w:r w:rsidRPr="00D92520">
              <w:rPr>
                <w:rFonts w:cs="Arial"/>
                <w:b/>
                <w:bCs/>
              </w:rPr>
              <w:t>Нарушения на мускулно- скелетната система и съединителна</w:t>
            </w:r>
            <w:r w:rsidRPr="00D92520">
              <w:rPr>
                <w:rFonts w:cs="Arial"/>
                <w:b/>
                <w:bCs/>
              </w:rPr>
              <w:softHyphen/>
              <w:t>та тъкан*</w:t>
            </w:r>
          </w:p>
        </w:tc>
        <w:tc>
          <w:tcPr>
            <w:tcW w:w="900" w:type="dxa"/>
          </w:tcPr>
          <w:p w14:paraId="5C930C74" w14:textId="77777777" w:rsidR="00431E5F" w:rsidRPr="00D92520" w:rsidRDefault="00431E5F" w:rsidP="00431E5F">
            <w:pPr>
              <w:rPr>
                <w:rFonts w:cs="Arial"/>
              </w:rPr>
            </w:pPr>
          </w:p>
        </w:tc>
        <w:tc>
          <w:tcPr>
            <w:tcW w:w="1659" w:type="dxa"/>
          </w:tcPr>
          <w:p w14:paraId="10519D4E" w14:textId="46FE9AED" w:rsidR="00431E5F" w:rsidRPr="00D92520" w:rsidRDefault="00431E5F" w:rsidP="00431E5F">
            <w:pPr>
              <w:rPr>
                <w:rFonts w:cs="Arial"/>
              </w:rPr>
            </w:pPr>
            <w:r w:rsidRPr="00D92520">
              <w:rPr>
                <w:rFonts w:cs="Arial"/>
              </w:rPr>
              <w:t>Скелетно- мускулна болка (напр. болка в крайниците, болка в гърба, болка в гърдите) Артралгия</w:t>
            </w:r>
          </w:p>
        </w:tc>
        <w:tc>
          <w:tcPr>
            <w:tcW w:w="1890" w:type="dxa"/>
          </w:tcPr>
          <w:p w14:paraId="260C60AD" w14:textId="308A4346" w:rsidR="00431E5F" w:rsidRPr="00D92520" w:rsidRDefault="00431E5F" w:rsidP="00431E5F">
            <w:pPr>
              <w:rPr>
                <w:rFonts w:cs="Arial"/>
              </w:rPr>
            </w:pPr>
            <w:r w:rsidRPr="00D92520">
              <w:rPr>
                <w:rFonts w:cs="Arial"/>
              </w:rPr>
              <w:t>Миалгия Артрит Повишен мускулен тонус и мускулни крампи</w:t>
            </w:r>
          </w:p>
        </w:tc>
        <w:tc>
          <w:tcPr>
            <w:tcW w:w="1825" w:type="dxa"/>
          </w:tcPr>
          <w:p w14:paraId="43E58E2F" w14:textId="4343B1B7" w:rsidR="00431E5F" w:rsidRPr="00D92520" w:rsidRDefault="00431E5F" w:rsidP="00431E5F">
            <w:pPr>
              <w:rPr>
                <w:rFonts w:cs="Arial"/>
              </w:rPr>
            </w:pPr>
            <w:r w:rsidRPr="00D92520">
              <w:rPr>
                <w:rFonts w:cs="Arial"/>
              </w:rPr>
              <w:t>Мускулна слабост Тендинит Разкъсване на сухожилия (предимно на Ахилесовото сухожилие) (вж. точка 4.4) Обостряне на симптомите на миастения гравис (вж. точка 4.4)</w:t>
            </w:r>
          </w:p>
        </w:tc>
        <w:tc>
          <w:tcPr>
            <w:tcW w:w="1600" w:type="dxa"/>
          </w:tcPr>
          <w:p w14:paraId="588C89E6" w14:textId="77777777" w:rsidR="00431E5F" w:rsidRPr="00D92520" w:rsidRDefault="00431E5F" w:rsidP="00431E5F">
            <w:pPr>
              <w:rPr>
                <w:rFonts w:cs="Arial"/>
              </w:rPr>
            </w:pPr>
          </w:p>
        </w:tc>
      </w:tr>
      <w:tr w:rsidR="00431E5F" w14:paraId="4325EB69" w14:textId="77777777" w:rsidTr="00431E5F">
        <w:tc>
          <w:tcPr>
            <w:tcW w:w="1702" w:type="dxa"/>
          </w:tcPr>
          <w:p w14:paraId="00788ABD" w14:textId="170598CB" w:rsidR="00431E5F" w:rsidRPr="00D92520" w:rsidRDefault="00431E5F" w:rsidP="00431E5F">
            <w:pPr>
              <w:rPr>
                <w:rFonts w:cs="Arial"/>
              </w:rPr>
            </w:pPr>
            <w:r w:rsidRPr="00D92520">
              <w:rPr>
                <w:rFonts w:cs="Arial"/>
                <w:b/>
                <w:bCs/>
              </w:rPr>
              <w:t>Нарушения на бъбреците и пикочните пътища</w:t>
            </w:r>
          </w:p>
        </w:tc>
        <w:tc>
          <w:tcPr>
            <w:tcW w:w="900" w:type="dxa"/>
          </w:tcPr>
          <w:p w14:paraId="2B6F1ABA" w14:textId="77777777" w:rsidR="00431E5F" w:rsidRPr="00D92520" w:rsidRDefault="00431E5F" w:rsidP="00431E5F">
            <w:pPr>
              <w:rPr>
                <w:rFonts w:cs="Arial"/>
              </w:rPr>
            </w:pPr>
          </w:p>
        </w:tc>
        <w:tc>
          <w:tcPr>
            <w:tcW w:w="1659" w:type="dxa"/>
          </w:tcPr>
          <w:p w14:paraId="60610F89" w14:textId="4CC35905" w:rsidR="00431E5F" w:rsidRPr="00D92520" w:rsidRDefault="00431E5F" w:rsidP="00431E5F">
            <w:pPr>
              <w:rPr>
                <w:rFonts w:cs="Arial"/>
              </w:rPr>
            </w:pPr>
            <w:r w:rsidRPr="00D92520">
              <w:rPr>
                <w:rFonts w:cs="Arial"/>
              </w:rPr>
              <w:t>Увреждане на бъбреците</w:t>
            </w:r>
          </w:p>
        </w:tc>
        <w:tc>
          <w:tcPr>
            <w:tcW w:w="1890" w:type="dxa"/>
          </w:tcPr>
          <w:p w14:paraId="069DE86E" w14:textId="7D3AF446" w:rsidR="00431E5F" w:rsidRPr="00D92520" w:rsidRDefault="00431E5F" w:rsidP="00431E5F">
            <w:pPr>
              <w:rPr>
                <w:rFonts w:cs="Arial"/>
              </w:rPr>
            </w:pPr>
            <w:r w:rsidRPr="00D92520">
              <w:rPr>
                <w:rFonts w:cs="Arial"/>
              </w:rPr>
              <w:t xml:space="preserve">Бъбречна недостатъчност Хематурия Кристалурия (вж. точка 4.4) Тубулоинтерсти- циален </w:t>
            </w:r>
            <w:r w:rsidRPr="00D92520">
              <w:rPr>
                <w:rFonts w:cs="Arial"/>
              </w:rPr>
              <w:lastRenderedPageBreak/>
              <w:t>нефрит</w:t>
            </w:r>
          </w:p>
        </w:tc>
        <w:tc>
          <w:tcPr>
            <w:tcW w:w="1825" w:type="dxa"/>
          </w:tcPr>
          <w:p w14:paraId="72EA8419" w14:textId="77777777" w:rsidR="00431E5F" w:rsidRPr="00D92520" w:rsidRDefault="00431E5F" w:rsidP="00431E5F">
            <w:pPr>
              <w:rPr>
                <w:rFonts w:cs="Arial"/>
              </w:rPr>
            </w:pPr>
          </w:p>
        </w:tc>
        <w:tc>
          <w:tcPr>
            <w:tcW w:w="1600" w:type="dxa"/>
          </w:tcPr>
          <w:p w14:paraId="29DA9F81" w14:textId="77777777" w:rsidR="00431E5F" w:rsidRPr="00D92520" w:rsidRDefault="00431E5F" w:rsidP="00431E5F">
            <w:pPr>
              <w:rPr>
                <w:rFonts w:cs="Arial"/>
              </w:rPr>
            </w:pPr>
          </w:p>
        </w:tc>
      </w:tr>
      <w:tr w:rsidR="00431E5F" w14:paraId="1E848F60" w14:textId="77777777" w:rsidTr="00431E5F">
        <w:tc>
          <w:tcPr>
            <w:tcW w:w="1702" w:type="dxa"/>
          </w:tcPr>
          <w:p w14:paraId="20C4E2EE" w14:textId="59BA0B01" w:rsidR="00431E5F" w:rsidRPr="00D92520" w:rsidRDefault="00431E5F" w:rsidP="00431E5F">
            <w:pPr>
              <w:rPr>
                <w:rFonts w:cs="Arial"/>
              </w:rPr>
            </w:pPr>
            <w:r w:rsidRPr="00D92520">
              <w:rPr>
                <w:rFonts w:cs="Arial"/>
                <w:b/>
                <w:bCs/>
              </w:rPr>
              <w:t>Общи нарушения и ефекти на мястото на приложение*</w:t>
            </w:r>
          </w:p>
        </w:tc>
        <w:tc>
          <w:tcPr>
            <w:tcW w:w="900" w:type="dxa"/>
          </w:tcPr>
          <w:p w14:paraId="3C427863" w14:textId="77777777" w:rsidR="00431E5F" w:rsidRPr="00D92520" w:rsidRDefault="00431E5F" w:rsidP="00431E5F">
            <w:pPr>
              <w:rPr>
                <w:rFonts w:cs="Arial"/>
              </w:rPr>
            </w:pPr>
          </w:p>
        </w:tc>
        <w:tc>
          <w:tcPr>
            <w:tcW w:w="1659" w:type="dxa"/>
          </w:tcPr>
          <w:p w14:paraId="5D114315" w14:textId="5144FCA7" w:rsidR="00431E5F" w:rsidRPr="00D92520" w:rsidRDefault="00431E5F" w:rsidP="00431E5F">
            <w:pPr>
              <w:rPr>
                <w:rFonts w:cs="Arial"/>
              </w:rPr>
            </w:pPr>
            <w:r w:rsidRPr="00D92520">
              <w:rPr>
                <w:rFonts w:cs="Arial"/>
              </w:rPr>
              <w:t>Астения Повишена температура</w:t>
            </w:r>
          </w:p>
        </w:tc>
        <w:tc>
          <w:tcPr>
            <w:tcW w:w="1890" w:type="dxa"/>
          </w:tcPr>
          <w:p w14:paraId="7A4763A7" w14:textId="5E9D83F5" w:rsidR="00431E5F" w:rsidRPr="00D92520" w:rsidRDefault="00431E5F" w:rsidP="00431E5F">
            <w:pPr>
              <w:rPr>
                <w:rFonts w:cs="Arial"/>
              </w:rPr>
            </w:pPr>
            <w:r w:rsidRPr="00D92520">
              <w:rPr>
                <w:rFonts w:cs="Arial"/>
              </w:rPr>
              <w:t>Оток Изпотяване (хиперхидроза)</w:t>
            </w:r>
          </w:p>
        </w:tc>
        <w:tc>
          <w:tcPr>
            <w:tcW w:w="1825" w:type="dxa"/>
          </w:tcPr>
          <w:p w14:paraId="1FC6F482" w14:textId="77777777" w:rsidR="00431E5F" w:rsidRPr="00D92520" w:rsidRDefault="00431E5F" w:rsidP="00431E5F">
            <w:pPr>
              <w:rPr>
                <w:rFonts w:cs="Arial"/>
              </w:rPr>
            </w:pPr>
          </w:p>
        </w:tc>
        <w:tc>
          <w:tcPr>
            <w:tcW w:w="1600" w:type="dxa"/>
          </w:tcPr>
          <w:p w14:paraId="2E9ED600" w14:textId="77777777" w:rsidR="00431E5F" w:rsidRPr="00D92520" w:rsidRDefault="00431E5F" w:rsidP="00431E5F">
            <w:pPr>
              <w:rPr>
                <w:rFonts w:cs="Arial"/>
              </w:rPr>
            </w:pPr>
          </w:p>
        </w:tc>
      </w:tr>
      <w:tr w:rsidR="00431E5F" w14:paraId="018CF6F0" w14:textId="77777777" w:rsidTr="00431E5F">
        <w:tc>
          <w:tcPr>
            <w:tcW w:w="1702" w:type="dxa"/>
          </w:tcPr>
          <w:p w14:paraId="5E7D1364" w14:textId="5BDC406B" w:rsidR="00431E5F" w:rsidRPr="00D92520" w:rsidRDefault="00431E5F" w:rsidP="00431E5F">
            <w:pPr>
              <w:rPr>
                <w:rFonts w:cs="Arial"/>
              </w:rPr>
            </w:pPr>
            <w:r w:rsidRPr="00D92520">
              <w:rPr>
                <w:rFonts w:cs="Arial"/>
                <w:b/>
                <w:bCs/>
              </w:rPr>
              <w:t>Изследвания</w:t>
            </w:r>
          </w:p>
        </w:tc>
        <w:tc>
          <w:tcPr>
            <w:tcW w:w="900" w:type="dxa"/>
          </w:tcPr>
          <w:p w14:paraId="7F5DC209" w14:textId="77777777" w:rsidR="00431E5F" w:rsidRPr="00D92520" w:rsidRDefault="00431E5F" w:rsidP="00431E5F">
            <w:pPr>
              <w:rPr>
                <w:rFonts w:cs="Arial"/>
              </w:rPr>
            </w:pPr>
          </w:p>
        </w:tc>
        <w:tc>
          <w:tcPr>
            <w:tcW w:w="1659" w:type="dxa"/>
          </w:tcPr>
          <w:p w14:paraId="4AE9C3E3" w14:textId="2BA030B9" w:rsidR="00431E5F" w:rsidRPr="00D92520" w:rsidRDefault="00431E5F" w:rsidP="00431E5F">
            <w:pPr>
              <w:rPr>
                <w:rFonts w:cs="Arial"/>
              </w:rPr>
            </w:pPr>
            <w:r w:rsidRPr="00D92520">
              <w:rPr>
                <w:rFonts w:cs="Arial"/>
              </w:rPr>
              <w:t>Повишена алкална фосфатаза в кръвта</w:t>
            </w:r>
          </w:p>
        </w:tc>
        <w:tc>
          <w:tcPr>
            <w:tcW w:w="1890" w:type="dxa"/>
          </w:tcPr>
          <w:p w14:paraId="050CB59C" w14:textId="3B79F99B" w:rsidR="00431E5F" w:rsidRPr="00D92520" w:rsidRDefault="00431E5F" w:rsidP="00431E5F">
            <w:pPr>
              <w:rPr>
                <w:rFonts w:cs="Arial"/>
              </w:rPr>
            </w:pPr>
            <w:r w:rsidRPr="00D92520">
              <w:rPr>
                <w:rFonts w:cs="Arial"/>
              </w:rPr>
              <w:t>Повишена амилаза</w:t>
            </w:r>
          </w:p>
        </w:tc>
        <w:tc>
          <w:tcPr>
            <w:tcW w:w="1825" w:type="dxa"/>
          </w:tcPr>
          <w:p w14:paraId="539FC27D" w14:textId="77777777" w:rsidR="00431E5F" w:rsidRPr="00D92520" w:rsidRDefault="00431E5F" w:rsidP="00431E5F">
            <w:pPr>
              <w:rPr>
                <w:rFonts w:cs="Arial"/>
              </w:rPr>
            </w:pPr>
          </w:p>
        </w:tc>
        <w:tc>
          <w:tcPr>
            <w:tcW w:w="1600" w:type="dxa"/>
          </w:tcPr>
          <w:p w14:paraId="32F524AE" w14:textId="51698553" w:rsidR="00431E5F" w:rsidRPr="00D92520" w:rsidRDefault="00431E5F" w:rsidP="00431E5F">
            <w:pPr>
              <w:rPr>
                <w:rFonts w:cs="Arial"/>
              </w:rPr>
            </w:pPr>
            <w:r w:rsidRPr="00D92520">
              <w:rPr>
                <w:rFonts w:cs="Arial"/>
              </w:rPr>
              <w:t>Повишено международно нормализира</w:t>
            </w:r>
            <w:r w:rsidRPr="00D92520">
              <w:rPr>
                <w:rFonts w:cs="Arial"/>
              </w:rPr>
              <w:softHyphen/>
              <w:t xml:space="preserve">но съотношение </w:t>
            </w:r>
            <w:r w:rsidRPr="00D92520">
              <w:rPr>
                <w:rFonts w:cs="Arial"/>
                <w:lang w:val="en-US"/>
              </w:rPr>
              <w:t xml:space="preserve">INR </w:t>
            </w:r>
            <w:r w:rsidRPr="00D92520">
              <w:rPr>
                <w:rFonts w:cs="Arial"/>
              </w:rPr>
              <w:t>(при пациенти, лекувани с антагонисти на витамин К)</w:t>
            </w:r>
          </w:p>
        </w:tc>
      </w:tr>
    </w:tbl>
    <w:p w14:paraId="31884628" w14:textId="53F831B0" w:rsidR="00431E5F" w:rsidRDefault="00431E5F" w:rsidP="0091385D"/>
    <w:p w14:paraId="66B25C62" w14:textId="5452727F" w:rsidR="00431E5F" w:rsidRPr="00431E5F" w:rsidRDefault="00431E5F" w:rsidP="00431E5F">
      <w:pPr>
        <w:spacing w:line="240" w:lineRule="auto"/>
        <w:rPr>
          <w:rFonts w:eastAsia="Times New Roman" w:cs="Arial"/>
          <w:color w:val="000000"/>
          <w:lang w:eastAsia="bg-BG"/>
        </w:rPr>
      </w:pPr>
      <w:r w:rsidRPr="00431E5F">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паресгезии,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79FF4647" w14:textId="77777777" w:rsidR="00431E5F" w:rsidRPr="00431E5F" w:rsidRDefault="00431E5F" w:rsidP="00431E5F">
      <w:pPr>
        <w:spacing w:line="240" w:lineRule="auto"/>
        <w:rPr>
          <w:rFonts w:eastAsia="Times New Roman" w:cs="Arial"/>
          <w:lang w:eastAsia="bg-BG"/>
        </w:rPr>
      </w:pPr>
    </w:p>
    <w:p w14:paraId="638F02A0"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(вж. точка 4.4).</w:t>
      </w:r>
    </w:p>
    <w:p w14:paraId="6EFD569F" w14:textId="77777777" w:rsidR="00431E5F" w:rsidRPr="00431E5F" w:rsidRDefault="00431E5F" w:rsidP="00431E5F">
      <w:pPr>
        <w:spacing w:line="240" w:lineRule="auto"/>
        <w:rPr>
          <w:rFonts w:eastAsia="Times New Roman" w:cs="Arial"/>
          <w:color w:val="000000"/>
          <w:u w:val="single"/>
          <w:lang w:eastAsia="bg-BG"/>
        </w:rPr>
      </w:pPr>
    </w:p>
    <w:p w14:paraId="0064AAF7" w14:textId="51381152" w:rsidR="00431E5F" w:rsidRPr="00431E5F" w:rsidRDefault="00431E5F" w:rsidP="00431E5F">
      <w:pPr>
        <w:spacing w:line="240" w:lineRule="auto"/>
        <w:rPr>
          <w:rFonts w:eastAsia="Times New Roman" w:cs="Arial"/>
          <w:lang w:eastAsia="bg-BG"/>
        </w:rPr>
      </w:pPr>
      <w:r w:rsidRPr="00431E5F">
        <w:rPr>
          <w:rFonts w:eastAsia="Times New Roman" w:cs="Arial"/>
          <w:color w:val="000000"/>
          <w:u w:val="single"/>
          <w:lang w:eastAsia="bg-BG"/>
        </w:rPr>
        <w:t>Педиатрична популация</w:t>
      </w:r>
    </w:p>
    <w:p w14:paraId="73971FE0" w14:textId="30FF7C5B" w:rsidR="00431E5F" w:rsidRPr="00431E5F" w:rsidRDefault="00431E5F" w:rsidP="00431E5F">
      <w:pPr>
        <w:rPr>
          <w:rFonts w:cs="Arial"/>
        </w:rPr>
      </w:pPr>
      <w:r w:rsidRPr="00431E5F">
        <w:rPr>
          <w:rFonts w:eastAsia="Times New Roman" w:cs="Arial"/>
          <w:color w:val="000000"/>
          <w:lang w:eastAsia="bg-BG"/>
        </w:rPr>
        <w:t>Представената по-горе честота на артропатия се отнася за данните от проучвания при възрастни. Съобщава се, че при деца артропатията се среща по-често (вж. точка 4.4).</w:t>
      </w:r>
    </w:p>
    <w:p w14:paraId="02E60EA6" w14:textId="07F0F7D1" w:rsidR="00431E5F" w:rsidRPr="00431E5F" w:rsidRDefault="00431E5F" w:rsidP="0091385D">
      <w:pPr>
        <w:rPr>
          <w:rFonts w:cs="Arial"/>
        </w:rPr>
      </w:pPr>
    </w:p>
    <w:p w14:paraId="1233F070"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u w:val="single"/>
          <w:lang w:eastAsia="bg-BG"/>
        </w:rPr>
        <w:t>Съобщаване на подозирани нежелани реакции</w:t>
      </w:r>
    </w:p>
    <w:p w14:paraId="425FCFB0" w14:textId="6D9BA7AA" w:rsidR="00431E5F" w:rsidRPr="00431E5F" w:rsidRDefault="00431E5F" w:rsidP="00431E5F">
      <w:pPr>
        <w:rPr>
          <w:rFonts w:cs="Arial"/>
        </w:rPr>
      </w:pPr>
      <w:r w:rsidRPr="00431E5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към: Изпълнителна агенция по лекарствата, ул. „Дамян Груев” № 8, 1303 София, Тел,: +35928903417, уебсайт: </w:t>
      </w:r>
      <w:r w:rsidRPr="00431E5F">
        <w:rPr>
          <w:rFonts w:eastAsia="Times New Roman" w:cs="Arial"/>
          <w:lang w:eastAsia="bg-BG"/>
        </w:rPr>
        <w:fldChar w:fldCharType="begin"/>
      </w:r>
      <w:r w:rsidRPr="00431E5F">
        <w:rPr>
          <w:rFonts w:eastAsia="Times New Roman" w:cs="Arial"/>
          <w:lang w:eastAsia="bg-BG"/>
        </w:rPr>
        <w:instrText xml:space="preserve"> HYPERLINK "http://www.bda.bg" </w:instrText>
      </w:r>
      <w:r w:rsidRPr="00431E5F">
        <w:rPr>
          <w:rFonts w:eastAsia="Times New Roman" w:cs="Arial"/>
          <w:lang w:eastAsia="bg-BG"/>
        </w:rPr>
      </w:r>
      <w:r w:rsidRPr="00431E5F">
        <w:rPr>
          <w:rFonts w:eastAsia="Times New Roman" w:cs="Arial"/>
          <w:lang w:eastAsia="bg-BG"/>
        </w:rPr>
        <w:fldChar w:fldCharType="separate"/>
      </w:r>
      <w:r w:rsidRPr="00431E5F">
        <w:rPr>
          <w:rFonts w:eastAsia="Times New Roman" w:cs="Arial"/>
          <w:color w:val="000000"/>
          <w:lang w:val="en-US"/>
        </w:rPr>
        <w:t>www.bda.bg</w:t>
      </w:r>
      <w:r w:rsidRPr="00431E5F">
        <w:rPr>
          <w:rFonts w:eastAsia="Times New Roman" w:cs="Arial"/>
          <w:lang w:eastAsia="bg-BG"/>
        </w:rPr>
        <w:fldChar w:fldCharType="end"/>
      </w:r>
      <w:r w:rsidRPr="00431E5F">
        <w:rPr>
          <w:rFonts w:eastAsia="Times New Roman" w:cs="Arial"/>
          <w:color w:val="000000"/>
          <w:lang w:val="en-US"/>
        </w:rPr>
        <w:t>.</w:t>
      </w:r>
    </w:p>
    <w:p w14:paraId="14040A71" w14:textId="77777777" w:rsidR="00431E5F" w:rsidRPr="0091385D" w:rsidRDefault="00431E5F"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2A13EDF" w14:textId="77777777"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lastRenderedPageBreak/>
        <w:t xml:space="preserve">Има съобщение за единичен случай на предозиране от </w:t>
      </w:r>
      <w:r w:rsidRPr="00431E5F">
        <w:rPr>
          <w:rFonts w:eastAsia="Times New Roman" w:cs="Arial"/>
          <w:color w:val="000000"/>
          <w:lang w:val="en-US"/>
        </w:rPr>
        <w:t xml:space="preserve">12 g, </w:t>
      </w:r>
      <w:r w:rsidRPr="00431E5F">
        <w:rPr>
          <w:rFonts w:eastAsia="Times New Roman" w:cs="Arial"/>
          <w:color w:val="000000"/>
          <w:lang w:eastAsia="bg-BG"/>
        </w:rPr>
        <w:t xml:space="preserve">което е довело до леки симптоми на интоксикация. Има съобщение за единичен случай на остро предозиране от 16 </w:t>
      </w:r>
      <w:r w:rsidRPr="00431E5F">
        <w:rPr>
          <w:rFonts w:eastAsia="Times New Roman" w:cs="Arial"/>
          <w:color w:val="000000"/>
          <w:lang w:val="en-US"/>
        </w:rPr>
        <w:t xml:space="preserve">g, </w:t>
      </w:r>
      <w:r w:rsidRPr="00431E5F">
        <w:rPr>
          <w:rFonts w:eastAsia="Times New Roman" w:cs="Arial"/>
          <w:color w:val="000000"/>
          <w:lang w:eastAsia="bg-BG"/>
        </w:rPr>
        <w:t>което е довело до остра бъбречна недостатъчност.</w:t>
      </w:r>
    </w:p>
    <w:p w14:paraId="30310AC9" w14:textId="77777777" w:rsidR="00431E5F" w:rsidRPr="00431E5F" w:rsidRDefault="00431E5F" w:rsidP="00431E5F">
      <w:pPr>
        <w:spacing w:line="240" w:lineRule="auto"/>
        <w:rPr>
          <w:rFonts w:eastAsia="Times New Roman" w:cs="Arial"/>
          <w:color w:val="000000"/>
          <w:lang w:eastAsia="bg-BG"/>
        </w:rPr>
      </w:pPr>
    </w:p>
    <w:p w14:paraId="2EF5E813" w14:textId="25AB1AD4"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Симптомите на предозиране включват: замаяност, тремор, главоболие, умора, припадъци, халюцинации, объркване, абдоминален дискомфорт, бъбречно и чернодробно увреждане, както и кристалурия и хематурия. Има съобщения за обратима бъбречна токсичност.</w:t>
      </w:r>
    </w:p>
    <w:p w14:paraId="5BE9F6AE" w14:textId="77777777" w:rsidR="00431E5F" w:rsidRPr="00431E5F" w:rsidRDefault="00431E5F" w:rsidP="00431E5F">
      <w:pPr>
        <w:spacing w:line="240" w:lineRule="auto"/>
        <w:rPr>
          <w:rFonts w:eastAsia="Times New Roman" w:cs="Arial"/>
          <w:color w:val="000000"/>
          <w:lang w:eastAsia="bg-BG"/>
        </w:rPr>
      </w:pPr>
    </w:p>
    <w:p w14:paraId="2AD4EC82" w14:textId="64779DB4" w:rsidR="00431E5F" w:rsidRPr="00431E5F" w:rsidRDefault="00431E5F" w:rsidP="00431E5F">
      <w:pPr>
        <w:spacing w:line="240" w:lineRule="auto"/>
        <w:rPr>
          <w:rFonts w:eastAsia="Times New Roman" w:cs="Arial"/>
          <w:lang w:eastAsia="bg-BG"/>
        </w:rPr>
      </w:pPr>
      <w:r w:rsidRPr="00431E5F">
        <w:rPr>
          <w:rFonts w:eastAsia="Times New Roman" w:cs="Arial"/>
          <w:color w:val="000000"/>
          <w:lang w:eastAsia="bg-BG"/>
        </w:rPr>
        <w:t xml:space="preserve">Освен рутинните спешни мерки като например стомашно изпразване, последвано от приложение на медицински въглен, се препоръчва мониториране на бъбречната функция, включващо определяне на </w:t>
      </w:r>
      <w:r w:rsidRPr="00431E5F">
        <w:rPr>
          <w:rFonts w:eastAsia="Times New Roman" w:cs="Arial"/>
          <w:color w:val="000000"/>
          <w:lang w:val="en-US"/>
        </w:rPr>
        <w:t xml:space="preserve">pH </w:t>
      </w:r>
      <w:r w:rsidRPr="00431E5F">
        <w:rPr>
          <w:rFonts w:eastAsia="Times New Roman" w:cs="Arial"/>
          <w:color w:val="000000"/>
          <w:lang w:eastAsia="bg-BG"/>
        </w:rPr>
        <w:t>на урината и ако се налага, подкисляване за профилактика на кристалурия. Пациентите трябва да са добре хидратирани. Антиациди, съдържащи калций или магнезий, могат теоретично да намалят абсорбцията на ципрофлоксацин при предозиране. Само малко количество ципрофлоксацин (&lt;10%) се елиминира чрез хемодиализа или пернтонеална диализа.</w:t>
      </w:r>
    </w:p>
    <w:p w14:paraId="0F0079CB" w14:textId="4581F544" w:rsidR="0091385D" w:rsidRPr="00431E5F" w:rsidRDefault="00431E5F" w:rsidP="00431E5F">
      <w:pPr>
        <w:rPr>
          <w:rFonts w:cs="Arial"/>
        </w:rPr>
      </w:pPr>
      <w:r w:rsidRPr="00431E5F">
        <w:rPr>
          <w:rFonts w:eastAsia="Times New Roman" w:cs="Arial"/>
          <w:color w:val="000000"/>
          <w:lang w:eastAsia="bg-BG"/>
        </w:rPr>
        <w:t xml:space="preserve">В случай на предозиране трябва да се прилага симптоматично лечение. Мониторинг на ЕКГ следва да бъде предприет поради възможност за удължаване на </w:t>
      </w:r>
      <w:r w:rsidRPr="00431E5F">
        <w:rPr>
          <w:rFonts w:eastAsia="Times New Roman" w:cs="Arial"/>
          <w:color w:val="000000"/>
          <w:lang w:val="en-US"/>
        </w:rPr>
        <w:t>QT</w:t>
      </w:r>
      <w:r w:rsidRPr="00431E5F">
        <w:rPr>
          <w:rFonts w:eastAsia="Times New Roman" w:cs="Arial"/>
          <w:color w:val="000000"/>
          <w:lang w:eastAsia="bg-BG"/>
        </w:rPr>
        <w:t>-интервала.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Pr="00431E5F" w:rsidRDefault="0091385D" w:rsidP="0091385D">
      <w:pPr>
        <w:rPr>
          <w:rFonts w:cs="Arial"/>
        </w:rPr>
      </w:pPr>
    </w:p>
    <w:p w14:paraId="62A1A641" w14:textId="77777777" w:rsidR="00431E5F" w:rsidRPr="00431E5F" w:rsidRDefault="00431E5F" w:rsidP="00431E5F">
      <w:pPr>
        <w:rPr>
          <w:rFonts w:cs="Arial"/>
        </w:rPr>
      </w:pPr>
      <w:r w:rsidRPr="00431E5F">
        <w:rPr>
          <w:rFonts w:cs="Arial"/>
        </w:rPr>
        <w:t xml:space="preserve">Фармакотерапевтична група: флуорохинолони, АТС код: </w:t>
      </w:r>
      <w:r w:rsidRPr="00431E5F">
        <w:rPr>
          <w:rFonts w:cs="Arial"/>
          <w:lang w:val="en-US"/>
        </w:rPr>
        <w:t xml:space="preserve">J01MA </w:t>
      </w:r>
      <w:r w:rsidRPr="00431E5F">
        <w:rPr>
          <w:rFonts w:cs="Arial"/>
        </w:rPr>
        <w:t>02</w:t>
      </w:r>
    </w:p>
    <w:p w14:paraId="19DEB737" w14:textId="77777777" w:rsidR="00431E5F" w:rsidRPr="00431E5F" w:rsidRDefault="00431E5F" w:rsidP="00431E5F">
      <w:pPr>
        <w:rPr>
          <w:rFonts w:cs="Arial"/>
          <w:u w:val="single"/>
        </w:rPr>
      </w:pPr>
    </w:p>
    <w:p w14:paraId="6E73F76F" w14:textId="1C26DC50" w:rsidR="00431E5F" w:rsidRPr="00431E5F" w:rsidRDefault="00431E5F" w:rsidP="00431E5F">
      <w:pPr>
        <w:rPr>
          <w:rFonts w:cs="Arial"/>
        </w:rPr>
      </w:pPr>
      <w:r w:rsidRPr="00431E5F">
        <w:rPr>
          <w:rFonts w:cs="Arial"/>
          <w:u w:val="single"/>
        </w:rPr>
        <w:t>Механизъм на действие</w:t>
      </w:r>
    </w:p>
    <w:p w14:paraId="71E845C6" w14:textId="77777777" w:rsidR="00431E5F" w:rsidRPr="00431E5F" w:rsidRDefault="00431E5F" w:rsidP="00431E5F">
      <w:pPr>
        <w:rPr>
          <w:rFonts w:cs="Arial"/>
        </w:rPr>
      </w:pPr>
      <w:r w:rsidRPr="00431E5F">
        <w:rPr>
          <w:rFonts w:cs="Arial"/>
        </w:rPr>
        <w:t>Бактерицидното действие на ципрофлоксацин, като флуорохинолоново антибактериално средство, се осъществява чрез инхибиране на двата типа топоизомераза II (ДНК-гираза) и топоизомераза IV, които са необходими за репликацията, транскрипцията, репарацията и рекомбинацията на бактериалната ДНК.</w:t>
      </w:r>
    </w:p>
    <w:p w14:paraId="74AC96EC" w14:textId="77777777" w:rsidR="00431E5F" w:rsidRPr="00431E5F" w:rsidRDefault="00431E5F" w:rsidP="00431E5F">
      <w:pPr>
        <w:rPr>
          <w:rFonts w:cs="Arial"/>
          <w:u w:val="single"/>
        </w:rPr>
      </w:pPr>
    </w:p>
    <w:p w14:paraId="76C99EDC" w14:textId="271F3E7A" w:rsidR="00431E5F" w:rsidRPr="00431E5F" w:rsidRDefault="00431E5F" w:rsidP="00431E5F">
      <w:pPr>
        <w:rPr>
          <w:rFonts w:cs="Arial"/>
        </w:rPr>
      </w:pPr>
      <w:r w:rsidRPr="00431E5F">
        <w:rPr>
          <w:rFonts w:cs="Arial"/>
          <w:u w:val="single"/>
        </w:rPr>
        <w:t>Механизъм на резистентността</w:t>
      </w:r>
    </w:p>
    <w:p w14:paraId="2FE04759" w14:textId="77777777" w:rsidR="00431E5F" w:rsidRPr="00431E5F" w:rsidRDefault="00431E5F" w:rsidP="00431E5F">
      <w:pPr>
        <w:rPr>
          <w:rFonts w:cs="Arial"/>
        </w:rPr>
      </w:pPr>
      <w:r w:rsidRPr="00431E5F">
        <w:rPr>
          <w:rFonts w:cs="Arial"/>
          <w:i/>
          <w:iCs/>
          <w:lang w:val="en-US"/>
        </w:rPr>
        <w:t>In vitro</w:t>
      </w:r>
      <w:r w:rsidRPr="00431E5F">
        <w:rPr>
          <w:rFonts w:cs="Arial"/>
          <w:lang w:val="en-US"/>
        </w:rPr>
        <w:t xml:space="preserve"> </w:t>
      </w:r>
      <w:r w:rsidRPr="00431E5F">
        <w:rPr>
          <w:rFonts w:cs="Arial"/>
        </w:rPr>
        <w:t>резистентност към ципрофлоксацин може да бъде придобита чрез поетапен процес на таргетни локални мутации на ДНК-гираза и топоизомераза IV. Степента на кръстосана резистентност между ципрофлоксацин и други флуорохинолони в резултат на това е вариабилна. Единичните мутации могат да не доведат до клинична резистентност, но множествените мутации обикновено водят до клинична резистентност към много или всички активни вещества от този клас.</w:t>
      </w:r>
    </w:p>
    <w:p w14:paraId="4A1DEAB0" w14:textId="77777777" w:rsidR="00431E5F" w:rsidRPr="00431E5F" w:rsidRDefault="00431E5F" w:rsidP="00431E5F">
      <w:pPr>
        <w:rPr>
          <w:rFonts w:cs="Arial"/>
        </w:rPr>
      </w:pPr>
      <w:r w:rsidRPr="00431E5F">
        <w:rPr>
          <w:rFonts w:cs="Arial"/>
        </w:rPr>
        <w:t xml:space="preserve">Механизмите на резистентност чрез непропускливост и/или засягащи ефлуксната помпа на активната съставка могат да имат различен ефект върху чувствителността към флуорохинолони, което зависи от физикохимичните свойства на различните активни съставки в този клас и афинитета на транспортните системи към всяка отделна активна съставка в класа. Всички </w:t>
      </w:r>
      <w:r w:rsidRPr="00431E5F">
        <w:rPr>
          <w:rFonts w:cs="Arial"/>
          <w:i/>
          <w:iCs/>
          <w:lang w:val="en-US"/>
        </w:rPr>
        <w:t>in vitro</w:t>
      </w:r>
      <w:r w:rsidRPr="00431E5F">
        <w:rPr>
          <w:rFonts w:cs="Arial"/>
          <w:lang w:val="en-US"/>
        </w:rPr>
        <w:t xml:space="preserve"> </w:t>
      </w:r>
      <w:r w:rsidRPr="00431E5F">
        <w:rPr>
          <w:rFonts w:cs="Arial"/>
        </w:rPr>
        <w:t xml:space="preserve">механизми на резистентност обикновено се наблюдават в клиничната практика. Механизми на резистентност, които ннактивират други антибиотици, като пропускливост на бариерите (често при </w:t>
      </w:r>
      <w:r w:rsidRPr="00431E5F">
        <w:rPr>
          <w:rFonts w:cs="Arial"/>
          <w:i/>
          <w:iCs/>
          <w:lang w:val="en-US"/>
        </w:rPr>
        <w:t>Pseudomonas aeruginosa)</w:t>
      </w:r>
      <w:r w:rsidRPr="00431E5F">
        <w:rPr>
          <w:rFonts w:cs="Arial"/>
          <w:lang w:val="en-US"/>
        </w:rPr>
        <w:t xml:space="preserve"> </w:t>
      </w:r>
      <w:r w:rsidRPr="00431E5F">
        <w:rPr>
          <w:rFonts w:cs="Arial"/>
        </w:rPr>
        <w:t>и механизми на ефлукс, могат  да променят чувствителността към ципрофлоксацин.</w:t>
      </w:r>
    </w:p>
    <w:p w14:paraId="28252AA0" w14:textId="06F77A3C" w:rsidR="0091385D" w:rsidRDefault="00431E5F" w:rsidP="00431E5F">
      <w:pPr>
        <w:rPr>
          <w:rFonts w:cs="Arial"/>
        </w:rPr>
      </w:pPr>
      <w:r w:rsidRPr="00431E5F">
        <w:rPr>
          <w:rFonts w:cs="Arial"/>
        </w:rPr>
        <w:t xml:space="preserve">Има съобщения за плазмид-медиирана резистентност, кодирана чрез </w:t>
      </w:r>
      <w:proofErr w:type="spellStart"/>
      <w:r w:rsidRPr="00431E5F">
        <w:rPr>
          <w:rFonts w:cs="Arial"/>
          <w:lang w:val="en-US"/>
        </w:rPr>
        <w:t>qnr</w:t>
      </w:r>
      <w:proofErr w:type="spellEnd"/>
      <w:r w:rsidRPr="00431E5F">
        <w:rPr>
          <w:rFonts w:cs="Arial"/>
        </w:rPr>
        <w:t>-гени.</w:t>
      </w:r>
    </w:p>
    <w:p w14:paraId="5F18FAE1" w14:textId="5C5D7496" w:rsidR="00431E5F" w:rsidRDefault="00431E5F" w:rsidP="00431E5F">
      <w:pPr>
        <w:rPr>
          <w:rFonts w:cs="Arial"/>
        </w:rPr>
      </w:pPr>
    </w:p>
    <w:p w14:paraId="01D6B4AE" w14:textId="77777777" w:rsidR="00431E5F" w:rsidRPr="00D92520" w:rsidRDefault="00431E5F" w:rsidP="00431E5F">
      <w:pPr>
        <w:spacing w:line="240" w:lineRule="auto"/>
        <w:rPr>
          <w:rFonts w:eastAsia="Times New Roman" w:cs="Arial"/>
          <w:lang w:eastAsia="bg-BG"/>
        </w:rPr>
      </w:pPr>
      <w:r w:rsidRPr="00D92520">
        <w:rPr>
          <w:rFonts w:eastAsia="Times New Roman" w:cs="Arial"/>
          <w:color w:val="000000"/>
          <w:u w:val="single"/>
          <w:lang w:eastAsia="bg-BG"/>
        </w:rPr>
        <w:t>Спектър на антибактериална активност:</w:t>
      </w:r>
    </w:p>
    <w:p w14:paraId="24DE2C90" w14:textId="77777777" w:rsidR="00431E5F" w:rsidRPr="00D92520" w:rsidRDefault="00431E5F" w:rsidP="00431E5F">
      <w:pPr>
        <w:spacing w:line="240" w:lineRule="auto"/>
        <w:rPr>
          <w:rFonts w:eastAsia="Times New Roman" w:cs="Arial"/>
          <w:lang w:eastAsia="bg-BG"/>
        </w:rPr>
      </w:pPr>
      <w:r w:rsidRPr="00D92520">
        <w:rPr>
          <w:rFonts w:eastAsia="Times New Roman" w:cs="Arial"/>
          <w:color w:val="000000"/>
          <w:lang w:eastAsia="bg-BG"/>
        </w:rPr>
        <w:t>Следните гранични стойности разделят чувствителните щамове от щамовете с умерена чувствителност и резистентните щамове:</w:t>
      </w:r>
    </w:p>
    <w:p w14:paraId="64D3DE7A" w14:textId="77777777" w:rsidR="00431E5F" w:rsidRPr="00D92520" w:rsidRDefault="00431E5F" w:rsidP="00431E5F">
      <w:pPr>
        <w:rPr>
          <w:rFonts w:eastAsia="Times New Roman" w:cs="Arial"/>
          <w:i/>
          <w:iCs/>
          <w:color w:val="000000"/>
          <w:u w:val="single"/>
          <w:lang w:eastAsia="bg-BG"/>
        </w:rPr>
      </w:pPr>
    </w:p>
    <w:p w14:paraId="084E7916" w14:textId="2F0ADCEA" w:rsidR="00431E5F" w:rsidRPr="00D92520" w:rsidRDefault="00431E5F" w:rsidP="00431E5F">
      <w:pPr>
        <w:rPr>
          <w:rFonts w:eastAsia="Times New Roman" w:cs="Arial"/>
          <w:i/>
          <w:iCs/>
          <w:color w:val="000000"/>
          <w:u w:val="single"/>
          <w:lang w:val="en-US"/>
        </w:rPr>
      </w:pPr>
      <w:r w:rsidRPr="00D92520">
        <w:rPr>
          <w:rFonts w:eastAsia="Times New Roman" w:cs="Arial"/>
          <w:i/>
          <w:iCs/>
          <w:color w:val="000000"/>
          <w:u w:val="single"/>
          <w:lang w:eastAsia="bg-BG"/>
        </w:rPr>
        <w:t xml:space="preserve">Препоръки па </w:t>
      </w:r>
      <w:r w:rsidRPr="00D92520">
        <w:rPr>
          <w:rFonts w:eastAsia="Times New Roman" w:cs="Arial"/>
          <w:i/>
          <w:iCs/>
          <w:color w:val="000000"/>
          <w:u w:val="single"/>
          <w:lang w:val="en-US"/>
        </w:rPr>
        <w:t>EUCAST</w:t>
      </w:r>
    </w:p>
    <w:tbl>
      <w:tblPr>
        <w:tblStyle w:val="TableGrid"/>
        <w:tblW w:w="0" w:type="auto"/>
        <w:tblLook w:val="04A0" w:firstRow="1" w:lastRow="0" w:firstColumn="1" w:lastColumn="0" w:noHBand="0" w:noVBand="1"/>
      </w:tblPr>
      <w:tblGrid>
        <w:gridCol w:w="3166"/>
        <w:gridCol w:w="3167"/>
        <w:gridCol w:w="3167"/>
      </w:tblGrid>
      <w:tr w:rsidR="00D92520" w:rsidRPr="00D92520" w14:paraId="6704D3CD" w14:textId="77777777" w:rsidTr="00D92520">
        <w:tc>
          <w:tcPr>
            <w:tcW w:w="3166" w:type="dxa"/>
          </w:tcPr>
          <w:p w14:paraId="3791768D" w14:textId="7C71BF5C" w:rsidR="00D92520" w:rsidRPr="00D92520" w:rsidRDefault="00D92520" w:rsidP="00D92520">
            <w:pPr>
              <w:rPr>
                <w:rFonts w:eastAsia="Times New Roman" w:cs="Arial"/>
                <w:i/>
                <w:iCs/>
                <w:color w:val="000000"/>
                <w:u w:val="single"/>
                <w:lang w:val="en-US"/>
              </w:rPr>
            </w:pPr>
            <w:r w:rsidRPr="00D92520">
              <w:rPr>
                <w:rFonts w:cs="Arial"/>
                <w:b/>
                <w:bCs/>
                <w:i/>
                <w:iCs/>
                <w:lang w:eastAsia="bg-BG"/>
              </w:rPr>
              <w:t>Микроорганизъм</w:t>
            </w:r>
          </w:p>
        </w:tc>
        <w:tc>
          <w:tcPr>
            <w:tcW w:w="3167" w:type="dxa"/>
          </w:tcPr>
          <w:p w14:paraId="627DC7AD" w14:textId="32C71D91" w:rsidR="00D92520" w:rsidRPr="00D92520" w:rsidRDefault="00D92520" w:rsidP="00D92520">
            <w:pPr>
              <w:rPr>
                <w:rFonts w:eastAsia="Times New Roman" w:cs="Arial"/>
                <w:i/>
                <w:iCs/>
                <w:color w:val="000000"/>
                <w:u w:val="single"/>
                <w:lang w:val="en-US"/>
              </w:rPr>
            </w:pPr>
            <w:r w:rsidRPr="00D92520">
              <w:rPr>
                <w:rFonts w:cs="Arial"/>
                <w:b/>
                <w:bCs/>
                <w:i/>
                <w:iCs/>
                <w:lang w:eastAsia="bg-BG"/>
              </w:rPr>
              <w:t>Чувствителен</w:t>
            </w:r>
          </w:p>
        </w:tc>
        <w:tc>
          <w:tcPr>
            <w:tcW w:w="3167" w:type="dxa"/>
          </w:tcPr>
          <w:p w14:paraId="0E622A7E" w14:textId="1BC601F2" w:rsidR="00D92520" w:rsidRPr="00D92520" w:rsidRDefault="00D92520" w:rsidP="00D92520">
            <w:pPr>
              <w:rPr>
                <w:rFonts w:eastAsia="Times New Roman" w:cs="Arial"/>
                <w:i/>
                <w:iCs/>
                <w:color w:val="000000"/>
                <w:u w:val="single"/>
                <w:lang w:val="en-US"/>
              </w:rPr>
            </w:pPr>
            <w:r w:rsidRPr="00D92520">
              <w:rPr>
                <w:rFonts w:cs="Arial"/>
                <w:b/>
                <w:bCs/>
                <w:i/>
                <w:iCs/>
                <w:lang w:eastAsia="bg-BG"/>
              </w:rPr>
              <w:t>Резистентен</w:t>
            </w:r>
          </w:p>
        </w:tc>
      </w:tr>
      <w:tr w:rsidR="00D92520" w:rsidRPr="00D92520" w14:paraId="04FC16FA" w14:textId="77777777" w:rsidTr="00D92520">
        <w:tc>
          <w:tcPr>
            <w:tcW w:w="3166" w:type="dxa"/>
          </w:tcPr>
          <w:p w14:paraId="3F3E49DF" w14:textId="16455238" w:rsidR="00D92520" w:rsidRPr="00D92520" w:rsidRDefault="00D92520" w:rsidP="00D92520">
            <w:pPr>
              <w:rPr>
                <w:rFonts w:eastAsia="Times New Roman" w:cs="Arial"/>
                <w:i/>
                <w:iCs/>
                <w:color w:val="000000"/>
                <w:u w:val="single"/>
                <w:lang w:val="en-US"/>
              </w:rPr>
            </w:pPr>
            <w:r w:rsidRPr="00D92520">
              <w:rPr>
                <w:rFonts w:cs="Arial"/>
                <w:i/>
                <w:iCs/>
              </w:rPr>
              <w:t>Enterobacteriaceae</w:t>
            </w:r>
          </w:p>
        </w:tc>
        <w:tc>
          <w:tcPr>
            <w:tcW w:w="3167" w:type="dxa"/>
          </w:tcPr>
          <w:p w14:paraId="53A4C727" w14:textId="7C6FF5BF"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 xml:space="preserve">≤ 0,25 </w:t>
            </w:r>
            <w:r w:rsidRPr="00D92520">
              <w:rPr>
                <w:rFonts w:cs="Arial"/>
              </w:rPr>
              <w:t>mg/L</w:t>
            </w:r>
          </w:p>
        </w:tc>
        <w:tc>
          <w:tcPr>
            <w:tcW w:w="3167" w:type="dxa"/>
          </w:tcPr>
          <w:p w14:paraId="73790685" w14:textId="6E33A48F" w:rsidR="00D92520" w:rsidRPr="00D92520" w:rsidRDefault="00D92520" w:rsidP="00D92520">
            <w:pPr>
              <w:rPr>
                <w:rFonts w:eastAsia="Times New Roman" w:cs="Arial"/>
                <w:i/>
                <w:iCs/>
                <w:color w:val="000000"/>
                <w:u w:val="single"/>
                <w:lang w:val="en-US"/>
              </w:rPr>
            </w:pPr>
            <w:r w:rsidRPr="00D92520">
              <w:rPr>
                <w:rFonts w:cs="Arial"/>
              </w:rPr>
              <w:t>R &gt; 0,5 mg/L</w:t>
            </w:r>
          </w:p>
        </w:tc>
      </w:tr>
      <w:tr w:rsidR="00D92520" w:rsidRPr="00D92520" w14:paraId="058F292E" w14:textId="77777777" w:rsidTr="00D92520">
        <w:tc>
          <w:tcPr>
            <w:tcW w:w="3166" w:type="dxa"/>
          </w:tcPr>
          <w:p w14:paraId="560A35A2" w14:textId="4E3CEBAC" w:rsidR="00D92520" w:rsidRPr="00D92520" w:rsidRDefault="00D92520" w:rsidP="00D92520">
            <w:pPr>
              <w:rPr>
                <w:rFonts w:eastAsia="Times New Roman" w:cs="Arial"/>
                <w:i/>
                <w:iCs/>
                <w:color w:val="000000"/>
                <w:u w:val="single"/>
                <w:lang w:val="en-US"/>
              </w:rPr>
            </w:pPr>
            <w:r w:rsidRPr="00D92520">
              <w:rPr>
                <w:rFonts w:cs="Arial"/>
                <w:i/>
                <w:iCs/>
              </w:rPr>
              <w:t>Salmonella spp.</w:t>
            </w:r>
          </w:p>
        </w:tc>
        <w:tc>
          <w:tcPr>
            <w:tcW w:w="3167" w:type="dxa"/>
          </w:tcPr>
          <w:p w14:paraId="60B86642" w14:textId="122A0AB7"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 xml:space="preserve">≤ 0,06 </w:t>
            </w:r>
            <w:r w:rsidRPr="00D92520">
              <w:rPr>
                <w:rFonts w:cs="Arial"/>
              </w:rPr>
              <w:t>mg/L</w:t>
            </w:r>
          </w:p>
        </w:tc>
        <w:tc>
          <w:tcPr>
            <w:tcW w:w="3167" w:type="dxa"/>
          </w:tcPr>
          <w:p w14:paraId="1D37ED16" w14:textId="71E9D12A" w:rsidR="00D92520" w:rsidRPr="00D92520" w:rsidRDefault="00D92520" w:rsidP="00D92520">
            <w:pPr>
              <w:rPr>
                <w:rFonts w:eastAsia="Times New Roman" w:cs="Arial"/>
                <w:i/>
                <w:iCs/>
                <w:color w:val="000000"/>
                <w:u w:val="single"/>
                <w:lang w:val="en-US"/>
              </w:rPr>
            </w:pPr>
            <w:r w:rsidRPr="00D92520">
              <w:rPr>
                <w:rFonts w:cs="Arial"/>
              </w:rPr>
              <w:t>R &gt; 0,06 mg/L</w:t>
            </w:r>
          </w:p>
        </w:tc>
      </w:tr>
      <w:tr w:rsidR="00D92520" w:rsidRPr="00D92520" w14:paraId="0E1B2BF5" w14:textId="77777777" w:rsidTr="00D92520">
        <w:tc>
          <w:tcPr>
            <w:tcW w:w="3166" w:type="dxa"/>
          </w:tcPr>
          <w:p w14:paraId="602B886D" w14:textId="320A2B6C" w:rsidR="00D92520" w:rsidRPr="00D92520" w:rsidRDefault="00D92520" w:rsidP="00D92520">
            <w:pPr>
              <w:rPr>
                <w:rFonts w:eastAsia="Times New Roman" w:cs="Arial"/>
                <w:i/>
                <w:iCs/>
                <w:color w:val="000000"/>
                <w:u w:val="single"/>
                <w:lang w:val="en-US"/>
              </w:rPr>
            </w:pPr>
            <w:r w:rsidRPr="00D92520">
              <w:rPr>
                <w:rFonts w:cs="Arial"/>
                <w:i/>
                <w:iCs/>
              </w:rPr>
              <w:t>Pseudomonas spp.</w:t>
            </w:r>
          </w:p>
        </w:tc>
        <w:tc>
          <w:tcPr>
            <w:tcW w:w="3167" w:type="dxa"/>
          </w:tcPr>
          <w:p w14:paraId="011D98B7" w14:textId="4B30AF1E"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 xml:space="preserve">≤ 0,5 </w:t>
            </w:r>
            <w:r w:rsidRPr="00D92520">
              <w:rPr>
                <w:rFonts w:cs="Arial"/>
              </w:rPr>
              <w:t>mg/L</w:t>
            </w:r>
          </w:p>
        </w:tc>
        <w:tc>
          <w:tcPr>
            <w:tcW w:w="3167" w:type="dxa"/>
          </w:tcPr>
          <w:p w14:paraId="67785329" w14:textId="25BAE66B" w:rsidR="00D92520" w:rsidRPr="00D92520" w:rsidRDefault="00D92520" w:rsidP="00D92520">
            <w:pPr>
              <w:rPr>
                <w:rFonts w:eastAsia="Times New Roman" w:cs="Arial"/>
                <w:i/>
                <w:iCs/>
                <w:color w:val="000000"/>
                <w:u w:val="single"/>
                <w:lang w:val="en-US"/>
              </w:rPr>
            </w:pPr>
            <w:r w:rsidRPr="00D92520">
              <w:rPr>
                <w:rFonts w:cs="Arial"/>
              </w:rPr>
              <w:t>R &gt; 0,5 mg/L</w:t>
            </w:r>
          </w:p>
        </w:tc>
      </w:tr>
      <w:tr w:rsidR="00D92520" w:rsidRPr="00D92520" w14:paraId="64EE83D5" w14:textId="77777777" w:rsidTr="00D92520">
        <w:tc>
          <w:tcPr>
            <w:tcW w:w="3166" w:type="dxa"/>
          </w:tcPr>
          <w:p w14:paraId="43720FB3" w14:textId="0E266C84" w:rsidR="00D92520" w:rsidRPr="00D92520" w:rsidRDefault="00D92520" w:rsidP="00D92520">
            <w:pPr>
              <w:rPr>
                <w:rFonts w:eastAsia="Times New Roman" w:cs="Arial"/>
                <w:i/>
                <w:iCs/>
                <w:color w:val="000000"/>
                <w:u w:val="single"/>
                <w:lang w:val="en-US"/>
              </w:rPr>
            </w:pPr>
            <w:r w:rsidRPr="00D92520">
              <w:rPr>
                <w:rFonts w:cs="Arial"/>
                <w:i/>
                <w:iCs/>
              </w:rPr>
              <w:t>Acinetobacter spp.</w:t>
            </w:r>
          </w:p>
        </w:tc>
        <w:tc>
          <w:tcPr>
            <w:tcW w:w="3167" w:type="dxa"/>
          </w:tcPr>
          <w:p w14:paraId="09D11AA0" w14:textId="731DCF07"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1 mg/L</w:t>
            </w:r>
          </w:p>
        </w:tc>
        <w:tc>
          <w:tcPr>
            <w:tcW w:w="3167" w:type="dxa"/>
          </w:tcPr>
          <w:p w14:paraId="35F72260" w14:textId="599C3FE5" w:rsidR="00D92520" w:rsidRPr="00D92520" w:rsidRDefault="00D92520" w:rsidP="00D92520">
            <w:pPr>
              <w:rPr>
                <w:rFonts w:eastAsia="Times New Roman" w:cs="Arial"/>
                <w:i/>
                <w:iCs/>
                <w:color w:val="000000"/>
                <w:u w:val="single"/>
                <w:lang w:val="en-US"/>
              </w:rPr>
            </w:pPr>
            <w:r w:rsidRPr="00D92520">
              <w:rPr>
                <w:rFonts w:cs="Arial"/>
              </w:rPr>
              <w:t>R&gt; 1 mg/L</w:t>
            </w:r>
          </w:p>
        </w:tc>
      </w:tr>
      <w:tr w:rsidR="00D92520" w:rsidRPr="00D92520" w14:paraId="59CCFA1D" w14:textId="77777777" w:rsidTr="00D92520">
        <w:tc>
          <w:tcPr>
            <w:tcW w:w="3166" w:type="dxa"/>
          </w:tcPr>
          <w:p w14:paraId="2D445CBE" w14:textId="2AE4C6EB" w:rsidR="00D92520" w:rsidRPr="00D92520" w:rsidRDefault="00D92520" w:rsidP="00D92520">
            <w:pPr>
              <w:rPr>
                <w:rFonts w:eastAsia="Times New Roman" w:cs="Arial"/>
                <w:i/>
                <w:iCs/>
                <w:color w:val="000000"/>
                <w:u w:val="single"/>
                <w:lang w:val="en-US"/>
              </w:rPr>
            </w:pPr>
            <w:r w:rsidRPr="00D92520">
              <w:rPr>
                <w:rFonts w:cs="Arial"/>
                <w:i/>
                <w:iCs/>
              </w:rPr>
              <w:t>Staphylococcus spp.</w:t>
            </w:r>
            <w:r w:rsidRPr="00D92520">
              <w:rPr>
                <w:rFonts w:cs="Arial"/>
                <w:i/>
                <w:iCs/>
                <w:vertAlign w:val="superscript"/>
              </w:rPr>
              <w:t>1</w:t>
            </w:r>
          </w:p>
        </w:tc>
        <w:tc>
          <w:tcPr>
            <w:tcW w:w="3167" w:type="dxa"/>
          </w:tcPr>
          <w:p w14:paraId="32A6C11D" w14:textId="25AFFC71"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1 mg/L</w:t>
            </w:r>
          </w:p>
        </w:tc>
        <w:tc>
          <w:tcPr>
            <w:tcW w:w="3167" w:type="dxa"/>
          </w:tcPr>
          <w:p w14:paraId="424B3214" w14:textId="6B743112" w:rsidR="00D92520" w:rsidRPr="00D92520" w:rsidRDefault="00D92520" w:rsidP="00D92520">
            <w:pPr>
              <w:rPr>
                <w:rFonts w:eastAsia="Times New Roman" w:cs="Arial"/>
                <w:i/>
                <w:iCs/>
                <w:color w:val="000000"/>
                <w:u w:val="single"/>
                <w:lang w:val="en-US"/>
              </w:rPr>
            </w:pPr>
            <w:r w:rsidRPr="00D92520">
              <w:rPr>
                <w:rFonts w:cs="Arial"/>
              </w:rPr>
              <w:t>R &gt; 1 mg/L</w:t>
            </w:r>
          </w:p>
        </w:tc>
      </w:tr>
      <w:tr w:rsidR="00D92520" w:rsidRPr="00D92520" w14:paraId="4A6EC076" w14:textId="77777777" w:rsidTr="00D92520">
        <w:tc>
          <w:tcPr>
            <w:tcW w:w="3166" w:type="dxa"/>
          </w:tcPr>
          <w:p w14:paraId="27A40400" w14:textId="638B7E51" w:rsidR="00D92520" w:rsidRPr="00D92520" w:rsidRDefault="00D92520" w:rsidP="00D92520">
            <w:pPr>
              <w:rPr>
                <w:rFonts w:eastAsia="Times New Roman" w:cs="Arial"/>
                <w:i/>
                <w:iCs/>
                <w:color w:val="000000"/>
                <w:u w:val="single"/>
                <w:lang w:val="en-US"/>
              </w:rPr>
            </w:pPr>
            <w:r w:rsidRPr="00D92520">
              <w:rPr>
                <w:rFonts w:cs="Arial"/>
                <w:i/>
                <w:iCs/>
              </w:rPr>
              <w:t>Haemophilus influenzae</w:t>
            </w:r>
          </w:p>
        </w:tc>
        <w:tc>
          <w:tcPr>
            <w:tcW w:w="3167" w:type="dxa"/>
          </w:tcPr>
          <w:p w14:paraId="5A3A4931" w14:textId="7979D026"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0,06 mg/L</w:t>
            </w:r>
          </w:p>
        </w:tc>
        <w:tc>
          <w:tcPr>
            <w:tcW w:w="3167" w:type="dxa"/>
          </w:tcPr>
          <w:p w14:paraId="0916CACD" w14:textId="51334321" w:rsidR="00D92520" w:rsidRPr="00D92520" w:rsidRDefault="00D92520" w:rsidP="00D92520">
            <w:pPr>
              <w:rPr>
                <w:rFonts w:eastAsia="Times New Roman" w:cs="Arial"/>
                <w:i/>
                <w:iCs/>
                <w:color w:val="000000"/>
                <w:u w:val="single"/>
                <w:lang w:val="en-US"/>
              </w:rPr>
            </w:pPr>
            <w:r w:rsidRPr="00D92520">
              <w:rPr>
                <w:rFonts w:cs="Arial"/>
              </w:rPr>
              <w:t>R &gt; 0,06 mg/L</w:t>
            </w:r>
          </w:p>
        </w:tc>
      </w:tr>
      <w:tr w:rsidR="00D92520" w:rsidRPr="00D92520" w14:paraId="506FC8AA" w14:textId="77777777" w:rsidTr="00D92520">
        <w:tc>
          <w:tcPr>
            <w:tcW w:w="3166" w:type="dxa"/>
          </w:tcPr>
          <w:p w14:paraId="15DA4C3B" w14:textId="36A3369C" w:rsidR="00D92520" w:rsidRPr="00D92520" w:rsidRDefault="00D92520" w:rsidP="00D92520">
            <w:pPr>
              <w:rPr>
                <w:rFonts w:eastAsia="Times New Roman" w:cs="Arial"/>
                <w:i/>
                <w:iCs/>
                <w:color w:val="000000"/>
                <w:u w:val="single"/>
                <w:lang w:val="en-US"/>
              </w:rPr>
            </w:pPr>
            <w:r w:rsidRPr="00D92520">
              <w:rPr>
                <w:rFonts w:cs="Arial"/>
                <w:i/>
                <w:iCs/>
              </w:rPr>
              <w:t>Moraxella catarrhalis</w:t>
            </w:r>
          </w:p>
        </w:tc>
        <w:tc>
          <w:tcPr>
            <w:tcW w:w="3167" w:type="dxa"/>
          </w:tcPr>
          <w:p w14:paraId="72AB3358" w14:textId="2E72CE8C"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0,125 mg/L</w:t>
            </w:r>
            <w:bookmarkStart w:id="1" w:name="_GoBack"/>
            <w:bookmarkEnd w:id="1"/>
          </w:p>
        </w:tc>
        <w:tc>
          <w:tcPr>
            <w:tcW w:w="3167" w:type="dxa"/>
          </w:tcPr>
          <w:p w14:paraId="2CDDB4DA" w14:textId="056A9C77" w:rsidR="00D92520" w:rsidRPr="00D92520" w:rsidRDefault="00D92520" w:rsidP="00D92520">
            <w:pPr>
              <w:rPr>
                <w:rFonts w:eastAsia="Times New Roman" w:cs="Arial"/>
                <w:i/>
                <w:iCs/>
                <w:color w:val="000000"/>
                <w:u w:val="single"/>
                <w:lang w:val="en-US"/>
              </w:rPr>
            </w:pPr>
            <w:r w:rsidRPr="00D92520">
              <w:rPr>
                <w:rFonts w:cs="Arial"/>
              </w:rPr>
              <w:t>R &gt; 0,125 mg/L</w:t>
            </w:r>
          </w:p>
        </w:tc>
      </w:tr>
      <w:tr w:rsidR="00D92520" w:rsidRPr="00D92520" w14:paraId="20AB9E83" w14:textId="77777777" w:rsidTr="00D92520">
        <w:tc>
          <w:tcPr>
            <w:tcW w:w="3166" w:type="dxa"/>
          </w:tcPr>
          <w:p w14:paraId="6B7207CF" w14:textId="66013F45" w:rsidR="00D92520" w:rsidRPr="00D92520" w:rsidRDefault="00D92520" w:rsidP="00D92520">
            <w:pPr>
              <w:rPr>
                <w:rFonts w:eastAsia="Times New Roman" w:cs="Arial"/>
                <w:i/>
                <w:iCs/>
                <w:color w:val="000000"/>
                <w:u w:val="single"/>
                <w:lang w:val="en-US"/>
              </w:rPr>
            </w:pPr>
            <w:r w:rsidRPr="00D92520">
              <w:rPr>
                <w:rFonts w:cs="Arial"/>
                <w:i/>
                <w:iCs/>
              </w:rPr>
              <w:t>Neisseria gonorrhoeae</w:t>
            </w:r>
          </w:p>
        </w:tc>
        <w:tc>
          <w:tcPr>
            <w:tcW w:w="3167" w:type="dxa"/>
          </w:tcPr>
          <w:p w14:paraId="10A2792D" w14:textId="58E52331"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0,03 mg/L</w:t>
            </w:r>
          </w:p>
        </w:tc>
        <w:tc>
          <w:tcPr>
            <w:tcW w:w="3167" w:type="dxa"/>
          </w:tcPr>
          <w:p w14:paraId="440F7941" w14:textId="6983E292" w:rsidR="00D92520" w:rsidRPr="00D92520" w:rsidRDefault="00D92520" w:rsidP="00D92520">
            <w:pPr>
              <w:rPr>
                <w:rFonts w:eastAsia="Times New Roman" w:cs="Arial"/>
                <w:i/>
                <w:iCs/>
                <w:color w:val="000000"/>
                <w:u w:val="single"/>
                <w:lang w:val="en-US"/>
              </w:rPr>
            </w:pPr>
            <w:r w:rsidRPr="00D92520">
              <w:rPr>
                <w:rFonts w:cs="Arial"/>
              </w:rPr>
              <w:t>R &gt; 0,06 mg/L</w:t>
            </w:r>
          </w:p>
        </w:tc>
      </w:tr>
      <w:tr w:rsidR="00D92520" w:rsidRPr="00D92520" w14:paraId="37D52513" w14:textId="77777777" w:rsidTr="00D92520">
        <w:tc>
          <w:tcPr>
            <w:tcW w:w="3166" w:type="dxa"/>
          </w:tcPr>
          <w:p w14:paraId="72ECD0A4" w14:textId="0397D7BB" w:rsidR="00D92520" w:rsidRPr="00D92520" w:rsidRDefault="00D92520" w:rsidP="00D92520">
            <w:pPr>
              <w:rPr>
                <w:rFonts w:eastAsia="Times New Roman" w:cs="Arial"/>
                <w:i/>
                <w:iCs/>
                <w:color w:val="000000"/>
                <w:u w:val="single"/>
                <w:lang w:val="en-US"/>
              </w:rPr>
            </w:pPr>
            <w:r w:rsidRPr="00D92520">
              <w:rPr>
                <w:rFonts w:cs="Arial"/>
                <w:i/>
                <w:iCs/>
              </w:rPr>
              <w:t>Neisseria meningitidis</w:t>
            </w:r>
          </w:p>
        </w:tc>
        <w:tc>
          <w:tcPr>
            <w:tcW w:w="3167" w:type="dxa"/>
          </w:tcPr>
          <w:p w14:paraId="020D279B" w14:textId="733BC87E"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0,03 mg/L</w:t>
            </w:r>
          </w:p>
        </w:tc>
        <w:tc>
          <w:tcPr>
            <w:tcW w:w="3167" w:type="dxa"/>
          </w:tcPr>
          <w:p w14:paraId="4DB51AE2" w14:textId="57878661" w:rsidR="00D92520" w:rsidRPr="00D92520" w:rsidRDefault="00D92520" w:rsidP="00D92520">
            <w:pPr>
              <w:rPr>
                <w:rFonts w:eastAsia="Times New Roman" w:cs="Arial"/>
                <w:i/>
                <w:iCs/>
                <w:color w:val="000000"/>
                <w:u w:val="single"/>
                <w:lang w:val="en-US"/>
              </w:rPr>
            </w:pPr>
            <w:r w:rsidRPr="00D92520">
              <w:rPr>
                <w:rFonts w:cs="Arial"/>
              </w:rPr>
              <w:t>R &gt; 0,03 mg/L</w:t>
            </w:r>
          </w:p>
        </w:tc>
      </w:tr>
      <w:tr w:rsidR="00D92520" w:rsidRPr="00D92520" w14:paraId="0D8902B8" w14:textId="77777777" w:rsidTr="00D92520">
        <w:tc>
          <w:tcPr>
            <w:tcW w:w="3166" w:type="dxa"/>
          </w:tcPr>
          <w:p w14:paraId="06FC13A3" w14:textId="053B13C7" w:rsidR="00D92520" w:rsidRPr="00D92520" w:rsidRDefault="00D92520" w:rsidP="00D92520">
            <w:pPr>
              <w:rPr>
                <w:rFonts w:eastAsia="Times New Roman" w:cs="Arial"/>
                <w:i/>
                <w:iCs/>
                <w:color w:val="000000"/>
                <w:u w:val="single"/>
                <w:lang w:val="en-US"/>
              </w:rPr>
            </w:pPr>
            <w:r w:rsidRPr="00D92520">
              <w:rPr>
                <w:rFonts w:cs="Arial"/>
                <w:lang w:eastAsia="bg-BG"/>
              </w:rPr>
              <w:t>Гранични стойности, които не са свързани с определен вид*</w:t>
            </w:r>
          </w:p>
        </w:tc>
        <w:tc>
          <w:tcPr>
            <w:tcW w:w="3167" w:type="dxa"/>
          </w:tcPr>
          <w:p w14:paraId="0F89FD81" w14:textId="46727948" w:rsidR="00D92520" w:rsidRPr="00D92520" w:rsidRDefault="00D92520" w:rsidP="00D92520">
            <w:pPr>
              <w:rPr>
                <w:rFonts w:eastAsia="Times New Roman" w:cs="Arial"/>
                <w:i/>
                <w:iCs/>
                <w:color w:val="000000"/>
                <w:u w:val="single"/>
                <w:lang w:val="en-US"/>
              </w:rPr>
            </w:pPr>
            <w:r w:rsidRPr="00D92520">
              <w:rPr>
                <w:rFonts w:cs="Arial"/>
              </w:rPr>
              <w:t xml:space="preserve">S </w:t>
            </w:r>
            <w:r w:rsidRPr="00D92520">
              <w:rPr>
                <w:rFonts w:cs="Arial"/>
                <w:lang w:eastAsia="bg-BG"/>
              </w:rPr>
              <w:t>≤</w:t>
            </w:r>
            <w:r w:rsidRPr="00D92520">
              <w:rPr>
                <w:rFonts w:cs="Arial"/>
              </w:rPr>
              <w:t xml:space="preserve"> 0,25 mg/L</w:t>
            </w:r>
          </w:p>
        </w:tc>
        <w:tc>
          <w:tcPr>
            <w:tcW w:w="3167" w:type="dxa"/>
          </w:tcPr>
          <w:p w14:paraId="3BCEF490" w14:textId="30A39DA4" w:rsidR="00D92520" w:rsidRPr="00D92520" w:rsidRDefault="00D92520" w:rsidP="00D92520">
            <w:pPr>
              <w:rPr>
                <w:rFonts w:eastAsia="Times New Roman" w:cs="Arial"/>
                <w:i/>
                <w:iCs/>
                <w:color w:val="000000"/>
                <w:u w:val="single"/>
                <w:lang w:val="en-US"/>
              </w:rPr>
            </w:pPr>
            <w:r w:rsidRPr="00D92520">
              <w:rPr>
                <w:rFonts w:cs="Arial"/>
              </w:rPr>
              <w:t>R &gt; 0,5 mg/L</w:t>
            </w:r>
          </w:p>
        </w:tc>
      </w:tr>
    </w:tbl>
    <w:p w14:paraId="4EC9DABE" w14:textId="7C534061" w:rsidR="00431E5F" w:rsidRPr="00D92520" w:rsidRDefault="00431E5F" w:rsidP="00431E5F">
      <w:pPr>
        <w:rPr>
          <w:rFonts w:eastAsia="Times New Roman" w:cs="Arial"/>
          <w:i/>
          <w:iCs/>
          <w:color w:val="000000"/>
          <w:u w:val="single"/>
          <w:lang w:val="en-US"/>
        </w:rPr>
      </w:pPr>
    </w:p>
    <w:p w14:paraId="554467A4" w14:textId="77777777" w:rsidR="00D92520" w:rsidRPr="00D92520" w:rsidRDefault="00D92520" w:rsidP="00D92520">
      <w:pPr>
        <w:spacing w:line="240" w:lineRule="auto"/>
        <w:rPr>
          <w:rFonts w:eastAsia="Times New Roman" w:cs="Arial"/>
          <w:lang w:eastAsia="bg-BG"/>
        </w:rPr>
      </w:pPr>
      <w:r w:rsidRPr="00D92520">
        <w:rPr>
          <w:rFonts w:eastAsia="Times New Roman" w:cs="Arial"/>
          <w:i/>
          <w:iCs/>
          <w:color w:val="000000"/>
          <w:vertAlign w:val="superscript"/>
          <w:lang w:eastAsia="bg-BG"/>
        </w:rPr>
        <w:t>1</w:t>
      </w:r>
      <w:r w:rsidRPr="00D92520">
        <w:rPr>
          <w:rFonts w:eastAsia="Times New Roman" w:cs="Arial"/>
          <w:i/>
          <w:iCs/>
          <w:color w:val="000000"/>
          <w:lang w:eastAsia="bg-BG"/>
        </w:rPr>
        <w:t xml:space="preserve"> </w:t>
      </w:r>
      <w:r w:rsidRPr="00D92520">
        <w:rPr>
          <w:rFonts w:eastAsia="Times New Roman" w:cs="Arial"/>
          <w:i/>
          <w:iCs/>
          <w:color w:val="000000"/>
          <w:lang w:val="en-US"/>
        </w:rPr>
        <w:t>Staphylococcus spp. -</w:t>
      </w:r>
      <w:r w:rsidRPr="00D92520">
        <w:rPr>
          <w:rFonts w:eastAsia="Times New Roman" w:cs="Arial"/>
          <w:color w:val="000000"/>
          <w:lang w:val="en-US"/>
        </w:rPr>
        <w:t xml:space="preserve"> </w:t>
      </w:r>
      <w:proofErr w:type="gramStart"/>
      <w:r w:rsidRPr="00D92520">
        <w:rPr>
          <w:rFonts w:eastAsia="Times New Roman" w:cs="Arial"/>
          <w:color w:val="000000"/>
          <w:lang w:eastAsia="bg-BG"/>
        </w:rPr>
        <w:t>граничните</w:t>
      </w:r>
      <w:proofErr w:type="gramEnd"/>
      <w:r w:rsidRPr="00D92520">
        <w:rPr>
          <w:rFonts w:eastAsia="Times New Roman" w:cs="Arial"/>
          <w:color w:val="000000"/>
          <w:lang w:eastAsia="bg-BG"/>
        </w:rPr>
        <w:t xml:space="preserve"> стойности за ципрофлоксацин са свързани с терапия с високи дози.</w:t>
      </w:r>
    </w:p>
    <w:p w14:paraId="3C48D2DF" w14:textId="77777777" w:rsidR="00D92520" w:rsidRPr="00D92520" w:rsidRDefault="00D92520" w:rsidP="00D92520">
      <w:pPr>
        <w:spacing w:line="240" w:lineRule="auto"/>
        <w:rPr>
          <w:rFonts w:eastAsia="Times New Roman" w:cs="Arial"/>
          <w:lang w:eastAsia="bg-BG"/>
        </w:rPr>
      </w:pPr>
      <w:r w:rsidRPr="00D92520">
        <w:rPr>
          <w:rFonts w:eastAsia="Times New Roman" w:cs="Arial"/>
          <w:color w:val="000000"/>
          <w:lang w:eastAsia="bg-BG"/>
        </w:rPr>
        <w:t xml:space="preserve">* Граничните стойности, които не са свързани с определен вид, са определни основно на база данните за връзката фармакокинетика-фармакодинамика, и са независими от разпределението на </w:t>
      </w:r>
      <w:r w:rsidRPr="00D92520">
        <w:rPr>
          <w:rFonts w:eastAsia="Times New Roman" w:cs="Arial"/>
          <w:color w:val="000000"/>
          <w:lang w:val="en-US"/>
        </w:rPr>
        <w:t xml:space="preserve">MIC </w:t>
      </w:r>
      <w:r w:rsidRPr="00D92520">
        <w:rPr>
          <w:rFonts w:eastAsia="Times New Roman" w:cs="Arial"/>
          <w:color w:val="000000"/>
          <w:lang w:eastAsia="bg-BG"/>
        </w:rPr>
        <w:t>за отделните щамове. Следва да се използват само за щамове, за които няма определена индивидуална гранична стойност, но не и за щамове, при които не се препоръчва изследване на чувствителността.</w:t>
      </w:r>
    </w:p>
    <w:p w14:paraId="5E5E8F43" w14:textId="77777777" w:rsidR="00D92520" w:rsidRPr="00D92520" w:rsidRDefault="00D92520" w:rsidP="00D92520">
      <w:pPr>
        <w:spacing w:line="240" w:lineRule="auto"/>
        <w:rPr>
          <w:rFonts w:eastAsia="Times New Roman" w:cs="Arial"/>
          <w:color w:val="000000"/>
          <w:lang w:eastAsia="bg-BG"/>
        </w:rPr>
      </w:pPr>
    </w:p>
    <w:p w14:paraId="50CE9C1D" w14:textId="01E58CFE" w:rsidR="00D92520" w:rsidRPr="00D92520" w:rsidRDefault="00D92520" w:rsidP="00D92520">
      <w:pPr>
        <w:spacing w:line="240" w:lineRule="auto"/>
        <w:rPr>
          <w:rFonts w:eastAsia="Times New Roman" w:cs="Arial"/>
          <w:lang w:eastAsia="bg-BG"/>
        </w:rPr>
      </w:pPr>
      <w:r w:rsidRPr="00D92520">
        <w:rPr>
          <w:rFonts w:eastAsia="Times New Roman" w:cs="Arial"/>
          <w:color w:val="000000"/>
          <w:lang w:eastAsia="bg-BG"/>
        </w:rPr>
        <w:t>Разпространението на придобитата резистентност може да варира според географското разположение и във времето за определени видове микроорганизми, поради което е желателно да се използват местни данни за резистентността,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за поне някои типове инфекции.</w:t>
      </w:r>
    </w:p>
    <w:p w14:paraId="0741C9C0" w14:textId="77777777" w:rsidR="00D92520" w:rsidRPr="00D92520" w:rsidRDefault="00D92520" w:rsidP="00D92520">
      <w:pPr>
        <w:rPr>
          <w:rFonts w:eastAsia="Times New Roman" w:cs="Arial"/>
          <w:color w:val="000000"/>
          <w:lang w:eastAsia="bg-BG"/>
        </w:rPr>
      </w:pPr>
    </w:p>
    <w:p w14:paraId="20D9C40C" w14:textId="5CCEDEAF" w:rsidR="00D92520" w:rsidRPr="00D92520" w:rsidRDefault="00D92520" w:rsidP="00D92520">
      <w:pPr>
        <w:rPr>
          <w:rFonts w:cs="Arial"/>
        </w:rPr>
      </w:pPr>
      <w:r w:rsidRPr="00D92520">
        <w:rPr>
          <w:rFonts w:eastAsia="Times New Roman" w:cs="Arial"/>
          <w:color w:val="000000"/>
          <w:lang w:eastAsia="bg-BG"/>
        </w:rPr>
        <w:t xml:space="preserve">Групиране на релевантните видове микроорганизми в зависимост от чувствителността им към ципрофлоксацин (за </w:t>
      </w:r>
      <w:r w:rsidRPr="00D92520">
        <w:rPr>
          <w:rFonts w:eastAsia="Times New Roman" w:cs="Arial"/>
          <w:i/>
          <w:iCs/>
          <w:color w:val="000000"/>
          <w:lang w:val="en-US"/>
        </w:rPr>
        <w:t>Streptococcus spp.</w:t>
      </w:r>
      <w:r w:rsidRPr="00D92520">
        <w:rPr>
          <w:rFonts w:eastAsia="Times New Roman" w:cs="Arial"/>
          <w:color w:val="000000"/>
          <w:lang w:val="en-US"/>
        </w:rPr>
        <w:t xml:space="preserve"> </w:t>
      </w:r>
      <w:r w:rsidRPr="00D92520">
        <w:rPr>
          <w:rFonts w:eastAsia="Times New Roman" w:cs="Arial"/>
          <w:color w:val="000000"/>
          <w:lang w:eastAsia="bg-BG"/>
        </w:rPr>
        <w:t>вж. точка 4.4):</w:t>
      </w:r>
    </w:p>
    <w:tbl>
      <w:tblPr>
        <w:tblStyle w:val="TableGrid"/>
        <w:tblW w:w="0" w:type="auto"/>
        <w:tblLook w:val="04A0" w:firstRow="1" w:lastRow="0" w:firstColumn="1" w:lastColumn="0" w:noHBand="0" w:noVBand="1"/>
      </w:tblPr>
      <w:tblGrid>
        <w:gridCol w:w="9500"/>
      </w:tblGrid>
      <w:tr w:rsidR="00D92520" w:rsidRPr="00D92520" w14:paraId="41527730" w14:textId="77777777" w:rsidTr="00D92520">
        <w:tc>
          <w:tcPr>
            <w:tcW w:w="9500" w:type="dxa"/>
          </w:tcPr>
          <w:p w14:paraId="358EC619" w14:textId="3AD133D8" w:rsidR="00D92520" w:rsidRPr="00D92520" w:rsidRDefault="00D92520" w:rsidP="00D92520">
            <w:pPr>
              <w:rPr>
                <w:rFonts w:cs="Arial"/>
              </w:rPr>
            </w:pPr>
            <w:r w:rsidRPr="00D92520">
              <w:rPr>
                <w:rFonts w:cs="Arial"/>
                <w:b/>
                <w:bCs/>
              </w:rPr>
              <w:t>СТАНДАРТНО ЧУВСТВИТЕЛНИ МИКРООРГАНИЗМИ</w:t>
            </w:r>
          </w:p>
        </w:tc>
      </w:tr>
      <w:tr w:rsidR="00D92520" w:rsidRPr="00D92520" w14:paraId="5D8DDB21" w14:textId="77777777" w:rsidTr="00D92520">
        <w:tc>
          <w:tcPr>
            <w:tcW w:w="9500" w:type="dxa"/>
          </w:tcPr>
          <w:p w14:paraId="06BEC2D5" w14:textId="77777777" w:rsidR="00D92520" w:rsidRPr="00D92520" w:rsidRDefault="00D92520" w:rsidP="00D92520">
            <w:pPr>
              <w:rPr>
                <w:rFonts w:cs="Arial"/>
              </w:rPr>
            </w:pPr>
            <w:r w:rsidRPr="00D92520">
              <w:rPr>
                <w:rFonts w:cs="Arial"/>
                <w:u w:val="single"/>
              </w:rPr>
              <w:t>Аеробни Грам-положителни микроорганизми</w:t>
            </w:r>
          </w:p>
          <w:p w14:paraId="13B33891" w14:textId="5F45254B" w:rsidR="00D92520" w:rsidRPr="00D92520" w:rsidRDefault="00D92520" w:rsidP="00D92520">
            <w:pPr>
              <w:rPr>
                <w:rFonts w:cs="Arial"/>
              </w:rPr>
            </w:pPr>
            <w:r w:rsidRPr="00D92520">
              <w:rPr>
                <w:rFonts w:cs="Arial"/>
                <w:i/>
                <w:iCs/>
                <w:lang w:val="en-US"/>
              </w:rPr>
              <w:t>Bacillus anthracis</w:t>
            </w:r>
            <w:r w:rsidRPr="00D92520">
              <w:rPr>
                <w:rFonts w:cs="Arial"/>
                <w:i/>
                <w:iCs/>
                <w:vertAlign w:val="superscript"/>
                <w:lang w:val="en-US"/>
              </w:rPr>
              <w:t>1</w:t>
            </w:r>
          </w:p>
        </w:tc>
      </w:tr>
    </w:tbl>
    <w:p w14:paraId="36152471" w14:textId="4624B672" w:rsidR="0091385D" w:rsidRPr="00D92520" w:rsidRDefault="0091385D" w:rsidP="0091385D">
      <w:pPr>
        <w:rPr>
          <w:rFonts w:cs="Arial"/>
        </w:rPr>
      </w:pPr>
    </w:p>
    <w:tbl>
      <w:tblPr>
        <w:tblStyle w:val="TableGrid"/>
        <w:tblW w:w="0" w:type="auto"/>
        <w:tblLook w:val="04A0" w:firstRow="1" w:lastRow="0" w:firstColumn="1" w:lastColumn="0" w:noHBand="0" w:noVBand="1"/>
      </w:tblPr>
      <w:tblGrid>
        <w:gridCol w:w="9500"/>
      </w:tblGrid>
      <w:tr w:rsidR="00D92520" w:rsidRPr="00D92520" w14:paraId="5C7C38E9" w14:textId="77777777" w:rsidTr="00D92520">
        <w:tc>
          <w:tcPr>
            <w:tcW w:w="9500" w:type="dxa"/>
          </w:tcPr>
          <w:p w14:paraId="4C30BE8A" w14:textId="77777777" w:rsidR="00D92520" w:rsidRPr="00D92520" w:rsidRDefault="00D92520" w:rsidP="00D92520">
            <w:pPr>
              <w:rPr>
                <w:rFonts w:cs="Arial"/>
                <w:lang w:eastAsia="bg-BG"/>
              </w:rPr>
            </w:pPr>
            <w:r w:rsidRPr="00D92520">
              <w:rPr>
                <w:rFonts w:cs="Arial"/>
                <w:u w:val="single"/>
                <w:lang w:eastAsia="bg-BG"/>
              </w:rPr>
              <w:t>Аеробни Грам-отрицателни микроорганизми</w:t>
            </w:r>
          </w:p>
          <w:p w14:paraId="050A812A" w14:textId="77777777" w:rsidR="00D92520" w:rsidRPr="00D92520" w:rsidRDefault="00D92520" w:rsidP="00D92520">
            <w:pPr>
              <w:rPr>
                <w:rFonts w:cs="Arial"/>
                <w:lang w:eastAsia="bg-BG"/>
              </w:rPr>
            </w:pPr>
            <w:r w:rsidRPr="00D92520">
              <w:rPr>
                <w:rFonts w:cs="Arial"/>
                <w:i/>
                <w:iCs/>
              </w:rPr>
              <w:t>Aeromonas spp.</w:t>
            </w:r>
          </w:p>
          <w:p w14:paraId="7F09D13D" w14:textId="77777777" w:rsidR="00D92520" w:rsidRPr="00D92520" w:rsidRDefault="00D92520" w:rsidP="00D92520">
            <w:pPr>
              <w:rPr>
                <w:rFonts w:cs="Arial"/>
                <w:lang w:eastAsia="bg-BG"/>
              </w:rPr>
            </w:pPr>
            <w:r w:rsidRPr="00D92520">
              <w:rPr>
                <w:rFonts w:cs="Arial"/>
                <w:i/>
                <w:iCs/>
              </w:rPr>
              <w:t>Brucella spp.</w:t>
            </w:r>
          </w:p>
          <w:p w14:paraId="36AD1F13" w14:textId="77777777" w:rsidR="00D92520" w:rsidRPr="00D92520" w:rsidRDefault="00D92520" w:rsidP="00D92520">
            <w:pPr>
              <w:rPr>
                <w:rFonts w:cs="Arial"/>
                <w:lang w:eastAsia="bg-BG"/>
              </w:rPr>
            </w:pPr>
            <w:r w:rsidRPr="00D92520">
              <w:rPr>
                <w:rFonts w:cs="Arial"/>
                <w:i/>
                <w:iCs/>
              </w:rPr>
              <w:t>Citrobacter koseri</w:t>
            </w:r>
          </w:p>
          <w:p w14:paraId="2A8DF6F1" w14:textId="77777777" w:rsidR="00D92520" w:rsidRPr="00D92520" w:rsidRDefault="00D92520" w:rsidP="00D92520">
            <w:pPr>
              <w:rPr>
                <w:rFonts w:cs="Arial"/>
                <w:lang w:eastAsia="bg-BG"/>
              </w:rPr>
            </w:pPr>
            <w:r w:rsidRPr="00D92520">
              <w:rPr>
                <w:rFonts w:cs="Arial"/>
                <w:i/>
                <w:iCs/>
              </w:rPr>
              <w:t>Francisella tularensis</w:t>
            </w:r>
          </w:p>
          <w:p w14:paraId="234749A1" w14:textId="77777777" w:rsidR="00D92520" w:rsidRPr="00D92520" w:rsidRDefault="00D92520" w:rsidP="00D92520">
            <w:pPr>
              <w:rPr>
                <w:rFonts w:cs="Arial"/>
                <w:lang w:eastAsia="bg-BG"/>
              </w:rPr>
            </w:pPr>
            <w:r w:rsidRPr="00D92520">
              <w:rPr>
                <w:rFonts w:cs="Arial"/>
                <w:i/>
                <w:iCs/>
              </w:rPr>
              <w:t>Haemophilus ducreyi</w:t>
            </w:r>
          </w:p>
          <w:p w14:paraId="00E0634F" w14:textId="77777777" w:rsidR="00D92520" w:rsidRPr="00D92520" w:rsidRDefault="00D92520" w:rsidP="00D92520">
            <w:pPr>
              <w:rPr>
                <w:rFonts w:cs="Arial"/>
                <w:lang w:eastAsia="bg-BG"/>
              </w:rPr>
            </w:pPr>
            <w:r w:rsidRPr="00D92520">
              <w:rPr>
                <w:rFonts w:cs="Arial"/>
                <w:i/>
                <w:iCs/>
              </w:rPr>
              <w:t>Haemophilus influenzae *</w:t>
            </w:r>
          </w:p>
          <w:p w14:paraId="3B4E7B8E" w14:textId="77777777" w:rsidR="00D92520" w:rsidRPr="00D92520" w:rsidRDefault="00D92520" w:rsidP="00D92520">
            <w:pPr>
              <w:rPr>
                <w:rFonts w:cs="Arial"/>
                <w:lang w:eastAsia="bg-BG"/>
              </w:rPr>
            </w:pPr>
            <w:r w:rsidRPr="00D92520">
              <w:rPr>
                <w:rFonts w:cs="Arial"/>
                <w:i/>
                <w:iCs/>
              </w:rPr>
              <w:lastRenderedPageBreak/>
              <w:t>Legionella spp.</w:t>
            </w:r>
          </w:p>
          <w:p w14:paraId="4CE6D6B8" w14:textId="77777777" w:rsidR="00D92520" w:rsidRPr="00D92520" w:rsidRDefault="00D92520" w:rsidP="00D92520">
            <w:pPr>
              <w:rPr>
                <w:rFonts w:cs="Arial"/>
                <w:lang w:eastAsia="bg-BG"/>
              </w:rPr>
            </w:pPr>
            <w:r w:rsidRPr="00D92520">
              <w:rPr>
                <w:rFonts w:cs="Arial"/>
                <w:i/>
                <w:iCs/>
              </w:rPr>
              <w:t>Moraxella catarrhalis*</w:t>
            </w:r>
          </w:p>
          <w:p w14:paraId="4EC837DF" w14:textId="77777777" w:rsidR="00D92520" w:rsidRPr="00D92520" w:rsidRDefault="00D92520" w:rsidP="00D92520">
            <w:pPr>
              <w:rPr>
                <w:rFonts w:cs="Arial"/>
                <w:lang w:eastAsia="bg-BG"/>
              </w:rPr>
            </w:pPr>
            <w:r w:rsidRPr="00D92520">
              <w:rPr>
                <w:rFonts w:cs="Arial"/>
                <w:i/>
                <w:iCs/>
              </w:rPr>
              <w:t>Neisseria meningitidis</w:t>
            </w:r>
          </w:p>
          <w:p w14:paraId="7214367B" w14:textId="77777777" w:rsidR="00D92520" w:rsidRPr="00D92520" w:rsidRDefault="00D92520" w:rsidP="00D92520">
            <w:pPr>
              <w:rPr>
                <w:rFonts w:cs="Arial"/>
                <w:lang w:eastAsia="bg-BG"/>
              </w:rPr>
            </w:pPr>
            <w:r w:rsidRPr="00D92520">
              <w:rPr>
                <w:rFonts w:cs="Arial"/>
                <w:i/>
                <w:iCs/>
              </w:rPr>
              <w:t>Pasteurella spp.</w:t>
            </w:r>
          </w:p>
          <w:p w14:paraId="0C7B1009" w14:textId="77777777" w:rsidR="00D92520" w:rsidRPr="00D92520" w:rsidRDefault="00D92520" w:rsidP="00D92520">
            <w:pPr>
              <w:rPr>
                <w:rFonts w:cs="Arial"/>
                <w:lang w:eastAsia="bg-BG"/>
              </w:rPr>
            </w:pPr>
            <w:r w:rsidRPr="00D92520">
              <w:rPr>
                <w:rFonts w:cs="Arial"/>
                <w:i/>
                <w:iCs/>
              </w:rPr>
              <w:t>Salmonella spp. *</w:t>
            </w:r>
          </w:p>
          <w:p w14:paraId="6822ECC7" w14:textId="77777777" w:rsidR="00D92520" w:rsidRPr="00D92520" w:rsidRDefault="00D92520" w:rsidP="00D92520">
            <w:pPr>
              <w:rPr>
                <w:rFonts w:cs="Arial"/>
                <w:lang w:eastAsia="bg-BG"/>
              </w:rPr>
            </w:pPr>
            <w:r w:rsidRPr="00D92520">
              <w:rPr>
                <w:rFonts w:cs="Arial"/>
                <w:i/>
                <w:iCs/>
              </w:rPr>
              <w:t>Shigella spp.</w:t>
            </w:r>
          </w:p>
          <w:p w14:paraId="1EE28163" w14:textId="77777777" w:rsidR="00D92520" w:rsidRPr="00D92520" w:rsidRDefault="00D92520" w:rsidP="00D92520">
            <w:pPr>
              <w:rPr>
                <w:rFonts w:cs="Arial"/>
                <w:lang w:eastAsia="bg-BG"/>
              </w:rPr>
            </w:pPr>
            <w:r w:rsidRPr="00D92520">
              <w:rPr>
                <w:rFonts w:cs="Arial"/>
                <w:i/>
                <w:iCs/>
              </w:rPr>
              <w:t>Vibrio spp.</w:t>
            </w:r>
          </w:p>
          <w:p w14:paraId="4C1854DB" w14:textId="728A6670" w:rsidR="00D92520" w:rsidRPr="00D92520" w:rsidRDefault="00D92520" w:rsidP="00D92520">
            <w:pPr>
              <w:rPr>
                <w:rFonts w:cs="Arial"/>
              </w:rPr>
            </w:pPr>
            <w:r w:rsidRPr="00D92520">
              <w:rPr>
                <w:rFonts w:cs="Arial"/>
                <w:i/>
                <w:iCs/>
              </w:rPr>
              <w:t>Yersinia pestis</w:t>
            </w:r>
          </w:p>
        </w:tc>
      </w:tr>
      <w:tr w:rsidR="00D92520" w:rsidRPr="00D92520" w14:paraId="325C9A13" w14:textId="77777777" w:rsidTr="00D92520">
        <w:tc>
          <w:tcPr>
            <w:tcW w:w="9500" w:type="dxa"/>
          </w:tcPr>
          <w:p w14:paraId="4288CEB9" w14:textId="77777777" w:rsidR="00D92520" w:rsidRPr="00D92520" w:rsidRDefault="00D92520" w:rsidP="00D92520">
            <w:pPr>
              <w:rPr>
                <w:rFonts w:cs="Arial"/>
                <w:lang w:eastAsia="bg-BG"/>
              </w:rPr>
            </w:pPr>
            <w:r w:rsidRPr="00D92520">
              <w:rPr>
                <w:rFonts w:cs="Arial"/>
                <w:u w:val="single"/>
                <w:lang w:eastAsia="bg-BG"/>
              </w:rPr>
              <w:lastRenderedPageBreak/>
              <w:t>Анаеробни микроорганизми</w:t>
            </w:r>
          </w:p>
          <w:p w14:paraId="24A03D4E" w14:textId="156F68C0" w:rsidR="00D92520" w:rsidRPr="00D92520" w:rsidRDefault="00D92520" w:rsidP="00D92520">
            <w:pPr>
              <w:rPr>
                <w:rFonts w:cs="Arial"/>
              </w:rPr>
            </w:pPr>
            <w:r w:rsidRPr="00D92520">
              <w:rPr>
                <w:rFonts w:cs="Arial"/>
                <w:i/>
                <w:iCs/>
              </w:rPr>
              <w:t>Mobiluncus</w:t>
            </w:r>
          </w:p>
        </w:tc>
      </w:tr>
      <w:tr w:rsidR="00D92520" w:rsidRPr="00D92520" w14:paraId="1253E2D6" w14:textId="77777777" w:rsidTr="001A0677">
        <w:tc>
          <w:tcPr>
            <w:tcW w:w="9500" w:type="dxa"/>
            <w:vAlign w:val="bottom"/>
          </w:tcPr>
          <w:p w14:paraId="6A3F2BE8" w14:textId="77777777" w:rsidR="00D92520" w:rsidRPr="00D92520" w:rsidRDefault="00D92520" w:rsidP="00D92520">
            <w:pPr>
              <w:rPr>
                <w:rFonts w:cs="Arial"/>
                <w:u w:val="single"/>
                <w:lang w:eastAsia="bg-BG"/>
              </w:rPr>
            </w:pPr>
            <w:r w:rsidRPr="00D92520">
              <w:rPr>
                <w:rFonts w:cs="Arial"/>
                <w:u w:val="single"/>
                <w:lang w:eastAsia="bg-BG"/>
              </w:rPr>
              <w:t xml:space="preserve">Други микроорганизми </w:t>
            </w:r>
          </w:p>
          <w:p w14:paraId="778FF9B8" w14:textId="0B0F6FC2" w:rsidR="00D92520" w:rsidRPr="00D92520" w:rsidRDefault="00D92520" w:rsidP="00D92520">
            <w:pPr>
              <w:rPr>
                <w:rFonts w:cs="Arial"/>
                <w:i/>
                <w:iCs/>
              </w:rPr>
            </w:pPr>
            <w:r w:rsidRPr="00D92520">
              <w:rPr>
                <w:rFonts w:cs="Arial"/>
                <w:i/>
                <w:iCs/>
              </w:rPr>
              <w:t>Chlamydia trachomatis</w:t>
            </w:r>
            <w:r w:rsidRPr="00D92520">
              <w:rPr>
                <w:rFonts w:cs="Arial"/>
                <w:i/>
                <w:iCs/>
                <w:vertAlign w:val="superscript"/>
              </w:rPr>
              <w:t>($)</w:t>
            </w:r>
            <w:r w:rsidRPr="00D92520">
              <w:rPr>
                <w:rFonts w:cs="Arial"/>
                <w:i/>
                <w:iCs/>
              </w:rPr>
              <w:t xml:space="preserve"> </w:t>
            </w:r>
          </w:p>
          <w:p w14:paraId="6F49F3DE" w14:textId="77777777" w:rsidR="00D92520" w:rsidRPr="00D92520" w:rsidRDefault="00D92520" w:rsidP="00D92520">
            <w:pPr>
              <w:rPr>
                <w:rFonts w:cs="Arial"/>
                <w:i/>
                <w:iCs/>
              </w:rPr>
            </w:pPr>
            <w:r w:rsidRPr="00D92520">
              <w:rPr>
                <w:rFonts w:cs="Arial"/>
                <w:i/>
                <w:iCs/>
              </w:rPr>
              <w:t>Chlamydia pneumoniae</w:t>
            </w:r>
            <w:r w:rsidRPr="00D92520">
              <w:rPr>
                <w:rFonts w:cs="Arial"/>
                <w:i/>
                <w:iCs/>
                <w:vertAlign w:val="superscript"/>
              </w:rPr>
              <w:t>($)</w:t>
            </w:r>
            <w:r w:rsidRPr="00D92520">
              <w:rPr>
                <w:rFonts w:cs="Arial"/>
                <w:i/>
                <w:iCs/>
              </w:rPr>
              <w:t xml:space="preserve"> </w:t>
            </w:r>
          </w:p>
          <w:p w14:paraId="1C913E4A" w14:textId="77777777" w:rsidR="00D92520" w:rsidRPr="00D92520" w:rsidRDefault="00D92520" w:rsidP="00D92520">
            <w:pPr>
              <w:rPr>
                <w:rFonts w:cs="Arial"/>
                <w:i/>
                <w:iCs/>
              </w:rPr>
            </w:pPr>
            <w:r w:rsidRPr="00D92520">
              <w:rPr>
                <w:rFonts w:cs="Arial"/>
                <w:i/>
                <w:iCs/>
              </w:rPr>
              <w:t>Mycoplasma hominis</w:t>
            </w:r>
            <w:r w:rsidRPr="00D92520">
              <w:rPr>
                <w:rFonts w:cs="Arial"/>
                <w:i/>
                <w:iCs/>
                <w:vertAlign w:val="superscript"/>
              </w:rPr>
              <w:t>($)</w:t>
            </w:r>
            <w:r w:rsidRPr="00D92520">
              <w:rPr>
                <w:rFonts w:cs="Arial"/>
                <w:i/>
                <w:iCs/>
              </w:rPr>
              <w:t xml:space="preserve"> </w:t>
            </w:r>
          </w:p>
          <w:p w14:paraId="258FA258" w14:textId="031D7800" w:rsidR="00D92520" w:rsidRPr="00D92520" w:rsidRDefault="00D92520" w:rsidP="00D92520">
            <w:pPr>
              <w:rPr>
                <w:rFonts w:cs="Arial"/>
              </w:rPr>
            </w:pPr>
            <w:r w:rsidRPr="00D92520">
              <w:rPr>
                <w:rFonts w:cs="Arial"/>
                <w:i/>
                <w:iCs/>
              </w:rPr>
              <w:t>Mycoplasma pneumoniae</w:t>
            </w:r>
            <w:r w:rsidRPr="00D92520">
              <w:rPr>
                <w:rFonts w:cs="Arial"/>
                <w:i/>
                <w:iCs/>
                <w:vertAlign w:val="superscript"/>
              </w:rPr>
              <w:t>($)</w:t>
            </w:r>
          </w:p>
        </w:tc>
      </w:tr>
      <w:tr w:rsidR="00D92520" w:rsidRPr="00D92520" w14:paraId="11BFDCD3" w14:textId="77777777" w:rsidTr="001A0677">
        <w:tc>
          <w:tcPr>
            <w:tcW w:w="9500" w:type="dxa"/>
            <w:vAlign w:val="bottom"/>
          </w:tcPr>
          <w:p w14:paraId="3731EF8E" w14:textId="5021A5C7" w:rsidR="00D92520" w:rsidRPr="00D92520" w:rsidRDefault="00D92520" w:rsidP="00D92520">
            <w:pPr>
              <w:rPr>
                <w:rFonts w:cs="Arial"/>
              </w:rPr>
            </w:pPr>
            <w:r w:rsidRPr="00D92520">
              <w:rPr>
                <w:rFonts w:cs="Arial"/>
                <w:b/>
                <w:bCs/>
                <w:lang w:eastAsia="bg-BG"/>
              </w:rPr>
              <w:t>МИКРООРГАНИЗМИ, ПРИ КОИТО ПРИДОБИТАТА РЕЗИСТЕНТНОСТ МОЖЕ ДА Е ПРОБЛЕМ</w:t>
            </w:r>
          </w:p>
        </w:tc>
      </w:tr>
      <w:tr w:rsidR="00D92520" w:rsidRPr="00D92520" w14:paraId="4AAEA3E6" w14:textId="77777777" w:rsidTr="001A0677">
        <w:tc>
          <w:tcPr>
            <w:tcW w:w="9500" w:type="dxa"/>
            <w:vAlign w:val="bottom"/>
          </w:tcPr>
          <w:p w14:paraId="35E1957E" w14:textId="77777777" w:rsidR="00D92520" w:rsidRPr="00D92520" w:rsidRDefault="00D92520" w:rsidP="00D92520">
            <w:pPr>
              <w:rPr>
                <w:rFonts w:cs="Arial"/>
                <w:lang w:eastAsia="bg-BG"/>
              </w:rPr>
            </w:pPr>
            <w:r w:rsidRPr="00D92520">
              <w:rPr>
                <w:rFonts w:cs="Arial"/>
                <w:u w:val="single"/>
                <w:lang w:eastAsia="bg-BG"/>
              </w:rPr>
              <w:t>Аеробни Грам-положителни микроорганизми</w:t>
            </w:r>
          </w:p>
          <w:p w14:paraId="2A30C037" w14:textId="77777777" w:rsidR="00D92520" w:rsidRPr="00D92520" w:rsidRDefault="00D92520" w:rsidP="00D92520">
            <w:pPr>
              <w:rPr>
                <w:rFonts w:cs="Arial"/>
                <w:lang w:eastAsia="bg-BG"/>
              </w:rPr>
            </w:pPr>
            <w:r w:rsidRPr="00D92520">
              <w:rPr>
                <w:rFonts w:cs="Arial"/>
                <w:i/>
                <w:iCs/>
              </w:rPr>
              <w:t>Enterococcus faecalis</w:t>
            </w:r>
            <w:r w:rsidRPr="00D92520">
              <w:rPr>
                <w:rFonts w:cs="Arial"/>
                <w:i/>
                <w:iCs/>
                <w:vertAlign w:val="superscript"/>
              </w:rPr>
              <w:t>($)</w:t>
            </w:r>
          </w:p>
          <w:p w14:paraId="08875403" w14:textId="2B4AD5B9" w:rsidR="00D92520" w:rsidRPr="00D92520" w:rsidRDefault="00D92520" w:rsidP="00D92520">
            <w:pPr>
              <w:rPr>
                <w:rFonts w:cs="Arial"/>
              </w:rPr>
            </w:pPr>
            <w:r w:rsidRPr="00D92520">
              <w:rPr>
                <w:rFonts w:cs="Arial"/>
                <w:i/>
                <w:iCs/>
              </w:rPr>
              <w:t>Staphylococcus spp.</w:t>
            </w:r>
            <w:r w:rsidRPr="00D92520">
              <w:rPr>
                <w:rFonts w:cs="Arial"/>
                <w:i/>
                <w:iCs/>
                <w:vertAlign w:val="superscript"/>
              </w:rPr>
              <w:t>2</w:t>
            </w:r>
          </w:p>
        </w:tc>
      </w:tr>
      <w:tr w:rsidR="00D92520" w:rsidRPr="00D92520" w14:paraId="2D99B574" w14:textId="77777777" w:rsidTr="001A0677">
        <w:tc>
          <w:tcPr>
            <w:tcW w:w="9500" w:type="dxa"/>
            <w:vAlign w:val="bottom"/>
          </w:tcPr>
          <w:p w14:paraId="09A304BD" w14:textId="77777777" w:rsidR="00D92520" w:rsidRPr="00D92520" w:rsidRDefault="00D92520" w:rsidP="00D92520">
            <w:pPr>
              <w:rPr>
                <w:rFonts w:cs="Arial"/>
                <w:u w:val="single"/>
                <w:lang w:eastAsia="bg-BG"/>
              </w:rPr>
            </w:pPr>
            <w:r w:rsidRPr="00D92520">
              <w:rPr>
                <w:rFonts w:cs="Arial"/>
                <w:u w:val="single"/>
                <w:lang w:eastAsia="bg-BG"/>
              </w:rPr>
              <w:t xml:space="preserve">Аеробни Грам-отрицателни микроорганизми </w:t>
            </w:r>
          </w:p>
          <w:p w14:paraId="1AAB93A2" w14:textId="17D96276" w:rsidR="00D92520" w:rsidRPr="00D92520" w:rsidRDefault="00D92520" w:rsidP="00D92520">
            <w:pPr>
              <w:rPr>
                <w:rFonts w:cs="Arial"/>
                <w:i/>
                <w:iCs/>
              </w:rPr>
            </w:pPr>
            <w:r w:rsidRPr="00D92520">
              <w:rPr>
                <w:rFonts w:cs="Arial"/>
                <w:i/>
                <w:iCs/>
              </w:rPr>
              <w:t xml:space="preserve">Acinetobacter baumannii </w:t>
            </w:r>
          </w:p>
          <w:p w14:paraId="3E3DA10D" w14:textId="77777777" w:rsidR="00D92520" w:rsidRPr="00D92520" w:rsidRDefault="00D92520" w:rsidP="00D92520">
            <w:pPr>
              <w:rPr>
                <w:rFonts w:cs="Arial"/>
                <w:i/>
                <w:iCs/>
              </w:rPr>
            </w:pPr>
            <w:r w:rsidRPr="00D92520">
              <w:rPr>
                <w:rFonts w:cs="Arial"/>
                <w:i/>
                <w:iCs/>
              </w:rPr>
              <w:t xml:space="preserve">Burkholderia cepacia * </w:t>
            </w:r>
          </w:p>
          <w:p w14:paraId="70F5E894" w14:textId="434B63BA" w:rsidR="00D92520" w:rsidRPr="00D92520" w:rsidRDefault="00D92520" w:rsidP="00D92520">
            <w:pPr>
              <w:rPr>
                <w:rFonts w:cs="Arial"/>
                <w:lang w:eastAsia="bg-BG"/>
              </w:rPr>
            </w:pPr>
            <w:r w:rsidRPr="00D92520">
              <w:rPr>
                <w:rFonts w:cs="Arial"/>
                <w:i/>
                <w:iCs/>
              </w:rPr>
              <w:t>Campylobacter spp.</w:t>
            </w:r>
          </w:p>
          <w:p w14:paraId="1C75C8BB" w14:textId="77777777" w:rsidR="00D92520" w:rsidRPr="00D92520" w:rsidRDefault="00D92520" w:rsidP="00D92520">
            <w:pPr>
              <w:rPr>
                <w:rFonts w:cs="Arial"/>
                <w:i/>
                <w:iCs/>
              </w:rPr>
            </w:pPr>
            <w:r w:rsidRPr="00D92520">
              <w:rPr>
                <w:rFonts w:cs="Arial"/>
                <w:i/>
                <w:iCs/>
              </w:rPr>
              <w:t xml:space="preserve">Citrobacter freundii* </w:t>
            </w:r>
          </w:p>
          <w:p w14:paraId="0D7F1CC8" w14:textId="77777777" w:rsidR="00D92520" w:rsidRPr="00D92520" w:rsidRDefault="00D92520" w:rsidP="00D92520">
            <w:pPr>
              <w:rPr>
                <w:rFonts w:cs="Arial"/>
                <w:i/>
                <w:iCs/>
              </w:rPr>
            </w:pPr>
            <w:r w:rsidRPr="00D92520">
              <w:rPr>
                <w:rFonts w:cs="Arial"/>
                <w:i/>
                <w:iCs/>
              </w:rPr>
              <w:t xml:space="preserve">Enterobacter aerogenes </w:t>
            </w:r>
          </w:p>
          <w:p w14:paraId="22237294" w14:textId="77777777" w:rsidR="00D92520" w:rsidRPr="00D92520" w:rsidRDefault="00D92520" w:rsidP="00D92520">
            <w:pPr>
              <w:rPr>
                <w:rFonts w:cs="Arial"/>
                <w:i/>
                <w:iCs/>
              </w:rPr>
            </w:pPr>
            <w:r w:rsidRPr="00D92520">
              <w:rPr>
                <w:rFonts w:cs="Arial"/>
                <w:i/>
                <w:iCs/>
              </w:rPr>
              <w:t>Enterobacter cloacae</w:t>
            </w:r>
          </w:p>
          <w:p w14:paraId="703CB07E" w14:textId="77777777" w:rsidR="00D92520" w:rsidRPr="00D92520" w:rsidRDefault="00D92520" w:rsidP="00D92520">
            <w:pPr>
              <w:rPr>
                <w:rFonts w:cs="Arial"/>
                <w:i/>
                <w:iCs/>
              </w:rPr>
            </w:pPr>
            <w:r w:rsidRPr="00D92520">
              <w:rPr>
                <w:rFonts w:cs="Arial"/>
                <w:i/>
                <w:iCs/>
              </w:rPr>
              <w:t xml:space="preserve">Escherichia coli* </w:t>
            </w:r>
          </w:p>
          <w:p w14:paraId="6BFA55A3" w14:textId="77777777" w:rsidR="00D92520" w:rsidRPr="00D92520" w:rsidRDefault="00D92520" w:rsidP="00D92520">
            <w:pPr>
              <w:rPr>
                <w:rFonts w:cs="Arial"/>
                <w:i/>
                <w:iCs/>
              </w:rPr>
            </w:pPr>
            <w:r w:rsidRPr="00D92520">
              <w:rPr>
                <w:rFonts w:cs="Arial"/>
                <w:i/>
                <w:iCs/>
              </w:rPr>
              <w:t xml:space="preserve">Klebsiella oxytoca </w:t>
            </w:r>
          </w:p>
          <w:p w14:paraId="081A5D3E" w14:textId="77777777" w:rsidR="00D92520" w:rsidRPr="00D92520" w:rsidRDefault="00D92520" w:rsidP="00D92520">
            <w:pPr>
              <w:rPr>
                <w:rFonts w:cs="Arial"/>
                <w:i/>
                <w:iCs/>
              </w:rPr>
            </w:pPr>
            <w:r w:rsidRPr="00D92520">
              <w:rPr>
                <w:rFonts w:cs="Arial"/>
                <w:i/>
                <w:iCs/>
              </w:rPr>
              <w:t xml:space="preserve">Klebsiella pneumoniae* </w:t>
            </w:r>
          </w:p>
          <w:p w14:paraId="6ACCABAC" w14:textId="77777777" w:rsidR="00D92520" w:rsidRPr="00D92520" w:rsidRDefault="00D92520" w:rsidP="00D92520">
            <w:pPr>
              <w:rPr>
                <w:rFonts w:cs="Arial"/>
                <w:i/>
                <w:iCs/>
              </w:rPr>
            </w:pPr>
            <w:r w:rsidRPr="00D92520">
              <w:rPr>
                <w:rFonts w:cs="Arial"/>
                <w:i/>
                <w:iCs/>
              </w:rPr>
              <w:t xml:space="preserve">Morganella morganii </w:t>
            </w:r>
          </w:p>
          <w:p w14:paraId="406D86E5" w14:textId="77777777" w:rsidR="00D92520" w:rsidRPr="00D92520" w:rsidRDefault="00D92520" w:rsidP="00D92520">
            <w:pPr>
              <w:rPr>
                <w:rFonts w:cs="Arial"/>
                <w:i/>
                <w:iCs/>
              </w:rPr>
            </w:pPr>
            <w:r w:rsidRPr="00D92520">
              <w:rPr>
                <w:rFonts w:cs="Arial"/>
                <w:i/>
                <w:iCs/>
              </w:rPr>
              <w:t xml:space="preserve">Neisseria gonorrhoeae* </w:t>
            </w:r>
          </w:p>
          <w:p w14:paraId="68EBE927" w14:textId="77777777" w:rsidR="00D92520" w:rsidRPr="00D92520" w:rsidRDefault="00D92520" w:rsidP="00D92520">
            <w:pPr>
              <w:rPr>
                <w:rFonts w:cs="Arial"/>
                <w:i/>
                <w:iCs/>
              </w:rPr>
            </w:pPr>
            <w:r w:rsidRPr="00D92520">
              <w:rPr>
                <w:rFonts w:cs="Arial"/>
                <w:i/>
                <w:iCs/>
              </w:rPr>
              <w:t xml:space="preserve">Proteus mirabilis* </w:t>
            </w:r>
          </w:p>
          <w:p w14:paraId="1C7F8283" w14:textId="77777777" w:rsidR="00D92520" w:rsidRPr="00D92520" w:rsidRDefault="00D92520" w:rsidP="00D92520">
            <w:pPr>
              <w:rPr>
                <w:rFonts w:cs="Arial"/>
                <w:i/>
                <w:iCs/>
              </w:rPr>
            </w:pPr>
            <w:r w:rsidRPr="00D92520">
              <w:rPr>
                <w:rFonts w:cs="Arial"/>
                <w:i/>
                <w:iCs/>
              </w:rPr>
              <w:t xml:space="preserve">Proteus vulgaris* </w:t>
            </w:r>
          </w:p>
          <w:p w14:paraId="24E875D2" w14:textId="3D5C6445" w:rsidR="00D92520" w:rsidRPr="00D92520" w:rsidRDefault="00D92520" w:rsidP="00D92520">
            <w:pPr>
              <w:rPr>
                <w:rFonts w:cs="Arial"/>
                <w:lang w:eastAsia="bg-BG"/>
              </w:rPr>
            </w:pPr>
            <w:r w:rsidRPr="00D92520">
              <w:rPr>
                <w:rFonts w:cs="Arial"/>
                <w:i/>
                <w:iCs/>
              </w:rPr>
              <w:t>Providencia spp.</w:t>
            </w:r>
          </w:p>
          <w:p w14:paraId="435DF287" w14:textId="77777777" w:rsidR="00D92520" w:rsidRPr="00D92520" w:rsidRDefault="00D92520" w:rsidP="00D92520">
            <w:pPr>
              <w:rPr>
                <w:rFonts w:cs="Arial"/>
                <w:i/>
                <w:iCs/>
              </w:rPr>
            </w:pPr>
            <w:r w:rsidRPr="00D92520">
              <w:rPr>
                <w:rFonts w:cs="Arial"/>
                <w:i/>
                <w:iCs/>
              </w:rPr>
              <w:t>Pseudomonas aeruginosa</w:t>
            </w:r>
          </w:p>
          <w:p w14:paraId="2FCE3C4C" w14:textId="1A337DF6" w:rsidR="00D92520" w:rsidRPr="00D92520" w:rsidRDefault="00D92520" w:rsidP="00D92520">
            <w:pPr>
              <w:rPr>
                <w:rFonts w:cs="Arial"/>
                <w:i/>
                <w:iCs/>
              </w:rPr>
            </w:pPr>
            <w:r w:rsidRPr="00D92520">
              <w:rPr>
                <w:rFonts w:cs="Arial"/>
                <w:i/>
                <w:iCs/>
              </w:rPr>
              <w:t xml:space="preserve">Pseudomonas fluorescens </w:t>
            </w:r>
          </w:p>
          <w:p w14:paraId="28D279DC" w14:textId="062E0DA6" w:rsidR="00D92520" w:rsidRPr="00D92520" w:rsidRDefault="00D92520" w:rsidP="00D92520">
            <w:pPr>
              <w:rPr>
                <w:rFonts w:cs="Arial"/>
              </w:rPr>
            </w:pPr>
            <w:r w:rsidRPr="00D92520">
              <w:rPr>
                <w:rFonts w:cs="Arial"/>
                <w:i/>
                <w:iCs/>
              </w:rPr>
              <w:t>Serratia marcescens*</w:t>
            </w:r>
          </w:p>
        </w:tc>
      </w:tr>
      <w:tr w:rsidR="00D92520" w:rsidRPr="00D92520" w14:paraId="4443063C" w14:textId="77777777" w:rsidTr="00EF4C80">
        <w:tc>
          <w:tcPr>
            <w:tcW w:w="9500" w:type="dxa"/>
            <w:vAlign w:val="bottom"/>
          </w:tcPr>
          <w:p w14:paraId="336C60CD" w14:textId="77777777" w:rsidR="00D92520" w:rsidRPr="00D92520" w:rsidRDefault="00D92520" w:rsidP="00D92520">
            <w:pPr>
              <w:rPr>
                <w:rFonts w:cs="Arial"/>
                <w:u w:val="single"/>
              </w:rPr>
            </w:pPr>
            <w:r w:rsidRPr="00D92520">
              <w:rPr>
                <w:rFonts w:cs="Arial"/>
                <w:u w:val="single"/>
              </w:rPr>
              <w:t xml:space="preserve">Анаеробни микроорганизми </w:t>
            </w:r>
          </w:p>
          <w:p w14:paraId="736DE5CB" w14:textId="77777777" w:rsidR="00D92520" w:rsidRPr="00D92520" w:rsidRDefault="00D92520" w:rsidP="00D92520">
            <w:pPr>
              <w:rPr>
                <w:rFonts w:cs="Arial"/>
                <w:i/>
                <w:iCs/>
                <w:lang w:val="en-US"/>
              </w:rPr>
            </w:pPr>
            <w:proofErr w:type="spellStart"/>
            <w:r w:rsidRPr="00D92520">
              <w:rPr>
                <w:rFonts w:cs="Arial"/>
                <w:i/>
                <w:iCs/>
                <w:lang w:val="en-US"/>
              </w:rPr>
              <w:t>Peptostreplococcus</w:t>
            </w:r>
            <w:proofErr w:type="spellEnd"/>
            <w:r w:rsidRPr="00D92520">
              <w:rPr>
                <w:rFonts w:cs="Arial"/>
                <w:i/>
                <w:iCs/>
                <w:lang w:val="en-US"/>
              </w:rPr>
              <w:t xml:space="preserve"> spp. </w:t>
            </w:r>
          </w:p>
          <w:p w14:paraId="7CD2F662" w14:textId="5FCA6ABE" w:rsidR="00D92520" w:rsidRPr="00D92520" w:rsidRDefault="00D92520" w:rsidP="00D92520">
            <w:pPr>
              <w:rPr>
                <w:rFonts w:cs="Arial"/>
              </w:rPr>
            </w:pPr>
            <w:proofErr w:type="spellStart"/>
            <w:r w:rsidRPr="00D92520">
              <w:rPr>
                <w:rFonts w:cs="Arial"/>
                <w:i/>
                <w:iCs/>
                <w:lang w:val="en-US"/>
              </w:rPr>
              <w:t>Propionibacterium</w:t>
            </w:r>
            <w:proofErr w:type="spellEnd"/>
            <w:r w:rsidRPr="00D92520">
              <w:rPr>
                <w:rFonts w:cs="Arial"/>
                <w:i/>
                <w:iCs/>
                <w:lang w:val="en-US"/>
              </w:rPr>
              <w:t xml:space="preserve"> acnes</w:t>
            </w:r>
          </w:p>
        </w:tc>
      </w:tr>
      <w:tr w:rsidR="00D92520" w:rsidRPr="00D92520" w14:paraId="409B7267" w14:textId="77777777" w:rsidTr="00EF4C80">
        <w:tc>
          <w:tcPr>
            <w:tcW w:w="9500" w:type="dxa"/>
            <w:vAlign w:val="bottom"/>
          </w:tcPr>
          <w:p w14:paraId="5A5316B8" w14:textId="6B785B29" w:rsidR="00D92520" w:rsidRPr="00D92520" w:rsidRDefault="00D92520" w:rsidP="00D92520">
            <w:pPr>
              <w:rPr>
                <w:rFonts w:cs="Arial"/>
              </w:rPr>
            </w:pPr>
            <w:r w:rsidRPr="00D92520">
              <w:rPr>
                <w:rFonts w:cs="Arial"/>
                <w:b/>
                <w:bCs/>
              </w:rPr>
              <w:t>ДОКАЗАНО РЕЗИСТЕНТНИ МИКРООРГАНИЗМИ</w:t>
            </w:r>
          </w:p>
        </w:tc>
      </w:tr>
      <w:tr w:rsidR="00D92520" w:rsidRPr="00D92520" w14:paraId="2F841E04" w14:textId="77777777" w:rsidTr="00EF4C80">
        <w:tc>
          <w:tcPr>
            <w:tcW w:w="9500" w:type="dxa"/>
            <w:vAlign w:val="bottom"/>
          </w:tcPr>
          <w:p w14:paraId="034E15AE" w14:textId="77777777" w:rsidR="00D92520" w:rsidRPr="00D92520" w:rsidRDefault="00D92520" w:rsidP="00D92520">
            <w:pPr>
              <w:rPr>
                <w:rFonts w:cs="Arial"/>
              </w:rPr>
            </w:pPr>
            <w:r w:rsidRPr="00D92520">
              <w:rPr>
                <w:rFonts w:cs="Arial"/>
                <w:u w:val="single"/>
              </w:rPr>
              <w:t>Аеробни Грам-положителни микроорганизми</w:t>
            </w:r>
          </w:p>
          <w:p w14:paraId="65A26955" w14:textId="77777777" w:rsidR="00D92520" w:rsidRPr="00D92520" w:rsidRDefault="00D92520" w:rsidP="00D92520">
            <w:pPr>
              <w:rPr>
                <w:rFonts w:cs="Arial"/>
              </w:rPr>
            </w:pPr>
            <w:proofErr w:type="spellStart"/>
            <w:r w:rsidRPr="00D92520">
              <w:rPr>
                <w:rFonts w:cs="Arial"/>
                <w:i/>
                <w:iCs/>
                <w:lang w:val="en-US"/>
              </w:rPr>
              <w:t>Actinomyces</w:t>
            </w:r>
            <w:proofErr w:type="spellEnd"/>
          </w:p>
          <w:p w14:paraId="22AFD9C5" w14:textId="77777777" w:rsidR="00D92520" w:rsidRPr="00D92520" w:rsidRDefault="00D92520" w:rsidP="00D92520">
            <w:pPr>
              <w:rPr>
                <w:rFonts w:cs="Arial"/>
              </w:rPr>
            </w:pPr>
            <w:r w:rsidRPr="00D92520">
              <w:rPr>
                <w:rFonts w:cs="Arial"/>
                <w:i/>
                <w:iCs/>
                <w:lang w:val="en-US"/>
              </w:rPr>
              <w:t xml:space="preserve">Enterococcus </w:t>
            </w:r>
            <w:proofErr w:type="spellStart"/>
            <w:r w:rsidRPr="00D92520">
              <w:rPr>
                <w:rFonts w:cs="Arial"/>
                <w:i/>
                <w:iCs/>
                <w:lang w:val="en-US"/>
              </w:rPr>
              <w:t>faecium</w:t>
            </w:r>
            <w:proofErr w:type="spellEnd"/>
          </w:p>
          <w:p w14:paraId="26809FED" w14:textId="4F4216A9" w:rsidR="00D92520" w:rsidRPr="00D92520" w:rsidRDefault="00D92520" w:rsidP="00D92520">
            <w:pPr>
              <w:rPr>
                <w:rFonts w:cs="Arial"/>
              </w:rPr>
            </w:pPr>
            <w:r w:rsidRPr="00D92520">
              <w:rPr>
                <w:rFonts w:cs="Arial"/>
                <w:i/>
                <w:iCs/>
                <w:lang w:val="en-US"/>
              </w:rPr>
              <w:t xml:space="preserve">Listeria </w:t>
            </w:r>
            <w:proofErr w:type="spellStart"/>
            <w:r w:rsidRPr="00D92520">
              <w:rPr>
                <w:rFonts w:cs="Arial"/>
                <w:i/>
                <w:iCs/>
                <w:lang w:val="en-US"/>
              </w:rPr>
              <w:t>monocytogenes</w:t>
            </w:r>
            <w:proofErr w:type="spellEnd"/>
          </w:p>
        </w:tc>
      </w:tr>
      <w:tr w:rsidR="00D92520" w:rsidRPr="00D92520" w14:paraId="27397794" w14:textId="77777777" w:rsidTr="00EF4C80">
        <w:tc>
          <w:tcPr>
            <w:tcW w:w="9500" w:type="dxa"/>
            <w:vAlign w:val="bottom"/>
          </w:tcPr>
          <w:p w14:paraId="356C1ECC" w14:textId="77777777" w:rsidR="00D92520" w:rsidRPr="00D92520" w:rsidRDefault="00D92520" w:rsidP="00D92520">
            <w:pPr>
              <w:rPr>
                <w:rFonts w:cs="Arial"/>
              </w:rPr>
            </w:pPr>
            <w:r w:rsidRPr="00D92520">
              <w:rPr>
                <w:rFonts w:cs="Arial"/>
                <w:u w:val="single"/>
              </w:rPr>
              <w:t>Аеробни Грам-отрицателни микроорганизми</w:t>
            </w:r>
          </w:p>
          <w:p w14:paraId="7A804DE6" w14:textId="0FE643F1" w:rsidR="00D92520" w:rsidRPr="00D92520" w:rsidRDefault="00D92520" w:rsidP="00D92520">
            <w:pPr>
              <w:rPr>
                <w:rFonts w:cs="Arial"/>
              </w:rPr>
            </w:pPr>
            <w:proofErr w:type="spellStart"/>
            <w:r w:rsidRPr="00D92520">
              <w:rPr>
                <w:rFonts w:cs="Arial"/>
                <w:i/>
                <w:iCs/>
                <w:lang w:val="en-US"/>
              </w:rPr>
              <w:lastRenderedPageBreak/>
              <w:t>Stenotrophomonas</w:t>
            </w:r>
            <w:proofErr w:type="spellEnd"/>
            <w:r w:rsidRPr="00D92520">
              <w:rPr>
                <w:rFonts w:cs="Arial"/>
                <w:i/>
                <w:iCs/>
                <w:lang w:val="en-US"/>
              </w:rPr>
              <w:t xml:space="preserve"> </w:t>
            </w:r>
            <w:proofErr w:type="spellStart"/>
            <w:r w:rsidRPr="00D92520">
              <w:rPr>
                <w:rFonts w:cs="Arial"/>
                <w:i/>
                <w:iCs/>
                <w:lang w:val="en-US"/>
              </w:rPr>
              <w:t>maltophilia</w:t>
            </w:r>
            <w:proofErr w:type="spellEnd"/>
          </w:p>
        </w:tc>
      </w:tr>
      <w:tr w:rsidR="00D92520" w:rsidRPr="00D92520" w14:paraId="27F8B2FD" w14:textId="77777777" w:rsidTr="00EF4C80">
        <w:tc>
          <w:tcPr>
            <w:tcW w:w="9500" w:type="dxa"/>
            <w:vAlign w:val="bottom"/>
          </w:tcPr>
          <w:p w14:paraId="0FC92123" w14:textId="77777777" w:rsidR="00D92520" w:rsidRPr="00D92520" w:rsidRDefault="00D92520" w:rsidP="00D92520">
            <w:pPr>
              <w:rPr>
                <w:rFonts w:cs="Arial"/>
              </w:rPr>
            </w:pPr>
            <w:r w:rsidRPr="00D92520">
              <w:rPr>
                <w:rFonts w:cs="Arial"/>
                <w:u w:val="single"/>
              </w:rPr>
              <w:lastRenderedPageBreak/>
              <w:t>Анаеробни микроорганизми</w:t>
            </w:r>
          </w:p>
          <w:p w14:paraId="62AD2887" w14:textId="3208F21D" w:rsidR="00D92520" w:rsidRPr="00D92520" w:rsidRDefault="00D92520" w:rsidP="00D92520">
            <w:pPr>
              <w:rPr>
                <w:rFonts w:cs="Arial"/>
              </w:rPr>
            </w:pPr>
            <w:r w:rsidRPr="00D92520">
              <w:rPr>
                <w:rFonts w:cs="Arial"/>
              </w:rPr>
              <w:t>С изключение на написаните по горе</w:t>
            </w:r>
          </w:p>
        </w:tc>
      </w:tr>
      <w:tr w:rsidR="00D92520" w:rsidRPr="00D92520" w14:paraId="4D9C9A10" w14:textId="77777777" w:rsidTr="00EF4C80">
        <w:tc>
          <w:tcPr>
            <w:tcW w:w="9500" w:type="dxa"/>
            <w:vAlign w:val="bottom"/>
          </w:tcPr>
          <w:p w14:paraId="094452B0" w14:textId="77777777" w:rsidR="00D92520" w:rsidRPr="00D92520" w:rsidRDefault="00D92520" w:rsidP="00D92520">
            <w:pPr>
              <w:rPr>
                <w:rFonts w:cs="Arial"/>
                <w:u w:val="single"/>
              </w:rPr>
            </w:pPr>
            <w:r w:rsidRPr="00D92520">
              <w:rPr>
                <w:rFonts w:cs="Arial"/>
                <w:u w:val="single"/>
              </w:rPr>
              <w:t xml:space="preserve">Други микроорганизми </w:t>
            </w:r>
          </w:p>
          <w:p w14:paraId="29C22385" w14:textId="77777777" w:rsidR="00D92520" w:rsidRPr="00D92520" w:rsidRDefault="00D92520" w:rsidP="00D92520">
            <w:pPr>
              <w:rPr>
                <w:rFonts w:cs="Arial"/>
                <w:i/>
                <w:iCs/>
                <w:lang w:val="en-US"/>
              </w:rPr>
            </w:pPr>
            <w:r w:rsidRPr="00D92520">
              <w:rPr>
                <w:rFonts w:cs="Arial"/>
                <w:i/>
                <w:iCs/>
                <w:lang w:val="en-US"/>
              </w:rPr>
              <w:t xml:space="preserve">Mycoplasma </w:t>
            </w:r>
            <w:proofErr w:type="spellStart"/>
            <w:r w:rsidRPr="00D92520">
              <w:rPr>
                <w:rFonts w:cs="Arial"/>
                <w:i/>
                <w:iCs/>
                <w:lang w:val="en-US"/>
              </w:rPr>
              <w:t>genitalium</w:t>
            </w:r>
            <w:proofErr w:type="spellEnd"/>
            <w:r w:rsidRPr="00D92520">
              <w:rPr>
                <w:rFonts w:cs="Arial"/>
                <w:i/>
                <w:iCs/>
                <w:lang w:val="en-US"/>
              </w:rPr>
              <w:t xml:space="preserve"> </w:t>
            </w:r>
          </w:p>
          <w:p w14:paraId="0AF755A0" w14:textId="1D24D9BF" w:rsidR="00D92520" w:rsidRPr="00D92520" w:rsidRDefault="00D92520" w:rsidP="00D92520">
            <w:pPr>
              <w:rPr>
                <w:rFonts w:cs="Arial"/>
              </w:rPr>
            </w:pPr>
            <w:proofErr w:type="spellStart"/>
            <w:r w:rsidRPr="00D92520">
              <w:rPr>
                <w:rFonts w:cs="Arial"/>
                <w:i/>
                <w:iCs/>
                <w:lang w:val="en-US"/>
              </w:rPr>
              <w:t>Ureaplasma</w:t>
            </w:r>
            <w:proofErr w:type="spellEnd"/>
            <w:r w:rsidRPr="00D92520">
              <w:rPr>
                <w:rFonts w:cs="Arial"/>
                <w:i/>
                <w:iCs/>
                <w:lang w:val="en-US"/>
              </w:rPr>
              <w:t xml:space="preserve"> </w:t>
            </w:r>
            <w:proofErr w:type="spellStart"/>
            <w:r w:rsidRPr="00D92520">
              <w:rPr>
                <w:rFonts w:cs="Arial"/>
                <w:i/>
                <w:iCs/>
                <w:lang w:val="en-US"/>
              </w:rPr>
              <w:t>urealitycum</w:t>
            </w:r>
            <w:proofErr w:type="spellEnd"/>
          </w:p>
        </w:tc>
      </w:tr>
      <w:tr w:rsidR="00D92520" w:rsidRPr="00D92520" w14:paraId="2A037F10" w14:textId="77777777" w:rsidTr="00EF4C80">
        <w:tc>
          <w:tcPr>
            <w:tcW w:w="9500" w:type="dxa"/>
            <w:vAlign w:val="bottom"/>
          </w:tcPr>
          <w:p w14:paraId="6EB8A914" w14:textId="77777777" w:rsidR="00D92520" w:rsidRPr="00D92520" w:rsidRDefault="00D92520" w:rsidP="00D92520">
            <w:pPr>
              <w:rPr>
                <w:rFonts w:cs="Arial"/>
              </w:rPr>
            </w:pPr>
            <w:r w:rsidRPr="00D92520">
              <w:rPr>
                <w:rFonts w:cs="Arial"/>
                <w:lang w:val="en-US"/>
              </w:rPr>
              <w:t xml:space="preserve">* </w:t>
            </w:r>
            <w:r w:rsidRPr="00D92520">
              <w:rPr>
                <w:rFonts w:cs="Arial"/>
              </w:rPr>
              <w:t>Клиничната ефикасност е доказана за чувствителните изолати при установени клинични показания</w:t>
            </w:r>
          </w:p>
          <w:p w14:paraId="3D3B6777" w14:textId="77777777" w:rsidR="00D92520" w:rsidRPr="00D92520" w:rsidRDefault="00D92520" w:rsidP="00D92520">
            <w:pPr>
              <w:rPr>
                <w:rFonts w:cs="Arial"/>
              </w:rPr>
            </w:pPr>
            <w:r w:rsidRPr="00D92520">
              <w:rPr>
                <w:rFonts w:cs="Arial"/>
                <w:vertAlign w:val="superscript"/>
              </w:rPr>
              <w:t>+</w:t>
            </w:r>
            <w:r w:rsidRPr="00D92520">
              <w:rPr>
                <w:rFonts w:cs="Arial"/>
              </w:rPr>
              <w:t xml:space="preserve"> Честота на резистентност ≥ 50% в една или повече страни-членки на ЕС</w:t>
            </w:r>
          </w:p>
          <w:p w14:paraId="2AFD1C2B" w14:textId="77777777" w:rsidR="00D92520" w:rsidRPr="00D92520" w:rsidRDefault="00D92520" w:rsidP="00D92520">
            <w:pPr>
              <w:rPr>
                <w:rFonts w:cs="Arial"/>
              </w:rPr>
            </w:pPr>
            <w:r w:rsidRPr="00D92520">
              <w:rPr>
                <w:rFonts w:cs="Arial"/>
                <w:i/>
                <w:iCs/>
                <w:vertAlign w:val="superscript"/>
                <w:lang w:val="en-US"/>
              </w:rPr>
              <w:t xml:space="preserve">($) </w:t>
            </w:r>
            <w:r w:rsidRPr="00D92520">
              <w:rPr>
                <w:rFonts w:cs="Arial"/>
              </w:rPr>
              <w:t>Естествена междинна чувствителност при отсъствие на придобити механизми на резистентност</w:t>
            </w:r>
          </w:p>
          <w:p w14:paraId="4376E1EB" w14:textId="77777777" w:rsidR="00D92520" w:rsidRPr="00D92520" w:rsidRDefault="00D92520" w:rsidP="00D92520">
            <w:pPr>
              <w:rPr>
                <w:rFonts w:eastAsia="Times New Roman" w:cs="Arial"/>
                <w:lang w:eastAsia="bg-BG"/>
              </w:rPr>
            </w:pPr>
            <w:r w:rsidRPr="00D92520">
              <w:rPr>
                <w:rFonts w:cs="Arial"/>
                <w:vertAlign w:val="superscript"/>
                <w:lang w:val="en-US"/>
              </w:rPr>
              <w:t>|</w:t>
            </w:r>
            <w:r w:rsidRPr="00D92520">
              <w:rPr>
                <w:rFonts w:cs="Arial"/>
              </w:rPr>
              <w:t xml:space="preserve"> Проучванията са проведени при експериментално предизвикани инфекции при животни чрез инхалиране на спори на </w:t>
            </w:r>
            <w:r w:rsidRPr="00D92520">
              <w:rPr>
                <w:rFonts w:cs="Arial"/>
                <w:i/>
                <w:iCs/>
                <w:lang w:val="en-US"/>
              </w:rPr>
              <w:t xml:space="preserve">Bacillus </w:t>
            </w:r>
            <w:proofErr w:type="spellStart"/>
            <w:r w:rsidRPr="00D92520">
              <w:rPr>
                <w:rFonts w:cs="Arial"/>
                <w:i/>
                <w:iCs/>
                <w:lang w:val="en-US"/>
              </w:rPr>
              <w:t>anthracis</w:t>
            </w:r>
            <w:proofErr w:type="spellEnd"/>
            <w:r w:rsidRPr="00D92520">
              <w:rPr>
                <w:rFonts w:cs="Arial"/>
                <w:i/>
                <w:iCs/>
                <w:lang w:val="en-US"/>
              </w:rPr>
              <w:t>;</w:t>
            </w:r>
            <w:r w:rsidRPr="00D92520">
              <w:rPr>
                <w:rFonts w:cs="Arial"/>
                <w:lang w:val="en-US"/>
              </w:rPr>
              <w:t xml:space="preserve"> </w:t>
            </w:r>
            <w:r w:rsidRPr="00D92520">
              <w:rPr>
                <w:rFonts w:cs="Arial"/>
              </w:rPr>
              <w:t>тези проучвания показват, че започването на антибиотичното лечение скоро след експозицията предпазва от появата на заболяването, ако лечението е било насочено към намаляване броя на спорите в организма под инфекциозната</w:t>
            </w:r>
            <w:r w:rsidRPr="00D92520">
              <w:rPr>
                <w:rFonts w:cs="Arial"/>
                <w:u w:val="single"/>
              </w:rPr>
              <w:t xml:space="preserve"> </w:t>
            </w:r>
            <w:r w:rsidRPr="00D92520">
              <w:rPr>
                <w:rFonts w:cs="Arial"/>
              </w:rPr>
              <w:t xml:space="preserve">доза. Препоръчваното използване при хора се основава предимно на </w:t>
            </w:r>
            <w:r w:rsidRPr="00D92520">
              <w:rPr>
                <w:rFonts w:cs="Arial"/>
                <w:i/>
                <w:iCs/>
                <w:lang w:val="en-US"/>
              </w:rPr>
              <w:t>in vitro</w:t>
            </w:r>
            <w:r w:rsidRPr="00D92520">
              <w:rPr>
                <w:rFonts w:cs="Arial"/>
                <w:lang w:val="en-US"/>
              </w:rPr>
              <w:t xml:space="preserve"> </w:t>
            </w:r>
            <w:r w:rsidRPr="00D92520">
              <w:rPr>
                <w:rFonts w:cs="Arial"/>
              </w:rPr>
              <w:t>чувствелността и на експерименталните данни при животни заедно с ограничените данни при хора. Приема се, че   при възрастни двумесечният курс на лечение с перорален ципрофлоксацин в доза 560</w:t>
            </w:r>
            <w:r w:rsidRPr="00D92520">
              <w:rPr>
                <w:rFonts w:cs="Arial"/>
                <w:lang w:val="en-US"/>
              </w:rPr>
              <w:t xml:space="preserve"> mg </w:t>
            </w:r>
            <w:r w:rsidRPr="00D92520">
              <w:rPr>
                <w:rFonts w:cs="Arial"/>
              </w:rPr>
              <w:t>два пъти на ден е ефикасен за предпазване от антраксна инфекция при хора. Лекуващите лекари трябва да направят справка с националните и/или международните консенсусни документи по</w:t>
            </w:r>
            <w:r w:rsidRPr="00D92520">
              <w:rPr>
                <w:rFonts w:cs="Arial"/>
                <w:lang w:val="en-US"/>
              </w:rPr>
              <w:t xml:space="preserve"> </w:t>
            </w:r>
            <w:r w:rsidRPr="00D92520">
              <w:rPr>
                <w:rFonts w:eastAsia="Times New Roman" w:cs="Arial"/>
                <w:color w:val="000000"/>
                <w:lang w:eastAsia="bg-BG"/>
              </w:rPr>
              <w:t>отношение лечението на антракс.</w:t>
            </w:r>
          </w:p>
          <w:p w14:paraId="0BCF47D5" w14:textId="42C5D3E8" w:rsidR="00D92520" w:rsidRPr="00D92520" w:rsidRDefault="00D92520" w:rsidP="00D92520">
            <w:pPr>
              <w:rPr>
                <w:rFonts w:cs="Arial"/>
                <w:lang w:val="en-US"/>
              </w:rPr>
            </w:pPr>
            <w:r w:rsidRPr="00D92520">
              <w:rPr>
                <w:rFonts w:eastAsia="Times New Roman" w:cs="Arial"/>
                <w:color w:val="000000"/>
                <w:vertAlign w:val="superscript"/>
                <w:lang w:eastAsia="bg-BG"/>
              </w:rPr>
              <w:t>2</w:t>
            </w:r>
            <w:r w:rsidRPr="00D92520">
              <w:rPr>
                <w:rFonts w:eastAsia="Times New Roman" w:cs="Arial"/>
                <w:color w:val="000000"/>
                <w:lang w:eastAsia="bg-BG"/>
              </w:rPr>
              <w:t xml:space="preserve"> Метицилин-резистентният </w:t>
            </w:r>
            <w:r w:rsidRPr="00D92520">
              <w:rPr>
                <w:rFonts w:eastAsia="Times New Roman" w:cs="Arial"/>
                <w:color w:val="000000"/>
                <w:lang w:val="en-US"/>
              </w:rPr>
              <w:t xml:space="preserve">S. </w:t>
            </w:r>
            <w:proofErr w:type="gramStart"/>
            <w:r w:rsidRPr="00D92520">
              <w:rPr>
                <w:rFonts w:eastAsia="Times New Roman" w:cs="Arial"/>
                <w:i/>
                <w:iCs/>
                <w:color w:val="000000"/>
                <w:lang w:val="en-US"/>
              </w:rPr>
              <w:t>aureus</w:t>
            </w:r>
            <w:proofErr w:type="gramEnd"/>
            <w:r w:rsidRPr="00D92520">
              <w:rPr>
                <w:rFonts w:eastAsia="Times New Roman" w:cs="Arial"/>
                <w:color w:val="000000"/>
                <w:lang w:val="en-US"/>
              </w:rPr>
              <w:t xml:space="preserve"> </w:t>
            </w:r>
            <w:r w:rsidRPr="00D92520">
              <w:rPr>
                <w:rFonts w:eastAsia="Times New Roman" w:cs="Arial"/>
                <w:color w:val="000000"/>
                <w:lang w:eastAsia="bg-BG"/>
              </w:rPr>
              <w:t>много често експресира едновременна резистентност към флуорохинолони. Честотата на резистентност към метинилин е около 20 до 50% сред всички видове стафилококи и е обикновено по-висока при нозокомиалните изолати.</w:t>
            </w:r>
          </w:p>
        </w:tc>
      </w:tr>
    </w:tbl>
    <w:p w14:paraId="09781C78" w14:textId="261C73A1" w:rsidR="00D92520" w:rsidRDefault="00D92520" w:rsidP="0091385D"/>
    <w:p w14:paraId="2C8CBDE2" w14:textId="77777777" w:rsidR="00D92520" w:rsidRPr="0091385D" w:rsidRDefault="00D92520"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4C0EC3DF" w14:textId="77777777" w:rsidR="00D92520" w:rsidRPr="00D92520" w:rsidRDefault="00D92520" w:rsidP="00D92520">
      <w:pPr>
        <w:pStyle w:val="Heading3"/>
        <w:rPr>
          <w:rFonts w:eastAsia="Times New Roman"/>
          <w:u w:val="single"/>
          <w:lang w:eastAsia="bg-BG"/>
        </w:rPr>
      </w:pPr>
      <w:r w:rsidRPr="00D92520">
        <w:rPr>
          <w:rFonts w:eastAsia="Times New Roman"/>
          <w:u w:val="single"/>
          <w:lang w:eastAsia="bg-BG"/>
        </w:rPr>
        <w:t>Абсорбция</w:t>
      </w:r>
    </w:p>
    <w:p w14:paraId="6D7D2703"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След перорално приложение на еднократни дози от 250 </w:t>
      </w:r>
      <w:r w:rsidRPr="00D92520">
        <w:rPr>
          <w:rFonts w:eastAsia="Times New Roman" w:cs="Arial"/>
          <w:color w:val="000000"/>
          <w:szCs w:val="20"/>
          <w:lang w:val="en-US"/>
        </w:rPr>
        <w:t xml:space="preserve">mg, </w:t>
      </w:r>
      <w:r w:rsidRPr="00D92520">
        <w:rPr>
          <w:rFonts w:eastAsia="Times New Roman" w:cs="Arial"/>
          <w:color w:val="000000"/>
          <w:szCs w:val="20"/>
          <w:lang w:eastAsia="bg-BG"/>
        </w:rPr>
        <w:t xml:space="preserve">500 </w:t>
      </w:r>
      <w:r w:rsidRPr="00D92520">
        <w:rPr>
          <w:rFonts w:eastAsia="Times New Roman" w:cs="Arial"/>
          <w:color w:val="000000"/>
          <w:szCs w:val="20"/>
          <w:lang w:val="en-US"/>
        </w:rPr>
        <w:t xml:space="preserve">mg </w:t>
      </w:r>
      <w:r w:rsidRPr="00D92520">
        <w:rPr>
          <w:rFonts w:eastAsia="Times New Roman" w:cs="Arial"/>
          <w:color w:val="000000"/>
          <w:szCs w:val="20"/>
          <w:lang w:eastAsia="bg-BG"/>
        </w:rPr>
        <w:t xml:space="preserve">и 750 </w:t>
      </w:r>
      <w:r w:rsidRPr="00D92520">
        <w:rPr>
          <w:rFonts w:eastAsia="Times New Roman" w:cs="Arial"/>
          <w:color w:val="000000"/>
          <w:szCs w:val="20"/>
          <w:lang w:val="en-US"/>
        </w:rPr>
        <w:t xml:space="preserve">mg </w:t>
      </w:r>
      <w:r w:rsidRPr="00D92520">
        <w:rPr>
          <w:rFonts w:eastAsia="Times New Roman" w:cs="Arial"/>
          <w:color w:val="000000"/>
          <w:szCs w:val="20"/>
          <w:lang w:eastAsia="bg-BG"/>
        </w:rPr>
        <w:t xml:space="preserve">ципрофлоксацин таблетки, ципрофлоксацин се абсорбира бързо и екстензивно основно в тънкото черво, като достига максимални серумни концентрации след 1 - 2 часа. Еднократните дози в интервала 100 - 750 </w:t>
      </w:r>
      <w:r w:rsidRPr="00D92520">
        <w:rPr>
          <w:rFonts w:eastAsia="Times New Roman" w:cs="Arial"/>
          <w:color w:val="000000"/>
          <w:szCs w:val="20"/>
          <w:lang w:val="en-US"/>
        </w:rPr>
        <w:t xml:space="preserve">mg </w:t>
      </w:r>
      <w:r w:rsidRPr="00D92520">
        <w:rPr>
          <w:rFonts w:eastAsia="Times New Roman" w:cs="Arial"/>
          <w:color w:val="000000"/>
          <w:szCs w:val="20"/>
          <w:lang w:eastAsia="bg-BG"/>
        </w:rPr>
        <w:t>водят до зависими от дозата максимални серумни концентрации (С</w:t>
      </w:r>
      <w:r w:rsidRPr="00D92520">
        <w:rPr>
          <w:rFonts w:eastAsia="Times New Roman" w:cs="Arial"/>
          <w:color w:val="000000"/>
          <w:szCs w:val="20"/>
          <w:vertAlign w:val="subscript"/>
          <w:lang w:val="en-US"/>
        </w:rPr>
        <w:t>max</w:t>
      </w:r>
      <w:r w:rsidRPr="00D92520">
        <w:rPr>
          <w:rFonts w:eastAsia="Times New Roman" w:cs="Arial"/>
          <w:color w:val="000000"/>
          <w:szCs w:val="20"/>
          <w:lang w:eastAsia="bg-BG"/>
        </w:rPr>
        <w:t xml:space="preserve">) между 0,56 и 3,7 </w:t>
      </w:r>
      <w:r w:rsidRPr="00D92520">
        <w:rPr>
          <w:rFonts w:eastAsia="Times New Roman" w:cs="Arial"/>
          <w:color w:val="000000"/>
          <w:szCs w:val="20"/>
          <w:lang w:val="en-US"/>
        </w:rPr>
        <w:t xml:space="preserve">mg/L. </w:t>
      </w:r>
      <w:r w:rsidRPr="00D92520">
        <w:rPr>
          <w:rFonts w:eastAsia="Times New Roman" w:cs="Arial"/>
          <w:color w:val="000000"/>
          <w:szCs w:val="20"/>
          <w:lang w:eastAsia="bg-BG"/>
        </w:rPr>
        <w:t xml:space="preserve">Серумните концентрации нарастват пропорционално с дозите до 1000 </w:t>
      </w:r>
      <w:r w:rsidRPr="00D92520">
        <w:rPr>
          <w:rFonts w:eastAsia="Times New Roman" w:cs="Arial"/>
          <w:color w:val="000000"/>
          <w:szCs w:val="20"/>
          <w:lang w:val="en-US"/>
        </w:rPr>
        <w:t>mg.</w:t>
      </w:r>
    </w:p>
    <w:p w14:paraId="754E9898"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Абсолютната бионаличност е около 70 - 80%.</w:t>
      </w:r>
    </w:p>
    <w:p w14:paraId="410E6F55" w14:textId="77777777" w:rsidR="00D92520" w:rsidRPr="00D92520" w:rsidRDefault="00D92520" w:rsidP="00D92520">
      <w:pPr>
        <w:spacing w:line="240" w:lineRule="auto"/>
        <w:rPr>
          <w:rFonts w:eastAsia="Times New Roman" w:cs="Arial"/>
          <w:color w:val="000000"/>
          <w:szCs w:val="20"/>
          <w:lang w:eastAsia="bg-BG"/>
        </w:rPr>
      </w:pPr>
    </w:p>
    <w:p w14:paraId="6340FED2" w14:textId="5AC48AD2"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Установено е, че доза от 500 </w:t>
      </w:r>
      <w:r w:rsidRPr="00D92520">
        <w:rPr>
          <w:rFonts w:eastAsia="Times New Roman" w:cs="Arial"/>
          <w:color w:val="000000"/>
          <w:szCs w:val="20"/>
          <w:lang w:val="en-US"/>
        </w:rPr>
        <w:t xml:space="preserve">mg, </w:t>
      </w:r>
      <w:r w:rsidRPr="00D92520">
        <w:rPr>
          <w:rFonts w:eastAsia="Times New Roman" w:cs="Arial"/>
          <w:color w:val="000000"/>
          <w:szCs w:val="20"/>
          <w:lang w:eastAsia="bg-BG"/>
        </w:rPr>
        <w:t xml:space="preserve">приемана перорално на всеки 12 часа, води до плош под кривата плазмена концентрация/време </w:t>
      </w:r>
      <w:r w:rsidRPr="00D92520">
        <w:rPr>
          <w:rFonts w:eastAsia="Times New Roman" w:cs="Arial"/>
          <w:color w:val="000000"/>
          <w:szCs w:val="20"/>
          <w:lang w:val="en-US"/>
        </w:rPr>
        <w:t xml:space="preserve">(AUC) </w:t>
      </w:r>
      <w:r w:rsidRPr="00D92520">
        <w:rPr>
          <w:rFonts w:eastAsia="Times New Roman" w:cs="Arial"/>
          <w:color w:val="000000"/>
          <w:szCs w:val="20"/>
          <w:lang w:eastAsia="bg-BG"/>
        </w:rPr>
        <w:t xml:space="preserve">еквивалентна на тази, получена след интравенозна инфузия на 400 </w:t>
      </w:r>
      <w:r w:rsidRPr="00D92520">
        <w:rPr>
          <w:rFonts w:eastAsia="Times New Roman" w:cs="Arial"/>
          <w:color w:val="000000"/>
          <w:szCs w:val="20"/>
          <w:lang w:val="en-US"/>
        </w:rPr>
        <w:t xml:space="preserve">mg </w:t>
      </w:r>
      <w:r w:rsidRPr="00D92520">
        <w:rPr>
          <w:rFonts w:eastAsia="Times New Roman" w:cs="Arial"/>
          <w:color w:val="000000"/>
          <w:szCs w:val="20"/>
          <w:lang w:eastAsia="bg-BG"/>
        </w:rPr>
        <w:t>ципрофлоксацин за 60 минути на всеки 12 часа.</w:t>
      </w:r>
    </w:p>
    <w:p w14:paraId="1BACC8AF" w14:textId="77777777" w:rsidR="00D92520" w:rsidRDefault="00D92520" w:rsidP="00D92520">
      <w:pPr>
        <w:spacing w:line="240" w:lineRule="auto"/>
        <w:rPr>
          <w:rFonts w:ascii="Times New Roman" w:eastAsia="Times New Roman" w:hAnsi="Times New Roman" w:cs="Times New Roman"/>
          <w:color w:val="000000"/>
          <w:sz w:val="20"/>
          <w:szCs w:val="20"/>
          <w:u w:val="single"/>
          <w:lang w:eastAsia="bg-BG"/>
        </w:rPr>
      </w:pPr>
    </w:p>
    <w:p w14:paraId="4F7CA504" w14:textId="24102D76" w:rsidR="00D92520" w:rsidRPr="00D92520" w:rsidRDefault="00D92520" w:rsidP="00D92520">
      <w:pPr>
        <w:pStyle w:val="Heading3"/>
        <w:rPr>
          <w:rFonts w:eastAsia="Times New Roman"/>
          <w:u w:val="single"/>
          <w:lang w:eastAsia="bg-BG"/>
        </w:rPr>
      </w:pPr>
      <w:r w:rsidRPr="00D92520">
        <w:rPr>
          <w:rFonts w:eastAsia="Times New Roman"/>
          <w:u w:val="single"/>
          <w:lang w:eastAsia="bg-BG"/>
        </w:rPr>
        <w:t>Разпределение</w:t>
      </w:r>
    </w:p>
    <w:p w14:paraId="7BD3656A"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Свързването на ципрофлоксацин с плазмените протеини е ниско (20 - 30%). Ципрофлоксацин се намира в плазмата основно в нейонизирана форма и има голям стационарен обем на разпределение от 2 - 3 </w:t>
      </w:r>
      <w:r w:rsidRPr="00D92520">
        <w:rPr>
          <w:rFonts w:eastAsia="Times New Roman" w:cs="Arial"/>
          <w:color w:val="000000"/>
          <w:szCs w:val="20"/>
          <w:lang w:val="en-US"/>
        </w:rPr>
        <w:t xml:space="preserve">L/kg </w:t>
      </w:r>
      <w:r w:rsidRPr="00D92520">
        <w:rPr>
          <w:rFonts w:eastAsia="Times New Roman" w:cs="Arial"/>
          <w:color w:val="000000"/>
          <w:szCs w:val="20"/>
          <w:lang w:eastAsia="bg-BG"/>
        </w:rPr>
        <w:t xml:space="preserve">телесно тегло. Ципрофлоксацин достига високи концентрации в различни тъкани като белия дроб (епителиална течност, </w:t>
      </w:r>
      <w:r w:rsidRPr="00D92520">
        <w:rPr>
          <w:rFonts w:eastAsia="Times New Roman" w:cs="Arial"/>
          <w:color w:val="000000"/>
          <w:szCs w:val="20"/>
          <w:lang w:eastAsia="bg-BG"/>
        </w:rPr>
        <w:lastRenderedPageBreak/>
        <w:t>алвеоларни макрофаги, биопсична тъкан), синусите, възпалителните огнища (везикуларна течност от кантаридис) и урогениталния тракт (урина, простата, ендометриум), където се достигат общи концентрации, надвишаващи тези в плазмата.</w:t>
      </w:r>
    </w:p>
    <w:p w14:paraId="42613D81" w14:textId="77777777" w:rsidR="00D92520" w:rsidRDefault="00D92520" w:rsidP="00D92520">
      <w:pPr>
        <w:spacing w:line="240" w:lineRule="auto"/>
        <w:rPr>
          <w:rFonts w:ascii="Times New Roman" w:eastAsia="Times New Roman" w:hAnsi="Times New Roman" w:cs="Times New Roman"/>
          <w:color w:val="000000"/>
          <w:sz w:val="20"/>
          <w:szCs w:val="20"/>
          <w:u w:val="single"/>
          <w:lang w:eastAsia="bg-BG"/>
        </w:rPr>
      </w:pPr>
    </w:p>
    <w:p w14:paraId="77E680FA" w14:textId="4E9B999F" w:rsidR="00D92520" w:rsidRPr="00D92520" w:rsidRDefault="00D92520" w:rsidP="00D92520">
      <w:pPr>
        <w:pStyle w:val="Heading3"/>
        <w:rPr>
          <w:rFonts w:eastAsia="Times New Roman"/>
          <w:u w:val="single"/>
          <w:lang w:eastAsia="bg-BG"/>
        </w:rPr>
      </w:pPr>
      <w:r w:rsidRPr="00D92520">
        <w:rPr>
          <w:rFonts w:eastAsia="Times New Roman"/>
          <w:u w:val="single"/>
          <w:lang w:eastAsia="bg-BG"/>
        </w:rPr>
        <w:t>Биотрансформапия</w:t>
      </w:r>
    </w:p>
    <w:p w14:paraId="60EEDF32"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Установени са ниски концентрации на четири метаболита, които са идентифицирани като: дезетиленципрофлоксацин </w:t>
      </w:r>
      <w:r w:rsidRPr="00D92520">
        <w:rPr>
          <w:rFonts w:eastAsia="Times New Roman" w:cs="Arial"/>
          <w:color w:val="000000"/>
          <w:szCs w:val="20"/>
          <w:lang w:val="en-US"/>
        </w:rPr>
        <w:t>(M</w:t>
      </w:r>
      <w:r w:rsidRPr="00D92520">
        <w:rPr>
          <w:rFonts w:eastAsia="Times New Roman" w:cs="Arial"/>
          <w:color w:val="000000"/>
          <w:szCs w:val="20"/>
          <w:vertAlign w:val="subscript"/>
          <w:lang w:val="en-US"/>
        </w:rPr>
        <w:t>1</w:t>
      </w:r>
      <w:r w:rsidRPr="00D92520">
        <w:rPr>
          <w:rFonts w:eastAsia="Times New Roman" w:cs="Arial"/>
          <w:color w:val="000000"/>
          <w:szCs w:val="20"/>
          <w:lang w:val="en-US"/>
        </w:rPr>
        <w:t xml:space="preserve">), </w:t>
      </w:r>
      <w:r w:rsidRPr="00D92520">
        <w:rPr>
          <w:rFonts w:eastAsia="Times New Roman" w:cs="Arial"/>
          <w:color w:val="000000"/>
          <w:szCs w:val="20"/>
          <w:lang w:eastAsia="bg-BG"/>
        </w:rPr>
        <w:t>сулфоципрофлоксацин (М</w:t>
      </w:r>
      <w:r w:rsidRPr="00D92520">
        <w:rPr>
          <w:rFonts w:eastAsia="Times New Roman" w:cs="Arial"/>
          <w:color w:val="000000"/>
          <w:szCs w:val="20"/>
          <w:vertAlign w:val="subscript"/>
          <w:lang w:eastAsia="bg-BG"/>
        </w:rPr>
        <w:t>2</w:t>
      </w:r>
      <w:r w:rsidRPr="00D92520">
        <w:rPr>
          <w:rFonts w:eastAsia="Times New Roman" w:cs="Arial"/>
          <w:color w:val="000000"/>
          <w:szCs w:val="20"/>
          <w:lang w:eastAsia="bg-BG"/>
        </w:rPr>
        <w:t>), оксоципрофлоксацин (М</w:t>
      </w:r>
      <w:r w:rsidRPr="00D92520">
        <w:rPr>
          <w:rFonts w:eastAsia="Times New Roman" w:cs="Arial"/>
          <w:color w:val="000000"/>
          <w:szCs w:val="20"/>
          <w:vertAlign w:val="subscript"/>
          <w:lang w:eastAsia="bg-BG"/>
        </w:rPr>
        <w:t>3</w:t>
      </w:r>
      <w:r w:rsidRPr="00D92520">
        <w:rPr>
          <w:rFonts w:eastAsia="Times New Roman" w:cs="Arial"/>
          <w:color w:val="000000"/>
          <w:szCs w:val="20"/>
          <w:lang w:eastAsia="bg-BG"/>
        </w:rPr>
        <w:t xml:space="preserve">) и формилципрофлоксацин </w:t>
      </w:r>
      <w:r w:rsidRPr="00D92520">
        <w:rPr>
          <w:rFonts w:eastAsia="Times New Roman" w:cs="Arial"/>
          <w:color w:val="000000"/>
          <w:szCs w:val="20"/>
          <w:lang w:val="en-US"/>
        </w:rPr>
        <w:t>(M</w:t>
      </w:r>
      <w:r w:rsidRPr="00D92520">
        <w:rPr>
          <w:rFonts w:eastAsia="Times New Roman" w:cs="Arial"/>
          <w:color w:val="000000"/>
          <w:szCs w:val="20"/>
          <w:vertAlign w:val="subscript"/>
          <w:lang w:val="en-US"/>
        </w:rPr>
        <w:t>4</w:t>
      </w:r>
      <w:r w:rsidRPr="00D92520">
        <w:rPr>
          <w:rFonts w:eastAsia="Times New Roman" w:cs="Arial"/>
          <w:color w:val="000000"/>
          <w:szCs w:val="20"/>
          <w:lang w:val="en-US"/>
        </w:rPr>
        <w:t xml:space="preserve">). </w:t>
      </w:r>
      <w:r w:rsidRPr="00D92520">
        <w:rPr>
          <w:rFonts w:eastAsia="Times New Roman" w:cs="Arial"/>
          <w:color w:val="000000"/>
          <w:szCs w:val="20"/>
          <w:lang w:eastAsia="bg-BG"/>
        </w:rPr>
        <w:t xml:space="preserve">Метаболитите имат антимикробна активност </w:t>
      </w:r>
      <w:r w:rsidRPr="00D92520">
        <w:rPr>
          <w:rFonts w:eastAsia="Times New Roman" w:cs="Arial"/>
          <w:i/>
          <w:iCs/>
          <w:color w:val="000000"/>
          <w:szCs w:val="20"/>
          <w:lang w:val="en-US"/>
        </w:rPr>
        <w:t>in vitro,</w:t>
      </w:r>
      <w:r w:rsidRPr="00D92520">
        <w:rPr>
          <w:rFonts w:eastAsia="Times New Roman" w:cs="Arial"/>
          <w:color w:val="000000"/>
          <w:szCs w:val="20"/>
          <w:lang w:val="en-US"/>
        </w:rPr>
        <w:t xml:space="preserve"> </w:t>
      </w:r>
      <w:r w:rsidRPr="00D92520">
        <w:rPr>
          <w:rFonts w:eastAsia="Times New Roman" w:cs="Arial"/>
          <w:color w:val="000000"/>
          <w:szCs w:val="20"/>
          <w:lang w:eastAsia="bg-BG"/>
        </w:rPr>
        <w:t>но по- слаба в сравнение с изходното вещество.</w:t>
      </w:r>
    </w:p>
    <w:p w14:paraId="46F55C0D"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Знае се, че ципрофлоксацин е умерен инхибитор на </w:t>
      </w:r>
      <w:r w:rsidRPr="00D92520">
        <w:rPr>
          <w:rFonts w:eastAsia="Times New Roman" w:cs="Arial"/>
          <w:color w:val="000000"/>
          <w:szCs w:val="20"/>
          <w:lang w:val="en-US"/>
        </w:rPr>
        <w:t xml:space="preserve">CYP </w:t>
      </w:r>
      <w:r w:rsidRPr="00D92520">
        <w:rPr>
          <w:rFonts w:eastAsia="Times New Roman" w:cs="Arial"/>
          <w:color w:val="000000"/>
          <w:szCs w:val="20"/>
          <w:lang w:eastAsia="bg-BG"/>
        </w:rPr>
        <w:t>450 1А2 изоензимите.</w:t>
      </w:r>
    </w:p>
    <w:p w14:paraId="2A8F6939" w14:textId="77777777" w:rsidR="00D92520" w:rsidRDefault="00D92520" w:rsidP="00D92520">
      <w:pPr>
        <w:spacing w:line="240" w:lineRule="auto"/>
        <w:rPr>
          <w:rFonts w:ascii="Times New Roman" w:eastAsia="Times New Roman" w:hAnsi="Times New Roman" w:cs="Times New Roman"/>
          <w:color w:val="000000"/>
          <w:sz w:val="20"/>
          <w:szCs w:val="20"/>
          <w:u w:val="single"/>
          <w:lang w:eastAsia="bg-BG"/>
        </w:rPr>
      </w:pPr>
    </w:p>
    <w:p w14:paraId="4DD94539" w14:textId="2781686A" w:rsidR="00D92520" w:rsidRPr="00D92520" w:rsidRDefault="00D92520" w:rsidP="00D92520">
      <w:pPr>
        <w:pStyle w:val="Heading3"/>
        <w:rPr>
          <w:rFonts w:eastAsia="Times New Roman"/>
          <w:u w:val="single"/>
          <w:lang w:eastAsia="bg-BG"/>
        </w:rPr>
      </w:pPr>
      <w:r w:rsidRPr="00D92520">
        <w:rPr>
          <w:rFonts w:eastAsia="Times New Roman"/>
          <w:u w:val="single"/>
          <w:lang w:eastAsia="bg-BG"/>
        </w:rPr>
        <w:t>Елиминиране</w:t>
      </w:r>
    </w:p>
    <w:p w14:paraId="148BA3FC" w14:textId="23418821" w:rsidR="0091385D" w:rsidRPr="00D92520" w:rsidRDefault="00D92520" w:rsidP="00D92520">
      <w:pPr>
        <w:rPr>
          <w:rFonts w:cs="Arial"/>
          <w:sz w:val="24"/>
        </w:rPr>
      </w:pPr>
      <w:r w:rsidRPr="00D92520">
        <w:rPr>
          <w:rFonts w:eastAsia="Times New Roman" w:cs="Arial"/>
          <w:color w:val="000000"/>
          <w:szCs w:val="20"/>
          <w:lang w:eastAsia="bg-BG"/>
        </w:rPr>
        <w:t>Ципрофлоксацин се екскретира до голяма степен непроменен през бъбреците и в по-малка степен - с фекалиите. Серумният живот на полуелиминиране при лица с нормална бъбречна функция е приблизително 4-7 часа.</w:t>
      </w:r>
    </w:p>
    <w:p w14:paraId="4EE1BB0B" w14:textId="687417FD" w:rsidR="0091385D" w:rsidRDefault="0091385D" w:rsidP="0091385D"/>
    <w:tbl>
      <w:tblPr>
        <w:tblStyle w:val="TableGrid"/>
        <w:tblW w:w="0" w:type="auto"/>
        <w:tblLook w:val="04A0" w:firstRow="1" w:lastRow="0" w:firstColumn="1" w:lastColumn="0" w:noHBand="0" w:noVBand="1"/>
      </w:tblPr>
      <w:tblGrid>
        <w:gridCol w:w="3166"/>
        <w:gridCol w:w="3167"/>
        <w:gridCol w:w="3167"/>
      </w:tblGrid>
      <w:tr w:rsidR="00D92520" w:rsidRPr="00D92520" w14:paraId="3FBB9397" w14:textId="77777777" w:rsidTr="00037BBC">
        <w:tc>
          <w:tcPr>
            <w:tcW w:w="9500" w:type="dxa"/>
            <w:gridSpan w:val="3"/>
          </w:tcPr>
          <w:p w14:paraId="77A994BA" w14:textId="39698492" w:rsidR="00D92520" w:rsidRPr="00D92520" w:rsidRDefault="00D92520" w:rsidP="0091385D">
            <w:pPr>
              <w:rPr>
                <w:rFonts w:cs="Arial"/>
                <w:sz w:val="24"/>
              </w:rPr>
            </w:pPr>
            <w:r w:rsidRPr="00D92520">
              <w:rPr>
                <w:rFonts w:cs="Arial"/>
                <w:b/>
                <w:bCs/>
                <w:szCs w:val="20"/>
              </w:rPr>
              <w:t>Екскреция на ципрофлоксацин (% от дозата)</w:t>
            </w:r>
          </w:p>
        </w:tc>
      </w:tr>
      <w:tr w:rsidR="00D92520" w:rsidRPr="00D92520" w14:paraId="7EC045EB" w14:textId="77777777" w:rsidTr="000D5511">
        <w:tc>
          <w:tcPr>
            <w:tcW w:w="3166" w:type="dxa"/>
            <w:vMerge w:val="restart"/>
          </w:tcPr>
          <w:p w14:paraId="1A19D09D" w14:textId="77777777" w:rsidR="00D92520" w:rsidRPr="00D92520" w:rsidRDefault="00D92520" w:rsidP="0091385D">
            <w:pPr>
              <w:rPr>
                <w:rFonts w:cs="Arial"/>
                <w:sz w:val="24"/>
              </w:rPr>
            </w:pPr>
          </w:p>
        </w:tc>
        <w:tc>
          <w:tcPr>
            <w:tcW w:w="6334" w:type="dxa"/>
            <w:gridSpan w:val="2"/>
          </w:tcPr>
          <w:p w14:paraId="16DEDC90" w14:textId="28C6203C" w:rsidR="00D92520" w:rsidRPr="00D92520" w:rsidRDefault="00D92520" w:rsidP="0091385D">
            <w:pPr>
              <w:rPr>
                <w:rFonts w:cs="Arial"/>
                <w:sz w:val="24"/>
              </w:rPr>
            </w:pPr>
            <w:r w:rsidRPr="00D92520">
              <w:rPr>
                <w:rFonts w:cs="Arial"/>
                <w:b/>
                <w:bCs/>
                <w:szCs w:val="20"/>
              </w:rPr>
              <w:t>Перорално приложение</w:t>
            </w:r>
          </w:p>
        </w:tc>
      </w:tr>
      <w:tr w:rsidR="00D92520" w:rsidRPr="00D92520" w14:paraId="026073EA" w14:textId="77777777" w:rsidTr="00D92520">
        <w:tc>
          <w:tcPr>
            <w:tcW w:w="3166" w:type="dxa"/>
            <w:vMerge/>
          </w:tcPr>
          <w:p w14:paraId="31473EC2" w14:textId="77777777" w:rsidR="00D92520" w:rsidRPr="00D92520" w:rsidRDefault="00D92520" w:rsidP="00D92520">
            <w:pPr>
              <w:rPr>
                <w:rFonts w:cs="Arial"/>
                <w:sz w:val="24"/>
              </w:rPr>
            </w:pPr>
          </w:p>
        </w:tc>
        <w:tc>
          <w:tcPr>
            <w:tcW w:w="3167" w:type="dxa"/>
          </w:tcPr>
          <w:p w14:paraId="153F7205" w14:textId="21ECE43C" w:rsidR="00D92520" w:rsidRPr="00D92520" w:rsidRDefault="00D92520" w:rsidP="00D92520">
            <w:pPr>
              <w:rPr>
                <w:rFonts w:cs="Arial"/>
                <w:sz w:val="24"/>
              </w:rPr>
            </w:pPr>
            <w:r w:rsidRPr="00D92520">
              <w:rPr>
                <w:rFonts w:cs="Arial"/>
                <w:b/>
                <w:bCs/>
                <w:szCs w:val="20"/>
              </w:rPr>
              <w:t>Урина</w:t>
            </w:r>
          </w:p>
        </w:tc>
        <w:tc>
          <w:tcPr>
            <w:tcW w:w="3167" w:type="dxa"/>
          </w:tcPr>
          <w:p w14:paraId="3E05DF9E" w14:textId="17FCA3FF" w:rsidR="00D92520" w:rsidRPr="00D92520" w:rsidRDefault="00D92520" w:rsidP="00D92520">
            <w:pPr>
              <w:rPr>
                <w:rFonts w:cs="Arial"/>
                <w:sz w:val="24"/>
              </w:rPr>
            </w:pPr>
            <w:r w:rsidRPr="00D92520">
              <w:rPr>
                <w:rFonts w:cs="Arial"/>
                <w:b/>
                <w:bCs/>
                <w:szCs w:val="20"/>
              </w:rPr>
              <w:t>Фекалии</w:t>
            </w:r>
          </w:p>
        </w:tc>
      </w:tr>
      <w:tr w:rsidR="00D92520" w:rsidRPr="00D92520" w14:paraId="531B79E9" w14:textId="77777777" w:rsidTr="00D92520">
        <w:tc>
          <w:tcPr>
            <w:tcW w:w="3166" w:type="dxa"/>
          </w:tcPr>
          <w:p w14:paraId="494B7E5F" w14:textId="1C92F77F" w:rsidR="00D92520" w:rsidRPr="00D92520" w:rsidRDefault="00D92520" w:rsidP="00D92520">
            <w:pPr>
              <w:rPr>
                <w:rFonts w:cs="Arial"/>
                <w:sz w:val="24"/>
              </w:rPr>
            </w:pPr>
            <w:r w:rsidRPr="00D92520">
              <w:rPr>
                <w:rFonts w:cs="Arial"/>
                <w:szCs w:val="20"/>
              </w:rPr>
              <w:t>Ципрофлоксацин</w:t>
            </w:r>
          </w:p>
        </w:tc>
        <w:tc>
          <w:tcPr>
            <w:tcW w:w="3167" w:type="dxa"/>
          </w:tcPr>
          <w:p w14:paraId="703BDC5A" w14:textId="522C2B14" w:rsidR="00D92520" w:rsidRPr="00D92520" w:rsidRDefault="00D92520" w:rsidP="00D92520">
            <w:pPr>
              <w:rPr>
                <w:rFonts w:cs="Arial"/>
                <w:sz w:val="24"/>
              </w:rPr>
            </w:pPr>
            <w:r w:rsidRPr="00D92520">
              <w:rPr>
                <w:rFonts w:cs="Arial"/>
                <w:szCs w:val="20"/>
              </w:rPr>
              <w:t>44,7</w:t>
            </w:r>
          </w:p>
        </w:tc>
        <w:tc>
          <w:tcPr>
            <w:tcW w:w="3167" w:type="dxa"/>
          </w:tcPr>
          <w:p w14:paraId="4381515F" w14:textId="037D7603" w:rsidR="00D92520" w:rsidRPr="00D92520" w:rsidRDefault="00D92520" w:rsidP="00D92520">
            <w:pPr>
              <w:rPr>
                <w:rFonts w:cs="Arial"/>
                <w:sz w:val="24"/>
              </w:rPr>
            </w:pPr>
            <w:r w:rsidRPr="00D92520">
              <w:rPr>
                <w:rFonts w:cs="Arial"/>
                <w:szCs w:val="20"/>
              </w:rPr>
              <w:t>25,0</w:t>
            </w:r>
          </w:p>
        </w:tc>
      </w:tr>
      <w:tr w:rsidR="00D92520" w:rsidRPr="00D92520" w14:paraId="50B9C0AE" w14:textId="77777777" w:rsidTr="00D92520">
        <w:tc>
          <w:tcPr>
            <w:tcW w:w="3166" w:type="dxa"/>
          </w:tcPr>
          <w:p w14:paraId="6020B5A9" w14:textId="4D2D79AF" w:rsidR="00D92520" w:rsidRPr="00D92520" w:rsidRDefault="00D92520" w:rsidP="00D92520">
            <w:pPr>
              <w:rPr>
                <w:rFonts w:cs="Arial"/>
                <w:sz w:val="24"/>
              </w:rPr>
            </w:pPr>
            <w:r w:rsidRPr="00D92520">
              <w:rPr>
                <w:rFonts w:cs="Arial"/>
                <w:szCs w:val="20"/>
              </w:rPr>
              <w:t xml:space="preserve">Метаболити </w:t>
            </w:r>
            <w:r w:rsidRPr="00D92520">
              <w:rPr>
                <w:rFonts w:cs="Arial"/>
                <w:szCs w:val="20"/>
                <w:lang w:val="en-US"/>
              </w:rPr>
              <w:t>(M</w:t>
            </w:r>
            <w:r w:rsidRPr="00D92520">
              <w:rPr>
                <w:rFonts w:cs="Arial"/>
                <w:szCs w:val="20"/>
                <w:vertAlign w:val="subscript"/>
                <w:lang w:val="en-US"/>
              </w:rPr>
              <w:t>1</w:t>
            </w:r>
            <w:r w:rsidRPr="00D92520">
              <w:rPr>
                <w:rFonts w:cs="Arial"/>
                <w:szCs w:val="20"/>
                <w:lang w:val="en-US"/>
              </w:rPr>
              <w:t xml:space="preserve"> </w:t>
            </w:r>
            <w:r w:rsidRPr="00D92520">
              <w:rPr>
                <w:rFonts w:cs="Arial"/>
                <w:szCs w:val="20"/>
              </w:rPr>
              <w:t>- М</w:t>
            </w:r>
            <w:r w:rsidRPr="00D92520">
              <w:rPr>
                <w:rFonts w:cs="Arial"/>
                <w:szCs w:val="20"/>
                <w:vertAlign w:val="subscript"/>
              </w:rPr>
              <w:t>4</w:t>
            </w:r>
            <w:r w:rsidRPr="00D92520">
              <w:rPr>
                <w:rFonts w:cs="Arial"/>
                <w:szCs w:val="20"/>
              </w:rPr>
              <w:t>)</w:t>
            </w:r>
          </w:p>
        </w:tc>
        <w:tc>
          <w:tcPr>
            <w:tcW w:w="3167" w:type="dxa"/>
          </w:tcPr>
          <w:p w14:paraId="61E60250" w14:textId="7F24F919" w:rsidR="00D92520" w:rsidRPr="00D92520" w:rsidRDefault="00D92520" w:rsidP="00D92520">
            <w:pPr>
              <w:rPr>
                <w:rFonts w:cs="Arial"/>
                <w:sz w:val="24"/>
              </w:rPr>
            </w:pPr>
            <w:r w:rsidRPr="00D92520">
              <w:rPr>
                <w:rFonts w:cs="Arial"/>
                <w:szCs w:val="20"/>
              </w:rPr>
              <w:t>11,3</w:t>
            </w:r>
          </w:p>
        </w:tc>
        <w:tc>
          <w:tcPr>
            <w:tcW w:w="3167" w:type="dxa"/>
          </w:tcPr>
          <w:p w14:paraId="4FF3A2CF" w14:textId="48753422" w:rsidR="00D92520" w:rsidRPr="00D92520" w:rsidRDefault="00D92520" w:rsidP="00D92520">
            <w:pPr>
              <w:rPr>
                <w:rFonts w:cs="Arial"/>
                <w:sz w:val="24"/>
              </w:rPr>
            </w:pPr>
            <w:r w:rsidRPr="00D92520">
              <w:rPr>
                <w:rFonts w:cs="Arial"/>
                <w:szCs w:val="20"/>
              </w:rPr>
              <w:t>7,5</w:t>
            </w:r>
          </w:p>
        </w:tc>
      </w:tr>
    </w:tbl>
    <w:p w14:paraId="48C93D05" w14:textId="6B36C92C" w:rsidR="00D92520" w:rsidRPr="00D92520" w:rsidRDefault="00D92520" w:rsidP="0091385D">
      <w:pPr>
        <w:rPr>
          <w:rFonts w:cs="Arial"/>
          <w:sz w:val="24"/>
        </w:rPr>
      </w:pPr>
    </w:p>
    <w:p w14:paraId="104F9333"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Бъбречният клирънс е между 180 - 300 </w:t>
      </w:r>
      <w:r w:rsidRPr="00D92520">
        <w:rPr>
          <w:rFonts w:eastAsia="Times New Roman" w:cs="Arial"/>
          <w:color w:val="000000"/>
          <w:szCs w:val="20"/>
          <w:lang w:val="en-US"/>
        </w:rPr>
        <w:t xml:space="preserve">mL/kg/h, </w:t>
      </w:r>
      <w:r w:rsidRPr="00D92520">
        <w:rPr>
          <w:rFonts w:eastAsia="Times New Roman" w:cs="Arial"/>
          <w:color w:val="000000"/>
          <w:szCs w:val="20"/>
          <w:lang w:eastAsia="bg-BG"/>
        </w:rPr>
        <w:t xml:space="preserve">а общият телесен клирънс е между 480 - 600 </w:t>
      </w:r>
      <w:r w:rsidRPr="00D92520">
        <w:rPr>
          <w:rFonts w:eastAsia="Times New Roman" w:cs="Arial"/>
          <w:color w:val="000000"/>
          <w:szCs w:val="20"/>
          <w:lang w:val="en-US"/>
        </w:rPr>
        <w:t xml:space="preserve">mL/kg/h. </w:t>
      </w:r>
      <w:r w:rsidRPr="00D92520">
        <w:rPr>
          <w:rFonts w:eastAsia="Times New Roman" w:cs="Arial"/>
          <w:color w:val="000000"/>
          <w:szCs w:val="20"/>
          <w:lang w:eastAsia="bg-BG"/>
        </w:rPr>
        <w:t>Ципрофлоксацин се подлага както на гломерулна филтрация, така и на тубулна секреция. Тежките нарушения на бъбречната функция водят до удължен полуживот на ципрофлоксацин до 12 часа.</w:t>
      </w:r>
    </w:p>
    <w:p w14:paraId="1BA9B0C6" w14:textId="77777777" w:rsidR="00D92520" w:rsidRPr="00D92520" w:rsidRDefault="00D92520" w:rsidP="00D92520">
      <w:pPr>
        <w:spacing w:line="240" w:lineRule="auto"/>
        <w:rPr>
          <w:rFonts w:eastAsia="Times New Roman" w:cs="Arial"/>
          <w:color w:val="000000"/>
          <w:szCs w:val="20"/>
          <w:lang w:eastAsia="bg-BG"/>
        </w:rPr>
      </w:pPr>
    </w:p>
    <w:p w14:paraId="57CED6FB" w14:textId="0F8926FF"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Извънбъбречният клирънс на ципрофлоксацин се осъществява основно чрез активна секреция в червата и метаболизиране. 1 % от дозата се екскретира през жлъчния път. В жлъчката ципрофлоксацин е във високи концентрации.</w:t>
      </w:r>
    </w:p>
    <w:p w14:paraId="40A4DB98" w14:textId="77777777" w:rsidR="00D92520" w:rsidRPr="00D92520" w:rsidRDefault="00D92520" w:rsidP="00D92520">
      <w:pPr>
        <w:spacing w:line="240" w:lineRule="auto"/>
        <w:rPr>
          <w:rFonts w:eastAsia="Times New Roman" w:cs="Arial"/>
          <w:color w:val="000000"/>
          <w:szCs w:val="20"/>
          <w:u w:val="single"/>
          <w:lang w:eastAsia="bg-BG"/>
        </w:rPr>
      </w:pPr>
    </w:p>
    <w:p w14:paraId="351A31A7" w14:textId="2BA6FF82"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u w:val="single"/>
          <w:lang w:eastAsia="bg-BG"/>
        </w:rPr>
        <w:t>Връзка фармакокинетика-фармакодинамика:</w:t>
      </w:r>
    </w:p>
    <w:p w14:paraId="58058F98" w14:textId="77777777" w:rsidR="00D92520" w:rsidRPr="00D92520" w:rsidRDefault="00D92520" w:rsidP="00D92520">
      <w:pPr>
        <w:rPr>
          <w:rFonts w:eastAsia="Times New Roman" w:cs="Arial"/>
          <w:sz w:val="28"/>
          <w:szCs w:val="24"/>
          <w:lang w:eastAsia="bg-BG"/>
        </w:rPr>
      </w:pPr>
      <w:r w:rsidRPr="00D92520">
        <w:rPr>
          <w:rFonts w:eastAsia="Times New Roman" w:cs="Arial"/>
          <w:color w:val="000000"/>
          <w:szCs w:val="20"/>
          <w:lang w:eastAsia="bg-BG"/>
        </w:rPr>
        <w:t>Ефикасността зависи основно от съотношението между максималната концентрация в серума</w:t>
      </w:r>
      <w:r w:rsidRPr="00D92520">
        <w:rPr>
          <w:rFonts w:eastAsia="Times New Roman" w:cs="Arial"/>
          <w:color w:val="000000"/>
          <w:szCs w:val="20"/>
          <w:lang w:val="en-US" w:eastAsia="bg-BG"/>
        </w:rPr>
        <w:t xml:space="preserve"> </w:t>
      </w:r>
      <w:r w:rsidRPr="00D92520">
        <w:rPr>
          <w:rFonts w:eastAsia="Times New Roman" w:cs="Arial"/>
          <w:color w:val="000000"/>
          <w:szCs w:val="20"/>
          <w:lang w:eastAsia="bg-BG"/>
        </w:rPr>
        <w:t>(С</w:t>
      </w:r>
      <w:r w:rsidRPr="00D92520">
        <w:rPr>
          <w:rFonts w:eastAsia="Times New Roman" w:cs="Arial"/>
          <w:color w:val="000000"/>
          <w:szCs w:val="20"/>
          <w:lang w:val="en-US"/>
        </w:rPr>
        <w:t>m</w:t>
      </w:r>
      <w:r w:rsidRPr="00D92520">
        <w:rPr>
          <w:rFonts w:eastAsia="Times New Roman" w:cs="Arial"/>
          <w:color w:val="000000"/>
          <w:szCs w:val="20"/>
          <w:lang w:eastAsia="bg-BG"/>
        </w:rPr>
        <w:t xml:space="preserve">ах) и минималната инхибираща концентрация </w:t>
      </w:r>
      <w:r w:rsidRPr="00D92520">
        <w:rPr>
          <w:rFonts w:eastAsia="Times New Roman" w:cs="Arial"/>
          <w:color w:val="000000"/>
          <w:szCs w:val="20"/>
          <w:lang w:val="en-US"/>
        </w:rPr>
        <w:t xml:space="preserve">(MIC) </w:t>
      </w:r>
      <w:r w:rsidRPr="00D92520">
        <w:rPr>
          <w:rFonts w:eastAsia="Times New Roman" w:cs="Arial"/>
          <w:color w:val="000000"/>
          <w:szCs w:val="20"/>
          <w:lang w:eastAsia="bg-BG"/>
        </w:rPr>
        <w:t xml:space="preserve">на ципрофлоксацин за бактериалния патоген и съотношението между площта под кривата </w:t>
      </w:r>
      <w:r w:rsidRPr="00D92520">
        <w:rPr>
          <w:rFonts w:eastAsia="Times New Roman" w:cs="Arial"/>
          <w:color w:val="000000"/>
          <w:szCs w:val="20"/>
          <w:lang w:val="en-US"/>
        </w:rPr>
        <w:t xml:space="preserve">(AUC) </w:t>
      </w:r>
      <w:r w:rsidRPr="00D92520">
        <w:rPr>
          <w:rFonts w:eastAsia="Times New Roman" w:cs="Arial"/>
          <w:color w:val="000000"/>
          <w:szCs w:val="20"/>
          <w:lang w:eastAsia="bg-BG"/>
        </w:rPr>
        <w:t xml:space="preserve">и </w:t>
      </w:r>
      <w:r w:rsidRPr="00D92520">
        <w:rPr>
          <w:rFonts w:eastAsia="Times New Roman" w:cs="Arial"/>
          <w:color w:val="000000"/>
          <w:szCs w:val="20"/>
          <w:lang w:val="en-US"/>
        </w:rPr>
        <w:t>MIC.</w:t>
      </w:r>
    </w:p>
    <w:p w14:paraId="077BC848" w14:textId="77777777" w:rsidR="00D92520" w:rsidRPr="00D92520" w:rsidRDefault="00D92520" w:rsidP="00D92520">
      <w:pPr>
        <w:spacing w:line="240" w:lineRule="auto"/>
        <w:rPr>
          <w:rFonts w:eastAsia="Times New Roman" w:cs="Arial"/>
          <w:color w:val="000000"/>
          <w:szCs w:val="20"/>
          <w:u w:val="single"/>
          <w:lang w:eastAsia="bg-BG"/>
        </w:rPr>
      </w:pPr>
    </w:p>
    <w:p w14:paraId="6862A0F1" w14:textId="7B40FECC"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u w:val="single"/>
          <w:lang w:eastAsia="bg-BG"/>
        </w:rPr>
        <w:t>Педиатрична популация</w:t>
      </w:r>
    </w:p>
    <w:p w14:paraId="2AC53EE1"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Данните относно фармакокинетиката при педиатрични пациенти са ограничени.</w:t>
      </w:r>
    </w:p>
    <w:p w14:paraId="699ACEF4" w14:textId="77777777" w:rsidR="00D92520" w:rsidRPr="00D92520" w:rsidRDefault="00D92520" w:rsidP="00D92520">
      <w:pPr>
        <w:spacing w:line="240" w:lineRule="auto"/>
        <w:rPr>
          <w:rFonts w:eastAsia="Times New Roman" w:cs="Arial"/>
          <w:color w:val="000000"/>
          <w:szCs w:val="20"/>
          <w:lang w:eastAsia="bg-BG"/>
        </w:rPr>
      </w:pPr>
    </w:p>
    <w:p w14:paraId="6C0A04D8" w14:textId="32BF227C"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При проучване при деца С</w:t>
      </w:r>
      <w:r w:rsidRPr="00D92520">
        <w:rPr>
          <w:rFonts w:eastAsia="Times New Roman" w:cs="Arial"/>
          <w:color w:val="000000"/>
          <w:szCs w:val="20"/>
          <w:lang w:val="en-US"/>
        </w:rPr>
        <w:t>max</w:t>
      </w:r>
      <w:r w:rsidRPr="00D92520">
        <w:rPr>
          <w:rFonts w:eastAsia="Times New Roman" w:cs="Arial"/>
          <w:color w:val="000000"/>
          <w:szCs w:val="20"/>
          <w:lang w:eastAsia="bg-BG"/>
        </w:rPr>
        <w:t xml:space="preserve">и </w:t>
      </w:r>
      <w:r w:rsidRPr="00D92520">
        <w:rPr>
          <w:rFonts w:eastAsia="Times New Roman" w:cs="Arial"/>
          <w:color w:val="000000"/>
          <w:szCs w:val="20"/>
          <w:lang w:val="en-US"/>
        </w:rPr>
        <w:t xml:space="preserve">AUC </w:t>
      </w:r>
      <w:r w:rsidRPr="00D92520">
        <w:rPr>
          <w:rFonts w:eastAsia="Times New Roman" w:cs="Arial"/>
          <w:color w:val="000000"/>
          <w:szCs w:val="20"/>
          <w:lang w:eastAsia="bg-BG"/>
        </w:rPr>
        <w:t>не са зависели от възрастта (над едногодишна възраст). Не е наблюдавано значимо повишаване на С</w:t>
      </w:r>
      <w:r w:rsidRPr="00D92520">
        <w:rPr>
          <w:rFonts w:eastAsia="Times New Roman" w:cs="Arial"/>
          <w:color w:val="000000"/>
          <w:szCs w:val="20"/>
          <w:lang w:val="en-US"/>
        </w:rPr>
        <w:t>max</w:t>
      </w:r>
      <w:r w:rsidRPr="00D92520">
        <w:rPr>
          <w:rFonts w:eastAsia="Times New Roman" w:cs="Arial"/>
          <w:color w:val="000000"/>
          <w:szCs w:val="20"/>
          <w:lang w:eastAsia="bg-BG"/>
        </w:rPr>
        <w:t xml:space="preserve"> и </w:t>
      </w:r>
      <w:r w:rsidRPr="00D92520">
        <w:rPr>
          <w:rFonts w:eastAsia="Times New Roman" w:cs="Arial"/>
          <w:color w:val="000000"/>
          <w:szCs w:val="20"/>
          <w:lang w:val="en-US"/>
        </w:rPr>
        <w:t xml:space="preserve">AUC </w:t>
      </w:r>
      <w:r w:rsidRPr="00D92520">
        <w:rPr>
          <w:rFonts w:eastAsia="Times New Roman" w:cs="Arial"/>
          <w:color w:val="000000"/>
          <w:szCs w:val="20"/>
          <w:lang w:eastAsia="bg-BG"/>
        </w:rPr>
        <w:t xml:space="preserve">след многократно прилагане (10 </w:t>
      </w:r>
      <w:r w:rsidRPr="00D92520">
        <w:rPr>
          <w:rFonts w:eastAsia="Times New Roman" w:cs="Arial"/>
          <w:color w:val="000000"/>
          <w:szCs w:val="20"/>
          <w:lang w:val="en-US"/>
        </w:rPr>
        <w:t xml:space="preserve">mg/kg </w:t>
      </w:r>
      <w:r w:rsidRPr="00D92520">
        <w:rPr>
          <w:rFonts w:eastAsia="Times New Roman" w:cs="Arial"/>
          <w:color w:val="000000"/>
          <w:szCs w:val="20"/>
          <w:lang w:eastAsia="bg-BG"/>
        </w:rPr>
        <w:t>три пъти на ден).</w:t>
      </w:r>
    </w:p>
    <w:p w14:paraId="3B505F40" w14:textId="77777777" w:rsidR="00D92520" w:rsidRPr="00D92520" w:rsidRDefault="00D92520" w:rsidP="00D92520">
      <w:pPr>
        <w:spacing w:line="240" w:lineRule="auto"/>
        <w:rPr>
          <w:rFonts w:eastAsia="Times New Roman" w:cs="Arial"/>
          <w:color w:val="000000"/>
          <w:szCs w:val="20"/>
          <w:lang w:eastAsia="bg-BG"/>
        </w:rPr>
      </w:pPr>
    </w:p>
    <w:p w14:paraId="5768BAC5" w14:textId="730253A9"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При 10 деца с тежък сепсис С</w:t>
      </w:r>
      <w:r w:rsidRPr="00D92520">
        <w:rPr>
          <w:rFonts w:eastAsia="Times New Roman" w:cs="Arial"/>
          <w:color w:val="000000"/>
          <w:szCs w:val="20"/>
          <w:lang w:val="en-US"/>
        </w:rPr>
        <w:t>max</w:t>
      </w:r>
      <w:r w:rsidRPr="00D92520">
        <w:rPr>
          <w:rFonts w:eastAsia="Times New Roman" w:cs="Arial"/>
          <w:color w:val="000000"/>
          <w:szCs w:val="20"/>
          <w:lang w:eastAsia="bg-BG"/>
        </w:rPr>
        <w:t xml:space="preserve"> е била 6,1 </w:t>
      </w:r>
      <w:r w:rsidRPr="00D92520">
        <w:rPr>
          <w:rFonts w:eastAsia="Times New Roman" w:cs="Arial"/>
          <w:color w:val="000000"/>
          <w:szCs w:val="20"/>
          <w:lang w:val="en-US"/>
        </w:rPr>
        <w:t xml:space="preserve">mg/L </w:t>
      </w:r>
      <w:r w:rsidRPr="00D92520">
        <w:rPr>
          <w:rFonts w:eastAsia="Times New Roman" w:cs="Arial"/>
          <w:color w:val="000000"/>
          <w:szCs w:val="20"/>
          <w:lang w:eastAsia="bg-BG"/>
        </w:rPr>
        <w:t xml:space="preserve">(интервал 4,6 - 8,3 </w:t>
      </w:r>
      <w:r w:rsidRPr="00D92520">
        <w:rPr>
          <w:rFonts w:eastAsia="Times New Roman" w:cs="Arial"/>
          <w:color w:val="000000"/>
          <w:szCs w:val="20"/>
          <w:lang w:val="en-US"/>
        </w:rPr>
        <w:t xml:space="preserve">mg/L) </w:t>
      </w:r>
      <w:r w:rsidRPr="00D92520">
        <w:rPr>
          <w:rFonts w:eastAsia="Times New Roman" w:cs="Arial"/>
          <w:color w:val="000000"/>
          <w:szCs w:val="20"/>
          <w:lang w:eastAsia="bg-BG"/>
        </w:rPr>
        <w:t xml:space="preserve">след едночасова интравенозна инфузия на доза 10 </w:t>
      </w:r>
      <w:r w:rsidRPr="00D92520">
        <w:rPr>
          <w:rFonts w:eastAsia="Times New Roman" w:cs="Arial"/>
          <w:color w:val="000000"/>
          <w:szCs w:val="20"/>
          <w:lang w:val="en-US"/>
        </w:rPr>
        <w:t xml:space="preserve">mg/kg </w:t>
      </w:r>
      <w:r w:rsidRPr="00D92520">
        <w:rPr>
          <w:rFonts w:eastAsia="Times New Roman" w:cs="Arial"/>
          <w:color w:val="000000"/>
          <w:szCs w:val="20"/>
          <w:lang w:eastAsia="bg-BG"/>
        </w:rPr>
        <w:t xml:space="preserve">при деца на възраст под 1 година в сравнение с 7,2 </w:t>
      </w:r>
      <w:r w:rsidRPr="00D92520">
        <w:rPr>
          <w:rFonts w:eastAsia="Times New Roman" w:cs="Arial"/>
          <w:color w:val="000000"/>
          <w:szCs w:val="20"/>
          <w:lang w:val="en-US"/>
        </w:rPr>
        <w:t xml:space="preserve">mg/L </w:t>
      </w:r>
      <w:r w:rsidRPr="00D92520">
        <w:rPr>
          <w:rFonts w:eastAsia="Times New Roman" w:cs="Arial"/>
          <w:color w:val="000000"/>
          <w:szCs w:val="20"/>
          <w:lang w:eastAsia="bg-BG"/>
        </w:rPr>
        <w:t xml:space="preserve">(интервал 4,7 -11,8 </w:t>
      </w:r>
      <w:r w:rsidRPr="00D92520">
        <w:rPr>
          <w:rFonts w:eastAsia="Times New Roman" w:cs="Arial"/>
          <w:color w:val="000000"/>
          <w:szCs w:val="20"/>
          <w:lang w:val="en-US"/>
        </w:rPr>
        <w:t xml:space="preserve">mg/L) </w:t>
      </w:r>
      <w:r w:rsidRPr="00D92520">
        <w:rPr>
          <w:rFonts w:eastAsia="Times New Roman" w:cs="Arial"/>
          <w:color w:val="000000"/>
          <w:szCs w:val="20"/>
          <w:lang w:eastAsia="bg-BG"/>
        </w:rPr>
        <w:t xml:space="preserve">при деца на възраст между 1 и 5 години. Стойностите на </w:t>
      </w:r>
      <w:r w:rsidRPr="00D92520">
        <w:rPr>
          <w:rFonts w:eastAsia="Times New Roman" w:cs="Arial"/>
          <w:color w:val="000000"/>
          <w:szCs w:val="20"/>
          <w:lang w:val="en-US"/>
        </w:rPr>
        <w:t xml:space="preserve">AUC </w:t>
      </w:r>
      <w:r w:rsidRPr="00D92520">
        <w:rPr>
          <w:rFonts w:eastAsia="Times New Roman" w:cs="Arial"/>
          <w:color w:val="000000"/>
          <w:szCs w:val="20"/>
          <w:lang w:eastAsia="bg-BG"/>
        </w:rPr>
        <w:t xml:space="preserve">за съответните възрастови групи са били съответно 17,4 </w:t>
      </w:r>
      <w:r w:rsidRPr="00D92520">
        <w:rPr>
          <w:rFonts w:eastAsia="Times New Roman" w:cs="Arial"/>
          <w:color w:val="000000"/>
          <w:szCs w:val="20"/>
          <w:lang w:val="en-US"/>
        </w:rPr>
        <w:t xml:space="preserve">mg/h/L </w:t>
      </w:r>
      <w:r w:rsidRPr="00D92520">
        <w:rPr>
          <w:rFonts w:eastAsia="Times New Roman" w:cs="Arial"/>
          <w:color w:val="000000"/>
          <w:szCs w:val="20"/>
          <w:lang w:eastAsia="bg-BG"/>
        </w:rPr>
        <w:t xml:space="preserve">(интервал 11,8 — 32,0 </w:t>
      </w:r>
      <w:r w:rsidRPr="00D92520">
        <w:rPr>
          <w:rFonts w:eastAsia="Times New Roman" w:cs="Arial"/>
          <w:color w:val="000000"/>
          <w:szCs w:val="20"/>
          <w:lang w:val="en-US"/>
        </w:rPr>
        <w:t xml:space="preserve">mg/h/L) </w:t>
      </w:r>
      <w:r w:rsidRPr="00D92520">
        <w:rPr>
          <w:rFonts w:eastAsia="Times New Roman" w:cs="Arial"/>
          <w:color w:val="000000"/>
          <w:szCs w:val="20"/>
          <w:lang w:eastAsia="bg-BG"/>
        </w:rPr>
        <w:t xml:space="preserve">и 16,5 </w:t>
      </w:r>
      <w:r w:rsidRPr="00D92520">
        <w:rPr>
          <w:rFonts w:eastAsia="Times New Roman" w:cs="Arial"/>
          <w:color w:val="000000"/>
          <w:szCs w:val="20"/>
          <w:lang w:val="en-US"/>
        </w:rPr>
        <w:t xml:space="preserve">mg/h/L </w:t>
      </w:r>
      <w:r w:rsidRPr="00D92520">
        <w:rPr>
          <w:rFonts w:eastAsia="Times New Roman" w:cs="Arial"/>
          <w:color w:val="000000"/>
          <w:szCs w:val="20"/>
          <w:lang w:eastAsia="bg-BG"/>
        </w:rPr>
        <w:t xml:space="preserve">(интервал 11,0 - 23,8 </w:t>
      </w:r>
      <w:r w:rsidRPr="00D92520">
        <w:rPr>
          <w:rFonts w:eastAsia="Times New Roman" w:cs="Arial"/>
          <w:color w:val="000000"/>
          <w:szCs w:val="20"/>
          <w:lang w:val="en-US"/>
        </w:rPr>
        <w:t>mg/h/L).</w:t>
      </w:r>
    </w:p>
    <w:p w14:paraId="0D4F89A8" w14:textId="77777777" w:rsidR="00D92520" w:rsidRPr="00D92520" w:rsidRDefault="00D92520" w:rsidP="00D92520">
      <w:pPr>
        <w:rPr>
          <w:rFonts w:eastAsia="Times New Roman" w:cs="Arial"/>
          <w:color w:val="000000"/>
          <w:szCs w:val="20"/>
          <w:lang w:eastAsia="bg-BG"/>
        </w:rPr>
      </w:pPr>
    </w:p>
    <w:p w14:paraId="2FD08D74" w14:textId="1562E09C" w:rsidR="00D92520" w:rsidRPr="00D92520" w:rsidRDefault="00D92520" w:rsidP="00D92520">
      <w:pPr>
        <w:rPr>
          <w:rFonts w:cs="Arial"/>
          <w:sz w:val="24"/>
          <w:lang w:val="en-US"/>
        </w:rPr>
      </w:pPr>
      <w:r w:rsidRPr="00D92520">
        <w:rPr>
          <w:rFonts w:eastAsia="Times New Roman" w:cs="Arial"/>
          <w:color w:val="000000"/>
          <w:szCs w:val="20"/>
          <w:lang w:eastAsia="bg-BG"/>
        </w:rPr>
        <w:lastRenderedPageBreak/>
        <w:t>Тези стойности са в границите на съобщаваните при възрастни при прилагане на терапевтични дози. На база на популационния фармакокинетичен анализ при педиатрични пациенти с различни инфекции, прогнозният среден полуживот при деца е около 4 — 5 часа, а бионаличността на пероралната суспензия варира от 50 до 80%.</w:t>
      </w:r>
    </w:p>
    <w:p w14:paraId="113107E4" w14:textId="77777777" w:rsidR="00D92520" w:rsidRPr="0091385D" w:rsidRDefault="00D92520"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17F0B31C"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Неклиничните данни не показват особен риск за хора на база на конвенционалните фармакологични проучвания за безопасност, токсичност на единична доза, токсичност при многократно прилагане, генотоксичност, карциногенен потенциал или репродуктивна токсичност.</w:t>
      </w:r>
    </w:p>
    <w:p w14:paraId="6B509E29" w14:textId="77777777" w:rsidR="00D92520" w:rsidRPr="00D92520" w:rsidRDefault="00D92520" w:rsidP="00D92520">
      <w:pPr>
        <w:spacing w:line="240" w:lineRule="auto"/>
        <w:rPr>
          <w:rFonts w:eastAsia="Times New Roman" w:cs="Arial"/>
          <w:color w:val="000000"/>
          <w:szCs w:val="20"/>
          <w:lang w:eastAsia="bg-BG"/>
        </w:rPr>
      </w:pPr>
    </w:p>
    <w:p w14:paraId="0813F618" w14:textId="15EE200F"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 xml:space="preserve">Подобно на много други хинолони, ципрофлоксацин е фототоксичен при животни при клинично релевантни нива на експозиция. Данните за фотомутагенност/фотоканцерогенност от експерименти при животни показват слаб фотомутагенен или фототуморогенен ефект на ципрофлоксацин </w:t>
      </w:r>
      <w:r w:rsidRPr="00D92520">
        <w:rPr>
          <w:rFonts w:eastAsia="Times New Roman" w:cs="Arial"/>
          <w:i/>
          <w:iCs/>
          <w:color w:val="000000"/>
          <w:szCs w:val="20"/>
          <w:lang w:val="en-US"/>
        </w:rPr>
        <w:t>in vitro.</w:t>
      </w:r>
      <w:r w:rsidRPr="00D92520">
        <w:rPr>
          <w:rFonts w:eastAsia="Times New Roman" w:cs="Arial"/>
          <w:color w:val="000000"/>
          <w:szCs w:val="20"/>
          <w:lang w:val="en-US"/>
        </w:rPr>
        <w:t xml:space="preserve"> </w:t>
      </w:r>
      <w:r w:rsidRPr="00D92520">
        <w:rPr>
          <w:rFonts w:eastAsia="Times New Roman" w:cs="Arial"/>
          <w:color w:val="000000"/>
          <w:szCs w:val="20"/>
          <w:lang w:eastAsia="bg-BG"/>
        </w:rPr>
        <w:t>Този ефект е съпоставим с този на други гиразни инхибитори.</w:t>
      </w:r>
    </w:p>
    <w:p w14:paraId="31FB6F6B" w14:textId="77777777" w:rsidR="00D92520" w:rsidRPr="00D92520" w:rsidRDefault="00D92520" w:rsidP="00D92520">
      <w:pPr>
        <w:spacing w:line="240" w:lineRule="auto"/>
        <w:rPr>
          <w:rFonts w:eastAsia="Times New Roman" w:cs="Arial"/>
          <w:color w:val="000000"/>
          <w:szCs w:val="20"/>
          <w:u w:val="single"/>
          <w:lang w:eastAsia="bg-BG"/>
        </w:rPr>
      </w:pPr>
    </w:p>
    <w:p w14:paraId="00D4A930" w14:textId="230C829C"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u w:val="single"/>
          <w:lang w:eastAsia="bg-BG"/>
        </w:rPr>
        <w:t>Поносимост по отношение на ставите:</w:t>
      </w:r>
    </w:p>
    <w:p w14:paraId="52E4D01A" w14:textId="796B4394" w:rsidR="0091385D" w:rsidRPr="00D92520" w:rsidRDefault="00D92520" w:rsidP="00D92520">
      <w:pPr>
        <w:rPr>
          <w:rFonts w:cs="Arial"/>
          <w:sz w:val="24"/>
        </w:rPr>
      </w:pPr>
      <w:r w:rsidRPr="00D92520">
        <w:rPr>
          <w:rFonts w:eastAsia="Times New Roman" w:cs="Arial"/>
          <w:color w:val="000000"/>
          <w:szCs w:val="20"/>
          <w:lang w:eastAsia="bg-BG"/>
        </w:rPr>
        <w:t>Както е съобщено за други гиразни инхибитори, ципрофлоксацин причинява увреждане на големите носещи стави при животни с незавършен растеж. Степента на увреждане на хрущяла варира според възрастта, животинския вид и дозата; увреждането може да се намали ако ставите не се натоварват. Проучванията при зрели животни (плъхове, кучета) не показват данни за увреждане на хрущялите. При едно проучване при млади кучета от порода бийгьл ципрофлоксацин е довел до тежки промени в ставите при прилагане на терапевтични дози в продължение на 2 седмици, които все още се наблюдават и след 5 месеца.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7730528"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Екофарм Груп АД</w:t>
      </w:r>
    </w:p>
    <w:p w14:paraId="52999C8F"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ул. Атанас Дуков №29, ет. 3</w:t>
      </w:r>
    </w:p>
    <w:p w14:paraId="6A17E94C"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1407 София, България</w:t>
      </w:r>
    </w:p>
    <w:p w14:paraId="325DF029"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тел.: (02) 906 90 70</w:t>
      </w:r>
    </w:p>
    <w:p w14:paraId="3FD825DB" w14:textId="58D32FC8" w:rsidR="0091385D" w:rsidRPr="00D92520" w:rsidRDefault="00D92520" w:rsidP="00D92520">
      <w:pPr>
        <w:rPr>
          <w:rFonts w:cs="Arial"/>
          <w:sz w:val="24"/>
        </w:rPr>
      </w:pPr>
      <w:r w:rsidRPr="00D92520">
        <w:rPr>
          <w:rFonts w:eastAsia="Times New Roman" w:cs="Arial"/>
          <w:color w:val="000000"/>
          <w:szCs w:val="20"/>
          <w:lang w:eastAsia="bg-BG"/>
        </w:rPr>
        <w:t>факс: (02) 906 90 71</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75DBD30A" w:rsidR="0091385D" w:rsidRPr="00D92520" w:rsidRDefault="00D92520" w:rsidP="0091385D">
      <w:pPr>
        <w:rPr>
          <w:rFonts w:cs="Arial"/>
          <w:sz w:val="24"/>
        </w:rPr>
      </w:pPr>
      <w:r w:rsidRPr="00D92520">
        <w:rPr>
          <w:rFonts w:cs="Arial"/>
          <w:szCs w:val="20"/>
        </w:rPr>
        <w:t>20011265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072540CD" w14:textId="77777777" w:rsidR="00D92520" w:rsidRPr="00D92520" w:rsidRDefault="00D92520" w:rsidP="00D92520">
      <w:pPr>
        <w:spacing w:line="240" w:lineRule="auto"/>
        <w:rPr>
          <w:rFonts w:eastAsia="Times New Roman" w:cs="Arial"/>
          <w:sz w:val="28"/>
          <w:szCs w:val="24"/>
          <w:lang w:eastAsia="bg-BG"/>
        </w:rPr>
      </w:pPr>
      <w:r w:rsidRPr="00D92520">
        <w:rPr>
          <w:rFonts w:eastAsia="Times New Roman" w:cs="Arial"/>
          <w:color w:val="000000"/>
          <w:szCs w:val="20"/>
          <w:lang w:eastAsia="bg-BG"/>
        </w:rPr>
        <w:t>Дата на първо разрешаване: 27.12.2001 г.</w:t>
      </w:r>
    </w:p>
    <w:p w14:paraId="497007FA" w14:textId="3B339AA4" w:rsidR="0091385D" w:rsidRPr="00D92520" w:rsidRDefault="00D92520" w:rsidP="00D92520">
      <w:pPr>
        <w:rPr>
          <w:rFonts w:cs="Arial"/>
          <w:sz w:val="24"/>
        </w:rPr>
      </w:pPr>
      <w:r w:rsidRPr="00D92520">
        <w:rPr>
          <w:rFonts w:eastAsia="Times New Roman" w:cs="Arial"/>
          <w:color w:val="000000"/>
          <w:szCs w:val="20"/>
          <w:lang w:eastAsia="bg-BG"/>
        </w:rPr>
        <w:lastRenderedPageBreak/>
        <w:t>Дата на последно подновяване: 19.09.2012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E68E7"/>
    <w:multiLevelType w:val="hybridMultilevel"/>
    <w:tmpl w:val="6B9CA6B0"/>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74963"/>
    <w:multiLevelType w:val="hybridMultilevel"/>
    <w:tmpl w:val="484851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0C56A9"/>
    <w:multiLevelType w:val="hybridMultilevel"/>
    <w:tmpl w:val="9306FB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879DD"/>
    <w:multiLevelType w:val="hybridMultilevel"/>
    <w:tmpl w:val="89B200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52020"/>
    <w:multiLevelType w:val="hybridMultilevel"/>
    <w:tmpl w:val="7A20B86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4539C"/>
    <w:multiLevelType w:val="hybridMultilevel"/>
    <w:tmpl w:val="9EF46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B1AB9"/>
    <w:multiLevelType w:val="hybridMultilevel"/>
    <w:tmpl w:val="E7207C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A236118"/>
    <w:multiLevelType w:val="hybridMultilevel"/>
    <w:tmpl w:val="2530295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B262F"/>
    <w:multiLevelType w:val="hybridMultilevel"/>
    <w:tmpl w:val="187CBAA8"/>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4"/>
  </w:num>
  <w:num w:numId="12">
    <w:abstractNumId w:val="14"/>
  </w:num>
  <w:num w:numId="13">
    <w:abstractNumId w:val="19"/>
  </w:num>
  <w:num w:numId="14">
    <w:abstractNumId w:val="12"/>
  </w:num>
  <w:num w:numId="15">
    <w:abstractNumId w:val="33"/>
  </w:num>
  <w:num w:numId="16">
    <w:abstractNumId w:val="10"/>
  </w:num>
  <w:num w:numId="17">
    <w:abstractNumId w:val="26"/>
  </w:num>
  <w:num w:numId="18">
    <w:abstractNumId w:val="7"/>
  </w:num>
  <w:num w:numId="19">
    <w:abstractNumId w:val="29"/>
  </w:num>
  <w:num w:numId="20">
    <w:abstractNumId w:val="25"/>
  </w:num>
  <w:num w:numId="21">
    <w:abstractNumId w:val="17"/>
  </w:num>
  <w:num w:numId="22">
    <w:abstractNumId w:val="27"/>
  </w:num>
  <w:num w:numId="23">
    <w:abstractNumId w:val="18"/>
  </w:num>
  <w:num w:numId="24">
    <w:abstractNumId w:val="8"/>
  </w:num>
  <w:num w:numId="25">
    <w:abstractNumId w:val="24"/>
  </w:num>
  <w:num w:numId="26">
    <w:abstractNumId w:val="23"/>
  </w:num>
  <w:num w:numId="27">
    <w:abstractNumId w:val="36"/>
  </w:num>
  <w:num w:numId="28">
    <w:abstractNumId w:val="6"/>
  </w:num>
  <w:num w:numId="29">
    <w:abstractNumId w:val="21"/>
  </w:num>
  <w:num w:numId="30">
    <w:abstractNumId w:val="42"/>
  </w:num>
  <w:num w:numId="31">
    <w:abstractNumId w:val="5"/>
  </w:num>
  <w:num w:numId="32">
    <w:abstractNumId w:val="40"/>
  </w:num>
  <w:num w:numId="33">
    <w:abstractNumId w:val="32"/>
  </w:num>
  <w:num w:numId="34">
    <w:abstractNumId w:val="37"/>
  </w:num>
  <w:num w:numId="35">
    <w:abstractNumId w:val="28"/>
  </w:num>
  <w:num w:numId="36">
    <w:abstractNumId w:val="41"/>
  </w:num>
  <w:num w:numId="37">
    <w:abstractNumId w:val="9"/>
  </w:num>
  <w:num w:numId="38">
    <w:abstractNumId w:val="22"/>
  </w:num>
  <w:num w:numId="39">
    <w:abstractNumId w:val="38"/>
  </w:num>
  <w:num w:numId="40">
    <w:abstractNumId w:val="35"/>
  </w:num>
  <w:num w:numId="41">
    <w:abstractNumId w:val="20"/>
  </w:num>
  <w:num w:numId="42">
    <w:abstractNumId w:val="3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A30A5"/>
    <w:rsid w:val="003E3126"/>
    <w:rsid w:val="00426E5F"/>
    <w:rsid w:val="00431E5F"/>
    <w:rsid w:val="004A448E"/>
    <w:rsid w:val="004D4D6B"/>
    <w:rsid w:val="004F1CE7"/>
    <w:rsid w:val="004F498A"/>
    <w:rsid w:val="00517A5B"/>
    <w:rsid w:val="00593A00"/>
    <w:rsid w:val="00595C6C"/>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92520"/>
    <w:rsid w:val="00DD466D"/>
    <w:rsid w:val="00EB2EA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7956</Words>
  <Characters>45351</Characters>
  <Application>Microsoft Office Word</Application>
  <DocSecurity>0</DocSecurity>
  <Lines>377</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2022-11-14T10:40:00Z</dcterms:created>
  <dcterms:modified xsi:type="dcterms:W3CDTF">2022-11-14T10:40:00Z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