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9ACBFDA"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 xml:space="preserve">Ципрофлоксацин Софарма 500 </w:t>
      </w:r>
      <w:r w:rsidRPr="00C316B4">
        <w:rPr>
          <w:rFonts w:eastAsia="Times New Roman" w:cs="Arial"/>
          <w:color w:val="000000"/>
          <w:lang w:val="en-US"/>
        </w:rPr>
        <w:t xml:space="preserve">mg </w:t>
      </w:r>
      <w:r w:rsidRPr="00C316B4">
        <w:rPr>
          <w:rFonts w:eastAsia="Times New Roman" w:cs="Arial"/>
          <w:color w:val="000000"/>
          <w:lang w:eastAsia="bg-BG"/>
        </w:rPr>
        <w:t>филмирани таблетки</w:t>
      </w:r>
    </w:p>
    <w:p w14:paraId="5015A1FD" w14:textId="4348C51E" w:rsidR="00A73575" w:rsidRPr="00C316B4" w:rsidRDefault="00C316B4" w:rsidP="00C316B4">
      <w:pPr>
        <w:rPr>
          <w:rFonts w:cs="Arial"/>
        </w:rPr>
      </w:pPr>
      <w:r w:rsidRPr="00C316B4">
        <w:rPr>
          <w:rFonts w:eastAsia="Times New Roman" w:cs="Arial"/>
          <w:color w:val="000000"/>
          <w:lang w:val="en-US"/>
        </w:rPr>
        <w:t xml:space="preserve">Ciprofloxacin </w:t>
      </w:r>
      <w:proofErr w:type="spellStart"/>
      <w:r w:rsidRPr="00C316B4">
        <w:rPr>
          <w:rFonts w:eastAsia="Times New Roman" w:cs="Arial"/>
          <w:color w:val="000000"/>
          <w:lang w:val="en-US"/>
        </w:rPr>
        <w:t>Sopharma</w:t>
      </w:r>
      <w:proofErr w:type="spellEnd"/>
      <w:r w:rsidRPr="00C316B4">
        <w:rPr>
          <w:rFonts w:eastAsia="Times New Roman" w:cs="Arial"/>
          <w:color w:val="000000"/>
          <w:lang w:val="en-US"/>
        </w:rPr>
        <w:t xml:space="preserve"> </w:t>
      </w:r>
      <w:r w:rsidRPr="00C316B4">
        <w:rPr>
          <w:rFonts w:eastAsia="Times New Roman" w:cs="Arial"/>
          <w:color w:val="000000"/>
          <w:lang w:eastAsia="bg-BG"/>
        </w:rPr>
        <w:t xml:space="preserve">500 </w:t>
      </w:r>
      <w:r w:rsidRPr="00C316B4">
        <w:rPr>
          <w:rFonts w:eastAsia="Times New Roman" w:cs="Arial"/>
          <w:color w:val="00000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70E7D523"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 xml:space="preserve">Всяка филмирана таблетка съдържа активно вещество ципрофлоксацинов хидрохлорид </w:t>
      </w:r>
      <w:r w:rsidRPr="00C316B4">
        <w:rPr>
          <w:rFonts w:eastAsia="Times New Roman" w:cs="Arial"/>
          <w:color w:val="000000"/>
          <w:lang w:val="en-US"/>
        </w:rPr>
        <w:t xml:space="preserve">(ciprofloxacin hydrochloride), </w:t>
      </w:r>
      <w:r w:rsidRPr="00C316B4">
        <w:rPr>
          <w:rFonts w:eastAsia="Times New Roman" w:cs="Arial"/>
          <w:color w:val="000000"/>
          <w:lang w:eastAsia="bg-BG"/>
        </w:rPr>
        <w:t xml:space="preserve">еквивалентно на ципрофлоксацин </w:t>
      </w:r>
      <w:r w:rsidRPr="00C316B4">
        <w:rPr>
          <w:rFonts w:eastAsia="Times New Roman" w:cs="Arial"/>
          <w:color w:val="000000"/>
          <w:lang w:val="en-US"/>
        </w:rPr>
        <w:t xml:space="preserve">(ciprofloxacin) </w:t>
      </w:r>
      <w:r w:rsidRPr="00C316B4">
        <w:rPr>
          <w:rFonts w:eastAsia="Times New Roman" w:cs="Arial"/>
          <w:color w:val="000000"/>
          <w:lang w:eastAsia="bg-BG"/>
        </w:rPr>
        <w:t xml:space="preserve">500 </w:t>
      </w:r>
      <w:r w:rsidRPr="00C316B4">
        <w:rPr>
          <w:rFonts w:eastAsia="Times New Roman" w:cs="Arial"/>
          <w:color w:val="000000"/>
          <w:lang w:val="en-US"/>
        </w:rPr>
        <w:t xml:space="preserve">mg. </w:t>
      </w:r>
      <w:r w:rsidRPr="00C316B4">
        <w:rPr>
          <w:rFonts w:eastAsia="Times New Roman" w:cs="Arial"/>
          <w:color w:val="000000"/>
          <w:u w:val="single"/>
          <w:lang w:eastAsia="bg-BG"/>
        </w:rPr>
        <w:t>Помощни вещества с известно действие:</w:t>
      </w:r>
      <w:r w:rsidRPr="00C316B4">
        <w:rPr>
          <w:rFonts w:eastAsia="Times New Roman" w:cs="Arial"/>
          <w:color w:val="000000"/>
          <w:lang w:eastAsia="bg-BG"/>
        </w:rPr>
        <w:t xml:space="preserve"> пшенично нишесте, лактоза монохидрат.</w:t>
      </w:r>
    </w:p>
    <w:p w14:paraId="1740C418" w14:textId="77777777" w:rsidR="00C316B4" w:rsidRPr="00C316B4" w:rsidRDefault="00C316B4" w:rsidP="00C316B4">
      <w:pPr>
        <w:rPr>
          <w:rFonts w:eastAsia="Times New Roman" w:cs="Arial"/>
          <w:color w:val="000000"/>
          <w:lang w:eastAsia="bg-BG"/>
        </w:rPr>
      </w:pPr>
    </w:p>
    <w:p w14:paraId="03110A50" w14:textId="6040210C" w:rsidR="0091385D" w:rsidRPr="00C316B4" w:rsidRDefault="00C316B4" w:rsidP="00C316B4">
      <w:pPr>
        <w:rPr>
          <w:rFonts w:cs="Arial"/>
        </w:rPr>
      </w:pPr>
      <w:r w:rsidRPr="00C316B4">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78D270C"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Филмирана таблетка.</w:t>
      </w:r>
    </w:p>
    <w:p w14:paraId="4129ADBB" w14:textId="5D1FE1AE" w:rsidR="0091385D" w:rsidRPr="00C316B4" w:rsidRDefault="00C316B4" w:rsidP="00C316B4">
      <w:pPr>
        <w:rPr>
          <w:rFonts w:cs="Arial"/>
        </w:rPr>
      </w:pPr>
      <w:r w:rsidRPr="00C316B4">
        <w:rPr>
          <w:rFonts w:eastAsia="Times New Roman" w:cs="Arial"/>
          <w:color w:val="000000"/>
          <w:lang w:eastAsia="bg-BG"/>
        </w:rPr>
        <w:t xml:space="preserve">Бели, до почти бели таблетки, двойно изпъкнали, с правилна кръгла форма и диаметър 13 </w:t>
      </w:r>
      <w:r w:rsidRPr="00C316B4">
        <w:rPr>
          <w:rFonts w:eastAsia="Times New Roman" w:cs="Arial"/>
          <w:color w:val="000000"/>
          <w:lang w:val="en-US"/>
        </w:rPr>
        <w:t xml:space="preserve">mm. </w:t>
      </w:r>
      <w:r w:rsidRPr="00C316B4">
        <w:rPr>
          <w:rFonts w:eastAsia="Times New Roman" w:cs="Arial"/>
          <w:color w:val="000000"/>
          <w:lang w:eastAsia="bg-BG"/>
        </w:rPr>
        <w:t>Не се делят.</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4C69DFDC"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 xml:space="preserve">Филмираните таблетки Ципрофлоксацин Софарма 500 </w:t>
      </w:r>
      <w:r w:rsidRPr="00C316B4">
        <w:rPr>
          <w:rFonts w:eastAsia="Times New Roman" w:cs="Arial"/>
          <w:color w:val="000000"/>
          <w:lang w:val="en-US"/>
        </w:rPr>
        <w:t xml:space="preserve">mg </w:t>
      </w:r>
      <w:r w:rsidRPr="00C316B4">
        <w:rPr>
          <w:rFonts w:eastAsia="Times New Roman" w:cs="Arial"/>
          <w:color w:val="000000"/>
          <w:lang w:eastAsia="bg-BG"/>
        </w:rPr>
        <w:t>са предназначени за лечение на следните инфекции (вж. т. 4.4 и 5.1). Преди започване на лечението е необходимо да се обърне специално внимание на наличната информация за резистентност към ципрофлоксацин.</w:t>
      </w:r>
    </w:p>
    <w:p w14:paraId="1EB9FA22" w14:textId="77777777" w:rsidR="00C316B4" w:rsidRPr="00C316B4" w:rsidRDefault="00C316B4" w:rsidP="00C316B4">
      <w:pPr>
        <w:spacing w:line="240" w:lineRule="auto"/>
        <w:rPr>
          <w:rFonts w:eastAsia="Times New Roman" w:cs="Arial"/>
          <w:i/>
          <w:iCs/>
          <w:color w:val="000000"/>
          <w:u w:val="single"/>
          <w:lang w:eastAsia="bg-BG"/>
        </w:rPr>
      </w:pPr>
    </w:p>
    <w:p w14:paraId="14BDD9DC" w14:textId="47839A0F" w:rsidR="00C316B4" w:rsidRPr="00C316B4" w:rsidRDefault="00C316B4" w:rsidP="00C316B4">
      <w:pPr>
        <w:spacing w:line="240" w:lineRule="auto"/>
        <w:rPr>
          <w:rFonts w:eastAsia="Times New Roman" w:cs="Arial"/>
          <w:sz w:val="24"/>
          <w:szCs w:val="24"/>
          <w:lang w:eastAsia="bg-BG"/>
        </w:rPr>
      </w:pPr>
      <w:r w:rsidRPr="00C316B4">
        <w:rPr>
          <w:rFonts w:eastAsia="Times New Roman" w:cs="Arial"/>
          <w:i/>
          <w:iCs/>
          <w:color w:val="000000"/>
          <w:u w:val="single"/>
          <w:lang w:eastAsia="bg-BG"/>
        </w:rPr>
        <w:t>Възрастни</w:t>
      </w:r>
    </w:p>
    <w:p w14:paraId="525B85B7" w14:textId="5FBDA52B"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val="en-US" w:eastAsia="bg-BG"/>
        </w:rPr>
        <w:t>-</w:t>
      </w:r>
      <w:r w:rsidRPr="00C316B4">
        <w:rPr>
          <w:rFonts w:eastAsia="Times New Roman" w:cs="Arial"/>
          <w:color w:val="000000"/>
          <w:lang w:eastAsia="bg-BG"/>
        </w:rPr>
        <w:t>Инфекции на долните дихателни пътища, причинени от Грам-отрицателни бактерии:</w:t>
      </w:r>
    </w:p>
    <w:p w14:paraId="0EB10D4F" w14:textId="77777777" w:rsidR="00C316B4" w:rsidRPr="00C316B4" w:rsidRDefault="00C316B4" w:rsidP="00C316B4">
      <w:pPr>
        <w:pStyle w:val="ListParagraph"/>
        <w:numPr>
          <w:ilvl w:val="0"/>
          <w:numId w:val="35"/>
        </w:numPr>
        <w:spacing w:line="240" w:lineRule="auto"/>
        <w:rPr>
          <w:rFonts w:eastAsia="Times New Roman" w:cs="Arial"/>
          <w:sz w:val="24"/>
          <w:szCs w:val="24"/>
          <w:lang w:eastAsia="bg-BG"/>
        </w:rPr>
      </w:pPr>
      <w:r w:rsidRPr="00C316B4">
        <w:rPr>
          <w:rFonts w:eastAsia="Times New Roman" w:cs="Arial"/>
          <w:color w:val="000000"/>
          <w:lang w:eastAsia="bg-BG"/>
        </w:rPr>
        <w:t xml:space="preserve">обостряне на хронична обструктивна белодробна болест.При обостряне на хронична обструктивна белодробна болест Ципрофлоксацин Софарма 500 </w:t>
      </w:r>
      <w:r w:rsidRPr="00C316B4">
        <w:rPr>
          <w:rFonts w:eastAsia="Times New Roman" w:cs="Arial"/>
          <w:color w:val="000000"/>
          <w:lang w:val="en-US"/>
        </w:rPr>
        <w:t xml:space="preserve">mg </w:t>
      </w:r>
      <w:r w:rsidRPr="00C316B4">
        <w:rPr>
          <w:rFonts w:eastAsia="Times New Roman" w:cs="Arial"/>
          <w:color w:val="000000"/>
          <w:lang w:eastAsia="bg-BG"/>
        </w:rPr>
        <w:t>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757879D5" w14:textId="77777777" w:rsidR="00C316B4" w:rsidRPr="00C316B4" w:rsidRDefault="00C316B4" w:rsidP="00C316B4">
      <w:pPr>
        <w:pStyle w:val="ListParagraph"/>
        <w:numPr>
          <w:ilvl w:val="0"/>
          <w:numId w:val="35"/>
        </w:numPr>
        <w:spacing w:line="240" w:lineRule="auto"/>
        <w:rPr>
          <w:rFonts w:eastAsia="Times New Roman" w:cs="Arial"/>
          <w:sz w:val="24"/>
          <w:szCs w:val="24"/>
          <w:lang w:eastAsia="bg-BG"/>
        </w:rPr>
      </w:pPr>
      <w:r w:rsidRPr="00C316B4">
        <w:rPr>
          <w:rFonts w:eastAsia="Times New Roman" w:cs="Arial"/>
          <w:color w:val="000000"/>
          <w:lang w:eastAsia="bg-BG"/>
        </w:rPr>
        <w:t>бронхо-пулмонални инфекции при муковисцидоза или при бронхиектазна болест;</w:t>
      </w:r>
    </w:p>
    <w:p w14:paraId="7482ABFC" w14:textId="34A9E9BB" w:rsidR="00C316B4" w:rsidRPr="00C316B4" w:rsidRDefault="00C316B4" w:rsidP="00C316B4">
      <w:pPr>
        <w:pStyle w:val="ListParagraph"/>
        <w:numPr>
          <w:ilvl w:val="0"/>
          <w:numId w:val="35"/>
        </w:numPr>
        <w:spacing w:line="240" w:lineRule="auto"/>
        <w:rPr>
          <w:rFonts w:eastAsia="Times New Roman" w:cs="Arial"/>
          <w:sz w:val="24"/>
          <w:szCs w:val="24"/>
          <w:lang w:eastAsia="bg-BG"/>
        </w:rPr>
      </w:pPr>
      <w:r w:rsidRPr="00C316B4">
        <w:rPr>
          <w:rFonts w:eastAsia="Times New Roman" w:cs="Arial"/>
          <w:color w:val="000000"/>
          <w:lang w:eastAsia="bg-BG"/>
        </w:rPr>
        <w:t xml:space="preserve"> пневмония.</w:t>
      </w:r>
    </w:p>
    <w:p w14:paraId="540CE73E" w14:textId="29E6C47C"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val="en-US" w:eastAsia="bg-BG"/>
        </w:rPr>
        <w:t>-</w:t>
      </w:r>
      <w:r w:rsidRPr="00C316B4">
        <w:rPr>
          <w:rFonts w:eastAsia="Times New Roman" w:cs="Arial"/>
          <w:color w:val="000000"/>
          <w:lang w:eastAsia="bg-BG"/>
        </w:rPr>
        <w:t>Хроничен супуративен отит на средното ухо.</w:t>
      </w:r>
    </w:p>
    <w:p w14:paraId="0E1029BE" w14:textId="150C964D"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val="en-US" w:eastAsia="bg-BG"/>
        </w:rPr>
        <w:lastRenderedPageBreak/>
        <w:t>-</w:t>
      </w:r>
      <w:r w:rsidRPr="00C316B4">
        <w:rPr>
          <w:rFonts w:eastAsia="Times New Roman" w:cs="Arial"/>
          <w:color w:val="000000"/>
          <w:lang w:eastAsia="bg-BG"/>
        </w:rPr>
        <w:t>Екзацербация на хроничен синуит, особено ако е причинен от Грам-отрицателни бактерии.</w:t>
      </w:r>
    </w:p>
    <w:p w14:paraId="1D1E06F0" w14:textId="1EEEC5DE"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val="en-US" w:eastAsia="bg-BG"/>
        </w:rPr>
        <w:t>-</w:t>
      </w:r>
      <w:r w:rsidRPr="00C316B4">
        <w:rPr>
          <w:rFonts w:eastAsia="Times New Roman" w:cs="Arial"/>
          <w:color w:val="000000"/>
          <w:lang w:eastAsia="bg-BG"/>
        </w:rPr>
        <w:t>Инфекции на пикочните пътища:</w:t>
      </w:r>
    </w:p>
    <w:p w14:paraId="4870F2F2" w14:textId="77777777" w:rsidR="00C316B4" w:rsidRPr="00C316B4" w:rsidRDefault="00C316B4" w:rsidP="00C316B4">
      <w:pPr>
        <w:pStyle w:val="ListParagraph"/>
        <w:numPr>
          <w:ilvl w:val="0"/>
          <w:numId w:val="36"/>
        </w:numPr>
        <w:spacing w:line="240" w:lineRule="auto"/>
        <w:rPr>
          <w:rFonts w:eastAsia="Times New Roman" w:cs="Arial"/>
          <w:sz w:val="24"/>
          <w:szCs w:val="24"/>
          <w:lang w:eastAsia="bg-BG"/>
        </w:rPr>
      </w:pPr>
      <w:r w:rsidRPr="00C316B4">
        <w:rPr>
          <w:rFonts w:eastAsia="Times New Roman" w:cs="Arial"/>
          <w:color w:val="000000"/>
          <w:lang w:eastAsia="bg-BG"/>
        </w:rPr>
        <w:t xml:space="preserve">Неусложнен остър цистит. При неусложнен остър цистит Ципрофлоксацин Софарма 500 </w:t>
      </w:r>
      <w:r w:rsidRPr="00C316B4">
        <w:rPr>
          <w:rFonts w:eastAsia="Times New Roman" w:cs="Arial"/>
          <w:color w:val="000000"/>
          <w:lang w:val="en-US"/>
        </w:rPr>
        <w:t xml:space="preserve">mg </w:t>
      </w:r>
      <w:r w:rsidRPr="00C316B4">
        <w:rPr>
          <w:rFonts w:eastAsia="Times New Roman" w:cs="Arial"/>
          <w:color w:val="000000"/>
          <w:lang w:eastAsia="bg-BG"/>
        </w:rPr>
        <w:t>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159A8C95" w14:textId="77777777" w:rsidR="00C316B4" w:rsidRPr="00C316B4" w:rsidRDefault="00C316B4" w:rsidP="00C316B4">
      <w:pPr>
        <w:pStyle w:val="ListParagraph"/>
        <w:numPr>
          <w:ilvl w:val="0"/>
          <w:numId w:val="36"/>
        </w:numPr>
        <w:spacing w:line="240" w:lineRule="auto"/>
        <w:rPr>
          <w:rFonts w:eastAsia="Times New Roman" w:cs="Arial"/>
          <w:sz w:val="24"/>
          <w:szCs w:val="24"/>
          <w:lang w:eastAsia="bg-BG"/>
        </w:rPr>
      </w:pPr>
      <w:r w:rsidRPr="00C316B4">
        <w:rPr>
          <w:rFonts w:eastAsia="Times New Roman" w:cs="Arial"/>
          <w:color w:val="000000"/>
          <w:lang w:eastAsia="bg-BG"/>
        </w:rPr>
        <w:t xml:space="preserve"> Остър пиелонефрит.</w:t>
      </w:r>
    </w:p>
    <w:p w14:paraId="653991AF" w14:textId="77777777" w:rsidR="00C316B4" w:rsidRPr="00C316B4" w:rsidRDefault="00C316B4" w:rsidP="00C316B4">
      <w:pPr>
        <w:pStyle w:val="ListParagraph"/>
        <w:numPr>
          <w:ilvl w:val="0"/>
          <w:numId w:val="36"/>
        </w:numPr>
        <w:spacing w:line="240" w:lineRule="auto"/>
        <w:rPr>
          <w:rFonts w:eastAsia="Times New Roman" w:cs="Arial"/>
          <w:sz w:val="24"/>
          <w:szCs w:val="24"/>
          <w:lang w:eastAsia="bg-BG"/>
        </w:rPr>
      </w:pPr>
      <w:r w:rsidRPr="00C316B4">
        <w:rPr>
          <w:rFonts w:eastAsia="Times New Roman" w:cs="Arial"/>
          <w:color w:val="000000"/>
          <w:lang w:eastAsia="bg-BG"/>
        </w:rPr>
        <w:t>Усложнени инфекции на пикочните пътища.</w:t>
      </w:r>
    </w:p>
    <w:p w14:paraId="4854792B" w14:textId="39C56828" w:rsidR="00C316B4" w:rsidRPr="00C316B4" w:rsidRDefault="00C316B4" w:rsidP="00C316B4">
      <w:pPr>
        <w:pStyle w:val="ListParagraph"/>
        <w:numPr>
          <w:ilvl w:val="0"/>
          <w:numId w:val="36"/>
        </w:numPr>
        <w:spacing w:line="240" w:lineRule="auto"/>
        <w:rPr>
          <w:rFonts w:eastAsia="Times New Roman" w:cs="Arial"/>
          <w:sz w:val="24"/>
          <w:szCs w:val="24"/>
          <w:lang w:eastAsia="bg-BG"/>
        </w:rPr>
      </w:pPr>
      <w:r w:rsidRPr="00C316B4">
        <w:rPr>
          <w:rFonts w:eastAsia="Times New Roman" w:cs="Arial"/>
          <w:color w:val="000000"/>
          <w:lang w:eastAsia="bg-BG"/>
        </w:rPr>
        <w:t>Бактериален простатит.</w:t>
      </w:r>
    </w:p>
    <w:p w14:paraId="6BB94EB2" w14:textId="6C96C78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val="en-US" w:eastAsia="bg-BG"/>
        </w:rPr>
        <w:t>-</w:t>
      </w:r>
      <w:r w:rsidRPr="00C316B4">
        <w:rPr>
          <w:rFonts w:eastAsia="Times New Roman" w:cs="Arial"/>
          <w:color w:val="000000"/>
          <w:lang w:eastAsia="bg-BG"/>
        </w:rPr>
        <w:t>Инфекции на гениталния тракт:</w:t>
      </w:r>
    </w:p>
    <w:p w14:paraId="7A563155" w14:textId="77777777" w:rsidR="00C316B4" w:rsidRPr="00C316B4" w:rsidRDefault="00C316B4" w:rsidP="00C316B4">
      <w:pPr>
        <w:pStyle w:val="ListParagraph"/>
        <w:numPr>
          <w:ilvl w:val="0"/>
          <w:numId w:val="37"/>
        </w:numPr>
        <w:spacing w:line="240" w:lineRule="auto"/>
        <w:rPr>
          <w:rFonts w:eastAsia="Times New Roman" w:cs="Arial"/>
          <w:color w:val="000000"/>
          <w:lang w:eastAsia="bg-BG"/>
        </w:rPr>
      </w:pPr>
      <w:r w:rsidRPr="00C316B4">
        <w:rPr>
          <w:rFonts w:eastAsia="Times New Roman" w:cs="Arial"/>
          <w:color w:val="000000"/>
          <w:lang w:eastAsia="bg-BG"/>
        </w:rPr>
        <w:t xml:space="preserve">гонококов уретрит и цервицит, причинени от чувствителна към ципрофлоксацин </w:t>
      </w:r>
      <w:r w:rsidRPr="00C316B4">
        <w:rPr>
          <w:rFonts w:eastAsia="Times New Roman" w:cs="Arial"/>
          <w:i/>
          <w:iCs/>
          <w:color w:val="000000"/>
          <w:lang w:val="en-US"/>
        </w:rPr>
        <w:t xml:space="preserve">Neisseria </w:t>
      </w:r>
      <w:proofErr w:type="spellStart"/>
      <w:r w:rsidRPr="00C316B4">
        <w:rPr>
          <w:rFonts w:eastAsia="Times New Roman" w:cs="Arial"/>
          <w:i/>
          <w:iCs/>
          <w:color w:val="000000"/>
          <w:lang w:val="en-US"/>
        </w:rPr>
        <w:t>gonorrhoeae</w:t>
      </w:r>
      <w:proofErr w:type="spellEnd"/>
      <w:r w:rsidRPr="00C316B4">
        <w:rPr>
          <w:rFonts w:eastAsia="Times New Roman" w:cs="Arial"/>
          <w:i/>
          <w:iCs/>
          <w:color w:val="000000"/>
          <w:lang w:val="en-US"/>
        </w:rPr>
        <w:t>;</w:t>
      </w:r>
    </w:p>
    <w:p w14:paraId="6EE3AB09" w14:textId="5D074104" w:rsidR="00C316B4" w:rsidRPr="00C316B4" w:rsidRDefault="00C316B4" w:rsidP="00C316B4">
      <w:pPr>
        <w:pStyle w:val="ListParagraph"/>
        <w:numPr>
          <w:ilvl w:val="0"/>
          <w:numId w:val="37"/>
        </w:numPr>
        <w:spacing w:line="240" w:lineRule="auto"/>
        <w:rPr>
          <w:rFonts w:eastAsia="Times New Roman" w:cs="Arial"/>
          <w:color w:val="000000"/>
          <w:lang w:eastAsia="bg-BG"/>
        </w:rPr>
      </w:pPr>
      <w:r w:rsidRPr="00C316B4">
        <w:rPr>
          <w:rFonts w:eastAsia="Times New Roman" w:cs="Arial"/>
          <w:color w:val="000000"/>
          <w:lang w:eastAsia="bg-BG"/>
        </w:rPr>
        <w:t>орхиепидидимит, включително случаи, причинени от чувствителна към</w:t>
      </w:r>
    </w:p>
    <w:p w14:paraId="33DF74E6" w14:textId="77777777" w:rsidR="00C316B4" w:rsidRDefault="00C316B4" w:rsidP="00C316B4">
      <w:pPr>
        <w:rPr>
          <w:rFonts w:cs="Arial"/>
        </w:rPr>
      </w:pPr>
      <w:r w:rsidRPr="00C316B4">
        <w:rPr>
          <w:rFonts w:eastAsia="Times New Roman" w:cs="Arial"/>
          <w:color w:val="000000"/>
          <w:lang w:eastAsia="bg-BG"/>
        </w:rPr>
        <w:t xml:space="preserve">ципрофлоксацин </w:t>
      </w:r>
      <w:r w:rsidRPr="00C316B4">
        <w:rPr>
          <w:rFonts w:eastAsia="Times New Roman" w:cs="Arial"/>
          <w:i/>
          <w:iCs/>
          <w:color w:val="000000"/>
          <w:lang w:val="en-US"/>
        </w:rPr>
        <w:t xml:space="preserve">Neisseria </w:t>
      </w:r>
      <w:proofErr w:type="spellStart"/>
      <w:r w:rsidRPr="00C316B4">
        <w:rPr>
          <w:rFonts w:eastAsia="Times New Roman" w:cs="Arial"/>
          <w:i/>
          <w:iCs/>
          <w:color w:val="000000"/>
          <w:lang w:val="en-US"/>
        </w:rPr>
        <w:t>gonorrhoeae</w:t>
      </w:r>
      <w:proofErr w:type="spellEnd"/>
      <w:r w:rsidRPr="00C316B4">
        <w:rPr>
          <w:rFonts w:eastAsia="Times New Roman" w:cs="Arial"/>
          <w:i/>
          <w:iCs/>
          <w:color w:val="000000"/>
          <w:lang w:val="en-US"/>
        </w:rPr>
        <w:t>;</w:t>
      </w:r>
    </w:p>
    <w:p w14:paraId="08182269" w14:textId="28ADF011" w:rsidR="00C316B4" w:rsidRPr="00C316B4" w:rsidRDefault="00C316B4" w:rsidP="00C316B4">
      <w:pPr>
        <w:pStyle w:val="ListParagraph"/>
        <w:numPr>
          <w:ilvl w:val="0"/>
          <w:numId w:val="38"/>
        </w:numPr>
        <w:rPr>
          <w:rFonts w:cs="Arial"/>
        </w:rPr>
      </w:pPr>
      <w:r w:rsidRPr="00C316B4">
        <w:rPr>
          <w:rFonts w:eastAsia="Times New Roman" w:cs="Arial"/>
          <w:color w:val="000000"/>
          <w:lang w:eastAsia="bg-BG"/>
        </w:rPr>
        <w:t xml:space="preserve">възпалително заболяване на тазовите органи, включително случаи, причинени от чувствителна към ципрофлоксацин </w:t>
      </w:r>
      <w:r w:rsidRPr="00C316B4">
        <w:rPr>
          <w:rFonts w:eastAsia="Times New Roman" w:cs="Arial"/>
          <w:i/>
          <w:iCs/>
          <w:color w:val="000000"/>
          <w:lang w:val="en-US"/>
        </w:rPr>
        <w:t xml:space="preserve">Neisseria </w:t>
      </w:r>
      <w:proofErr w:type="spellStart"/>
      <w:r w:rsidRPr="00C316B4">
        <w:rPr>
          <w:rFonts w:eastAsia="Times New Roman" w:cs="Arial"/>
          <w:i/>
          <w:iCs/>
          <w:color w:val="000000"/>
          <w:lang w:val="en-US"/>
        </w:rPr>
        <w:t>gonorrhoeae</w:t>
      </w:r>
      <w:proofErr w:type="spellEnd"/>
      <w:r w:rsidRPr="00C316B4">
        <w:rPr>
          <w:rFonts w:eastAsia="Times New Roman" w:cs="Arial"/>
          <w:i/>
          <w:iCs/>
          <w:color w:val="000000"/>
          <w:lang w:val="en-US"/>
        </w:rPr>
        <w:t>;</w:t>
      </w:r>
    </w:p>
    <w:p w14:paraId="0E5D8815" w14:textId="77777777" w:rsidR="00C316B4" w:rsidRPr="00C316B4" w:rsidRDefault="00C316B4" w:rsidP="00C316B4">
      <w:pPr>
        <w:spacing w:line="240" w:lineRule="auto"/>
        <w:rPr>
          <w:rFonts w:eastAsia="Times New Roman" w:cs="Arial"/>
          <w:color w:val="000000"/>
          <w:lang w:eastAsia="bg-BG"/>
        </w:rPr>
      </w:pPr>
      <w:r w:rsidRPr="00C316B4">
        <w:rPr>
          <w:rFonts w:eastAsia="Times New Roman" w:cs="Arial"/>
          <w:color w:val="000000"/>
          <w:lang w:eastAsia="bg-BG"/>
        </w:rPr>
        <w:t xml:space="preserve">-Инфекции на стомашно-чревния тракт (т.н. диария на пътешествениците). </w:t>
      </w:r>
    </w:p>
    <w:p w14:paraId="20ECBDEF" w14:textId="1B57B23D"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-Интраабдоминални инфекции.</w:t>
      </w:r>
    </w:p>
    <w:p w14:paraId="19393F74" w14:textId="77777777" w:rsidR="00C316B4" w:rsidRPr="00C316B4" w:rsidRDefault="00C316B4" w:rsidP="00C316B4">
      <w:pPr>
        <w:spacing w:line="240" w:lineRule="auto"/>
        <w:rPr>
          <w:rFonts w:eastAsia="Times New Roman" w:cs="Arial"/>
          <w:color w:val="000000"/>
          <w:lang w:eastAsia="bg-BG"/>
        </w:rPr>
      </w:pPr>
      <w:r w:rsidRPr="00C316B4">
        <w:rPr>
          <w:rFonts w:eastAsia="Times New Roman" w:cs="Arial"/>
          <w:color w:val="000000"/>
          <w:lang w:eastAsia="bg-BG"/>
        </w:rPr>
        <w:t xml:space="preserve">-Инфекции на кожата и меките тъкани, причинени от Грам-отрицателни бактерии. </w:t>
      </w:r>
    </w:p>
    <w:p w14:paraId="353F3E9C" w14:textId="353A50C4"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-Малигнен външен отит.</w:t>
      </w:r>
    </w:p>
    <w:p w14:paraId="5651B6C5"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-Инфекции на костите и ставите.</w:t>
      </w:r>
    </w:p>
    <w:p w14:paraId="01BC1383" w14:textId="77777777" w:rsidR="00C316B4" w:rsidRPr="00C316B4" w:rsidRDefault="00C316B4" w:rsidP="00C316B4">
      <w:pPr>
        <w:spacing w:line="240" w:lineRule="auto"/>
        <w:rPr>
          <w:rFonts w:eastAsia="Times New Roman" w:cs="Arial"/>
          <w:i/>
          <w:iCs/>
          <w:color w:val="000000"/>
          <w:lang w:val="en-US"/>
        </w:rPr>
      </w:pPr>
      <w:r w:rsidRPr="00C316B4">
        <w:rPr>
          <w:rFonts w:eastAsia="Times New Roman" w:cs="Arial"/>
          <w:color w:val="000000"/>
          <w:lang w:eastAsia="bg-BG"/>
        </w:rPr>
        <w:t xml:space="preserve">-Профилактика на инвазивни инфекции, причинени от </w:t>
      </w:r>
      <w:r w:rsidRPr="00C316B4">
        <w:rPr>
          <w:rFonts w:eastAsia="Times New Roman" w:cs="Arial"/>
          <w:i/>
          <w:iCs/>
          <w:color w:val="000000"/>
          <w:lang w:val="en-US"/>
        </w:rPr>
        <w:t xml:space="preserve">Neisseria </w:t>
      </w:r>
      <w:proofErr w:type="spellStart"/>
      <w:r w:rsidRPr="00C316B4">
        <w:rPr>
          <w:rFonts w:eastAsia="Times New Roman" w:cs="Arial"/>
          <w:i/>
          <w:iCs/>
          <w:color w:val="000000"/>
          <w:lang w:val="en-US"/>
        </w:rPr>
        <w:t>meningitidis</w:t>
      </w:r>
      <w:proofErr w:type="spellEnd"/>
      <w:r w:rsidRPr="00C316B4">
        <w:rPr>
          <w:rFonts w:eastAsia="Times New Roman" w:cs="Arial"/>
          <w:i/>
          <w:iCs/>
          <w:color w:val="000000"/>
          <w:lang w:val="en-US"/>
        </w:rPr>
        <w:t xml:space="preserve">, </w:t>
      </w:r>
    </w:p>
    <w:p w14:paraId="17DD8414" w14:textId="44440D39" w:rsidR="00C316B4" w:rsidRPr="00C316B4" w:rsidRDefault="00C316B4" w:rsidP="00C316B4">
      <w:pPr>
        <w:spacing w:line="240" w:lineRule="auto"/>
        <w:rPr>
          <w:rFonts w:eastAsia="Times New Roman" w:cs="Arial"/>
          <w:sz w:val="24"/>
          <w:szCs w:val="24"/>
          <w:lang w:eastAsia="bg-BG"/>
        </w:rPr>
      </w:pPr>
      <w:r w:rsidRPr="00C316B4">
        <w:rPr>
          <w:rFonts w:eastAsia="Times New Roman" w:cs="Arial"/>
          <w:i/>
          <w:iCs/>
          <w:color w:val="000000"/>
          <w:lang w:val="en-US"/>
        </w:rPr>
        <w:t>-</w:t>
      </w:r>
      <w:r w:rsidRPr="00C316B4">
        <w:rPr>
          <w:rFonts w:eastAsia="Times New Roman" w:cs="Arial"/>
          <w:color w:val="000000"/>
          <w:lang w:eastAsia="bg-BG"/>
        </w:rPr>
        <w:t>Инхалаторен антракс (за профилактика след експозиция и лечение).</w:t>
      </w:r>
    </w:p>
    <w:p w14:paraId="49AE018F" w14:textId="77777777" w:rsidR="00C316B4" w:rsidRPr="00C316B4" w:rsidRDefault="00C316B4" w:rsidP="00C316B4">
      <w:pPr>
        <w:spacing w:line="240" w:lineRule="auto"/>
        <w:rPr>
          <w:rFonts w:eastAsia="Times New Roman" w:cs="Arial"/>
          <w:color w:val="000000"/>
          <w:lang w:eastAsia="bg-BG"/>
        </w:rPr>
      </w:pPr>
    </w:p>
    <w:p w14:paraId="2820A4F2" w14:textId="233880B2"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Ципрофлоксацин може да бъде използван при лечението на неутропенични пациенти с повишена температура, когато се предполага, че причината е бактериална инфекция.</w:t>
      </w:r>
    </w:p>
    <w:p w14:paraId="6D2E45CB" w14:textId="77777777" w:rsidR="00C316B4" w:rsidRPr="00C316B4" w:rsidRDefault="00C316B4" w:rsidP="00C316B4">
      <w:pPr>
        <w:spacing w:line="240" w:lineRule="auto"/>
        <w:rPr>
          <w:rFonts w:eastAsia="Times New Roman" w:cs="Arial"/>
          <w:i/>
          <w:iCs/>
          <w:color w:val="000000"/>
          <w:u w:val="single"/>
          <w:lang w:eastAsia="bg-BG"/>
        </w:rPr>
      </w:pPr>
    </w:p>
    <w:p w14:paraId="07649BCE" w14:textId="1C9076E7" w:rsidR="00C316B4" w:rsidRPr="00C316B4" w:rsidRDefault="00C316B4" w:rsidP="00C316B4">
      <w:pPr>
        <w:spacing w:line="240" w:lineRule="auto"/>
        <w:rPr>
          <w:rFonts w:eastAsia="Times New Roman" w:cs="Arial"/>
          <w:sz w:val="24"/>
          <w:szCs w:val="24"/>
          <w:lang w:eastAsia="bg-BG"/>
        </w:rPr>
      </w:pPr>
      <w:r w:rsidRPr="00C316B4">
        <w:rPr>
          <w:rFonts w:eastAsia="Times New Roman" w:cs="Arial"/>
          <w:i/>
          <w:iCs/>
          <w:color w:val="000000"/>
          <w:u w:val="single"/>
          <w:lang w:eastAsia="bg-BG"/>
        </w:rPr>
        <w:t>Педиатрична популация</w:t>
      </w:r>
    </w:p>
    <w:p w14:paraId="15B2E34E" w14:textId="77777777" w:rsidR="00C316B4" w:rsidRPr="00C316B4" w:rsidRDefault="00C316B4" w:rsidP="00C316B4">
      <w:pPr>
        <w:pStyle w:val="ListParagraph"/>
        <w:numPr>
          <w:ilvl w:val="0"/>
          <w:numId w:val="38"/>
        </w:numPr>
        <w:spacing w:line="240" w:lineRule="auto"/>
        <w:rPr>
          <w:rFonts w:eastAsia="Times New Roman" w:cs="Arial"/>
          <w:sz w:val="24"/>
          <w:szCs w:val="24"/>
          <w:lang w:eastAsia="bg-BG"/>
        </w:rPr>
      </w:pPr>
      <w:r w:rsidRPr="00C316B4">
        <w:rPr>
          <w:rFonts w:eastAsia="Times New Roman" w:cs="Arial"/>
          <w:color w:val="000000"/>
          <w:lang w:eastAsia="bg-BG"/>
        </w:rPr>
        <w:t xml:space="preserve">Бронхо-пулмонални инфекции, причинени от </w:t>
      </w:r>
      <w:r w:rsidRPr="00C316B4">
        <w:rPr>
          <w:rFonts w:eastAsia="Times New Roman" w:cs="Arial"/>
          <w:i/>
          <w:iCs/>
          <w:color w:val="000000"/>
          <w:lang w:val="en-US"/>
        </w:rPr>
        <w:t>Pseudomonas aeruginosa,</w:t>
      </w:r>
      <w:r w:rsidRPr="00C316B4">
        <w:rPr>
          <w:rFonts w:eastAsia="Times New Roman" w:cs="Arial"/>
          <w:color w:val="000000"/>
          <w:lang w:val="en-US"/>
        </w:rPr>
        <w:t xml:space="preserve"> </w:t>
      </w:r>
      <w:r w:rsidRPr="00C316B4">
        <w:rPr>
          <w:rFonts w:eastAsia="Times New Roman" w:cs="Arial"/>
          <w:color w:val="000000"/>
          <w:lang w:eastAsia="bg-BG"/>
        </w:rPr>
        <w:t>при пациенти с кистозна фиброза.</w:t>
      </w:r>
    </w:p>
    <w:p w14:paraId="50D9F658" w14:textId="77777777" w:rsidR="00C316B4" w:rsidRPr="00C316B4" w:rsidRDefault="00C316B4" w:rsidP="00C316B4">
      <w:pPr>
        <w:pStyle w:val="ListParagraph"/>
        <w:numPr>
          <w:ilvl w:val="0"/>
          <w:numId w:val="38"/>
        </w:numPr>
        <w:spacing w:line="240" w:lineRule="auto"/>
        <w:rPr>
          <w:rFonts w:eastAsia="Times New Roman" w:cs="Arial"/>
          <w:sz w:val="24"/>
          <w:szCs w:val="24"/>
          <w:lang w:eastAsia="bg-BG"/>
        </w:rPr>
      </w:pPr>
      <w:r w:rsidRPr="00C316B4">
        <w:rPr>
          <w:rFonts w:eastAsia="Times New Roman" w:cs="Arial"/>
          <w:color w:val="000000"/>
          <w:lang w:eastAsia="bg-BG"/>
        </w:rPr>
        <w:t xml:space="preserve">Усложнени инфекции на пикочните пътища и остър пиелонефрит. </w:t>
      </w:r>
    </w:p>
    <w:p w14:paraId="28876872" w14:textId="5CC01B08" w:rsidR="00C316B4" w:rsidRPr="00C316B4" w:rsidRDefault="00C316B4" w:rsidP="00C316B4">
      <w:pPr>
        <w:pStyle w:val="ListParagraph"/>
        <w:numPr>
          <w:ilvl w:val="0"/>
          <w:numId w:val="38"/>
        </w:numPr>
        <w:spacing w:line="240" w:lineRule="auto"/>
        <w:rPr>
          <w:rFonts w:eastAsia="Times New Roman" w:cs="Arial"/>
          <w:sz w:val="24"/>
          <w:szCs w:val="24"/>
          <w:lang w:eastAsia="bg-BG"/>
        </w:rPr>
      </w:pPr>
      <w:r w:rsidRPr="00C316B4">
        <w:rPr>
          <w:rFonts w:eastAsia="Times New Roman" w:cs="Arial"/>
          <w:color w:val="000000"/>
          <w:lang w:eastAsia="bg-BG"/>
        </w:rPr>
        <w:t>Инхалаторен антракс (за профилактика след експозиция и лечение).</w:t>
      </w:r>
    </w:p>
    <w:p w14:paraId="03923F3B" w14:textId="77777777" w:rsidR="00C316B4" w:rsidRPr="00C316B4" w:rsidRDefault="00C316B4" w:rsidP="00C316B4">
      <w:pPr>
        <w:spacing w:line="240" w:lineRule="auto"/>
        <w:rPr>
          <w:rFonts w:eastAsia="Times New Roman" w:cs="Arial"/>
          <w:color w:val="000000"/>
          <w:lang w:eastAsia="bg-BG"/>
        </w:rPr>
      </w:pPr>
    </w:p>
    <w:p w14:paraId="6DBEB0F5" w14:textId="59B80485"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Ципрофлоксацин може да се използва за лечение на тежки инфекции при деца и юноши, когато се счита, че това е необходимо.</w:t>
      </w:r>
    </w:p>
    <w:p w14:paraId="47979526"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Лечението трябва да се провежда само от лекари с опит в лечението на кистозна фиброза и/или тежки инфекции при деца и юноши (вж. т. 4.4 и 5.1).</w:t>
      </w:r>
    </w:p>
    <w:p w14:paraId="45293A8D" w14:textId="77777777" w:rsidR="00C316B4" w:rsidRPr="00C316B4" w:rsidRDefault="00C316B4" w:rsidP="00C316B4">
      <w:pPr>
        <w:rPr>
          <w:rFonts w:eastAsia="Times New Roman" w:cs="Arial"/>
          <w:color w:val="000000"/>
          <w:lang w:eastAsia="bg-BG"/>
        </w:rPr>
      </w:pPr>
    </w:p>
    <w:p w14:paraId="2E19E897" w14:textId="7BA00693" w:rsidR="00C316B4" w:rsidRPr="00C316B4" w:rsidRDefault="00C316B4" w:rsidP="00C316B4">
      <w:pPr>
        <w:rPr>
          <w:rFonts w:cs="Arial"/>
        </w:rPr>
      </w:pPr>
      <w:r w:rsidRPr="00C316B4">
        <w:rPr>
          <w:rFonts w:eastAsia="Times New Roman" w:cs="Arial"/>
          <w:color w:val="000000"/>
          <w:lang w:eastAsia="bg-BG"/>
        </w:rPr>
        <w:t>Трябва да се има предвид официалното ръководство за подходящо използване на антибактериални средства.</w:t>
      </w:r>
    </w:p>
    <w:p w14:paraId="53CE6B0E" w14:textId="77777777" w:rsidR="00C316B4" w:rsidRPr="0091385D" w:rsidRDefault="00C316B4"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3A6750F8" w14:textId="77777777" w:rsidR="00C316B4" w:rsidRPr="007D47DC" w:rsidRDefault="00C316B4" w:rsidP="007D47DC">
      <w:pPr>
        <w:pStyle w:val="Heading3"/>
        <w:rPr>
          <w:rFonts w:eastAsia="Times New Roman"/>
          <w:u w:val="single"/>
          <w:lang w:eastAsia="bg-BG"/>
        </w:rPr>
      </w:pPr>
      <w:r w:rsidRPr="007D47DC">
        <w:rPr>
          <w:rFonts w:eastAsia="Times New Roman"/>
          <w:u w:val="single"/>
          <w:lang w:eastAsia="bg-BG"/>
        </w:rPr>
        <w:t>Дозиров</w:t>
      </w:r>
      <w:bookmarkStart w:id="1" w:name="_GoBack"/>
      <w:bookmarkEnd w:id="1"/>
      <w:r w:rsidRPr="007D47DC">
        <w:rPr>
          <w:rFonts w:eastAsia="Times New Roman"/>
          <w:u w:val="single"/>
          <w:lang w:eastAsia="bg-BG"/>
        </w:rPr>
        <w:t>ка</w:t>
      </w:r>
    </w:p>
    <w:p w14:paraId="289A0B8B"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Дозировката се определя от показанията, тежестта на заболяването, мястото на инфекцията, вида на причинителя, чувствителността му към ципрофлоксацин, бъбречната функция на пациента, както и от телесното тегло при деца и юноши.</w:t>
      </w:r>
    </w:p>
    <w:p w14:paraId="38B997FB"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lastRenderedPageBreak/>
        <w:t>Продължителността на лечението зависи от тежестта на заболяването, от клиничното протичане и данните от микробиологичното изследване.</w:t>
      </w:r>
    </w:p>
    <w:p w14:paraId="430852C6"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 xml:space="preserve">Лечението на инфекции, причинени от определени бактерии (напр. </w:t>
      </w:r>
      <w:r w:rsidRPr="00C316B4">
        <w:rPr>
          <w:rFonts w:eastAsia="Times New Roman" w:cs="Arial"/>
          <w:i/>
          <w:iCs/>
          <w:color w:val="000000"/>
          <w:lang w:val="en-US"/>
        </w:rPr>
        <w:t xml:space="preserve">Pseudomonas aeruginosa, </w:t>
      </w:r>
      <w:proofErr w:type="spellStart"/>
      <w:r w:rsidRPr="00C316B4">
        <w:rPr>
          <w:rFonts w:eastAsia="Times New Roman" w:cs="Arial"/>
          <w:i/>
          <w:iCs/>
          <w:color w:val="000000"/>
          <w:lang w:val="en-US"/>
        </w:rPr>
        <w:t>Acinetobacter</w:t>
      </w:r>
      <w:proofErr w:type="spellEnd"/>
      <w:r w:rsidRPr="00C316B4">
        <w:rPr>
          <w:rFonts w:eastAsia="Times New Roman" w:cs="Arial"/>
          <w:color w:val="000000"/>
          <w:lang w:val="en-US"/>
        </w:rPr>
        <w:t xml:space="preserve"> </w:t>
      </w:r>
      <w:r w:rsidRPr="00C316B4">
        <w:rPr>
          <w:rFonts w:eastAsia="Times New Roman" w:cs="Arial"/>
          <w:color w:val="000000"/>
          <w:lang w:eastAsia="bg-BG"/>
        </w:rPr>
        <w:t xml:space="preserve">или </w:t>
      </w:r>
      <w:r w:rsidRPr="00C316B4">
        <w:rPr>
          <w:rFonts w:eastAsia="Times New Roman" w:cs="Arial"/>
          <w:i/>
          <w:iCs/>
          <w:color w:val="000000"/>
          <w:lang w:val="en-US"/>
        </w:rPr>
        <w:t>Staphylococcus)</w:t>
      </w:r>
      <w:r w:rsidRPr="00C316B4">
        <w:rPr>
          <w:rFonts w:eastAsia="Times New Roman" w:cs="Arial"/>
          <w:color w:val="000000"/>
          <w:lang w:val="en-US"/>
        </w:rPr>
        <w:t xml:space="preserve"> </w:t>
      </w:r>
      <w:r w:rsidRPr="00C316B4">
        <w:rPr>
          <w:rFonts w:eastAsia="Times New Roman" w:cs="Arial"/>
          <w:color w:val="000000"/>
          <w:lang w:eastAsia="bg-BG"/>
        </w:rPr>
        <w:t>може да изисква прилагане на по-високи дози ципрофлоксацин и едновременно прилагане с други подходящи антибактериални средства. Лечението на някои инфекции (напр. възпалителни заболявалия на тазовите органи, интраабдоминални инфекции, инфекции при пациенти с неутропения и инфекции на костите и ставите) може да изисква едновременно прилагане на други подходящи антибактериални средства в зависимост от съответните патогени.</w:t>
      </w:r>
    </w:p>
    <w:p w14:paraId="2958A7BF" w14:textId="77777777" w:rsidR="00C316B4" w:rsidRPr="00C316B4" w:rsidRDefault="00C316B4" w:rsidP="00C316B4">
      <w:pPr>
        <w:rPr>
          <w:rFonts w:eastAsia="Times New Roman" w:cs="Arial"/>
          <w:i/>
          <w:iCs/>
          <w:color w:val="000000"/>
          <w:u w:val="single"/>
          <w:lang w:eastAsia="bg-BG"/>
        </w:rPr>
      </w:pPr>
    </w:p>
    <w:p w14:paraId="475300EC" w14:textId="3B25847E" w:rsidR="0091385D" w:rsidRPr="00C316B4" w:rsidRDefault="00C316B4" w:rsidP="00C316B4">
      <w:pPr>
        <w:rPr>
          <w:rFonts w:cs="Arial"/>
        </w:rPr>
      </w:pPr>
      <w:r w:rsidRPr="00C316B4">
        <w:rPr>
          <w:rFonts w:eastAsia="Times New Roman" w:cs="Arial"/>
          <w:i/>
          <w:iCs/>
          <w:color w:val="000000"/>
          <w:u w:val="single"/>
          <w:lang w:eastAsia="bg-BG"/>
        </w:rPr>
        <w:t>Възрастни</w:t>
      </w:r>
    </w:p>
    <w:p w14:paraId="6ACAF645" w14:textId="2E356C61" w:rsidR="0091385D" w:rsidRDefault="0091385D" w:rsidP="0091385D"/>
    <w:tbl>
      <w:tblPr>
        <w:tblStyle w:val="TableGrid"/>
        <w:tblW w:w="0" w:type="auto"/>
        <w:tblLook w:val="04A0" w:firstRow="1" w:lastRow="0" w:firstColumn="1" w:lastColumn="0" w:noHBand="0" w:noVBand="1"/>
      </w:tblPr>
      <w:tblGrid>
        <w:gridCol w:w="2375"/>
        <w:gridCol w:w="2375"/>
        <w:gridCol w:w="2375"/>
        <w:gridCol w:w="2375"/>
      </w:tblGrid>
      <w:tr w:rsidR="00C316B4" w14:paraId="2BB81CB0" w14:textId="77777777" w:rsidTr="007D47DC">
        <w:tc>
          <w:tcPr>
            <w:tcW w:w="4750" w:type="dxa"/>
            <w:gridSpan w:val="2"/>
          </w:tcPr>
          <w:p w14:paraId="0D2E9745" w14:textId="3E30A084" w:rsidR="00C316B4" w:rsidRDefault="00C316B4" w:rsidP="00C316B4">
            <w:r>
              <w:rPr>
                <w:b/>
                <w:bCs/>
              </w:rPr>
              <w:t>Показания</w:t>
            </w:r>
          </w:p>
        </w:tc>
        <w:tc>
          <w:tcPr>
            <w:tcW w:w="2375" w:type="dxa"/>
          </w:tcPr>
          <w:p w14:paraId="4F6DEA90" w14:textId="6A8AAF5C" w:rsidR="00C316B4" w:rsidRDefault="00C316B4" w:rsidP="00C316B4">
            <w:r>
              <w:rPr>
                <w:b/>
                <w:bCs/>
              </w:rPr>
              <w:t xml:space="preserve">Дневна доза в </w:t>
            </w:r>
            <w:r>
              <w:rPr>
                <w:b/>
                <w:bCs/>
                <w:lang w:val="en-US"/>
              </w:rPr>
              <w:t>mg</w:t>
            </w:r>
          </w:p>
        </w:tc>
        <w:tc>
          <w:tcPr>
            <w:tcW w:w="2375" w:type="dxa"/>
          </w:tcPr>
          <w:p w14:paraId="46CC6E81" w14:textId="65763A3B" w:rsidR="00C316B4" w:rsidRDefault="00C316B4" w:rsidP="00C316B4">
            <w:r>
              <w:rPr>
                <w:b/>
                <w:bCs/>
              </w:rPr>
              <w:t>Обща продължителност на лечението (потенциално включващо начално парентерално лечение с ципрофлоксацин)</w:t>
            </w:r>
          </w:p>
        </w:tc>
      </w:tr>
      <w:tr w:rsidR="00C316B4" w14:paraId="75670886" w14:textId="77777777" w:rsidTr="007D47DC">
        <w:tc>
          <w:tcPr>
            <w:tcW w:w="4750" w:type="dxa"/>
            <w:gridSpan w:val="2"/>
          </w:tcPr>
          <w:p w14:paraId="6B5FFFE6" w14:textId="03A4D329" w:rsidR="00C316B4" w:rsidRPr="00C316B4" w:rsidRDefault="00C316B4" w:rsidP="00C316B4">
            <w:pPr>
              <w:rPr>
                <w:rFonts w:cs="Arial"/>
              </w:rPr>
            </w:pPr>
            <w:r w:rsidRPr="00C316B4">
              <w:rPr>
                <w:rFonts w:cs="Arial"/>
              </w:rPr>
              <w:t>Инфекции на долните дихателни пътища</w:t>
            </w:r>
          </w:p>
        </w:tc>
        <w:tc>
          <w:tcPr>
            <w:tcW w:w="2375" w:type="dxa"/>
          </w:tcPr>
          <w:p w14:paraId="5CE90D6B" w14:textId="65458AAF" w:rsidR="00C316B4" w:rsidRPr="00C316B4" w:rsidRDefault="00C316B4" w:rsidP="00C316B4">
            <w:pPr>
              <w:rPr>
                <w:rFonts w:cs="Arial"/>
              </w:rPr>
            </w:pPr>
            <w:r w:rsidRPr="00C316B4">
              <w:rPr>
                <w:rFonts w:cs="Arial"/>
              </w:rPr>
              <w:t xml:space="preserve">500 </w:t>
            </w:r>
            <w:r w:rsidRPr="00C316B4">
              <w:rPr>
                <w:rFonts w:cs="Arial"/>
                <w:lang w:val="en-US"/>
              </w:rPr>
              <w:t xml:space="preserve">mg </w:t>
            </w:r>
            <w:r w:rsidRPr="00C316B4">
              <w:rPr>
                <w:rFonts w:cs="Arial"/>
              </w:rPr>
              <w:t xml:space="preserve">2 пъти дневно до 750 </w:t>
            </w:r>
            <w:r w:rsidRPr="00C316B4">
              <w:rPr>
                <w:rFonts w:cs="Arial"/>
                <w:lang w:val="en-US"/>
              </w:rPr>
              <w:t xml:space="preserve">mg </w:t>
            </w:r>
            <w:r w:rsidRPr="00C316B4">
              <w:rPr>
                <w:rFonts w:cs="Arial"/>
              </w:rPr>
              <w:t>2 пъти дневно</w:t>
            </w:r>
          </w:p>
        </w:tc>
        <w:tc>
          <w:tcPr>
            <w:tcW w:w="2375" w:type="dxa"/>
          </w:tcPr>
          <w:p w14:paraId="73B4AD3E" w14:textId="37E63DA8" w:rsidR="00C316B4" w:rsidRPr="00C316B4" w:rsidRDefault="00C316B4" w:rsidP="00C316B4">
            <w:pPr>
              <w:rPr>
                <w:rFonts w:cs="Arial"/>
              </w:rPr>
            </w:pPr>
            <w:r w:rsidRPr="00C316B4">
              <w:rPr>
                <w:rFonts w:cs="Arial"/>
              </w:rPr>
              <w:t>7 до 14 дни</w:t>
            </w:r>
          </w:p>
        </w:tc>
      </w:tr>
      <w:tr w:rsidR="00C316B4" w14:paraId="28CC115E" w14:textId="77777777" w:rsidTr="00C316B4">
        <w:tc>
          <w:tcPr>
            <w:tcW w:w="2375" w:type="dxa"/>
            <w:vMerge w:val="restart"/>
          </w:tcPr>
          <w:p w14:paraId="0CBEF731" w14:textId="6FB094A3" w:rsidR="00C316B4" w:rsidRPr="00C316B4" w:rsidRDefault="00C316B4" w:rsidP="00C316B4">
            <w:pPr>
              <w:rPr>
                <w:rFonts w:cs="Arial"/>
              </w:rPr>
            </w:pPr>
            <w:r w:rsidRPr="00C316B4">
              <w:rPr>
                <w:rFonts w:cs="Arial"/>
              </w:rPr>
              <w:t>Инфекции на горните дихателни пътища</w:t>
            </w:r>
          </w:p>
        </w:tc>
        <w:tc>
          <w:tcPr>
            <w:tcW w:w="2375" w:type="dxa"/>
          </w:tcPr>
          <w:p w14:paraId="151DC5AE" w14:textId="64433250" w:rsidR="00C316B4" w:rsidRPr="00C316B4" w:rsidRDefault="00C316B4" w:rsidP="00C316B4">
            <w:pPr>
              <w:rPr>
                <w:rFonts w:cs="Arial"/>
              </w:rPr>
            </w:pPr>
            <w:r w:rsidRPr="00C316B4">
              <w:rPr>
                <w:rFonts w:cs="Arial"/>
              </w:rPr>
              <w:t>Обостряне на хроничен синуит</w:t>
            </w:r>
          </w:p>
        </w:tc>
        <w:tc>
          <w:tcPr>
            <w:tcW w:w="2375" w:type="dxa"/>
          </w:tcPr>
          <w:p w14:paraId="32356480" w14:textId="00EE2612" w:rsidR="00C316B4" w:rsidRPr="00C316B4" w:rsidRDefault="00C316B4" w:rsidP="00C316B4">
            <w:pPr>
              <w:rPr>
                <w:rFonts w:cs="Arial"/>
              </w:rPr>
            </w:pPr>
            <w:r w:rsidRPr="00C316B4">
              <w:rPr>
                <w:rFonts w:cs="Arial"/>
              </w:rPr>
              <w:t xml:space="preserve">500 </w:t>
            </w:r>
            <w:r w:rsidRPr="00C316B4">
              <w:rPr>
                <w:rFonts w:cs="Arial"/>
                <w:lang w:val="en-US"/>
              </w:rPr>
              <w:t xml:space="preserve">mg </w:t>
            </w:r>
            <w:r w:rsidRPr="00C316B4">
              <w:rPr>
                <w:rFonts w:cs="Arial"/>
              </w:rPr>
              <w:t xml:space="preserve">2 пъти дневно до 750 </w:t>
            </w:r>
            <w:r w:rsidRPr="00C316B4">
              <w:rPr>
                <w:rFonts w:cs="Arial"/>
                <w:lang w:val="en-US"/>
              </w:rPr>
              <w:t xml:space="preserve">mg </w:t>
            </w:r>
            <w:r w:rsidRPr="00C316B4">
              <w:rPr>
                <w:rFonts w:cs="Arial"/>
              </w:rPr>
              <w:t>2 пъти дневно</w:t>
            </w:r>
          </w:p>
        </w:tc>
        <w:tc>
          <w:tcPr>
            <w:tcW w:w="2375" w:type="dxa"/>
          </w:tcPr>
          <w:p w14:paraId="455D567F" w14:textId="4B372F72" w:rsidR="00C316B4" w:rsidRPr="00C316B4" w:rsidRDefault="00C316B4" w:rsidP="00C316B4">
            <w:pPr>
              <w:rPr>
                <w:rFonts w:cs="Arial"/>
              </w:rPr>
            </w:pPr>
            <w:r w:rsidRPr="00C316B4">
              <w:rPr>
                <w:rFonts w:cs="Arial"/>
                <w:iCs/>
              </w:rPr>
              <w:t>7 до 14 дни</w:t>
            </w:r>
          </w:p>
        </w:tc>
      </w:tr>
      <w:tr w:rsidR="00C316B4" w14:paraId="19D830B2" w14:textId="77777777" w:rsidTr="00C316B4">
        <w:tc>
          <w:tcPr>
            <w:tcW w:w="2375" w:type="dxa"/>
            <w:vMerge/>
          </w:tcPr>
          <w:p w14:paraId="37C304B6" w14:textId="77777777" w:rsidR="00C316B4" w:rsidRDefault="00C316B4" w:rsidP="00C316B4"/>
        </w:tc>
        <w:tc>
          <w:tcPr>
            <w:tcW w:w="2375" w:type="dxa"/>
          </w:tcPr>
          <w:p w14:paraId="4F98917C" w14:textId="24C7D469" w:rsidR="00C316B4" w:rsidRDefault="00C316B4" w:rsidP="00C316B4">
            <w:r>
              <w:t>Хроничен супуративен отит на средното ухо</w:t>
            </w:r>
          </w:p>
        </w:tc>
        <w:tc>
          <w:tcPr>
            <w:tcW w:w="2375" w:type="dxa"/>
          </w:tcPr>
          <w:p w14:paraId="212C8AB3" w14:textId="77777777" w:rsidR="00C316B4" w:rsidRDefault="00C316B4" w:rsidP="00C316B4">
            <w:r>
              <w:t xml:space="preserve">500 </w:t>
            </w:r>
            <w:r>
              <w:rPr>
                <w:lang w:val="en-US"/>
              </w:rPr>
              <w:t xml:space="preserve">mg </w:t>
            </w:r>
            <w:r>
              <w:t>2 пъти дневно до</w:t>
            </w:r>
          </w:p>
          <w:p w14:paraId="2B1213F2" w14:textId="44D1C49A" w:rsidR="00C316B4" w:rsidRDefault="00C316B4" w:rsidP="00C316B4">
            <w:r>
              <w:t xml:space="preserve">750 </w:t>
            </w:r>
            <w:r>
              <w:rPr>
                <w:lang w:val="en-US"/>
              </w:rPr>
              <w:t xml:space="preserve">mg </w:t>
            </w:r>
            <w:r>
              <w:t>2 пъти дневно</w:t>
            </w:r>
          </w:p>
        </w:tc>
        <w:tc>
          <w:tcPr>
            <w:tcW w:w="2375" w:type="dxa"/>
          </w:tcPr>
          <w:p w14:paraId="6F93F2D8" w14:textId="3E701E0A" w:rsidR="00C316B4" w:rsidRDefault="00C316B4" w:rsidP="00C316B4">
            <w:r>
              <w:t>7 до 14 дни</w:t>
            </w:r>
          </w:p>
        </w:tc>
      </w:tr>
      <w:tr w:rsidR="00C316B4" w14:paraId="37AAC18C" w14:textId="77777777" w:rsidTr="00C316B4">
        <w:tc>
          <w:tcPr>
            <w:tcW w:w="2375" w:type="dxa"/>
            <w:vMerge/>
          </w:tcPr>
          <w:p w14:paraId="15D0E99E" w14:textId="77777777" w:rsidR="00C316B4" w:rsidRDefault="00C316B4" w:rsidP="00C316B4"/>
        </w:tc>
        <w:tc>
          <w:tcPr>
            <w:tcW w:w="2375" w:type="dxa"/>
          </w:tcPr>
          <w:p w14:paraId="0A9F1AC8" w14:textId="6E3D3428" w:rsidR="00C316B4" w:rsidRDefault="00C316B4" w:rsidP="00C316B4">
            <w:r>
              <w:t>Малигнен външен отит</w:t>
            </w:r>
          </w:p>
        </w:tc>
        <w:tc>
          <w:tcPr>
            <w:tcW w:w="2375" w:type="dxa"/>
          </w:tcPr>
          <w:p w14:paraId="14D32FF8" w14:textId="3D06CA28" w:rsidR="00C316B4" w:rsidRDefault="00C316B4" w:rsidP="00C316B4">
            <w:r>
              <w:t xml:space="preserve">750 </w:t>
            </w:r>
            <w:r>
              <w:rPr>
                <w:lang w:val="en-US"/>
              </w:rPr>
              <w:t xml:space="preserve">mg </w:t>
            </w:r>
            <w:r>
              <w:t>2 пъти дневно</w:t>
            </w:r>
          </w:p>
        </w:tc>
        <w:tc>
          <w:tcPr>
            <w:tcW w:w="2375" w:type="dxa"/>
          </w:tcPr>
          <w:p w14:paraId="04E3F13F" w14:textId="48864276" w:rsidR="00C316B4" w:rsidRDefault="00C316B4" w:rsidP="00C316B4">
            <w:r>
              <w:t>28 дни до 3 месеца</w:t>
            </w:r>
          </w:p>
        </w:tc>
      </w:tr>
      <w:tr w:rsidR="00C316B4" w14:paraId="0120E7E6" w14:textId="77777777" w:rsidTr="00C316B4">
        <w:tc>
          <w:tcPr>
            <w:tcW w:w="2375" w:type="dxa"/>
            <w:vMerge w:val="restart"/>
          </w:tcPr>
          <w:p w14:paraId="2CCFF286" w14:textId="5620C650" w:rsidR="00C316B4" w:rsidRDefault="00C316B4" w:rsidP="00C316B4">
            <w:r>
              <w:t>Инфекции на пикочните пътища (вж. точка 4.4)</w:t>
            </w:r>
          </w:p>
        </w:tc>
        <w:tc>
          <w:tcPr>
            <w:tcW w:w="2375" w:type="dxa"/>
            <w:vMerge w:val="restart"/>
          </w:tcPr>
          <w:p w14:paraId="4097D047" w14:textId="318E2663" w:rsidR="00C316B4" w:rsidRDefault="00C316B4" w:rsidP="00C316B4">
            <w:r>
              <w:t>Неусложнен цистит</w:t>
            </w:r>
          </w:p>
        </w:tc>
        <w:tc>
          <w:tcPr>
            <w:tcW w:w="2375" w:type="dxa"/>
          </w:tcPr>
          <w:p w14:paraId="1B1E0637" w14:textId="20F1911D" w:rsidR="00C316B4" w:rsidRDefault="00C316B4" w:rsidP="00C316B4">
            <w:r>
              <w:t xml:space="preserve">250 </w:t>
            </w:r>
            <w:r>
              <w:rPr>
                <w:lang w:val="en-US"/>
              </w:rPr>
              <w:t xml:space="preserve">mg </w:t>
            </w:r>
            <w:r>
              <w:t xml:space="preserve">2 пъти дневно до 500 </w:t>
            </w:r>
            <w:r>
              <w:rPr>
                <w:lang w:val="en-US"/>
              </w:rPr>
              <w:t xml:space="preserve">mg </w:t>
            </w:r>
            <w:r>
              <w:t>2 пъти дневно</w:t>
            </w:r>
          </w:p>
        </w:tc>
        <w:tc>
          <w:tcPr>
            <w:tcW w:w="2375" w:type="dxa"/>
          </w:tcPr>
          <w:p w14:paraId="69E13E53" w14:textId="6E58C632" w:rsidR="00C316B4" w:rsidRDefault="00C316B4" w:rsidP="00C316B4">
            <w:r>
              <w:t>3 дни</w:t>
            </w:r>
          </w:p>
        </w:tc>
      </w:tr>
      <w:tr w:rsidR="00C316B4" w14:paraId="7DA1C209" w14:textId="77777777" w:rsidTr="007D47DC">
        <w:tc>
          <w:tcPr>
            <w:tcW w:w="2375" w:type="dxa"/>
            <w:vMerge/>
          </w:tcPr>
          <w:p w14:paraId="666D0BB0" w14:textId="77777777" w:rsidR="00C316B4" w:rsidRDefault="00C316B4" w:rsidP="00C316B4"/>
        </w:tc>
        <w:tc>
          <w:tcPr>
            <w:tcW w:w="2375" w:type="dxa"/>
            <w:vMerge/>
          </w:tcPr>
          <w:p w14:paraId="0066546E" w14:textId="77777777" w:rsidR="00C316B4" w:rsidRDefault="00C316B4" w:rsidP="00C316B4"/>
        </w:tc>
        <w:tc>
          <w:tcPr>
            <w:tcW w:w="4750" w:type="dxa"/>
            <w:gridSpan w:val="2"/>
          </w:tcPr>
          <w:p w14:paraId="52B179FD" w14:textId="4003DFA5" w:rsidR="00C316B4" w:rsidRDefault="00C316B4" w:rsidP="00C316B4">
            <w:r>
              <w:t xml:space="preserve">При жени в пременопауза може да се използва 500 </w:t>
            </w:r>
            <w:r>
              <w:rPr>
                <w:lang w:val="en-US"/>
              </w:rPr>
              <w:t xml:space="preserve">mg </w:t>
            </w:r>
            <w:r>
              <w:t>еднократна доза.</w:t>
            </w:r>
          </w:p>
        </w:tc>
      </w:tr>
      <w:tr w:rsidR="00C316B4" w14:paraId="5A62078F" w14:textId="77777777" w:rsidTr="007D47DC">
        <w:tc>
          <w:tcPr>
            <w:tcW w:w="2375" w:type="dxa"/>
            <w:vMerge/>
          </w:tcPr>
          <w:p w14:paraId="419DDF63" w14:textId="77777777" w:rsidR="00C316B4" w:rsidRDefault="00C316B4" w:rsidP="00C316B4"/>
        </w:tc>
        <w:tc>
          <w:tcPr>
            <w:tcW w:w="2375" w:type="dxa"/>
            <w:vAlign w:val="bottom"/>
          </w:tcPr>
          <w:p w14:paraId="608FA637" w14:textId="57906F31" w:rsidR="00C316B4" w:rsidRDefault="00C316B4" w:rsidP="00C316B4">
            <w:r>
              <w:t>Усложнен цистит, неусложнен пиелонефрит</w:t>
            </w:r>
          </w:p>
        </w:tc>
        <w:tc>
          <w:tcPr>
            <w:tcW w:w="2375" w:type="dxa"/>
          </w:tcPr>
          <w:p w14:paraId="01E8703D" w14:textId="5B067E32" w:rsidR="00C316B4" w:rsidRDefault="00C316B4" w:rsidP="00C316B4">
            <w:r>
              <w:t xml:space="preserve">500 </w:t>
            </w:r>
            <w:r>
              <w:rPr>
                <w:lang w:val="en-US"/>
              </w:rPr>
              <w:t xml:space="preserve">mg </w:t>
            </w:r>
            <w:r>
              <w:t>2 пъти дневно</w:t>
            </w:r>
          </w:p>
        </w:tc>
        <w:tc>
          <w:tcPr>
            <w:tcW w:w="2375" w:type="dxa"/>
          </w:tcPr>
          <w:p w14:paraId="4D2688FC" w14:textId="23242460" w:rsidR="00C316B4" w:rsidRDefault="00C316B4" w:rsidP="00C316B4">
            <w:r>
              <w:t>7 дни</w:t>
            </w:r>
          </w:p>
        </w:tc>
      </w:tr>
      <w:tr w:rsidR="00C316B4" w14:paraId="6717EA1D" w14:textId="77777777" w:rsidTr="00C316B4">
        <w:tc>
          <w:tcPr>
            <w:tcW w:w="2375" w:type="dxa"/>
            <w:vMerge/>
          </w:tcPr>
          <w:p w14:paraId="7DC8EBE3" w14:textId="77777777" w:rsidR="00C316B4" w:rsidRDefault="00C316B4" w:rsidP="00C316B4"/>
        </w:tc>
        <w:tc>
          <w:tcPr>
            <w:tcW w:w="2375" w:type="dxa"/>
          </w:tcPr>
          <w:p w14:paraId="200E55BC" w14:textId="3C94330B" w:rsidR="00C316B4" w:rsidRDefault="00C316B4" w:rsidP="00C316B4">
            <w:r>
              <w:t>Усложнен пиелонефрит</w:t>
            </w:r>
          </w:p>
        </w:tc>
        <w:tc>
          <w:tcPr>
            <w:tcW w:w="2375" w:type="dxa"/>
          </w:tcPr>
          <w:p w14:paraId="60FBC0EC" w14:textId="1C77015E" w:rsidR="00C316B4" w:rsidRDefault="00C316B4" w:rsidP="00C316B4">
            <w:r>
              <w:t xml:space="preserve">500 </w:t>
            </w:r>
            <w:r>
              <w:rPr>
                <w:lang w:val="en-US"/>
              </w:rPr>
              <w:t xml:space="preserve">mg </w:t>
            </w:r>
            <w:r>
              <w:t xml:space="preserve">2 пъти дневно до 750 </w:t>
            </w:r>
            <w:r>
              <w:rPr>
                <w:lang w:val="en-US"/>
              </w:rPr>
              <w:t xml:space="preserve">mg </w:t>
            </w:r>
            <w:r>
              <w:t>2 пъти дневно</w:t>
            </w:r>
          </w:p>
        </w:tc>
        <w:tc>
          <w:tcPr>
            <w:tcW w:w="2375" w:type="dxa"/>
          </w:tcPr>
          <w:p w14:paraId="3524FD58" w14:textId="1C7C3ADB" w:rsidR="00C316B4" w:rsidRDefault="00C316B4" w:rsidP="00C316B4">
            <w:r>
              <w:t>минимум 10 дни, може да бъде продължено до повече от 21 дни в определени случаи (напр. абсцеси)</w:t>
            </w:r>
          </w:p>
        </w:tc>
      </w:tr>
      <w:tr w:rsidR="00C316B4" w14:paraId="2E33717F" w14:textId="77777777" w:rsidTr="007D47DC">
        <w:tc>
          <w:tcPr>
            <w:tcW w:w="2375" w:type="dxa"/>
            <w:vMerge/>
          </w:tcPr>
          <w:p w14:paraId="1B7D4FE0" w14:textId="77777777" w:rsidR="00C316B4" w:rsidRDefault="00C316B4" w:rsidP="00C316B4"/>
        </w:tc>
        <w:tc>
          <w:tcPr>
            <w:tcW w:w="2375" w:type="dxa"/>
          </w:tcPr>
          <w:p w14:paraId="316E0916" w14:textId="64EAB6E0" w:rsidR="00C316B4" w:rsidRDefault="00C316B4" w:rsidP="00C316B4">
            <w:r>
              <w:t>Простатит</w:t>
            </w:r>
          </w:p>
        </w:tc>
        <w:tc>
          <w:tcPr>
            <w:tcW w:w="2375" w:type="dxa"/>
            <w:vAlign w:val="bottom"/>
          </w:tcPr>
          <w:p w14:paraId="655F5A1F" w14:textId="1B76AEFB" w:rsidR="00C316B4" w:rsidRDefault="00C316B4" w:rsidP="00C316B4">
            <w:r>
              <w:t xml:space="preserve">500 </w:t>
            </w:r>
            <w:r>
              <w:rPr>
                <w:lang w:val="en-US"/>
              </w:rPr>
              <w:t xml:space="preserve">mg </w:t>
            </w:r>
            <w:r>
              <w:t xml:space="preserve">2 пъти </w:t>
            </w:r>
            <w:r>
              <w:lastRenderedPageBreak/>
              <w:t xml:space="preserve">дневно до 750 </w:t>
            </w:r>
            <w:r>
              <w:rPr>
                <w:lang w:val="en-US"/>
              </w:rPr>
              <w:t xml:space="preserve">mg </w:t>
            </w:r>
            <w:r>
              <w:t>2 пъти дневно</w:t>
            </w:r>
          </w:p>
        </w:tc>
        <w:tc>
          <w:tcPr>
            <w:tcW w:w="2375" w:type="dxa"/>
          </w:tcPr>
          <w:p w14:paraId="16113BE5" w14:textId="33239379" w:rsidR="00C316B4" w:rsidRDefault="00C316B4" w:rsidP="00C316B4">
            <w:r>
              <w:lastRenderedPageBreak/>
              <w:t xml:space="preserve">2-4 седмици (остър) </w:t>
            </w:r>
            <w:r>
              <w:lastRenderedPageBreak/>
              <w:t>до 4-6 седмици (хроничен)</w:t>
            </w:r>
          </w:p>
        </w:tc>
      </w:tr>
      <w:tr w:rsidR="00C316B4" w14:paraId="41940A07" w14:textId="77777777" w:rsidTr="007D47DC">
        <w:tc>
          <w:tcPr>
            <w:tcW w:w="2375" w:type="dxa"/>
            <w:vMerge w:val="restart"/>
          </w:tcPr>
          <w:p w14:paraId="0695DC8C" w14:textId="4264DFA7" w:rsidR="00C316B4" w:rsidRDefault="00C316B4" w:rsidP="00C316B4">
            <w:r>
              <w:lastRenderedPageBreak/>
              <w:t>Инфекции на гениталния тракт</w:t>
            </w:r>
          </w:p>
        </w:tc>
        <w:tc>
          <w:tcPr>
            <w:tcW w:w="2375" w:type="dxa"/>
            <w:vAlign w:val="bottom"/>
          </w:tcPr>
          <w:p w14:paraId="3E3A9E4F" w14:textId="26B2B055" w:rsidR="00C316B4" w:rsidRDefault="00C316B4" w:rsidP="00C316B4">
            <w:r>
              <w:t>Гонококов уретрит и цервицит</w:t>
            </w:r>
          </w:p>
        </w:tc>
        <w:tc>
          <w:tcPr>
            <w:tcW w:w="2375" w:type="dxa"/>
            <w:vAlign w:val="bottom"/>
          </w:tcPr>
          <w:p w14:paraId="69D8000F" w14:textId="30236DEB" w:rsidR="00C316B4" w:rsidRDefault="00C316B4" w:rsidP="00C316B4">
            <w:r>
              <w:t xml:space="preserve">500 </w:t>
            </w:r>
            <w:r>
              <w:rPr>
                <w:lang w:val="en-US"/>
              </w:rPr>
              <w:t xml:space="preserve">mg </w:t>
            </w:r>
            <w:r>
              <w:t>като еднократна доза</w:t>
            </w:r>
          </w:p>
        </w:tc>
        <w:tc>
          <w:tcPr>
            <w:tcW w:w="2375" w:type="dxa"/>
          </w:tcPr>
          <w:p w14:paraId="1E87249B" w14:textId="5A3C9D52" w:rsidR="00C316B4" w:rsidRDefault="00C316B4" w:rsidP="00C316B4">
            <w:r>
              <w:t>1 ден (еднократна доза)</w:t>
            </w:r>
          </w:p>
        </w:tc>
      </w:tr>
      <w:tr w:rsidR="00C316B4" w14:paraId="203FF7CC" w14:textId="77777777" w:rsidTr="007D47DC">
        <w:tc>
          <w:tcPr>
            <w:tcW w:w="2375" w:type="dxa"/>
            <w:vMerge/>
          </w:tcPr>
          <w:p w14:paraId="67517F77" w14:textId="77777777" w:rsidR="00C316B4" w:rsidRDefault="00C316B4" w:rsidP="00C316B4"/>
        </w:tc>
        <w:tc>
          <w:tcPr>
            <w:tcW w:w="2375" w:type="dxa"/>
            <w:vAlign w:val="bottom"/>
          </w:tcPr>
          <w:p w14:paraId="3C93D8AA" w14:textId="626C4188" w:rsidR="00C316B4" w:rsidRDefault="00C316B4" w:rsidP="00C316B4">
            <w:r>
              <w:t>Орхиепидидимит и възпалителни заболявалия на тазовите органи</w:t>
            </w:r>
          </w:p>
        </w:tc>
        <w:tc>
          <w:tcPr>
            <w:tcW w:w="2375" w:type="dxa"/>
          </w:tcPr>
          <w:p w14:paraId="0EEBC2D5" w14:textId="6E1AEA13" w:rsidR="00C316B4" w:rsidRDefault="00C316B4" w:rsidP="00C316B4">
            <w:r>
              <w:t xml:space="preserve">500 </w:t>
            </w:r>
            <w:r>
              <w:rPr>
                <w:lang w:val="en-US"/>
              </w:rPr>
              <w:t xml:space="preserve">mg </w:t>
            </w:r>
            <w:r>
              <w:t xml:space="preserve">2 пъти дневно до 750 </w:t>
            </w:r>
            <w:r>
              <w:rPr>
                <w:lang w:val="en-US"/>
              </w:rPr>
              <w:t xml:space="preserve">mg </w:t>
            </w:r>
            <w:r>
              <w:t>2 пъти дневно</w:t>
            </w:r>
          </w:p>
        </w:tc>
        <w:tc>
          <w:tcPr>
            <w:tcW w:w="2375" w:type="dxa"/>
          </w:tcPr>
          <w:p w14:paraId="059E2D64" w14:textId="1992DBC8" w:rsidR="00C316B4" w:rsidRDefault="00C316B4" w:rsidP="00C316B4">
            <w:r>
              <w:t>най-малко 14 дни</w:t>
            </w:r>
          </w:p>
        </w:tc>
      </w:tr>
      <w:tr w:rsidR="00C316B4" w14:paraId="56720FF4" w14:textId="77777777" w:rsidTr="007D47DC">
        <w:tc>
          <w:tcPr>
            <w:tcW w:w="2375" w:type="dxa"/>
            <w:vMerge w:val="restart"/>
          </w:tcPr>
          <w:p w14:paraId="511215DD" w14:textId="32E4D56C" w:rsidR="00C316B4" w:rsidRDefault="00C316B4" w:rsidP="00C316B4">
            <w:r>
              <w:t>Инфекции на стомашно-чревния тракт и интра- абдоминални инфекции</w:t>
            </w:r>
          </w:p>
        </w:tc>
        <w:tc>
          <w:tcPr>
            <w:tcW w:w="2375" w:type="dxa"/>
            <w:vAlign w:val="bottom"/>
          </w:tcPr>
          <w:p w14:paraId="3DDDA770" w14:textId="32064B51" w:rsidR="00C316B4" w:rsidRDefault="00C316B4" w:rsidP="00C316B4">
            <w:r>
              <w:t xml:space="preserve">Диария, причинена от бактерии, вкл. </w:t>
            </w:r>
            <w:proofErr w:type="spellStart"/>
            <w:r>
              <w:rPr>
                <w:i/>
                <w:iCs/>
                <w:lang w:val="en-US"/>
              </w:rPr>
              <w:t>Shigella</w:t>
            </w:r>
            <w:proofErr w:type="spellEnd"/>
            <w:r>
              <w:rPr>
                <w:i/>
                <w:iCs/>
                <w:lang w:val="en-US"/>
              </w:rPr>
              <w:t xml:space="preserve"> spp., </w:t>
            </w:r>
            <w:r>
              <w:t xml:space="preserve">различни от </w:t>
            </w:r>
            <w:proofErr w:type="spellStart"/>
            <w:r>
              <w:rPr>
                <w:i/>
                <w:iCs/>
                <w:lang w:val="en-US"/>
              </w:rPr>
              <w:t>Shigella</w:t>
            </w:r>
            <w:proofErr w:type="spellEnd"/>
            <w:r>
              <w:rPr>
                <w:i/>
                <w:iCs/>
                <w:lang w:val="en-US"/>
              </w:rPr>
              <w:t xml:space="preserve"> </w:t>
            </w:r>
            <w:proofErr w:type="spellStart"/>
            <w:r>
              <w:rPr>
                <w:i/>
                <w:iCs/>
                <w:lang w:val="en-US"/>
              </w:rPr>
              <w:t>dysenteriae</w:t>
            </w:r>
            <w:proofErr w:type="spellEnd"/>
            <w:r>
              <w:rPr>
                <w:i/>
                <w:iCs/>
                <w:lang w:val="en-US"/>
              </w:rPr>
              <w:t xml:space="preserve"> </w:t>
            </w:r>
            <w:r>
              <w:t>тип 1 и емпирично лечение на диария на пътешествениците</w:t>
            </w:r>
          </w:p>
        </w:tc>
        <w:tc>
          <w:tcPr>
            <w:tcW w:w="2375" w:type="dxa"/>
          </w:tcPr>
          <w:p w14:paraId="7B6D3998" w14:textId="36843D17" w:rsidR="00C316B4" w:rsidRDefault="00C316B4" w:rsidP="00C316B4">
            <w:r>
              <w:t xml:space="preserve">500 </w:t>
            </w:r>
            <w:r>
              <w:rPr>
                <w:lang w:val="en-US"/>
              </w:rPr>
              <w:t xml:space="preserve">mg </w:t>
            </w:r>
            <w:r>
              <w:t>2 пъти дневно</w:t>
            </w:r>
          </w:p>
        </w:tc>
        <w:tc>
          <w:tcPr>
            <w:tcW w:w="2375" w:type="dxa"/>
          </w:tcPr>
          <w:p w14:paraId="2847681E" w14:textId="0A286CF5" w:rsidR="00C316B4" w:rsidRDefault="00C316B4" w:rsidP="00C316B4">
            <w:r>
              <w:t>1 ден</w:t>
            </w:r>
          </w:p>
        </w:tc>
      </w:tr>
      <w:tr w:rsidR="00C316B4" w14:paraId="0750EED4" w14:textId="77777777" w:rsidTr="007D47DC">
        <w:tc>
          <w:tcPr>
            <w:tcW w:w="2375" w:type="dxa"/>
            <w:vMerge/>
          </w:tcPr>
          <w:p w14:paraId="70DAE14C" w14:textId="77777777" w:rsidR="00C316B4" w:rsidRDefault="00C316B4" w:rsidP="00C316B4"/>
        </w:tc>
        <w:tc>
          <w:tcPr>
            <w:tcW w:w="2375" w:type="dxa"/>
            <w:vAlign w:val="bottom"/>
          </w:tcPr>
          <w:p w14:paraId="180222C3" w14:textId="4BE89F10" w:rsidR="00C316B4" w:rsidRDefault="00C316B4" w:rsidP="00C316B4">
            <w:r>
              <w:t xml:space="preserve">Диария, причинена от </w:t>
            </w:r>
            <w:proofErr w:type="spellStart"/>
            <w:r>
              <w:rPr>
                <w:i/>
                <w:iCs/>
                <w:lang w:val="en-US"/>
              </w:rPr>
              <w:t>Shigella</w:t>
            </w:r>
            <w:proofErr w:type="spellEnd"/>
            <w:r>
              <w:rPr>
                <w:i/>
                <w:iCs/>
                <w:lang w:val="en-US"/>
              </w:rPr>
              <w:t xml:space="preserve"> </w:t>
            </w:r>
            <w:proofErr w:type="spellStart"/>
            <w:r>
              <w:rPr>
                <w:i/>
                <w:iCs/>
                <w:lang w:val="en-US"/>
              </w:rPr>
              <w:t>dysenteriae</w:t>
            </w:r>
            <w:proofErr w:type="spellEnd"/>
            <w:r>
              <w:rPr>
                <w:i/>
                <w:iCs/>
                <w:lang w:val="en-US"/>
              </w:rPr>
              <w:t xml:space="preserve"> </w:t>
            </w:r>
            <w:r>
              <w:t>тип 1</w:t>
            </w:r>
          </w:p>
        </w:tc>
        <w:tc>
          <w:tcPr>
            <w:tcW w:w="2375" w:type="dxa"/>
          </w:tcPr>
          <w:p w14:paraId="24FC59F3" w14:textId="362AFB29" w:rsidR="00C316B4" w:rsidRDefault="00C316B4" w:rsidP="00C316B4">
            <w:r>
              <w:t xml:space="preserve">500 </w:t>
            </w:r>
            <w:r>
              <w:rPr>
                <w:lang w:val="en-US"/>
              </w:rPr>
              <w:t xml:space="preserve">mg </w:t>
            </w:r>
            <w:r>
              <w:t>2 пъти дневно</w:t>
            </w:r>
          </w:p>
        </w:tc>
        <w:tc>
          <w:tcPr>
            <w:tcW w:w="2375" w:type="dxa"/>
          </w:tcPr>
          <w:p w14:paraId="00138138" w14:textId="29F21F46" w:rsidR="00C316B4" w:rsidRDefault="00C316B4" w:rsidP="00C316B4">
            <w:r>
              <w:t>5 дни</w:t>
            </w:r>
          </w:p>
        </w:tc>
      </w:tr>
      <w:tr w:rsidR="00C316B4" w14:paraId="0D626963" w14:textId="77777777" w:rsidTr="007D47DC">
        <w:tc>
          <w:tcPr>
            <w:tcW w:w="2375" w:type="dxa"/>
            <w:vMerge/>
          </w:tcPr>
          <w:p w14:paraId="46E6F84F" w14:textId="77777777" w:rsidR="00C316B4" w:rsidRDefault="00C316B4" w:rsidP="00C316B4"/>
        </w:tc>
        <w:tc>
          <w:tcPr>
            <w:tcW w:w="2375" w:type="dxa"/>
            <w:vAlign w:val="bottom"/>
          </w:tcPr>
          <w:p w14:paraId="25D0C629" w14:textId="48A68FEE" w:rsidR="00C316B4" w:rsidRDefault="00C316B4" w:rsidP="00C316B4">
            <w:r>
              <w:t xml:space="preserve">Диария, причинена от </w:t>
            </w:r>
            <w:r>
              <w:rPr>
                <w:i/>
                <w:iCs/>
                <w:lang w:val="en-US"/>
              </w:rPr>
              <w:t xml:space="preserve">Vibrio </w:t>
            </w:r>
            <w:proofErr w:type="spellStart"/>
            <w:r>
              <w:rPr>
                <w:i/>
                <w:iCs/>
                <w:lang w:val="en-US"/>
              </w:rPr>
              <w:t>cholerae</w:t>
            </w:r>
            <w:proofErr w:type="spellEnd"/>
          </w:p>
        </w:tc>
        <w:tc>
          <w:tcPr>
            <w:tcW w:w="2375" w:type="dxa"/>
          </w:tcPr>
          <w:p w14:paraId="554EE3E4" w14:textId="38EC6C96" w:rsidR="00C316B4" w:rsidRDefault="00C316B4" w:rsidP="00C316B4">
            <w:r>
              <w:t xml:space="preserve">500 </w:t>
            </w:r>
            <w:r>
              <w:rPr>
                <w:lang w:val="en-US"/>
              </w:rPr>
              <w:t xml:space="preserve">mg </w:t>
            </w:r>
            <w:r>
              <w:t>2 пъти дневно</w:t>
            </w:r>
          </w:p>
        </w:tc>
        <w:tc>
          <w:tcPr>
            <w:tcW w:w="2375" w:type="dxa"/>
          </w:tcPr>
          <w:p w14:paraId="4E89893B" w14:textId="610E8923" w:rsidR="00C316B4" w:rsidRDefault="00C316B4" w:rsidP="00C316B4">
            <w:r>
              <w:t>3 дни</w:t>
            </w:r>
          </w:p>
        </w:tc>
      </w:tr>
      <w:tr w:rsidR="00C316B4" w14:paraId="153DE7E8" w14:textId="77777777" w:rsidTr="007D47DC">
        <w:tc>
          <w:tcPr>
            <w:tcW w:w="2375" w:type="dxa"/>
            <w:vMerge/>
          </w:tcPr>
          <w:p w14:paraId="1371C359" w14:textId="77777777" w:rsidR="00C316B4" w:rsidRDefault="00C316B4" w:rsidP="00C316B4"/>
        </w:tc>
        <w:tc>
          <w:tcPr>
            <w:tcW w:w="2375" w:type="dxa"/>
            <w:vAlign w:val="bottom"/>
          </w:tcPr>
          <w:p w14:paraId="0E5FF2A5" w14:textId="05AFEAF8" w:rsidR="00C316B4" w:rsidRDefault="00C316B4" w:rsidP="00C316B4">
            <w:r>
              <w:t>Тифоидна треска</w:t>
            </w:r>
          </w:p>
        </w:tc>
        <w:tc>
          <w:tcPr>
            <w:tcW w:w="2375" w:type="dxa"/>
            <w:vAlign w:val="bottom"/>
          </w:tcPr>
          <w:p w14:paraId="11EC5818" w14:textId="48D5EB1C" w:rsidR="00C316B4" w:rsidRDefault="00C316B4" w:rsidP="00C316B4">
            <w:r>
              <w:t xml:space="preserve">500 </w:t>
            </w:r>
            <w:r>
              <w:rPr>
                <w:lang w:val="en-US"/>
              </w:rPr>
              <w:t xml:space="preserve">mg </w:t>
            </w:r>
            <w:r>
              <w:t>2 пъти дневно</w:t>
            </w:r>
          </w:p>
        </w:tc>
        <w:tc>
          <w:tcPr>
            <w:tcW w:w="2375" w:type="dxa"/>
            <w:vAlign w:val="bottom"/>
          </w:tcPr>
          <w:p w14:paraId="32FC5461" w14:textId="51A961CB" w:rsidR="00C316B4" w:rsidRDefault="00C316B4" w:rsidP="00C316B4">
            <w:r>
              <w:t>7 дни</w:t>
            </w:r>
          </w:p>
        </w:tc>
      </w:tr>
      <w:tr w:rsidR="00C316B4" w14:paraId="40CCEACA" w14:textId="77777777" w:rsidTr="007D47DC">
        <w:tc>
          <w:tcPr>
            <w:tcW w:w="2375" w:type="dxa"/>
            <w:vMerge/>
          </w:tcPr>
          <w:p w14:paraId="02F65A85" w14:textId="77777777" w:rsidR="00C316B4" w:rsidRDefault="00C316B4" w:rsidP="00C316B4"/>
        </w:tc>
        <w:tc>
          <w:tcPr>
            <w:tcW w:w="2375" w:type="dxa"/>
            <w:vAlign w:val="bottom"/>
          </w:tcPr>
          <w:p w14:paraId="3FFB4C60" w14:textId="6A1993AB" w:rsidR="00C316B4" w:rsidRDefault="00C316B4" w:rsidP="00C316B4">
            <w:r>
              <w:t>Интраабдоминални инфекции, причинени от Грам- отрицателни бактерии</w:t>
            </w:r>
          </w:p>
        </w:tc>
        <w:tc>
          <w:tcPr>
            <w:tcW w:w="2375" w:type="dxa"/>
          </w:tcPr>
          <w:p w14:paraId="26ADD13A" w14:textId="7242E8AD" w:rsidR="00C316B4" w:rsidRDefault="00C316B4" w:rsidP="00C316B4">
            <w:r>
              <w:t xml:space="preserve">500 </w:t>
            </w:r>
            <w:r>
              <w:rPr>
                <w:lang w:val="en-US"/>
              </w:rPr>
              <w:t xml:space="preserve">mg </w:t>
            </w:r>
            <w:r>
              <w:t xml:space="preserve">2 пъти дневно до 750 </w:t>
            </w:r>
            <w:r>
              <w:rPr>
                <w:lang w:val="en-US"/>
              </w:rPr>
              <w:t xml:space="preserve">mg </w:t>
            </w:r>
            <w:r>
              <w:t>2 пъти дневно</w:t>
            </w:r>
          </w:p>
        </w:tc>
        <w:tc>
          <w:tcPr>
            <w:tcW w:w="2375" w:type="dxa"/>
          </w:tcPr>
          <w:p w14:paraId="75405A16" w14:textId="0BE521B9" w:rsidR="00C316B4" w:rsidRDefault="00C316B4" w:rsidP="00C316B4">
            <w:r>
              <w:t>5 до 14 дни</w:t>
            </w:r>
          </w:p>
        </w:tc>
      </w:tr>
      <w:tr w:rsidR="00C316B4" w14:paraId="1E565087" w14:textId="77777777" w:rsidTr="007D47DC">
        <w:tc>
          <w:tcPr>
            <w:tcW w:w="4750" w:type="dxa"/>
            <w:gridSpan w:val="2"/>
          </w:tcPr>
          <w:p w14:paraId="1E83EA74" w14:textId="1A910D2E" w:rsidR="00C316B4" w:rsidRDefault="00C316B4" w:rsidP="00C316B4">
            <w:r>
              <w:t>Инфекции на кожата и меките тъкани</w:t>
            </w:r>
          </w:p>
        </w:tc>
        <w:tc>
          <w:tcPr>
            <w:tcW w:w="2375" w:type="dxa"/>
            <w:vAlign w:val="bottom"/>
          </w:tcPr>
          <w:p w14:paraId="45C61E0F" w14:textId="49B3620C" w:rsidR="00C316B4" w:rsidRDefault="00C316B4" w:rsidP="00C316B4">
            <w:r>
              <w:t xml:space="preserve">500 </w:t>
            </w:r>
            <w:r>
              <w:rPr>
                <w:lang w:val="en-US"/>
              </w:rPr>
              <w:t xml:space="preserve">mg </w:t>
            </w:r>
            <w:r>
              <w:t xml:space="preserve">2 пъти дневно до 750 </w:t>
            </w:r>
            <w:r>
              <w:rPr>
                <w:lang w:val="en-US"/>
              </w:rPr>
              <w:t xml:space="preserve">mg </w:t>
            </w:r>
            <w:r>
              <w:t>2 пъти дневно</w:t>
            </w:r>
          </w:p>
        </w:tc>
        <w:tc>
          <w:tcPr>
            <w:tcW w:w="2375" w:type="dxa"/>
          </w:tcPr>
          <w:p w14:paraId="5C7C0EF2" w14:textId="01C53304" w:rsidR="00C316B4" w:rsidRDefault="00C316B4" w:rsidP="00C316B4">
            <w:r>
              <w:t>7 до 14 дни</w:t>
            </w:r>
          </w:p>
        </w:tc>
      </w:tr>
      <w:tr w:rsidR="00C316B4" w14:paraId="770460A4" w14:textId="77777777" w:rsidTr="007D47DC">
        <w:tc>
          <w:tcPr>
            <w:tcW w:w="4750" w:type="dxa"/>
            <w:gridSpan w:val="2"/>
          </w:tcPr>
          <w:p w14:paraId="1756826D" w14:textId="0542CCF7" w:rsidR="00C316B4" w:rsidRDefault="00C316B4" w:rsidP="00C316B4">
            <w:r>
              <w:t>Инфекции на костите и ставите</w:t>
            </w:r>
          </w:p>
        </w:tc>
        <w:tc>
          <w:tcPr>
            <w:tcW w:w="2375" w:type="dxa"/>
            <w:vAlign w:val="bottom"/>
          </w:tcPr>
          <w:p w14:paraId="6CD6544E" w14:textId="6EBDCF29" w:rsidR="00C316B4" w:rsidRDefault="00C316B4" w:rsidP="00C316B4">
            <w:r>
              <w:t xml:space="preserve">500 </w:t>
            </w:r>
            <w:r>
              <w:rPr>
                <w:lang w:val="en-US"/>
              </w:rPr>
              <w:t xml:space="preserve">mg </w:t>
            </w:r>
            <w:r>
              <w:t xml:space="preserve">2 пъти дневно до 750 </w:t>
            </w:r>
            <w:r>
              <w:rPr>
                <w:lang w:val="en-US"/>
              </w:rPr>
              <w:t xml:space="preserve">mg </w:t>
            </w:r>
            <w:r>
              <w:t>2 пъти дневно</w:t>
            </w:r>
          </w:p>
        </w:tc>
        <w:tc>
          <w:tcPr>
            <w:tcW w:w="2375" w:type="dxa"/>
            <w:vAlign w:val="bottom"/>
          </w:tcPr>
          <w:p w14:paraId="756D23D4" w14:textId="02C147E8" w:rsidR="00C316B4" w:rsidRDefault="00C316B4" w:rsidP="00C316B4">
            <w:r>
              <w:t>максимално 3 месеца</w:t>
            </w:r>
          </w:p>
        </w:tc>
      </w:tr>
      <w:tr w:rsidR="007D47DC" w14:paraId="52E79A7F" w14:textId="77777777" w:rsidTr="007D47DC">
        <w:tc>
          <w:tcPr>
            <w:tcW w:w="4750" w:type="dxa"/>
            <w:gridSpan w:val="2"/>
          </w:tcPr>
          <w:p w14:paraId="01ECC732" w14:textId="0B0B7E23" w:rsidR="007D47DC" w:rsidRDefault="007D47DC" w:rsidP="007D47DC">
            <w:r>
              <w:t>Неутропенични пациенти с повишена температура, когато се предполага, че причината е бактериална инфекция. Ципрофлоксацин трябва да се комбинира с други подходящи антибактериални средства в съответствие с официалното ръководство.</w:t>
            </w:r>
          </w:p>
        </w:tc>
        <w:tc>
          <w:tcPr>
            <w:tcW w:w="2375" w:type="dxa"/>
          </w:tcPr>
          <w:p w14:paraId="73A271C6" w14:textId="52F2CB4C" w:rsidR="007D47DC" w:rsidRDefault="007D47DC" w:rsidP="007D47DC">
            <w:r>
              <w:t xml:space="preserve">500 </w:t>
            </w:r>
            <w:r>
              <w:rPr>
                <w:lang w:val="en-US"/>
              </w:rPr>
              <w:t xml:space="preserve">mg </w:t>
            </w:r>
            <w:r>
              <w:t xml:space="preserve">2 пъти дневно до 750 </w:t>
            </w:r>
            <w:r>
              <w:rPr>
                <w:lang w:val="en-US"/>
              </w:rPr>
              <w:t xml:space="preserve">mg </w:t>
            </w:r>
            <w:r>
              <w:t>2 пъти дневно</w:t>
            </w:r>
          </w:p>
        </w:tc>
        <w:tc>
          <w:tcPr>
            <w:tcW w:w="2375" w:type="dxa"/>
          </w:tcPr>
          <w:p w14:paraId="39F3A401" w14:textId="476E007F" w:rsidR="007D47DC" w:rsidRDefault="007D47DC" w:rsidP="007D47DC">
            <w:r>
              <w:t>Лечението трябва да продължи през целия период на неутропенията.</w:t>
            </w:r>
          </w:p>
        </w:tc>
      </w:tr>
      <w:tr w:rsidR="007D47DC" w14:paraId="2CD01F37" w14:textId="77777777" w:rsidTr="007D47DC">
        <w:tc>
          <w:tcPr>
            <w:tcW w:w="4750" w:type="dxa"/>
            <w:gridSpan w:val="2"/>
          </w:tcPr>
          <w:p w14:paraId="294BE426" w14:textId="6215D277" w:rsidR="007D47DC" w:rsidRDefault="007D47DC" w:rsidP="007D47DC">
            <w:r>
              <w:t xml:space="preserve">Профилактика на инвазивни инфекции с </w:t>
            </w:r>
            <w:r>
              <w:rPr>
                <w:i/>
                <w:iCs/>
                <w:lang w:val="en-US"/>
              </w:rPr>
              <w:t xml:space="preserve">Neisseria </w:t>
            </w:r>
            <w:proofErr w:type="spellStart"/>
            <w:r>
              <w:rPr>
                <w:i/>
                <w:iCs/>
                <w:lang w:val="en-US"/>
              </w:rPr>
              <w:t>meningitidis</w:t>
            </w:r>
            <w:proofErr w:type="spellEnd"/>
          </w:p>
        </w:tc>
        <w:tc>
          <w:tcPr>
            <w:tcW w:w="2375" w:type="dxa"/>
          </w:tcPr>
          <w:p w14:paraId="5F7C4D49" w14:textId="7A380042" w:rsidR="007D47DC" w:rsidRDefault="007D47DC" w:rsidP="007D47DC">
            <w:r>
              <w:t xml:space="preserve">500 </w:t>
            </w:r>
            <w:r>
              <w:rPr>
                <w:lang w:val="en-US"/>
              </w:rPr>
              <w:t xml:space="preserve">mg </w:t>
            </w:r>
            <w:r>
              <w:t>като еднократна доза</w:t>
            </w:r>
          </w:p>
        </w:tc>
        <w:tc>
          <w:tcPr>
            <w:tcW w:w="2375" w:type="dxa"/>
          </w:tcPr>
          <w:p w14:paraId="3EADCE4C" w14:textId="516EECCB" w:rsidR="007D47DC" w:rsidRDefault="007D47DC" w:rsidP="007D47DC">
            <w:r>
              <w:t>1 ден (еднократна доза)</w:t>
            </w:r>
          </w:p>
        </w:tc>
      </w:tr>
      <w:tr w:rsidR="007D47DC" w14:paraId="6A222FB6" w14:textId="77777777" w:rsidTr="007D47DC">
        <w:tc>
          <w:tcPr>
            <w:tcW w:w="4750" w:type="dxa"/>
            <w:gridSpan w:val="2"/>
          </w:tcPr>
          <w:p w14:paraId="6E8B8984" w14:textId="277F1BA9" w:rsidR="007D47DC" w:rsidRDefault="007D47DC" w:rsidP="007D47DC">
            <w:r>
              <w:t xml:space="preserve">Инхалаторен антракс - за профилактика след експозиция, както и за лечение на лица, които могат да се лекуват чрез перорално приложение, когато е клинично </w:t>
            </w:r>
            <w:r>
              <w:lastRenderedPageBreak/>
              <w:t>показано. Прилагането на лекарството трябва да започне, колкото е възможно по- скоро след подозиран или потвърден контакт.</w:t>
            </w:r>
          </w:p>
        </w:tc>
        <w:tc>
          <w:tcPr>
            <w:tcW w:w="2375" w:type="dxa"/>
          </w:tcPr>
          <w:p w14:paraId="7A2772C7" w14:textId="5254FC28" w:rsidR="007D47DC" w:rsidRDefault="007D47DC" w:rsidP="007D47DC">
            <w:r>
              <w:lastRenderedPageBreak/>
              <w:t xml:space="preserve">500 </w:t>
            </w:r>
            <w:r>
              <w:rPr>
                <w:lang w:val="en-US"/>
              </w:rPr>
              <w:t xml:space="preserve">mg </w:t>
            </w:r>
            <w:r>
              <w:t>2 пъти дневно</w:t>
            </w:r>
          </w:p>
        </w:tc>
        <w:tc>
          <w:tcPr>
            <w:tcW w:w="2375" w:type="dxa"/>
          </w:tcPr>
          <w:p w14:paraId="566B36CD" w14:textId="215A7B9A" w:rsidR="007D47DC" w:rsidRDefault="007D47DC" w:rsidP="007D47DC">
            <w:r>
              <w:t xml:space="preserve">60 дни след потвърждаване на експозиция на </w:t>
            </w:r>
            <w:r>
              <w:rPr>
                <w:i/>
                <w:iCs/>
                <w:lang w:val="en-US"/>
              </w:rPr>
              <w:t xml:space="preserve">Bacillus </w:t>
            </w:r>
            <w:proofErr w:type="spellStart"/>
            <w:r>
              <w:rPr>
                <w:i/>
                <w:iCs/>
                <w:lang w:val="en-US"/>
              </w:rPr>
              <w:t>anthracis</w:t>
            </w:r>
            <w:proofErr w:type="spellEnd"/>
          </w:p>
        </w:tc>
      </w:tr>
    </w:tbl>
    <w:p w14:paraId="528B8321" w14:textId="56B200EE" w:rsidR="00C316B4" w:rsidRDefault="00C316B4" w:rsidP="0091385D"/>
    <w:p w14:paraId="05DA8DE5" w14:textId="38E592DD" w:rsidR="00C316B4" w:rsidRDefault="00C316B4" w:rsidP="0091385D">
      <w:r>
        <w:rPr>
          <w:i/>
          <w:iCs/>
          <w:u w:val="single"/>
        </w:rPr>
        <w:t>Педиатрична популация</w:t>
      </w:r>
    </w:p>
    <w:p w14:paraId="225EE9A0" w14:textId="5A3FEFB1" w:rsidR="00C316B4" w:rsidRDefault="00C316B4" w:rsidP="0091385D"/>
    <w:tbl>
      <w:tblPr>
        <w:tblStyle w:val="TableGrid"/>
        <w:tblW w:w="0" w:type="auto"/>
        <w:tblLook w:val="04A0" w:firstRow="1" w:lastRow="0" w:firstColumn="1" w:lastColumn="0" w:noHBand="0" w:noVBand="1"/>
      </w:tblPr>
      <w:tblGrid>
        <w:gridCol w:w="3166"/>
        <w:gridCol w:w="3167"/>
        <w:gridCol w:w="3167"/>
      </w:tblGrid>
      <w:tr w:rsidR="007D47DC" w14:paraId="4379F814" w14:textId="77777777" w:rsidTr="00C316B4">
        <w:tc>
          <w:tcPr>
            <w:tcW w:w="3166" w:type="dxa"/>
          </w:tcPr>
          <w:p w14:paraId="052974E3" w14:textId="264A3AB7" w:rsidR="007D47DC" w:rsidRDefault="007D47DC" w:rsidP="007D47DC">
            <w:r>
              <w:rPr>
                <w:b/>
                <w:bCs/>
              </w:rPr>
              <w:t>Показания</w:t>
            </w:r>
          </w:p>
        </w:tc>
        <w:tc>
          <w:tcPr>
            <w:tcW w:w="3167" w:type="dxa"/>
          </w:tcPr>
          <w:p w14:paraId="2275D679" w14:textId="08BB43B8" w:rsidR="007D47DC" w:rsidRDefault="007D47DC" w:rsidP="007D47DC">
            <w:r>
              <w:rPr>
                <w:b/>
                <w:bCs/>
              </w:rPr>
              <w:t xml:space="preserve">Дневна доза в </w:t>
            </w:r>
            <w:r>
              <w:rPr>
                <w:b/>
                <w:bCs/>
                <w:lang w:val="en-US"/>
              </w:rPr>
              <w:t>mg</w:t>
            </w:r>
          </w:p>
        </w:tc>
        <w:tc>
          <w:tcPr>
            <w:tcW w:w="3167" w:type="dxa"/>
          </w:tcPr>
          <w:p w14:paraId="1DB1A7AA" w14:textId="13219707" w:rsidR="007D47DC" w:rsidRDefault="007D47DC" w:rsidP="007D47DC">
            <w:r>
              <w:rPr>
                <w:b/>
                <w:bCs/>
              </w:rPr>
              <w:t>Обща продължителност на лечението (потенциално включващо начално парентерално лечение с ципрофлоксацин)</w:t>
            </w:r>
          </w:p>
        </w:tc>
      </w:tr>
      <w:tr w:rsidR="007D47DC" w14:paraId="03538782" w14:textId="77777777" w:rsidTr="00C316B4">
        <w:tc>
          <w:tcPr>
            <w:tcW w:w="3166" w:type="dxa"/>
          </w:tcPr>
          <w:p w14:paraId="392EF082" w14:textId="0AABAF54" w:rsidR="007D47DC" w:rsidRDefault="007D47DC" w:rsidP="007D47DC">
            <w:r>
              <w:t>Кистозна фиброза</w:t>
            </w:r>
          </w:p>
        </w:tc>
        <w:tc>
          <w:tcPr>
            <w:tcW w:w="3167" w:type="dxa"/>
          </w:tcPr>
          <w:p w14:paraId="58CD6B84" w14:textId="7771DD70" w:rsidR="007D47DC" w:rsidRDefault="007D47DC" w:rsidP="007D47DC">
            <w:r>
              <w:t xml:space="preserve">20 </w:t>
            </w:r>
            <w:r>
              <w:rPr>
                <w:lang w:val="en-US"/>
              </w:rPr>
              <w:t xml:space="preserve">mg/kg </w:t>
            </w:r>
            <w:r>
              <w:t xml:space="preserve">телесно тегло 2 пъти дневно до максимум 750 </w:t>
            </w:r>
            <w:r>
              <w:rPr>
                <w:lang w:val="en-US"/>
              </w:rPr>
              <w:t xml:space="preserve">mg </w:t>
            </w:r>
            <w:r>
              <w:t>на доза.</w:t>
            </w:r>
          </w:p>
        </w:tc>
        <w:tc>
          <w:tcPr>
            <w:tcW w:w="3167" w:type="dxa"/>
          </w:tcPr>
          <w:p w14:paraId="5BA27AF2" w14:textId="66490D2B" w:rsidR="007D47DC" w:rsidRDefault="007D47DC" w:rsidP="007D47DC">
            <w:r>
              <w:t>10 до 14 дни</w:t>
            </w:r>
          </w:p>
        </w:tc>
      </w:tr>
      <w:tr w:rsidR="007D47DC" w14:paraId="12A65A89" w14:textId="77777777" w:rsidTr="00C316B4">
        <w:tc>
          <w:tcPr>
            <w:tcW w:w="3166" w:type="dxa"/>
          </w:tcPr>
          <w:p w14:paraId="368247CA" w14:textId="1B8B11A6" w:rsidR="007D47DC" w:rsidRDefault="007D47DC" w:rsidP="007D47DC">
            <w:r>
              <w:t>Усложнени инфекции на пикочните пътища и пиелонефрит</w:t>
            </w:r>
          </w:p>
        </w:tc>
        <w:tc>
          <w:tcPr>
            <w:tcW w:w="3167" w:type="dxa"/>
          </w:tcPr>
          <w:p w14:paraId="3F08E7C0" w14:textId="4130DDC7" w:rsidR="007D47DC" w:rsidRDefault="007D47DC" w:rsidP="007D47DC">
            <w:r>
              <w:t xml:space="preserve">10 </w:t>
            </w:r>
            <w:r>
              <w:rPr>
                <w:lang w:val="en-US"/>
              </w:rPr>
              <w:t xml:space="preserve">mg/kg </w:t>
            </w:r>
            <w:r>
              <w:t xml:space="preserve">телесно тегло 2 пъти дневно до 20 </w:t>
            </w:r>
            <w:r>
              <w:rPr>
                <w:lang w:val="en-US"/>
              </w:rPr>
              <w:t xml:space="preserve">mg/kg </w:t>
            </w:r>
            <w:r>
              <w:t xml:space="preserve">телесно тегло 2 пъти дневно до максимум 750 </w:t>
            </w:r>
            <w:r>
              <w:rPr>
                <w:lang w:val="en-US"/>
              </w:rPr>
              <w:t xml:space="preserve">mg </w:t>
            </w:r>
            <w:r>
              <w:t>на доза.</w:t>
            </w:r>
          </w:p>
        </w:tc>
        <w:tc>
          <w:tcPr>
            <w:tcW w:w="3167" w:type="dxa"/>
          </w:tcPr>
          <w:p w14:paraId="53AF99A6" w14:textId="0AB8F848" w:rsidR="007D47DC" w:rsidRDefault="007D47DC" w:rsidP="007D47DC">
            <w:r>
              <w:t>10 до 21 дни</w:t>
            </w:r>
          </w:p>
        </w:tc>
      </w:tr>
      <w:tr w:rsidR="007D47DC" w14:paraId="2292AEFF" w14:textId="77777777" w:rsidTr="00C316B4">
        <w:tc>
          <w:tcPr>
            <w:tcW w:w="3166" w:type="dxa"/>
          </w:tcPr>
          <w:p w14:paraId="12EBFC75" w14:textId="7519A597" w:rsidR="007D47DC" w:rsidRDefault="007D47DC" w:rsidP="007D47DC">
            <w:r>
              <w:t>Инхалаторен антракс - за профилактика след експозиция, както и за лечение на лица, които могат да се лекуват чрез перорално приложение, когато е клинично показано. Прилагането на лекарството трябва да започне, колкото е възможно по-скоро след подозиран или потвърден контакт.</w:t>
            </w:r>
          </w:p>
        </w:tc>
        <w:tc>
          <w:tcPr>
            <w:tcW w:w="3167" w:type="dxa"/>
          </w:tcPr>
          <w:p w14:paraId="0240E14F" w14:textId="73F27DF9" w:rsidR="007D47DC" w:rsidRDefault="007D47DC" w:rsidP="007D47DC">
            <w:r>
              <w:t xml:space="preserve">10 </w:t>
            </w:r>
            <w:r>
              <w:rPr>
                <w:lang w:val="en-US"/>
              </w:rPr>
              <w:t xml:space="preserve">mg/kg </w:t>
            </w:r>
            <w:r>
              <w:t xml:space="preserve">телесно тегло 2 пъти дневно до 15 </w:t>
            </w:r>
            <w:r>
              <w:rPr>
                <w:lang w:val="en-US"/>
              </w:rPr>
              <w:t xml:space="preserve">mg/kg </w:t>
            </w:r>
            <w:r>
              <w:t xml:space="preserve">телесно тегло 2 пъти дневно до максимум 500 </w:t>
            </w:r>
            <w:r>
              <w:rPr>
                <w:lang w:val="en-US"/>
              </w:rPr>
              <w:t xml:space="preserve">mg </w:t>
            </w:r>
            <w:r>
              <w:t>на доза.</w:t>
            </w:r>
          </w:p>
        </w:tc>
        <w:tc>
          <w:tcPr>
            <w:tcW w:w="3167" w:type="dxa"/>
          </w:tcPr>
          <w:p w14:paraId="0E104E26" w14:textId="38D7BDDB" w:rsidR="007D47DC" w:rsidRDefault="007D47DC" w:rsidP="007D47DC">
            <w:r>
              <w:t xml:space="preserve">60 дни след потвърждаване на експозиция на </w:t>
            </w:r>
            <w:r>
              <w:rPr>
                <w:i/>
                <w:iCs/>
                <w:lang w:val="en-US"/>
              </w:rPr>
              <w:t xml:space="preserve">Bacillus </w:t>
            </w:r>
            <w:proofErr w:type="spellStart"/>
            <w:r>
              <w:rPr>
                <w:i/>
                <w:iCs/>
                <w:lang w:val="en-US"/>
              </w:rPr>
              <w:t>anthracis</w:t>
            </w:r>
            <w:proofErr w:type="spellEnd"/>
          </w:p>
        </w:tc>
      </w:tr>
      <w:tr w:rsidR="007D47DC" w14:paraId="65F36236" w14:textId="77777777" w:rsidTr="00C316B4">
        <w:tc>
          <w:tcPr>
            <w:tcW w:w="3166" w:type="dxa"/>
          </w:tcPr>
          <w:p w14:paraId="7050370A" w14:textId="479B52E6" w:rsidR="007D47DC" w:rsidRDefault="007D47DC" w:rsidP="007D47DC">
            <w:r>
              <w:t>Други тежки инфекции</w:t>
            </w:r>
          </w:p>
        </w:tc>
        <w:tc>
          <w:tcPr>
            <w:tcW w:w="3167" w:type="dxa"/>
          </w:tcPr>
          <w:p w14:paraId="505C62A2" w14:textId="2CC82151" w:rsidR="007D47DC" w:rsidRDefault="007D47DC" w:rsidP="007D47DC">
            <w:r>
              <w:t xml:space="preserve">20 </w:t>
            </w:r>
            <w:r>
              <w:rPr>
                <w:lang w:val="en-US"/>
              </w:rPr>
              <w:t xml:space="preserve">mg/kg </w:t>
            </w:r>
            <w:r>
              <w:t xml:space="preserve">телесно тегло 2 пъти дневно до максимум 750 </w:t>
            </w:r>
            <w:r>
              <w:rPr>
                <w:lang w:val="en-US"/>
              </w:rPr>
              <w:t xml:space="preserve">mg </w:t>
            </w:r>
            <w:r>
              <w:t>на доза.</w:t>
            </w:r>
          </w:p>
        </w:tc>
        <w:tc>
          <w:tcPr>
            <w:tcW w:w="3167" w:type="dxa"/>
          </w:tcPr>
          <w:p w14:paraId="0340BF31" w14:textId="14B2D926" w:rsidR="007D47DC" w:rsidRDefault="007D47DC" w:rsidP="007D47DC">
            <w:r>
              <w:t>В зависимост от вида на инфекциите.</w:t>
            </w:r>
          </w:p>
        </w:tc>
      </w:tr>
    </w:tbl>
    <w:p w14:paraId="61DB371C" w14:textId="450BA04A" w:rsidR="00C316B4" w:rsidRDefault="00C316B4" w:rsidP="0091385D"/>
    <w:p w14:paraId="09FFE36A"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i/>
          <w:iCs/>
          <w:color w:val="000000"/>
          <w:u w:val="single"/>
          <w:lang w:eastAsia="bg-BG"/>
        </w:rPr>
        <w:t>Пациенти в старческа възраст</w:t>
      </w:r>
    </w:p>
    <w:p w14:paraId="38C41A65" w14:textId="77777777" w:rsidR="00C316B4" w:rsidRPr="00C316B4" w:rsidRDefault="00C316B4" w:rsidP="00C316B4">
      <w:pPr>
        <w:spacing w:line="240" w:lineRule="auto"/>
        <w:rPr>
          <w:rFonts w:eastAsia="Times New Roman" w:cs="Arial"/>
          <w:sz w:val="24"/>
          <w:szCs w:val="24"/>
          <w:lang w:eastAsia="bg-BG"/>
        </w:rPr>
      </w:pPr>
      <w:r w:rsidRPr="00C316B4">
        <w:rPr>
          <w:rFonts w:eastAsia="Times New Roman" w:cs="Arial"/>
          <w:color w:val="000000"/>
          <w:lang w:eastAsia="bg-BG"/>
        </w:rPr>
        <w:t>Дозата се определя според тежестта на инфекцията и креатининовия клирънс на пациента.</w:t>
      </w:r>
    </w:p>
    <w:p w14:paraId="3992E37C" w14:textId="77777777" w:rsidR="00C316B4" w:rsidRPr="00C316B4" w:rsidRDefault="00C316B4" w:rsidP="00C316B4">
      <w:pPr>
        <w:spacing w:line="240" w:lineRule="auto"/>
        <w:rPr>
          <w:rFonts w:eastAsia="Times New Roman" w:cs="Arial"/>
          <w:i/>
          <w:iCs/>
          <w:color w:val="000000"/>
          <w:u w:val="single"/>
          <w:lang w:eastAsia="bg-BG"/>
        </w:rPr>
      </w:pPr>
    </w:p>
    <w:p w14:paraId="56357A11" w14:textId="6E3670D1" w:rsidR="00C316B4" w:rsidRPr="00C316B4" w:rsidRDefault="00C316B4" w:rsidP="00C316B4">
      <w:pPr>
        <w:spacing w:line="240" w:lineRule="auto"/>
        <w:rPr>
          <w:rFonts w:eastAsia="Times New Roman" w:cs="Arial"/>
          <w:sz w:val="24"/>
          <w:szCs w:val="24"/>
          <w:lang w:eastAsia="bg-BG"/>
        </w:rPr>
      </w:pPr>
      <w:r w:rsidRPr="00C316B4">
        <w:rPr>
          <w:rFonts w:eastAsia="Times New Roman" w:cs="Arial"/>
          <w:i/>
          <w:iCs/>
          <w:color w:val="000000"/>
          <w:u w:val="single"/>
          <w:lang w:eastAsia="bg-BG"/>
        </w:rPr>
        <w:t>Пациенти с бъбречно или чернодробно увреждане</w:t>
      </w:r>
    </w:p>
    <w:p w14:paraId="6A110C39" w14:textId="5C98D529" w:rsidR="00C316B4" w:rsidRPr="00C316B4" w:rsidRDefault="00C316B4" w:rsidP="00C316B4">
      <w:pPr>
        <w:rPr>
          <w:rFonts w:cs="Arial"/>
        </w:rPr>
      </w:pPr>
      <w:r w:rsidRPr="00C316B4">
        <w:rPr>
          <w:rFonts w:eastAsia="Times New Roman" w:cs="Arial"/>
          <w:color w:val="000000"/>
          <w:lang w:eastAsia="bg-BG"/>
        </w:rPr>
        <w:t>Препоръчителни начални и поддържащи дози при пациенти с нарушена бъбречна функция.</w:t>
      </w:r>
    </w:p>
    <w:p w14:paraId="30213459" w14:textId="2C414D8A" w:rsidR="00C316B4" w:rsidRDefault="00C316B4" w:rsidP="0091385D"/>
    <w:tbl>
      <w:tblPr>
        <w:tblStyle w:val="TableGrid"/>
        <w:tblW w:w="0" w:type="auto"/>
        <w:tblLook w:val="04A0" w:firstRow="1" w:lastRow="0" w:firstColumn="1" w:lastColumn="0" w:noHBand="0" w:noVBand="1"/>
      </w:tblPr>
      <w:tblGrid>
        <w:gridCol w:w="3166"/>
        <w:gridCol w:w="3167"/>
        <w:gridCol w:w="3167"/>
      </w:tblGrid>
      <w:tr w:rsidR="007D47DC" w14:paraId="5D8E7B39" w14:textId="77777777" w:rsidTr="007D47DC">
        <w:tc>
          <w:tcPr>
            <w:tcW w:w="3166" w:type="dxa"/>
          </w:tcPr>
          <w:p w14:paraId="0132B81B" w14:textId="7AE24D38" w:rsidR="007D47DC" w:rsidRDefault="007D47DC" w:rsidP="007D47DC">
            <w:r>
              <w:rPr>
                <w:b/>
                <w:bCs/>
              </w:rPr>
              <w:t xml:space="preserve">Креатининов клирънс </w:t>
            </w:r>
            <w:r>
              <w:rPr>
                <w:b/>
                <w:bCs/>
                <w:lang w:val="en-US"/>
              </w:rPr>
              <w:lastRenderedPageBreak/>
              <w:t>[ml/min/1,73 m</w:t>
            </w:r>
            <w:r>
              <w:rPr>
                <w:b/>
                <w:bCs/>
                <w:vertAlign w:val="superscript"/>
                <w:lang w:val="en-US"/>
              </w:rPr>
              <w:t>2</w:t>
            </w:r>
            <w:r>
              <w:rPr>
                <w:b/>
                <w:bCs/>
                <w:lang w:val="en-US"/>
              </w:rPr>
              <w:t>]</w:t>
            </w:r>
          </w:p>
        </w:tc>
        <w:tc>
          <w:tcPr>
            <w:tcW w:w="3167" w:type="dxa"/>
          </w:tcPr>
          <w:p w14:paraId="11CD963D" w14:textId="56B95860" w:rsidR="007D47DC" w:rsidRDefault="007D47DC" w:rsidP="007D47DC">
            <w:r>
              <w:rPr>
                <w:b/>
                <w:bCs/>
              </w:rPr>
              <w:lastRenderedPageBreak/>
              <w:t xml:space="preserve">Серумен креатинин </w:t>
            </w:r>
            <w:r>
              <w:rPr>
                <w:b/>
                <w:bCs/>
                <w:lang w:val="en-US"/>
              </w:rPr>
              <w:lastRenderedPageBreak/>
              <w:t>[</w:t>
            </w:r>
            <w:r>
              <w:rPr>
                <w:b/>
                <w:bCs/>
              </w:rPr>
              <w:t>μ</w:t>
            </w:r>
            <w:proofErr w:type="spellStart"/>
            <w:r>
              <w:rPr>
                <w:b/>
                <w:bCs/>
                <w:lang w:val="en-US"/>
              </w:rPr>
              <w:t>mol</w:t>
            </w:r>
            <w:proofErr w:type="spellEnd"/>
            <w:r>
              <w:rPr>
                <w:b/>
                <w:bCs/>
                <w:lang w:val="en-US"/>
              </w:rPr>
              <w:t>/l]</w:t>
            </w:r>
          </w:p>
        </w:tc>
        <w:tc>
          <w:tcPr>
            <w:tcW w:w="3167" w:type="dxa"/>
          </w:tcPr>
          <w:p w14:paraId="17095F02" w14:textId="1F803E9B" w:rsidR="007D47DC" w:rsidRDefault="007D47DC" w:rsidP="007D47DC">
            <w:r>
              <w:rPr>
                <w:b/>
                <w:bCs/>
              </w:rPr>
              <w:lastRenderedPageBreak/>
              <w:t xml:space="preserve">Перорална доза </w:t>
            </w:r>
            <w:r>
              <w:rPr>
                <w:b/>
                <w:bCs/>
                <w:lang w:val="en-US"/>
              </w:rPr>
              <w:t>[mg]</w:t>
            </w:r>
          </w:p>
        </w:tc>
      </w:tr>
      <w:tr w:rsidR="007D47DC" w14:paraId="3FEA8A68" w14:textId="77777777" w:rsidTr="007D47DC">
        <w:tc>
          <w:tcPr>
            <w:tcW w:w="3166" w:type="dxa"/>
          </w:tcPr>
          <w:p w14:paraId="3E1A1156" w14:textId="15EE9116" w:rsidR="007D47DC" w:rsidRDefault="007D47DC" w:rsidP="007D47DC">
            <w:r>
              <w:t>&gt;60</w:t>
            </w:r>
          </w:p>
        </w:tc>
        <w:tc>
          <w:tcPr>
            <w:tcW w:w="3167" w:type="dxa"/>
          </w:tcPr>
          <w:p w14:paraId="0917E750" w14:textId="7C40A51F" w:rsidR="007D47DC" w:rsidRDefault="007D47DC" w:rsidP="007D47DC">
            <w:r>
              <w:t>&lt; 124</w:t>
            </w:r>
          </w:p>
        </w:tc>
        <w:tc>
          <w:tcPr>
            <w:tcW w:w="3167" w:type="dxa"/>
          </w:tcPr>
          <w:p w14:paraId="75119E15" w14:textId="570B95F0" w:rsidR="007D47DC" w:rsidRDefault="007D47DC" w:rsidP="007D47DC">
            <w:r>
              <w:t>Вижте обичайните дози</w:t>
            </w:r>
          </w:p>
        </w:tc>
      </w:tr>
      <w:tr w:rsidR="007D47DC" w14:paraId="0C432EA9" w14:textId="77777777" w:rsidTr="007D47DC">
        <w:tc>
          <w:tcPr>
            <w:tcW w:w="3166" w:type="dxa"/>
          </w:tcPr>
          <w:p w14:paraId="23CC9E83" w14:textId="728405CE" w:rsidR="007D47DC" w:rsidRDefault="007D47DC" w:rsidP="007D47DC">
            <w:r>
              <w:t>30-60</w:t>
            </w:r>
          </w:p>
        </w:tc>
        <w:tc>
          <w:tcPr>
            <w:tcW w:w="3167" w:type="dxa"/>
          </w:tcPr>
          <w:p w14:paraId="7BE9BC30" w14:textId="4DDFA613" w:rsidR="007D47DC" w:rsidRDefault="007D47DC" w:rsidP="007D47DC">
            <w:r>
              <w:t>124 до 168</w:t>
            </w:r>
          </w:p>
        </w:tc>
        <w:tc>
          <w:tcPr>
            <w:tcW w:w="3167" w:type="dxa"/>
          </w:tcPr>
          <w:p w14:paraId="50E56AE8" w14:textId="17F2F2A8" w:rsidR="007D47DC" w:rsidRDefault="007D47DC" w:rsidP="007D47DC">
            <w:r>
              <w:t xml:space="preserve">250 - 500 </w:t>
            </w:r>
            <w:r>
              <w:rPr>
                <w:lang w:val="en-US"/>
              </w:rPr>
              <w:t xml:space="preserve">mg </w:t>
            </w:r>
            <w:r>
              <w:t xml:space="preserve">на всеки 12 </w:t>
            </w:r>
            <w:r>
              <w:rPr>
                <w:lang w:val="en-US"/>
              </w:rPr>
              <w:t>h</w:t>
            </w:r>
          </w:p>
        </w:tc>
      </w:tr>
      <w:tr w:rsidR="007D47DC" w14:paraId="26513698" w14:textId="77777777" w:rsidTr="007D47DC">
        <w:tc>
          <w:tcPr>
            <w:tcW w:w="3166" w:type="dxa"/>
          </w:tcPr>
          <w:p w14:paraId="0861BDD9" w14:textId="5E53E302" w:rsidR="007D47DC" w:rsidRDefault="007D47DC" w:rsidP="007D47DC">
            <w:r>
              <w:t>&lt;30</w:t>
            </w:r>
          </w:p>
        </w:tc>
        <w:tc>
          <w:tcPr>
            <w:tcW w:w="3167" w:type="dxa"/>
          </w:tcPr>
          <w:p w14:paraId="28BCE701" w14:textId="5338A49C" w:rsidR="007D47DC" w:rsidRDefault="007D47DC" w:rsidP="007D47DC">
            <w:r>
              <w:t>&gt; 169</w:t>
            </w:r>
          </w:p>
        </w:tc>
        <w:tc>
          <w:tcPr>
            <w:tcW w:w="3167" w:type="dxa"/>
          </w:tcPr>
          <w:p w14:paraId="71F6DB8A" w14:textId="3F0FC931" w:rsidR="007D47DC" w:rsidRDefault="007D47DC" w:rsidP="007D47DC">
            <w:r>
              <w:t xml:space="preserve">250 - 500 </w:t>
            </w:r>
            <w:r>
              <w:rPr>
                <w:lang w:val="en-US"/>
              </w:rPr>
              <w:t xml:space="preserve">mg </w:t>
            </w:r>
            <w:r>
              <w:t xml:space="preserve">на всеки 24 </w:t>
            </w:r>
            <w:r>
              <w:rPr>
                <w:lang w:val="en-US"/>
              </w:rPr>
              <w:t>h</w:t>
            </w:r>
          </w:p>
        </w:tc>
      </w:tr>
      <w:tr w:rsidR="007D47DC" w14:paraId="2CD594E7" w14:textId="77777777" w:rsidTr="007D47DC">
        <w:tc>
          <w:tcPr>
            <w:tcW w:w="3166" w:type="dxa"/>
          </w:tcPr>
          <w:p w14:paraId="14A829A2" w14:textId="5BA63271" w:rsidR="007D47DC" w:rsidRDefault="007D47DC" w:rsidP="007D47DC">
            <w:r>
              <w:t>Пациенти на хемодиализа</w:t>
            </w:r>
          </w:p>
        </w:tc>
        <w:tc>
          <w:tcPr>
            <w:tcW w:w="3167" w:type="dxa"/>
          </w:tcPr>
          <w:p w14:paraId="1251D91D" w14:textId="11EA0A7F" w:rsidR="007D47DC" w:rsidRDefault="007D47DC" w:rsidP="007D47DC">
            <w:r>
              <w:t>&gt;169</w:t>
            </w:r>
          </w:p>
        </w:tc>
        <w:tc>
          <w:tcPr>
            <w:tcW w:w="3167" w:type="dxa"/>
          </w:tcPr>
          <w:p w14:paraId="6902D5EB" w14:textId="5AA15DC3" w:rsidR="007D47DC" w:rsidRDefault="007D47DC" w:rsidP="007D47DC">
            <w:r>
              <w:t xml:space="preserve">250 - 500 </w:t>
            </w:r>
            <w:r>
              <w:rPr>
                <w:lang w:val="en-US"/>
              </w:rPr>
              <w:t xml:space="preserve">mg </w:t>
            </w:r>
            <w:r>
              <w:t xml:space="preserve">на всеки 24 </w:t>
            </w:r>
            <w:r>
              <w:rPr>
                <w:lang w:val="en-US"/>
              </w:rPr>
              <w:t xml:space="preserve">h </w:t>
            </w:r>
            <w:r>
              <w:t>(след диализа)</w:t>
            </w:r>
          </w:p>
        </w:tc>
      </w:tr>
      <w:tr w:rsidR="007D47DC" w14:paraId="0A2FCAA2" w14:textId="77777777" w:rsidTr="007D47DC">
        <w:tc>
          <w:tcPr>
            <w:tcW w:w="3166" w:type="dxa"/>
          </w:tcPr>
          <w:p w14:paraId="18BE376A" w14:textId="7B96E172" w:rsidR="007D47DC" w:rsidRDefault="007D47DC" w:rsidP="007D47DC">
            <w:r>
              <w:t>Пациенти на перитонеална диализа</w:t>
            </w:r>
          </w:p>
        </w:tc>
        <w:tc>
          <w:tcPr>
            <w:tcW w:w="3167" w:type="dxa"/>
          </w:tcPr>
          <w:p w14:paraId="54609AA6" w14:textId="6653C9EC" w:rsidR="007D47DC" w:rsidRDefault="007D47DC" w:rsidP="007D47DC">
            <w:r>
              <w:t>&gt; 169</w:t>
            </w:r>
          </w:p>
        </w:tc>
        <w:tc>
          <w:tcPr>
            <w:tcW w:w="3167" w:type="dxa"/>
          </w:tcPr>
          <w:p w14:paraId="1919B48A" w14:textId="37765826" w:rsidR="007D47DC" w:rsidRDefault="007D47DC" w:rsidP="007D47DC">
            <w:r>
              <w:t xml:space="preserve">250 - 500 </w:t>
            </w:r>
            <w:r>
              <w:rPr>
                <w:lang w:val="en-US"/>
              </w:rPr>
              <w:t xml:space="preserve">mg </w:t>
            </w:r>
            <w:r>
              <w:t xml:space="preserve">на всеки 24 </w:t>
            </w:r>
            <w:r>
              <w:rPr>
                <w:lang w:val="en-US"/>
              </w:rPr>
              <w:t>h</w:t>
            </w:r>
          </w:p>
        </w:tc>
      </w:tr>
    </w:tbl>
    <w:p w14:paraId="60486C97" w14:textId="667D5AAD" w:rsidR="007D47DC" w:rsidRDefault="007D47DC" w:rsidP="0091385D"/>
    <w:p w14:paraId="0406A6FE"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Не се налага коригиране на дозата при пациенти с увредена чернодробна функция.</w:t>
      </w:r>
    </w:p>
    <w:p w14:paraId="0E4104DD"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Няма данни от клинични проучвания за необходимата дозировка при деца с увредена бъбречна и/или чернодробна функция.</w:t>
      </w:r>
    </w:p>
    <w:p w14:paraId="66FB6385" w14:textId="77777777" w:rsidR="007D47DC" w:rsidRPr="007D47DC" w:rsidRDefault="007D47DC" w:rsidP="007D47DC">
      <w:pPr>
        <w:spacing w:line="240" w:lineRule="auto"/>
        <w:rPr>
          <w:rFonts w:eastAsia="Times New Roman" w:cs="Arial"/>
          <w:color w:val="000000"/>
          <w:u w:val="single"/>
          <w:lang w:eastAsia="bg-BG"/>
        </w:rPr>
      </w:pPr>
    </w:p>
    <w:p w14:paraId="6F645AAA" w14:textId="72B6B99B" w:rsidR="007D47DC" w:rsidRPr="007D47DC" w:rsidRDefault="007D47DC" w:rsidP="007D47DC">
      <w:pPr>
        <w:pStyle w:val="Heading3"/>
        <w:rPr>
          <w:rFonts w:eastAsia="Times New Roman"/>
          <w:u w:val="single"/>
          <w:lang w:eastAsia="bg-BG"/>
        </w:rPr>
      </w:pPr>
      <w:r w:rsidRPr="007D47DC">
        <w:rPr>
          <w:rFonts w:eastAsia="Times New Roman"/>
          <w:u w:val="single"/>
          <w:lang w:eastAsia="bg-BG"/>
        </w:rPr>
        <w:t>Начин на приложение</w:t>
      </w:r>
    </w:p>
    <w:p w14:paraId="77F7176D"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Таблетките трябва да се гълтат с течности, без да се дъвчат. Могат да се приемат със или без храна. Ако се приемат на празен стомах, активното вещество се резорбира по-бързо.</w:t>
      </w:r>
    </w:p>
    <w:p w14:paraId="5D4AB18C"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Таблетките ципрофлоксацин не трябва да се приемат с млечни продукти (напр. прясно мляко, кисело мляко) или с обогатени с минерали плодови сокове (напр. обогатен с калций портокалов сок) (вж. точка 4.5).</w:t>
      </w:r>
    </w:p>
    <w:p w14:paraId="28508318" w14:textId="77777777" w:rsidR="007D47DC" w:rsidRPr="007D47DC" w:rsidRDefault="007D47DC" w:rsidP="007D47DC">
      <w:pPr>
        <w:rPr>
          <w:rFonts w:eastAsia="Times New Roman" w:cs="Arial"/>
          <w:color w:val="000000"/>
          <w:lang w:eastAsia="bg-BG"/>
        </w:rPr>
      </w:pPr>
    </w:p>
    <w:p w14:paraId="720C9708" w14:textId="5525DB07" w:rsidR="007D47DC" w:rsidRPr="007D47DC" w:rsidRDefault="007D47DC" w:rsidP="007D47DC">
      <w:pPr>
        <w:rPr>
          <w:rFonts w:cs="Arial"/>
        </w:rPr>
      </w:pPr>
      <w:r w:rsidRPr="007D47DC">
        <w:rPr>
          <w:rFonts w:eastAsia="Times New Roman" w:cs="Arial"/>
          <w:color w:val="000000"/>
          <w:lang w:eastAsia="bg-BG"/>
        </w:rPr>
        <w:t>При тежки случаи или в случай, че пациентът не може да поглъща таблетки (напр. при пациенти на парентерално хранене), се препоръчва терапията да започне с интравенозно приложение на ципрофлоксацин, след което лечението може да продължи перорално.</w:t>
      </w:r>
    </w:p>
    <w:p w14:paraId="076EC4DC" w14:textId="77777777" w:rsidR="007D47DC" w:rsidRPr="0091385D" w:rsidRDefault="007D47DC"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4A7136AA" w14:textId="77777777" w:rsidR="007D47DC" w:rsidRPr="007D47DC" w:rsidRDefault="007D47DC" w:rsidP="007D47DC">
      <w:pPr>
        <w:pStyle w:val="ListParagraph"/>
        <w:numPr>
          <w:ilvl w:val="0"/>
          <w:numId w:val="39"/>
        </w:numPr>
        <w:spacing w:line="240" w:lineRule="auto"/>
        <w:rPr>
          <w:rFonts w:eastAsia="Times New Roman" w:cs="Arial"/>
          <w:sz w:val="24"/>
          <w:szCs w:val="24"/>
          <w:lang w:eastAsia="bg-BG"/>
        </w:rPr>
      </w:pPr>
      <w:r w:rsidRPr="007D47DC">
        <w:rPr>
          <w:rFonts w:eastAsia="Times New Roman" w:cs="Arial"/>
          <w:color w:val="000000"/>
          <w:lang w:eastAsia="bg-BG"/>
        </w:rPr>
        <w:t>Свръхчувствителност към активното вещество, към други хинолони или към някое от помощните вещества, изброени в точка 6.1.</w:t>
      </w:r>
    </w:p>
    <w:p w14:paraId="2309EAB0" w14:textId="39D5642F" w:rsidR="0091385D" w:rsidRPr="007D47DC" w:rsidRDefault="007D47DC" w:rsidP="007D47DC">
      <w:pPr>
        <w:pStyle w:val="ListParagraph"/>
        <w:numPr>
          <w:ilvl w:val="0"/>
          <w:numId w:val="39"/>
        </w:numPr>
        <w:spacing w:line="240" w:lineRule="auto"/>
        <w:rPr>
          <w:rFonts w:eastAsia="Times New Roman" w:cs="Arial"/>
          <w:sz w:val="24"/>
          <w:szCs w:val="24"/>
          <w:lang w:eastAsia="bg-BG"/>
        </w:rPr>
      </w:pPr>
      <w:r w:rsidRPr="007D47DC">
        <w:rPr>
          <w:rFonts w:eastAsia="Times New Roman" w:cs="Arial"/>
          <w:color w:val="000000"/>
          <w:lang w:eastAsia="bg-BG"/>
        </w:rPr>
        <w:t>Едновременно приложение на ципрофлоксацин с тизанидин (вж. т.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5C272619"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Употребата на ципрофлоксацин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ципрофлоксацин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64ED7B4D"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 xml:space="preserve">Тежки инфекции и смесени инфекции с Грам-положителни и анаеробни патогени </w:t>
      </w:r>
      <w:r w:rsidRPr="007D47DC">
        <w:rPr>
          <w:rFonts w:eastAsia="Times New Roman" w:cs="Arial"/>
          <w:color w:val="000000"/>
          <w:lang w:eastAsia="bg-BG"/>
        </w:rPr>
        <w:t>Ципрофлоксацин не е подходящ за лечение на тежки инфекции и инфекции, причинени от Грам-положителни или анаеробни патогени. При подобни инфекции ципрофлоксацин трябва да се прилага едновременно с други подходящи антибактериални средства.</w:t>
      </w:r>
    </w:p>
    <w:p w14:paraId="74F2A7B9" w14:textId="77777777" w:rsidR="007D47DC" w:rsidRPr="007D47DC" w:rsidRDefault="007D47DC" w:rsidP="007D47DC">
      <w:pPr>
        <w:spacing w:line="240" w:lineRule="auto"/>
        <w:rPr>
          <w:rFonts w:eastAsia="Times New Roman" w:cs="Arial"/>
          <w:color w:val="000000"/>
          <w:u w:val="single"/>
          <w:lang w:eastAsia="bg-BG"/>
        </w:rPr>
      </w:pPr>
    </w:p>
    <w:p w14:paraId="05A01A3C" w14:textId="66D42DEC"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 xml:space="preserve">Стрептококови инфекции (включително причинени от </w:t>
      </w:r>
      <w:r w:rsidRPr="007D47DC">
        <w:rPr>
          <w:rFonts w:eastAsia="Times New Roman" w:cs="Arial"/>
          <w:i/>
          <w:iCs/>
          <w:color w:val="000000"/>
          <w:u w:val="single"/>
          <w:lang w:val="en-US"/>
        </w:rPr>
        <w:t xml:space="preserve">Streptococcus </w:t>
      </w:r>
      <w:proofErr w:type="spellStart"/>
      <w:r w:rsidRPr="007D47DC">
        <w:rPr>
          <w:rFonts w:eastAsia="Times New Roman" w:cs="Arial"/>
          <w:i/>
          <w:iCs/>
          <w:color w:val="000000"/>
          <w:u w:val="single"/>
          <w:lang w:val="en-US"/>
        </w:rPr>
        <w:t>pneumoniae</w:t>
      </w:r>
      <w:proofErr w:type="spellEnd"/>
      <w:r w:rsidRPr="007D47DC">
        <w:rPr>
          <w:rFonts w:eastAsia="Times New Roman" w:cs="Arial"/>
          <w:i/>
          <w:iCs/>
          <w:color w:val="000000"/>
          <w:u w:val="single"/>
          <w:lang w:val="en-US"/>
        </w:rPr>
        <w:t xml:space="preserve">) </w:t>
      </w:r>
      <w:r w:rsidRPr="007D47DC">
        <w:rPr>
          <w:rFonts w:eastAsia="Times New Roman" w:cs="Arial"/>
          <w:color w:val="000000"/>
          <w:lang w:eastAsia="bg-BG"/>
        </w:rPr>
        <w:t>Ципрофлоксацин не се препоръчва за лечение на стрептококови инфекции поради недостатъчна ефикасност.</w:t>
      </w:r>
    </w:p>
    <w:p w14:paraId="14AF6796" w14:textId="77777777" w:rsidR="007D47DC" w:rsidRPr="007D47DC" w:rsidRDefault="007D47DC" w:rsidP="007D47DC">
      <w:pPr>
        <w:spacing w:line="240" w:lineRule="auto"/>
        <w:rPr>
          <w:rFonts w:eastAsia="Times New Roman" w:cs="Arial"/>
          <w:color w:val="000000"/>
          <w:u w:val="single"/>
          <w:lang w:eastAsia="bg-BG"/>
        </w:rPr>
      </w:pPr>
    </w:p>
    <w:p w14:paraId="6A1B1A6E" w14:textId="1C19611D"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Инфекции на гениталния тракт</w:t>
      </w:r>
    </w:p>
    <w:p w14:paraId="2CD1D55D"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lastRenderedPageBreak/>
        <w:t xml:space="preserve">Причинител на гонококов уретрит, цервициг, орхиепидидимит и възпалителни заболявания на тазовите органи може да бъде флуорохинолон-резистентна </w:t>
      </w:r>
      <w:r w:rsidRPr="007D47DC">
        <w:rPr>
          <w:rFonts w:eastAsia="Times New Roman" w:cs="Arial"/>
          <w:i/>
          <w:iCs/>
          <w:color w:val="000000"/>
          <w:lang w:val="en-US"/>
        </w:rPr>
        <w:t xml:space="preserve">Neisseria </w:t>
      </w:r>
      <w:proofErr w:type="spellStart"/>
      <w:r w:rsidRPr="007D47DC">
        <w:rPr>
          <w:rFonts w:eastAsia="Times New Roman" w:cs="Arial"/>
          <w:i/>
          <w:iCs/>
          <w:color w:val="000000"/>
          <w:lang w:val="en-US"/>
        </w:rPr>
        <w:t>gonorrhoeae</w:t>
      </w:r>
      <w:proofErr w:type="spellEnd"/>
      <w:r w:rsidRPr="007D47DC">
        <w:rPr>
          <w:rFonts w:eastAsia="Times New Roman" w:cs="Arial"/>
          <w:i/>
          <w:iCs/>
          <w:color w:val="000000"/>
          <w:lang w:val="en-US"/>
        </w:rPr>
        <w:t>.</w:t>
      </w:r>
    </w:p>
    <w:p w14:paraId="08F31DBD"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 xml:space="preserve">Поради тази причина ципрофлоксацин трябва да се прилага за лечение на гонококов уретрит или цервицит, само когато не е причинен от ципрофлоксацин-резистентна </w:t>
      </w:r>
      <w:proofErr w:type="spellStart"/>
      <w:r w:rsidRPr="007D47DC">
        <w:rPr>
          <w:rFonts w:eastAsia="Times New Roman" w:cs="Arial"/>
          <w:i/>
          <w:iCs/>
          <w:color w:val="000000"/>
          <w:lang w:val="en-US"/>
        </w:rPr>
        <w:t>Neisserin</w:t>
      </w:r>
      <w:proofErr w:type="spellEnd"/>
    </w:p>
    <w:p w14:paraId="71C8A40A" w14:textId="77777777" w:rsidR="007D47DC" w:rsidRPr="007D47DC" w:rsidRDefault="007D47DC" w:rsidP="007D47DC">
      <w:pPr>
        <w:spacing w:line="240" w:lineRule="auto"/>
        <w:rPr>
          <w:rFonts w:eastAsia="Times New Roman" w:cs="Arial"/>
          <w:sz w:val="24"/>
          <w:szCs w:val="24"/>
          <w:lang w:eastAsia="bg-BG"/>
        </w:rPr>
      </w:pPr>
      <w:proofErr w:type="spellStart"/>
      <w:proofErr w:type="gramStart"/>
      <w:r w:rsidRPr="007D47DC">
        <w:rPr>
          <w:rFonts w:eastAsia="Times New Roman" w:cs="Arial"/>
          <w:i/>
          <w:iCs/>
          <w:color w:val="000000"/>
          <w:lang w:val="en-US"/>
        </w:rPr>
        <w:t>gonorrhoeae</w:t>
      </w:r>
      <w:proofErr w:type="spellEnd"/>
      <w:proofErr w:type="gramEnd"/>
      <w:r w:rsidRPr="007D47DC">
        <w:rPr>
          <w:rFonts w:eastAsia="Times New Roman" w:cs="Arial"/>
          <w:i/>
          <w:iCs/>
          <w:color w:val="000000"/>
          <w:lang w:val="en-US"/>
        </w:rPr>
        <w:t>.</w:t>
      </w:r>
    </w:p>
    <w:p w14:paraId="69943A9A" w14:textId="77777777" w:rsidR="007D47DC" w:rsidRPr="007D47DC" w:rsidRDefault="007D47DC" w:rsidP="007D47DC">
      <w:pPr>
        <w:rPr>
          <w:rFonts w:eastAsia="Times New Roman" w:cs="Arial"/>
          <w:sz w:val="24"/>
          <w:szCs w:val="24"/>
          <w:lang w:eastAsia="bg-BG"/>
        </w:rPr>
      </w:pPr>
      <w:r w:rsidRPr="007D47DC">
        <w:rPr>
          <w:rFonts w:eastAsia="Times New Roman" w:cs="Arial"/>
          <w:color w:val="000000"/>
          <w:lang w:eastAsia="bg-BG"/>
        </w:rPr>
        <w:t>При орхиепидидимит и възпалителни заболявания на тазовите органи ципрофлоксацин, може да</w:t>
      </w:r>
      <w:r w:rsidRPr="007D47DC">
        <w:rPr>
          <w:rFonts w:eastAsia="Times New Roman" w:cs="Arial"/>
          <w:color w:val="000000"/>
          <w:lang w:val="en-US" w:eastAsia="bg-BG"/>
        </w:rPr>
        <w:t xml:space="preserve"> </w:t>
      </w:r>
      <w:r w:rsidRPr="007D47DC">
        <w:rPr>
          <w:rFonts w:eastAsia="Times New Roman" w:cs="Arial"/>
          <w:color w:val="000000"/>
          <w:lang w:eastAsia="bg-BG"/>
        </w:rPr>
        <w:t xml:space="preserve">се прилага едновременно с друго подходящо антибактериално средство (напр. цефалоспорин), освен ако тези заболявания не са причинени от ципрофлоксацин-резистентна </w:t>
      </w:r>
      <w:r w:rsidRPr="007D47DC">
        <w:rPr>
          <w:rFonts w:eastAsia="Times New Roman" w:cs="Arial"/>
          <w:i/>
          <w:iCs/>
          <w:color w:val="000000"/>
          <w:lang w:val="en-US"/>
        </w:rPr>
        <w:t xml:space="preserve">Neisseria </w:t>
      </w:r>
      <w:proofErr w:type="spellStart"/>
      <w:r w:rsidRPr="007D47DC">
        <w:rPr>
          <w:rFonts w:eastAsia="Times New Roman" w:cs="Arial"/>
          <w:i/>
          <w:iCs/>
          <w:color w:val="000000"/>
          <w:lang w:val="en-US"/>
        </w:rPr>
        <w:t>gonorrhoeae</w:t>
      </w:r>
      <w:proofErr w:type="spellEnd"/>
      <w:r w:rsidRPr="007D47DC">
        <w:rPr>
          <w:rFonts w:eastAsia="Times New Roman" w:cs="Arial"/>
          <w:i/>
          <w:iCs/>
          <w:color w:val="000000"/>
          <w:lang w:val="en-US"/>
        </w:rPr>
        <w:t>.</w:t>
      </w:r>
      <w:r w:rsidRPr="007D47DC">
        <w:rPr>
          <w:rFonts w:eastAsia="Times New Roman" w:cs="Arial"/>
          <w:color w:val="000000"/>
          <w:lang w:val="en-US"/>
        </w:rPr>
        <w:t xml:space="preserve"> </w:t>
      </w:r>
      <w:r w:rsidRPr="007D47DC">
        <w:rPr>
          <w:rFonts w:eastAsia="Times New Roman" w:cs="Arial"/>
          <w:color w:val="000000"/>
          <w:lang w:eastAsia="bg-BG"/>
        </w:rPr>
        <w:t>Ако не се постигне клинично подобрение след 3-дневно лечение, терапията трябва да се преоцени.</w:t>
      </w:r>
    </w:p>
    <w:p w14:paraId="13C25338" w14:textId="77777777" w:rsidR="007D47DC" w:rsidRPr="007D47DC" w:rsidRDefault="007D47DC" w:rsidP="007D47DC">
      <w:pPr>
        <w:spacing w:line="240" w:lineRule="auto"/>
        <w:rPr>
          <w:rFonts w:eastAsia="Times New Roman" w:cs="Arial"/>
          <w:color w:val="000000"/>
          <w:u w:val="single"/>
          <w:lang w:eastAsia="bg-BG"/>
        </w:rPr>
      </w:pPr>
    </w:p>
    <w:p w14:paraId="769906AD" w14:textId="3A7ACAC9"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Инфекции на уринарния тракт</w:t>
      </w:r>
    </w:p>
    <w:p w14:paraId="67A207CB"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 xml:space="preserve">Резистентността към флуорохинолони на </w:t>
      </w:r>
      <w:r w:rsidRPr="007D47DC">
        <w:rPr>
          <w:rFonts w:eastAsia="Times New Roman" w:cs="Arial"/>
          <w:i/>
          <w:iCs/>
          <w:color w:val="000000"/>
          <w:lang w:val="en-US"/>
        </w:rPr>
        <w:t>Escherichia coli,</w:t>
      </w:r>
      <w:r w:rsidRPr="007D47DC">
        <w:rPr>
          <w:rFonts w:eastAsia="Times New Roman" w:cs="Arial"/>
          <w:color w:val="000000"/>
          <w:lang w:val="en-US"/>
        </w:rPr>
        <w:t xml:space="preserve"> </w:t>
      </w:r>
      <w:r w:rsidRPr="007D47DC">
        <w:rPr>
          <w:rFonts w:eastAsia="Times New Roman" w:cs="Arial"/>
          <w:color w:val="000000"/>
          <w:lang w:eastAsia="bg-BG"/>
        </w:rPr>
        <w:t xml:space="preserve">най-честите патогени, причиняващи инфекции на пикочните пътища, варира в целия Европейски съюз. Препоръчително е предписващите лекари да вземат предвид разпространението на локалната резистентност на </w:t>
      </w:r>
      <w:r w:rsidRPr="007D47DC">
        <w:rPr>
          <w:rFonts w:eastAsia="Times New Roman" w:cs="Arial"/>
          <w:i/>
          <w:iCs/>
          <w:color w:val="000000"/>
          <w:lang w:val="en-US"/>
        </w:rPr>
        <w:t>Escherichia coli</w:t>
      </w:r>
      <w:r w:rsidRPr="007D47DC">
        <w:rPr>
          <w:rFonts w:eastAsia="Times New Roman" w:cs="Arial"/>
          <w:color w:val="000000"/>
          <w:lang w:val="en-US"/>
        </w:rPr>
        <w:t xml:space="preserve"> </w:t>
      </w:r>
      <w:r w:rsidRPr="007D47DC">
        <w:rPr>
          <w:rFonts w:eastAsia="Times New Roman" w:cs="Arial"/>
          <w:color w:val="000000"/>
          <w:lang w:eastAsia="bg-BG"/>
        </w:rPr>
        <w:t>към флуорохинолони.</w:t>
      </w:r>
    </w:p>
    <w:p w14:paraId="4E11D4C8"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 xml:space="preserve">Очаква се еднократната доза ципрофлоксацин, която може да се използва при неусложнен цистит при жени в предменопауза, да е свързана с по-ниска ефикасност, отколкото при по- голяма продължителност на лечението. Това също трябва да се вземе предвид, тъй като има отношение към увеличаващото се ниво на резистентност на </w:t>
      </w:r>
      <w:r w:rsidRPr="007D47DC">
        <w:rPr>
          <w:rFonts w:eastAsia="Times New Roman" w:cs="Arial"/>
          <w:i/>
          <w:iCs/>
          <w:color w:val="000000"/>
          <w:lang w:val="en-US"/>
        </w:rPr>
        <w:t>Escherichia coli</w:t>
      </w:r>
      <w:r w:rsidRPr="007D47DC">
        <w:rPr>
          <w:rFonts w:eastAsia="Times New Roman" w:cs="Arial"/>
          <w:color w:val="000000"/>
          <w:lang w:val="en-US"/>
        </w:rPr>
        <w:t xml:space="preserve"> </w:t>
      </w:r>
      <w:r w:rsidRPr="007D47DC">
        <w:rPr>
          <w:rFonts w:eastAsia="Times New Roman" w:cs="Arial"/>
          <w:color w:val="000000"/>
          <w:lang w:eastAsia="bg-BG"/>
        </w:rPr>
        <w:t>към хинолони.</w:t>
      </w:r>
    </w:p>
    <w:p w14:paraId="2E101823" w14:textId="77777777" w:rsidR="007D47DC" w:rsidRPr="007D47DC" w:rsidRDefault="007D47DC" w:rsidP="007D47DC">
      <w:pPr>
        <w:spacing w:line="240" w:lineRule="auto"/>
        <w:rPr>
          <w:rFonts w:eastAsia="Times New Roman" w:cs="Arial"/>
          <w:color w:val="000000"/>
          <w:u w:val="single"/>
          <w:lang w:eastAsia="bg-BG"/>
        </w:rPr>
      </w:pPr>
    </w:p>
    <w:p w14:paraId="1D1CD4ED" w14:textId="48EC589B"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Интраабдоминални инфекции</w:t>
      </w:r>
    </w:p>
    <w:p w14:paraId="76213A85"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Данните за ефикасността на ципрофлоксацин при лечението на постхирургични интраабдоминални инфекции са ограничени.</w:t>
      </w:r>
    </w:p>
    <w:p w14:paraId="40A9B0B1" w14:textId="77777777" w:rsidR="007D47DC" w:rsidRPr="007D47DC" w:rsidRDefault="007D47DC" w:rsidP="007D47DC">
      <w:pPr>
        <w:spacing w:line="240" w:lineRule="auto"/>
        <w:rPr>
          <w:rFonts w:eastAsia="Times New Roman" w:cs="Arial"/>
          <w:color w:val="000000"/>
          <w:u w:val="single"/>
          <w:lang w:eastAsia="bg-BG"/>
        </w:rPr>
      </w:pPr>
    </w:p>
    <w:p w14:paraId="73CF09E2" w14:textId="668CBFDF"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Диария на пътешествениците</w:t>
      </w:r>
    </w:p>
    <w:p w14:paraId="68BB0FD2"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При избора на ципрофлоксацин трябва да се има предвид информацията за резистентността към ципрофлоксацин на съответните патогени в посетените страни.</w:t>
      </w:r>
    </w:p>
    <w:p w14:paraId="1E34B191" w14:textId="77777777" w:rsidR="007D47DC" w:rsidRPr="007D47DC" w:rsidRDefault="007D47DC" w:rsidP="007D47DC">
      <w:pPr>
        <w:spacing w:line="240" w:lineRule="auto"/>
        <w:rPr>
          <w:rFonts w:eastAsia="Times New Roman" w:cs="Arial"/>
          <w:color w:val="000000"/>
          <w:u w:val="single"/>
          <w:lang w:eastAsia="bg-BG"/>
        </w:rPr>
      </w:pPr>
    </w:p>
    <w:p w14:paraId="6B5ADAB5" w14:textId="1F23099E"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Инфекции на костите и ставите</w:t>
      </w:r>
    </w:p>
    <w:p w14:paraId="17852F6B"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Ципрофлоксацин трябва да се използва в комбинация с други антимикробни средства в зависимост от резултатите от микробиологичните изследвания.</w:t>
      </w:r>
    </w:p>
    <w:p w14:paraId="25EA0DE0" w14:textId="77777777" w:rsidR="007D47DC" w:rsidRPr="007D47DC" w:rsidRDefault="007D47DC" w:rsidP="007D47DC">
      <w:pPr>
        <w:spacing w:line="240" w:lineRule="auto"/>
        <w:rPr>
          <w:rFonts w:eastAsia="Times New Roman" w:cs="Arial"/>
          <w:color w:val="000000"/>
          <w:u w:val="single"/>
          <w:lang w:eastAsia="bg-BG"/>
        </w:rPr>
      </w:pPr>
    </w:p>
    <w:p w14:paraId="6B78D171" w14:textId="383A0BF8"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Инхалаторен антракс</w:t>
      </w:r>
    </w:p>
    <w:p w14:paraId="1507D763"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 xml:space="preserve">Използването при хора се основава на данни за чувствителността </w:t>
      </w:r>
      <w:r w:rsidRPr="007D47DC">
        <w:rPr>
          <w:rFonts w:eastAsia="Times New Roman" w:cs="Arial"/>
          <w:i/>
          <w:iCs/>
          <w:color w:val="000000"/>
          <w:lang w:val="en-US"/>
        </w:rPr>
        <w:t>in vitro</w:t>
      </w:r>
      <w:r w:rsidRPr="007D47DC">
        <w:rPr>
          <w:rFonts w:eastAsia="Times New Roman" w:cs="Arial"/>
          <w:color w:val="000000"/>
          <w:lang w:val="en-US"/>
        </w:rPr>
        <w:t xml:space="preserve"> </w:t>
      </w:r>
      <w:r w:rsidRPr="007D47DC">
        <w:rPr>
          <w:rFonts w:eastAsia="Times New Roman" w:cs="Arial"/>
          <w:color w:val="000000"/>
          <w:lang w:eastAsia="bg-BG"/>
        </w:rPr>
        <w:t>и експериментални данни при животни. При лечението се спазват националните и/или международни консенсусни документи по отношение на лечението на антракс.</w:t>
      </w:r>
    </w:p>
    <w:p w14:paraId="5057BAA7" w14:textId="77777777" w:rsidR="007D47DC" w:rsidRPr="007D47DC" w:rsidRDefault="007D47DC" w:rsidP="007D47DC">
      <w:pPr>
        <w:spacing w:line="240" w:lineRule="auto"/>
        <w:rPr>
          <w:rFonts w:eastAsia="Times New Roman" w:cs="Arial"/>
          <w:i/>
          <w:iCs/>
          <w:color w:val="000000"/>
          <w:lang w:eastAsia="bg-BG"/>
        </w:rPr>
      </w:pPr>
    </w:p>
    <w:p w14:paraId="68DEA3D7" w14:textId="0AD2B433" w:rsidR="007D47DC" w:rsidRPr="007D47DC" w:rsidRDefault="007D47DC" w:rsidP="007D47DC">
      <w:pPr>
        <w:spacing w:line="240" w:lineRule="auto"/>
        <w:rPr>
          <w:rFonts w:eastAsia="Times New Roman" w:cs="Arial"/>
          <w:sz w:val="24"/>
          <w:szCs w:val="24"/>
          <w:lang w:eastAsia="bg-BG"/>
        </w:rPr>
      </w:pPr>
      <w:r w:rsidRPr="007D47DC">
        <w:rPr>
          <w:rFonts w:eastAsia="Times New Roman" w:cs="Arial"/>
          <w:i/>
          <w:iCs/>
          <w:color w:val="000000"/>
          <w:lang w:eastAsia="bg-BG"/>
        </w:rPr>
        <w:t>Продължителни, инвалидизиращи и потенциално необратими сериозни нежелани лекарствени реакции</w:t>
      </w:r>
    </w:p>
    <w:p w14:paraId="30BE2D0A" w14:textId="77777777" w:rsidR="007D47DC" w:rsidRPr="007D47DC" w:rsidRDefault="007D47DC" w:rsidP="007D47DC">
      <w:pPr>
        <w:spacing w:line="240" w:lineRule="auto"/>
        <w:rPr>
          <w:rFonts w:eastAsia="Times New Roman" w:cs="Arial"/>
          <w:color w:val="000000"/>
          <w:lang w:eastAsia="bg-BG"/>
        </w:rPr>
      </w:pPr>
    </w:p>
    <w:p w14:paraId="404055C2" w14:textId="21FAE209"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 xml:space="preserve">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Ципрофлоксацин трябва да се спре незабавно при първите признаци или </w:t>
      </w:r>
      <w:r w:rsidRPr="007D47DC">
        <w:rPr>
          <w:rFonts w:eastAsia="Times New Roman" w:cs="Arial"/>
          <w:color w:val="000000"/>
          <w:lang w:eastAsia="bg-BG"/>
        </w:rPr>
        <w:lastRenderedPageBreak/>
        <w:t>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394F74A1" w14:textId="77777777" w:rsidR="007D47DC" w:rsidRPr="007D47DC" w:rsidRDefault="007D47DC" w:rsidP="007D47DC">
      <w:pPr>
        <w:spacing w:line="240" w:lineRule="auto"/>
        <w:rPr>
          <w:rFonts w:eastAsia="Times New Roman" w:cs="Arial"/>
          <w:color w:val="000000"/>
          <w:u w:val="single"/>
          <w:lang w:eastAsia="bg-BG"/>
        </w:rPr>
      </w:pPr>
    </w:p>
    <w:p w14:paraId="7F26C778" w14:textId="50A0865D"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Педиатрична популапия</w:t>
      </w:r>
    </w:p>
    <w:p w14:paraId="0DBF3830"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Употребата на ципрофлоксацин при деца и юноши е съгласно наличното официално ръководство. Лечението с ципрофлоксацин трябва да се започва само от лекари, които имат опит при лечение на кистозна фиброза и/или тежки инфекции при деца и юноши.</w:t>
      </w:r>
    </w:p>
    <w:p w14:paraId="713BE631" w14:textId="77777777" w:rsidR="007D47DC" w:rsidRPr="007D47DC" w:rsidRDefault="007D47DC" w:rsidP="007D47DC">
      <w:pPr>
        <w:rPr>
          <w:rFonts w:eastAsia="Times New Roman" w:cs="Arial"/>
          <w:color w:val="000000"/>
          <w:lang w:eastAsia="bg-BG"/>
        </w:rPr>
      </w:pPr>
    </w:p>
    <w:p w14:paraId="02FE651C" w14:textId="77777777" w:rsidR="007D47DC" w:rsidRDefault="007D47DC" w:rsidP="007D47DC">
      <w:r w:rsidRPr="007D47DC">
        <w:rPr>
          <w:rFonts w:eastAsia="Times New Roman" w:cs="Arial"/>
          <w:color w:val="000000"/>
          <w:lang w:eastAsia="bg-BG"/>
        </w:rPr>
        <w:t xml:space="preserve">Установено е, че ципрофлоксацин предизвиква артропатия на носещите стави при млади животни, недостигнали полова зрелост. Данните за безопасност от едно рандомизирано  двойно-сляпо проучване след прилагането на ципрофлоксацин при деца (група на </w:t>
      </w:r>
      <w:r w:rsidRPr="007D47DC">
        <w:rPr>
          <w:rFonts w:eastAsia="Times New Roman" w:cs="Arial"/>
          <w:i/>
          <w:iCs/>
          <w:color w:val="000000"/>
          <w:lang w:eastAsia="bg-BG"/>
        </w:rPr>
        <w:t xml:space="preserve"> </w:t>
      </w:r>
      <w:r w:rsidRPr="007D47DC">
        <w:rPr>
          <w:rFonts w:eastAsia="Times New Roman" w:cs="Arial"/>
          <w:color w:val="000000"/>
          <w:lang w:eastAsia="bg-BG"/>
        </w:rPr>
        <w:t xml:space="preserve">ципрофлоксацин: </w:t>
      </w:r>
      <w:r w:rsidRPr="007D47DC">
        <w:rPr>
          <w:rFonts w:eastAsia="Times New Roman" w:cs="Arial"/>
          <w:color w:val="000000"/>
          <w:lang w:val="en-US"/>
        </w:rPr>
        <w:t>n</w:t>
      </w:r>
      <w:r w:rsidRPr="007D47DC">
        <w:rPr>
          <w:rFonts w:eastAsia="Times New Roman" w:cs="Arial"/>
          <w:color w:val="000000"/>
          <w:lang w:eastAsia="bg-BG"/>
        </w:rPr>
        <w:t xml:space="preserve"> = 335, средна възраст - 6,3 години; контролна група: </w:t>
      </w:r>
      <w:r w:rsidRPr="007D47DC">
        <w:rPr>
          <w:rFonts w:eastAsia="Times New Roman" w:cs="Arial"/>
          <w:color w:val="000000"/>
          <w:lang w:val="en-US"/>
        </w:rPr>
        <w:t xml:space="preserve">n=349, </w:t>
      </w:r>
      <w:r w:rsidRPr="007D47DC">
        <w:rPr>
          <w:rFonts w:eastAsia="Times New Roman" w:cs="Arial"/>
          <w:color w:val="000000"/>
          <w:lang w:eastAsia="bg-BG"/>
        </w:rPr>
        <w:t>средна възраст = 6,2 години; възрастов диапазон = 1 до 17 години) показват, че на 42-и ден честотата на артропатия, свързана с приложението на ципрофлоксацин (установена на база клинични</w:t>
      </w:r>
      <w:r>
        <w:rPr>
          <w:rFonts w:eastAsia="Times New Roman" w:cs="Arial"/>
          <w:color w:val="000000"/>
          <w:lang w:val="en-US" w:eastAsia="bg-BG"/>
        </w:rPr>
        <w:t xml:space="preserve"> </w:t>
      </w:r>
      <w:r>
        <w:t>симптоми и оплаквания, свързани със ставите) е съответно 7,2% и 4,6%. След едногодишно проследяване тя е била съответно 9% и 5,7%. Увеличението на честотата на подозираната за свързана с лекарството артропатия не се различава статистически значимо между групите. Лечението трябва да се провежда само след внимателна оценка на съотношението полза/риск поради вероятността от поява на нежелани реакции, свързани със ставите и/или околните тъкани.</w:t>
      </w:r>
    </w:p>
    <w:p w14:paraId="73C2580B" w14:textId="77777777" w:rsidR="007D47DC" w:rsidRDefault="007D47DC" w:rsidP="007D47DC">
      <w:pPr>
        <w:rPr>
          <w:i/>
          <w:iCs/>
        </w:rPr>
      </w:pPr>
    </w:p>
    <w:p w14:paraId="74798BC8" w14:textId="3FF34C49" w:rsidR="007D47DC" w:rsidRDefault="007D47DC" w:rsidP="007D47DC">
      <w:r>
        <w:rPr>
          <w:i/>
          <w:iCs/>
        </w:rPr>
        <w:t>Бронхопулмонални инфекции при кистозна фиброза</w:t>
      </w:r>
    </w:p>
    <w:p w14:paraId="75F4711A" w14:textId="77777777" w:rsidR="007D47DC" w:rsidRDefault="007D47DC" w:rsidP="007D47DC">
      <w:r>
        <w:t>Клиничните проучвания обхващат деца и юноши на възраст между 5-17 години. Опитът при лечението на деца на възраст между 1 и 5 години е ограничен.</w:t>
      </w:r>
    </w:p>
    <w:p w14:paraId="0A1AC48F" w14:textId="77777777" w:rsidR="007D47DC" w:rsidRDefault="007D47DC" w:rsidP="007D47DC">
      <w:pPr>
        <w:rPr>
          <w:i/>
          <w:iCs/>
        </w:rPr>
      </w:pPr>
    </w:p>
    <w:p w14:paraId="3DA3DD5E" w14:textId="7F7D6F10" w:rsidR="007D47DC" w:rsidRDefault="007D47DC" w:rsidP="007D47DC">
      <w:r>
        <w:rPr>
          <w:i/>
          <w:iCs/>
        </w:rPr>
        <w:t>Усложнени инфекции на пикочните пътища и пиелонефрит</w:t>
      </w:r>
    </w:p>
    <w:p w14:paraId="527040C7" w14:textId="77777777" w:rsidR="007D47DC" w:rsidRDefault="007D47DC" w:rsidP="007D47DC">
      <w:r>
        <w:t>В клиничните проучвания са включени деца и юноши на възраст между 1 и 17 години.</w:t>
      </w:r>
    </w:p>
    <w:p w14:paraId="37720622" w14:textId="77777777" w:rsidR="007D47DC" w:rsidRDefault="007D47DC" w:rsidP="007D47DC">
      <w:r>
        <w:t>Лечение с ципрофлоксацин при инфекции на пикочните пътища се прилага в случай, че не може да се приложи друго лечение и се основава на резултатите от микробиологичните изследвания.</w:t>
      </w:r>
    </w:p>
    <w:p w14:paraId="66A26805" w14:textId="77777777" w:rsidR="007D47DC" w:rsidRDefault="007D47DC" w:rsidP="007D47DC">
      <w:pPr>
        <w:rPr>
          <w:i/>
          <w:iCs/>
        </w:rPr>
      </w:pPr>
    </w:p>
    <w:p w14:paraId="2C621926" w14:textId="617BD4DF" w:rsidR="007D47DC" w:rsidRDefault="007D47DC" w:rsidP="007D47DC">
      <w:r>
        <w:rPr>
          <w:i/>
          <w:iCs/>
        </w:rPr>
        <w:t>Други специфични тежки инфекции</w:t>
      </w:r>
    </w:p>
    <w:p w14:paraId="4A6B95A1" w14:textId="77777777" w:rsidR="007D47DC" w:rsidRDefault="007D47DC" w:rsidP="007D47DC">
      <w:r>
        <w:t>Лекарственият продукт се прилага, когато не може да се използва друго лечение, след неуспех на конвенционалната терапия, при потвърдена чувствителност на патогена към ципрофлоксацин съгласно официалното ръководство, след внимателно оценяване на съотношението полза/риск. Използването на ципрофлоксацин при определени тежки инфекции, различни от отбелязаните по-горе, не е оценено в клинични проучвания и клиничният опит е ограничен. По тази причина се препоръчва повишено внимание при лечение на такива пациенти.</w:t>
      </w:r>
    </w:p>
    <w:p w14:paraId="0DF740C1" w14:textId="77777777" w:rsidR="007D47DC" w:rsidRDefault="007D47DC" w:rsidP="007D47DC">
      <w:pPr>
        <w:rPr>
          <w:u w:val="single"/>
        </w:rPr>
      </w:pPr>
    </w:p>
    <w:p w14:paraId="1C581EA0" w14:textId="2762A240" w:rsidR="007D47DC" w:rsidRDefault="007D47DC" w:rsidP="007D47DC">
      <w:r>
        <w:rPr>
          <w:u w:val="single"/>
        </w:rPr>
        <w:t>Свръхчувствителност</w:t>
      </w:r>
    </w:p>
    <w:p w14:paraId="7B9BB17E" w14:textId="77777777" w:rsidR="007D47DC" w:rsidRDefault="007D47DC" w:rsidP="007D47DC">
      <w:r>
        <w:t>Свръхчувствителност и алергични реакции, включително анафилаксия и анафилактоидни реакции могат да се появят след първоначално прилагане на еднократна доза (вж. точка 4.8) и могат да са животозастрашаващи. При поява на такива реакции приложението на ципрофлоксацин трябва да се прекрати и е необходимо адекватно медицинско лечение.</w:t>
      </w:r>
    </w:p>
    <w:p w14:paraId="6C7A357B" w14:textId="77777777" w:rsidR="007D47DC" w:rsidRDefault="007D47DC" w:rsidP="007D47DC">
      <w:pPr>
        <w:rPr>
          <w:u w:val="single"/>
        </w:rPr>
      </w:pPr>
    </w:p>
    <w:p w14:paraId="1EF53905" w14:textId="59D571C3" w:rsidR="007D47DC" w:rsidRDefault="007D47DC" w:rsidP="007D47DC">
      <w:r>
        <w:rPr>
          <w:u w:val="single"/>
        </w:rPr>
        <w:t>Мускулно-скелетна система</w:t>
      </w:r>
    </w:p>
    <w:p w14:paraId="40992D3D" w14:textId="77777777" w:rsidR="007D47DC" w:rsidRDefault="007D47DC" w:rsidP="007D47DC">
      <w:r>
        <w:lastRenderedPageBreak/>
        <w:t>Ципрофлоксацин не трябва да се прилага при пациенти с анамнестични данни за заболявания/нарушения на сухожилията, свързани с лечение с хинолони. Въпреки това, в много редки случаи след микробиологично доказване на етиологичния причинител и оценка на съотношението полза/риск е възможно предписването на ципрофлоксацин на такива пациенти за лечение на определени тежки инфекции, особено в случаите на неуспех на стандартната терапия или бактериална резистентност, когато микробиологичните данни подкрепят използването на ципрофлоксацин.</w:t>
      </w:r>
    </w:p>
    <w:p w14:paraId="3D149644" w14:textId="77777777" w:rsidR="007D47DC" w:rsidRDefault="007D47DC" w:rsidP="007D47DC">
      <w:pPr>
        <w:rPr>
          <w:u w:val="single"/>
        </w:rPr>
      </w:pPr>
    </w:p>
    <w:p w14:paraId="4F694E62" w14:textId="68EBE748" w:rsidR="007D47DC" w:rsidRDefault="007D47DC" w:rsidP="007D47DC">
      <w:r>
        <w:rPr>
          <w:u w:val="single"/>
        </w:rPr>
        <w:t>Тендинит и разкъсване на сухожилие</w:t>
      </w:r>
    </w:p>
    <w:p w14:paraId="15F0DB8C" w14:textId="77777777" w:rsidR="007D47DC" w:rsidRDefault="007D47DC" w:rsidP="007D47DC">
      <w:r>
        <w:t>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0B3BEE35" w14:textId="01B8A1CD" w:rsidR="0091385D" w:rsidRDefault="007D47DC" w:rsidP="007D47DC">
      <w:r>
        <w:t>При първия признак на тендинит (напр. болезнено подуване, възпаление) лечението с ципрофлоксацин трябва да се прекрати и да се обмисли алтернативно лечение. Засегнатият (те) крайник(ци) трябва да бъде(ат) лекуван(и) по подходящ начин (напр. обездвижване).</w:t>
      </w:r>
      <w:r>
        <w:rPr>
          <w:lang w:val="en-US"/>
        </w:rPr>
        <w:t xml:space="preserve"> </w:t>
      </w:r>
      <w:r>
        <w:t>Не трябва  да се използват кортикостероиди, ако се появят признаци на тендинопатия.</w:t>
      </w:r>
    </w:p>
    <w:p w14:paraId="2323D612" w14:textId="30D8248B" w:rsidR="007D47DC" w:rsidRDefault="007D47DC" w:rsidP="007D47DC"/>
    <w:p w14:paraId="374AF649"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Ципрофлоксацин трябва да се използва с повишено внимание при пациенти с миастения гравис, тъй като симптомите могат да се обострят (вж. точка 4.8).</w:t>
      </w:r>
    </w:p>
    <w:p w14:paraId="33A44A24" w14:textId="77777777" w:rsidR="007D47DC" w:rsidRPr="007D47DC" w:rsidRDefault="007D47DC" w:rsidP="007D47DC">
      <w:pPr>
        <w:spacing w:line="240" w:lineRule="auto"/>
        <w:rPr>
          <w:rFonts w:eastAsia="Times New Roman" w:cs="Arial"/>
          <w:color w:val="000000"/>
          <w:u w:val="single"/>
          <w:lang w:eastAsia="bg-BG"/>
        </w:rPr>
      </w:pPr>
    </w:p>
    <w:p w14:paraId="51D7176D" w14:textId="5923208B"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Фоточувствителност</w:t>
      </w:r>
    </w:p>
    <w:p w14:paraId="43AA8052"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Ципрофлоксацин причинява реакции на фоточувствителност. Пациентите, които приемат ципрофлоксацин, трябва да бъдат посъветвани да избягват директно излагане на силна слънчева светлина и ултравиолетово облъчване по време на лечението (вж. точка 4.8).</w:t>
      </w:r>
    </w:p>
    <w:p w14:paraId="6E3DEFBD" w14:textId="77777777" w:rsidR="007D47DC" w:rsidRPr="007D47DC" w:rsidRDefault="007D47DC" w:rsidP="007D47DC">
      <w:pPr>
        <w:spacing w:line="240" w:lineRule="auto"/>
        <w:rPr>
          <w:rFonts w:eastAsia="Times New Roman" w:cs="Arial"/>
          <w:color w:val="000000"/>
          <w:u w:val="single"/>
          <w:lang w:eastAsia="bg-BG"/>
        </w:rPr>
      </w:pPr>
    </w:p>
    <w:p w14:paraId="7F09ADD1" w14:textId="5B23248C"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Централна нервна система</w:t>
      </w:r>
    </w:p>
    <w:p w14:paraId="315E1793"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Известно е, че хинолоните провокират гърчове или понижават прага за поява на гърчове. Съобщава се за случаи на епилепичен статус. Ципрофлоксацин трябва да се използва с повишено внимание при пациенти с нарушения на ЦНС, които евентуално са предразположени към гърчове. При поява на гърчове лечението с ципрофлоксацин трябва да бъде преустановено (вж. точка 4.8). Възможна е поява на психични реакции след първото приложение на ципрофлоксацин. В редки случаи е възможно депресията или психозата да прогресират до суицидни намерения/мисли, прерастващи в опити за самоубийство или извършване на самоубийство. В тези случаи лечението се прекратява незабавно.</w:t>
      </w:r>
    </w:p>
    <w:p w14:paraId="4E2ACDBA" w14:textId="77777777" w:rsidR="007D47DC" w:rsidRPr="007D47DC" w:rsidRDefault="007D47DC" w:rsidP="007D47DC">
      <w:pPr>
        <w:spacing w:line="240" w:lineRule="auto"/>
        <w:rPr>
          <w:rFonts w:eastAsia="Times New Roman" w:cs="Arial"/>
          <w:color w:val="000000"/>
          <w:u w:val="single"/>
          <w:lang w:eastAsia="bg-BG"/>
        </w:rPr>
      </w:pPr>
    </w:p>
    <w:p w14:paraId="01BB2491" w14:textId="4633D979"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Периферна невропатия</w:t>
      </w:r>
    </w:p>
    <w:p w14:paraId="03769111"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ципрофлоксацин,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w:t>
      </w:r>
      <w:r w:rsidRPr="007D47DC">
        <w:rPr>
          <w:rFonts w:eastAsia="Times New Roman" w:cs="Arial"/>
          <w:color w:val="000000"/>
          <w:lang w:eastAsia="bg-BG"/>
        </w:rPr>
        <w:lastRenderedPageBreak/>
        <w:t>слабост, за да се предотврати развитието на потенциално необратимо заболяване, (вж. точка 4.8).</w:t>
      </w:r>
    </w:p>
    <w:p w14:paraId="01877F86" w14:textId="77777777" w:rsidR="007D47DC" w:rsidRPr="007D47DC" w:rsidRDefault="007D47DC" w:rsidP="007D47DC">
      <w:pPr>
        <w:spacing w:line="240" w:lineRule="auto"/>
        <w:rPr>
          <w:rFonts w:eastAsia="Times New Roman" w:cs="Arial"/>
          <w:color w:val="000000"/>
          <w:u w:val="single"/>
          <w:lang w:eastAsia="bg-BG"/>
        </w:rPr>
      </w:pPr>
    </w:p>
    <w:p w14:paraId="76A7EA1A" w14:textId="0A873EF9"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Нарушения на зрението</w:t>
      </w:r>
    </w:p>
    <w:p w14:paraId="22CCEFBC"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При нарушения на зрението или други проблеми с очите пациентите следва незабавно да се консултират със специалист по очни болести, тъй като може да са свързани с употребата на ципрофлоксацин.</w:t>
      </w:r>
    </w:p>
    <w:p w14:paraId="00AE719E" w14:textId="77777777" w:rsidR="007D47DC" w:rsidRPr="007D47DC" w:rsidRDefault="007D47DC" w:rsidP="007D47DC">
      <w:pPr>
        <w:spacing w:line="240" w:lineRule="auto"/>
        <w:rPr>
          <w:rFonts w:eastAsia="Times New Roman" w:cs="Arial"/>
          <w:color w:val="000000"/>
          <w:u w:val="single"/>
          <w:lang w:eastAsia="bg-BG"/>
        </w:rPr>
      </w:pPr>
    </w:p>
    <w:p w14:paraId="2B15B313" w14:textId="0E7D86F1"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Сърдечни нарушения</w:t>
      </w:r>
    </w:p>
    <w:p w14:paraId="7A83A715"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Необходимо е повишено внимание при прилагането на флуорохинолони, включително ципрофлоксацин, при пациенти с известни рискови фактори за удължаване на </w:t>
      </w:r>
      <w:r w:rsidRPr="007D47DC">
        <w:rPr>
          <w:rFonts w:eastAsia="Times New Roman" w:cs="Arial"/>
          <w:color w:val="000000"/>
          <w:lang w:val="en-US"/>
        </w:rPr>
        <w:t xml:space="preserve">QT </w:t>
      </w:r>
      <w:r w:rsidRPr="007D47DC">
        <w:rPr>
          <w:rFonts w:eastAsia="Times New Roman" w:cs="Arial"/>
          <w:color w:val="000000"/>
          <w:lang w:eastAsia="bg-BG"/>
        </w:rPr>
        <w:t>интервала, като например:</w:t>
      </w:r>
    </w:p>
    <w:p w14:paraId="45B5FFDE" w14:textId="77777777" w:rsidR="007D47DC" w:rsidRPr="007D47DC" w:rsidRDefault="007D47DC" w:rsidP="007D47DC">
      <w:pPr>
        <w:pStyle w:val="ListParagraph"/>
        <w:numPr>
          <w:ilvl w:val="0"/>
          <w:numId w:val="40"/>
        </w:numPr>
        <w:spacing w:line="240" w:lineRule="auto"/>
        <w:rPr>
          <w:rFonts w:eastAsia="Times New Roman" w:cs="Arial"/>
          <w:color w:val="000000"/>
          <w:lang w:eastAsia="bg-BG"/>
        </w:rPr>
      </w:pPr>
      <w:r w:rsidRPr="007D47DC">
        <w:rPr>
          <w:rFonts w:eastAsia="Times New Roman" w:cs="Arial"/>
          <w:color w:val="000000"/>
          <w:lang w:eastAsia="bg-BG"/>
        </w:rPr>
        <w:t xml:space="preserve">синдром на вроден удължен </w:t>
      </w:r>
      <w:r w:rsidRPr="007D47DC">
        <w:rPr>
          <w:rFonts w:eastAsia="Times New Roman" w:cs="Arial"/>
          <w:color w:val="000000"/>
          <w:lang w:val="en-US"/>
        </w:rPr>
        <w:t xml:space="preserve">QT </w:t>
      </w:r>
      <w:r w:rsidRPr="007D47DC">
        <w:rPr>
          <w:rFonts w:eastAsia="Times New Roman" w:cs="Arial"/>
          <w:color w:val="000000"/>
          <w:lang w:eastAsia="bg-BG"/>
        </w:rPr>
        <w:t>интервал;</w:t>
      </w:r>
    </w:p>
    <w:p w14:paraId="7496E9D1" w14:textId="77777777" w:rsidR="007D47DC" w:rsidRPr="007D47DC" w:rsidRDefault="007D47DC" w:rsidP="007D47DC">
      <w:pPr>
        <w:pStyle w:val="ListParagraph"/>
        <w:numPr>
          <w:ilvl w:val="0"/>
          <w:numId w:val="40"/>
        </w:numPr>
        <w:spacing w:line="240" w:lineRule="auto"/>
        <w:rPr>
          <w:rFonts w:eastAsia="Times New Roman" w:cs="Arial"/>
          <w:color w:val="000000"/>
          <w:lang w:eastAsia="bg-BG"/>
        </w:rPr>
      </w:pPr>
      <w:r w:rsidRPr="007D47DC">
        <w:rPr>
          <w:rFonts w:eastAsia="Times New Roman" w:cs="Arial"/>
          <w:color w:val="000000"/>
          <w:lang w:eastAsia="bg-BG"/>
        </w:rPr>
        <w:t xml:space="preserve">едновременното приложение с лекарствени продукти, за които е известно, че удължават </w:t>
      </w:r>
      <w:r w:rsidRPr="007D47DC">
        <w:rPr>
          <w:rFonts w:eastAsia="Times New Roman" w:cs="Arial"/>
          <w:color w:val="000000"/>
          <w:lang w:val="en-US"/>
        </w:rPr>
        <w:t xml:space="preserve">QT </w:t>
      </w:r>
      <w:r w:rsidRPr="007D47DC">
        <w:rPr>
          <w:rFonts w:eastAsia="Times New Roman" w:cs="Arial"/>
          <w:color w:val="000000"/>
          <w:lang w:eastAsia="bg-BG"/>
        </w:rPr>
        <w:t xml:space="preserve">интервала (например клас </w:t>
      </w:r>
      <w:r w:rsidRPr="007D47DC">
        <w:rPr>
          <w:rFonts w:eastAsia="Times New Roman" w:cs="Arial"/>
          <w:color w:val="000000"/>
          <w:lang w:val="en-US"/>
        </w:rPr>
        <w:t xml:space="preserve">IA </w:t>
      </w:r>
      <w:r w:rsidRPr="007D47DC">
        <w:rPr>
          <w:rFonts w:eastAsia="Times New Roman" w:cs="Arial"/>
          <w:color w:val="000000"/>
          <w:lang w:eastAsia="bg-BG"/>
        </w:rPr>
        <w:t>и III антиаритмици, трициклични антидепресанти, макролиди, антипсихотици);</w:t>
      </w:r>
    </w:p>
    <w:p w14:paraId="21A2ED4C" w14:textId="77777777" w:rsidR="007D47DC" w:rsidRPr="007D47DC" w:rsidRDefault="007D47DC" w:rsidP="007D47DC">
      <w:pPr>
        <w:pStyle w:val="ListParagraph"/>
        <w:numPr>
          <w:ilvl w:val="0"/>
          <w:numId w:val="40"/>
        </w:numPr>
        <w:spacing w:line="240" w:lineRule="auto"/>
        <w:rPr>
          <w:rFonts w:eastAsia="Times New Roman" w:cs="Arial"/>
          <w:color w:val="000000"/>
          <w:lang w:eastAsia="bg-BG"/>
        </w:rPr>
      </w:pPr>
      <w:r w:rsidRPr="007D47DC">
        <w:rPr>
          <w:rFonts w:eastAsia="Times New Roman" w:cs="Arial"/>
          <w:color w:val="000000"/>
          <w:lang w:eastAsia="bg-BG"/>
        </w:rPr>
        <w:t>некоригирани електролитни нарушения (например хипокалиемия, хипомагнезиемия);</w:t>
      </w:r>
    </w:p>
    <w:p w14:paraId="082F53D4" w14:textId="0FD60C4F" w:rsidR="007D47DC" w:rsidRPr="007D47DC" w:rsidRDefault="007D47DC" w:rsidP="007D47DC">
      <w:pPr>
        <w:pStyle w:val="ListParagraph"/>
        <w:numPr>
          <w:ilvl w:val="0"/>
          <w:numId w:val="40"/>
        </w:numPr>
        <w:spacing w:line="240" w:lineRule="auto"/>
        <w:rPr>
          <w:rFonts w:eastAsia="Times New Roman" w:cs="Arial"/>
          <w:color w:val="000000"/>
          <w:lang w:eastAsia="bg-BG"/>
        </w:rPr>
      </w:pPr>
      <w:r w:rsidRPr="007D47DC">
        <w:rPr>
          <w:rFonts w:eastAsia="Times New Roman" w:cs="Arial"/>
          <w:color w:val="000000"/>
          <w:lang w:eastAsia="bg-BG"/>
        </w:rPr>
        <w:t>сърдечно заболяване (например сърдечна недостатъчност, миокарден инфаркт, брадикардия).</w:t>
      </w:r>
    </w:p>
    <w:p w14:paraId="4F870993" w14:textId="77777777" w:rsidR="007D47DC" w:rsidRPr="007D47DC" w:rsidRDefault="007D47DC" w:rsidP="007D47DC">
      <w:pPr>
        <w:spacing w:line="240" w:lineRule="auto"/>
        <w:rPr>
          <w:rFonts w:eastAsia="Times New Roman" w:cs="Arial"/>
          <w:color w:val="000000"/>
          <w:lang w:eastAsia="bg-BG"/>
        </w:rPr>
      </w:pPr>
    </w:p>
    <w:p w14:paraId="1AAFAE7B" w14:textId="653C25E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Пациенти в старческа възраст и жените могат да проявят повишена чувствителност към лекарства, удължаващи </w:t>
      </w:r>
      <w:r w:rsidRPr="007D47DC">
        <w:rPr>
          <w:rFonts w:eastAsia="Times New Roman" w:cs="Arial"/>
          <w:color w:val="000000"/>
          <w:lang w:val="en-US"/>
        </w:rPr>
        <w:t xml:space="preserve">QT </w:t>
      </w:r>
      <w:r w:rsidRPr="007D47DC">
        <w:rPr>
          <w:rFonts w:eastAsia="Times New Roman" w:cs="Arial"/>
          <w:color w:val="000000"/>
          <w:lang w:eastAsia="bg-BG"/>
        </w:rPr>
        <w:t>интервала. Следователно при тези групи пациенти е необходимо повишено внимание при използване на флуорохинолони, включително и ципрофлоксацин (вж.</w:t>
      </w:r>
      <w:r w:rsidRPr="007D47DC">
        <w:rPr>
          <w:rFonts w:eastAsia="Times New Roman" w:cs="Arial"/>
          <w:color w:val="000000"/>
          <w:u w:val="single"/>
          <w:lang w:eastAsia="bg-BG"/>
        </w:rPr>
        <w:t xml:space="preserve"> </w:t>
      </w:r>
      <w:r w:rsidRPr="007D47DC">
        <w:rPr>
          <w:rFonts w:eastAsia="Times New Roman" w:cs="Arial"/>
          <w:color w:val="000000"/>
          <w:lang w:eastAsia="bg-BG"/>
        </w:rPr>
        <w:t>точки 4.2 “Пациенти в старческа възраст”, точка 4.5, точка 4.8, точка 4.9).</w:t>
      </w:r>
    </w:p>
    <w:p w14:paraId="009B69F2" w14:textId="77777777" w:rsidR="007D47DC" w:rsidRPr="007D47DC" w:rsidRDefault="007D47DC" w:rsidP="007D47DC">
      <w:pPr>
        <w:rPr>
          <w:rFonts w:eastAsia="Times New Roman" w:cs="Arial"/>
          <w:color w:val="000000"/>
          <w:u w:val="single"/>
          <w:lang w:eastAsia="bg-BG"/>
        </w:rPr>
      </w:pPr>
    </w:p>
    <w:p w14:paraId="6EFEB538" w14:textId="027631BD" w:rsidR="007D47DC" w:rsidRPr="007D47DC" w:rsidRDefault="007D47DC" w:rsidP="007D47DC">
      <w:pPr>
        <w:rPr>
          <w:rFonts w:eastAsia="Times New Roman" w:cs="Arial"/>
          <w:color w:val="000000"/>
          <w:lang w:eastAsia="bg-BG"/>
        </w:rPr>
      </w:pPr>
      <w:r w:rsidRPr="007D47DC">
        <w:rPr>
          <w:rFonts w:eastAsia="Times New Roman" w:cs="Arial"/>
          <w:color w:val="000000"/>
          <w:u w:val="single"/>
          <w:lang w:eastAsia="bg-BG"/>
        </w:rPr>
        <w:t xml:space="preserve">Аневризма и дисекация на аортата и регургитация/недостатъчност на сърдечните клапи </w:t>
      </w:r>
      <w:r w:rsidRPr="007D47DC">
        <w:rPr>
          <w:rFonts w:eastAsia="Times New Roman" w:cs="Arial"/>
          <w:color w:val="000000"/>
          <w:lang w:eastAsia="bg-BG"/>
        </w:rPr>
        <w:t>Епидемиологичните проучвания показват повишен риск от аневризма и дисекация на аортата. особено при пациенти в старческа възраст, както и от регургитация на аортната и мигралната клапа.</w:t>
      </w:r>
    </w:p>
    <w:p w14:paraId="0B5ECAD3" w14:textId="4E97A5BE" w:rsidR="007D47DC" w:rsidRPr="007D47DC" w:rsidRDefault="007D47DC" w:rsidP="007D47DC">
      <w:pPr>
        <w:rPr>
          <w:rFonts w:eastAsia="Times New Roman" w:cs="Arial"/>
          <w:color w:val="000000"/>
          <w:lang w:eastAsia="bg-BG"/>
        </w:rPr>
      </w:pPr>
    </w:p>
    <w:p w14:paraId="516E75CD"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Съобщени са случаи на аневризма и дисекация на аортата, понякога усложнени поради разкъсване (включително с летален изход) и регургитация/недостатьчност на някои от сърдечните клапи при пациенти, приемащи флуорохинолони (вж. точка 4.8).</w:t>
      </w:r>
    </w:p>
    <w:p w14:paraId="65FDF198" w14:textId="77777777" w:rsidR="007D47DC" w:rsidRPr="007D47DC" w:rsidRDefault="007D47DC" w:rsidP="007D47DC">
      <w:pPr>
        <w:spacing w:line="240" w:lineRule="auto"/>
        <w:rPr>
          <w:rFonts w:eastAsia="Times New Roman" w:cs="Arial"/>
          <w:color w:val="000000"/>
          <w:lang w:eastAsia="bg-BG"/>
        </w:rPr>
      </w:pPr>
    </w:p>
    <w:p w14:paraId="15AA2CB7" w14:textId="641A74C1"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Следователно флуорохинолоните трябва да се използват само след внимателна оценка на съотношението полза/риск и след обмисляне на други терапевтични възможности при пациенти с положителна фамилна анамнеза за аневризма или вродено заболяване на сърдечните клапи, или при пациенти диагностицирани с предшестваща аневризма и/или дисекация на аортата или заболяване на сърдечните клапи, или при наличие на други рискови фактори или заболявания предразполагащи:</w:t>
      </w:r>
    </w:p>
    <w:p w14:paraId="5D40382B" w14:textId="77777777" w:rsidR="007D47DC" w:rsidRDefault="007D47DC" w:rsidP="007D47DC">
      <w:pPr>
        <w:pStyle w:val="ListParagraph"/>
        <w:numPr>
          <w:ilvl w:val="0"/>
          <w:numId w:val="41"/>
        </w:numPr>
        <w:spacing w:line="240" w:lineRule="auto"/>
        <w:rPr>
          <w:rFonts w:eastAsia="Times New Roman" w:cs="Arial"/>
          <w:color w:val="000000"/>
          <w:lang w:eastAsia="bg-BG"/>
        </w:rPr>
      </w:pPr>
      <w:r w:rsidRPr="007D47DC">
        <w:rPr>
          <w:rFonts w:eastAsia="Times New Roman" w:cs="Arial"/>
          <w:color w:val="000000"/>
          <w:lang w:eastAsia="bg-BG"/>
        </w:rPr>
        <w:t xml:space="preserve">както за аневризма, така и за дисекация на аортата и за регургитация/недостатьчност на сърдечните клапи (напр. нарушения на съединителната тъкан, напр. синдром на </w:t>
      </w:r>
      <w:proofErr w:type="spellStart"/>
      <w:r w:rsidRPr="007D47DC">
        <w:rPr>
          <w:rFonts w:eastAsia="Times New Roman" w:cs="Arial"/>
          <w:color w:val="000000"/>
          <w:lang w:val="en-US"/>
        </w:rPr>
        <w:t>Marfan</w:t>
      </w:r>
      <w:proofErr w:type="spellEnd"/>
      <w:r w:rsidRPr="007D47DC">
        <w:rPr>
          <w:rFonts w:eastAsia="Times New Roman" w:cs="Arial"/>
          <w:color w:val="000000"/>
          <w:lang w:val="en-US"/>
        </w:rPr>
        <w:t xml:space="preserve"> </w:t>
      </w:r>
      <w:r w:rsidRPr="007D47DC">
        <w:rPr>
          <w:rFonts w:eastAsia="Times New Roman" w:cs="Arial"/>
          <w:color w:val="000000"/>
          <w:lang w:eastAsia="bg-BG"/>
        </w:rPr>
        <w:t xml:space="preserve">или синдром на </w:t>
      </w:r>
      <w:r w:rsidRPr="007D47DC">
        <w:rPr>
          <w:rFonts w:eastAsia="Times New Roman" w:cs="Arial"/>
          <w:color w:val="000000"/>
          <w:lang w:val="en-US"/>
        </w:rPr>
        <w:t xml:space="preserve">Turner, </w:t>
      </w:r>
      <w:r w:rsidRPr="007D47DC">
        <w:rPr>
          <w:rFonts w:eastAsia="Times New Roman" w:cs="Arial"/>
          <w:color w:val="000000"/>
          <w:lang w:eastAsia="bg-BG"/>
        </w:rPr>
        <w:t xml:space="preserve">болест на </w:t>
      </w:r>
      <w:proofErr w:type="spellStart"/>
      <w:r w:rsidRPr="007D47DC">
        <w:rPr>
          <w:rFonts w:eastAsia="Times New Roman" w:cs="Arial"/>
          <w:color w:val="000000"/>
          <w:lang w:val="en-US"/>
        </w:rPr>
        <w:t>Behcet</w:t>
      </w:r>
      <w:proofErr w:type="spellEnd"/>
      <w:r w:rsidRPr="007D47DC">
        <w:rPr>
          <w:rFonts w:eastAsia="Times New Roman" w:cs="Arial"/>
          <w:color w:val="000000"/>
          <w:lang w:val="en-US"/>
        </w:rPr>
        <w:t xml:space="preserve">, </w:t>
      </w:r>
      <w:r w:rsidRPr="007D47DC">
        <w:rPr>
          <w:rFonts w:eastAsia="Times New Roman" w:cs="Arial"/>
          <w:color w:val="000000"/>
          <w:lang w:eastAsia="bg-BG"/>
        </w:rPr>
        <w:t>хипертония, ревматоиден артрит) или допълнително;</w:t>
      </w:r>
    </w:p>
    <w:p w14:paraId="5C104C9F" w14:textId="77777777" w:rsidR="007D47DC" w:rsidRDefault="007D47DC" w:rsidP="007D47DC">
      <w:pPr>
        <w:pStyle w:val="ListParagraph"/>
        <w:numPr>
          <w:ilvl w:val="0"/>
          <w:numId w:val="41"/>
        </w:numPr>
        <w:spacing w:line="240" w:lineRule="auto"/>
        <w:rPr>
          <w:rFonts w:eastAsia="Times New Roman" w:cs="Arial"/>
          <w:color w:val="000000"/>
          <w:lang w:eastAsia="bg-BG"/>
        </w:rPr>
      </w:pPr>
      <w:r w:rsidRPr="007D47DC">
        <w:rPr>
          <w:rFonts w:eastAsia="Times New Roman" w:cs="Arial"/>
          <w:color w:val="000000"/>
          <w:lang w:eastAsia="bg-BG"/>
        </w:rPr>
        <w:t xml:space="preserve">при аневризма и дисекация на аортата (напр. съдови нарушения, напр. артериит на </w:t>
      </w:r>
      <w:proofErr w:type="spellStart"/>
      <w:r w:rsidRPr="007D47DC">
        <w:rPr>
          <w:rFonts w:eastAsia="Times New Roman" w:cs="Arial"/>
          <w:color w:val="000000"/>
          <w:lang w:val="en-US"/>
        </w:rPr>
        <w:t>Takayasu</w:t>
      </w:r>
      <w:proofErr w:type="spellEnd"/>
      <w:r w:rsidRPr="007D47DC">
        <w:rPr>
          <w:rFonts w:eastAsia="Times New Roman" w:cs="Arial"/>
          <w:color w:val="000000"/>
          <w:lang w:val="en-US"/>
        </w:rPr>
        <w:t xml:space="preserve">, </w:t>
      </w:r>
      <w:r w:rsidRPr="007D47DC">
        <w:rPr>
          <w:rFonts w:eastAsia="Times New Roman" w:cs="Arial"/>
          <w:color w:val="000000"/>
          <w:lang w:eastAsia="bg-BG"/>
        </w:rPr>
        <w:t xml:space="preserve">гигантоклетъчен артериит, или известна атеросклероза или синдром на </w:t>
      </w:r>
      <w:proofErr w:type="spellStart"/>
      <w:r w:rsidRPr="007D47DC">
        <w:rPr>
          <w:rFonts w:eastAsia="Times New Roman" w:cs="Arial"/>
          <w:color w:val="000000"/>
          <w:lang w:val="en-US"/>
        </w:rPr>
        <w:t>Sj</w:t>
      </w:r>
      <w:proofErr w:type="spellEnd"/>
      <w:r w:rsidRPr="007D47DC">
        <w:rPr>
          <w:rFonts w:eastAsia="Times New Roman" w:cs="Arial"/>
          <w:color w:val="000000"/>
          <w:lang w:eastAsia="bg-BG"/>
        </w:rPr>
        <w:t>ö</w:t>
      </w:r>
      <w:proofErr w:type="spellStart"/>
      <w:r w:rsidRPr="007D47DC">
        <w:rPr>
          <w:rFonts w:eastAsia="Times New Roman" w:cs="Arial"/>
          <w:color w:val="000000"/>
          <w:lang w:val="en-US"/>
        </w:rPr>
        <w:t>gren</w:t>
      </w:r>
      <w:proofErr w:type="spellEnd"/>
      <w:r w:rsidRPr="007D47DC">
        <w:rPr>
          <w:rFonts w:eastAsia="Times New Roman" w:cs="Arial"/>
          <w:color w:val="000000"/>
          <w:lang w:val="en-US"/>
        </w:rPr>
        <w:t xml:space="preserve">), </w:t>
      </w:r>
      <w:r w:rsidRPr="007D47DC">
        <w:rPr>
          <w:rFonts w:eastAsia="Times New Roman" w:cs="Arial"/>
          <w:color w:val="000000"/>
          <w:lang w:eastAsia="bg-BG"/>
        </w:rPr>
        <w:t>или допълнително;</w:t>
      </w:r>
    </w:p>
    <w:p w14:paraId="2A9450E7" w14:textId="34D7F64A" w:rsidR="007D47DC" w:rsidRPr="007D47DC" w:rsidRDefault="007D47DC" w:rsidP="007D47DC">
      <w:pPr>
        <w:pStyle w:val="ListParagraph"/>
        <w:numPr>
          <w:ilvl w:val="0"/>
          <w:numId w:val="41"/>
        </w:numPr>
        <w:spacing w:line="240" w:lineRule="auto"/>
        <w:rPr>
          <w:rFonts w:eastAsia="Times New Roman" w:cs="Arial"/>
          <w:color w:val="000000"/>
          <w:lang w:eastAsia="bg-BG"/>
        </w:rPr>
      </w:pPr>
      <w:r w:rsidRPr="007D47DC">
        <w:rPr>
          <w:rFonts w:eastAsia="Times New Roman" w:cs="Arial"/>
          <w:color w:val="000000"/>
          <w:lang w:eastAsia="bg-BG"/>
        </w:rPr>
        <w:lastRenderedPageBreak/>
        <w:t>при регургитация/недостатьчност на сърдечните клапи (напр. инфекциозен ендокардит).</w:t>
      </w:r>
    </w:p>
    <w:p w14:paraId="4A574A8A" w14:textId="77777777" w:rsidR="007D47DC" w:rsidRPr="007D47DC" w:rsidRDefault="007D47DC" w:rsidP="007D47DC">
      <w:pPr>
        <w:spacing w:line="240" w:lineRule="auto"/>
        <w:rPr>
          <w:rFonts w:eastAsia="Times New Roman" w:cs="Arial"/>
          <w:color w:val="000000"/>
          <w:lang w:eastAsia="bg-BG"/>
        </w:rPr>
      </w:pPr>
    </w:p>
    <w:p w14:paraId="16F0751A" w14:textId="476D620C"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Рискът от аневризма и дисекация на аортата и тяхното разкъсване може също да се повиши при пациенти, лекувани едновременно със системни кортикостероиди.</w:t>
      </w:r>
    </w:p>
    <w:p w14:paraId="75BDB0D3" w14:textId="77777777" w:rsidR="007D47DC" w:rsidRPr="007D47DC" w:rsidRDefault="007D47DC" w:rsidP="007D47DC">
      <w:pPr>
        <w:spacing w:line="240" w:lineRule="auto"/>
        <w:rPr>
          <w:rFonts w:eastAsia="Times New Roman" w:cs="Arial"/>
          <w:color w:val="000000"/>
          <w:lang w:eastAsia="bg-BG"/>
        </w:rPr>
      </w:pPr>
    </w:p>
    <w:p w14:paraId="21C92F5A" w14:textId="11D3645B"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При внезапна болка в корема, гръдния кош или гърба пациентите трябва да бъдат посъветвани да се консултират незабавно с лекар в спешно отделение.</w:t>
      </w:r>
    </w:p>
    <w:p w14:paraId="66F85667" w14:textId="77777777" w:rsidR="007D47DC" w:rsidRPr="007D47DC" w:rsidRDefault="007D47DC" w:rsidP="007D47DC">
      <w:pPr>
        <w:spacing w:line="240" w:lineRule="auto"/>
        <w:rPr>
          <w:rFonts w:eastAsia="Times New Roman" w:cs="Arial"/>
          <w:color w:val="000000"/>
          <w:lang w:eastAsia="bg-BG"/>
        </w:rPr>
      </w:pPr>
    </w:p>
    <w:p w14:paraId="3E2A5F6B" w14:textId="09359095"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Пациентите трябва да бъдат посъветвани да потърсят незабавно медицинска помощ в случай на остра диспнея, поява на сърцебиене (палпитации) или развитие на оток на корема или долните крайници.</w:t>
      </w:r>
    </w:p>
    <w:p w14:paraId="2104924D" w14:textId="77777777" w:rsidR="007D47DC" w:rsidRPr="007D47DC" w:rsidRDefault="007D47DC" w:rsidP="007D47DC">
      <w:pPr>
        <w:spacing w:line="240" w:lineRule="auto"/>
        <w:rPr>
          <w:rFonts w:eastAsia="Times New Roman" w:cs="Arial"/>
          <w:color w:val="000000"/>
          <w:u w:val="single"/>
          <w:lang w:eastAsia="bg-BG"/>
        </w:rPr>
      </w:pPr>
    </w:p>
    <w:p w14:paraId="7A9B6FE6" w14:textId="5A2A3A1F"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Хипогликемия</w:t>
      </w:r>
    </w:p>
    <w:p w14:paraId="3820B734"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Както при другите хинолони, има съобщения за хипогликемия най-често при диабетици, особено в при пациенти в старческа възраст. Препоръчва се внимателно проследяване на глюкозата в кръвта при пациенти с диабет (вж. точка 4.8).</w:t>
      </w:r>
    </w:p>
    <w:p w14:paraId="5A21080D" w14:textId="1B70660D"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Дисгликемия</w:t>
      </w:r>
    </w:p>
    <w:p w14:paraId="403EC379"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Както при всички хинолони, има съобщения за нарушения в нивата на кръвната захар, включващи както хипогликемия, така и хипергликемия (вж. точка 4.8), обикновено при диабетици, на които се прилага съпътстваща терапия с перорални хипогликемични средства (напр. глибенкламид) или с инсулин. Съобщавани са случаи на хипогликемична кома. Препоръчва се внимателно проследяване на глюкозата в кръвта при пациенти с диабет.</w:t>
      </w:r>
    </w:p>
    <w:p w14:paraId="7B25BB55" w14:textId="77777777" w:rsidR="007D47DC" w:rsidRPr="007D47DC" w:rsidRDefault="007D47DC" w:rsidP="007D47DC">
      <w:pPr>
        <w:spacing w:line="240" w:lineRule="auto"/>
        <w:rPr>
          <w:rFonts w:eastAsia="Times New Roman" w:cs="Arial"/>
          <w:color w:val="000000"/>
          <w:u w:val="single"/>
          <w:lang w:eastAsia="bg-BG"/>
        </w:rPr>
      </w:pPr>
    </w:p>
    <w:p w14:paraId="42DDD040" w14:textId="21740663"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Стомашно-чревна система</w:t>
      </w:r>
    </w:p>
    <w:p w14:paraId="528AF22D"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Появата на тежка и персистираща диария по време или след лечението (включително до няколко седмици след лечението) може да е показател за животозастрашаващ, с възможен фатален изход колит, предизвикан от антибиотика, който налага незабавно лечение (вж. точка 4.8). При такива случаи лечението с ципрофлоксацин трябва незабавно да бъде прекратено и да се започне подходяща терапия. Прилагането на антиперисталтични медикаменти е противопоказано.</w:t>
      </w:r>
    </w:p>
    <w:p w14:paraId="577C840F" w14:textId="77777777" w:rsidR="007D47DC" w:rsidRPr="007D47DC" w:rsidRDefault="007D47DC" w:rsidP="007D47DC">
      <w:pPr>
        <w:spacing w:line="240" w:lineRule="auto"/>
        <w:rPr>
          <w:rFonts w:eastAsia="Times New Roman" w:cs="Arial"/>
          <w:color w:val="000000"/>
          <w:u w:val="single"/>
          <w:lang w:eastAsia="bg-BG"/>
        </w:rPr>
      </w:pPr>
    </w:p>
    <w:p w14:paraId="37799AC4" w14:textId="7190B4FF"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Бъбречна система</w:t>
      </w:r>
    </w:p>
    <w:p w14:paraId="4F3312B1"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Има съобщения за кристалурия, свързана с използването на ципрофлоксацин (вж. точка 4.8). Пациентите, получаващи ципрофлоксацин, трябва да бъдат добре хидратирани. Необходимо е да се избягва прекалено алкализиране на урината.</w:t>
      </w:r>
    </w:p>
    <w:p w14:paraId="4AC8FBCB" w14:textId="77777777" w:rsidR="007D47DC" w:rsidRPr="007D47DC" w:rsidRDefault="007D47DC" w:rsidP="007D47DC">
      <w:pPr>
        <w:spacing w:line="240" w:lineRule="auto"/>
        <w:rPr>
          <w:rFonts w:eastAsia="Times New Roman" w:cs="Arial"/>
          <w:color w:val="000000"/>
          <w:u w:val="single"/>
          <w:lang w:eastAsia="bg-BG"/>
        </w:rPr>
      </w:pPr>
    </w:p>
    <w:p w14:paraId="7560E0B2" w14:textId="5EE3232A"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Увредена бъбречна функция</w:t>
      </w:r>
    </w:p>
    <w:p w14:paraId="2ABE577C" w14:textId="101CAAA9" w:rsidR="007D47DC" w:rsidRDefault="007D47DC" w:rsidP="007D47DC">
      <w:pPr>
        <w:spacing w:line="240" w:lineRule="auto"/>
        <w:rPr>
          <w:rFonts w:eastAsia="Times New Roman" w:cs="Arial"/>
          <w:color w:val="000000"/>
          <w:lang w:eastAsia="bg-BG"/>
        </w:rPr>
      </w:pPr>
      <w:r w:rsidRPr="007D47DC">
        <w:rPr>
          <w:rFonts w:eastAsia="Times New Roman" w:cs="Arial"/>
          <w:color w:val="000000"/>
          <w:lang w:eastAsia="bg-BG"/>
        </w:rPr>
        <w:t>Понеже ципрофлоксацин се екскретира основно непроменен чрез бъбреците, е необходима  корекция на дозата при пациенти с увредена бъбречна функция, както е описано в точка 4.2</w:t>
      </w:r>
      <w:r>
        <w:rPr>
          <w:rFonts w:eastAsia="Times New Roman" w:cs="Arial"/>
          <w:color w:val="000000"/>
          <w:lang w:eastAsia="bg-BG"/>
        </w:rPr>
        <w:t>,</w:t>
      </w:r>
      <w:r w:rsidRPr="007D47DC">
        <w:rPr>
          <w:rFonts w:eastAsia="Times New Roman" w:cs="Arial"/>
          <w:color w:val="000000"/>
          <w:lang w:eastAsia="bg-BG"/>
        </w:rPr>
        <w:t xml:space="preserve"> за</w:t>
      </w:r>
      <w:r>
        <w:rPr>
          <w:rFonts w:eastAsia="Times New Roman" w:cs="Arial"/>
          <w:lang w:val="en-US" w:eastAsia="bg-BG"/>
        </w:rPr>
        <w:t xml:space="preserve"> </w:t>
      </w:r>
      <w:r w:rsidRPr="007D47DC">
        <w:rPr>
          <w:rFonts w:eastAsia="Times New Roman" w:cs="Arial"/>
          <w:color w:val="000000"/>
          <w:lang w:eastAsia="bg-BG"/>
        </w:rPr>
        <w:t>да се избегне увеличение на нежеланите лекарствени реакции поради кумулиране на ципрофлоксацин.</w:t>
      </w:r>
    </w:p>
    <w:p w14:paraId="36CBBE15" w14:textId="4147F74F" w:rsidR="007D47DC" w:rsidRDefault="007D47DC" w:rsidP="007D47DC">
      <w:pPr>
        <w:spacing w:line="240" w:lineRule="auto"/>
        <w:rPr>
          <w:rFonts w:eastAsia="Times New Roman" w:cs="Arial"/>
          <w:color w:val="000000"/>
          <w:lang w:eastAsia="bg-BG"/>
        </w:rPr>
      </w:pPr>
    </w:p>
    <w:p w14:paraId="63240382"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Хепатобилиарна система</w:t>
      </w:r>
    </w:p>
    <w:p w14:paraId="77A78949"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Има съобщения за случаи на чернодробна некроза и животозастрашаваща чернодробна недостатъчност при лечение с ципрофлоксацин (вж. точка 4.8). Лечението трябва да бъде прекратено при поява, на каквито и да било симптоми на чернодробно заболяване (като анорексия, иктер, тъмна урина, сърбеж или болки в областта на корема).</w:t>
      </w:r>
    </w:p>
    <w:p w14:paraId="15D4E52D" w14:textId="77777777" w:rsidR="007D47DC" w:rsidRPr="007D47DC" w:rsidRDefault="007D47DC" w:rsidP="007D47DC">
      <w:pPr>
        <w:spacing w:line="240" w:lineRule="auto"/>
        <w:rPr>
          <w:rFonts w:eastAsia="Times New Roman" w:cs="Arial"/>
          <w:color w:val="000000"/>
          <w:u w:val="single"/>
          <w:lang w:eastAsia="bg-BG"/>
        </w:rPr>
      </w:pPr>
    </w:p>
    <w:p w14:paraId="714AA768" w14:textId="07C1187B"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Дефицит на глюкозо-6-фосфатдехидрогеназа</w:t>
      </w:r>
    </w:p>
    <w:p w14:paraId="58054494"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lastRenderedPageBreak/>
        <w:t>При пациенти с дефицит на глюкозо-6-фосфатдехидрогеназа при прилагане на ципрофлоксацин се съобщава за хемолитични реакции. Ципрофлоксацин трябва да се избягва при тези пациенти, освен ако потенциалната полза превишава възможния риск. Потенциалната поява на хемолитична реакция трябва да се мониторира.</w:t>
      </w:r>
    </w:p>
    <w:p w14:paraId="32C697FA" w14:textId="77777777" w:rsidR="007D47DC" w:rsidRPr="007D47DC" w:rsidRDefault="007D47DC" w:rsidP="007D47DC">
      <w:pPr>
        <w:spacing w:line="240" w:lineRule="auto"/>
        <w:rPr>
          <w:rFonts w:eastAsia="Times New Roman" w:cs="Arial"/>
          <w:color w:val="000000"/>
          <w:u w:val="single"/>
          <w:lang w:eastAsia="bg-BG"/>
        </w:rPr>
      </w:pPr>
    </w:p>
    <w:p w14:paraId="5D24CF16" w14:textId="5294D545"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Резистентност</w:t>
      </w:r>
    </w:p>
    <w:p w14:paraId="6829595B"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 xml:space="preserve">По време или след курса на лечение с ципрофлоксацин може да се изолират бактерии, които показват резистентност към ципрофлоксацин със или без клинично изявена суперинфекция. Особен риск от развитие на ципрофлоксацин-резистентни бактерии съществува при удължаване на времето на лечение и когато се лекуват нозокомиални инфекции и/или инфекции, причинени от видове </w:t>
      </w:r>
      <w:r w:rsidRPr="007D47DC">
        <w:rPr>
          <w:rFonts w:eastAsia="Times New Roman" w:cs="Arial"/>
          <w:i/>
          <w:iCs/>
          <w:color w:val="000000"/>
          <w:lang w:val="en-US"/>
        </w:rPr>
        <w:t>Staphylococcus</w:t>
      </w:r>
      <w:r w:rsidRPr="007D47DC">
        <w:rPr>
          <w:rFonts w:eastAsia="Times New Roman" w:cs="Arial"/>
          <w:color w:val="000000"/>
          <w:lang w:val="en-US"/>
        </w:rPr>
        <w:t xml:space="preserve"> </w:t>
      </w:r>
      <w:r w:rsidRPr="007D47DC">
        <w:rPr>
          <w:rFonts w:eastAsia="Times New Roman" w:cs="Arial"/>
          <w:color w:val="000000"/>
          <w:lang w:eastAsia="bg-BG"/>
        </w:rPr>
        <w:t xml:space="preserve">и </w:t>
      </w:r>
      <w:r w:rsidRPr="007D47DC">
        <w:rPr>
          <w:rFonts w:eastAsia="Times New Roman" w:cs="Arial"/>
          <w:i/>
          <w:iCs/>
          <w:color w:val="000000"/>
          <w:lang w:val="en-US"/>
        </w:rPr>
        <w:t>Pseudomonas.</w:t>
      </w:r>
    </w:p>
    <w:p w14:paraId="480067A4" w14:textId="77777777" w:rsidR="007D47DC" w:rsidRPr="007D47DC" w:rsidRDefault="007D47DC" w:rsidP="007D47DC">
      <w:pPr>
        <w:spacing w:line="240" w:lineRule="auto"/>
        <w:rPr>
          <w:rFonts w:eastAsia="Times New Roman" w:cs="Arial"/>
          <w:color w:val="000000"/>
          <w:u w:val="single"/>
          <w:lang w:eastAsia="bg-BG"/>
        </w:rPr>
      </w:pPr>
    </w:p>
    <w:p w14:paraId="1555D426" w14:textId="12A7BCBD"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Цитохром Р450</w:t>
      </w:r>
    </w:p>
    <w:p w14:paraId="18B87259"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 xml:space="preserve">Ципрофлоксацин инхибира </w:t>
      </w:r>
      <w:r w:rsidRPr="007D47DC">
        <w:rPr>
          <w:rFonts w:eastAsia="Times New Roman" w:cs="Arial"/>
          <w:color w:val="000000"/>
          <w:lang w:val="en-US"/>
        </w:rPr>
        <w:t>CYP1</w:t>
      </w:r>
      <w:r w:rsidRPr="007D47DC">
        <w:rPr>
          <w:rFonts w:eastAsia="Times New Roman" w:cs="Arial"/>
          <w:color w:val="000000"/>
          <w:lang w:eastAsia="bg-BG"/>
        </w:rPr>
        <w:t>А2. Едновременното приложение на ципрофлоксацин с лекарствени вещества, които се метаболизират от този ензим (напр. теофилин, клозапин, оланзапин, ропинирол, тизанидин, дулоксетин, агомелатин) може да доведе до повишаване на плазмените им концентрации. Едновременното прилагане на ципрофлоксацин и тизанидин е противопоказано. По тази причина пациентите, приемащи такива вещества едновременно с ципрофлоксацин, трябва да бъдат внимателно наблюдавани за клинични признаци на предозиране и може да се наложи определяне на серумните им концентрации (напр. на теофилин) (вж. точка 4.5).</w:t>
      </w:r>
    </w:p>
    <w:p w14:paraId="3C4087D5" w14:textId="77777777" w:rsidR="007D47DC" w:rsidRPr="007D47DC" w:rsidRDefault="007D47DC" w:rsidP="007D47DC">
      <w:pPr>
        <w:spacing w:line="240" w:lineRule="auto"/>
        <w:rPr>
          <w:rFonts w:eastAsia="Times New Roman" w:cs="Arial"/>
          <w:color w:val="000000"/>
          <w:u w:val="single"/>
          <w:lang w:eastAsia="bg-BG"/>
        </w:rPr>
      </w:pPr>
    </w:p>
    <w:p w14:paraId="7707912D" w14:textId="6C2AAD20"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Метотрексат</w:t>
      </w:r>
    </w:p>
    <w:p w14:paraId="78596B2C"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Не се препоръчва едновременно прилагане на ципрофлоксацин и метотрексат (вж. точка 4.5).</w:t>
      </w:r>
    </w:p>
    <w:p w14:paraId="01AA32B3" w14:textId="77777777" w:rsidR="007D47DC" w:rsidRPr="007D47DC" w:rsidRDefault="007D47DC" w:rsidP="007D47DC">
      <w:pPr>
        <w:spacing w:line="240" w:lineRule="auto"/>
        <w:rPr>
          <w:rFonts w:eastAsia="Times New Roman" w:cs="Arial"/>
          <w:color w:val="000000"/>
          <w:u w:val="single"/>
          <w:lang w:eastAsia="bg-BG"/>
        </w:rPr>
      </w:pPr>
    </w:p>
    <w:p w14:paraId="197172B2" w14:textId="1F6F089D"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Повлияване на лабораторните изследвания</w:t>
      </w:r>
    </w:p>
    <w:p w14:paraId="3049C5F2"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 xml:space="preserve">Активността </w:t>
      </w:r>
      <w:r w:rsidRPr="007D47DC">
        <w:rPr>
          <w:rFonts w:eastAsia="Times New Roman" w:cs="Arial"/>
          <w:i/>
          <w:iCs/>
          <w:color w:val="000000"/>
          <w:lang w:val="en-US"/>
        </w:rPr>
        <w:t>in vitro</w:t>
      </w:r>
      <w:r w:rsidRPr="007D47DC">
        <w:rPr>
          <w:rFonts w:eastAsia="Times New Roman" w:cs="Arial"/>
          <w:color w:val="000000"/>
          <w:lang w:val="en-US"/>
        </w:rPr>
        <w:t xml:space="preserve"> </w:t>
      </w:r>
      <w:r w:rsidRPr="007D47DC">
        <w:rPr>
          <w:rFonts w:eastAsia="Times New Roman" w:cs="Arial"/>
          <w:color w:val="000000"/>
          <w:lang w:eastAsia="bg-BG"/>
        </w:rPr>
        <w:t xml:space="preserve">на ципрофлоксацин срещу </w:t>
      </w:r>
      <w:r w:rsidRPr="007D47DC">
        <w:rPr>
          <w:rFonts w:eastAsia="Times New Roman" w:cs="Arial"/>
          <w:i/>
          <w:iCs/>
          <w:color w:val="000000"/>
          <w:lang w:val="en-US"/>
        </w:rPr>
        <w:t>Mycobacterium tuberculosis</w:t>
      </w:r>
      <w:r w:rsidRPr="007D47DC">
        <w:rPr>
          <w:rFonts w:eastAsia="Times New Roman" w:cs="Arial"/>
          <w:color w:val="000000"/>
          <w:lang w:val="en-US"/>
        </w:rPr>
        <w:t xml:space="preserve"> </w:t>
      </w:r>
      <w:r w:rsidRPr="007D47DC">
        <w:rPr>
          <w:rFonts w:eastAsia="Times New Roman" w:cs="Arial"/>
          <w:color w:val="000000"/>
          <w:lang w:eastAsia="bg-BG"/>
        </w:rPr>
        <w:t>може да доведе до фалшиво-отрицателни микробиологични резултати на проби от пациенти, които понастоящем приемат ципрофлоксацин.</w:t>
      </w:r>
    </w:p>
    <w:p w14:paraId="7437E592" w14:textId="77777777" w:rsidR="007D47DC" w:rsidRPr="007D47DC" w:rsidRDefault="007D47DC" w:rsidP="007D47DC">
      <w:pPr>
        <w:spacing w:line="240" w:lineRule="auto"/>
        <w:rPr>
          <w:rFonts w:eastAsia="Times New Roman" w:cs="Arial"/>
          <w:color w:val="000000"/>
          <w:u w:val="single"/>
          <w:lang w:eastAsia="bg-BG"/>
        </w:rPr>
      </w:pPr>
    </w:p>
    <w:p w14:paraId="193B9FFF" w14:textId="0037B56E"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Помощни вещества</w:t>
      </w:r>
    </w:p>
    <w:p w14:paraId="1F75AD44"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Пшеничното нишесте може да съдържа само следи от глутен и се счита за безопасно при хора с цьолиакия.</w:t>
      </w:r>
    </w:p>
    <w:p w14:paraId="00E756B6" w14:textId="0084C2F4"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Пациенти с редки наследствени проблеми на галактозна непоносимост, </w:t>
      </w:r>
      <w:r w:rsidRPr="007D47DC">
        <w:rPr>
          <w:rFonts w:eastAsia="Times New Roman" w:cs="Arial"/>
          <w:color w:val="000000"/>
          <w:lang w:val="en-US"/>
        </w:rPr>
        <w:t xml:space="preserve">Lapp </w:t>
      </w:r>
      <w:r w:rsidRPr="007D47DC">
        <w:rPr>
          <w:rFonts w:eastAsia="Times New Roman" w:cs="Arial"/>
          <w:color w:val="000000"/>
          <w:lang w:eastAsia="bg-BG"/>
        </w:rPr>
        <w:t>лактазен дефицит или глюкозо-галактозна малабсорбция не трябва да приемат това лекарство</w:t>
      </w:r>
      <w:r w:rsidRPr="007D47DC">
        <w:rPr>
          <w:rFonts w:ascii="Times New Roman" w:eastAsia="Times New Roman" w:hAnsi="Times New Roman" w:cs="Times New Roman"/>
          <w:color w:val="000000"/>
          <w:lang w:eastAsia="bg-BG"/>
        </w:rPr>
        <w:t>.</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60756312"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Влияние на други лекарства върху ципрофлоксацин:</w:t>
      </w:r>
    </w:p>
    <w:p w14:paraId="3DF445F4" w14:textId="77777777" w:rsidR="007D47DC" w:rsidRPr="007D47DC" w:rsidRDefault="007D47DC" w:rsidP="007D47DC">
      <w:pPr>
        <w:spacing w:line="240" w:lineRule="auto"/>
        <w:rPr>
          <w:rFonts w:eastAsia="Times New Roman" w:cs="Arial"/>
          <w:i/>
          <w:iCs/>
          <w:color w:val="000000"/>
          <w:u w:val="single"/>
          <w:lang w:eastAsia="bg-BG"/>
        </w:rPr>
      </w:pPr>
    </w:p>
    <w:p w14:paraId="12668FBF" w14:textId="751190FE"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Образуване на хелатни комплекси</w:t>
      </w:r>
    </w:p>
    <w:p w14:paraId="172AE819" w14:textId="5F2C67D9" w:rsidR="0091385D" w:rsidRPr="007D47DC" w:rsidRDefault="007D47DC" w:rsidP="007D47DC">
      <w:pPr>
        <w:rPr>
          <w:rFonts w:eastAsia="Times New Roman" w:cs="Arial"/>
          <w:color w:val="000000"/>
          <w:lang w:eastAsia="bg-BG"/>
        </w:rPr>
      </w:pPr>
      <w:r w:rsidRPr="007D47DC">
        <w:rPr>
          <w:rFonts w:eastAsia="Times New Roman" w:cs="Arial"/>
          <w:color w:val="000000"/>
          <w:lang w:eastAsia="bg-BG"/>
        </w:rPr>
        <w:t xml:space="preserve">Поливалентните катион-съдържащи лекарства и минералните добавки (напр. калций, магнезий, алуминий, желязо), фосфат-свързващите полимери (напр. севеламер или лантанов карбонат), сукралфат или антиацидни средства, силно буферираните лекарства (напр. таблетки диданозин), съдържащи магнезий, алуминий или калций намаляват резорбцията на ципрофлоксацин при едновременно перорално приложение. По тази причина ципрофлоксацин трябва да се прилага или 1-2 часа преди или поне 4 часа след </w:t>
      </w:r>
      <w:r w:rsidRPr="007D47DC">
        <w:rPr>
          <w:rFonts w:eastAsia="Times New Roman" w:cs="Arial"/>
          <w:color w:val="000000"/>
          <w:lang w:eastAsia="bg-BG"/>
        </w:rPr>
        <w:lastRenderedPageBreak/>
        <w:t>тези продукти. Това ограничение не се отнася за антиацидни средства от групата на Н</w:t>
      </w:r>
      <w:r w:rsidRPr="007D47DC">
        <w:rPr>
          <w:rFonts w:eastAsia="Times New Roman" w:cs="Arial"/>
          <w:color w:val="000000"/>
          <w:vertAlign w:val="subscript"/>
          <w:lang w:eastAsia="bg-BG"/>
        </w:rPr>
        <w:t>2</w:t>
      </w:r>
      <w:r w:rsidRPr="007D47DC">
        <w:rPr>
          <w:rFonts w:eastAsia="Times New Roman" w:cs="Arial"/>
          <w:color w:val="000000"/>
          <w:lang w:eastAsia="bg-BG"/>
        </w:rPr>
        <w:t>-рецепторниге блокери.</w:t>
      </w:r>
    </w:p>
    <w:p w14:paraId="4598D13D" w14:textId="129FF019" w:rsidR="007D47DC" w:rsidRPr="007D47DC" w:rsidRDefault="007D47DC" w:rsidP="007D47DC">
      <w:pPr>
        <w:rPr>
          <w:rFonts w:eastAsia="Times New Roman" w:cs="Arial"/>
          <w:color w:val="000000"/>
          <w:lang w:eastAsia="bg-BG"/>
        </w:rPr>
      </w:pPr>
    </w:p>
    <w:p w14:paraId="4BD195E2" w14:textId="77777777"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Храна и млечни продукти</w:t>
      </w:r>
    </w:p>
    <w:p w14:paraId="426FD352"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Калцият, съдържащ се в нормални храни, не повлиява значимо абсорбцията. Необходимо е да се избягва едновременния прием на млечни продукти или обогатени с минерали напитки (напр. прясно мляко, кисело мляко, обогатен с калций портокалов сок) заедно с ципрофлоксацин, защото те могат да намалят абсорбцията на ципрофлоксацин.</w:t>
      </w:r>
    </w:p>
    <w:p w14:paraId="792B36A0" w14:textId="77777777" w:rsidR="007D47DC" w:rsidRPr="007D47DC" w:rsidRDefault="007D47DC" w:rsidP="007D47DC">
      <w:pPr>
        <w:spacing w:line="240" w:lineRule="auto"/>
        <w:rPr>
          <w:rFonts w:eastAsia="Times New Roman" w:cs="Arial"/>
          <w:i/>
          <w:iCs/>
          <w:color w:val="000000"/>
          <w:u w:val="single"/>
          <w:lang w:eastAsia="bg-BG"/>
        </w:rPr>
      </w:pPr>
    </w:p>
    <w:p w14:paraId="570AD0EC" w14:textId="304599D4"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Пробенецид</w:t>
      </w:r>
    </w:p>
    <w:p w14:paraId="54FDC94C"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Пробенецид повлиява бъбречната секреция на ципрофлоксацин. Едновременното прилагане на пробенецид и ципрофлоксацин води до повишаване на плазмената концентрация на ципрофлоксацин.</w:t>
      </w:r>
    </w:p>
    <w:p w14:paraId="1F558E6C" w14:textId="77777777" w:rsidR="007D47DC" w:rsidRPr="007D47DC" w:rsidRDefault="007D47DC" w:rsidP="007D47DC">
      <w:pPr>
        <w:spacing w:line="240" w:lineRule="auto"/>
        <w:rPr>
          <w:rFonts w:eastAsia="Times New Roman" w:cs="Arial"/>
          <w:i/>
          <w:iCs/>
          <w:color w:val="000000"/>
          <w:u w:val="single"/>
          <w:lang w:eastAsia="bg-BG"/>
        </w:rPr>
      </w:pPr>
    </w:p>
    <w:p w14:paraId="2720411A" w14:textId="3ED22801"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 xml:space="preserve">Лекарствени продукти, удължаващи </w:t>
      </w:r>
      <w:r w:rsidRPr="007D47DC">
        <w:rPr>
          <w:rFonts w:eastAsia="Times New Roman" w:cs="Arial"/>
          <w:i/>
          <w:iCs/>
          <w:color w:val="000000"/>
          <w:u w:val="single"/>
          <w:lang w:val="en-US"/>
        </w:rPr>
        <w:t xml:space="preserve">QT </w:t>
      </w:r>
      <w:r w:rsidRPr="007D47DC">
        <w:rPr>
          <w:rFonts w:eastAsia="Times New Roman" w:cs="Arial"/>
          <w:i/>
          <w:iCs/>
          <w:color w:val="000000"/>
          <w:u w:val="single"/>
          <w:lang w:eastAsia="bg-BG"/>
        </w:rPr>
        <w:t>интервала</w:t>
      </w:r>
    </w:p>
    <w:p w14:paraId="1B6E49C8"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Ципрофлоксацин, както и другите флуорохинолони, трябва да се използва с повишено внимание при пациенти, приемащи лекарства, които удължават </w:t>
      </w:r>
      <w:r w:rsidRPr="007D47DC">
        <w:rPr>
          <w:rFonts w:eastAsia="Times New Roman" w:cs="Arial"/>
          <w:color w:val="000000"/>
          <w:lang w:val="en-US"/>
        </w:rPr>
        <w:t xml:space="preserve">QT </w:t>
      </w:r>
      <w:r w:rsidRPr="007D47DC">
        <w:rPr>
          <w:rFonts w:eastAsia="Times New Roman" w:cs="Arial"/>
          <w:color w:val="000000"/>
          <w:lang w:eastAsia="bg-BG"/>
        </w:rPr>
        <w:t xml:space="preserve">интервала (например клас </w:t>
      </w:r>
      <w:r w:rsidRPr="007D47DC">
        <w:rPr>
          <w:rFonts w:eastAsia="Times New Roman" w:cs="Arial"/>
          <w:color w:val="000000"/>
          <w:lang w:val="en-US"/>
        </w:rPr>
        <w:t xml:space="preserve">IA </w:t>
      </w:r>
      <w:r w:rsidRPr="007D47DC">
        <w:rPr>
          <w:rFonts w:eastAsia="Times New Roman" w:cs="Arial"/>
          <w:color w:val="000000"/>
          <w:lang w:eastAsia="bg-BG"/>
        </w:rPr>
        <w:t>и III антиаритмични средства, трициклични антидепресанти, макролиди, антипсихотици) (вж. точка 4.4).</w:t>
      </w:r>
    </w:p>
    <w:p w14:paraId="40ACC36E" w14:textId="77777777" w:rsidR="007D47DC" w:rsidRPr="007D47DC" w:rsidRDefault="007D47DC" w:rsidP="007D47DC">
      <w:pPr>
        <w:spacing w:line="240" w:lineRule="auto"/>
        <w:rPr>
          <w:rFonts w:eastAsia="Times New Roman" w:cs="Arial"/>
          <w:i/>
          <w:iCs/>
          <w:color w:val="000000"/>
          <w:u w:val="single"/>
          <w:lang w:eastAsia="bg-BG"/>
        </w:rPr>
      </w:pPr>
    </w:p>
    <w:p w14:paraId="71112E22" w14:textId="7FC84284"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Метоклопрамид</w:t>
      </w:r>
    </w:p>
    <w:p w14:paraId="3B23BC32"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Метоклопрамид ускорява абсорбцията на ципрофлоксацин (перорален), което води до съкратено време за достигане на максимални плазмени концентрации. Не се наблюдава ефект върху бионаличностга на ципрофлоксацин.</w:t>
      </w:r>
    </w:p>
    <w:p w14:paraId="6A4BFA25" w14:textId="77777777" w:rsidR="007D47DC" w:rsidRPr="007D47DC" w:rsidRDefault="007D47DC" w:rsidP="007D47DC">
      <w:pPr>
        <w:spacing w:line="240" w:lineRule="auto"/>
        <w:rPr>
          <w:rFonts w:eastAsia="Times New Roman" w:cs="Arial"/>
          <w:i/>
          <w:iCs/>
          <w:color w:val="000000"/>
          <w:u w:val="single"/>
          <w:lang w:eastAsia="bg-BG"/>
        </w:rPr>
      </w:pPr>
    </w:p>
    <w:p w14:paraId="64F7AF17" w14:textId="184A026E"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Омепразол</w:t>
      </w:r>
    </w:p>
    <w:p w14:paraId="0D04F8E6"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Едновременното приложение на ципрофлоксацин и лекарства, съдържащи омепразол, води до леко намаление на С</w:t>
      </w:r>
      <w:r w:rsidRPr="007D47DC">
        <w:rPr>
          <w:rFonts w:eastAsia="Times New Roman" w:cs="Arial"/>
          <w:color w:val="000000"/>
          <w:vertAlign w:val="subscript"/>
          <w:lang w:val="en-US"/>
        </w:rPr>
        <w:t>max</w:t>
      </w:r>
      <w:r w:rsidRPr="007D47DC">
        <w:rPr>
          <w:rFonts w:eastAsia="Times New Roman" w:cs="Arial"/>
          <w:color w:val="000000"/>
          <w:lang w:eastAsia="bg-BG"/>
        </w:rPr>
        <w:t xml:space="preserve"> и </w:t>
      </w:r>
      <w:r w:rsidRPr="007D47DC">
        <w:rPr>
          <w:rFonts w:eastAsia="Times New Roman" w:cs="Arial"/>
          <w:color w:val="000000"/>
          <w:lang w:val="en-US"/>
        </w:rPr>
        <w:t xml:space="preserve">AUC </w:t>
      </w:r>
      <w:r w:rsidRPr="007D47DC">
        <w:rPr>
          <w:rFonts w:eastAsia="Times New Roman" w:cs="Arial"/>
          <w:color w:val="000000"/>
          <w:lang w:eastAsia="bg-BG"/>
        </w:rPr>
        <w:t>на ципрофлоксацин.</w:t>
      </w:r>
    </w:p>
    <w:p w14:paraId="0FCBCB7C" w14:textId="77777777" w:rsidR="007D47DC" w:rsidRPr="007D47DC" w:rsidRDefault="007D47DC" w:rsidP="007D47DC">
      <w:pPr>
        <w:spacing w:line="240" w:lineRule="auto"/>
        <w:rPr>
          <w:rFonts w:eastAsia="Times New Roman" w:cs="Arial"/>
          <w:color w:val="000000"/>
          <w:u w:val="single"/>
          <w:lang w:eastAsia="bg-BG"/>
        </w:rPr>
      </w:pPr>
    </w:p>
    <w:p w14:paraId="12CD467B" w14:textId="79DF8A5B" w:rsidR="007D47DC" w:rsidRPr="007D47DC" w:rsidRDefault="007D47DC" w:rsidP="007D47DC">
      <w:pPr>
        <w:spacing w:line="240" w:lineRule="auto"/>
        <w:rPr>
          <w:rFonts w:eastAsia="Times New Roman" w:cs="Arial"/>
          <w:lang w:eastAsia="bg-BG"/>
        </w:rPr>
      </w:pPr>
      <w:r w:rsidRPr="007D47DC">
        <w:rPr>
          <w:rFonts w:eastAsia="Times New Roman" w:cs="Arial"/>
          <w:color w:val="000000"/>
          <w:u w:val="single"/>
          <w:lang w:eastAsia="bg-BG"/>
        </w:rPr>
        <w:t>Ефекти на ципрофлоксацин върху други лекарствени продукти:</w:t>
      </w:r>
    </w:p>
    <w:p w14:paraId="455F7385" w14:textId="77777777" w:rsidR="007D47DC" w:rsidRPr="007D47DC" w:rsidRDefault="007D47DC" w:rsidP="007D47DC">
      <w:pPr>
        <w:spacing w:line="240" w:lineRule="auto"/>
        <w:rPr>
          <w:rFonts w:eastAsia="Times New Roman" w:cs="Arial"/>
          <w:i/>
          <w:iCs/>
          <w:color w:val="000000"/>
          <w:u w:val="single"/>
          <w:lang w:eastAsia="bg-BG"/>
        </w:rPr>
      </w:pPr>
    </w:p>
    <w:p w14:paraId="681595A1" w14:textId="7A05A387"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Тизанидин</w:t>
      </w:r>
    </w:p>
    <w:p w14:paraId="1F1A1D21"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Тизанидин не трябва да се прилага едновременно с ципрофлоксацин (вж. точка 4.3). В едно клинично проучване върху здрави доброволци е установено повишаване на плазмената концентрация на тизанидин (повишаване на С</w:t>
      </w:r>
      <w:r w:rsidRPr="007D47DC">
        <w:rPr>
          <w:rFonts w:eastAsia="Times New Roman" w:cs="Arial"/>
          <w:color w:val="000000"/>
          <w:vertAlign w:val="subscript"/>
          <w:lang w:val="en-US"/>
        </w:rPr>
        <w:t>max</w:t>
      </w:r>
      <w:r w:rsidRPr="007D47DC">
        <w:rPr>
          <w:rFonts w:eastAsia="Times New Roman" w:cs="Arial"/>
          <w:color w:val="000000"/>
          <w:lang w:eastAsia="bg-BG"/>
        </w:rPr>
        <w:t xml:space="preserve">: 7 пъти, интервал: 4 до 21 пъти; увеличаване на </w:t>
      </w:r>
      <w:r w:rsidRPr="007D47DC">
        <w:rPr>
          <w:rFonts w:eastAsia="Times New Roman" w:cs="Arial"/>
          <w:color w:val="000000"/>
          <w:lang w:val="en-US"/>
        </w:rPr>
        <w:t xml:space="preserve">AUC: </w:t>
      </w:r>
      <w:r w:rsidRPr="007D47DC">
        <w:rPr>
          <w:rFonts w:eastAsia="Times New Roman" w:cs="Arial"/>
          <w:color w:val="000000"/>
          <w:lang w:eastAsia="bg-BG"/>
        </w:rPr>
        <w:t>10 пъти, интервал: 6 до 24 пъти) при едновременно прилагане с ципрофлоксацин. Повишената плазмена концентрация на тизанидин е свързана със засилен хипотензивен и седативен ефект.</w:t>
      </w:r>
    </w:p>
    <w:p w14:paraId="206C6905" w14:textId="77777777" w:rsidR="007D47DC" w:rsidRPr="007D47DC" w:rsidRDefault="007D47DC" w:rsidP="007D47DC">
      <w:pPr>
        <w:spacing w:line="240" w:lineRule="auto"/>
        <w:rPr>
          <w:rFonts w:eastAsia="Times New Roman" w:cs="Arial"/>
          <w:i/>
          <w:iCs/>
          <w:color w:val="000000"/>
          <w:u w:val="single"/>
          <w:lang w:eastAsia="bg-BG"/>
        </w:rPr>
      </w:pPr>
    </w:p>
    <w:p w14:paraId="47DC3415" w14:textId="2409A0D9"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Метотрексат</w:t>
      </w:r>
    </w:p>
    <w:p w14:paraId="65C6F333"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Бъбречният тубулен транспорт на метотрексат може да бъде потиснат при едновременно прилагане на ципрофлоксацин, което потенциално води до повишени плазмени нива на метотрексат и повишен риск от токсични реакции, свързани с метотрексат. Едновременното използване не се препоръчва (вж. точка 4.4).</w:t>
      </w:r>
    </w:p>
    <w:p w14:paraId="26FBC6E2" w14:textId="77777777" w:rsidR="007D47DC" w:rsidRPr="007D47DC" w:rsidRDefault="007D47DC" w:rsidP="007D47DC">
      <w:pPr>
        <w:spacing w:line="240" w:lineRule="auto"/>
        <w:rPr>
          <w:rFonts w:eastAsia="Times New Roman" w:cs="Arial"/>
          <w:i/>
          <w:iCs/>
          <w:color w:val="000000"/>
          <w:u w:val="single"/>
          <w:lang w:eastAsia="bg-BG"/>
        </w:rPr>
      </w:pPr>
    </w:p>
    <w:p w14:paraId="1C6CE91C" w14:textId="37ADF0CD"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Теофилин</w:t>
      </w:r>
    </w:p>
    <w:p w14:paraId="19379B22"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Едновременното прилагане на ципрофлоксацин и теофилин може да доведе до нежелано повишаване на серумната концентрация на теофилин и до поява на нежелани реакции, свързани с теофилин, като в редки случаи е възможно тези нежелани реакции да са животозастрашаващи или фатални. По време на едновременната употреба плазмените </w:t>
      </w:r>
      <w:r w:rsidRPr="007D47DC">
        <w:rPr>
          <w:rFonts w:eastAsia="Times New Roman" w:cs="Arial"/>
          <w:color w:val="000000"/>
          <w:lang w:eastAsia="bg-BG"/>
        </w:rPr>
        <w:lastRenderedPageBreak/>
        <w:t>концентрации на теофилин трябва да се проверяват и ако е необходимо дозата да се редуцира (вж. точка 4.4).</w:t>
      </w:r>
    </w:p>
    <w:p w14:paraId="410D5620" w14:textId="77777777" w:rsidR="007D47DC" w:rsidRPr="007D47DC" w:rsidRDefault="007D47DC" w:rsidP="007D47DC">
      <w:pPr>
        <w:spacing w:line="240" w:lineRule="auto"/>
        <w:rPr>
          <w:rFonts w:eastAsia="Times New Roman" w:cs="Arial"/>
          <w:i/>
          <w:iCs/>
          <w:color w:val="000000"/>
          <w:u w:val="single"/>
          <w:lang w:eastAsia="bg-BG"/>
        </w:rPr>
      </w:pPr>
    </w:p>
    <w:p w14:paraId="05473787" w14:textId="79C621D8"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Други ксантинови производни</w:t>
      </w:r>
    </w:p>
    <w:p w14:paraId="1829F729"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При едновременно прилагане на ципрофлоксацин и кофеин или пентоксифилин (оксипентифилин) има съобщения за повишени плазмени концентрации на тези ксантинови производни.</w:t>
      </w:r>
    </w:p>
    <w:p w14:paraId="1CFB8D74" w14:textId="77777777" w:rsidR="007D47DC" w:rsidRPr="007D47DC" w:rsidRDefault="007D47DC" w:rsidP="007D47DC">
      <w:pPr>
        <w:spacing w:line="240" w:lineRule="auto"/>
        <w:rPr>
          <w:rFonts w:eastAsia="Times New Roman" w:cs="Arial"/>
          <w:lang w:eastAsia="bg-BG"/>
        </w:rPr>
      </w:pPr>
    </w:p>
    <w:p w14:paraId="796E5F66" w14:textId="77777777"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Фенитоин</w:t>
      </w:r>
    </w:p>
    <w:p w14:paraId="1A4EB81B"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Едновременното прилагане на ципрофлоксацин и фенитоин може да доведе до повишени или</w:t>
      </w:r>
    </w:p>
    <w:p w14:paraId="66A9445E" w14:textId="77777777" w:rsidR="007D47DC" w:rsidRPr="007D47DC" w:rsidRDefault="007D47DC" w:rsidP="007D47DC">
      <w:pPr>
        <w:rPr>
          <w:rFonts w:eastAsia="Times New Roman" w:cs="Arial"/>
          <w:lang w:eastAsia="bg-BG"/>
        </w:rPr>
      </w:pPr>
      <w:r w:rsidRPr="007D47DC">
        <w:rPr>
          <w:rFonts w:eastAsia="Times New Roman" w:cs="Arial"/>
          <w:color w:val="000000"/>
          <w:lang w:eastAsia="bg-BG"/>
        </w:rPr>
        <w:t>понижени плазмени концентрации на фенитоин, поради което се препоръчва мониториране на лекарствените концентрации.</w:t>
      </w:r>
    </w:p>
    <w:p w14:paraId="21FC77C3" w14:textId="77777777" w:rsidR="007D47DC" w:rsidRPr="007D47DC" w:rsidRDefault="007D47DC" w:rsidP="007D47DC">
      <w:pPr>
        <w:spacing w:line="240" w:lineRule="auto"/>
        <w:rPr>
          <w:rFonts w:eastAsia="Times New Roman" w:cs="Arial"/>
          <w:i/>
          <w:iCs/>
          <w:color w:val="000000"/>
          <w:u w:val="single"/>
          <w:lang w:eastAsia="bg-BG"/>
        </w:rPr>
      </w:pPr>
    </w:p>
    <w:p w14:paraId="06B0AEDB" w14:textId="78063A6E"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Циклоспорин</w:t>
      </w:r>
    </w:p>
    <w:p w14:paraId="4330BFD4"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Наблюдава се преходно повишение на концентрацията на серумния креатинин, когато ципрофлоксацин и лекарства, съдържащи циклоспорин, се прилагат едновременно. Поради това често (два пъти седмично) се налага да се контролират концентрациите на серумния креатинин при тези пациенти.</w:t>
      </w:r>
    </w:p>
    <w:p w14:paraId="5783D81A" w14:textId="77777777" w:rsidR="007D47DC" w:rsidRPr="007D47DC" w:rsidRDefault="007D47DC" w:rsidP="007D47DC">
      <w:pPr>
        <w:spacing w:line="240" w:lineRule="auto"/>
        <w:rPr>
          <w:rFonts w:eastAsia="Times New Roman" w:cs="Arial"/>
          <w:i/>
          <w:iCs/>
          <w:color w:val="000000"/>
          <w:u w:val="single"/>
          <w:lang w:eastAsia="bg-BG"/>
        </w:rPr>
      </w:pPr>
    </w:p>
    <w:p w14:paraId="403C11AA" w14:textId="07014A16"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Антагонисти на витамин К</w:t>
      </w:r>
    </w:p>
    <w:p w14:paraId="5B7E84F1"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Едновременното прилагане на ципрофлоксацин с антагонист на витамин К може да доведе до повишаване на антикоагулантните му ефекти. Рискът може да варира в зависимост от основното заболяване, възрастта и общия статус на пациента, така че приносът на флуорохинолоните за увеличаване на </w:t>
      </w:r>
      <w:r w:rsidRPr="007D47DC">
        <w:rPr>
          <w:rFonts w:eastAsia="Times New Roman" w:cs="Arial"/>
          <w:color w:val="000000"/>
          <w:lang w:val="en-US"/>
        </w:rPr>
        <w:t xml:space="preserve">INR </w:t>
      </w:r>
      <w:r w:rsidRPr="007D47DC">
        <w:rPr>
          <w:rFonts w:eastAsia="Times New Roman" w:cs="Arial"/>
          <w:color w:val="000000"/>
          <w:lang w:eastAsia="bg-BG"/>
        </w:rPr>
        <w:t xml:space="preserve">(международен протромбинов индекс) е трудно да се оцени. Препоръчва се често мониториране на </w:t>
      </w:r>
      <w:r w:rsidRPr="007D47DC">
        <w:rPr>
          <w:rFonts w:eastAsia="Times New Roman" w:cs="Arial"/>
          <w:color w:val="000000"/>
          <w:lang w:val="en-US"/>
        </w:rPr>
        <w:t xml:space="preserve">INR </w:t>
      </w:r>
      <w:r w:rsidRPr="007D47DC">
        <w:rPr>
          <w:rFonts w:eastAsia="Times New Roman" w:cs="Arial"/>
          <w:color w:val="000000"/>
          <w:lang w:eastAsia="bg-BG"/>
        </w:rPr>
        <w:t>по време и непосредствено след едновременното прилагане на ципрофлоксацин с антагонист на витамин К (напр. варфарин, аценокумарол, фенпрокумон или флуиндион).</w:t>
      </w:r>
    </w:p>
    <w:p w14:paraId="3867F3D0" w14:textId="77777777" w:rsidR="007D47DC" w:rsidRPr="007D47DC" w:rsidRDefault="007D47DC" w:rsidP="007D47DC">
      <w:pPr>
        <w:spacing w:line="240" w:lineRule="auto"/>
        <w:rPr>
          <w:rFonts w:eastAsia="Times New Roman" w:cs="Arial"/>
          <w:i/>
          <w:iCs/>
          <w:color w:val="000000"/>
          <w:u w:val="single"/>
          <w:lang w:eastAsia="bg-BG"/>
        </w:rPr>
      </w:pPr>
    </w:p>
    <w:p w14:paraId="1FBEF7C1" w14:textId="033C391E"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Дулоксетин</w:t>
      </w:r>
    </w:p>
    <w:p w14:paraId="7C3377A8"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В клинични проучвания е доказано, че едновременната употреба на дулоксетин с мощни инхибитори на </w:t>
      </w:r>
      <w:r w:rsidRPr="007D47DC">
        <w:rPr>
          <w:rFonts w:eastAsia="Times New Roman" w:cs="Arial"/>
          <w:color w:val="000000"/>
          <w:lang w:val="en-US"/>
        </w:rPr>
        <w:t xml:space="preserve">CYP450 </w:t>
      </w:r>
      <w:r w:rsidRPr="007D47DC">
        <w:rPr>
          <w:rFonts w:eastAsia="Times New Roman" w:cs="Arial"/>
          <w:color w:val="000000"/>
          <w:lang w:eastAsia="bg-BG"/>
        </w:rPr>
        <w:t xml:space="preserve">1А2 изоензим, като флувоксамин, може да доведе до повишаване на </w:t>
      </w:r>
      <w:r w:rsidRPr="007D47DC">
        <w:rPr>
          <w:rFonts w:eastAsia="Times New Roman" w:cs="Arial"/>
          <w:color w:val="000000"/>
          <w:lang w:val="en-US"/>
        </w:rPr>
        <w:t xml:space="preserve">AUC </w:t>
      </w:r>
      <w:r w:rsidRPr="007D47DC">
        <w:rPr>
          <w:rFonts w:eastAsia="Times New Roman" w:cs="Arial"/>
          <w:color w:val="000000"/>
          <w:lang w:eastAsia="bg-BG"/>
        </w:rPr>
        <w:t>и С</w:t>
      </w:r>
      <w:r w:rsidRPr="007D47DC">
        <w:rPr>
          <w:rFonts w:eastAsia="Times New Roman" w:cs="Arial"/>
          <w:color w:val="000000"/>
          <w:lang w:val="en-US"/>
        </w:rPr>
        <w:t>m</w:t>
      </w:r>
      <w:r w:rsidRPr="007D47DC">
        <w:rPr>
          <w:rFonts w:eastAsia="Times New Roman" w:cs="Arial"/>
          <w:color w:val="000000"/>
          <w:lang w:eastAsia="bg-BG"/>
        </w:rPr>
        <w:t>ах на дулоксетин. Въпреки че, не са налични клинични данни за възможно взаимодействие с ципрофлоксацин, подобни ефекти може да се очакват при едновременно приложение (вж. точка 4.4).</w:t>
      </w:r>
    </w:p>
    <w:p w14:paraId="4F296CB5" w14:textId="77777777" w:rsidR="007D47DC" w:rsidRPr="007D47DC" w:rsidRDefault="007D47DC" w:rsidP="007D47DC">
      <w:pPr>
        <w:spacing w:line="240" w:lineRule="auto"/>
        <w:rPr>
          <w:rFonts w:eastAsia="Times New Roman" w:cs="Arial"/>
          <w:i/>
          <w:iCs/>
          <w:color w:val="000000"/>
          <w:u w:val="single"/>
          <w:lang w:eastAsia="bg-BG"/>
        </w:rPr>
      </w:pPr>
    </w:p>
    <w:p w14:paraId="5D827259" w14:textId="06CF0618"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Ропинирол</w:t>
      </w:r>
    </w:p>
    <w:p w14:paraId="7069A628"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Данните от едно клинично проучване показват, че едновременното прилагане на ропинирол и ципрофлоксацин, умерен инхибитор на изоензима </w:t>
      </w:r>
      <w:r w:rsidRPr="007D47DC">
        <w:rPr>
          <w:rFonts w:eastAsia="Times New Roman" w:cs="Arial"/>
          <w:color w:val="000000"/>
          <w:lang w:val="en-US"/>
        </w:rPr>
        <w:t xml:space="preserve">CYP450 </w:t>
      </w:r>
      <w:r w:rsidRPr="007D47DC">
        <w:rPr>
          <w:rFonts w:eastAsia="Times New Roman" w:cs="Arial"/>
          <w:color w:val="000000"/>
          <w:lang w:eastAsia="bg-BG"/>
        </w:rPr>
        <w:t>1А2, води до повишаване на С</w:t>
      </w:r>
      <w:r w:rsidRPr="007D47DC">
        <w:rPr>
          <w:rFonts w:eastAsia="Times New Roman" w:cs="Arial"/>
          <w:color w:val="000000"/>
          <w:vertAlign w:val="subscript"/>
          <w:lang w:val="en-US"/>
        </w:rPr>
        <w:t>max</w:t>
      </w:r>
      <w:r w:rsidRPr="007D47DC">
        <w:rPr>
          <w:rFonts w:eastAsia="Times New Roman" w:cs="Arial"/>
          <w:color w:val="000000"/>
          <w:lang w:eastAsia="bg-BG"/>
        </w:rPr>
        <w:t xml:space="preserve"> и </w:t>
      </w:r>
      <w:r w:rsidRPr="007D47DC">
        <w:rPr>
          <w:rFonts w:eastAsia="Times New Roman" w:cs="Arial"/>
          <w:color w:val="000000"/>
          <w:lang w:val="en-US"/>
        </w:rPr>
        <w:t xml:space="preserve">AUC </w:t>
      </w:r>
      <w:r w:rsidRPr="007D47DC">
        <w:rPr>
          <w:rFonts w:eastAsia="Times New Roman" w:cs="Arial"/>
          <w:color w:val="000000"/>
          <w:lang w:eastAsia="bg-BG"/>
        </w:rPr>
        <w:t>на ропинирол съответно със 60% и 84%. Препоръчва се мониториране на нежеланите реакции, свързани с ропинирол и коригиране на дозата по време и непосредствено след едновременното прилагане с ципрофлоксацин (вж. точка 4.4).</w:t>
      </w:r>
    </w:p>
    <w:p w14:paraId="24A5C6F9" w14:textId="77777777" w:rsidR="007D47DC" w:rsidRPr="007D47DC" w:rsidRDefault="007D47DC" w:rsidP="007D47DC">
      <w:pPr>
        <w:spacing w:line="240" w:lineRule="auto"/>
        <w:rPr>
          <w:rFonts w:eastAsia="Times New Roman" w:cs="Arial"/>
          <w:i/>
          <w:iCs/>
          <w:color w:val="000000"/>
          <w:u w:val="single"/>
          <w:lang w:eastAsia="bg-BG"/>
        </w:rPr>
      </w:pPr>
    </w:p>
    <w:p w14:paraId="201846F7" w14:textId="3CFF2E73"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Лидокаин</w:t>
      </w:r>
    </w:p>
    <w:p w14:paraId="5E674413"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При здрави доброволци е доказано, че едновременната употреба на лекарства, съдържащи лидокаин, с ципрофлоксацин, умерен инхибитор на </w:t>
      </w:r>
      <w:r w:rsidRPr="007D47DC">
        <w:rPr>
          <w:rFonts w:eastAsia="Times New Roman" w:cs="Arial"/>
          <w:color w:val="000000"/>
          <w:lang w:val="en-US"/>
        </w:rPr>
        <w:t xml:space="preserve">CYP450 </w:t>
      </w:r>
      <w:r w:rsidRPr="007D47DC">
        <w:rPr>
          <w:rFonts w:eastAsia="Times New Roman" w:cs="Arial"/>
          <w:color w:val="000000"/>
          <w:lang w:eastAsia="bg-BG"/>
        </w:rPr>
        <w:t>1А2 изоензим, намалява клирънса на интравенозния лидокаин с 22%. Въпреки че лечението с лидокаин се понася добре, възможно взаимодействие с ципрофлоксацин, свързано с нежелани реакции, може да се прояви при едновременно приложение.</w:t>
      </w:r>
    </w:p>
    <w:p w14:paraId="15C4E12D" w14:textId="77777777" w:rsidR="007D47DC" w:rsidRPr="007D47DC" w:rsidRDefault="007D47DC" w:rsidP="007D47DC">
      <w:pPr>
        <w:spacing w:line="240" w:lineRule="auto"/>
        <w:rPr>
          <w:rFonts w:eastAsia="Times New Roman" w:cs="Arial"/>
          <w:i/>
          <w:iCs/>
          <w:color w:val="000000"/>
          <w:u w:val="single"/>
          <w:lang w:eastAsia="bg-BG"/>
        </w:rPr>
      </w:pPr>
    </w:p>
    <w:p w14:paraId="3AAB7EA5" w14:textId="1A32466F"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lastRenderedPageBreak/>
        <w:t>Клозапин</w:t>
      </w:r>
    </w:p>
    <w:p w14:paraId="60264F70"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 xml:space="preserve">След едновременно прилагане на 250 </w:t>
      </w:r>
      <w:r w:rsidRPr="007D47DC">
        <w:rPr>
          <w:rFonts w:eastAsia="Times New Roman" w:cs="Arial"/>
          <w:color w:val="000000"/>
          <w:lang w:val="en-US"/>
        </w:rPr>
        <w:t xml:space="preserve">mg </w:t>
      </w:r>
      <w:r w:rsidRPr="007D47DC">
        <w:rPr>
          <w:rFonts w:eastAsia="Times New Roman" w:cs="Arial"/>
          <w:color w:val="000000"/>
          <w:lang w:eastAsia="bg-BG"/>
        </w:rPr>
        <w:t xml:space="preserve">ципрофлоксацин с клозапин в продължение на 7 дни, серумните концентрации на клозапин и </w:t>
      </w:r>
      <w:r w:rsidRPr="007D47DC">
        <w:rPr>
          <w:rFonts w:eastAsia="Times New Roman" w:cs="Arial"/>
          <w:color w:val="000000"/>
          <w:lang w:val="en-US"/>
        </w:rPr>
        <w:t>N</w:t>
      </w:r>
      <w:r w:rsidRPr="007D47DC">
        <w:rPr>
          <w:rFonts w:eastAsia="Times New Roman" w:cs="Arial"/>
          <w:color w:val="000000"/>
          <w:lang w:eastAsia="bg-BG"/>
        </w:rPr>
        <w:t>-дезметилклозапин се повишават съответно с 29% и 31%. Препоръчва се клинично проследяване и съответно коригиране на дозата на клозапин по време и непосредствено след едновременното прилагане с ципрофлоксацин (вж. точка 4.4).</w:t>
      </w:r>
    </w:p>
    <w:p w14:paraId="6E06E955" w14:textId="77777777" w:rsidR="007D47DC" w:rsidRPr="007D47DC" w:rsidRDefault="007D47DC" w:rsidP="007D47DC">
      <w:pPr>
        <w:spacing w:line="240" w:lineRule="auto"/>
        <w:rPr>
          <w:rFonts w:eastAsia="Times New Roman" w:cs="Arial"/>
          <w:i/>
          <w:iCs/>
          <w:color w:val="000000"/>
          <w:u w:val="single"/>
          <w:lang w:eastAsia="bg-BG"/>
        </w:rPr>
      </w:pPr>
    </w:p>
    <w:p w14:paraId="38C2712D" w14:textId="5DB7C4D4"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Силденафил</w:t>
      </w:r>
    </w:p>
    <w:p w14:paraId="58A8FB05" w14:textId="77777777"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Максималната плазмена концентрация (С</w:t>
      </w:r>
      <w:r w:rsidRPr="007D47DC">
        <w:rPr>
          <w:rFonts w:eastAsia="Times New Roman" w:cs="Arial"/>
          <w:color w:val="000000"/>
          <w:lang w:val="en-US"/>
        </w:rPr>
        <w:t>m</w:t>
      </w:r>
      <w:r w:rsidRPr="007D47DC">
        <w:rPr>
          <w:rFonts w:eastAsia="Times New Roman" w:cs="Arial"/>
          <w:color w:val="000000"/>
          <w:lang w:eastAsia="bg-BG"/>
        </w:rPr>
        <w:t xml:space="preserve">ах) и площта под кривата „концентрация-време“ </w:t>
      </w:r>
      <w:r w:rsidRPr="007D47DC">
        <w:rPr>
          <w:rFonts w:eastAsia="Times New Roman" w:cs="Arial"/>
          <w:color w:val="000000"/>
          <w:lang w:val="en-US"/>
        </w:rPr>
        <w:t xml:space="preserve">(AUC) </w:t>
      </w:r>
      <w:r w:rsidRPr="007D47DC">
        <w:rPr>
          <w:rFonts w:eastAsia="Times New Roman" w:cs="Arial"/>
          <w:color w:val="000000"/>
          <w:lang w:eastAsia="bg-BG"/>
        </w:rPr>
        <w:t xml:space="preserve">на силденафил са се увеличили приблизително двукратно при здрави доброволци след перорална доза от 50 </w:t>
      </w:r>
      <w:r w:rsidRPr="007D47DC">
        <w:rPr>
          <w:rFonts w:eastAsia="Times New Roman" w:cs="Arial"/>
          <w:color w:val="000000"/>
          <w:lang w:val="en-US"/>
        </w:rPr>
        <w:t xml:space="preserve">mg, </w:t>
      </w:r>
      <w:r w:rsidRPr="007D47DC">
        <w:rPr>
          <w:rFonts w:eastAsia="Times New Roman" w:cs="Arial"/>
          <w:color w:val="000000"/>
          <w:lang w:eastAsia="bg-BG"/>
        </w:rPr>
        <w:t xml:space="preserve">дадена едновременно с 500 </w:t>
      </w:r>
      <w:r w:rsidRPr="007D47DC">
        <w:rPr>
          <w:rFonts w:eastAsia="Times New Roman" w:cs="Arial"/>
          <w:color w:val="000000"/>
          <w:lang w:val="en-US"/>
        </w:rPr>
        <w:t xml:space="preserve">mg </w:t>
      </w:r>
      <w:r w:rsidRPr="007D47DC">
        <w:rPr>
          <w:rFonts w:eastAsia="Times New Roman" w:cs="Arial"/>
          <w:color w:val="000000"/>
          <w:lang w:eastAsia="bg-BG"/>
        </w:rPr>
        <w:t>ципрофлоксацин. По тази причина трябва да се внимава, когато се предписва ципрофлоксацин едновременно със силденафил, отчитайки възможните рискове и ползи.</w:t>
      </w:r>
    </w:p>
    <w:p w14:paraId="17CE3AF0" w14:textId="77777777" w:rsidR="007D47DC" w:rsidRPr="007D47DC" w:rsidRDefault="007D47DC" w:rsidP="007D47DC">
      <w:pPr>
        <w:spacing w:line="240" w:lineRule="auto"/>
        <w:rPr>
          <w:rFonts w:eastAsia="Times New Roman" w:cs="Arial"/>
          <w:lang w:eastAsia="bg-BG"/>
        </w:rPr>
      </w:pPr>
    </w:p>
    <w:p w14:paraId="45C60086" w14:textId="65B2CF79" w:rsidR="007D47DC" w:rsidRPr="007D47DC" w:rsidRDefault="007D47DC" w:rsidP="007D47DC">
      <w:pPr>
        <w:spacing w:line="240" w:lineRule="auto"/>
        <w:rPr>
          <w:rFonts w:eastAsia="Times New Roman" w:cs="Arial"/>
          <w:lang w:eastAsia="bg-BG"/>
        </w:rPr>
      </w:pPr>
      <w:r w:rsidRPr="007D47DC">
        <w:rPr>
          <w:rFonts w:eastAsia="Times New Roman" w:cs="Arial"/>
          <w:i/>
          <w:iCs/>
          <w:color w:val="000000"/>
          <w:u w:val="single"/>
          <w:lang w:eastAsia="bg-BG"/>
        </w:rPr>
        <w:t>Агомелатин</w:t>
      </w:r>
    </w:p>
    <w:p w14:paraId="1CCAA7E1" w14:textId="5D458F6C" w:rsidR="007D47DC" w:rsidRPr="007D47DC" w:rsidRDefault="007D47DC" w:rsidP="007D47DC">
      <w:pPr>
        <w:spacing w:line="240" w:lineRule="auto"/>
        <w:rPr>
          <w:rFonts w:eastAsia="Times New Roman" w:cs="Arial"/>
          <w:lang w:eastAsia="bg-BG"/>
        </w:rPr>
      </w:pPr>
      <w:r w:rsidRPr="007D47DC">
        <w:rPr>
          <w:rFonts w:eastAsia="Times New Roman" w:cs="Arial"/>
          <w:color w:val="000000"/>
          <w:lang w:eastAsia="bg-BG"/>
        </w:rPr>
        <w:t>В клинични проучвания е доказано, че флувоксамин, като мощен инхибитор на С</w:t>
      </w:r>
      <w:r w:rsidRPr="007D47DC">
        <w:rPr>
          <w:rFonts w:eastAsia="Times New Roman" w:cs="Arial"/>
          <w:color w:val="000000"/>
          <w:lang w:val="en-US"/>
        </w:rPr>
        <w:t>YP450 1A20</w:t>
      </w:r>
      <w:r w:rsidRPr="007D47DC">
        <w:rPr>
          <w:rFonts w:eastAsia="Times New Roman" w:cs="Arial"/>
          <w:color w:val="000000"/>
          <w:lang w:eastAsia="bg-BG"/>
        </w:rPr>
        <w:t xml:space="preserve"> изоензим, подчертано инхибира метаболизма на агомелатин, което води до 60-кратно</w:t>
      </w:r>
      <w:r>
        <w:rPr>
          <w:rFonts w:eastAsia="Times New Roman" w:cs="Arial"/>
          <w:lang w:eastAsia="bg-BG"/>
        </w:rPr>
        <w:t xml:space="preserve"> </w:t>
      </w:r>
      <w:r w:rsidRPr="007D47DC">
        <w:rPr>
          <w:rFonts w:eastAsia="Times New Roman" w:cs="Arial"/>
          <w:color w:val="000000"/>
          <w:lang w:eastAsia="bg-BG"/>
        </w:rPr>
        <w:t>увеличение на експозицията на агомелатин. Въпреки че, не са налични клинични данни за</w:t>
      </w:r>
      <w:r>
        <w:rPr>
          <w:rFonts w:eastAsia="Times New Roman" w:cs="Arial"/>
          <w:lang w:eastAsia="bg-BG"/>
        </w:rPr>
        <w:t xml:space="preserve"> </w:t>
      </w:r>
      <w:r w:rsidRPr="007D47DC">
        <w:rPr>
          <w:rFonts w:eastAsia="Times New Roman" w:cs="Arial"/>
          <w:color w:val="000000"/>
          <w:lang w:eastAsia="bg-BG"/>
        </w:rPr>
        <w:t xml:space="preserve">възможно взаимодействие с ципрофлоксацин, умерен инхибитор на СУР450 </w:t>
      </w:r>
      <w:r w:rsidRPr="007D47DC">
        <w:rPr>
          <w:rFonts w:eastAsia="Times New Roman" w:cs="Arial"/>
          <w:color w:val="000000"/>
          <w:lang w:val="en-US"/>
        </w:rPr>
        <w:t>lA2,</w:t>
      </w:r>
      <w:r w:rsidRPr="007D47DC">
        <w:rPr>
          <w:rFonts w:eastAsia="Times New Roman" w:cs="Arial"/>
          <w:color w:val="000000"/>
          <w:lang w:eastAsia="bg-BG"/>
        </w:rPr>
        <w:t xml:space="preserve"> подобни  ефекти може да се очакват при едновременно приложение (вж. "цитохром Р450"</w:t>
      </w:r>
      <w:r w:rsidRPr="007D47DC">
        <w:rPr>
          <w:rFonts w:eastAsia="Times New Roman" w:cs="Arial"/>
          <w:color w:val="000000"/>
          <w:lang w:val="en-US"/>
        </w:rPr>
        <w:t xml:space="preserve"> </w:t>
      </w:r>
      <w:r w:rsidRPr="007D47DC">
        <w:rPr>
          <w:rFonts w:eastAsia="Times New Roman" w:cs="Arial"/>
          <w:color w:val="000000"/>
          <w:lang w:eastAsia="bg-BG"/>
        </w:rPr>
        <w:t>в точка 4.4).</w:t>
      </w:r>
    </w:p>
    <w:p w14:paraId="5B2761C5" w14:textId="509BFD6C" w:rsidR="0091385D" w:rsidRDefault="0091385D" w:rsidP="0091385D"/>
    <w:p w14:paraId="75664687"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i/>
          <w:iCs/>
          <w:color w:val="000000"/>
          <w:u w:val="single"/>
          <w:lang w:eastAsia="bg-BG"/>
        </w:rPr>
        <w:t>Золпидем</w:t>
      </w:r>
    </w:p>
    <w:p w14:paraId="0B55F440" w14:textId="6FACAA11" w:rsidR="007D47DC" w:rsidRPr="007D47DC" w:rsidRDefault="007D47DC" w:rsidP="007D47DC">
      <w:pPr>
        <w:rPr>
          <w:rFonts w:cs="Arial"/>
        </w:rPr>
      </w:pPr>
      <w:r w:rsidRPr="007D47DC">
        <w:rPr>
          <w:rFonts w:eastAsia="Times New Roman" w:cs="Arial"/>
          <w:color w:val="000000"/>
          <w:lang w:eastAsia="bg-BG"/>
        </w:rPr>
        <w:t>Едновременното прилагане на ципрофлоксацин може да повиши нивото на золпидем в кръвта, едновременната употреба не се препоръчва.</w:t>
      </w:r>
    </w:p>
    <w:p w14:paraId="292EA39F" w14:textId="77777777" w:rsidR="007D47DC" w:rsidRPr="0091385D" w:rsidRDefault="007D47DC"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488441BA" w14:textId="77777777" w:rsidR="007D47DC" w:rsidRPr="007D47DC" w:rsidRDefault="007D47DC" w:rsidP="007D47DC">
      <w:pPr>
        <w:pStyle w:val="Heading3"/>
        <w:rPr>
          <w:rFonts w:eastAsia="Times New Roman"/>
          <w:u w:val="single"/>
          <w:lang w:eastAsia="bg-BG"/>
        </w:rPr>
      </w:pPr>
      <w:r w:rsidRPr="007D47DC">
        <w:rPr>
          <w:rFonts w:eastAsia="Times New Roman"/>
          <w:u w:val="single"/>
          <w:lang w:eastAsia="bg-BG"/>
        </w:rPr>
        <w:t>Бременност</w:t>
      </w:r>
    </w:p>
    <w:p w14:paraId="14DA659F"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Наличните данни за прилагането на ципрофлоксацин при бременни жени не показват малформации или фето/неонатална токсичност на ципрофлоксацин. Проучванията при животни не показват директни или индиректни увреждащи ефекти по отношение на репродуктивната токсичност. При прилагането на хинолони при животни по време на пренаталното им развитие и в ювенилна възраст са наблюдавани ефекти върху незрелия хрущял, поради което не може да се изключи възможността лекарството да причини увреждания на ставния хрущял на плода/фетуса (вж. точка 5.3).</w:t>
      </w:r>
    </w:p>
    <w:p w14:paraId="19795191"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Като предпазна мярка е за предпочитане да се избягва използването на ципрофлоксацин по време на бременност.</w:t>
      </w:r>
    </w:p>
    <w:p w14:paraId="5E3AE21E" w14:textId="77777777" w:rsidR="007D47DC" w:rsidRPr="007D47DC" w:rsidRDefault="007D47DC" w:rsidP="007D47DC">
      <w:pPr>
        <w:pStyle w:val="Heading3"/>
        <w:rPr>
          <w:rFonts w:eastAsia="Times New Roman"/>
          <w:u w:val="single"/>
          <w:lang w:eastAsia="bg-BG"/>
        </w:rPr>
      </w:pPr>
      <w:r w:rsidRPr="007D47DC">
        <w:rPr>
          <w:rFonts w:eastAsia="Times New Roman"/>
          <w:u w:val="single"/>
          <w:lang w:eastAsia="bg-BG"/>
        </w:rPr>
        <w:t>Кърмене</w:t>
      </w:r>
    </w:p>
    <w:p w14:paraId="776662C5" w14:textId="14018CD1" w:rsidR="0091385D" w:rsidRPr="007D47DC" w:rsidRDefault="007D47DC" w:rsidP="007D47DC">
      <w:pPr>
        <w:rPr>
          <w:rFonts w:cs="Arial"/>
        </w:rPr>
      </w:pPr>
      <w:r w:rsidRPr="007D47DC">
        <w:rPr>
          <w:rFonts w:eastAsia="Times New Roman" w:cs="Arial"/>
          <w:color w:val="000000"/>
          <w:lang w:eastAsia="bg-BG"/>
        </w:rPr>
        <w:t>Ципрофлоксацин се екскретира в кърмата. Поради потенциалният риск от увреждане на ставния хрущял ципрофлоксацин не трябва да се използва по време на кърмене.</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77E3754C" w:rsidR="0091385D" w:rsidRPr="007D47DC" w:rsidRDefault="007D47DC" w:rsidP="0091385D">
      <w:pPr>
        <w:rPr>
          <w:rFonts w:cs="Arial"/>
        </w:rPr>
      </w:pPr>
      <w:r w:rsidRPr="007D47DC">
        <w:rPr>
          <w:rFonts w:cs="Arial"/>
        </w:rPr>
        <w:t>Поради неврологичните си ефекти ципрофлоксацин може да повлияе скоростта на реакциите. По тази причина способността за шофиране и работа с машини може да е нарушена.</w:t>
      </w:r>
    </w:p>
    <w:p w14:paraId="35801A15" w14:textId="77777777" w:rsidR="0091385D" w:rsidRPr="0091385D" w:rsidRDefault="0091385D" w:rsidP="0091385D"/>
    <w:p w14:paraId="37A3FD9F" w14:textId="0E7561E3" w:rsidR="00CF77F7" w:rsidRDefault="002C50EE" w:rsidP="004A448E">
      <w:pPr>
        <w:pStyle w:val="Heading2"/>
      </w:pPr>
      <w:r>
        <w:lastRenderedPageBreak/>
        <w:t>4.8. Нежелани лекарствени реакции</w:t>
      </w:r>
    </w:p>
    <w:p w14:paraId="4838F52A" w14:textId="4C2232D6" w:rsidR="0091385D" w:rsidRDefault="0091385D" w:rsidP="0091385D"/>
    <w:p w14:paraId="617B0F95"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Най-често съобщаваните нежелани лекарствени реакции са гадене и диария.</w:t>
      </w:r>
    </w:p>
    <w:p w14:paraId="4911B62C"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По-долу са представени данните за НЛР на ципрофлоксацин от клиничните проучвания и пост- маркетинговото наблюдение (перорална, интравенозна и секвенциална терапия), подредени по честота. Анализът на честотата включва данните за перорално и интравенозно приложение на ципрофлоксацин.</w:t>
      </w:r>
    </w:p>
    <w:p w14:paraId="570508C4" w14:textId="22BF747F" w:rsidR="0091385D" w:rsidRDefault="007D47DC" w:rsidP="007D47DC">
      <w:pPr>
        <w:rPr>
          <w:rFonts w:eastAsia="Times New Roman" w:cs="Arial"/>
          <w:color w:val="000000"/>
          <w:lang w:eastAsia="bg-BG"/>
        </w:rPr>
      </w:pPr>
      <w:r w:rsidRPr="007D47DC">
        <w:rPr>
          <w:rFonts w:eastAsia="Times New Roman" w:cs="Arial"/>
          <w:color w:val="000000"/>
          <w:lang w:eastAsia="bg-BG"/>
        </w:rPr>
        <w:t>Нежеланите лекарствени реакции са класифицирани по честота и по система орган-клас.</w:t>
      </w:r>
    </w:p>
    <w:tbl>
      <w:tblPr>
        <w:tblStyle w:val="TableGrid"/>
        <w:tblW w:w="0" w:type="auto"/>
        <w:tblLook w:val="04A0" w:firstRow="1" w:lastRow="0" w:firstColumn="1" w:lastColumn="0" w:noHBand="0" w:noVBand="1"/>
      </w:tblPr>
      <w:tblGrid>
        <w:gridCol w:w="1699"/>
        <w:gridCol w:w="988"/>
        <w:gridCol w:w="1514"/>
        <w:gridCol w:w="1933"/>
        <w:gridCol w:w="1896"/>
        <w:gridCol w:w="1546"/>
      </w:tblGrid>
      <w:tr w:rsidR="007D47DC" w14:paraId="1E7FB045" w14:textId="77777777" w:rsidTr="00C264FE">
        <w:tc>
          <w:tcPr>
            <w:tcW w:w="1699" w:type="dxa"/>
          </w:tcPr>
          <w:p w14:paraId="61655AB3" w14:textId="628533F0" w:rsidR="007D47DC" w:rsidRDefault="007D47DC" w:rsidP="007D47DC">
            <w:pPr>
              <w:rPr>
                <w:rFonts w:cs="Arial"/>
              </w:rPr>
            </w:pPr>
            <w:r>
              <w:rPr>
                <w:b/>
                <w:bCs/>
              </w:rPr>
              <w:t>Системо- органна класификаци я</w:t>
            </w:r>
          </w:p>
        </w:tc>
        <w:tc>
          <w:tcPr>
            <w:tcW w:w="988" w:type="dxa"/>
          </w:tcPr>
          <w:p w14:paraId="2B265D33" w14:textId="77777777" w:rsidR="007D47DC" w:rsidRDefault="007D47DC" w:rsidP="007D47DC">
            <w:r>
              <w:rPr>
                <w:b/>
                <w:bCs/>
              </w:rPr>
              <w:t>Чести</w:t>
            </w:r>
          </w:p>
          <w:p w14:paraId="79D22D4A" w14:textId="77777777" w:rsidR="007D47DC" w:rsidRDefault="007D47DC" w:rsidP="007D47DC">
            <w:r>
              <w:t>≥1/100 до</w:t>
            </w:r>
          </w:p>
          <w:p w14:paraId="0855664A" w14:textId="0F205FD4" w:rsidR="007D47DC" w:rsidRDefault="007D47DC" w:rsidP="007D47DC">
            <w:pPr>
              <w:rPr>
                <w:rFonts w:cs="Arial"/>
              </w:rPr>
            </w:pPr>
            <w:r>
              <w:t>&lt;1/10</w:t>
            </w:r>
          </w:p>
        </w:tc>
        <w:tc>
          <w:tcPr>
            <w:tcW w:w="1514" w:type="dxa"/>
          </w:tcPr>
          <w:p w14:paraId="680909E0" w14:textId="77777777" w:rsidR="007D47DC" w:rsidRDefault="007D47DC" w:rsidP="007D47DC">
            <w:r>
              <w:rPr>
                <w:b/>
                <w:bCs/>
              </w:rPr>
              <w:t>Нечести</w:t>
            </w:r>
          </w:p>
          <w:p w14:paraId="3DCCC99D" w14:textId="77777777" w:rsidR="007D47DC" w:rsidRDefault="007D47DC" w:rsidP="007D47DC">
            <w:r>
              <w:t>≥1/1000 до</w:t>
            </w:r>
          </w:p>
          <w:p w14:paraId="4F41CF84" w14:textId="745F73CF" w:rsidR="007D47DC" w:rsidRDefault="007D47DC" w:rsidP="007D47DC">
            <w:pPr>
              <w:rPr>
                <w:rFonts w:cs="Arial"/>
              </w:rPr>
            </w:pPr>
            <w:r>
              <w:t>&lt;1/100</w:t>
            </w:r>
          </w:p>
        </w:tc>
        <w:tc>
          <w:tcPr>
            <w:tcW w:w="1933" w:type="dxa"/>
          </w:tcPr>
          <w:p w14:paraId="0CEABBFF" w14:textId="77777777" w:rsidR="007D47DC" w:rsidRDefault="007D47DC" w:rsidP="007D47DC">
            <w:r>
              <w:rPr>
                <w:b/>
                <w:bCs/>
              </w:rPr>
              <w:t>Редки</w:t>
            </w:r>
          </w:p>
          <w:p w14:paraId="243AD96A" w14:textId="77777777" w:rsidR="007D47DC" w:rsidRDefault="007D47DC" w:rsidP="007D47DC">
            <w:r>
              <w:t>≥1/10 000 до</w:t>
            </w:r>
          </w:p>
          <w:p w14:paraId="2AC2E25B" w14:textId="00B37EB2" w:rsidR="007D47DC" w:rsidRDefault="007D47DC" w:rsidP="007D47DC">
            <w:pPr>
              <w:rPr>
                <w:rFonts w:cs="Arial"/>
              </w:rPr>
            </w:pPr>
            <w:r>
              <w:t>&lt;1/1000</w:t>
            </w:r>
          </w:p>
        </w:tc>
        <w:tc>
          <w:tcPr>
            <w:tcW w:w="1896" w:type="dxa"/>
          </w:tcPr>
          <w:p w14:paraId="01101536" w14:textId="77777777" w:rsidR="007D47DC" w:rsidRDefault="007D47DC" w:rsidP="007D47DC">
            <w:r>
              <w:rPr>
                <w:b/>
                <w:bCs/>
              </w:rPr>
              <w:t>Много редки</w:t>
            </w:r>
          </w:p>
          <w:p w14:paraId="11728A03" w14:textId="610A61FA" w:rsidR="007D47DC" w:rsidRDefault="007D47DC" w:rsidP="007D47DC">
            <w:pPr>
              <w:rPr>
                <w:rFonts w:cs="Arial"/>
              </w:rPr>
            </w:pPr>
            <w:r>
              <w:t>&lt;1/10 000</w:t>
            </w:r>
          </w:p>
        </w:tc>
        <w:tc>
          <w:tcPr>
            <w:tcW w:w="1546" w:type="dxa"/>
          </w:tcPr>
          <w:p w14:paraId="72255D78" w14:textId="665DA359" w:rsidR="007D47DC" w:rsidRDefault="007D47DC" w:rsidP="007D47DC">
            <w:pPr>
              <w:rPr>
                <w:rFonts w:cs="Arial"/>
              </w:rPr>
            </w:pPr>
            <w:r>
              <w:rPr>
                <w:b/>
                <w:bCs/>
              </w:rPr>
              <w:t xml:space="preserve">С неизвестна честота </w:t>
            </w:r>
            <w:r>
              <w:t>(от наличните данни не може да бъде направена оценка)</w:t>
            </w:r>
          </w:p>
        </w:tc>
      </w:tr>
      <w:tr w:rsidR="007D47DC" w14:paraId="5B03A504" w14:textId="77777777" w:rsidTr="00C264FE">
        <w:tc>
          <w:tcPr>
            <w:tcW w:w="1699" w:type="dxa"/>
          </w:tcPr>
          <w:p w14:paraId="2399FB4B" w14:textId="315071AA" w:rsidR="007D47DC" w:rsidRDefault="007D47DC" w:rsidP="007D47DC">
            <w:pPr>
              <w:rPr>
                <w:rFonts w:cs="Arial"/>
              </w:rPr>
            </w:pPr>
            <w:r>
              <w:rPr>
                <w:b/>
                <w:bCs/>
              </w:rPr>
              <w:t>Инфекции и инфестации</w:t>
            </w:r>
          </w:p>
        </w:tc>
        <w:tc>
          <w:tcPr>
            <w:tcW w:w="988" w:type="dxa"/>
          </w:tcPr>
          <w:p w14:paraId="654A36DF" w14:textId="77777777" w:rsidR="007D47DC" w:rsidRDefault="007D47DC" w:rsidP="007D47DC">
            <w:pPr>
              <w:rPr>
                <w:rFonts w:cs="Arial"/>
              </w:rPr>
            </w:pPr>
          </w:p>
        </w:tc>
        <w:tc>
          <w:tcPr>
            <w:tcW w:w="1514" w:type="dxa"/>
          </w:tcPr>
          <w:p w14:paraId="6B2805EA" w14:textId="7625428C" w:rsidR="007D47DC" w:rsidRDefault="007D47DC" w:rsidP="007D47DC">
            <w:pPr>
              <w:rPr>
                <w:rFonts w:cs="Arial"/>
              </w:rPr>
            </w:pPr>
            <w:r>
              <w:t>Микотични суперинфек- ции.</w:t>
            </w:r>
          </w:p>
        </w:tc>
        <w:tc>
          <w:tcPr>
            <w:tcW w:w="1933" w:type="dxa"/>
          </w:tcPr>
          <w:p w14:paraId="7977DA57" w14:textId="77777777" w:rsidR="007D47DC" w:rsidRDefault="007D47DC" w:rsidP="007D47DC">
            <w:pPr>
              <w:rPr>
                <w:rFonts w:cs="Arial"/>
              </w:rPr>
            </w:pPr>
          </w:p>
        </w:tc>
        <w:tc>
          <w:tcPr>
            <w:tcW w:w="1896" w:type="dxa"/>
          </w:tcPr>
          <w:p w14:paraId="06003106" w14:textId="77777777" w:rsidR="007D47DC" w:rsidRDefault="007D47DC" w:rsidP="007D47DC">
            <w:pPr>
              <w:rPr>
                <w:rFonts w:cs="Arial"/>
              </w:rPr>
            </w:pPr>
          </w:p>
        </w:tc>
        <w:tc>
          <w:tcPr>
            <w:tcW w:w="1546" w:type="dxa"/>
          </w:tcPr>
          <w:p w14:paraId="50655891" w14:textId="77777777" w:rsidR="007D47DC" w:rsidRDefault="007D47DC" w:rsidP="007D47DC">
            <w:pPr>
              <w:rPr>
                <w:rFonts w:cs="Arial"/>
              </w:rPr>
            </w:pPr>
          </w:p>
        </w:tc>
      </w:tr>
      <w:tr w:rsidR="007D47DC" w14:paraId="309D5217" w14:textId="77777777" w:rsidTr="00C264FE">
        <w:tc>
          <w:tcPr>
            <w:tcW w:w="1699" w:type="dxa"/>
          </w:tcPr>
          <w:p w14:paraId="35DE6B56" w14:textId="0E76F31E" w:rsidR="007D47DC" w:rsidRDefault="007D47DC" w:rsidP="007D47DC">
            <w:pPr>
              <w:rPr>
                <w:rFonts w:cs="Arial"/>
              </w:rPr>
            </w:pPr>
            <w:r>
              <w:rPr>
                <w:b/>
                <w:bCs/>
              </w:rPr>
              <w:t>Нарушения на кръвта и лимфната система</w:t>
            </w:r>
          </w:p>
        </w:tc>
        <w:tc>
          <w:tcPr>
            <w:tcW w:w="988" w:type="dxa"/>
          </w:tcPr>
          <w:p w14:paraId="30C896C3" w14:textId="77777777" w:rsidR="007D47DC" w:rsidRDefault="007D47DC" w:rsidP="007D47DC">
            <w:pPr>
              <w:rPr>
                <w:rFonts w:cs="Arial"/>
              </w:rPr>
            </w:pPr>
          </w:p>
        </w:tc>
        <w:tc>
          <w:tcPr>
            <w:tcW w:w="1514" w:type="dxa"/>
          </w:tcPr>
          <w:p w14:paraId="1A4C8C7C" w14:textId="04597BED" w:rsidR="007D47DC" w:rsidRDefault="007D47DC" w:rsidP="007D47DC">
            <w:pPr>
              <w:rPr>
                <w:rFonts w:cs="Arial"/>
              </w:rPr>
            </w:pPr>
            <w:r>
              <w:t>Еозинофи- лия.</w:t>
            </w:r>
          </w:p>
        </w:tc>
        <w:tc>
          <w:tcPr>
            <w:tcW w:w="1933" w:type="dxa"/>
          </w:tcPr>
          <w:p w14:paraId="77F3E526" w14:textId="77777777" w:rsidR="007D47DC" w:rsidRDefault="007D47DC" w:rsidP="007D47DC">
            <w:r>
              <w:t>Левкопения;</w:t>
            </w:r>
          </w:p>
          <w:p w14:paraId="62AAC988" w14:textId="77777777" w:rsidR="007D47DC" w:rsidRDefault="007D47DC" w:rsidP="007D47DC">
            <w:r>
              <w:t>Анемия;</w:t>
            </w:r>
          </w:p>
          <w:p w14:paraId="4D024172" w14:textId="77777777" w:rsidR="007D47DC" w:rsidRDefault="007D47DC" w:rsidP="007D47DC">
            <w:r>
              <w:t>Неутропения;</w:t>
            </w:r>
          </w:p>
          <w:p w14:paraId="6A95807D" w14:textId="77777777" w:rsidR="007D47DC" w:rsidRDefault="007D47DC" w:rsidP="007D47DC">
            <w:r>
              <w:t>Левкоцитоза; Тромбоцито- пения;</w:t>
            </w:r>
          </w:p>
          <w:p w14:paraId="05B63C21" w14:textId="046F1F98" w:rsidR="007D47DC" w:rsidRDefault="007D47DC" w:rsidP="007D47DC">
            <w:pPr>
              <w:rPr>
                <w:rFonts w:cs="Arial"/>
              </w:rPr>
            </w:pPr>
            <w:r>
              <w:t>Тромбоцитемия.</w:t>
            </w:r>
          </w:p>
        </w:tc>
        <w:tc>
          <w:tcPr>
            <w:tcW w:w="1896" w:type="dxa"/>
          </w:tcPr>
          <w:p w14:paraId="361BB813" w14:textId="77777777" w:rsidR="007D47DC" w:rsidRDefault="007D47DC" w:rsidP="007D47DC">
            <w:r>
              <w:t>Хемолитична анемия;</w:t>
            </w:r>
          </w:p>
          <w:p w14:paraId="60719109" w14:textId="77777777" w:rsidR="007D47DC" w:rsidRDefault="007D47DC" w:rsidP="007D47DC">
            <w:r>
              <w:t>Агранулоцитоза; Панцигопения (животозастра- шаваща);</w:t>
            </w:r>
          </w:p>
          <w:p w14:paraId="7FD5E1D4" w14:textId="77777777" w:rsidR="007D47DC" w:rsidRDefault="007D47DC" w:rsidP="007D47DC">
            <w:r>
              <w:t>Потискане на костния мозък (живото-</w:t>
            </w:r>
          </w:p>
          <w:p w14:paraId="3B2D719D" w14:textId="4B4580DE" w:rsidR="007D47DC" w:rsidRDefault="007D47DC" w:rsidP="007D47DC">
            <w:pPr>
              <w:rPr>
                <w:rFonts w:cs="Arial"/>
              </w:rPr>
            </w:pPr>
            <w:r>
              <w:t>застрашаващо.</w:t>
            </w:r>
          </w:p>
        </w:tc>
        <w:tc>
          <w:tcPr>
            <w:tcW w:w="1546" w:type="dxa"/>
          </w:tcPr>
          <w:p w14:paraId="596C73A4" w14:textId="77777777" w:rsidR="007D47DC" w:rsidRDefault="007D47DC" w:rsidP="007D47DC">
            <w:pPr>
              <w:rPr>
                <w:rFonts w:cs="Arial"/>
              </w:rPr>
            </w:pPr>
          </w:p>
        </w:tc>
      </w:tr>
      <w:tr w:rsidR="00C264FE" w14:paraId="3D0866A0" w14:textId="77777777" w:rsidTr="00C264FE">
        <w:trPr>
          <w:trHeight w:val="2698"/>
        </w:trPr>
        <w:tc>
          <w:tcPr>
            <w:tcW w:w="1699" w:type="dxa"/>
          </w:tcPr>
          <w:p w14:paraId="2892BB93" w14:textId="77777777" w:rsidR="00C264FE" w:rsidRDefault="00C264FE" w:rsidP="007D47DC">
            <w:pPr>
              <w:rPr>
                <w:rFonts w:cs="Arial"/>
              </w:rPr>
            </w:pPr>
            <w:r>
              <w:rPr>
                <w:b/>
                <w:bCs/>
              </w:rPr>
              <w:t>Нарушения на имунната</w:t>
            </w:r>
          </w:p>
          <w:p w14:paraId="1E630B55" w14:textId="2032C022" w:rsidR="00C264FE" w:rsidRDefault="00C264FE" w:rsidP="007D47DC">
            <w:pPr>
              <w:rPr>
                <w:rFonts w:cs="Arial"/>
              </w:rPr>
            </w:pPr>
            <w:r>
              <w:rPr>
                <w:b/>
                <w:bCs/>
              </w:rPr>
              <w:t>система</w:t>
            </w:r>
          </w:p>
        </w:tc>
        <w:tc>
          <w:tcPr>
            <w:tcW w:w="988" w:type="dxa"/>
          </w:tcPr>
          <w:p w14:paraId="58B68096" w14:textId="77777777" w:rsidR="00C264FE" w:rsidRDefault="00C264FE" w:rsidP="007D47DC">
            <w:pPr>
              <w:rPr>
                <w:rFonts w:cs="Arial"/>
              </w:rPr>
            </w:pPr>
          </w:p>
        </w:tc>
        <w:tc>
          <w:tcPr>
            <w:tcW w:w="1514" w:type="dxa"/>
          </w:tcPr>
          <w:p w14:paraId="6C6FE9FC" w14:textId="77777777" w:rsidR="00C264FE" w:rsidRDefault="00C264FE" w:rsidP="007D47DC">
            <w:pPr>
              <w:rPr>
                <w:rFonts w:cs="Arial"/>
              </w:rPr>
            </w:pPr>
          </w:p>
        </w:tc>
        <w:tc>
          <w:tcPr>
            <w:tcW w:w="1933" w:type="dxa"/>
          </w:tcPr>
          <w:p w14:paraId="4B44C35C" w14:textId="77777777" w:rsidR="00C264FE" w:rsidRDefault="00C264FE" w:rsidP="007D47DC">
            <w:pPr>
              <w:rPr>
                <w:rFonts w:cs="Arial"/>
              </w:rPr>
            </w:pPr>
            <w:r>
              <w:t>Алергична реакция;</w:t>
            </w:r>
          </w:p>
          <w:p w14:paraId="1C704D2E" w14:textId="280778FD" w:rsidR="00C264FE" w:rsidRDefault="00C264FE" w:rsidP="007D47DC">
            <w:pPr>
              <w:rPr>
                <w:rFonts w:cs="Arial"/>
              </w:rPr>
            </w:pPr>
            <w:r>
              <w:t>Алергичен оток / Ангиоедем.</w:t>
            </w:r>
          </w:p>
        </w:tc>
        <w:tc>
          <w:tcPr>
            <w:tcW w:w="1896" w:type="dxa"/>
          </w:tcPr>
          <w:p w14:paraId="6F4B7E36" w14:textId="77777777" w:rsidR="00C264FE" w:rsidRDefault="00C264FE" w:rsidP="007D47DC">
            <w:pPr>
              <w:rPr>
                <w:rFonts w:cs="Arial"/>
              </w:rPr>
            </w:pPr>
            <w:r>
              <w:t xml:space="preserve">Анафилактична реакция; </w:t>
            </w:r>
          </w:p>
          <w:p w14:paraId="3E35E084" w14:textId="77777777" w:rsidR="00C264FE" w:rsidRDefault="00C264FE" w:rsidP="007D47DC">
            <w:r>
              <w:t>Анафилактичен шок (животозастраша ващ) (вж. точка 4.4);</w:t>
            </w:r>
          </w:p>
          <w:p w14:paraId="1B4D8F17" w14:textId="33F30E62" w:rsidR="00C264FE" w:rsidRDefault="00C264FE" w:rsidP="007D47DC">
            <w:pPr>
              <w:rPr>
                <w:rFonts w:cs="Arial"/>
              </w:rPr>
            </w:pPr>
            <w:r>
              <w:t>Реакции, наподобяващи серумна болест.</w:t>
            </w:r>
          </w:p>
        </w:tc>
        <w:tc>
          <w:tcPr>
            <w:tcW w:w="1546" w:type="dxa"/>
          </w:tcPr>
          <w:p w14:paraId="097733BC" w14:textId="77777777" w:rsidR="00C264FE" w:rsidRDefault="00C264FE" w:rsidP="007D47DC">
            <w:pPr>
              <w:rPr>
                <w:rFonts w:cs="Arial"/>
              </w:rPr>
            </w:pPr>
          </w:p>
        </w:tc>
      </w:tr>
      <w:tr w:rsidR="007D47DC" w14:paraId="502057E7" w14:textId="77777777" w:rsidTr="00C264FE">
        <w:tc>
          <w:tcPr>
            <w:tcW w:w="1699" w:type="dxa"/>
          </w:tcPr>
          <w:p w14:paraId="6B26AB5A" w14:textId="16C17D85" w:rsidR="007D47DC" w:rsidRDefault="007D47DC" w:rsidP="007D47DC">
            <w:pPr>
              <w:rPr>
                <w:rFonts w:cs="Arial"/>
              </w:rPr>
            </w:pPr>
            <w:r>
              <w:rPr>
                <w:b/>
                <w:bCs/>
              </w:rPr>
              <w:t>Нарушения на ендокринната система</w:t>
            </w:r>
          </w:p>
        </w:tc>
        <w:tc>
          <w:tcPr>
            <w:tcW w:w="988" w:type="dxa"/>
          </w:tcPr>
          <w:p w14:paraId="45887A7B" w14:textId="77777777" w:rsidR="007D47DC" w:rsidRDefault="007D47DC" w:rsidP="007D47DC">
            <w:pPr>
              <w:rPr>
                <w:rFonts w:cs="Arial"/>
              </w:rPr>
            </w:pPr>
          </w:p>
        </w:tc>
        <w:tc>
          <w:tcPr>
            <w:tcW w:w="1514" w:type="dxa"/>
          </w:tcPr>
          <w:p w14:paraId="1FCF91FC" w14:textId="77777777" w:rsidR="007D47DC" w:rsidRDefault="007D47DC" w:rsidP="007D47DC">
            <w:pPr>
              <w:rPr>
                <w:rFonts w:cs="Arial"/>
              </w:rPr>
            </w:pPr>
          </w:p>
        </w:tc>
        <w:tc>
          <w:tcPr>
            <w:tcW w:w="1933" w:type="dxa"/>
          </w:tcPr>
          <w:p w14:paraId="79202717" w14:textId="77777777" w:rsidR="007D47DC" w:rsidRDefault="007D47DC" w:rsidP="007D47DC">
            <w:pPr>
              <w:rPr>
                <w:rFonts w:cs="Arial"/>
              </w:rPr>
            </w:pPr>
          </w:p>
        </w:tc>
        <w:tc>
          <w:tcPr>
            <w:tcW w:w="1896" w:type="dxa"/>
          </w:tcPr>
          <w:p w14:paraId="6188A68C" w14:textId="77777777" w:rsidR="007D47DC" w:rsidRDefault="007D47DC" w:rsidP="007D47DC">
            <w:pPr>
              <w:rPr>
                <w:rFonts w:cs="Arial"/>
              </w:rPr>
            </w:pPr>
          </w:p>
        </w:tc>
        <w:tc>
          <w:tcPr>
            <w:tcW w:w="1546" w:type="dxa"/>
            <w:vAlign w:val="bottom"/>
          </w:tcPr>
          <w:p w14:paraId="526A392D" w14:textId="17F92312" w:rsidR="007D47DC" w:rsidRDefault="007D47DC" w:rsidP="007D47DC">
            <w:pPr>
              <w:rPr>
                <w:rFonts w:cs="Arial"/>
              </w:rPr>
            </w:pPr>
            <w:r>
              <w:t xml:space="preserve">Синдром на неадекватна секреция на антидиуретич ен хормон </w:t>
            </w:r>
            <w:r>
              <w:rPr>
                <w:lang w:val="en-US"/>
              </w:rPr>
              <w:t>(SIADH).</w:t>
            </w:r>
          </w:p>
        </w:tc>
      </w:tr>
      <w:tr w:rsidR="007D47DC" w14:paraId="1A2CCA38" w14:textId="77777777" w:rsidTr="00C264FE">
        <w:tc>
          <w:tcPr>
            <w:tcW w:w="1699" w:type="dxa"/>
          </w:tcPr>
          <w:p w14:paraId="03D9099F" w14:textId="4BC33584" w:rsidR="007D47DC" w:rsidRDefault="007D47DC" w:rsidP="007D47DC">
            <w:pPr>
              <w:rPr>
                <w:rFonts w:cs="Arial"/>
              </w:rPr>
            </w:pPr>
            <w:r>
              <w:rPr>
                <w:b/>
                <w:bCs/>
              </w:rPr>
              <w:lastRenderedPageBreak/>
              <w:t>Нарушения на метаболизма и храненето</w:t>
            </w:r>
          </w:p>
        </w:tc>
        <w:tc>
          <w:tcPr>
            <w:tcW w:w="988" w:type="dxa"/>
          </w:tcPr>
          <w:p w14:paraId="3852BDED" w14:textId="77777777" w:rsidR="007D47DC" w:rsidRDefault="007D47DC" w:rsidP="007D47DC">
            <w:pPr>
              <w:rPr>
                <w:rFonts w:cs="Arial"/>
              </w:rPr>
            </w:pPr>
          </w:p>
        </w:tc>
        <w:tc>
          <w:tcPr>
            <w:tcW w:w="1514" w:type="dxa"/>
          </w:tcPr>
          <w:p w14:paraId="594D0A88" w14:textId="1AE8E9D7" w:rsidR="007D47DC" w:rsidRDefault="007D47DC" w:rsidP="007D47DC">
            <w:pPr>
              <w:rPr>
                <w:rFonts w:cs="Arial"/>
              </w:rPr>
            </w:pPr>
            <w:r>
              <w:t>Намален апетит.</w:t>
            </w:r>
          </w:p>
        </w:tc>
        <w:tc>
          <w:tcPr>
            <w:tcW w:w="1933" w:type="dxa"/>
          </w:tcPr>
          <w:p w14:paraId="7B99F0A6" w14:textId="745F8B42" w:rsidR="007D47DC" w:rsidRDefault="007D47DC" w:rsidP="007D47DC">
            <w:pPr>
              <w:rPr>
                <w:rFonts w:cs="Arial"/>
              </w:rPr>
            </w:pPr>
            <w:r>
              <w:t>Хипергликемия; Хипогликемия (вж. точка 4.4).</w:t>
            </w:r>
          </w:p>
        </w:tc>
        <w:tc>
          <w:tcPr>
            <w:tcW w:w="1896" w:type="dxa"/>
          </w:tcPr>
          <w:p w14:paraId="5BB20A10" w14:textId="77777777" w:rsidR="007D47DC" w:rsidRDefault="007D47DC" w:rsidP="007D47DC">
            <w:pPr>
              <w:rPr>
                <w:rFonts w:cs="Arial"/>
              </w:rPr>
            </w:pPr>
          </w:p>
        </w:tc>
        <w:tc>
          <w:tcPr>
            <w:tcW w:w="1546" w:type="dxa"/>
          </w:tcPr>
          <w:p w14:paraId="5838E818" w14:textId="106E5EFC" w:rsidR="007D47DC" w:rsidRDefault="007D47DC" w:rsidP="007D47DC">
            <w:pPr>
              <w:rPr>
                <w:rFonts w:cs="Arial"/>
              </w:rPr>
            </w:pPr>
            <w:r>
              <w:t>Хипогли- кемична кома (вж. точка 4.4).</w:t>
            </w:r>
          </w:p>
        </w:tc>
      </w:tr>
      <w:tr w:rsidR="007D47DC" w14:paraId="350C8329" w14:textId="77777777" w:rsidTr="00C264FE">
        <w:tc>
          <w:tcPr>
            <w:tcW w:w="1699" w:type="dxa"/>
          </w:tcPr>
          <w:p w14:paraId="43569698" w14:textId="753EB4B2" w:rsidR="007D47DC" w:rsidRDefault="007D47DC" w:rsidP="007D47DC">
            <w:pPr>
              <w:rPr>
                <w:rFonts w:cs="Arial"/>
              </w:rPr>
            </w:pPr>
            <w:r>
              <w:rPr>
                <w:b/>
                <w:bCs/>
              </w:rPr>
              <w:t>Психични нарушения*</w:t>
            </w:r>
          </w:p>
        </w:tc>
        <w:tc>
          <w:tcPr>
            <w:tcW w:w="988" w:type="dxa"/>
          </w:tcPr>
          <w:p w14:paraId="6BDC0D4C" w14:textId="77777777" w:rsidR="007D47DC" w:rsidRDefault="007D47DC" w:rsidP="007D47DC">
            <w:pPr>
              <w:rPr>
                <w:rFonts w:cs="Arial"/>
              </w:rPr>
            </w:pPr>
          </w:p>
        </w:tc>
        <w:tc>
          <w:tcPr>
            <w:tcW w:w="1514" w:type="dxa"/>
          </w:tcPr>
          <w:p w14:paraId="73F712C5" w14:textId="01A717FD" w:rsidR="007D47DC" w:rsidRDefault="007D47DC" w:rsidP="007D47DC">
            <w:pPr>
              <w:rPr>
                <w:rFonts w:cs="Arial"/>
              </w:rPr>
            </w:pPr>
            <w:r>
              <w:t>Психомотор</w:t>
            </w:r>
            <w:r>
              <w:softHyphen/>
              <w:t>на хипер- активност / възбуда.</w:t>
            </w:r>
          </w:p>
        </w:tc>
        <w:tc>
          <w:tcPr>
            <w:tcW w:w="1933" w:type="dxa"/>
            <w:vAlign w:val="bottom"/>
          </w:tcPr>
          <w:p w14:paraId="024FFA30" w14:textId="77777777" w:rsidR="007D47DC" w:rsidRDefault="007D47DC" w:rsidP="007D47DC">
            <w:r>
              <w:t>Объркване и дезориентация; Реакция на безпокойство;</w:t>
            </w:r>
          </w:p>
          <w:p w14:paraId="513DBC89" w14:textId="77777777" w:rsidR="007D47DC" w:rsidRDefault="007D47DC" w:rsidP="007D47DC">
            <w:r>
              <w:t>Абнормни сънища;</w:t>
            </w:r>
          </w:p>
          <w:p w14:paraId="6897FAA3" w14:textId="4876A27B" w:rsidR="007D47DC" w:rsidRDefault="007D47DC" w:rsidP="007D47DC">
            <w:pPr>
              <w:rPr>
                <w:rFonts w:cs="Arial"/>
              </w:rPr>
            </w:pPr>
            <w:r>
              <w:t>Депресия (потенциално кулминираща в суицидни намерения/мисли или опити за самоубийство и извършване на самоубийство) (вж. точка 4.4); Халюцинации.</w:t>
            </w:r>
          </w:p>
        </w:tc>
        <w:tc>
          <w:tcPr>
            <w:tcW w:w="1896" w:type="dxa"/>
          </w:tcPr>
          <w:p w14:paraId="29772EC9" w14:textId="0A441796" w:rsidR="007D47DC" w:rsidRDefault="007D47DC" w:rsidP="007D47DC">
            <w:pPr>
              <w:rPr>
                <w:rFonts w:cs="Arial"/>
              </w:rPr>
            </w:pPr>
            <w:r>
              <w:t>Психотични реакции (потенциално кулминиращи в суицидни намерения/ мисли или опити за самоубийство и извършване на самоубийство) (вж. точка 4.4).</w:t>
            </w:r>
          </w:p>
        </w:tc>
        <w:tc>
          <w:tcPr>
            <w:tcW w:w="1546" w:type="dxa"/>
          </w:tcPr>
          <w:p w14:paraId="5C4A9A40" w14:textId="7149933B" w:rsidR="007D47DC" w:rsidRDefault="007D47DC" w:rsidP="007D47DC">
            <w:pPr>
              <w:rPr>
                <w:rFonts w:cs="Arial"/>
              </w:rPr>
            </w:pPr>
            <w:r>
              <w:t>Мания, вкл. хипомания.</w:t>
            </w:r>
          </w:p>
        </w:tc>
      </w:tr>
      <w:tr w:rsidR="007D47DC" w14:paraId="3F3D8262" w14:textId="77777777" w:rsidTr="00C264FE">
        <w:tc>
          <w:tcPr>
            <w:tcW w:w="1699" w:type="dxa"/>
          </w:tcPr>
          <w:p w14:paraId="3C1083AD" w14:textId="2EA2320D" w:rsidR="007D47DC" w:rsidRDefault="007D47DC" w:rsidP="007D47DC">
            <w:pPr>
              <w:rPr>
                <w:rFonts w:cs="Arial"/>
              </w:rPr>
            </w:pPr>
            <w:r>
              <w:rPr>
                <w:b/>
                <w:bCs/>
              </w:rPr>
              <w:t>Нарушения на нервната система*</w:t>
            </w:r>
          </w:p>
        </w:tc>
        <w:tc>
          <w:tcPr>
            <w:tcW w:w="988" w:type="dxa"/>
          </w:tcPr>
          <w:p w14:paraId="60985E22" w14:textId="77777777" w:rsidR="007D47DC" w:rsidRDefault="007D47DC" w:rsidP="007D47DC">
            <w:pPr>
              <w:rPr>
                <w:rFonts w:cs="Arial"/>
              </w:rPr>
            </w:pPr>
          </w:p>
        </w:tc>
        <w:tc>
          <w:tcPr>
            <w:tcW w:w="1514" w:type="dxa"/>
          </w:tcPr>
          <w:p w14:paraId="506039D5" w14:textId="1F66DAB1" w:rsidR="007D47DC" w:rsidRDefault="007D47DC" w:rsidP="007D47DC">
            <w:pPr>
              <w:rPr>
                <w:rFonts w:cs="Arial"/>
              </w:rPr>
            </w:pPr>
            <w:r>
              <w:t>Главоболие; Замаяност; Нарушения на съня; Нарушения на вкуса.</w:t>
            </w:r>
          </w:p>
        </w:tc>
        <w:tc>
          <w:tcPr>
            <w:tcW w:w="1933" w:type="dxa"/>
          </w:tcPr>
          <w:p w14:paraId="47E07418" w14:textId="77777777" w:rsidR="007D47DC" w:rsidRDefault="007D47DC" w:rsidP="007D47DC">
            <w:r>
              <w:t>Пара- и дизестезии;</w:t>
            </w:r>
          </w:p>
          <w:p w14:paraId="08D2949D" w14:textId="77777777" w:rsidR="007D47DC" w:rsidRDefault="007D47DC" w:rsidP="007D47DC">
            <w:r>
              <w:t>Хипоестезия;</w:t>
            </w:r>
          </w:p>
          <w:p w14:paraId="119C00FD" w14:textId="77777777" w:rsidR="007D47DC" w:rsidRDefault="007D47DC" w:rsidP="007D47DC">
            <w:r>
              <w:t>Тремор;</w:t>
            </w:r>
          </w:p>
          <w:p w14:paraId="28DE94FF" w14:textId="77777777" w:rsidR="007D47DC" w:rsidRDefault="007D47DC" w:rsidP="007D47DC">
            <w:r>
              <w:t>Припадъци (вкл. епилептичен статус) (вж. точка 4.4);</w:t>
            </w:r>
          </w:p>
          <w:p w14:paraId="16978768" w14:textId="7E06BF1E" w:rsidR="007D47DC" w:rsidRDefault="007D47DC" w:rsidP="007D47DC">
            <w:pPr>
              <w:rPr>
                <w:rFonts w:cs="Arial"/>
              </w:rPr>
            </w:pPr>
            <w:r>
              <w:t>Световъртеж.</w:t>
            </w:r>
          </w:p>
        </w:tc>
        <w:tc>
          <w:tcPr>
            <w:tcW w:w="1896" w:type="dxa"/>
            <w:vAlign w:val="bottom"/>
          </w:tcPr>
          <w:p w14:paraId="63DEE2D9" w14:textId="77777777" w:rsidR="007D47DC" w:rsidRDefault="007D47DC" w:rsidP="007D47DC">
            <w:r>
              <w:t>Мигрена;</w:t>
            </w:r>
          </w:p>
          <w:p w14:paraId="78B18FE5" w14:textId="77777777" w:rsidR="007D47DC" w:rsidRDefault="007D47DC" w:rsidP="007D47DC">
            <w:r>
              <w:t>Нарушена координация;</w:t>
            </w:r>
          </w:p>
          <w:p w14:paraId="4EEA4811" w14:textId="77777777" w:rsidR="007D47DC" w:rsidRDefault="007D47DC" w:rsidP="007D47DC">
            <w:r>
              <w:t>Нарушения на походката;</w:t>
            </w:r>
          </w:p>
          <w:p w14:paraId="0CDB8208" w14:textId="77777777" w:rsidR="007D47DC" w:rsidRDefault="007D47DC" w:rsidP="007D47DC">
            <w:r>
              <w:t>Нарушения на обонянието;</w:t>
            </w:r>
          </w:p>
          <w:p w14:paraId="4E327141" w14:textId="5C1815D1" w:rsidR="007D47DC" w:rsidRDefault="007D47DC" w:rsidP="007D47DC">
            <w:pPr>
              <w:rPr>
                <w:rFonts w:cs="Arial"/>
              </w:rPr>
            </w:pPr>
            <w:r>
              <w:t xml:space="preserve">Интракраниална хипертония и </w:t>
            </w:r>
            <w:proofErr w:type="spellStart"/>
            <w:r>
              <w:rPr>
                <w:i/>
                <w:iCs/>
                <w:lang w:val="en-US"/>
              </w:rPr>
              <w:t>pseudotumor</w:t>
            </w:r>
            <w:proofErr w:type="spellEnd"/>
            <w:r>
              <w:rPr>
                <w:i/>
                <w:iCs/>
                <w:lang w:val="en-US"/>
              </w:rPr>
              <w:t xml:space="preserve"> </w:t>
            </w:r>
            <w:proofErr w:type="spellStart"/>
            <w:r>
              <w:rPr>
                <w:i/>
                <w:iCs/>
                <w:lang w:val="en-US"/>
              </w:rPr>
              <w:t>cerebri</w:t>
            </w:r>
            <w:proofErr w:type="spellEnd"/>
            <w:r>
              <w:rPr>
                <w:i/>
                <w:iCs/>
                <w:lang w:val="en-US"/>
              </w:rPr>
              <w:t>.</w:t>
            </w:r>
          </w:p>
        </w:tc>
        <w:tc>
          <w:tcPr>
            <w:tcW w:w="1546" w:type="dxa"/>
          </w:tcPr>
          <w:p w14:paraId="002FA79A" w14:textId="2309D383" w:rsidR="007D47DC" w:rsidRDefault="007D47DC" w:rsidP="007D47DC">
            <w:pPr>
              <w:rPr>
                <w:rFonts w:cs="Arial"/>
              </w:rPr>
            </w:pPr>
            <w:r>
              <w:t>Периферна невропатия и полиневропа тия (вж. точка 4.4).</w:t>
            </w:r>
          </w:p>
        </w:tc>
      </w:tr>
      <w:tr w:rsidR="007D47DC" w14:paraId="4306F313" w14:textId="77777777" w:rsidTr="00C264FE">
        <w:tc>
          <w:tcPr>
            <w:tcW w:w="1699" w:type="dxa"/>
          </w:tcPr>
          <w:p w14:paraId="35BFAF5D" w14:textId="54EBFB20" w:rsidR="007D47DC" w:rsidRDefault="00C264FE" w:rsidP="007D47DC">
            <w:pPr>
              <w:rPr>
                <w:rFonts w:cs="Arial"/>
              </w:rPr>
            </w:pPr>
            <w:r>
              <w:rPr>
                <w:b/>
                <w:bCs/>
              </w:rPr>
              <w:t>Нарушения на очи</w:t>
            </w:r>
            <w:r w:rsidR="007D47DC">
              <w:rPr>
                <w:b/>
                <w:bCs/>
              </w:rPr>
              <w:t>те*</w:t>
            </w:r>
          </w:p>
        </w:tc>
        <w:tc>
          <w:tcPr>
            <w:tcW w:w="988" w:type="dxa"/>
          </w:tcPr>
          <w:p w14:paraId="15B748C5" w14:textId="77777777" w:rsidR="007D47DC" w:rsidRDefault="007D47DC" w:rsidP="007D47DC">
            <w:pPr>
              <w:rPr>
                <w:rFonts w:cs="Arial"/>
              </w:rPr>
            </w:pPr>
          </w:p>
        </w:tc>
        <w:tc>
          <w:tcPr>
            <w:tcW w:w="1514" w:type="dxa"/>
          </w:tcPr>
          <w:p w14:paraId="336F7A12" w14:textId="77777777" w:rsidR="007D47DC" w:rsidRDefault="007D47DC" w:rsidP="007D47DC">
            <w:pPr>
              <w:rPr>
                <w:rFonts w:cs="Arial"/>
              </w:rPr>
            </w:pPr>
          </w:p>
        </w:tc>
        <w:tc>
          <w:tcPr>
            <w:tcW w:w="1933" w:type="dxa"/>
            <w:vAlign w:val="bottom"/>
          </w:tcPr>
          <w:p w14:paraId="56AAC979" w14:textId="73B040EC" w:rsidR="007D47DC" w:rsidRDefault="007D47DC" w:rsidP="007D47DC">
            <w:pPr>
              <w:rPr>
                <w:rFonts w:cs="Arial"/>
              </w:rPr>
            </w:pPr>
            <w:r>
              <w:t>Нарушения на зрението (напр. диплопия).</w:t>
            </w:r>
          </w:p>
        </w:tc>
        <w:tc>
          <w:tcPr>
            <w:tcW w:w="1896" w:type="dxa"/>
          </w:tcPr>
          <w:p w14:paraId="710004FD" w14:textId="4BB78DAD" w:rsidR="007D47DC" w:rsidRDefault="007D47DC" w:rsidP="007D47DC">
            <w:pPr>
              <w:rPr>
                <w:rFonts w:cs="Arial"/>
              </w:rPr>
            </w:pPr>
            <w:r>
              <w:t>Нарушения на цветоусещането.</w:t>
            </w:r>
          </w:p>
        </w:tc>
        <w:tc>
          <w:tcPr>
            <w:tcW w:w="1546" w:type="dxa"/>
          </w:tcPr>
          <w:p w14:paraId="28CC5C8A" w14:textId="77777777" w:rsidR="007D47DC" w:rsidRDefault="007D47DC" w:rsidP="007D47DC">
            <w:pPr>
              <w:rPr>
                <w:rFonts w:cs="Arial"/>
              </w:rPr>
            </w:pPr>
          </w:p>
        </w:tc>
      </w:tr>
      <w:tr w:rsidR="00C264FE" w14:paraId="5E30C41F" w14:textId="77777777" w:rsidTr="00C264FE">
        <w:tc>
          <w:tcPr>
            <w:tcW w:w="1699" w:type="dxa"/>
          </w:tcPr>
          <w:p w14:paraId="7CA7EAAD" w14:textId="6ADE7D43" w:rsidR="00C264FE" w:rsidRDefault="00C264FE" w:rsidP="00C264FE">
            <w:pPr>
              <w:rPr>
                <w:rFonts w:cs="Arial"/>
              </w:rPr>
            </w:pPr>
            <w:r>
              <w:rPr>
                <w:b/>
                <w:bCs/>
              </w:rPr>
              <w:t>Нарушения на ухото и лабиринта*</w:t>
            </w:r>
          </w:p>
        </w:tc>
        <w:tc>
          <w:tcPr>
            <w:tcW w:w="988" w:type="dxa"/>
          </w:tcPr>
          <w:p w14:paraId="50E2F9B0" w14:textId="77777777" w:rsidR="00C264FE" w:rsidRDefault="00C264FE" w:rsidP="00C264FE">
            <w:pPr>
              <w:rPr>
                <w:rFonts w:cs="Arial"/>
              </w:rPr>
            </w:pPr>
          </w:p>
        </w:tc>
        <w:tc>
          <w:tcPr>
            <w:tcW w:w="1514" w:type="dxa"/>
          </w:tcPr>
          <w:p w14:paraId="2E91C51B" w14:textId="77777777" w:rsidR="00C264FE" w:rsidRDefault="00C264FE" w:rsidP="00C264FE">
            <w:pPr>
              <w:rPr>
                <w:rFonts w:cs="Arial"/>
              </w:rPr>
            </w:pPr>
          </w:p>
        </w:tc>
        <w:tc>
          <w:tcPr>
            <w:tcW w:w="1933" w:type="dxa"/>
            <w:vAlign w:val="bottom"/>
          </w:tcPr>
          <w:p w14:paraId="747874BE" w14:textId="77777777" w:rsidR="00C264FE" w:rsidRDefault="00C264FE" w:rsidP="00C264FE">
            <w:r>
              <w:t>Тинитус;</w:t>
            </w:r>
          </w:p>
          <w:p w14:paraId="2943736D" w14:textId="4C23821A" w:rsidR="00C264FE" w:rsidRDefault="00C264FE" w:rsidP="00C264FE">
            <w:pPr>
              <w:rPr>
                <w:rFonts w:cs="Arial"/>
              </w:rPr>
            </w:pPr>
            <w:r>
              <w:t>Загуба на слуха /увреждане на слуха.</w:t>
            </w:r>
          </w:p>
        </w:tc>
        <w:tc>
          <w:tcPr>
            <w:tcW w:w="1896" w:type="dxa"/>
            <w:vAlign w:val="bottom"/>
          </w:tcPr>
          <w:p w14:paraId="1BAFF58A" w14:textId="77777777" w:rsidR="00C264FE" w:rsidRDefault="00C264FE" w:rsidP="00C264FE">
            <w:pPr>
              <w:rPr>
                <w:rFonts w:cs="Arial"/>
              </w:rPr>
            </w:pPr>
          </w:p>
        </w:tc>
        <w:tc>
          <w:tcPr>
            <w:tcW w:w="1546" w:type="dxa"/>
          </w:tcPr>
          <w:p w14:paraId="486B79E9" w14:textId="77777777" w:rsidR="00C264FE" w:rsidRDefault="00C264FE" w:rsidP="00C264FE">
            <w:pPr>
              <w:rPr>
                <w:rFonts w:cs="Arial"/>
              </w:rPr>
            </w:pPr>
          </w:p>
        </w:tc>
      </w:tr>
      <w:tr w:rsidR="00C264FE" w14:paraId="59DE93A8" w14:textId="77777777" w:rsidTr="00C264FE">
        <w:trPr>
          <w:trHeight w:val="4867"/>
        </w:trPr>
        <w:tc>
          <w:tcPr>
            <w:tcW w:w="1699" w:type="dxa"/>
          </w:tcPr>
          <w:p w14:paraId="0FE0C95C" w14:textId="0942FAA3" w:rsidR="00C264FE" w:rsidRDefault="00C264FE" w:rsidP="00C264FE">
            <w:pPr>
              <w:rPr>
                <w:rFonts w:cs="Arial"/>
              </w:rPr>
            </w:pPr>
            <w:r>
              <w:rPr>
                <w:b/>
                <w:bCs/>
              </w:rPr>
              <w:lastRenderedPageBreak/>
              <w:t>Сърдечни нарушения **</w:t>
            </w:r>
          </w:p>
        </w:tc>
        <w:tc>
          <w:tcPr>
            <w:tcW w:w="988" w:type="dxa"/>
          </w:tcPr>
          <w:p w14:paraId="3D9977B5" w14:textId="77777777" w:rsidR="00C264FE" w:rsidRDefault="00C264FE" w:rsidP="00C264FE">
            <w:pPr>
              <w:rPr>
                <w:rFonts w:cs="Arial"/>
              </w:rPr>
            </w:pPr>
          </w:p>
        </w:tc>
        <w:tc>
          <w:tcPr>
            <w:tcW w:w="1514" w:type="dxa"/>
          </w:tcPr>
          <w:p w14:paraId="439237D1" w14:textId="77777777" w:rsidR="00C264FE" w:rsidRDefault="00C264FE" w:rsidP="00C264FE">
            <w:pPr>
              <w:rPr>
                <w:rFonts w:cs="Arial"/>
              </w:rPr>
            </w:pPr>
          </w:p>
        </w:tc>
        <w:tc>
          <w:tcPr>
            <w:tcW w:w="1933" w:type="dxa"/>
          </w:tcPr>
          <w:p w14:paraId="5B741754" w14:textId="6995F4DC" w:rsidR="00C264FE" w:rsidRDefault="00C264FE" w:rsidP="00C264FE">
            <w:pPr>
              <w:rPr>
                <w:rFonts w:cs="Arial"/>
              </w:rPr>
            </w:pPr>
            <w:r>
              <w:t>Тахикардия.</w:t>
            </w:r>
          </w:p>
        </w:tc>
        <w:tc>
          <w:tcPr>
            <w:tcW w:w="1896" w:type="dxa"/>
          </w:tcPr>
          <w:p w14:paraId="0FAFD985" w14:textId="77777777" w:rsidR="00C264FE" w:rsidRDefault="00C264FE" w:rsidP="00C264FE">
            <w:pPr>
              <w:rPr>
                <w:rFonts w:cs="Arial"/>
              </w:rPr>
            </w:pPr>
          </w:p>
        </w:tc>
        <w:tc>
          <w:tcPr>
            <w:tcW w:w="1546" w:type="dxa"/>
          </w:tcPr>
          <w:p w14:paraId="38DF9E39" w14:textId="77777777" w:rsidR="00C264FE" w:rsidRDefault="00C264FE" w:rsidP="00C264FE">
            <w:r>
              <w:t>Камерна</w:t>
            </w:r>
          </w:p>
          <w:p w14:paraId="75C5C5AC" w14:textId="77777777" w:rsidR="00C264FE" w:rsidRDefault="00C264FE" w:rsidP="00C264FE">
            <w:r>
              <w:t>аритмия и</w:t>
            </w:r>
          </w:p>
          <w:p w14:paraId="578E0841" w14:textId="77777777" w:rsidR="00C264FE" w:rsidRDefault="00C264FE" w:rsidP="00C264FE">
            <w:pPr>
              <w:rPr>
                <w:rFonts w:cs="Arial"/>
              </w:rPr>
            </w:pPr>
            <w:proofErr w:type="spellStart"/>
            <w:r>
              <w:rPr>
                <w:i/>
                <w:iCs/>
                <w:lang w:val="en-US"/>
              </w:rPr>
              <w:t>torsades</w:t>
            </w:r>
            <w:proofErr w:type="spellEnd"/>
            <w:r>
              <w:rPr>
                <w:i/>
                <w:iCs/>
                <w:lang w:val="en-US"/>
              </w:rPr>
              <w:t xml:space="preserve"> de</w:t>
            </w:r>
          </w:p>
          <w:p w14:paraId="68387B49" w14:textId="7EDF7B8D" w:rsidR="00C264FE" w:rsidRDefault="00C264FE" w:rsidP="00C264FE">
            <w:pPr>
              <w:rPr>
                <w:rFonts w:cs="Arial"/>
              </w:rPr>
            </w:pPr>
            <w:r>
              <w:rPr>
                <w:i/>
                <w:iCs/>
                <w:lang w:val="en-US"/>
              </w:rPr>
              <w:t xml:space="preserve">pointes </w:t>
            </w:r>
            <w:r>
              <w:t xml:space="preserve">(съобщавани предимно при пациенти с рискови фактори за удължаване на </w:t>
            </w:r>
            <w:r>
              <w:rPr>
                <w:lang w:val="en-US"/>
              </w:rPr>
              <w:t>QT</w:t>
            </w:r>
            <w:r>
              <w:t>- интервала), ЕКГ</w:t>
            </w:r>
            <w:r>
              <w:rPr>
                <w:lang w:val="en-US"/>
              </w:rPr>
              <w:t xml:space="preserve"> </w:t>
            </w:r>
            <w:r>
              <w:t xml:space="preserve">с удължен </w:t>
            </w:r>
            <w:r>
              <w:rPr>
                <w:lang w:val="en-US"/>
              </w:rPr>
              <w:t xml:space="preserve">QT </w:t>
            </w:r>
            <w:r>
              <w:t>интервал (вж. точка 4.4 и 4.9)</w:t>
            </w:r>
          </w:p>
        </w:tc>
      </w:tr>
      <w:tr w:rsidR="00C264FE" w14:paraId="34817C09" w14:textId="77777777" w:rsidTr="00C264FE">
        <w:tc>
          <w:tcPr>
            <w:tcW w:w="1699" w:type="dxa"/>
          </w:tcPr>
          <w:p w14:paraId="65B5CA52" w14:textId="13752B2B" w:rsidR="00C264FE" w:rsidRDefault="00C264FE" w:rsidP="00C264FE">
            <w:pPr>
              <w:rPr>
                <w:rFonts w:cs="Arial"/>
              </w:rPr>
            </w:pPr>
            <w:r>
              <w:rPr>
                <w:b/>
                <w:bCs/>
              </w:rPr>
              <w:t>Съдови нарушения **</w:t>
            </w:r>
          </w:p>
        </w:tc>
        <w:tc>
          <w:tcPr>
            <w:tcW w:w="988" w:type="dxa"/>
          </w:tcPr>
          <w:p w14:paraId="0A1F9178" w14:textId="77777777" w:rsidR="00C264FE" w:rsidRDefault="00C264FE" w:rsidP="00C264FE">
            <w:pPr>
              <w:rPr>
                <w:rFonts w:cs="Arial"/>
              </w:rPr>
            </w:pPr>
          </w:p>
        </w:tc>
        <w:tc>
          <w:tcPr>
            <w:tcW w:w="1514" w:type="dxa"/>
          </w:tcPr>
          <w:p w14:paraId="781C6EB9" w14:textId="77777777" w:rsidR="00C264FE" w:rsidRDefault="00C264FE" w:rsidP="00C264FE">
            <w:pPr>
              <w:rPr>
                <w:rFonts w:cs="Arial"/>
              </w:rPr>
            </w:pPr>
          </w:p>
        </w:tc>
        <w:tc>
          <w:tcPr>
            <w:tcW w:w="1933" w:type="dxa"/>
            <w:vAlign w:val="bottom"/>
          </w:tcPr>
          <w:p w14:paraId="1105C54D" w14:textId="77777777" w:rsidR="00C264FE" w:rsidRDefault="00C264FE" w:rsidP="00C264FE">
            <w:r>
              <w:t>Вазодилатация;</w:t>
            </w:r>
          </w:p>
          <w:p w14:paraId="75D0B001" w14:textId="256EC2B0" w:rsidR="00C264FE" w:rsidRDefault="00C264FE" w:rsidP="00C264FE">
            <w:pPr>
              <w:rPr>
                <w:rFonts w:cs="Arial"/>
              </w:rPr>
            </w:pPr>
            <w:r>
              <w:t>Хипотония; Синкоп.</w:t>
            </w:r>
          </w:p>
        </w:tc>
        <w:tc>
          <w:tcPr>
            <w:tcW w:w="1896" w:type="dxa"/>
          </w:tcPr>
          <w:p w14:paraId="61FD1FDB" w14:textId="252F97C1" w:rsidR="00C264FE" w:rsidRDefault="00C264FE" w:rsidP="00C264FE">
            <w:pPr>
              <w:rPr>
                <w:rFonts w:cs="Arial"/>
              </w:rPr>
            </w:pPr>
            <w:r>
              <w:t>Васкулит</w:t>
            </w:r>
          </w:p>
        </w:tc>
        <w:tc>
          <w:tcPr>
            <w:tcW w:w="1546" w:type="dxa"/>
          </w:tcPr>
          <w:p w14:paraId="46BBFA63" w14:textId="77777777" w:rsidR="00C264FE" w:rsidRDefault="00C264FE" w:rsidP="00C264FE">
            <w:pPr>
              <w:rPr>
                <w:rFonts w:cs="Arial"/>
              </w:rPr>
            </w:pPr>
          </w:p>
        </w:tc>
      </w:tr>
      <w:tr w:rsidR="00C264FE" w14:paraId="70E76239" w14:textId="77777777" w:rsidTr="00C264FE">
        <w:tc>
          <w:tcPr>
            <w:tcW w:w="1699" w:type="dxa"/>
            <w:vAlign w:val="bottom"/>
          </w:tcPr>
          <w:p w14:paraId="66803777" w14:textId="2DDD9B56" w:rsidR="00C264FE" w:rsidRDefault="00C264FE" w:rsidP="00C264FE">
            <w:pPr>
              <w:rPr>
                <w:rFonts w:cs="Arial"/>
              </w:rPr>
            </w:pPr>
            <w:r>
              <w:rPr>
                <w:b/>
                <w:bCs/>
              </w:rPr>
              <w:t>Респиратор</w:t>
            </w:r>
            <w:r>
              <w:rPr>
                <w:b/>
                <w:bCs/>
              </w:rPr>
              <w:softHyphen/>
              <w:t>ни, гръдни и медиасти- нални нарушения</w:t>
            </w:r>
          </w:p>
        </w:tc>
        <w:tc>
          <w:tcPr>
            <w:tcW w:w="988" w:type="dxa"/>
          </w:tcPr>
          <w:p w14:paraId="5FDCB409" w14:textId="77777777" w:rsidR="00C264FE" w:rsidRDefault="00C264FE" w:rsidP="00C264FE">
            <w:pPr>
              <w:rPr>
                <w:rFonts w:cs="Arial"/>
              </w:rPr>
            </w:pPr>
          </w:p>
        </w:tc>
        <w:tc>
          <w:tcPr>
            <w:tcW w:w="1514" w:type="dxa"/>
          </w:tcPr>
          <w:p w14:paraId="30F39503" w14:textId="77777777" w:rsidR="00C264FE" w:rsidRDefault="00C264FE" w:rsidP="00C264FE">
            <w:pPr>
              <w:rPr>
                <w:rFonts w:cs="Arial"/>
              </w:rPr>
            </w:pPr>
          </w:p>
        </w:tc>
        <w:tc>
          <w:tcPr>
            <w:tcW w:w="1933" w:type="dxa"/>
          </w:tcPr>
          <w:p w14:paraId="0BA86278" w14:textId="299CEC03" w:rsidR="00C264FE" w:rsidRDefault="00C264FE" w:rsidP="00C264FE">
            <w:pPr>
              <w:rPr>
                <w:rFonts w:cs="Arial"/>
              </w:rPr>
            </w:pPr>
            <w:r>
              <w:t>Диспнея (вкл. астматични състояния).</w:t>
            </w:r>
          </w:p>
        </w:tc>
        <w:tc>
          <w:tcPr>
            <w:tcW w:w="1896" w:type="dxa"/>
          </w:tcPr>
          <w:p w14:paraId="55D648EB" w14:textId="77777777" w:rsidR="00C264FE" w:rsidRDefault="00C264FE" w:rsidP="00C264FE">
            <w:pPr>
              <w:rPr>
                <w:rFonts w:cs="Arial"/>
              </w:rPr>
            </w:pPr>
          </w:p>
        </w:tc>
        <w:tc>
          <w:tcPr>
            <w:tcW w:w="1546" w:type="dxa"/>
          </w:tcPr>
          <w:p w14:paraId="18B84979" w14:textId="77777777" w:rsidR="00C264FE" w:rsidRDefault="00C264FE" w:rsidP="00C264FE">
            <w:pPr>
              <w:rPr>
                <w:rFonts w:cs="Arial"/>
              </w:rPr>
            </w:pPr>
          </w:p>
        </w:tc>
      </w:tr>
      <w:tr w:rsidR="00C264FE" w14:paraId="161E76B3" w14:textId="77777777" w:rsidTr="00C264FE">
        <w:tc>
          <w:tcPr>
            <w:tcW w:w="1699" w:type="dxa"/>
          </w:tcPr>
          <w:p w14:paraId="77B0188B" w14:textId="04170AA8" w:rsidR="00C264FE" w:rsidRDefault="00C264FE" w:rsidP="00C264FE">
            <w:pPr>
              <w:rPr>
                <w:rFonts w:cs="Arial"/>
              </w:rPr>
            </w:pPr>
            <w:r>
              <w:rPr>
                <w:b/>
                <w:bCs/>
              </w:rPr>
              <w:t>Стомашно- чревни нарушения</w:t>
            </w:r>
          </w:p>
        </w:tc>
        <w:tc>
          <w:tcPr>
            <w:tcW w:w="988" w:type="dxa"/>
          </w:tcPr>
          <w:p w14:paraId="0300812A" w14:textId="77777777" w:rsidR="00C264FE" w:rsidRDefault="00C264FE" w:rsidP="00C264FE">
            <w:r>
              <w:t>Гадене;</w:t>
            </w:r>
          </w:p>
          <w:p w14:paraId="39AA85CE" w14:textId="4567C93A" w:rsidR="00C264FE" w:rsidRDefault="00C264FE" w:rsidP="00C264FE">
            <w:pPr>
              <w:rPr>
                <w:rFonts w:cs="Arial"/>
              </w:rPr>
            </w:pPr>
            <w:r>
              <w:t>Диария.</w:t>
            </w:r>
          </w:p>
        </w:tc>
        <w:tc>
          <w:tcPr>
            <w:tcW w:w="1514" w:type="dxa"/>
          </w:tcPr>
          <w:p w14:paraId="399F8CEA" w14:textId="77777777" w:rsidR="00C264FE" w:rsidRDefault="00C264FE" w:rsidP="00C264FE">
            <w:r>
              <w:t>Повръщане; Стомашно- чревни и коремни болки;</w:t>
            </w:r>
          </w:p>
          <w:p w14:paraId="5DDC0CAC" w14:textId="38EDCB7E" w:rsidR="00C264FE" w:rsidRDefault="00C264FE" w:rsidP="00C264FE">
            <w:pPr>
              <w:rPr>
                <w:rFonts w:cs="Arial"/>
              </w:rPr>
            </w:pPr>
            <w:r>
              <w:t>Диспепсия; Газове;</w:t>
            </w:r>
          </w:p>
        </w:tc>
        <w:tc>
          <w:tcPr>
            <w:tcW w:w="1933" w:type="dxa"/>
            <w:vAlign w:val="bottom"/>
          </w:tcPr>
          <w:p w14:paraId="5DDEFE58" w14:textId="15A47C7D" w:rsidR="00C264FE" w:rsidRDefault="00C264FE" w:rsidP="00C264FE">
            <w:pPr>
              <w:rPr>
                <w:rFonts w:cs="Arial"/>
              </w:rPr>
            </w:pPr>
            <w:r>
              <w:t>Свързана с антибиотик диария, вкл. псевдо- мембранозен колит (много рядко с възможен фатален изход) (вж. точка 4.4)</w:t>
            </w:r>
          </w:p>
        </w:tc>
        <w:tc>
          <w:tcPr>
            <w:tcW w:w="1896" w:type="dxa"/>
          </w:tcPr>
          <w:p w14:paraId="4ED06A55" w14:textId="62488779" w:rsidR="00C264FE" w:rsidRDefault="00C264FE" w:rsidP="00C264FE">
            <w:pPr>
              <w:rPr>
                <w:rFonts w:cs="Arial"/>
              </w:rPr>
            </w:pPr>
            <w:r>
              <w:t>Панкреатит</w:t>
            </w:r>
          </w:p>
        </w:tc>
        <w:tc>
          <w:tcPr>
            <w:tcW w:w="1546" w:type="dxa"/>
          </w:tcPr>
          <w:p w14:paraId="2C8C1C17" w14:textId="77777777" w:rsidR="00C264FE" w:rsidRDefault="00C264FE" w:rsidP="00C264FE">
            <w:pPr>
              <w:rPr>
                <w:rFonts w:cs="Arial"/>
              </w:rPr>
            </w:pPr>
          </w:p>
        </w:tc>
      </w:tr>
      <w:tr w:rsidR="00C264FE" w14:paraId="4F4DF51F" w14:textId="77777777" w:rsidTr="00C264FE">
        <w:tc>
          <w:tcPr>
            <w:tcW w:w="1699" w:type="dxa"/>
          </w:tcPr>
          <w:p w14:paraId="29BC6A6D" w14:textId="1382126A" w:rsidR="00C264FE" w:rsidRDefault="00C264FE" w:rsidP="00C264FE">
            <w:pPr>
              <w:rPr>
                <w:rFonts w:cs="Arial"/>
              </w:rPr>
            </w:pPr>
            <w:r>
              <w:rPr>
                <w:b/>
                <w:bCs/>
              </w:rPr>
              <w:t>Хепато- билиарни нарушения</w:t>
            </w:r>
          </w:p>
        </w:tc>
        <w:tc>
          <w:tcPr>
            <w:tcW w:w="988" w:type="dxa"/>
          </w:tcPr>
          <w:p w14:paraId="3C4B9052" w14:textId="77777777" w:rsidR="00C264FE" w:rsidRDefault="00C264FE" w:rsidP="00C264FE">
            <w:pPr>
              <w:rPr>
                <w:rFonts w:cs="Arial"/>
              </w:rPr>
            </w:pPr>
          </w:p>
        </w:tc>
        <w:tc>
          <w:tcPr>
            <w:tcW w:w="1514" w:type="dxa"/>
          </w:tcPr>
          <w:p w14:paraId="00091DBD" w14:textId="77777777" w:rsidR="00C264FE" w:rsidRDefault="00C264FE" w:rsidP="00C264FE">
            <w:r>
              <w:t>Повишени трансамина- зи;</w:t>
            </w:r>
          </w:p>
          <w:p w14:paraId="39EC6086" w14:textId="78C69C18" w:rsidR="00C264FE" w:rsidRDefault="00C264FE" w:rsidP="00C264FE">
            <w:pPr>
              <w:rPr>
                <w:rFonts w:cs="Arial"/>
              </w:rPr>
            </w:pPr>
            <w:r>
              <w:t>Повишен билирубин.</w:t>
            </w:r>
          </w:p>
        </w:tc>
        <w:tc>
          <w:tcPr>
            <w:tcW w:w="1933" w:type="dxa"/>
          </w:tcPr>
          <w:p w14:paraId="765F4D03" w14:textId="77777777" w:rsidR="00C264FE" w:rsidRDefault="00C264FE" w:rsidP="00C264FE">
            <w:r>
              <w:t>Чернодробно увреждане; Холестатичен иктер;</w:t>
            </w:r>
          </w:p>
          <w:p w14:paraId="3C3FBA24" w14:textId="411A6327" w:rsidR="00C264FE" w:rsidRDefault="00C264FE" w:rsidP="00C264FE">
            <w:pPr>
              <w:rPr>
                <w:rFonts w:cs="Arial"/>
              </w:rPr>
            </w:pPr>
            <w:r>
              <w:t>Хепатит;</w:t>
            </w:r>
          </w:p>
        </w:tc>
        <w:tc>
          <w:tcPr>
            <w:tcW w:w="1896" w:type="dxa"/>
            <w:vAlign w:val="bottom"/>
          </w:tcPr>
          <w:p w14:paraId="73D4B929" w14:textId="2C5A9AC6" w:rsidR="00C264FE" w:rsidRDefault="00C264FE" w:rsidP="00C264FE">
            <w:pPr>
              <w:rPr>
                <w:rFonts w:cs="Arial"/>
              </w:rPr>
            </w:pPr>
            <w:r>
              <w:t>Чернодробна некроза (много рядко прогресираща до животозастра- шаваща черно</w:t>
            </w:r>
            <w:r>
              <w:softHyphen/>
              <w:t>дробна недо</w:t>
            </w:r>
            <w:r>
              <w:softHyphen/>
              <w:t>статъчност) (вж. точка 4.4)</w:t>
            </w:r>
          </w:p>
        </w:tc>
        <w:tc>
          <w:tcPr>
            <w:tcW w:w="1546" w:type="dxa"/>
          </w:tcPr>
          <w:p w14:paraId="42D0620A" w14:textId="77777777" w:rsidR="00C264FE" w:rsidRDefault="00C264FE" w:rsidP="00C264FE">
            <w:pPr>
              <w:rPr>
                <w:rFonts w:cs="Arial"/>
              </w:rPr>
            </w:pPr>
          </w:p>
        </w:tc>
      </w:tr>
      <w:tr w:rsidR="00C264FE" w14:paraId="00F13103" w14:textId="77777777" w:rsidTr="00C264FE">
        <w:tc>
          <w:tcPr>
            <w:tcW w:w="1699" w:type="dxa"/>
          </w:tcPr>
          <w:p w14:paraId="7CC177C8" w14:textId="35E09BCE" w:rsidR="00C264FE" w:rsidRDefault="00C264FE" w:rsidP="00C264FE">
            <w:pPr>
              <w:rPr>
                <w:rFonts w:cs="Arial"/>
              </w:rPr>
            </w:pPr>
            <w:r>
              <w:rPr>
                <w:b/>
                <w:bCs/>
              </w:rPr>
              <w:t xml:space="preserve">Нарушения </w:t>
            </w:r>
            <w:r>
              <w:rPr>
                <w:b/>
                <w:bCs/>
              </w:rPr>
              <w:lastRenderedPageBreak/>
              <w:t>на кожата и подкожната тъкан</w:t>
            </w:r>
          </w:p>
        </w:tc>
        <w:tc>
          <w:tcPr>
            <w:tcW w:w="988" w:type="dxa"/>
          </w:tcPr>
          <w:p w14:paraId="251D2579" w14:textId="77777777" w:rsidR="00C264FE" w:rsidRDefault="00C264FE" w:rsidP="00C264FE">
            <w:pPr>
              <w:rPr>
                <w:rFonts w:cs="Arial"/>
              </w:rPr>
            </w:pPr>
          </w:p>
        </w:tc>
        <w:tc>
          <w:tcPr>
            <w:tcW w:w="1514" w:type="dxa"/>
          </w:tcPr>
          <w:p w14:paraId="04C61025" w14:textId="77777777" w:rsidR="00C264FE" w:rsidRDefault="00C264FE" w:rsidP="00C264FE">
            <w:r>
              <w:t>Обрив;</w:t>
            </w:r>
          </w:p>
          <w:p w14:paraId="3D661AE8" w14:textId="77777777" w:rsidR="00C264FE" w:rsidRDefault="00C264FE" w:rsidP="00C264FE">
            <w:r>
              <w:lastRenderedPageBreak/>
              <w:t>Сърбеж;</w:t>
            </w:r>
          </w:p>
          <w:p w14:paraId="6A33697F" w14:textId="11230A5B" w:rsidR="00C264FE" w:rsidRDefault="00C264FE" w:rsidP="00C264FE">
            <w:pPr>
              <w:rPr>
                <w:rFonts w:cs="Arial"/>
              </w:rPr>
            </w:pPr>
            <w:r>
              <w:t>Уртикария;</w:t>
            </w:r>
          </w:p>
        </w:tc>
        <w:tc>
          <w:tcPr>
            <w:tcW w:w="1933" w:type="dxa"/>
          </w:tcPr>
          <w:p w14:paraId="51632579" w14:textId="0850F0E5" w:rsidR="00C264FE" w:rsidRDefault="00C264FE" w:rsidP="00C264FE">
            <w:pPr>
              <w:rPr>
                <w:rFonts w:cs="Arial"/>
              </w:rPr>
            </w:pPr>
            <w:r>
              <w:lastRenderedPageBreak/>
              <w:t xml:space="preserve">Реакции на </w:t>
            </w:r>
            <w:r>
              <w:lastRenderedPageBreak/>
              <w:t>фото- чувствителност (вж. точка 4.4)</w:t>
            </w:r>
          </w:p>
        </w:tc>
        <w:tc>
          <w:tcPr>
            <w:tcW w:w="1896" w:type="dxa"/>
            <w:vAlign w:val="bottom"/>
          </w:tcPr>
          <w:p w14:paraId="24363EA2" w14:textId="77777777" w:rsidR="00C264FE" w:rsidRDefault="00C264FE" w:rsidP="00C264FE">
            <w:r>
              <w:lastRenderedPageBreak/>
              <w:t>Петехии;</w:t>
            </w:r>
          </w:p>
          <w:p w14:paraId="500DA498" w14:textId="77777777" w:rsidR="00C264FE" w:rsidRDefault="00C264FE" w:rsidP="00C264FE">
            <w:r>
              <w:lastRenderedPageBreak/>
              <w:t>Еритема мултиформе;</w:t>
            </w:r>
          </w:p>
          <w:p w14:paraId="36702998" w14:textId="77777777" w:rsidR="00C264FE" w:rsidRDefault="00C264FE" w:rsidP="00C264FE">
            <w:r>
              <w:t>Еритема нодозум;</w:t>
            </w:r>
          </w:p>
          <w:p w14:paraId="07F885E9" w14:textId="77777777" w:rsidR="00C264FE" w:rsidRDefault="00C264FE" w:rsidP="00C264FE">
            <w:r>
              <w:t xml:space="preserve">Синдром на </w:t>
            </w:r>
            <w:r>
              <w:rPr>
                <w:lang w:val="en-US"/>
              </w:rPr>
              <w:t xml:space="preserve">Stevens-Johnson </w:t>
            </w:r>
            <w:r>
              <w:t>(потенциално животозастраша ващ);</w:t>
            </w:r>
          </w:p>
          <w:p w14:paraId="63A161DB" w14:textId="6435FF61" w:rsidR="00C264FE" w:rsidRDefault="00C264FE" w:rsidP="00C264FE">
            <w:pPr>
              <w:rPr>
                <w:rFonts w:cs="Arial"/>
              </w:rPr>
            </w:pPr>
            <w:r>
              <w:t>Токсична епидермална некролиза (потенциално животозастраша ваща).</w:t>
            </w:r>
          </w:p>
        </w:tc>
        <w:tc>
          <w:tcPr>
            <w:tcW w:w="1546" w:type="dxa"/>
          </w:tcPr>
          <w:p w14:paraId="06930DE0" w14:textId="77777777" w:rsidR="00C264FE" w:rsidRDefault="00C264FE" w:rsidP="00C264FE">
            <w:r>
              <w:lastRenderedPageBreak/>
              <w:t xml:space="preserve">Остра </w:t>
            </w:r>
            <w:r>
              <w:lastRenderedPageBreak/>
              <w:t>генерализи</w:t>
            </w:r>
            <w:r>
              <w:softHyphen/>
              <w:t xml:space="preserve">рана екзантемозна пустулоза </w:t>
            </w:r>
            <w:r>
              <w:rPr>
                <w:lang w:val="en-US"/>
              </w:rPr>
              <w:t>(AGEP);</w:t>
            </w:r>
          </w:p>
          <w:p w14:paraId="5287F17D" w14:textId="77777777" w:rsidR="00C264FE" w:rsidRDefault="00C264FE" w:rsidP="00C264FE">
            <w:r>
              <w:t>Лекарствена реакция с еозинофилия и системни симптоми</w:t>
            </w:r>
            <w:r>
              <w:rPr>
                <w:lang w:val="en-US"/>
              </w:rPr>
              <w:t xml:space="preserve"> - </w:t>
            </w:r>
          </w:p>
          <w:p w14:paraId="4133F2AA" w14:textId="44481B35" w:rsidR="00C264FE" w:rsidRDefault="00C264FE" w:rsidP="00C264FE">
            <w:pPr>
              <w:rPr>
                <w:rFonts w:cs="Arial"/>
              </w:rPr>
            </w:pPr>
            <w:r>
              <w:rPr>
                <w:lang w:val="en-US"/>
              </w:rPr>
              <w:t>DRESS.</w:t>
            </w:r>
          </w:p>
        </w:tc>
      </w:tr>
      <w:tr w:rsidR="00C264FE" w14:paraId="61168E34" w14:textId="77777777" w:rsidTr="007640E4">
        <w:trPr>
          <w:trHeight w:val="3778"/>
        </w:trPr>
        <w:tc>
          <w:tcPr>
            <w:tcW w:w="1699" w:type="dxa"/>
            <w:vAlign w:val="bottom"/>
          </w:tcPr>
          <w:p w14:paraId="61787772" w14:textId="77777777" w:rsidR="00C264FE" w:rsidRDefault="00C264FE" w:rsidP="00C264FE">
            <w:pPr>
              <w:rPr>
                <w:rFonts w:cs="Arial"/>
              </w:rPr>
            </w:pPr>
            <w:r>
              <w:rPr>
                <w:b/>
                <w:bCs/>
              </w:rPr>
              <w:lastRenderedPageBreak/>
              <w:t>Нарушения</w:t>
            </w:r>
          </w:p>
          <w:p w14:paraId="3FF1FDFB" w14:textId="658B4201" w:rsidR="00C264FE" w:rsidRDefault="00C264FE" w:rsidP="00C264FE">
            <w:pPr>
              <w:rPr>
                <w:rFonts w:cs="Arial"/>
              </w:rPr>
            </w:pPr>
            <w:r>
              <w:rPr>
                <w:b/>
                <w:bCs/>
              </w:rPr>
              <w:t>на мускулно- скелетната система н съединителна та тъкан*</w:t>
            </w:r>
          </w:p>
        </w:tc>
        <w:tc>
          <w:tcPr>
            <w:tcW w:w="988" w:type="dxa"/>
          </w:tcPr>
          <w:p w14:paraId="41A9615F" w14:textId="77777777" w:rsidR="00C264FE" w:rsidRDefault="00C264FE" w:rsidP="00C264FE">
            <w:pPr>
              <w:rPr>
                <w:rFonts w:cs="Arial"/>
              </w:rPr>
            </w:pPr>
          </w:p>
        </w:tc>
        <w:tc>
          <w:tcPr>
            <w:tcW w:w="1514" w:type="dxa"/>
            <w:vAlign w:val="bottom"/>
          </w:tcPr>
          <w:p w14:paraId="538A4037" w14:textId="77777777" w:rsidR="00C264FE" w:rsidRDefault="00C264FE" w:rsidP="00C264FE">
            <w:pPr>
              <w:rPr>
                <w:rFonts w:cs="Arial"/>
              </w:rPr>
            </w:pPr>
            <w:r>
              <w:t>Мускулно-</w:t>
            </w:r>
          </w:p>
          <w:p w14:paraId="1A0960FE" w14:textId="79CE6621" w:rsidR="00C264FE" w:rsidRDefault="00C264FE" w:rsidP="00C264FE">
            <w:pPr>
              <w:rPr>
                <w:rFonts w:cs="Arial"/>
              </w:rPr>
            </w:pPr>
            <w:r>
              <w:t>скелетна болка(напр. болка в крайниците, болка в гърба, болка в гърдите); Артралгия.</w:t>
            </w:r>
          </w:p>
        </w:tc>
        <w:tc>
          <w:tcPr>
            <w:tcW w:w="1933" w:type="dxa"/>
            <w:vAlign w:val="bottom"/>
          </w:tcPr>
          <w:p w14:paraId="18ABE219" w14:textId="77777777" w:rsidR="00C264FE" w:rsidRDefault="00C264FE" w:rsidP="00C264FE">
            <w:pPr>
              <w:rPr>
                <w:rFonts w:cs="Arial"/>
              </w:rPr>
            </w:pPr>
            <w:r>
              <w:t>Миалгия;</w:t>
            </w:r>
          </w:p>
          <w:p w14:paraId="150DA0DE" w14:textId="77777777" w:rsidR="00C264FE" w:rsidRDefault="00C264FE" w:rsidP="00C264FE">
            <w:r>
              <w:t>Артрит;</w:t>
            </w:r>
          </w:p>
          <w:p w14:paraId="74DA9DD4" w14:textId="46E11893" w:rsidR="00C264FE" w:rsidRDefault="00C264FE" w:rsidP="00C264FE">
            <w:pPr>
              <w:rPr>
                <w:rFonts w:cs="Arial"/>
              </w:rPr>
            </w:pPr>
            <w:r>
              <w:t>Повишен мускулен тонус и крампи.</w:t>
            </w:r>
          </w:p>
        </w:tc>
        <w:tc>
          <w:tcPr>
            <w:tcW w:w="1896" w:type="dxa"/>
            <w:vAlign w:val="bottom"/>
          </w:tcPr>
          <w:p w14:paraId="1F25EF46" w14:textId="77777777" w:rsidR="00C264FE" w:rsidRDefault="00C264FE" w:rsidP="00C264FE">
            <w:pPr>
              <w:rPr>
                <w:rFonts w:cs="Arial"/>
              </w:rPr>
            </w:pPr>
            <w:r>
              <w:t xml:space="preserve">Мускулна </w:t>
            </w:r>
          </w:p>
          <w:p w14:paraId="0D5906E8" w14:textId="77777777" w:rsidR="00C264FE" w:rsidRDefault="00C264FE" w:rsidP="00C264FE">
            <w:r>
              <w:t>слабост; Тендинит;</w:t>
            </w:r>
          </w:p>
          <w:p w14:paraId="2B6AA7C8" w14:textId="77777777" w:rsidR="00C264FE" w:rsidRDefault="00C264FE" w:rsidP="00C264FE">
            <w:r>
              <w:t>Разкъсване на сухожилия (предимно на Ахилесовото сухожилие) (вж. точка 4.4);</w:t>
            </w:r>
          </w:p>
          <w:p w14:paraId="01E5B8A5" w14:textId="35B371A8" w:rsidR="00C264FE" w:rsidRDefault="00C264FE" w:rsidP="00C264FE">
            <w:pPr>
              <w:rPr>
                <w:rFonts w:cs="Arial"/>
              </w:rPr>
            </w:pPr>
            <w:r>
              <w:t>Обостряне на симптомите на миастения гравис (вж. точка 4.4).</w:t>
            </w:r>
          </w:p>
        </w:tc>
        <w:tc>
          <w:tcPr>
            <w:tcW w:w="1546" w:type="dxa"/>
          </w:tcPr>
          <w:p w14:paraId="64E93156" w14:textId="77777777" w:rsidR="00C264FE" w:rsidRDefault="00C264FE" w:rsidP="00C264FE">
            <w:pPr>
              <w:rPr>
                <w:rFonts w:cs="Arial"/>
              </w:rPr>
            </w:pPr>
          </w:p>
        </w:tc>
      </w:tr>
      <w:tr w:rsidR="00C264FE" w14:paraId="512940D1" w14:textId="77777777" w:rsidTr="00C264FE">
        <w:tc>
          <w:tcPr>
            <w:tcW w:w="1699" w:type="dxa"/>
          </w:tcPr>
          <w:p w14:paraId="4DCAF1C6" w14:textId="2E055D8B" w:rsidR="00C264FE" w:rsidRDefault="00C264FE" w:rsidP="00C264FE">
            <w:pPr>
              <w:rPr>
                <w:rFonts w:cs="Arial"/>
              </w:rPr>
            </w:pPr>
            <w:r>
              <w:rPr>
                <w:b/>
                <w:bCs/>
              </w:rPr>
              <w:t>Нарушения на бъбреците и пикочните нътнща</w:t>
            </w:r>
          </w:p>
        </w:tc>
        <w:tc>
          <w:tcPr>
            <w:tcW w:w="988" w:type="dxa"/>
          </w:tcPr>
          <w:p w14:paraId="7DAA24E6" w14:textId="77777777" w:rsidR="00C264FE" w:rsidRDefault="00C264FE" w:rsidP="00C264FE">
            <w:pPr>
              <w:rPr>
                <w:rFonts w:cs="Arial"/>
              </w:rPr>
            </w:pPr>
          </w:p>
        </w:tc>
        <w:tc>
          <w:tcPr>
            <w:tcW w:w="1514" w:type="dxa"/>
          </w:tcPr>
          <w:p w14:paraId="035681F2" w14:textId="1EE275D7" w:rsidR="00C264FE" w:rsidRDefault="00C264FE" w:rsidP="00C264FE">
            <w:pPr>
              <w:rPr>
                <w:rFonts w:cs="Arial"/>
              </w:rPr>
            </w:pPr>
            <w:r>
              <w:t>Увреждане на бъбреците.</w:t>
            </w:r>
          </w:p>
        </w:tc>
        <w:tc>
          <w:tcPr>
            <w:tcW w:w="1933" w:type="dxa"/>
          </w:tcPr>
          <w:p w14:paraId="70CF727F" w14:textId="77777777" w:rsidR="00C264FE" w:rsidRDefault="00C264FE" w:rsidP="00C264FE">
            <w:r>
              <w:t>Бъбречна Недостатъчност;</w:t>
            </w:r>
          </w:p>
          <w:p w14:paraId="61687795" w14:textId="77777777" w:rsidR="00C264FE" w:rsidRDefault="00C264FE" w:rsidP="00C264FE">
            <w:r>
              <w:t>Хематурия; Кристалурия (вж. точка 4.4);</w:t>
            </w:r>
          </w:p>
          <w:p w14:paraId="28C3D418" w14:textId="7FC07C4C" w:rsidR="00C264FE" w:rsidRDefault="00C264FE" w:rsidP="00C264FE">
            <w:pPr>
              <w:rPr>
                <w:rFonts w:cs="Arial"/>
              </w:rPr>
            </w:pPr>
            <w:r>
              <w:t>Тубулоинтерсти- циален нефрит.</w:t>
            </w:r>
          </w:p>
        </w:tc>
        <w:tc>
          <w:tcPr>
            <w:tcW w:w="1896" w:type="dxa"/>
          </w:tcPr>
          <w:p w14:paraId="7BAC5284" w14:textId="77777777" w:rsidR="00C264FE" w:rsidRDefault="00C264FE" w:rsidP="00C264FE">
            <w:pPr>
              <w:rPr>
                <w:rFonts w:cs="Arial"/>
              </w:rPr>
            </w:pPr>
          </w:p>
        </w:tc>
        <w:tc>
          <w:tcPr>
            <w:tcW w:w="1546" w:type="dxa"/>
          </w:tcPr>
          <w:p w14:paraId="1CE67BD4" w14:textId="77777777" w:rsidR="00C264FE" w:rsidRDefault="00C264FE" w:rsidP="00C264FE">
            <w:pPr>
              <w:rPr>
                <w:rFonts w:cs="Arial"/>
              </w:rPr>
            </w:pPr>
          </w:p>
        </w:tc>
      </w:tr>
      <w:tr w:rsidR="00C264FE" w14:paraId="43CB3D28" w14:textId="77777777" w:rsidTr="00C264FE">
        <w:tc>
          <w:tcPr>
            <w:tcW w:w="1699" w:type="dxa"/>
          </w:tcPr>
          <w:p w14:paraId="36A872BC" w14:textId="166D6267" w:rsidR="00C264FE" w:rsidRDefault="00C264FE" w:rsidP="00C264FE">
            <w:pPr>
              <w:rPr>
                <w:rFonts w:cs="Arial"/>
              </w:rPr>
            </w:pPr>
            <w:r>
              <w:rPr>
                <w:b/>
                <w:bCs/>
              </w:rPr>
              <w:t>Общи нарушения и ефекти на мястото на приложение*</w:t>
            </w:r>
          </w:p>
        </w:tc>
        <w:tc>
          <w:tcPr>
            <w:tcW w:w="988" w:type="dxa"/>
          </w:tcPr>
          <w:p w14:paraId="774663D8" w14:textId="77777777" w:rsidR="00C264FE" w:rsidRDefault="00C264FE" w:rsidP="00C264FE">
            <w:pPr>
              <w:rPr>
                <w:rFonts w:cs="Arial"/>
              </w:rPr>
            </w:pPr>
          </w:p>
        </w:tc>
        <w:tc>
          <w:tcPr>
            <w:tcW w:w="1514" w:type="dxa"/>
          </w:tcPr>
          <w:p w14:paraId="62715598" w14:textId="7D64C761" w:rsidR="00C264FE" w:rsidRDefault="00C264FE" w:rsidP="00C264FE">
            <w:pPr>
              <w:rPr>
                <w:rFonts w:cs="Arial"/>
              </w:rPr>
            </w:pPr>
            <w:r>
              <w:t>Астения; Повишена температура.</w:t>
            </w:r>
          </w:p>
        </w:tc>
        <w:tc>
          <w:tcPr>
            <w:tcW w:w="1933" w:type="dxa"/>
          </w:tcPr>
          <w:p w14:paraId="1E41DCC3" w14:textId="77777777" w:rsidR="00C264FE" w:rsidRDefault="00C264FE" w:rsidP="00C264FE">
            <w:r>
              <w:t>Оток;</w:t>
            </w:r>
          </w:p>
          <w:p w14:paraId="30ED9970" w14:textId="5FBED684" w:rsidR="00C264FE" w:rsidRDefault="00C264FE" w:rsidP="00C264FE">
            <w:pPr>
              <w:rPr>
                <w:rFonts w:cs="Arial"/>
              </w:rPr>
            </w:pPr>
            <w:r>
              <w:t>Изпотяване (хиперхидроза).</w:t>
            </w:r>
          </w:p>
        </w:tc>
        <w:tc>
          <w:tcPr>
            <w:tcW w:w="1896" w:type="dxa"/>
          </w:tcPr>
          <w:p w14:paraId="262422C6" w14:textId="77777777" w:rsidR="00C264FE" w:rsidRDefault="00C264FE" w:rsidP="00C264FE">
            <w:pPr>
              <w:rPr>
                <w:rFonts w:cs="Arial"/>
              </w:rPr>
            </w:pPr>
          </w:p>
        </w:tc>
        <w:tc>
          <w:tcPr>
            <w:tcW w:w="1546" w:type="dxa"/>
          </w:tcPr>
          <w:p w14:paraId="5356CB8A" w14:textId="77777777" w:rsidR="00C264FE" w:rsidRDefault="00C264FE" w:rsidP="00C264FE">
            <w:pPr>
              <w:rPr>
                <w:rFonts w:cs="Arial"/>
              </w:rPr>
            </w:pPr>
          </w:p>
        </w:tc>
      </w:tr>
      <w:tr w:rsidR="00C264FE" w14:paraId="18FE59E8" w14:textId="77777777" w:rsidTr="00C264FE">
        <w:tc>
          <w:tcPr>
            <w:tcW w:w="1699" w:type="dxa"/>
          </w:tcPr>
          <w:p w14:paraId="66F60112" w14:textId="37387034" w:rsidR="00C264FE" w:rsidRDefault="00C264FE" w:rsidP="00C264FE">
            <w:pPr>
              <w:rPr>
                <w:rFonts w:cs="Arial"/>
              </w:rPr>
            </w:pPr>
            <w:r>
              <w:rPr>
                <w:b/>
                <w:bCs/>
              </w:rPr>
              <w:t>Изследвания</w:t>
            </w:r>
          </w:p>
        </w:tc>
        <w:tc>
          <w:tcPr>
            <w:tcW w:w="988" w:type="dxa"/>
          </w:tcPr>
          <w:p w14:paraId="0693EBB4" w14:textId="77777777" w:rsidR="00C264FE" w:rsidRDefault="00C264FE" w:rsidP="00C264FE">
            <w:pPr>
              <w:rPr>
                <w:rFonts w:cs="Arial"/>
              </w:rPr>
            </w:pPr>
          </w:p>
        </w:tc>
        <w:tc>
          <w:tcPr>
            <w:tcW w:w="1514" w:type="dxa"/>
          </w:tcPr>
          <w:p w14:paraId="73C61BE6" w14:textId="0B354419" w:rsidR="00C264FE" w:rsidRDefault="00C264FE" w:rsidP="00C264FE">
            <w:pPr>
              <w:rPr>
                <w:rFonts w:cs="Arial"/>
              </w:rPr>
            </w:pPr>
            <w:r>
              <w:t xml:space="preserve">Повишена алкална фосфатаза </w:t>
            </w:r>
            <w:r>
              <w:lastRenderedPageBreak/>
              <w:t>в кръвта.</w:t>
            </w:r>
          </w:p>
        </w:tc>
        <w:tc>
          <w:tcPr>
            <w:tcW w:w="1933" w:type="dxa"/>
          </w:tcPr>
          <w:p w14:paraId="122939A6" w14:textId="15823852" w:rsidR="00C264FE" w:rsidRDefault="00C264FE" w:rsidP="00C264FE">
            <w:pPr>
              <w:rPr>
                <w:rFonts w:cs="Arial"/>
              </w:rPr>
            </w:pPr>
            <w:r>
              <w:lastRenderedPageBreak/>
              <w:t>Повишена амилаза.</w:t>
            </w:r>
          </w:p>
        </w:tc>
        <w:tc>
          <w:tcPr>
            <w:tcW w:w="1896" w:type="dxa"/>
          </w:tcPr>
          <w:p w14:paraId="529548C8" w14:textId="77777777" w:rsidR="00C264FE" w:rsidRDefault="00C264FE" w:rsidP="00C264FE">
            <w:pPr>
              <w:rPr>
                <w:rFonts w:cs="Arial"/>
              </w:rPr>
            </w:pPr>
          </w:p>
        </w:tc>
        <w:tc>
          <w:tcPr>
            <w:tcW w:w="1546" w:type="dxa"/>
          </w:tcPr>
          <w:p w14:paraId="3FB74EF9" w14:textId="77777777" w:rsidR="00C264FE" w:rsidRDefault="00C264FE" w:rsidP="00C264FE">
            <w:r>
              <w:t xml:space="preserve">Увеличен </w:t>
            </w:r>
            <w:r>
              <w:rPr>
                <w:lang w:val="en-US"/>
              </w:rPr>
              <w:t xml:space="preserve">INR </w:t>
            </w:r>
            <w:r>
              <w:t xml:space="preserve">(при пациенти, </w:t>
            </w:r>
            <w:r>
              <w:lastRenderedPageBreak/>
              <w:t xml:space="preserve">лекувани с антагонисти на витамин </w:t>
            </w:r>
          </w:p>
          <w:p w14:paraId="4415F254" w14:textId="765D6E3C" w:rsidR="00C264FE" w:rsidRDefault="00C264FE" w:rsidP="00C264FE">
            <w:pPr>
              <w:rPr>
                <w:rFonts w:cs="Arial"/>
              </w:rPr>
            </w:pPr>
            <w:r>
              <w:rPr>
                <w:lang w:val="en-US"/>
              </w:rPr>
              <w:t>K)</w:t>
            </w:r>
            <w:r>
              <w:tab/>
            </w:r>
          </w:p>
        </w:tc>
      </w:tr>
    </w:tbl>
    <w:p w14:paraId="25E4E828" w14:textId="77777777" w:rsidR="007D47DC" w:rsidRPr="007D47DC" w:rsidRDefault="007D47DC" w:rsidP="007D47DC">
      <w:pPr>
        <w:rPr>
          <w:rFonts w:cs="Arial"/>
        </w:rPr>
      </w:pPr>
    </w:p>
    <w:p w14:paraId="13261F7F"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системо-органни класове и сетива (включително реакции като тендинит, разкъсване на сухожилие, артралгия,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343AEB2D" w14:textId="77777777" w:rsidR="007D47DC" w:rsidRPr="007D47DC" w:rsidRDefault="007D47DC" w:rsidP="007D47DC">
      <w:pPr>
        <w:spacing w:line="240" w:lineRule="auto"/>
        <w:rPr>
          <w:rFonts w:eastAsia="Times New Roman" w:cs="Arial"/>
          <w:color w:val="000000"/>
          <w:lang w:eastAsia="bg-BG"/>
        </w:rPr>
      </w:pPr>
    </w:p>
    <w:p w14:paraId="3893189D" w14:textId="18C0B70B"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регургитация/недостатьчност на някои от сърдечните клапи (вж. точка 4.4).</w:t>
      </w:r>
    </w:p>
    <w:p w14:paraId="1D6A796B" w14:textId="77777777" w:rsidR="007D47DC" w:rsidRPr="007D47DC" w:rsidRDefault="007D47DC" w:rsidP="007D47DC">
      <w:pPr>
        <w:spacing w:line="240" w:lineRule="auto"/>
        <w:rPr>
          <w:rFonts w:eastAsia="Times New Roman" w:cs="Arial"/>
          <w:i/>
          <w:iCs/>
          <w:color w:val="000000"/>
          <w:u w:val="single"/>
          <w:lang w:eastAsia="bg-BG"/>
        </w:rPr>
      </w:pPr>
    </w:p>
    <w:p w14:paraId="7E2411D4" w14:textId="68DDBB61" w:rsidR="007D47DC" w:rsidRPr="007D47DC" w:rsidRDefault="007D47DC" w:rsidP="007D47DC">
      <w:pPr>
        <w:spacing w:line="240" w:lineRule="auto"/>
        <w:rPr>
          <w:rFonts w:eastAsia="Times New Roman" w:cs="Arial"/>
          <w:sz w:val="24"/>
          <w:szCs w:val="24"/>
          <w:lang w:eastAsia="bg-BG"/>
        </w:rPr>
      </w:pPr>
      <w:r w:rsidRPr="007D47DC">
        <w:rPr>
          <w:rFonts w:eastAsia="Times New Roman" w:cs="Arial"/>
          <w:i/>
          <w:iCs/>
          <w:color w:val="000000"/>
          <w:u w:val="single"/>
          <w:lang w:eastAsia="bg-BG"/>
        </w:rPr>
        <w:t>Педиатрична популация</w:t>
      </w:r>
    </w:p>
    <w:p w14:paraId="48CCE734"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Представената по-горе честота на артропатия (артралгия, артрит) се отнася за данните от проучвания при възрастни. Съобщава се, че при деца артропатията се среща по-често (вж. точка 4.4).</w:t>
      </w:r>
    </w:p>
    <w:p w14:paraId="59C4AAEA" w14:textId="77777777" w:rsidR="007D47DC" w:rsidRPr="007D47DC" w:rsidRDefault="007D47DC" w:rsidP="007D47DC">
      <w:pPr>
        <w:spacing w:line="240" w:lineRule="auto"/>
        <w:rPr>
          <w:rFonts w:eastAsia="Times New Roman" w:cs="Arial"/>
          <w:color w:val="000000"/>
          <w:u w:val="single"/>
          <w:lang w:eastAsia="bg-BG"/>
        </w:rPr>
      </w:pPr>
    </w:p>
    <w:p w14:paraId="77CE9306" w14:textId="3EBFA90A"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u w:val="single"/>
          <w:lang w:eastAsia="bg-BG"/>
        </w:rPr>
        <w:t>Съобщаване на подозирани нежелани реакции</w:t>
      </w:r>
    </w:p>
    <w:p w14:paraId="43E3C48F" w14:textId="1D939B7B" w:rsidR="0091385D" w:rsidRPr="007D47DC" w:rsidRDefault="007D47DC" w:rsidP="007D47DC">
      <w:pPr>
        <w:rPr>
          <w:rFonts w:cs="Arial"/>
        </w:rPr>
      </w:pPr>
      <w:r w:rsidRPr="007D47D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r>
        <w:rPr>
          <w:rFonts w:eastAsia="Times New Roman" w:cs="Arial"/>
          <w:color w:val="000000"/>
          <w:lang w:eastAsia="bg-BG"/>
        </w:rPr>
        <w:t xml:space="preserve"> </w:t>
      </w:r>
      <w:r>
        <w:t xml:space="preserve">подозирана нежелана реакция чрез Изпълнителна агенция по лекарствата, ул. Дамян Груев № 8, 1303 София, тел: +359 28903417, уебсайт: </w:t>
      </w:r>
      <w:r>
        <w:fldChar w:fldCharType="begin"/>
      </w:r>
      <w:r>
        <w:instrText xml:space="preserve"> HYPERLINK "http://www.bda.bg" </w:instrText>
      </w:r>
      <w:r>
        <w:fldChar w:fldCharType="separate"/>
      </w:r>
      <w:r>
        <w:rPr>
          <w:u w:val="single"/>
          <w:lang w:val="en-US"/>
        </w:rPr>
        <w:t>www.bda.bg</w:t>
      </w:r>
      <w:r>
        <w:fldChar w:fldCharType="end"/>
      </w:r>
      <w:r>
        <w:rPr>
          <w:lang w:val="en-US"/>
        </w:rPr>
        <w:t>.</w:t>
      </w:r>
    </w:p>
    <w:p w14:paraId="750D7069" w14:textId="77777777" w:rsidR="007D47DC" w:rsidRPr="0091385D" w:rsidRDefault="007D47DC"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503EEAC9" w14:textId="77777777" w:rsidR="007D47DC" w:rsidRPr="007D47DC" w:rsidRDefault="007D47DC" w:rsidP="007D47DC">
      <w:pPr>
        <w:spacing w:line="240" w:lineRule="auto"/>
        <w:rPr>
          <w:rFonts w:eastAsia="Times New Roman" w:cs="Arial"/>
          <w:sz w:val="24"/>
          <w:szCs w:val="24"/>
          <w:lang w:eastAsia="bg-BG"/>
        </w:rPr>
      </w:pPr>
      <w:r w:rsidRPr="007D47DC">
        <w:rPr>
          <w:rFonts w:eastAsia="Times New Roman" w:cs="Arial"/>
          <w:color w:val="000000"/>
          <w:lang w:eastAsia="bg-BG"/>
        </w:rPr>
        <w:t xml:space="preserve">Има съобщения за единични случаи на предозиране - след прилагане на доза от 12 </w:t>
      </w:r>
      <w:r w:rsidRPr="007D47DC">
        <w:rPr>
          <w:rFonts w:eastAsia="Times New Roman" w:cs="Arial"/>
          <w:color w:val="000000"/>
          <w:lang w:val="en-US"/>
        </w:rPr>
        <w:t xml:space="preserve">g </w:t>
      </w:r>
      <w:r w:rsidRPr="007D47DC">
        <w:rPr>
          <w:rFonts w:eastAsia="Times New Roman" w:cs="Arial"/>
          <w:color w:val="000000"/>
          <w:lang w:eastAsia="bg-BG"/>
        </w:rPr>
        <w:t xml:space="preserve">се наблюдават леки симптоми на интоксикация; предозиране с 16 </w:t>
      </w:r>
      <w:r w:rsidRPr="007D47DC">
        <w:rPr>
          <w:rFonts w:eastAsia="Times New Roman" w:cs="Arial"/>
          <w:color w:val="000000"/>
          <w:lang w:val="en-US"/>
        </w:rPr>
        <w:t xml:space="preserve">g </w:t>
      </w:r>
      <w:r w:rsidRPr="007D47DC">
        <w:rPr>
          <w:rFonts w:eastAsia="Times New Roman" w:cs="Arial"/>
          <w:color w:val="000000"/>
          <w:lang w:eastAsia="bg-BG"/>
        </w:rPr>
        <w:t xml:space="preserve">ципрофлоксацин е довело до остра бъбречна недостатъчност. Симптомите на предозиране включват: замаяност, тремор, главоболие, умора, припадъци, халюцинации, объркване, абдоминален дискомфорт, бъбречно и чернодробно увреждане, както и кристалурия и хематурия. Има съобщения за обратима бъбречна токсичност. Освен рутинните спешни мерки, напр. изпразване на стомаха, последвано от приложение на медицински въглен, се препоръчва мониториране на бъбречната функция, включващо определяне на </w:t>
      </w:r>
      <w:r w:rsidRPr="007D47DC">
        <w:rPr>
          <w:rFonts w:eastAsia="Times New Roman" w:cs="Arial"/>
          <w:color w:val="000000"/>
          <w:lang w:val="en-US"/>
        </w:rPr>
        <w:t xml:space="preserve">pH </w:t>
      </w:r>
      <w:r w:rsidRPr="007D47DC">
        <w:rPr>
          <w:rFonts w:eastAsia="Times New Roman" w:cs="Arial"/>
          <w:color w:val="000000"/>
          <w:lang w:eastAsia="bg-BG"/>
        </w:rPr>
        <w:t>на урината и ако се налага, подкиселяване за профилактика на кристалурия. Пациентите трябва да са добре хидратирани. Калций или магнезий-съдържащите антиациди могат теоретично да намалят абсорбцията на ципрофлоксацин при предозиране. Само малко количество ципрофлоксацин (&lt;10%) се елиминира чрез хемодиализа или перитонеална диализа.</w:t>
      </w:r>
    </w:p>
    <w:p w14:paraId="0F0079CB" w14:textId="18C1FBFC" w:rsidR="0091385D" w:rsidRPr="007D47DC" w:rsidRDefault="007D47DC" w:rsidP="007D47DC">
      <w:pPr>
        <w:rPr>
          <w:rFonts w:cs="Arial"/>
        </w:rPr>
      </w:pPr>
      <w:r w:rsidRPr="007D47DC">
        <w:rPr>
          <w:rFonts w:eastAsia="Times New Roman" w:cs="Arial"/>
          <w:color w:val="000000"/>
          <w:lang w:eastAsia="bg-BG"/>
        </w:rPr>
        <w:t xml:space="preserve">Прилага се симптоматично лечение. Трябва да се наблюдава ЕКГ, поради възможност за удължаване на </w:t>
      </w:r>
      <w:r w:rsidRPr="007D47DC">
        <w:rPr>
          <w:rFonts w:eastAsia="Times New Roman" w:cs="Arial"/>
          <w:color w:val="000000"/>
          <w:lang w:val="en-US"/>
        </w:rPr>
        <w:t xml:space="preserve">QT </w:t>
      </w:r>
      <w:r w:rsidRPr="007D47DC">
        <w:rPr>
          <w:rFonts w:eastAsia="Times New Roman" w:cs="Arial"/>
          <w:color w:val="000000"/>
          <w:lang w:eastAsia="bg-BG"/>
        </w:rPr>
        <w:t>интервала.</w:t>
      </w:r>
    </w:p>
    <w:p w14:paraId="48FF1584" w14:textId="77777777"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AEAE6F2" w14:textId="77777777" w:rsidR="00C264FE" w:rsidRPr="00C264FE" w:rsidRDefault="00C264FE" w:rsidP="00C264FE">
      <w:pPr>
        <w:spacing w:line="240" w:lineRule="auto"/>
        <w:rPr>
          <w:rFonts w:eastAsia="Times New Roman" w:cs="Arial"/>
          <w:lang w:eastAsia="bg-BG"/>
        </w:rPr>
      </w:pPr>
      <w:r w:rsidRPr="00C264FE">
        <w:rPr>
          <w:rFonts w:eastAsia="Times New Roman" w:cs="Arial"/>
          <w:i/>
          <w:iCs/>
          <w:color w:val="000000"/>
          <w:lang w:eastAsia="bg-BG"/>
        </w:rPr>
        <w:t>Фармакотерапевтична група:</w:t>
      </w:r>
      <w:r w:rsidRPr="00C264FE">
        <w:rPr>
          <w:rFonts w:eastAsia="Times New Roman" w:cs="Arial"/>
          <w:color w:val="000000"/>
          <w:lang w:eastAsia="bg-BG"/>
        </w:rPr>
        <w:t xml:space="preserve"> Антибактериални продукти за системно приложение. Хинолони. Флуорохинолони. </w:t>
      </w:r>
      <w:r w:rsidRPr="00C264FE">
        <w:rPr>
          <w:rFonts w:eastAsia="Times New Roman" w:cs="Arial"/>
          <w:b/>
          <w:bCs/>
          <w:color w:val="000000"/>
          <w:lang w:eastAsia="bg-BG"/>
        </w:rPr>
        <w:t xml:space="preserve">АТС код: </w:t>
      </w:r>
      <w:r w:rsidRPr="00C264FE">
        <w:rPr>
          <w:rFonts w:eastAsia="Times New Roman" w:cs="Arial"/>
          <w:color w:val="000000"/>
          <w:lang w:val="en-US"/>
        </w:rPr>
        <w:t xml:space="preserve">J01MA </w:t>
      </w:r>
      <w:r w:rsidRPr="00C264FE">
        <w:rPr>
          <w:rFonts w:eastAsia="Times New Roman" w:cs="Arial"/>
          <w:color w:val="000000"/>
          <w:lang w:eastAsia="bg-BG"/>
        </w:rPr>
        <w:t>02</w:t>
      </w:r>
    </w:p>
    <w:p w14:paraId="17F64731" w14:textId="77777777" w:rsidR="00C264FE" w:rsidRPr="00C264FE" w:rsidRDefault="00C264FE" w:rsidP="00C264FE">
      <w:pPr>
        <w:spacing w:line="240" w:lineRule="auto"/>
        <w:rPr>
          <w:rFonts w:eastAsia="Times New Roman" w:cs="Arial"/>
          <w:i/>
          <w:iCs/>
          <w:color w:val="000000"/>
          <w:u w:val="single"/>
          <w:lang w:eastAsia="bg-BG"/>
        </w:rPr>
      </w:pPr>
    </w:p>
    <w:p w14:paraId="30AAB69E" w14:textId="19B6E184" w:rsidR="00C264FE" w:rsidRPr="00C264FE" w:rsidRDefault="00C264FE" w:rsidP="00C264FE">
      <w:pPr>
        <w:spacing w:line="240" w:lineRule="auto"/>
        <w:rPr>
          <w:rFonts w:eastAsia="Times New Roman" w:cs="Arial"/>
          <w:lang w:eastAsia="bg-BG"/>
        </w:rPr>
      </w:pPr>
      <w:r w:rsidRPr="00C264FE">
        <w:rPr>
          <w:rFonts w:eastAsia="Times New Roman" w:cs="Arial"/>
          <w:i/>
          <w:iCs/>
          <w:color w:val="000000"/>
          <w:u w:val="single"/>
          <w:lang w:eastAsia="bg-BG"/>
        </w:rPr>
        <w:t>Механизъм на действие</w:t>
      </w:r>
    </w:p>
    <w:p w14:paraId="202CAA09" w14:textId="77777777"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Ципрофлоксацин като флуорохинолоново антибактериално средство осъществява бактерицидно действие чрез инхибиране на топоизомераза II (ДНК-гираза) и топоизомераза IV, необходими за репликацията, транскрипцията, репарирането и рекомбинацията на бактериалната ДНК.</w:t>
      </w:r>
    </w:p>
    <w:p w14:paraId="0BA6D144" w14:textId="77777777" w:rsidR="00C264FE" w:rsidRPr="00C264FE" w:rsidRDefault="00C264FE" w:rsidP="00C264FE">
      <w:pPr>
        <w:spacing w:line="240" w:lineRule="auto"/>
        <w:rPr>
          <w:rFonts w:eastAsia="Times New Roman" w:cs="Arial"/>
          <w:i/>
          <w:iCs/>
          <w:color w:val="000000"/>
          <w:u w:val="single"/>
          <w:lang w:eastAsia="bg-BG"/>
        </w:rPr>
      </w:pPr>
    </w:p>
    <w:p w14:paraId="6C83DE8E" w14:textId="1270C79F" w:rsidR="00C264FE" w:rsidRPr="00C264FE" w:rsidRDefault="00C264FE" w:rsidP="00C264FE">
      <w:pPr>
        <w:spacing w:line="240" w:lineRule="auto"/>
        <w:rPr>
          <w:rFonts w:eastAsia="Times New Roman" w:cs="Arial"/>
          <w:lang w:eastAsia="bg-BG"/>
        </w:rPr>
      </w:pPr>
      <w:r w:rsidRPr="00C264FE">
        <w:rPr>
          <w:rFonts w:eastAsia="Times New Roman" w:cs="Arial"/>
          <w:i/>
          <w:iCs/>
          <w:color w:val="000000"/>
          <w:u w:val="single"/>
          <w:lang w:eastAsia="bg-BG"/>
        </w:rPr>
        <w:t xml:space="preserve">Съотношение </w:t>
      </w:r>
      <w:r w:rsidRPr="00C264FE">
        <w:rPr>
          <w:rFonts w:eastAsia="Times New Roman" w:cs="Arial"/>
          <w:i/>
          <w:iCs/>
          <w:color w:val="000000"/>
          <w:u w:val="single"/>
          <w:lang w:val="en-US"/>
        </w:rPr>
        <w:t>PK/PD:</w:t>
      </w:r>
    </w:p>
    <w:p w14:paraId="19FDCBC6" w14:textId="77777777"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 xml:space="preserve">Ефикасността зависи основно от съотношението между максималната плазмена концентрация (Стах) и минималната инхибираща концентрация </w:t>
      </w:r>
      <w:r w:rsidRPr="00C264FE">
        <w:rPr>
          <w:rFonts w:eastAsia="Times New Roman" w:cs="Arial"/>
          <w:color w:val="000000"/>
          <w:lang w:val="en-US"/>
        </w:rPr>
        <w:t xml:space="preserve">(MIC) </w:t>
      </w:r>
      <w:r w:rsidRPr="00C264FE">
        <w:rPr>
          <w:rFonts w:eastAsia="Times New Roman" w:cs="Arial"/>
          <w:color w:val="000000"/>
          <w:lang w:eastAsia="bg-BG"/>
        </w:rPr>
        <w:t>на ципрофлоксацин за бактериалния патоген и съотношението между площта под кривата ,,концентрация-време“(А</w:t>
      </w:r>
      <w:r w:rsidRPr="00C264FE">
        <w:rPr>
          <w:rFonts w:eastAsia="Times New Roman" w:cs="Arial"/>
          <w:color w:val="000000"/>
          <w:lang w:val="en-US"/>
        </w:rPr>
        <w:t>U</w:t>
      </w:r>
      <w:r w:rsidRPr="00C264FE">
        <w:rPr>
          <w:rFonts w:eastAsia="Times New Roman" w:cs="Arial"/>
          <w:color w:val="000000"/>
          <w:lang w:eastAsia="bg-BG"/>
        </w:rPr>
        <w:t xml:space="preserve">С) и </w:t>
      </w:r>
      <w:r w:rsidRPr="00C264FE">
        <w:rPr>
          <w:rFonts w:eastAsia="Times New Roman" w:cs="Arial"/>
          <w:color w:val="000000"/>
          <w:lang w:val="en-US"/>
        </w:rPr>
        <w:t>MIC.</w:t>
      </w:r>
    </w:p>
    <w:p w14:paraId="3788B411" w14:textId="77777777" w:rsidR="00C264FE" w:rsidRPr="00C264FE" w:rsidRDefault="00C264FE" w:rsidP="00C264FE">
      <w:pPr>
        <w:spacing w:line="240" w:lineRule="auto"/>
        <w:rPr>
          <w:rFonts w:eastAsia="Times New Roman" w:cs="Arial"/>
          <w:i/>
          <w:iCs/>
          <w:color w:val="000000"/>
          <w:u w:val="single"/>
          <w:lang w:eastAsia="bg-BG"/>
        </w:rPr>
      </w:pPr>
    </w:p>
    <w:p w14:paraId="387F2AD8" w14:textId="5C836363" w:rsidR="00C264FE" w:rsidRPr="00C264FE" w:rsidRDefault="00C264FE" w:rsidP="00C264FE">
      <w:pPr>
        <w:spacing w:line="240" w:lineRule="auto"/>
        <w:rPr>
          <w:rFonts w:eastAsia="Times New Roman" w:cs="Arial"/>
          <w:lang w:eastAsia="bg-BG"/>
        </w:rPr>
      </w:pPr>
      <w:r w:rsidRPr="00C264FE">
        <w:rPr>
          <w:rFonts w:eastAsia="Times New Roman" w:cs="Arial"/>
          <w:i/>
          <w:iCs/>
          <w:color w:val="000000"/>
          <w:u w:val="single"/>
          <w:lang w:eastAsia="bg-BG"/>
        </w:rPr>
        <w:t>Механизъм на резистентността</w:t>
      </w:r>
    </w:p>
    <w:p w14:paraId="019B77FD" w14:textId="77777777" w:rsidR="00C264FE" w:rsidRPr="00C264FE" w:rsidRDefault="00C264FE" w:rsidP="00C264FE">
      <w:pPr>
        <w:spacing w:line="240" w:lineRule="auto"/>
        <w:rPr>
          <w:rFonts w:eastAsia="Times New Roman" w:cs="Arial"/>
          <w:lang w:eastAsia="bg-BG"/>
        </w:rPr>
      </w:pPr>
      <w:r w:rsidRPr="00C264FE">
        <w:rPr>
          <w:rFonts w:eastAsia="Times New Roman" w:cs="Arial"/>
          <w:i/>
          <w:iCs/>
          <w:color w:val="000000"/>
          <w:lang w:val="en-US"/>
        </w:rPr>
        <w:t>In vitro</w:t>
      </w:r>
      <w:r w:rsidRPr="00C264FE">
        <w:rPr>
          <w:rFonts w:eastAsia="Times New Roman" w:cs="Arial"/>
          <w:color w:val="000000"/>
          <w:lang w:val="en-US"/>
        </w:rPr>
        <w:t xml:space="preserve"> </w:t>
      </w:r>
      <w:r w:rsidRPr="00C264FE">
        <w:rPr>
          <w:rFonts w:eastAsia="Times New Roman" w:cs="Arial"/>
          <w:color w:val="000000"/>
          <w:lang w:eastAsia="bg-BG"/>
        </w:rPr>
        <w:t>резистентност към ципрофлоксацин може да бъде придобита поетапно чрез таргетни локални мутации на ДНК-гираза и топоизомераза IV. Степента на кръстосана резистентност между ципрофлоксацин и други флуорохинолони в резултат на това е вариабилна. Единичните мутации могат да не доведат до клинична резистентност, но множествените мутации обикновено водят до клинична резистентност към много или всички активни вещества от този клас.</w:t>
      </w:r>
    </w:p>
    <w:p w14:paraId="539E154A" w14:textId="5D8251AA"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 xml:space="preserve">Непропускливост на клетъчните мембрани и/или нарушена ефлуксна помпа на активната съставка са механизми на резистентност, които оказват вариабилни ефекти върху чувствителността към флуорохинолони, зависещи от физикохимичните свойства на различните активни съставки в този клас и афинитет на транспортните системи към отделните активни съставки. Всички </w:t>
      </w:r>
      <w:r w:rsidRPr="00C264FE">
        <w:rPr>
          <w:rFonts w:eastAsia="Times New Roman" w:cs="Arial"/>
          <w:i/>
          <w:iCs/>
          <w:color w:val="000000"/>
          <w:lang w:val="en-US"/>
        </w:rPr>
        <w:t>in vitro</w:t>
      </w:r>
      <w:r w:rsidRPr="00C264FE">
        <w:rPr>
          <w:rFonts w:eastAsia="Times New Roman" w:cs="Arial"/>
          <w:color w:val="000000"/>
          <w:lang w:val="en-US"/>
        </w:rPr>
        <w:t xml:space="preserve"> </w:t>
      </w:r>
      <w:r w:rsidRPr="00C264FE">
        <w:rPr>
          <w:rFonts w:eastAsia="Times New Roman" w:cs="Arial"/>
          <w:color w:val="000000"/>
          <w:lang w:eastAsia="bg-BG"/>
        </w:rPr>
        <w:t xml:space="preserve">механизми на резистентност обикновено се наблюдават в клиничната практика. Механизми на резистентност, които инактивират други антибиотици, като пропускливост на мембраните (често при </w:t>
      </w:r>
      <w:r w:rsidRPr="00C264FE">
        <w:rPr>
          <w:rFonts w:eastAsia="Times New Roman" w:cs="Arial"/>
          <w:i/>
          <w:iCs/>
          <w:color w:val="000000"/>
          <w:lang w:val="en-US"/>
        </w:rPr>
        <w:t>Pseudomonas aeruginosa)</w:t>
      </w:r>
      <w:r w:rsidRPr="00C264FE">
        <w:rPr>
          <w:rFonts w:eastAsia="Times New Roman" w:cs="Arial"/>
          <w:color w:val="000000"/>
          <w:lang w:val="en-US"/>
        </w:rPr>
        <w:t xml:space="preserve"> </w:t>
      </w:r>
      <w:r w:rsidRPr="00C264FE">
        <w:rPr>
          <w:rFonts w:eastAsia="Times New Roman" w:cs="Arial"/>
          <w:color w:val="000000"/>
          <w:lang w:eastAsia="bg-BG"/>
        </w:rPr>
        <w:t>и механизми на ефлукс могат да променят чувствителността към ципрофлоксацин. Има съобщения за плазмид</w:t>
      </w:r>
      <w:r w:rsidRPr="00C264FE">
        <w:rPr>
          <w:rFonts w:eastAsia="Times New Roman" w:cs="Arial"/>
          <w:lang w:eastAsia="bg-BG"/>
        </w:rPr>
        <w:t>-</w:t>
      </w:r>
      <w:r w:rsidRPr="00C264FE">
        <w:rPr>
          <w:rFonts w:eastAsia="Times New Roman" w:cs="Arial"/>
          <w:color w:val="000000"/>
          <w:lang w:eastAsia="bg-BG"/>
        </w:rPr>
        <w:t xml:space="preserve">медиирана резистентност, кодирана чрез </w:t>
      </w:r>
      <w:proofErr w:type="spellStart"/>
      <w:r w:rsidRPr="00C264FE">
        <w:rPr>
          <w:rFonts w:eastAsia="Times New Roman" w:cs="Arial"/>
          <w:color w:val="000000"/>
          <w:lang w:val="en-US"/>
        </w:rPr>
        <w:t>qnr</w:t>
      </w:r>
      <w:proofErr w:type="spellEnd"/>
      <w:r w:rsidRPr="00C264FE">
        <w:rPr>
          <w:rFonts w:eastAsia="Times New Roman" w:cs="Arial"/>
          <w:color w:val="000000"/>
          <w:lang w:eastAsia="bg-BG"/>
        </w:rPr>
        <w:t>-гени.</w:t>
      </w:r>
      <w:bookmarkStart w:id="2" w:name="bookmark0"/>
      <w:bookmarkEnd w:id="2"/>
    </w:p>
    <w:p w14:paraId="72A3AC52" w14:textId="77777777" w:rsidR="00C264FE" w:rsidRPr="00C264FE" w:rsidRDefault="00C264FE" w:rsidP="00C264FE">
      <w:pPr>
        <w:spacing w:line="240" w:lineRule="auto"/>
        <w:rPr>
          <w:rFonts w:eastAsia="Times New Roman" w:cs="Arial"/>
          <w:lang w:eastAsia="bg-BG"/>
        </w:rPr>
      </w:pPr>
    </w:p>
    <w:p w14:paraId="28252AA0" w14:textId="0C16A9F9" w:rsidR="0091385D" w:rsidRPr="00C264FE" w:rsidRDefault="00C264FE" w:rsidP="00C264FE">
      <w:pPr>
        <w:rPr>
          <w:rFonts w:cs="Arial"/>
        </w:rPr>
      </w:pPr>
      <w:r w:rsidRPr="00C264FE">
        <w:rPr>
          <w:rFonts w:eastAsia="Times New Roman" w:cs="Arial"/>
          <w:i/>
          <w:iCs/>
          <w:color w:val="000000"/>
          <w:u w:val="single"/>
          <w:lang w:eastAsia="bg-BG"/>
        </w:rPr>
        <w:t>Спектър на антибактериална активност:</w:t>
      </w:r>
    </w:p>
    <w:p w14:paraId="0DB12B5D" w14:textId="77777777"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Следните гранични стойности разделят чувствителните щамове от щамовете с умерена чувствителност и последните от резистентните щамове:</w:t>
      </w:r>
    </w:p>
    <w:p w14:paraId="06DB973A" w14:textId="77777777" w:rsidR="00C264FE" w:rsidRPr="00C264FE" w:rsidRDefault="00C264FE" w:rsidP="00C264FE">
      <w:pPr>
        <w:rPr>
          <w:rFonts w:eastAsia="Times New Roman" w:cs="Arial"/>
          <w:i/>
          <w:iCs/>
          <w:color w:val="000000"/>
          <w:u w:val="single"/>
          <w:lang w:eastAsia="bg-BG"/>
        </w:rPr>
      </w:pPr>
    </w:p>
    <w:p w14:paraId="36152471" w14:textId="0C67D824" w:rsidR="0091385D" w:rsidRPr="00C264FE" w:rsidRDefault="00C264FE" w:rsidP="00C264FE">
      <w:pPr>
        <w:rPr>
          <w:rFonts w:cs="Arial"/>
        </w:rPr>
      </w:pPr>
      <w:r w:rsidRPr="00C264FE">
        <w:rPr>
          <w:rFonts w:eastAsia="Times New Roman" w:cs="Arial"/>
          <w:i/>
          <w:iCs/>
          <w:color w:val="000000"/>
          <w:u w:val="single"/>
          <w:lang w:eastAsia="bg-BG"/>
        </w:rPr>
        <w:t xml:space="preserve">Препоръки на </w:t>
      </w:r>
      <w:r w:rsidRPr="00C264FE">
        <w:rPr>
          <w:rFonts w:eastAsia="Times New Roman" w:cs="Arial"/>
          <w:i/>
          <w:iCs/>
          <w:color w:val="000000"/>
          <w:u w:val="single"/>
          <w:lang w:val="en-US"/>
        </w:rPr>
        <w:t>EUCAST</w:t>
      </w:r>
    </w:p>
    <w:p w14:paraId="0A118DB5" w14:textId="31453DC0" w:rsidR="00C264FE" w:rsidRPr="00C264FE" w:rsidRDefault="00C264FE" w:rsidP="0091385D">
      <w:pPr>
        <w:rPr>
          <w:rFonts w:cs="Arial"/>
        </w:rPr>
      </w:pPr>
    </w:p>
    <w:tbl>
      <w:tblPr>
        <w:tblStyle w:val="TableGrid"/>
        <w:tblW w:w="0" w:type="auto"/>
        <w:tblLook w:val="04A0" w:firstRow="1" w:lastRow="0" w:firstColumn="1" w:lastColumn="0" w:noHBand="0" w:noVBand="1"/>
      </w:tblPr>
      <w:tblGrid>
        <w:gridCol w:w="3166"/>
        <w:gridCol w:w="3167"/>
        <w:gridCol w:w="3167"/>
      </w:tblGrid>
      <w:tr w:rsidR="00C264FE" w:rsidRPr="00C264FE" w14:paraId="45904326" w14:textId="77777777" w:rsidTr="00C264FE">
        <w:tc>
          <w:tcPr>
            <w:tcW w:w="3166" w:type="dxa"/>
          </w:tcPr>
          <w:p w14:paraId="13BAB45E" w14:textId="08DA57FF" w:rsidR="00C264FE" w:rsidRPr="00C264FE" w:rsidRDefault="00C264FE" w:rsidP="00C264FE">
            <w:pPr>
              <w:rPr>
                <w:rFonts w:cs="Arial"/>
              </w:rPr>
            </w:pPr>
            <w:r w:rsidRPr="00C264FE">
              <w:rPr>
                <w:rFonts w:cs="Arial"/>
                <w:b/>
                <w:bCs/>
                <w:lang w:eastAsia="bg-BG"/>
              </w:rPr>
              <w:t>Микроорганизъм</w:t>
            </w:r>
          </w:p>
        </w:tc>
        <w:tc>
          <w:tcPr>
            <w:tcW w:w="3167" w:type="dxa"/>
          </w:tcPr>
          <w:p w14:paraId="7CA62B39" w14:textId="3B6E99A5" w:rsidR="00C264FE" w:rsidRPr="00C264FE" w:rsidRDefault="00C264FE" w:rsidP="00C264FE">
            <w:pPr>
              <w:rPr>
                <w:rFonts w:cs="Arial"/>
              </w:rPr>
            </w:pPr>
            <w:r w:rsidRPr="00C264FE">
              <w:rPr>
                <w:rFonts w:cs="Arial"/>
                <w:b/>
                <w:bCs/>
                <w:lang w:eastAsia="bg-BG"/>
              </w:rPr>
              <w:t>Чувствителен</w:t>
            </w:r>
          </w:p>
        </w:tc>
        <w:tc>
          <w:tcPr>
            <w:tcW w:w="3167" w:type="dxa"/>
          </w:tcPr>
          <w:p w14:paraId="0DD528F0" w14:textId="1D0917C6" w:rsidR="00C264FE" w:rsidRPr="00C264FE" w:rsidRDefault="00C264FE" w:rsidP="00C264FE">
            <w:pPr>
              <w:rPr>
                <w:rFonts w:cs="Arial"/>
              </w:rPr>
            </w:pPr>
            <w:r w:rsidRPr="00C264FE">
              <w:rPr>
                <w:rFonts w:cs="Arial"/>
                <w:b/>
                <w:bCs/>
                <w:lang w:eastAsia="bg-BG"/>
              </w:rPr>
              <w:t>Резистентен</w:t>
            </w:r>
          </w:p>
        </w:tc>
      </w:tr>
      <w:tr w:rsidR="00C264FE" w:rsidRPr="00C264FE" w14:paraId="3BE926AB" w14:textId="77777777" w:rsidTr="00C264FE">
        <w:tc>
          <w:tcPr>
            <w:tcW w:w="3166" w:type="dxa"/>
          </w:tcPr>
          <w:p w14:paraId="4A6CD8FA" w14:textId="00E1CFB0" w:rsidR="00C264FE" w:rsidRPr="00C264FE" w:rsidRDefault="00C264FE" w:rsidP="00C264FE">
            <w:pPr>
              <w:rPr>
                <w:rFonts w:cs="Arial"/>
              </w:rPr>
            </w:pPr>
            <w:r w:rsidRPr="00C264FE">
              <w:rPr>
                <w:rFonts w:cs="Arial"/>
                <w:i/>
                <w:iCs/>
              </w:rPr>
              <w:t>Enterobacteriaceae</w:t>
            </w:r>
          </w:p>
        </w:tc>
        <w:tc>
          <w:tcPr>
            <w:tcW w:w="3167" w:type="dxa"/>
          </w:tcPr>
          <w:p w14:paraId="4CCCD64C" w14:textId="71E954B9" w:rsidR="00C264FE" w:rsidRPr="00C264FE" w:rsidRDefault="00C264FE" w:rsidP="00C264FE">
            <w:pPr>
              <w:rPr>
                <w:rFonts w:cs="Arial"/>
              </w:rPr>
            </w:pPr>
            <w:r w:rsidRPr="00C264FE">
              <w:rPr>
                <w:rFonts w:cs="Arial"/>
              </w:rPr>
              <w:t xml:space="preserve">S </w:t>
            </w:r>
            <w:r w:rsidRPr="00C264FE">
              <w:rPr>
                <w:rFonts w:cs="Arial"/>
                <w:lang w:eastAsia="bg-BG"/>
              </w:rPr>
              <w:t>≤</w:t>
            </w:r>
            <w:r w:rsidRPr="00C264FE">
              <w:rPr>
                <w:rFonts w:cs="Arial"/>
              </w:rPr>
              <w:t xml:space="preserve"> </w:t>
            </w:r>
            <w:r w:rsidRPr="00C264FE">
              <w:rPr>
                <w:rFonts w:cs="Arial"/>
                <w:lang w:eastAsia="bg-BG"/>
              </w:rPr>
              <w:t xml:space="preserve">0,5 </w:t>
            </w:r>
            <w:r w:rsidRPr="00C264FE">
              <w:rPr>
                <w:rFonts w:cs="Arial"/>
              </w:rPr>
              <w:t>mg/l</w:t>
            </w:r>
          </w:p>
        </w:tc>
        <w:tc>
          <w:tcPr>
            <w:tcW w:w="3167" w:type="dxa"/>
          </w:tcPr>
          <w:p w14:paraId="6945F587" w14:textId="1F64297B" w:rsidR="00C264FE" w:rsidRPr="00C264FE" w:rsidRDefault="00C264FE" w:rsidP="00C264FE">
            <w:pPr>
              <w:rPr>
                <w:rFonts w:cs="Arial"/>
              </w:rPr>
            </w:pPr>
            <w:r w:rsidRPr="00C264FE">
              <w:rPr>
                <w:rFonts w:cs="Arial"/>
              </w:rPr>
              <w:t>R &gt; 1 mg/l</w:t>
            </w:r>
          </w:p>
        </w:tc>
      </w:tr>
      <w:tr w:rsidR="00C264FE" w:rsidRPr="00C264FE" w14:paraId="7B6C6CBA" w14:textId="77777777" w:rsidTr="00C264FE">
        <w:tc>
          <w:tcPr>
            <w:tcW w:w="3166" w:type="dxa"/>
          </w:tcPr>
          <w:p w14:paraId="7A7D33CD" w14:textId="609824D4" w:rsidR="00C264FE" w:rsidRPr="00C264FE" w:rsidRDefault="00C264FE" w:rsidP="00C264FE">
            <w:pPr>
              <w:rPr>
                <w:rFonts w:cs="Arial"/>
              </w:rPr>
            </w:pPr>
            <w:r w:rsidRPr="00C264FE">
              <w:rPr>
                <w:rFonts w:cs="Arial"/>
                <w:i/>
                <w:iCs/>
              </w:rPr>
              <w:t>Pseudomonas spp.</w:t>
            </w:r>
          </w:p>
        </w:tc>
        <w:tc>
          <w:tcPr>
            <w:tcW w:w="3167" w:type="dxa"/>
          </w:tcPr>
          <w:p w14:paraId="30393CD4" w14:textId="47C9CE5A" w:rsidR="00C264FE" w:rsidRPr="00C264FE" w:rsidRDefault="00C264FE" w:rsidP="00C264FE">
            <w:pPr>
              <w:rPr>
                <w:rFonts w:cs="Arial"/>
              </w:rPr>
            </w:pPr>
            <w:r w:rsidRPr="00C264FE">
              <w:rPr>
                <w:rFonts w:cs="Arial"/>
              </w:rPr>
              <w:t xml:space="preserve">S </w:t>
            </w:r>
            <w:r w:rsidRPr="00C264FE">
              <w:rPr>
                <w:rFonts w:cs="Arial"/>
                <w:lang w:eastAsia="bg-BG"/>
              </w:rPr>
              <w:t xml:space="preserve">≤ 0,5 </w:t>
            </w:r>
            <w:r w:rsidRPr="00C264FE">
              <w:rPr>
                <w:rFonts w:cs="Arial"/>
              </w:rPr>
              <w:t>mg/l</w:t>
            </w:r>
          </w:p>
        </w:tc>
        <w:tc>
          <w:tcPr>
            <w:tcW w:w="3167" w:type="dxa"/>
          </w:tcPr>
          <w:p w14:paraId="1EDF6683" w14:textId="23FE3DC5" w:rsidR="00C264FE" w:rsidRPr="00C264FE" w:rsidRDefault="00C264FE" w:rsidP="00C264FE">
            <w:pPr>
              <w:rPr>
                <w:rFonts w:cs="Arial"/>
              </w:rPr>
            </w:pPr>
            <w:r w:rsidRPr="00C264FE">
              <w:rPr>
                <w:rFonts w:cs="Arial"/>
              </w:rPr>
              <w:t>R &gt; 1 mg/</w:t>
            </w:r>
          </w:p>
        </w:tc>
      </w:tr>
      <w:tr w:rsidR="00C264FE" w:rsidRPr="00C264FE" w14:paraId="479FF711" w14:textId="77777777" w:rsidTr="00C264FE">
        <w:tc>
          <w:tcPr>
            <w:tcW w:w="3166" w:type="dxa"/>
          </w:tcPr>
          <w:p w14:paraId="0994242B" w14:textId="6B9477B2" w:rsidR="00C264FE" w:rsidRPr="00C264FE" w:rsidRDefault="00C264FE" w:rsidP="00C264FE">
            <w:pPr>
              <w:rPr>
                <w:rFonts w:cs="Arial"/>
              </w:rPr>
            </w:pPr>
            <w:r w:rsidRPr="00C264FE">
              <w:rPr>
                <w:rFonts w:cs="Arial"/>
                <w:i/>
                <w:iCs/>
              </w:rPr>
              <w:t>Acinetobacter spp</w:t>
            </w:r>
          </w:p>
        </w:tc>
        <w:tc>
          <w:tcPr>
            <w:tcW w:w="3167" w:type="dxa"/>
          </w:tcPr>
          <w:p w14:paraId="133C3E32" w14:textId="39C0CC4B" w:rsidR="00C264FE" w:rsidRPr="00C264FE" w:rsidRDefault="00C264FE" w:rsidP="00C264FE">
            <w:pPr>
              <w:rPr>
                <w:rFonts w:cs="Arial"/>
              </w:rPr>
            </w:pPr>
            <w:r w:rsidRPr="00C264FE">
              <w:rPr>
                <w:rFonts w:cs="Arial"/>
              </w:rPr>
              <w:t xml:space="preserve">S </w:t>
            </w:r>
            <w:r w:rsidRPr="00C264FE">
              <w:rPr>
                <w:rFonts w:cs="Arial"/>
                <w:lang w:eastAsia="bg-BG"/>
              </w:rPr>
              <w:t xml:space="preserve">≤ 1 </w:t>
            </w:r>
            <w:r w:rsidRPr="00C264FE">
              <w:rPr>
                <w:rFonts w:cs="Arial"/>
              </w:rPr>
              <w:t>mg/l</w:t>
            </w:r>
          </w:p>
        </w:tc>
        <w:tc>
          <w:tcPr>
            <w:tcW w:w="3167" w:type="dxa"/>
          </w:tcPr>
          <w:p w14:paraId="092ABCF7" w14:textId="346A30FD" w:rsidR="00C264FE" w:rsidRPr="00C264FE" w:rsidRDefault="00C264FE" w:rsidP="00C264FE">
            <w:pPr>
              <w:rPr>
                <w:rFonts w:cs="Arial"/>
              </w:rPr>
            </w:pPr>
            <w:r w:rsidRPr="00C264FE">
              <w:rPr>
                <w:rFonts w:cs="Arial"/>
              </w:rPr>
              <w:t>R &gt; 1 mg/l</w:t>
            </w:r>
          </w:p>
        </w:tc>
      </w:tr>
      <w:tr w:rsidR="00C264FE" w:rsidRPr="00C264FE" w14:paraId="4298F631" w14:textId="77777777" w:rsidTr="00C264FE">
        <w:tc>
          <w:tcPr>
            <w:tcW w:w="3166" w:type="dxa"/>
          </w:tcPr>
          <w:p w14:paraId="5ED62EE0" w14:textId="68E62848" w:rsidR="00C264FE" w:rsidRPr="00C264FE" w:rsidRDefault="00C264FE" w:rsidP="00C264FE">
            <w:pPr>
              <w:rPr>
                <w:rFonts w:cs="Arial"/>
              </w:rPr>
            </w:pPr>
            <w:r w:rsidRPr="00C264FE">
              <w:rPr>
                <w:rFonts w:cs="Arial"/>
                <w:i/>
                <w:iCs/>
              </w:rPr>
              <w:t>Staphylococcus spp.</w:t>
            </w:r>
            <w:r w:rsidRPr="00C264FE">
              <w:rPr>
                <w:rFonts w:cs="Arial"/>
                <w:i/>
                <w:iCs/>
                <w:vertAlign w:val="superscript"/>
              </w:rPr>
              <w:t>1</w:t>
            </w:r>
          </w:p>
        </w:tc>
        <w:tc>
          <w:tcPr>
            <w:tcW w:w="3167" w:type="dxa"/>
          </w:tcPr>
          <w:p w14:paraId="59D13033" w14:textId="60A45235" w:rsidR="00C264FE" w:rsidRPr="00C264FE" w:rsidRDefault="00C264FE" w:rsidP="00C264FE">
            <w:pPr>
              <w:rPr>
                <w:rFonts w:cs="Arial"/>
              </w:rPr>
            </w:pPr>
            <w:r w:rsidRPr="00C264FE">
              <w:rPr>
                <w:rFonts w:cs="Arial"/>
              </w:rPr>
              <w:t xml:space="preserve">S </w:t>
            </w:r>
            <w:r w:rsidRPr="00C264FE">
              <w:rPr>
                <w:rFonts w:cs="Arial"/>
                <w:lang w:eastAsia="bg-BG"/>
              </w:rPr>
              <w:t>≤</w:t>
            </w:r>
            <w:r w:rsidRPr="00C264FE">
              <w:rPr>
                <w:rFonts w:cs="Arial"/>
              </w:rPr>
              <w:t xml:space="preserve"> 1 mg/l</w:t>
            </w:r>
          </w:p>
        </w:tc>
        <w:tc>
          <w:tcPr>
            <w:tcW w:w="3167" w:type="dxa"/>
          </w:tcPr>
          <w:p w14:paraId="4932F2C9" w14:textId="1AF2A55B" w:rsidR="00C264FE" w:rsidRPr="00C264FE" w:rsidRDefault="00C264FE" w:rsidP="00C264FE">
            <w:pPr>
              <w:rPr>
                <w:rFonts w:cs="Arial"/>
              </w:rPr>
            </w:pPr>
            <w:r w:rsidRPr="00C264FE">
              <w:rPr>
                <w:rFonts w:cs="Arial"/>
              </w:rPr>
              <w:t>R&gt; 1 mg/l</w:t>
            </w:r>
          </w:p>
        </w:tc>
      </w:tr>
      <w:tr w:rsidR="00C264FE" w:rsidRPr="00C264FE" w14:paraId="1A052103" w14:textId="77777777" w:rsidTr="00C264FE">
        <w:tc>
          <w:tcPr>
            <w:tcW w:w="3166" w:type="dxa"/>
          </w:tcPr>
          <w:p w14:paraId="0129823B" w14:textId="4BDC9C1B" w:rsidR="00C264FE" w:rsidRPr="00C264FE" w:rsidRDefault="00C264FE" w:rsidP="00C264FE">
            <w:pPr>
              <w:rPr>
                <w:rFonts w:cs="Arial"/>
              </w:rPr>
            </w:pPr>
            <w:r w:rsidRPr="00C264FE">
              <w:rPr>
                <w:rFonts w:cs="Arial"/>
                <w:i/>
                <w:iCs/>
              </w:rPr>
              <w:t>Haemophilus influenzae</w:t>
            </w:r>
            <w:r w:rsidRPr="00C264FE">
              <w:rPr>
                <w:rFonts w:cs="Arial"/>
              </w:rPr>
              <w:t xml:space="preserve"> </w:t>
            </w:r>
            <w:r w:rsidRPr="00C264FE">
              <w:rPr>
                <w:rFonts w:cs="Arial"/>
                <w:lang w:eastAsia="bg-BG"/>
              </w:rPr>
              <w:t xml:space="preserve">и </w:t>
            </w:r>
            <w:r w:rsidRPr="00C264FE">
              <w:rPr>
                <w:rFonts w:cs="Arial"/>
                <w:i/>
                <w:iCs/>
              </w:rPr>
              <w:lastRenderedPageBreak/>
              <w:t>Moraxella catarrhalis</w:t>
            </w:r>
          </w:p>
        </w:tc>
        <w:tc>
          <w:tcPr>
            <w:tcW w:w="3167" w:type="dxa"/>
          </w:tcPr>
          <w:p w14:paraId="3075CF67" w14:textId="695D9A90" w:rsidR="00C264FE" w:rsidRPr="00C264FE" w:rsidRDefault="00C264FE" w:rsidP="00C264FE">
            <w:pPr>
              <w:rPr>
                <w:rFonts w:cs="Arial"/>
              </w:rPr>
            </w:pPr>
            <w:r w:rsidRPr="00C264FE">
              <w:rPr>
                <w:rFonts w:cs="Arial"/>
              </w:rPr>
              <w:lastRenderedPageBreak/>
              <w:t xml:space="preserve">S </w:t>
            </w:r>
            <w:r w:rsidRPr="00C264FE">
              <w:rPr>
                <w:rFonts w:cs="Arial"/>
                <w:lang w:eastAsia="bg-BG"/>
              </w:rPr>
              <w:t>≤</w:t>
            </w:r>
            <w:r w:rsidRPr="00C264FE">
              <w:rPr>
                <w:rFonts w:cs="Arial"/>
              </w:rPr>
              <w:t xml:space="preserve"> 0,5 mg/l</w:t>
            </w:r>
          </w:p>
        </w:tc>
        <w:tc>
          <w:tcPr>
            <w:tcW w:w="3167" w:type="dxa"/>
          </w:tcPr>
          <w:p w14:paraId="32A25E37" w14:textId="46FF6F96" w:rsidR="00C264FE" w:rsidRPr="00C264FE" w:rsidRDefault="00C264FE" w:rsidP="00C264FE">
            <w:pPr>
              <w:rPr>
                <w:rFonts w:cs="Arial"/>
              </w:rPr>
            </w:pPr>
            <w:r w:rsidRPr="00C264FE">
              <w:rPr>
                <w:rFonts w:cs="Arial"/>
              </w:rPr>
              <w:t>R &gt; 0,5 mg/l</w:t>
            </w:r>
          </w:p>
        </w:tc>
      </w:tr>
      <w:tr w:rsidR="00C264FE" w:rsidRPr="00C264FE" w14:paraId="59293BB3" w14:textId="77777777" w:rsidTr="00C264FE">
        <w:tc>
          <w:tcPr>
            <w:tcW w:w="3166" w:type="dxa"/>
          </w:tcPr>
          <w:p w14:paraId="51D034B0" w14:textId="5068AF33" w:rsidR="00C264FE" w:rsidRPr="00C264FE" w:rsidRDefault="00C264FE" w:rsidP="00C264FE">
            <w:pPr>
              <w:rPr>
                <w:rFonts w:cs="Arial"/>
              </w:rPr>
            </w:pPr>
            <w:r w:rsidRPr="00C264FE">
              <w:rPr>
                <w:rFonts w:cs="Arial"/>
                <w:i/>
                <w:iCs/>
              </w:rPr>
              <w:t>Neisseria gonorrhoeae</w:t>
            </w:r>
          </w:p>
        </w:tc>
        <w:tc>
          <w:tcPr>
            <w:tcW w:w="3167" w:type="dxa"/>
          </w:tcPr>
          <w:p w14:paraId="3B8215CC" w14:textId="5B160BF8" w:rsidR="00C264FE" w:rsidRPr="00C264FE" w:rsidRDefault="00C264FE" w:rsidP="00C264FE">
            <w:pPr>
              <w:rPr>
                <w:rFonts w:cs="Arial"/>
              </w:rPr>
            </w:pPr>
            <w:r w:rsidRPr="00C264FE">
              <w:rPr>
                <w:rFonts w:cs="Arial"/>
              </w:rPr>
              <w:t xml:space="preserve">S </w:t>
            </w:r>
            <w:r w:rsidRPr="00C264FE">
              <w:rPr>
                <w:rFonts w:cs="Arial"/>
                <w:lang w:eastAsia="bg-BG"/>
              </w:rPr>
              <w:t>≤</w:t>
            </w:r>
            <w:r w:rsidRPr="00C264FE">
              <w:rPr>
                <w:rFonts w:cs="Arial"/>
              </w:rPr>
              <w:t xml:space="preserve"> 0,03 mg/l</w:t>
            </w:r>
          </w:p>
        </w:tc>
        <w:tc>
          <w:tcPr>
            <w:tcW w:w="3167" w:type="dxa"/>
          </w:tcPr>
          <w:p w14:paraId="088B0AC7" w14:textId="77D61E21" w:rsidR="00C264FE" w:rsidRPr="00C264FE" w:rsidRDefault="00C264FE" w:rsidP="00C264FE">
            <w:pPr>
              <w:rPr>
                <w:rFonts w:cs="Arial"/>
              </w:rPr>
            </w:pPr>
            <w:r w:rsidRPr="00C264FE">
              <w:rPr>
                <w:rFonts w:cs="Arial"/>
              </w:rPr>
              <w:t>R &gt; 0,06 mg/l</w:t>
            </w:r>
          </w:p>
        </w:tc>
      </w:tr>
      <w:tr w:rsidR="00C264FE" w:rsidRPr="00C264FE" w14:paraId="302DD1AF" w14:textId="77777777" w:rsidTr="00C264FE">
        <w:tc>
          <w:tcPr>
            <w:tcW w:w="3166" w:type="dxa"/>
          </w:tcPr>
          <w:p w14:paraId="1DE41FD7" w14:textId="6C4ECD8C" w:rsidR="00C264FE" w:rsidRPr="00C264FE" w:rsidRDefault="00C264FE" w:rsidP="00C264FE">
            <w:pPr>
              <w:rPr>
                <w:rFonts w:cs="Arial"/>
              </w:rPr>
            </w:pPr>
            <w:r w:rsidRPr="00C264FE">
              <w:rPr>
                <w:rFonts w:cs="Arial"/>
                <w:i/>
                <w:iCs/>
              </w:rPr>
              <w:t>Neisseria meningitidis</w:t>
            </w:r>
          </w:p>
        </w:tc>
        <w:tc>
          <w:tcPr>
            <w:tcW w:w="3167" w:type="dxa"/>
          </w:tcPr>
          <w:p w14:paraId="53A63E77" w14:textId="263073EA" w:rsidR="00C264FE" w:rsidRPr="00C264FE" w:rsidRDefault="00C264FE" w:rsidP="00C264FE">
            <w:pPr>
              <w:rPr>
                <w:rFonts w:cs="Arial"/>
              </w:rPr>
            </w:pPr>
            <w:r w:rsidRPr="00C264FE">
              <w:rPr>
                <w:rFonts w:cs="Arial"/>
              </w:rPr>
              <w:t xml:space="preserve">S </w:t>
            </w:r>
            <w:r w:rsidRPr="00C264FE">
              <w:rPr>
                <w:rFonts w:cs="Arial"/>
                <w:lang w:eastAsia="bg-BG"/>
              </w:rPr>
              <w:t>≤</w:t>
            </w:r>
            <w:r w:rsidRPr="00C264FE">
              <w:rPr>
                <w:rFonts w:cs="Arial"/>
              </w:rPr>
              <w:t xml:space="preserve"> 0,03 mg/l</w:t>
            </w:r>
          </w:p>
        </w:tc>
        <w:tc>
          <w:tcPr>
            <w:tcW w:w="3167" w:type="dxa"/>
          </w:tcPr>
          <w:p w14:paraId="2BB74063" w14:textId="2BDB9BD2" w:rsidR="00C264FE" w:rsidRPr="00C264FE" w:rsidRDefault="00C264FE" w:rsidP="00C264FE">
            <w:pPr>
              <w:rPr>
                <w:rFonts w:cs="Arial"/>
              </w:rPr>
            </w:pPr>
            <w:r w:rsidRPr="00C264FE">
              <w:rPr>
                <w:rFonts w:cs="Arial"/>
              </w:rPr>
              <w:t>R &gt; 0,06 mg/l</w:t>
            </w:r>
          </w:p>
        </w:tc>
      </w:tr>
      <w:tr w:rsidR="00C264FE" w:rsidRPr="00C264FE" w14:paraId="397EC58B" w14:textId="77777777" w:rsidTr="00C264FE">
        <w:tc>
          <w:tcPr>
            <w:tcW w:w="3166" w:type="dxa"/>
          </w:tcPr>
          <w:p w14:paraId="68D1F77F" w14:textId="22F58987" w:rsidR="00C264FE" w:rsidRPr="00C264FE" w:rsidRDefault="00C264FE" w:rsidP="00C264FE">
            <w:pPr>
              <w:rPr>
                <w:rFonts w:cs="Arial"/>
              </w:rPr>
            </w:pPr>
            <w:r w:rsidRPr="00C264FE">
              <w:rPr>
                <w:rFonts w:cs="Arial"/>
                <w:lang w:eastAsia="bg-BG"/>
              </w:rPr>
              <w:t>Гранични стойности, които не са свързани с определен вид*</w:t>
            </w:r>
          </w:p>
        </w:tc>
        <w:tc>
          <w:tcPr>
            <w:tcW w:w="3167" w:type="dxa"/>
          </w:tcPr>
          <w:p w14:paraId="5A10A391" w14:textId="40A9C966" w:rsidR="00C264FE" w:rsidRPr="00C264FE" w:rsidRDefault="00C264FE" w:rsidP="00C264FE">
            <w:pPr>
              <w:rPr>
                <w:rFonts w:cs="Arial"/>
              </w:rPr>
            </w:pPr>
            <w:r w:rsidRPr="00C264FE">
              <w:rPr>
                <w:rFonts w:cs="Arial"/>
              </w:rPr>
              <w:t xml:space="preserve">S </w:t>
            </w:r>
            <w:r w:rsidRPr="00C264FE">
              <w:rPr>
                <w:rFonts w:cs="Arial"/>
                <w:lang w:eastAsia="bg-BG"/>
              </w:rPr>
              <w:t>≤</w:t>
            </w:r>
            <w:r w:rsidRPr="00C264FE">
              <w:rPr>
                <w:rFonts w:cs="Arial"/>
              </w:rPr>
              <w:t xml:space="preserve"> 0,5 mg/l</w:t>
            </w:r>
          </w:p>
        </w:tc>
        <w:tc>
          <w:tcPr>
            <w:tcW w:w="3167" w:type="dxa"/>
          </w:tcPr>
          <w:p w14:paraId="4B5FE91C" w14:textId="4CA0213A" w:rsidR="00C264FE" w:rsidRPr="00C264FE" w:rsidRDefault="00C264FE" w:rsidP="00C264FE">
            <w:pPr>
              <w:rPr>
                <w:rFonts w:cs="Arial"/>
              </w:rPr>
            </w:pPr>
            <w:r w:rsidRPr="00C264FE">
              <w:rPr>
                <w:rFonts w:cs="Arial"/>
              </w:rPr>
              <w:t>R &gt; 1 mg/l</w:t>
            </w:r>
          </w:p>
        </w:tc>
      </w:tr>
    </w:tbl>
    <w:p w14:paraId="485EB2A3" w14:textId="36277960" w:rsidR="00C264FE" w:rsidRPr="00C264FE" w:rsidRDefault="00C264FE" w:rsidP="0091385D">
      <w:pPr>
        <w:rPr>
          <w:rFonts w:cs="Arial"/>
        </w:rPr>
      </w:pPr>
    </w:p>
    <w:p w14:paraId="28A5D9B5" w14:textId="77777777" w:rsidR="00C264FE" w:rsidRPr="00C264FE" w:rsidRDefault="00C264FE" w:rsidP="00C264FE">
      <w:pPr>
        <w:spacing w:line="240" w:lineRule="auto"/>
        <w:rPr>
          <w:rFonts w:eastAsia="Times New Roman" w:cs="Arial"/>
          <w:lang w:eastAsia="bg-BG"/>
        </w:rPr>
      </w:pPr>
      <w:r w:rsidRPr="00C264FE">
        <w:rPr>
          <w:rFonts w:eastAsia="Times New Roman" w:cs="Arial"/>
          <w:i/>
          <w:iCs/>
          <w:color w:val="000000"/>
          <w:vertAlign w:val="superscript"/>
          <w:lang w:eastAsia="bg-BG"/>
        </w:rPr>
        <w:t>1</w:t>
      </w:r>
      <w:r w:rsidRPr="00C264FE">
        <w:rPr>
          <w:rFonts w:eastAsia="Times New Roman" w:cs="Arial"/>
          <w:i/>
          <w:iCs/>
          <w:color w:val="000000"/>
          <w:lang w:eastAsia="bg-BG"/>
        </w:rPr>
        <w:t xml:space="preserve"> </w:t>
      </w:r>
      <w:r w:rsidRPr="00C264FE">
        <w:rPr>
          <w:rFonts w:eastAsia="Times New Roman" w:cs="Arial"/>
          <w:i/>
          <w:iCs/>
          <w:color w:val="000000"/>
          <w:lang w:val="en-US"/>
        </w:rPr>
        <w:t>Staphylococcus spp.</w:t>
      </w:r>
      <w:r w:rsidRPr="00C264FE">
        <w:rPr>
          <w:rFonts w:eastAsia="Times New Roman" w:cs="Arial"/>
          <w:color w:val="000000"/>
          <w:lang w:eastAsia="bg-BG"/>
        </w:rPr>
        <w:t>-гранични стойности за ципрофлоксацин са свързани с терапия във високи дози.</w:t>
      </w:r>
    </w:p>
    <w:p w14:paraId="71557C85" w14:textId="77777777" w:rsidR="00C264FE" w:rsidRPr="00C264FE" w:rsidRDefault="00C264FE" w:rsidP="00C264FE">
      <w:pPr>
        <w:spacing w:line="240" w:lineRule="auto"/>
        <w:rPr>
          <w:rFonts w:eastAsia="Times New Roman" w:cs="Arial"/>
          <w:color w:val="000000"/>
          <w:lang w:eastAsia="bg-BG"/>
        </w:rPr>
      </w:pPr>
    </w:p>
    <w:p w14:paraId="7D9DB497" w14:textId="0C3F3EB6"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 xml:space="preserve">* Граничните стойности, които не са свързани с определен вид, са определени основно на база данните за </w:t>
      </w:r>
      <w:r w:rsidRPr="00C264FE">
        <w:rPr>
          <w:rFonts w:eastAsia="Times New Roman" w:cs="Arial"/>
          <w:color w:val="000000"/>
          <w:lang w:val="en-US"/>
        </w:rPr>
        <w:t xml:space="preserve">PK/PD </w:t>
      </w:r>
      <w:r w:rsidRPr="00C264FE">
        <w:rPr>
          <w:rFonts w:eastAsia="Times New Roman" w:cs="Arial"/>
          <w:color w:val="000000"/>
          <w:lang w:eastAsia="bg-BG"/>
        </w:rPr>
        <w:t xml:space="preserve">и са независими от разпределението на </w:t>
      </w:r>
      <w:r w:rsidRPr="00C264FE">
        <w:rPr>
          <w:rFonts w:eastAsia="Times New Roman" w:cs="Arial"/>
          <w:color w:val="000000"/>
          <w:lang w:val="en-US"/>
        </w:rPr>
        <w:t xml:space="preserve">MIC </w:t>
      </w:r>
      <w:r w:rsidRPr="00C264FE">
        <w:rPr>
          <w:rFonts w:eastAsia="Times New Roman" w:cs="Arial"/>
          <w:color w:val="000000"/>
          <w:lang w:eastAsia="bg-BG"/>
        </w:rPr>
        <w:t>за отделните щамове. Следва да се използват само за щамове, за които няма определена индивидуална гранична стойност, но не и за щамове, при които не се препоръчва изследване на чувствителността.</w:t>
      </w:r>
    </w:p>
    <w:p w14:paraId="4E902DF0" w14:textId="77777777" w:rsidR="00C264FE" w:rsidRPr="00C264FE" w:rsidRDefault="00C264FE" w:rsidP="00C264FE">
      <w:pPr>
        <w:spacing w:line="240" w:lineRule="auto"/>
        <w:rPr>
          <w:rFonts w:eastAsia="Times New Roman" w:cs="Arial"/>
          <w:color w:val="000000"/>
          <w:lang w:eastAsia="bg-BG"/>
        </w:rPr>
      </w:pPr>
    </w:p>
    <w:p w14:paraId="2625FBC5" w14:textId="702B7764"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Разпространението на придобитата резистентност може да варира според географското разположение и във времето за определени видове микроорганизми и е желателно да се използват местни данни за резистентността, особено когато се лекуват тежки инфекции. Ако е необходимо, трябва да се потърси експертно становище в случаите, когато разпространението на локалната резистентност е такава, че се поставя под въпрос приложимостта на средството за поне някои типове инфекции.</w:t>
      </w:r>
    </w:p>
    <w:p w14:paraId="7D8B9DA3" w14:textId="77777777" w:rsidR="00C264FE" w:rsidRPr="00C264FE" w:rsidRDefault="00C264FE" w:rsidP="00C264FE">
      <w:pPr>
        <w:rPr>
          <w:rFonts w:eastAsia="Times New Roman" w:cs="Arial"/>
          <w:i/>
          <w:iCs/>
          <w:color w:val="000000"/>
          <w:lang w:val="en-US"/>
        </w:rPr>
      </w:pPr>
    </w:p>
    <w:p w14:paraId="23682068" w14:textId="02832E15" w:rsidR="00C264FE" w:rsidRPr="00C264FE" w:rsidRDefault="00C264FE" w:rsidP="00C264FE">
      <w:pPr>
        <w:rPr>
          <w:rFonts w:cs="Arial"/>
        </w:rPr>
      </w:pPr>
      <w:r w:rsidRPr="00C264FE">
        <w:rPr>
          <w:rFonts w:eastAsia="Times New Roman" w:cs="Arial"/>
          <w:i/>
          <w:iCs/>
          <w:color w:val="000000"/>
          <w:lang w:val="en-US"/>
        </w:rPr>
        <w:t xml:space="preserve">In </w:t>
      </w:r>
      <w:proofErr w:type="spellStart"/>
      <w:r w:rsidRPr="00C264FE">
        <w:rPr>
          <w:rFonts w:eastAsia="Times New Roman" w:cs="Arial"/>
          <w:i/>
          <w:iCs/>
          <w:color w:val="000000"/>
          <w:lang w:val="en-US"/>
        </w:rPr>
        <w:t>vitr</w:t>
      </w:r>
      <w:proofErr w:type="spellEnd"/>
      <w:r w:rsidRPr="00C264FE">
        <w:rPr>
          <w:rFonts w:eastAsia="Times New Roman" w:cs="Arial"/>
          <w:i/>
          <w:iCs/>
          <w:color w:val="000000"/>
          <w:lang w:eastAsia="bg-BG"/>
        </w:rPr>
        <w:t>о</w:t>
      </w:r>
      <w:r w:rsidRPr="00C264FE">
        <w:rPr>
          <w:rFonts w:eastAsia="Times New Roman" w:cs="Arial"/>
          <w:color w:val="000000"/>
          <w:lang w:eastAsia="bg-BG"/>
        </w:rPr>
        <w:t xml:space="preserve">-чувствителност към ципрофлоксацин: (за </w:t>
      </w:r>
      <w:r w:rsidRPr="00C264FE">
        <w:rPr>
          <w:rFonts w:eastAsia="Times New Roman" w:cs="Arial"/>
          <w:i/>
          <w:iCs/>
          <w:color w:val="000000"/>
          <w:lang w:val="en-US"/>
        </w:rPr>
        <w:t>Streptococcus spp.</w:t>
      </w:r>
      <w:r w:rsidRPr="00C264FE">
        <w:rPr>
          <w:rFonts w:eastAsia="Times New Roman" w:cs="Arial"/>
          <w:color w:val="000000"/>
          <w:lang w:val="en-US"/>
        </w:rPr>
        <w:t xml:space="preserve"> </w:t>
      </w:r>
      <w:r w:rsidRPr="00C264FE">
        <w:rPr>
          <w:rFonts w:eastAsia="Times New Roman" w:cs="Arial"/>
          <w:color w:val="000000"/>
          <w:lang w:eastAsia="bg-BG"/>
        </w:rPr>
        <w:t>вж. точка 4.4).</w:t>
      </w:r>
    </w:p>
    <w:p w14:paraId="07695479" w14:textId="1E7ED277" w:rsidR="00C264FE" w:rsidRDefault="00C264FE" w:rsidP="0091385D"/>
    <w:tbl>
      <w:tblPr>
        <w:tblStyle w:val="TableGrid"/>
        <w:tblW w:w="0" w:type="auto"/>
        <w:tblLook w:val="04A0" w:firstRow="1" w:lastRow="0" w:firstColumn="1" w:lastColumn="0" w:noHBand="0" w:noVBand="1"/>
      </w:tblPr>
      <w:tblGrid>
        <w:gridCol w:w="9500"/>
      </w:tblGrid>
      <w:tr w:rsidR="00C264FE" w14:paraId="43CF4B33" w14:textId="77777777" w:rsidTr="006E75A2">
        <w:tc>
          <w:tcPr>
            <w:tcW w:w="9500" w:type="dxa"/>
            <w:vAlign w:val="bottom"/>
          </w:tcPr>
          <w:p w14:paraId="742B7FB5" w14:textId="148DF364" w:rsidR="00C264FE" w:rsidRPr="00C264FE" w:rsidRDefault="00C264FE" w:rsidP="00C264FE">
            <w:pPr>
              <w:rPr>
                <w:rFonts w:cs="Arial"/>
              </w:rPr>
            </w:pPr>
            <w:r w:rsidRPr="00C264FE">
              <w:rPr>
                <w:rFonts w:cs="Arial"/>
                <w:b/>
                <w:bCs/>
                <w:lang w:eastAsia="bg-BG"/>
              </w:rPr>
              <w:t>СТАНДАРТНО ЧУВСТВИТЕЛНИ МИКРООРГАНИЗМИ</w:t>
            </w:r>
          </w:p>
        </w:tc>
      </w:tr>
      <w:tr w:rsidR="00C264FE" w14:paraId="380E6015" w14:textId="77777777" w:rsidTr="006E75A2">
        <w:tc>
          <w:tcPr>
            <w:tcW w:w="9500" w:type="dxa"/>
            <w:vAlign w:val="bottom"/>
          </w:tcPr>
          <w:p w14:paraId="24BF1261" w14:textId="77777777" w:rsidR="00C264FE" w:rsidRPr="00C264FE" w:rsidRDefault="00C264FE" w:rsidP="00C264FE">
            <w:pPr>
              <w:rPr>
                <w:rFonts w:cs="Arial"/>
                <w:lang w:eastAsia="bg-BG"/>
              </w:rPr>
            </w:pPr>
            <w:r w:rsidRPr="00C264FE">
              <w:rPr>
                <w:rFonts w:cs="Arial"/>
                <w:u w:val="single"/>
                <w:lang w:eastAsia="bg-BG"/>
              </w:rPr>
              <w:t>Аеробни Грам-положителни микроорганизми</w:t>
            </w:r>
          </w:p>
          <w:p w14:paraId="0284B487" w14:textId="5130DEEA" w:rsidR="00C264FE" w:rsidRPr="00C264FE" w:rsidRDefault="00C264FE" w:rsidP="00C264FE">
            <w:pPr>
              <w:rPr>
                <w:rFonts w:cs="Arial"/>
              </w:rPr>
            </w:pPr>
            <w:r w:rsidRPr="00C264FE">
              <w:rPr>
                <w:rFonts w:cs="Arial"/>
                <w:i/>
                <w:iCs/>
              </w:rPr>
              <w:t xml:space="preserve">Bacillus anthracis </w:t>
            </w:r>
            <w:r w:rsidRPr="00C264FE">
              <w:rPr>
                <w:rFonts w:cs="Arial"/>
                <w:i/>
                <w:iCs/>
                <w:lang w:eastAsia="bg-BG"/>
              </w:rPr>
              <w:t>(1)</w:t>
            </w:r>
          </w:p>
        </w:tc>
      </w:tr>
      <w:tr w:rsidR="00C264FE" w14:paraId="0E037D84" w14:textId="77777777" w:rsidTr="006E75A2">
        <w:tc>
          <w:tcPr>
            <w:tcW w:w="9500" w:type="dxa"/>
            <w:vAlign w:val="bottom"/>
          </w:tcPr>
          <w:p w14:paraId="5AE4A261" w14:textId="77777777" w:rsidR="00C264FE" w:rsidRPr="00C264FE" w:rsidRDefault="00C264FE" w:rsidP="00C264FE">
            <w:pPr>
              <w:rPr>
                <w:rFonts w:cs="Arial"/>
                <w:lang w:eastAsia="bg-BG"/>
              </w:rPr>
            </w:pPr>
            <w:r w:rsidRPr="00C264FE">
              <w:rPr>
                <w:rFonts w:cs="Arial"/>
                <w:u w:val="single"/>
                <w:lang w:eastAsia="bg-BG"/>
              </w:rPr>
              <w:t>Аеробни Грам-отрицателни микроорганизми</w:t>
            </w:r>
          </w:p>
          <w:p w14:paraId="1036483F" w14:textId="77777777" w:rsidR="00C264FE" w:rsidRPr="00C264FE" w:rsidRDefault="00C264FE" w:rsidP="00C264FE">
            <w:pPr>
              <w:rPr>
                <w:rFonts w:cs="Arial"/>
                <w:lang w:eastAsia="bg-BG"/>
              </w:rPr>
            </w:pPr>
            <w:r w:rsidRPr="00C264FE">
              <w:rPr>
                <w:rFonts w:cs="Arial"/>
                <w:i/>
                <w:iCs/>
              </w:rPr>
              <w:t>Aeromonas spp.</w:t>
            </w:r>
          </w:p>
          <w:p w14:paraId="0D7E46AC" w14:textId="77777777" w:rsidR="00C264FE" w:rsidRPr="00C264FE" w:rsidRDefault="00C264FE" w:rsidP="00C264FE">
            <w:pPr>
              <w:rPr>
                <w:rFonts w:cs="Arial"/>
                <w:lang w:eastAsia="bg-BG"/>
              </w:rPr>
            </w:pPr>
            <w:r w:rsidRPr="00C264FE">
              <w:rPr>
                <w:rFonts w:cs="Arial"/>
                <w:i/>
                <w:iCs/>
              </w:rPr>
              <w:t>Brucella spp.</w:t>
            </w:r>
          </w:p>
          <w:p w14:paraId="4069E749" w14:textId="77777777" w:rsidR="00C264FE" w:rsidRPr="00C264FE" w:rsidRDefault="00C264FE" w:rsidP="00C264FE">
            <w:pPr>
              <w:rPr>
                <w:rFonts w:cs="Arial"/>
                <w:lang w:eastAsia="bg-BG"/>
              </w:rPr>
            </w:pPr>
            <w:r w:rsidRPr="00C264FE">
              <w:rPr>
                <w:rFonts w:cs="Arial"/>
                <w:i/>
                <w:iCs/>
              </w:rPr>
              <w:t>Citrobacter koseri</w:t>
            </w:r>
          </w:p>
          <w:p w14:paraId="39DABB34" w14:textId="77777777" w:rsidR="00C264FE" w:rsidRPr="00C264FE" w:rsidRDefault="00C264FE" w:rsidP="00C264FE">
            <w:pPr>
              <w:rPr>
                <w:rFonts w:cs="Arial"/>
                <w:lang w:eastAsia="bg-BG"/>
              </w:rPr>
            </w:pPr>
            <w:r w:rsidRPr="00C264FE">
              <w:rPr>
                <w:rFonts w:cs="Arial"/>
                <w:i/>
                <w:iCs/>
              </w:rPr>
              <w:t>Francisella tularensis</w:t>
            </w:r>
          </w:p>
          <w:p w14:paraId="174C9202" w14:textId="77777777" w:rsidR="00C264FE" w:rsidRPr="00C264FE" w:rsidRDefault="00C264FE" w:rsidP="00C264FE">
            <w:pPr>
              <w:rPr>
                <w:rFonts w:cs="Arial"/>
                <w:lang w:eastAsia="bg-BG"/>
              </w:rPr>
            </w:pPr>
            <w:r w:rsidRPr="00C264FE">
              <w:rPr>
                <w:rFonts w:cs="Arial"/>
                <w:i/>
                <w:iCs/>
              </w:rPr>
              <w:t>Haemophilus ducreyi</w:t>
            </w:r>
          </w:p>
          <w:p w14:paraId="6F8A2194" w14:textId="77777777" w:rsidR="00C264FE" w:rsidRPr="00C264FE" w:rsidRDefault="00C264FE" w:rsidP="00C264FE">
            <w:pPr>
              <w:rPr>
                <w:rFonts w:cs="Arial"/>
                <w:lang w:eastAsia="bg-BG"/>
              </w:rPr>
            </w:pPr>
            <w:r w:rsidRPr="00C264FE">
              <w:rPr>
                <w:rFonts w:cs="Arial"/>
                <w:i/>
                <w:iCs/>
              </w:rPr>
              <w:t>Haemophilius influenzae*</w:t>
            </w:r>
          </w:p>
          <w:p w14:paraId="21371637" w14:textId="77777777" w:rsidR="00C264FE" w:rsidRPr="00C264FE" w:rsidRDefault="00C264FE" w:rsidP="00C264FE">
            <w:pPr>
              <w:rPr>
                <w:rFonts w:cs="Arial"/>
                <w:lang w:eastAsia="bg-BG"/>
              </w:rPr>
            </w:pPr>
            <w:r w:rsidRPr="00C264FE">
              <w:rPr>
                <w:rFonts w:cs="Arial"/>
                <w:i/>
                <w:iCs/>
              </w:rPr>
              <w:t>Legionella spp.</w:t>
            </w:r>
          </w:p>
          <w:p w14:paraId="595C01BD" w14:textId="77777777" w:rsidR="00C264FE" w:rsidRPr="00C264FE" w:rsidRDefault="00C264FE" w:rsidP="00C264FE">
            <w:pPr>
              <w:rPr>
                <w:rFonts w:cs="Arial"/>
                <w:lang w:eastAsia="bg-BG"/>
              </w:rPr>
            </w:pPr>
            <w:r w:rsidRPr="00C264FE">
              <w:rPr>
                <w:rFonts w:cs="Arial"/>
                <w:i/>
                <w:iCs/>
              </w:rPr>
              <w:t>Moraxella catarrhalis *</w:t>
            </w:r>
          </w:p>
          <w:p w14:paraId="39BB8D9F" w14:textId="77777777" w:rsidR="00C264FE" w:rsidRPr="00C264FE" w:rsidRDefault="00C264FE" w:rsidP="00C264FE">
            <w:pPr>
              <w:rPr>
                <w:rFonts w:cs="Arial"/>
                <w:lang w:eastAsia="bg-BG"/>
              </w:rPr>
            </w:pPr>
            <w:r w:rsidRPr="00C264FE">
              <w:rPr>
                <w:rFonts w:cs="Arial"/>
                <w:i/>
                <w:iCs/>
              </w:rPr>
              <w:t>Neisseria meningitidis</w:t>
            </w:r>
          </w:p>
          <w:p w14:paraId="6B34DE0E" w14:textId="77777777" w:rsidR="00C264FE" w:rsidRPr="00C264FE" w:rsidRDefault="00C264FE" w:rsidP="00C264FE">
            <w:pPr>
              <w:rPr>
                <w:rFonts w:cs="Arial"/>
                <w:lang w:eastAsia="bg-BG"/>
              </w:rPr>
            </w:pPr>
            <w:r w:rsidRPr="00C264FE">
              <w:rPr>
                <w:rFonts w:cs="Arial"/>
                <w:i/>
                <w:iCs/>
              </w:rPr>
              <w:t>Pasteurella spp.</w:t>
            </w:r>
          </w:p>
          <w:p w14:paraId="6637C25C" w14:textId="77777777" w:rsidR="00C264FE" w:rsidRPr="00C264FE" w:rsidRDefault="00C264FE" w:rsidP="00C264FE">
            <w:pPr>
              <w:rPr>
                <w:rFonts w:cs="Arial"/>
                <w:lang w:eastAsia="bg-BG"/>
              </w:rPr>
            </w:pPr>
            <w:r w:rsidRPr="00C264FE">
              <w:rPr>
                <w:rFonts w:cs="Arial"/>
                <w:i/>
                <w:iCs/>
              </w:rPr>
              <w:t>Salmonella spp*</w:t>
            </w:r>
          </w:p>
          <w:p w14:paraId="04282642" w14:textId="77777777" w:rsidR="00C264FE" w:rsidRPr="00C264FE" w:rsidRDefault="00C264FE" w:rsidP="00C264FE">
            <w:pPr>
              <w:rPr>
                <w:rFonts w:cs="Arial"/>
                <w:lang w:eastAsia="bg-BG"/>
              </w:rPr>
            </w:pPr>
            <w:r w:rsidRPr="00C264FE">
              <w:rPr>
                <w:rFonts w:cs="Arial"/>
                <w:i/>
                <w:iCs/>
              </w:rPr>
              <w:t>Shigellaspp*</w:t>
            </w:r>
          </w:p>
          <w:p w14:paraId="1350557F" w14:textId="77777777" w:rsidR="00C264FE" w:rsidRPr="00C264FE" w:rsidRDefault="00C264FE" w:rsidP="00C264FE">
            <w:pPr>
              <w:rPr>
                <w:rFonts w:cs="Arial"/>
                <w:lang w:eastAsia="bg-BG"/>
              </w:rPr>
            </w:pPr>
            <w:r w:rsidRPr="00C264FE">
              <w:rPr>
                <w:rFonts w:cs="Arial"/>
                <w:i/>
                <w:iCs/>
              </w:rPr>
              <w:t>Vibrio spp.</w:t>
            </w:r>
          </w:p>
          <w:p w14:paraId="1A88D296" w14:textId="0BECA05D" w:rsidR="00C264FE" w:rsidRPr="00C264FE" w:rsidRDefault="00C264FE" w:rsidP="00C264FE">
            <w:pPr>
              <w:rPr>
                <w:rFonts w:cs="Arial"/>
              </w:rPr>
            </w:pPr>
            <w:r w:rsidRPr="00C264FE">
              <w:rPr>
                <w:rFonts w:cs="Arial"/>
                <w:i/>
                <w:iCs/>
              </w:rPr>
              <w:t>Yersinia pestis</w:t>
            </w:r>
          </w:p>
        </w:tc>
      </w:tr>
      <w:tr w:rsidR="00C264FE" w14:paraId="20827281" w14:textId="77777777" w:rsidTr="002B53FC">
        <w:tc>
          <w:tcPr>
            <w:tcW w:w="9500" w:type="dxa"/>
            <w:vAlign w:val="bottom"/>
          </w:tcPr>
          <w:p w14:paraId="36F2ED32" w14:textId="3F0DC3EC" w:rsidR="00C264FE" w:rsidRPr="00C264FE" w:rsidRDefault="00C264FE" w:rsidP="00C264FE">
            <w:pPr>
              <w:rPr>
                <w:rFonts w:cs="Arial"/>
              </w:rPr>
            </w:pPr>
            <w:r w:rsidRPr="00C264FE">
              <w:rPr>
                <w:rFonts w:cs="Arial"/>
                <w:u w:val="single"/>
                <w:lang w:eastAsia="bg-BG"/>
              </w:rPr>
              <w:t xml:space="preserve">Анаеробни микроорганизми </w:t>
            </w:r>
            <w:r w:rsidRPr="00C264FE">
              <w:rPr>
                <w:rFonts w:cs="Arial"/>
                <w:i/>
                <w:iCs/>
              </w:rPr>
              <w:t>Mobiluncus</w:t>
            </w:r>
          </w:p>
        </w:tc>
      </w:tr>
      <w:tr w:rsidR="00C264FE" w14:paraId="1BEC497A" w14:textId="77777777" w:rsidTr="002B53FC">
        <w:tc>
          <w:tcPr>
            <w:tcW w:w="9500" w:type="dxa"/>
            <w:vAlign w:val="bottom"/>
          </w:tcPr>
          <w:p w14:paraId="6D0EB729" w14:textId="77777777" w:rsidR="00C264FE" w:rsidRPr="00C264FE" w:rsidRDefault="00C264FE" w:rsidP="00C264FE">
            <w:pPr>
              <w:rPr>
                <w:rFonts w:cs="Arial"/>
                <w:u w:val="single"/>
                <w:lang w:eastAsia="bg-BG"/>
              </w:rPr>
            </w:pPr>
            <w:r w:rsidRPr="00C264FE">
              <w:rPr>
                <w:rFonts w:cs="Arial"/>
                <w:u w:val="single"/>
                <w:lang w:eastAsia="bg-BG"/>
              </w:rPr>
              <w:t xml:space="preserve">Други микроорганизми </w:t>
            </w:r>
          </w:p>
          <w:p w14:paraId="4A9F8548" w14:textId="77777777" w:rsidR="00C264FE" w:rsidRPr="00C264FE" w:rsidRDefault="00C264FE" w:rsidP="00C264FE">
            <w:pPr>
              <w:rPr>
                <w:rFonts w:cs="Arial"/>
                <w:i/>
                <w:iCs/>
                <w:lang w:eastAsia="bg-BG"/>
              </w:rPr>
            </w:pPr>
            <w:r w:rsidRPr="00C264FE">
              <w:rPr>
                <w:rFonts w:cs="Arial"/>
                <w:i/>
                <w:iCs/>
              </w:rPr>
              <w:t xml:space="preserve">Chlamydia trachomatis </w:t>
            </w:r>
            <w:r w:rsidRPr="00C264FE">
              <w:rPr>
                <w:rFonts w:cs="Arial"/>
                <w:i/>
                <w:iCs/>
                <w:lang w:eastAsia="bg-BG"/>
              </w:rPr>
              <w:t xml:space="preserve">($) </w:t>
            </w:r>
          </w:p>
          <w:p w14:paraId="0B99D5C1" w14:textId="77777777" w:rsidR="00C264FE" w:rsidRPr="00C264FE" w:rsidRDefault="00C264FE" w:rsidP="00C264FE">
            <w:pPr>
              <w:rPr>
                <w:rFonts w:cs="Arial"/>
                <w:i/>
                <w:iCs/>
              </w:rPr>
            </w:pPr>
            <w:r w:rsidRPr="00C264FE">
              <w:rPr>
                <w:rFonts w:cs="Arial"/>
                <w:i/>
                <w:iCs/>
              </w:rPr>
              <w:t xml:space="preserve">Chlamydia pneumoniae($) </w:t>
            </w:r>
          </w:p>
          <w:p w14:paraId="3EEB5DC7" w14:textId="77777777" w:rsidR="00C264FE" w:rsidRPr="00C264FE" w:rsidRDefault="00C264FE" w:rsidP="00C264FE">
            <w:pPr>
              <w:rPr>
                <w:rFonts w:cs="Arial"/>
                <w:i/>
                <w:iCs/>
              </w:rPr>
            </w:pPr>
            <w:r w:rsidRPr="00C264FE">
              <w:rPr>
                <w:rFonts w:cs="Arial"/>
                <w:i/>
                <w:iCs/>
              </w:rPr>
              <w:t xml:space="preserve">Mycoplasma hominis($) </w:t>
            </w:r>
          </w:p>
          <w:p w14:paraId="476F8273" w14:textId="27A9FA12" w:rsidR="00C264FE" w:rsidRPr="00C264FE" w:rsidRDefault="00C264FE" w:rsidP="00C264FE">
            <w:pPr>
              <w:rPr>
                <w:rFonts w:cs="Arial"/>
              </w:rPr>
            </w:pPr>
            <w:r w:rsidRPr="00C264FE">
              <w:rPr>
                <w:rFonts w:cs="Arial"/>
                <w:i/>
                <w:iCs/>
              </w:rPr>
              <w:lastRenderedPageBreak/>
              <w:t>Mycoplasma pneumoniae($)</w:t>
            </w:r>
          </w:p>
        </w:tc>
      </w:tr>
      <w:tr w:rsidR="00C264FE" w14:paraId="637ACAE4" w14:textId="77777777" w:rsidTr="002B53FC">
        <w:tc>
          <w:tcPr>
            <w:tcW w:w="9500" w:type="dxa"/>
            <w:vAlign w:val="bottom"/>
          </w:tcPr>
          <w:p w14:paraId="52CB7CAD" w14:textId="4D593AC5" w:rsidR="00C264FE" w:rsidRPr="00C264FE" w:rsidRDefault="00C264FE" w:rsidP="00C264FE">
            <w:pPr>
              <w:rPr>
                <w:rFonts w:cs="Arial"/>
              </w:rPr>
            </w:pPr>
            <w:r w:rsidRPr="00C264FE">
              <w:rPr>
                <w:rFonts w:cs="Arial"/>
                <w:b/>
                <w:bCs/>
                <w:lang w:eastAsia="bg-BG"/>
              </w:rPr>
              <w:lastRenderedPageBreak/>
              <w:t xml:space="preserve">МИКРООРГАНИЗМИ, ПРИ КОИТО ПРИДОБИТАТА РЕЗИСТЕНТНОСТ МОЖЕ ДА </w:t>
            </w:r>
            <w:r w:rsidRPr="00C264FE">
              <w:rPr>
                <w:rFonts w:cs="Arial"/>
                <w:b/>
                <w:bCs/>
              </w:rPr>
              <w:t>E</w:t>
            </w:r>
            <w:r w:rsidRPr="00C264FE">
              <w:rPr>
                <w:rFonts w:cs="Arial"/>
                <w:b/>
                <w:bCs/>
                <w:lang w:eastAsia="bg-BG"/>
              </w:rPr>
              <w:t xml:space="preserve"> ПРОБЛЕМ</w:t>
            </w:r>
          </w:p>
        </w:tc>
      </w:tr>
      <w:tr w:rsidR="00C264FE" w14:paraId="7384E46E" w14:textId="77777777" w:rsidTr="002B53FC">
        <w:tc>
          <w:tcPr>
            <w:tcW w:w="9500" w:type="dxa"/>
            <w:vAlign w:val="bottom"/>
          </w:tcPr>
          <w:p w14:paraId="73307620" w14:textId="77777777" w:rsidR="00C264FE" w:rsidRPr="00C264FE" w:rsidRDefault="00C264FE" w:rsidP="00C264FE">
            <w:pPr>
              <w:rPr>
                <w:rFonts w:cs="Arial"/>
                <w:lang w:eastAsia="bg-BG"/>
              </w:rPr>
            </w:pPr>
            <w:r w:rsidRPr="00C264FE">
              <w:rPr>
                <w:rFonts w:cs="Arial"/>
                <w:u w:val="single"/>
                <w:lang w:eastAsia="bg-BG"/>
              </w:rPr>
              <w:t>Аеробни Грам-положителни микроорганизми</w:t>
            </w:r>
          </w:p>
          <w:p w14:paraId="25308C4F" w14:textId="77777777" w:rsidR="00C264FE" w:rsidRPr="00C264FE" w:rsidRDefault="00C264FE" w:rsidP="00C264FE">
            <w:pPr>
              <w:rPr>
                <w:rFonts w:cs="Arial"/>
                <w:lang w:eastAsia="bg-BG"/>
              </w:rPr>
            </w:pPr>
            <w:r w:rsidRPr="00C264FE">
              <w:rPr>
                <w:rFonts w:cs="Arial"/>
                <w:i/>
                <w:iCs/>
              </w:rPr>
              <w:t xml:space="preserve">Enterococcus faecalis </w:t>
            </w:r>
            <w:r w:rsidRPr="00C264FE">
              <w:rPr>
                <w:rFonts w:cs="Arial"/>
                <w:i/>
                <w:iCs/>
                <w:lang w:eastAsia="bg-BG"/>
              </w:rPr>
              <w:t>($)</w:t>
            </w:r>
          </w:p>
          <w:p w14:paraId="78C6890E" w14:textId="52836EB7" w:rsidR="00C264FE" w:rsidRPr="00C264FE" w:rsidRDefault="00C264FE" w:rsidP="00C264FE">
            <w:pPr>
              <w:rPr>
                <w:rFonts w:cs="Arial"/>
              </w:rPr>
            </w:pPr>
            <w:r w:rsidRPr="00C264FE">
              <w:rPr>
                <w:rFonts w:cs="Arial"/>
                <w:i/>
                <w:iCs/>
              </w:rPr>
              <w:t>Staphylococcus spp. (2)</w:t>
            </w:r>
          </w:p>
        </w:tc>
      </w:tr>
      <w:tr w:rsidR="00C264FE" w14:paraId="3F0A81F5" w14:textId="77777777" w:rsidTr="002B53FC">
        <w:tc>
          <w:tcPr>
            <w:tcW w:w="9500" w:type="dxa"/>
            <w:vAlign w:val="bottom"/>
          </w:tcPr>
          <w:p w14:paraId="173B4F47" w14:textId="77777777" w:rsidR="00C264FE" w:rsidRPr="00C264FE" w:rsidRDefault="00C264FE" w:rsidP="00C264FE">
            <w:pPr>
              <w:rPr>
                <w:rFonts w:cs="Arial"/>
                <w:lang w:eastAsia="bg-BG"/>
              </w:rPr>
            </w:pPr>
            <w:r w:rsidRPr="00C264FE">
              <w:rPr>
                <w:rFonts w:cs="Arial"/>
                <w:u w:val="single"/>
                <w:lang w:eastAsia="bg-BG"/>
              </w:rPr>
              <w:t xml:space="preserve">Аеробни Грам-отрицателни микроорганизми </w:t>
            </w:r>
            <w:r w:rsidRPr="00C264FE">
              <w:rPr>
                <w:rFonts w:cs="Arial"/>
                <w:i/>
                <w:iCs/>
                <w:u w:val="single"/>
              </w:rPr>
              <w:t>Acinetobacter baumannii+</w:t>
            </w:r>
          </w:p>
          <w:p w14:paraId="595D26BE" w14:textId="77777777" w:rsidR="00C264FE" w:rsidRPr="00C264FE" w:rsidRDefault="00C264FE" w:rsidP="00C264FE">
            <w:pPr>
              <w:rPr>
                <w:rFonts w:cs="Arial"/>
                <w:lang w:eastAsia="bg-BG"/>
              </w:rPr>
            </w:pPr>
            <w:r w:rsidRPr="00C264FE">
              <w:rPr>
                <w:rFonts w:cs="Arial"/>
                <w:i/>
                <w:iCs/>
              </w:rPr>
              <w:t>Burkholderia cepacia+ *</w:t>
            </w:r>
          </w:p>
          <w:p w14:paraId="65A41998" w14:textId="77777777" w:rsidR="00C264FE" w:rsidRPr="00C264FE" w:rsidRDefault="00C264FE" w:rsidP="00C264FE">
            <w:pPr>
              <w:rPr>
                <w:rFonts w:cs="Arial"/>
                <w:lang w:eastAsia="bg-BG"/>
              </w:rPr>
            </w:pPr>
            <w:r w:rsidRPr="00C264FE">
              <w:rPr>
                <w:rFonts w:cs="Arial"/>
                <w:i/>
                <w:iCs/>
              </w:rPr>
              <w:t>Campylobacter spp. +*</w:t>
            </w:r>
          </w:p>
          <w:p w14:paraId="6376BC80" w14:textId="77777777" w:rsidR="00C264FE" w:rsidRPr="00C264FE" w:rsidRDefault="00C264FE" w:rsidP="00C264FE">
            <w:pPr>
              <w:rPr>
                <w:rFonts w:cs="Arial"/>
                <w:lang w:eastAsia="bg-BG"/>
              </w:rPr>
            </w:pPr>
            <w:r w:rsidRPr="00C264FE">
              <w:rPr>
                <w:rFonts w:cs="Arial"/>
                <w:i/>
                <w:iCs/>
              </w:rPr>
              <w:t>Citrobacter freundii*</w:t>
            </w:r>
          </w:p>
          <w:p w14:paraId="5D2A63FF" w14:textId="77777777" w:rsidR="00C264FE" w:rsidRPr="00C264FE" w:rsidRDefault="00C264FE" w:rsidP="00C264FE">
            <w:pPr>
              <w:rPr>
                <w:rFonts w:cs="Arial"/>
                <w:lang w:eastAsia="bg-BG"/>
              </w:rPr>
            </w:pPr>
            <w:r w:rsidRPr="00C264FE">
              <w:rPr>
                <w:rFonts w:cs="Arial"/>
                <w:i/>
                <w:iCs/>
              </w:rPr>
              <w:t>Enterobacter aerogenes</w:t>
            </w:r>
          </w:p>
          <w:p w14:paraId="3E4B2440" w14:textId="77777777" w:rsidR="00C264FE" w:rsidRPr="00C264FE" w:rsidRDefault="00C264FE" w:rsidP="00C264FE">
            <w:pPr>
              <w:rPr>
                <w:rFonts w:cs="Arial"/>
                <w:lang w:eastAsia="bg-BG"/>
              </w:rPr>
            </w:pPr>
            <w:r w:rsidRPr="00C264FE">
              <w:rPr>
                <w:rFonts w:cs="Arial"/>
                <w:i/>
                <w:iCs/>
              </w:rPr>
              <w:t>Enterobacter cloacae *</w:t>
            </w:r>
          </w:p>
          <w:p w14:paraId="63BA7354" w14:textId="77777777" w:rsidR="00C264FE" w:rsidRPr="00C264FE" w:rsidRDefault="00C264FE" w:rsidP="00C264FE">
            <w:pPr>
              <w:rPr>
                <w:rFonts w:cs="Arial"/>
                <w:lang w:eastAsia="bg-BG"/>
              </w:rPr>
            </w:pPr>
            <w:r w:rsidRPr="00C264FE">
              <w:rPr>
                <w:rFonts w:cs="Arial"/>
                <w:i/>
                <w:iCs/>
              </w:rPr>
              <w:t>Escherichia coli*</w:t>
            </w:r>
          </w:p>
          <w:p w14:paraId="02E753AE" w14:textId="77777777" w:rsidR="00C264FE" w:rsidRPr="00C264FE" w:rsidRDefault="00C264FE" w:rsidP="00C264FE">
            <w:pPr>
              <w:rPr>
                <w:rFonts w:cs="Arial"/>
                <w:lang w:eastAsia="bg-BG"/>
              </w:rPr>
            </w:pPr>
            <w:r w:rsidRPr="00C264FE">
              <w:rPr>
                <w:rFonts w:cs="Arial"/>
                <w:i/>
                <w:iCs/>
              </w:rPr>
              <w:t>Klebsiella oxytoca</w:t>
            </w:r>
          </w:p>
          <w:p w14:paraId="7F81FED7" w14:textId="77777777" w:rsidR="00C264FE" w:rsidRPr="00C264FE" w:rsidRDefault="00C264FE" w:rsidP="00C264FE">
            <w:pPr>
              <w:rPr>
                <w:rFonts w:cs="Arial"/>
                <w:lang w:eastAsia="bg-BG"/>
              </w:rPr>
            </w:pPr>
            <w:r w:rsidRPr="00C264FE">
              <w:rPr>
                <w:rFonts w:cs="Arial"/>
                <w:i/>
                <w:iCs/>
              </w:rPr>
              <w:t>Klebsiella pneumoniae *</w:t>
            </w:r>
          </w:p>
          <w:p w14:paraId="391A8CFF" w14:textId="77777777" w:rsidR="00C264FE" w:rsidRPr="00C264FE" w:rsidRDefault="00C264FE" w:rsidP="00C264FE">
            <w:pPr>
              <w:rPr>
                <w:rFonts w:cs="Arial"/>
                <w:lang w:eastAsia="bg-BG"/>
              </w:rPr>
            </w:pPr>
            <w:r w:rsidRPr="00C264FE">
              <w:rPr>
                <w:rFonts w:cs="Arial"/>
                <w:i/>
                <w:iCs/>
              </w:rPr>
              <w:t>Morganella morganii*</w:t>
            </w:r>
          </w:p>
          <w:p w14:paraId="4A9FEC07" w14:textId="77777777" w:rsidR="00C264FE" w:rsidRPr="00C264FE" w:rsidRDefault="00C264FE" w:rsidP="00C264FE">
            <w:pPr>
              <w:rPr>
                <w:rFonts w:cs="Arial"/>
                <w:lang w:eastAsia="bg-BG"/>
              </w:rPr>
            </w:pPr>
            <w:r w:rsidRPr="00C264FE">
              <w:rPr>
                <w:rFonts w:cs="Arial"/>
                <w:i/>
                <w:iCs/>
              </w:rPr>
              <w:t>Neisseria gonorrhoeae *</w:t>
            </w:r>
          </w:p>
          <w:p w14:paraId="742E96C4" w14:textId="77777777" w:rsidR="00C264FE" w:rsidRPr="00C264FE" w:rsidRDefault="00C264FE" w:rsidP="00C264FE">
            <w:pPr>
              <w:rPr>
                <w:rFonts w:cs="Arial"/>
                <w:lang w:eastAsia="bg-BG"/>
              </w:rPr>
            </w:pPr>
            <w:r w:rsidRPr="00C264FE">
              <w:rPr>
                <w:rFonts w:cs="Arial"/>
                <w:i/>
                <w:iCs/>
              </w:rPr>
              <w:t>Proteus mirabilis*</w:t>
            </w:r>
          </w:p>
          <w:p w14:paraId="3A5ACF52" w14:textId="77777777" w:rsidR="00C264FE" w:rsidRPr="00C264FE" w:rsidRDefault="00C264FE" w:rsidP="00C264FE">
            <w:pPr>
              <w:rPr>
                <w:rFonts w:cs="Arial"/>
                <w:lang w:eastAsia="bg-BG"/>
              </w:rPr>
            </w:pPr>
            <w:r w:rsidRPr="00C264FE">
              <w:rPr>
                <w:rFonts w:cs="Arial"/>
                <w:i/>
                <w:iCs/>
              </w:rPr>
              <w:t>Proteus vulgaris*</w:t>
            </w:r>
          </w:p>
          <w:p w14:paraId="48D048D7" w14:textId="77777777" w:rsidR="00C264FE" w:rsidRPr="00C264FE" w:rsidRDefault="00C264FE" w:rsidP="00C264FE">
            <w:pPr>
              <w:rPr>
                <w:rFonts w:cs="Arial"/>
                <w:lang w:eastAsia="bg-BG"/>
              </w:rPr>
            </w:pPr>
            <w:r w:rsidRPr="00C264FE">
              <w:rPr>
                <w:rFonts w:cs="Arial"/>
                <w:i/>
                <w:iCs/>
              </w:rPr>
              <w:t>Providencia spp.</w:t>
            </w:r>
          </w:p>
          <w:p w14:paraId="798747F4" w14:textId="77777777" w:rsidR="00C264FE" w:rsidRPr="00C264FE" w:rsidRDefault="00C264FE" w:rsidP="00C264FE">
            <w:pPr>
              <w:rPr>
                <w:rFonts w:cs="Arial"/>
                <w:lang w:eastAsia="bg-BG"/>
              </w:rPr>
            </w:pPr>
            <w:r w:rsidRPr="00C264FE">
              <w:rPr>
                <w:rFonts w:cs="Arial"/>
                <w:i/>
                <w:iCs/>
              </w:rPr>
              <w:t>Pseudomonas aeruginosa*</w:t>
            </w:r>
          </w:p>
          <w:p w14:paraId="55E05267" w14:textId="77777777" w:rsidR="00C264FE" w:rsidRPr="00C264FE" w:rsidRDefault="00C264FE" w:rsidP="00C264FE">
            <w:pPr>
              <w:rPr>
                <w:rFonts w:cs="Arial"/>
                <w:lang w:eastAsia="bg-BG"/>
              </w:rPr>
            </w:pPr>
            <w:r w:rsidRPr="00C264FE">
              <w:rPr>
                <w:rFonts w:cs="Arial"/>
                <w:i/>
                <w:iCs/>
              </w:rPr>
              <w:t>Pseudomonas fluorescens</w:t>
            </w:r>
          </w:p>
          <w:p w14:paraId="4C3C4406" w14:textId="19C60F83" w:rsidR="00C264FE" w:rsidRPr="00C264FE" w:rsidRDefault="00C264FE" w:rsidP="00C264FE">
            <w:pPr>
              <w:rPr>
                <w:rFonts w:cs="Arial"/>
              </w:rPr>
            </w:pPr>
            <w:r w:rsidRPr="00C264FE">
              <w:rPr>
                <w:rFonts w:cs="Arial"/>
                <w:i/>
                <w:iCs/>
              </w:rPr>
              <w:t>Serratia marcescens*</w:t>
            </w:r>
          </w:p>
        </w:tc>
      </w:tr>
      <w:tr w:rsidR="00C264FE" w14:paraId="54954576" w14:textId="77777777" w:rsidTr="002E0C85">
        <w:tc>
          <w:tcPr>
            <w:tcW w:w="9500" w:type="dxa"/>
            <w:vAlign w:val="bottom"/>
          </w:tcPr>
          <w:p w14:paraId="374BDA99" w14:textId="77777777" w:rsidR="00C264FE" w:rsidRPr="00C264FE" w:rsidRDefault="00C264FE" w:rsidP="00C264FE">
            <w:pPr>
              <w:rPr>
                <w:rFonts w:cs="Arial"/>
                <w:u w:val="single"/>
              </w:rPr>
            </w:pPr>
            <w:r w:rsidRPr="00C264FE">
              <w:rPr>
                <w:rFonts w:cs="Arial"/>
                <w:u w:val="single"/>
              </w:rPr>
              <w:t xml:space="preserve">Анаеробни микроорганизми </w:t>
            </w:r>
          </w:p>
          <w:p w14:paraId="53DF1BAB" w14:textId="77777777" w:rsidR="00C264FE" w:rsidRPr="00C264FE" w:rsidRDefault="00C264FE" w:rsidP="00C264FE">
            <w:pPr>
              <w:rPr>
                <w:rFonts w:cs="Arial"/>
                <w:i/>
                <w:iCs/>
                <w:lang w:val="en-US"/>
              </w:rPr>
            </w:pPr>
            <w:proofErr w:type="spellStart"/>
            <w:r w:rsidRPr="00C264FE">
              <w:rPr>
                <w:rFonts w:cs="Arial"/>
                <w:i/>
                <w:iCs/>
                <w:lang w:val="en-US"/>
              </w:rPr>
              <w:t>Peptostreptococcus</w:t>
            </w:r>
            <w:proofErr w:type="spellEnd"/>
            <w:r w:rsidRPr="00C264FE">
              <w:rPr>
                <w:rFonts w:cs="Arial"/>
                <w:i/>
                <w:iCs/>
                <w:lang w:val="en-US"/>
              </w:rPr>
              <w:t xml:space="preserve"> spp. </w:t>
            </w:r>
          </w:p>
          <w:p w14:paraId="11285D70" w14:textId="740DE38A" w:rsidR="00C264FE" w:rsidRPr="00C264FE" w:rsidRDefault="00C264FE" w:rsidP="00C264FE">
            <w:pPr>
              <w:rPr>
                <w:rFonts w:cs="Arial"/>
              </w:rPr>
            </w:pPr>
            <w:proofErr w:type="spellStart"/>
            <w:r w:rsidRPr="00C264FE">
              <w:rPr>
                <w:rFonts w:cs="Arial"/>
                <w:i/>
                <w:iCs/>
                <w:lang w:val="en-US"/>
              </w:rPr>
              <w:t>Propionibacterium</w:t>
            </w:r>
            <w:proofErr w:type="spellEnd"/>
            <w:r w:rsidRPr="00C264FE">
              <w:rPr>
                <w:rFonts w:cs="Arial"/>
                <w:i/>
                <w:iCs/>
                <w:lang w:val="en-US"/>
              </w:rPr>
              <w:t xml:space="preserve"> acnes</w:t>
            </w:r>
          </w:p>
        </w:tc>
      </w:tr>
      <w:tr w:rsidR="00C264FE" w14:paraId="1887846A" w14:textId="77777777" w:rsidTr="002E0C85">
        <w:tc>
          <w:tcPr>
            <w:tcW w:w="9500" w:type="dxa"/>
            <w:vAlign w:val="bottom"/>
          </w:tcPr>
          <w:p w14:paraId="7D96AD69" w14:textId="532A4FBF" w:rsidR="00C264FE" w:rsidRPr="00C264FE" w:rsidRDefault="00C264FE" w:rsidP="00C264FE">
            <w:pPr>
              <w:rPr>
                <w:rFonts w:cs="Arial"/>
              </w:rPr>
            </w:pPr>
            <w:r w:rsidRPr="00C264FE">
              <w:rPr>
                <w:rFonts w:cs="Arial"/>
                <w:b/>
                <w:bCs/>
              </w:rPr>
              <w:t>ДОКАЗАНО-РЕЗИСТЕНТНИ МИКРООРГАНИЗМИ</w:t>
            </w:r>
          </w:p>
        </w:tc>
      </w:tr>
      <w:tr w:rsidR="00C264FE" w14:paraId="01CBE956" w14:textId="77777777" w:rsidTr="002E0C85">
        <w:tc>
          <w:tcPr>
            <w:tcW w:w="9500" w:type="dxa"/>
            <w:vAlign w:val="bottom"/>
          </w:tcPr>
          <w:p w14:paraId="194243C2" w14:textId="77777777" w:rsidR="00C264FE" w:rsidRPr="00C264FE" w:rsidRDefault="00C264FE" w:rsidP="00C264FE">
            <w:pPr>
              <w:rPr>
                <w:rFonts w:cs="Arial"/>
              </w:rPr>
            </w:pPr>
            <w:r w:rsidRPr="00C264FE">
              <w:rPr>
                <w:rFonts w:cs="Arial"/>
                <w:u w:val="single"/>
              </w:rPr>
              <w:t>Аеробни Грам-положителни микроорганизми</w:t>
            </w:r>
          </w:p>
          <w:p w14:paraId="1E2E1623" w14:textId="77777777" w:rsidR="00C264FE" w:rsidRPr="00C264FE" w:rsidRDefault="00C264FE" w:rsidP="00C264FE">
            <w:pPr>
              <w:rPr>
                <w:rFonts w:cs="Arial"/>
              </w:rPr>
            </w:pPr>
            <w:proofErr w:type="spellStart"/>
            <w:r w:rsidRPr="00C264FE">
              <w:rPr>
                <w:rFonts w:cs="Arial"/>
                <w:i/>
                <w:iCs/>
                <w:lang w:val="en-US"/>
              </w:rPr>
              <w:t>Actinomyces</w:t>
            </w:r>
            <w:proofErr w:type="spellEnd"/>
          </w:p>
          <w:p w14:paraId="6913FA14" w14:textId="77777777" w:rsidR="00C264FE" w:rsidRPr="00C264FE" w:rsidRDefault="00C264FE" w:rsidP="00C264FE">
            <w:pPr>
              <w:rPr>
                <w:rFonts w:cs="Arial"/>
              </w:rPr>
            </w:pPr>
            <w:proofErr w:type="spellStart"/>
            <w:r w:rsidRPr="00C264FE">
              <w:rPr>
                <w:rFonts w:cs="Arial"/>
                <w:i/>
                <w:iCs/>
                <w:lang w:val="en-US"/>
              </w:rPr>
              <w:t>Enteroccus</w:t>
            </w:r>
            <w:proofErr w:type="spellEnd"/>
            <w:r w:rsidRPr="00C264FE">
              <w:rPr>
                <w:rFonts w:cs="Arial"/>
                <w:i/>
                <w:iCs/>
                <w:lang w:val="en-US"/>
              </w:rPr>
              <w:t xml:space="preserve"> </w:t>
            </w:r>
            <w:proofErr w:type="spellStart"/>
            <w:r w:rsidRPr="00C264FE">
              <w:rPr>
                <w:rFonts w:cs="Arial"/>
                <w:i/>
                <w:iCs/>
                <w:lang w:val="en-US"/>
              </w:rPr>
              <w:t>faecium</w:t>
            </w:r>
            <w:proofErr w:type="spellEnd"/>
          </w:p>
          <w:p w14:paraId="21EFA64F" w14:textId="3E6DC867" w:rsidR="00C264FE" w:rsidRPr="00C264FE" w:rsidRDefault="00C264FE" w:rsidP="00C264FE">
            <w:pPr>
              <w:rPr>
                <w:rFonts w:cs="Arial"/>
              </w:rPr>
            </w:pPr>
            <w:r w:rsidRPr="00C264FE">
              <w:rPr>
                <w:rFonts w:cs="Arial"/>
                <w:i/>
                <w:iCs/>
                <w:lang w:val="en-US"/>
              </w:rPr>
              <w:t xml:space="preserve">Listeria </w:t>
            </w:r>
            <w:proofErr w:type="spellStart"/>
            <w:r w:rsidRPr="00C264FE">
              <w:rPr>
                <w:rFonts w:cs="Arial"/>
                <w:i/>
                <w:iCs/>
                <w:lang w:val="en-US"/>
              </w:rPr>
              <w:t>monocytogenes</w:t>
            </w:r>
            <w:proofErr w:type="spellEnd"/>
          </w:p>
        </w:tc>
      </w:tr>
      <w:tr w:rsidR="00C264FE" w14:paraId="0D0A3A2C" w14:textId="77777777" w:rsidTr="002E0C85">
        <w:tc>
          <w:tcPr>
            <w:tcW w:w="9500" w:type="dxa"/>
            <w:vAlign w:val="bottom"/>
          </w:tcPr>
          <w:p w14:paraId="664DBF3E" w14:textId="77777777" w:rsidR="00C264FE" w:rsidRPr="00C264FE" w:rsidRDefault="00C264FE" w:rsidP="00C264FE">
            <w:pPr>
              <w:rPr>
                <w:rFonts w:cs="Arial"/>
                <w:u w:val="single"/>
              </w:rPr>
            </w:pPr>
            <w:r w:rsidRPr="00C264FE">
              <w:rPr>
                <w:rFonts w:cs="Arial"/>
                <w:u w:val="single"/>
              </w:rPr>
              <w:t xml:space="preserve">Аеробни Грам-отрицателни микроорганизми </w:t>
            </w:r>
          </w:p>
          <w:p w14:paraId="06C34A68" w14:textId="313556C0" w:rsidR="00C264FE" w:rsidRPr="00C264FE" w:rsidRDefault="00C264FE" w:rsidP="00C264FE">
            <w:pPr>
              <w:rPr>
                <w:rFonts w:cs="Arial"/>
              </w:rPr>
            </w:pPr>
            <w:proofErr w:type="spellStart"/>
            <w:r w:rsidRPr="00C264FE">
              <w:rPr>
                <w:rFonts w:cs="Arial"/>
                <w:i/>
                <w:iCs/>
                <w:lang w:val="en-US"/>
              </w:rPr>
              <w:t>Stenotrophomonas</w:t>
            </w:r>
            <w:proofErr w:type="spellEnd"/>
            <w:r w:rsidRPr="00C264FE">
              <w:rPr>
                <w:rFonts w:cs="Arial"/>
                <w:i/>
                <w:iCs/>
                <w:lang w:val="en-US"/>
              </w:rPr>
              <w:t xml:space="preserve"> </w:t>
            </w:r>
            <w:proofErr w:type="spellStart"/>
            <w:r w:rsidRPr="00C264FE">
              <w:rPr>
                <w:rFonts w:cs="Arial"/>
                <w:i/>
                <w:iCs/>
                <w:lang w:val="en-US"/>
              </w:rPr>
              <w:t>maltophilia</w:t>
            </w:r>
            <w:proofErr w:type="spellEnd"/>
          </w:p>
        </w:tc>
      </w:tr>
      <w:tr w:rsidR="00C264FE" w14:paraId="612CAA3F" w14:textId="77777777" w:rsidTr="002E0C85">
        <w:tc>
          <w:tcPr>
            <w:tcW w:w="9500" w:type="dxa"/>
            <w:vAlign w:val="bottom"/>
          </w:tcPr>
          <w:p w14:paraId="6EF38F52" w14:textId="77777777" w:rsidR="00C264FE" w:rsidRPr="00C264FE" w:rsidRDefault="00C264FE" w:rsidP="00C264FE">
            <w:pPr>
              <w:rPr>
                <w:rFonts w:cs="Arial"/>
              </w:rPr>
            </w:pPr>
            <w:r w:rsidRPr="00C264FE">
              <w:rPr>
                <w:rFonts w:cs="Arial"/>
                <w:u w:val="single"/>
              </w:rPr>
              <w:t>Анаеробни микроорганизми</w:t>
            </w:r>
          </w:p>
          <w:p w14:paraId="5C6671E8" w14:textId="10CE2A6A" w:rsidR="00C264FE" w:rsidRPr="00C264FE" w:rsidRDefault="00C264FE" w:rsidP="00C264FE">
            <w:pPr>
              <w:rPr>
                <w:rFonts w:cs="Arial"/>
              </w:rPr>
            </w:pPr>
            <w:r w:rsidRPr="00C264FE">
              <w:rPr>
                <w:rFonts w:cs="Arial"/>
                <w:i/>
                <w:iCs/>
                <w:lang w:val="en-US"/>
              </w:rPr>
              <w:t xml:space="preserve">C </w:t>
            </w:r>
            <w:r w:rsidRPr="00C264FE">
              <w:rPr>
                <w:rFonts w:cs="Arial"/>
                <w:i/>
                <w:iCs/>
              </w:rPr>
              <w:t>изключение на написаните по-горе</w:t>
            </w:r>
          </w:p>
        </w:tc>
      </w:tr>
      <w:tr w:rsidR="00C264FE" w14:paraId="616B9838" w14:textId="77777777" w:rsidTr="002E0C85">
        <w:tc>
          <w:tcPr>
            <w:tcW w:w="9500" w:type="dxa"/>
            <w:vAlign w:val="bottom"/>
          </w:tcPr>
          <w:p w14:paraId="503DCE18" w14:textId="77777777" w:rsidR="00C264FE" w:rsidRPr="00C264FE" w:rsidRDefault="00C264FE" w:rsidP="00C264FE">
            <w:pPr>
              <w:rPr>
                <w:rFonts w:cs="Arial"/>
              </w:rPr>
            </w:pPr>
            <w:r w:rsidRPr="00C264FE">
              <w:rPr>
                <w:rFonts w:cs="Arial"/>
                <w:u w:val="single"/>
              </w:rPr>
              <w:t>Други микроорганизми</w:t>
            </w:r>
          </w:p>
          <w:p w14:paraId="6E18414A" w14:textId="77777777" w:rsidR="00C264FE" w:rsidRPr="00C264FE" w:rsidRDefault="00C264FE" w:rsidP="00C264FE">
            <w:pPr>
              <w:rPr>
                <w:rFonts w:cs="Arial"/>
              </w:rPr>
            </w:pPr>
            <w:r w:rsidRPr="00C264FE">
              <w:rPr>
                <w:rFonts w:cs="Arial"/>
                <w:i/>
                <w:iCs/>
                <w:lang w:val="en-US"/>
              </w:rPr>
              <w:t>Mycoplasma</w:t>
            </w:r>
          </w:p>
          <w:p w14:paraId="098C2B73" w14:textId="338D942B" w:rsidR="00C264FE" w:rsidRPr="00C264FE" w:rsidRDefault="00C264FE" w:rsidP="00C264FE">
            <w:pPr>
              <w:rPr>
                <w:rFonts w:cs="Arial"/>
              </w:rPr>
            </w:pPr>
            <w:proofErr w:type="spellStart"/>
            <w:r w:rsidRPr="00C264FE">
              <w:rPr>
                <w:rFonts w:cs="Arial"/>
                <w:i/>
                <w:iCs/>
                <w:lang w:val="en-US"/>
              </w:rPr>
              <w:t>Ureaplasma</w:t>
            </w:r>
            <w:proofErr w:type="spellEnd"/>
            <w:r w:rsidRPr="00C264FE">
              <w:rPr>
                <w:rFonts w:cs="Arial"/>
                <w:i/>
                <w:iCs/>
                <w:lang w:val="en-US"/>
              </w:rPr>
              <w:t xml:space="preserve"> </w:t>
            </w:r>
            <w:proofErr w:type="spellStart"/>
            <w:r w:rsidRPr="00C264FE">
              <w:rPr>
                <w:rFonts w:cs="Arial"/>
                <w:i/>
                <w:iCs/>
                <w:lang w:val="en-US"/>
              </w:rPr>
              <w:t>urealitycum</w:t>
            </w:r>
            <w:proofErr w:type="spellEnd"/>
          </w:p>
        </w:tc>
      </w:tr>
      <w:tr w:rsidR="00C264FE" w14:paraId="6D613E5D" w14:textId="77777777" w:rsidTr="00C264FE">
        <w:tc>
          <w:tcPr>
            <w:tcW w:w="9500" w:type="dxa"/>
          </w:tcPr>
          <w:p w14:paraId="13183BF6" w14:textId="77777777"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 Клиничната ефикасност е доказана за чувствителните изолати при установени клинични показания</w:t>
            </w:r>
          </w:p>
          <w:p w14:paraId="23C0F535" w14:textId="77777777"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 xml:space="preserve">+ Честота на резистентност ≥ 50% в една или повече страни-членки на </w:t>
            </w:r>
            <w:r w:rsidRPr="00C264FE">
              <w:rPr>
                <w:rFonts w:eastAsia="Times New Roman" w:cs="Arial"/>
                <w:color w:val="000000"/>
                <w:lang w:val="en-US"/>
              </w:rPr>
              <w:t>EC</w:t>
            </w:r>
          </w:p>
          <w:p w14:paraId="3C8BA581" w14:textId="77777777"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 Естествена междинна чувствителност при отсъствие на придобити механизми на резистентност</w:t>
            </w:r>
          </w:p>
          <w:p w14:paraId="545928FE" w14:textId="77777777" w:rsidR="00C264FE" w:rsidRPr="00C264FE" w:rsidRDefault="00C264FE" w:rsidP="00C264FE">
            <w:pPr>
              <w:spacing w:line="240" w:lineRule="auto"/>
              <w:rPr>
                <w:rFonts w:eastAsia="Times New Roman" w:cs="Arial"/>
                <w:lang w:eastAsia="bg-BG"/>
              </w:rPr>
            </w:pPr>
            <w:r w:rsidRPr="00C264FE">
              <w:rPr>
                <w:rFonts w:eastAsia="Times New Roman" w:cs="Arial"/>
                <w:color w:val="000000"/>
                <w:lang w:eastAsia="bg-BG"/>
              </w:rPr>
              <w:t>(1): Проучванията са проведени при експериментално предизвикани инфекции при-</w:t>
            </w:r>
          </w:p>
          <w:p w14:paraId="2C172E19" w14:textId="77777777" w:rsidR="00C264FE" w:rsidRPr="00C264FE" w:rsidRDefault="00C264FE" w:rsidP="00C264FE">
            <w:pPr>
              <w:rPr>
                <w:rFonts w:eastAsia="Times New Roman" w:cs="Arial"/>
                <w:lang w:eastAsia="bg-BG"/>
              </w:rPr>
            </w:pPr>
            <w:r w:rsidRPr="00C264FE">
              <w:rPr>
                <w:rFonts w:eastAsia="Times New Roman" w:cs="Arial"/>
                <w:color w:val="000000"/>
                <w:lang w:eastAsia="bg-BG"/>
              </w:rPr>
              <w:t xml:space="preserve">животни чрез инхалиране на спори на </w:t>
            </w:r>
            <w:r w:rsidRPr="00C264FE">
              <w:rPr>
                <w:rFonts w:eastAsia="Times New Roman" w:cs="Arial"/>
                <w:i/>
                <w:iCs/>
                <w:color w:val="000000"/>
                <w:lang w:val="en-US"/>
              </w:rPr>
              <w:t xml:space="preserve">Bacillus </w:t>
            </w:r>
            <w:proofErr w:type="spellStart"/>
            <w:r w:rsidRPr="00C264FE">
              <w:rPr>
                <w:rFonts w:eastAsia="Times New Roman" w:cs="Arial"/>
                <w:i/>
                <w:iCs/>
                <w:color w:val="000000"/>
                <w:lang w:val="en-US"/>
              </w:rPr>
              <w:t>anthracis</w:t>
            </w:r>
            <w:proofErr w:type="spellEnd"/>
            <w:r w:rsidRPr="00C264FE">
              <w:rPr>
                <w:rFonts w:eastAsia="Times New Roman" w:cs="Arial"/>
                <w:i/>
                <w:iCs/>
                <w:color w:val="000000"/>
                <w:lang w:val="en-US"/>
              </w:rPr>
              <w:t>;</w:t>
            </w:r>
            <w:r w:rsidRPr="00C264FE">
              <w:rPr>
                <w:rFonts w:eastAsia="Times New Roman" w:cs="Arial"/>
                <w:color w:val="000000"/>
                <w:lang w:val="en-US"/>
              </w:rPr>
              <w:t xml:space="preserve"> </w:t>
            </w:r>
            <w:r w:rsidRPr="00C264FE">
              <w:rPr>
                <w:rFonts w:eastAsia="Times New Roman" w:cs="Arial"/>
                <w:color w:val="000000"/>
                <w:lang w:eastAsia="bg-BG"/>
              </w:rPr>
              <w:t xml:space="preserve">тези проучвания показват, че започването на антибиотичното лечение скоро след експозицията предпазва от появата на заболяването, ако лечението е било насочено към намаляване броя на спорите в </w:t>
            </w:r>
            <w:r w:rsidRPr="00C264FE">
              <w:rPr>
                <w:rFonts w:eastAsia="Times New Roman" w:cs="Arial"/>
                <w:color w:val="000000"/>
                <w:lang w:eastAsia="bg-BG"/>
              </w:rPr>
              <w:lastRenderedPageBreak/>
              <w:t xml:space="preserve">организма под инфекциозната доза. Препоръчваното използване при хора се основава предимно на </w:t>
            </w:r>
            <w:r w:rsidRPr="00C264FE">
              <w:rPr>
                <w:rFonts w:eastAsia="Times New Roman" w:cs="Arial"/>
                <w:i/>
                <w:iCs/>
                <w:color w:val="000000"/>
                <w:lang w:val="en-US"/>
              </w:rPr>
              <w:t>in vitro</w:t>
            </w:r>
            <w:r w:rsidRPr="00C264FE">
              <w:rPr>
                <w:rFonts w:eastAsia="Times New Roman" w:cs="Arial"/>
                <w:color w:val="000000"/>
                <w:lang w:val="en-US"/>
              </w:rPr>
              <w:t xml:space="preserve"> </w:t>
            </w:r>
            <w:r w:rsidRPr="00C264FE">
              <w:rPr>
                <w:rFonts w:eastAsia="Times New Roman" w:cs="Arial"/>
                <w:color w:val="000000"/>
                <w:lang w:eastAsia="bg-BG"/>
              </w:rPr>
              <w:t xml:space="preserve">чувствителността и на експерименталните данни при животни, заедно с ограничените данни при хора. Приема се, че при възрастни двумесечният курс на лечение с перорален ципрофлоксацин в доза 500 </w:t>
            </w:r>
            <w:r w:rsidRPr="00C264FE">
              <w:rPr>
                <w:rFonts w:eastAsia="Times New Roman" w:cs="Arial"/>
                <w:color w:val="000000"/>
                <w:lang w:val="en-US"/>
              </w:rPr>
              <w:t xml:space="preserve">mg </w:t>
            </w:r>
            <w:r w:rsidRPr="00C264FE">
              <w:rPr>
                <w:rFonts w:eastAsia="Times New Roman" w:cs="Arial"/>
                <w:color w:val="000000"/>
                <w:lang w:eastAsia="bg-BG"/>
              </w:rPr>
              <w:t>2 пъти на ден е ефикасен за предпазване от антраксна инфекция при хора. Лекуващите лекари трябва да направят справка с националните и/или международните консенсусни документи по отношение лечението на антракс.</w:t>
            </w:r>
          </w:p>
          <w:p w14:paraId="77BB7415" w14:textId="10504136" w:rsidR="00C264FE" w:rsidRPr="00C264FE" w:rsidRDefault="00C264FE" w:rsidP="00C264FE">
            <w:pPr>
              <w:rPr>
                <w:rFonts w:cs="Arial"/>
              </w:rPr>
            </w:pPr>
            <w:r w:rsidRPr="00C264FE">
              <w:rPr>
                <w:rFonts w:eastAsia="Times New Roman" w:cs="Arial"/>
                <w:color w:val="000000"/>
                <w:lang w:eastAsia="bg-BG"/>
              </w:rPr>
              <w:t xml:space="preserve">(2): Метицилин-резистентният </w:t>
            </w:r>
            <w:r w:rsidRPr="00C264FE">
              <w:rPr>
                <w:rFonts w:eastAsia="Times New Roman" w:cs="Arial"/>
                <w:color w:val="000000"/>
                <w:lang w:val="en-US"/>
              </w:rPr>
              <w:t xml:space="preserve">S. </w:t>
            </w:r>
            <w:proofErr w:type="gramStart"/>
            <w:r w:rsidRPr="00C264FE">
              <w:rPr>
                <w:rFonts w:eastAsia="Times New Roman" w:cs="Arial"/>
                <w:i/>
                <w:iCs/>
                <w:color w:val="000000"/>
                <w:lang w:val="en-US"/>
              </w:rPr>
              <w:t>aureus</w:t>
            </w:r>
            <w:proofErr w:type="gramEnd"/>
            <w:r w:rsidRPr="00C264FE">
              <w:rPr>
                <w:rFonts w:eastAsia="Times New Roman" w:cs="Arial"/>
                <w:color w:val="000000"/>
                <w:lang w:val="en-US"/>
              </w:rPr>
              <w:t xml:space="preserve"> </w:t>
            </w:r>
            <w:r w:rsidRPr="00C264FE">
              <w:rPr>
                <w:rFonts w:eastAsia="Times New Roman" w:cs="Arial"/>
                <w:color w:val="000000"/>
                <w:lang w:eastAsia="bg-BG"/>
              </w:rPr>
              <w:t>много често експресира едновременна резистентност към флуорохинолони. Честотата на резистентност към метицилин е около 20 до 50% сред всички видове стафилококи и е обикновено по-висока при нозокомиалните изолати.</w:t>
            </w:r>
          </w:p>
        </w:tc>
      </w:tr>
    </w:tbl>
    <w:p w14:paraId="7F8B4FBC" w14:textId="21E7D961" w:rsidR="00C264FE" w:rsidRPr="0091385D" w:rsidRDefault="00C264FE"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663ED585" w14:textId="77777777" w:rsidR="00C264FE" w:rsidRPr="00C264FE" w:rsidRDefault="00C264FE" w:rsidP="00C264FE">
      <w:pPr>
        <w:pStyle w:val="Heading3"/>
        <w:rPr>
          <w:rFonts w:eastAsia="Times New Roman"/>
          <w:u w:val="single"/>
          <w:lang w:eastAsia="bg-BG"/>
        </w:rPr>
      </w:pPr>
      <w:r w:rsidRPr="00C264FE">
        <w:rPr>
          <w:rFonts w:eastAsia="Times New Roman"/>
          <w:u w:val="single"/>
          <w:lang w:eastAsia="bg-BG"/>
        </w:rPr>
        <w:t>Абсорбиия</w:t>
      </w:r>
    </w:p>
    <w:p w14:paraId="139244BB"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 xml:space="preserve">След перорално приложение на еднократни дози от 250 </w:t>
      </w:r>
      <w:r w:rsidRPr="00C264FE">
        <w:rPr>
          <w:rFonts w:eastAsia="Times New Roman" w:cs="Arial"/>
          <w:color w:val="000000"/>
          <w:lang w:val="en-US"/>
        </w:rPr>
        <w:t xml:space="preserve">mg, </w:t>
      </w:r>
      <w:r w:rsidRPr="00C264FE">
        <w:rPr>
          <w:rFonts w:eastAsia="Times New Roman" w:cs="Arial"/>
          <w:color w:val="000000"/>
          <w:lang w:eastAsia="bg-BG"/>
        </w:rPr>
        <w:t xml:space="preserve">500 </w:t>
      </w:r>
      <w:r w:rsidRPr="00C264FE">
        <w:rPr>
          <w:rFonts w:eastAsia="Times New Roman" w:cs="Arial"/>
          <w:color w:val="000000"/>
          <w:lang w:val="en-US"/>
        </w:rPr>
        <w:t xml:space="preserve">mg </w:t>
      </w:r>
      <w:r w:rsidRPr="00C264FE">
        <w:rPr>
          <w:rFonts w:eastAsia="Times New Roman" w:cs="Arial"/>
          <w:color w:val="000000"/>
          <w:lang w:eastAsia="bg-BG"/>
        </w:rPr>
        <w:t xml:space="preserve">и 750 </w:t>
      </w:r>
      <w:r w:rsidRPr="00C264FE">
        <w:rPr>
          <w:rFonts w:eastAsia="Times New Roman" w:cs="Arial"/>
          <w:color w:val="000000"/>
          <w:lang w:val="en-US"/>
        </w:rPr>
        <w:t xml:space="preserve">mg </w:t>
      </w:r>
      <w:r w:rsidRPr="00C264FE">
        <w:rPr>
          <w:rFonts w:eastAsia="Times New Roman" w:cs="Arial"/>
          <w:color w:val="000000"/>
          <w:lang w:eastAsia="bg-BG"/>
        </w:rPr>
        <w:t>таблетки, ципрофлоксацин се резорбира бързо и в голяма степен и основно в тънкото черво, като достига максимални серумни концентрации след 1-2 часа.</w:t>
      </w:r>
    </w:p>
    <w:p w14:paraId="6D63859C"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 xml:space="preserve">Еднократните дози в интервала 100-750 </w:t>
      </w:r>
      <w:r w:rsidRPr="00C264FE">
        <w:rPr>
          <w:rFonts w:eastAsia="Times New Roman" w:cs="Arial"/>
          <w:color w:val="000000"/>
          <w:lang w:val="en-US"/>
        </w:rPr>
        <w:t xml:space="preserve">mg </w:t>
      </w:r>
      <w:r w:rsidRPr="00C264FE">
        <w:rPr>
          <w:rFonts w:eastAsia="Times New Roman" w:cs="Arial"/>
          <w:color w:val="000000"/>
          <w:lang w:eastAsia="bg-BG"/>
        </w:rPr>
        <w:t>водят до зависими от дозата максимални серумни концентрации (С</w:t>
      </w:r>
      <w:r w:rsidRPr="00C264FE">
        <w:rPr>
          <w:rFonts w:eastAsia="Times New Roman" w:cs="Arial"/>
          <w:color w:val="000000"/>
          <w:lang w:val="en-US"/>
        </w:rPr>
        <w:t>m</w:t>
      </w:r>
      <w:r w:rsidRPr="00C264FE">
        <w:rPr>
          <w:rFonts w:eastAsia="Times New Roman" w:cs="Arial"/>
          <w:color w:val="000000"/>
          <w:lang w:eastAsia="bg-BG"/>
        </w:rPr>
        <w:t xml:space="preserve">ах) между 0,56 и 3,7 </w:t>
      </w:r>
      <w:r w:rsidRPr="00C264FE">
        <w:rPr>
          <w:rFonts w:eastAsia="Times New Roman" w:cs="Arial"/>
          <w:color w:val="000000"/>
          <w:lang w:val="en-US"/>
        </w:rPr>
        <w:t xml:space="preserve">mg/l. </w:t>
      </w:r>
      <w:r w:rsidRPr="00C264FE">
        <w:rPr>
          <w:rFonts w:eastAsia="Times New Roman" w:cs="Arial"/>
          <w:color w:val="000000"/>
          <w:lang w:eastAsia="bg-BG"/>
        </w:rPr>
        <w:t xml:space="preserve">Серумните концентрации нарастват пропорционално с дозите до 1000 </w:t>
      </w:r>
      <w:r w:rsidRPr="00C264FE">
        <w:rPr>
          <w:rFonts w:eastAsia="Times New Roman" w:cs="Arial"/>
          <w:color w:val="000000"/>
          <w:lang w:val="en-US"/>
        </w:rPr>
        <w:t>mg.</w:t>
      </w:r>
    </w:p>
    <w:p w14:paraId="1E099D0C"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Абсолютната бионаличност е около 70 - 80%.</w:t>
      </w:r>
    </w:p>
    <w:p w14:paraId="71DA9412"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 xml:space="preserve">Установено е, че доза от 500 </w:t>
      </w:r>
      <w:r w:rsidRPr="00C264FE">
        <w:rPr>
          <w:rFonts w:eastAsia="Times New Roman" w:cs="Arial"/>
          <w:color w:val="000000"/>
          <w:lang w:val="en-US"/>
        </w:rPr>
        <w:t xml:space="preserve">mg, </w:t>
      </w:r>
      <w:r w:rsidRPr="00C264FE">
        <w:rPr>
          <w:rFonts w:eastAsia="Times New Roman" w:cs="Arial"/>
          <w:color w:val="000000"/>
          <w:lang w:eastAsia="bg-BG"/>
        </w:rPr>
        <w:t>приемана перорално на 12 часа, води до площ под кривата ,,концентрация-време“(А</w:t>
      </w:r>
      <w:r w:rsidRPr="00C264FE">
        <w:rPr>
          <w:rFonts w:eastAsia="Times New Roman" w:cs="Arial"/>
          <w:color w:val="000000"/>
          <w:lang w:val="en-US"/>
        </w:rPr>
        <w:t>U</w:t>
      </w:r>
      <w:r w:rsidRPr="00C264FE">
        <w:rPr>
          <w:rFonts w:eastAsia="Times New Roman" w:cs="Arial"/>
          <w:color w:val="000000"/>
          <w:lang w:eastAsia="bg-BG"/>
        </w:rPr>
        <w:t xml:space="preserve">С), еквивалентна на тази, получена след ингравенозна инфузия на 400 </w:t>
      </w:r>
      <w:r w:rsidRPr="00C264FE">
        <w:rPr>
          <w:rFonts w:eastAsia="Times New Roman" w:cs="Arial"/>
          <w:color w:val="000000"/>
          <w:lang w:val="en-US"/>
        </w:rPr>
        <w:t xml:space="preserve">mg </w:t>
      </w:r>
      <w:r w:rsidRPr="00C264FE">
        <w:rPr>
          <w:rFonts w:eastAsia="Times New Roman" w:cs="Arial"/>
          <w:color w:val="000000"/>
          <w:lang w:eastAsia="bg-BG"/>
        </w:rPr>
        <w:t>ципрофлоксацин за 60 минути на всеки 12 часа.</w:t>
      </w:r>
    </w:p>
    <w:p w14:paraId="18928B5B" w14:textId="77777777" w:rsidR="00C264FE" w:rsidRPr="00C264FE" w:rsidRDefault="00C264FE" w:rsidP="00C264FE">
      <w:pPr>
        <w:spacing w:line="240" w:lineRule="auto"/>
        <w:rPr>
          <w:rFonts w:eastAsia="Times New Roman" w:cs="Arial"/>
          <w:i/>
          <w:iCs/>
          <w:color w:val="000000"/>
          <w:u w:val="single"/>
          <w:lang w:eastAsia="bg-BG"/>
        </w:rPr>
      </w:pPr>
    </w:p>
    <w:p w14:paraId="696F7803" w14:textId="53E52392" w:rsidR="00C264FE" w:rsidRPr="00C264FE" w:rsidRDefault="00C264FE" w:rsidP="00C264FE">
      <w:pPr>
        <w:pStyle w:val="Heading3"/>
        <w:rPr>
          <w:rFonts w:eastAsia="Times New Roman"/>
          <w:u w:val="single"/>
          <w:lang w:eastAsia="bg-BG"/>
        </w:rPr>
      </w:pPr>
      <w:r w:rsidRPr="00C264FE">
        <w:rPr>
          <w:rFonts w:eastAsia="Times New Roman"/>
          <w:u w:val="single"/>
          <w:lang w:eastAsia="bg-BG"/>
        </w:rPr>
        <w:t>Разпределение</w:t>
      </w:r>
    </w:p>
    <w:p w14:paraId="745C067E"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 xml:space="preserve">Свързването на ципрофлоксацин с плазмените протеини е ниско (20-30%). Ципрофлоксацин се намира в плазмата основно в нейонизирана форма и има голям обем на разпределение в стационарно състояние от 2-3 </w:t>
      </w:r>
      <w:r w:rsidRPr="00C264FE">
        <w:rPr>
          <w:rFonts w:eastAsia="Times New Roman" w:cs="Arial"/>
          <w:color w:val="000000"/>
          <w:lang w:val="en-US"/>
        </w:rPr>
        <w:t xml:space="preserve">l/kg </w:t>
      </w:r>
      <w:r w:rsidRPr="00C264FE">
        <w:rPr>
          <w:rFonts w:eastAsia="Times New Roman" w:cs="Arial"/>
          <w:color w:val="000000"/>
          <w:lang w:eastAsia="bg-BG"/>
        </w:rPr>
        <w:t>телесно тегло. Ципрофлоксацин достига високи концентрации в различни тъкани, като напр. бял дроб (епителиална течност, алвеоларни макрофаги, биопсична тъкан), синуси, възпалителни лезии (везикуларна течност от кантаридин-индуцирани кожни мехури) и урогениталния тракт (урина, простата, ендомстриум), където се достигат общи концентрации, надвишаващи тези в плазмата.</w:t>
      </w:r>
    </w:p>
    <w:p w14:paraId="1046B65D" w14:textId="77777777" w:rsidR="00C264FE" w:rsidRPr="00C264FE" w:rsidRDefault="00C264FE" w:rsidP="00C264FE">
      <w:pPr>
        <w:spacing w:line="240" w:lineRule="auto"/>
        <w:rPr>
          <w:rFonts w:eastAsia="Times New Roman" w:cs="Arial"/>
          <w:i/>
          <w:iCs/>
          <w:color w:val="000000"/>
          <w:u w:val="single"/>
          <w:lang w:eastAsia="bg-BG"/>
        </w:rPr>
      </w:pPr>
    </w:p>
    <w:p w14:paraId="09721633" w14:textId="48F8EA70" w:rsidR="00C264FE" w:rsidRPr="00C264FE" w:rsidRDefault="00C264FE" w:rsidP="00C264FE">
      <w:pPr>
        <w:pStyle w:val="Heading3"/>
        <w:rPr>
          <w:rFonts w:eastAsia="Times New Roman"/>
          <w:u w:val="single"/>
          <w:lang w:eastAsia="bg-BG"/>
        </w:rPr>
      </w:pPr>
      <w:r w:rsidRPr="00C264FE">
        <w:rPr>
          <w:rFonts w:eastAsia="Times New Roman"/>
          <w:u w:val="single"/>
          <w:lang w:eastAsia="bg-BG"/>
        </w:rPr>
        <w:t>Биотрансформация</w:t>
      </w:r>
    </w:p>
    <w:p w14:paraId="78CA50E8"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 xml:space="preserve">Установени са ниски концентрации на четири метаболита, които са идентифицирани като: дезетиленципрофлоксацин </w:t>
      </w:r>
      <w:r w:rsidRPr="00C264FE">
        <w:rPr>
          <w:rFonts w:eastAsia="Times New Roman" w:cs="Arial"/>
          <w:color w:val="000000"/>
          <w:lang w:val="en-US"/>
        </w:rPr>
        <w:t xml:space="preserve">(M1), </w:t>
      </w:r>
      <w:r w:rsidRPr="00C264FE">
        <w:rPr>
          <w:rFonts w:eastAsia="Times New Roman" w:cs="Arial"/>
          <w:color w:val="000000"/>
          <w:lang w:eastAsia="bg-BG"/>
        </w:rPr>
        <w:t xml:space="preserve">сулфоципрофлоксацин (M2), оксоципрофлоксацин (M3) и формилципрофлоксацин (М4). Метаболитите притежават антимикробна активност, по-слаба от непроменения ципрофлоксацин. Ципрофлоксацин е умерен инхибитор на </w:t>
      </w:r>
      <w:r w:rsidRPr="00C264FE">
        <w:rPr>
          <w:rFonts w:eastAsia="Times New Roman" w:cs="Arial"/>
          <w:color w:val="000000"/>
          <w:lang w:val="en-US"/>
        </w:rPr>
        <w:t xml:space="preserve">CYP </w:t>
      </w:r>
      <w:r w:rsidRPr="00C264FE">
        <w:rPr>
          <w:rFonts w:eastAsia="Times New Roman" w:cs="Arial"/>
          <w:color w:val="000000"/>
          <w:lang w:eastAsia="bg-BG"/>
        </w:rPr>
        <w:t>450 1А2 изоензимите.</w:t>
      </w:r>
    </w:p>
    <w:p w14:paraId="2DF2D7D9" w14:textId="77777777" w:rsidR="00C264FE" w:rsidRPr="00C264FE" w:rsidRDefault="00C264FE" w:rsidP="00C264FE">
      <w:pPr>
        <w:spacing w:line="240" w:lineRule="auto"/>
        <w:rPr>
          <w:rFonts w:eastAsia="Times New Roman" w:cs="Arial"/>
          <w:i/>
          <w:iCs/>
          <w:color w:val="000000"/>
          <w:u w:val="single"/>
          <w:lang w:eastAsia="bg-BG"/>
        </w:rPr>
      </w:pPr>
    </w:p>
    <w:p w14:paraId="048EBED5" w14:textId="03CEC1F0" w:rsidR="00C264FE" w:rsidRPr="00C264FE" w:rsidRDefault="00C264FE" w:rsidP="00C264FE">
      <w:pPr>
        <w:pStyle w:val="Heading3"/>
        <w:rPr>
          <w:rFonts w:eastAsia="Times New Roman"/>
          <w:u w:val="single"/>
          <w:lang w:eastAsia="bg-BG"/>
        </w:rPr>
      </w:pPr>
      <w:r w:rsidRPr="00C264FE">
        <w:rPr>
          <w:rFonts w:eastAsia="Times New Roman"/>
          <w:u w:val="single"/>
          <w:lang w:eastAsia="bg-BG"/>
        </w:rPr>
        <w:t>Елиминиране</w:t>
      </w:r>
    </w:p>
    <w:p w14:paraId="148BA3FC" w14:textId="733BB03E" w:rsidR="0091385D" w:rsidRPr="00C264FE" w:rsidRDefault="00C264FE" w:rsidP="00C264FE">
      <w:pPr>
        <w:rPr>
          <w:rFonts w:cs="Arial"/>
        </w:rPr>
      </w:pPr>
      <w:r w:rsidRPr="00C264FE">
        <w:rPr>
          <w:rFonts w:eastAsia="Times New Roman" w:cs="Arial"/>
          <w:color w:val="000000"/>
          <w:lang w:eastAsia="bg-BG"/>
        </w:rPr>
        <w:t>Ципрофлоксацин се екскретира до голяма степен непроменен през бъбреците и в по-малка степен - чрез фекалиите.</w:t>
      </w:r>
    </w:p>
    <w:p w14:paraId="4EE1BB0B" w14:textId="5555B357" w:rsidR="0091385D" w:rsidRDefault="0091385D" w:rsidP="0091385D"/>
    <w:tbl>
      <w:tblPr>
        <w:tblStyle w:val="TableGrid"/>
        <w:tblW w:w="0" w:type="auto"/>
        <w:tblLook w:val="04A0" w:firstRow="1" w:lastRow="0" w:firstColumn="1" w:lastColumn="0" w:noHBand="0" w:noVBand="1"/>
      </w:tblPr>
      <w:tblGrid>
        <w:gridCol w:w="3166"/>
        <w:gridCol w:w="3167"/>
        <w:gridCol w:w="3167"/>
      </w:tblGrid>
      <w:tr w:rsidR="00C264FE" w14:paraId="7F62533B" w14:textId="77777777" w:rsidTr="000E517E">
        <w:tc>
          <w:tcPr>
            <w:tcW w:w="9500" w:type="dxa"/>
            <w:gridSpan w:val="3"/>
          </w:tcPr>
          <w:p w14:paraId="4CD76C4B" w14:textId="3D6616BB" w:rsidR="00C264FE" w:rsidRDefault="00C264FE" w:rsidP="0091385D">
            <w:r>
              <w:rPr>
                <w:b/>
                <w:bCs/>
              </w:rPr>
              <w:t>Екскреция на ципрофлоксацин (% от дозата)</w:t>
            </w:r>
          </w:p>
        </w:tc>
      </w:tr>
      <w:tr w:rsidR="00C264FE" w14:paraId="3A0C8C45" w14:textId="77777777" w:rsidTr="00E74719">
        <w:tc>
          <w:tcPr>
            <w:tcW w:w="3166" w:type="dxa"/>
            <w:vMerge w:val="restart"/>
          </w:tcPr>
          <w:p w14:paraId="7A200467" w14:textId="77777777" w:rsidR="00C264FE" w:rsidRDefault="00C264FE" w:rsidP="0091385D"/>
        </w:tc>
        <w:tc>
          <w:tcPr>
            <w:tcW w:w="6334" w:type="dxa"/>
            <w:gridSpan w:val="2"/>
          </w:tcPr>
          <w:p w14:paraId="2DBCAB83" w14:textId="26007A22" w:rsidR="00C264FE" w:rsidRDefault="00C264FE" w:rsidP="0091385D">
            <w:r>
              <w:rPr>
                <w:b/>
                <w:bCs/>
              </w:rPr>
              <w:t>Перорално приложение</w:t>
            </w:r>
          </w:p>
        </w:tc>
      </w:tr>
      <w:tr w:rsidR="00C264FE" w14:paraId="06C1A3C4" w14:textId="77777777" w:rsidTr="00C264FE">
        <w:tc>
          <w:tcPr>
            <w:tcW w:w="3166" w:type="dxa"/>
            <w:vMerge/>
          </w:tcPr>
          <w:p w14:paraId="0E6DF814" w14:textId="77777777" w:rsidR="00C264FE" w:rsidRDefault="00C264FE" w:rsidP="00C264FE"/>
        </w:tc>
        <w:tc>
          <w:tcPr>
            <w:tcW w:w="3167" w:type="dxa"/>
          </w:tcPr>
          <w:p w14:paraId="2BD2D5E8" w14:textId="54F52A73" w:rsidR="00C264FE" w:rsidRDefault="00C264FE" w:rsidP="00C264FE">
            <w:r>
              <w:rPr>
                <w:b/>
                <w:bCs/>
              </w:rPr>
              <w:t>Урина</w:t>
            </w:r>
          </w:p>
        </w:tc>
        <w:tc>
          <w:tcPr>
            <w:tcW w:w="3167" w:type="dxa"/>
          </w:tcPr>
          <w:p w14:paraId="5264F96D" w14:textId="5C6A6481" w:rsidR="00C264FE" w:rsidRDefault="00C264FE" w:rsidP="00C264FE">
            <w:r>
              <w:rPr>
                <w:b/>
                <w:bCs/>
              </w:rPr>
              <w:t>Фекални</w:t>
            </w:r>
          </w:p>
        </w:tc>
      </w:tr>
      <w:tr w:rsidR="00C264FE" w14:paraId="17ED0BD1" w14:textId="77777777" w:rsidTr="00C264FE">
        <w:tc>
          <w:tcPr>
            <w:tcW w:w="3166" w:type="dxa"/>
          </w:tcPr>
          <w:p w14:paraId="4DB44F86" w14:textId="258A9DFC" w:rsidR="00C264FE" w:rsidRDefault="00C264FE" w:rsidP="00C264FE">
            <w:r>
              <w:t>Ципрофлоксацин</w:t>
            </w:r>
          </w:p>
        </w:tc>
        <w:tc>
          <w:tcPr>
            <w:tcW w:w="3167" w:type="dxa"/>
          </w:tcPr>
          <w:p w14:paraId="195B9FCC" w14:textId="789E83D3" w:rsidR="00C264FE" w:rsidRDefault="00C264FE" w:rsidP="00C264FE">
            <w:r>
              <w:t>44,7</w:t>
            </w:r>
          </w:p>
        </w:tc>
        <w:tc>
          <w:tcPr>
            <w:tcW w:w="3167" w:type="dxa"/>
          </w:tcPr>
          <w:p w14:paraId="6B0E1FF6" w14:textId="7434231F" w:rsidR="00C264FE" w:rsidRDefault="00C264FE" w:rsidP="00C264FE">
            <w:r>
              <w:t>25</w:t>
            </w:r>
          </w:p>
        </w:tc>
      </w:tr>
      <w:tr w:rsidR="00C264FE" w14:paraId="76DBFAD3" w14:textId="77777777" w:rsidTr="00C264FE">
        <w:tc>
          <w:tcPr>
            <w:tcW w:w="3166" w:type="dxa"/>
          </w:tcPr>
          <w:p w14:paraId="7BEB16AE" w14:textId="51DB9287" w:rsidR="00C264FE" w:rsidRDefault="00C264FE" w:rsidP="00C264FE">
            <w:r>
              <w:t>Метаболита (М1-М4)</w:t>
            </w:r>
          </w:p>
        </w:tc>
        <w:tc>
          <w:tcPr>
            <w:tcW w:w="3167" w:type="dxa"/>
          </w:tcPr>
          <w:p w14:paraId="04D2158A" w14:textId="0F3444A4" w:rsidR="00C264FE" w:rsidRDefault="00C264FE" w:rsidP="00C264FE">
            <w:r>
              <w:t>11,3</w:t>
            </w:r>
          </w:p>
        </w:tc>
        <w:tc>
          <w:tcPr>
            <w:tcW w:w="3167" w:type="dxa"/>
          </w:tcPr>
          <w:p w14:paraId="0A90FA38" w14:textId="6339FC1A" w:rsidR="00C264FE" w:rsidRDefault="00C264FE" w:rsidP="00C264FE">
            <w:r>
              <w:t>7,5</w:t>
            </w:r>
          </w:p>
        </w:tc>
      </w:tr>
    </w:tbl>
    <w:p w14:paraId="53CDFBE7" w14:textId="2045AAF5" w:rsidR="00C264FE" w:rsidRDefault="00C264FE" w:rsidP="0091385D"/>
    <w:p w14:paraId="1ED385FF" w14:textId="77777777" w:rsidR="00C264FE" w:rsidRPr="00C264FE" w:rsidRDefault="00C264FE" w:rsidP="00C264FE">
      <w:pPr>
        <w:spacing w:line="240" w:lineRule="auto"/>
        <w:rPr>
          <w:rFonts w:ascii="Times New Roman" w:eastAsia="Times New Roman" w:hAnsi="Times New Roman" w:cs="Times New Roman"/>
          <w:sz w:val="24"/>
          <w:szCs w:val="24"/>
          <w:lang w:eastAsia="bg-BG"/>
        </w:rPr>
      </w:pPr>
    </w:p>
    <w:p w14:paraId="2BBC2AE8" w14:textId="24796EBC" w:rsidR="00C264FE" w:rsidRPr="00C264FE" w:rsidRDefault="00C264FE" w:rsidP="00C264FE">
      <w:pPr>
        <w:rPr>
          <w:rFonts w:eastAsia="Times New Roman" w:cs="Arial"/>
          <w:color w:val="000000"/>
          <w:lang w:eastAsia="bg-BG"/>
        </w:rPr>
      </w:pPr>
      <w:r w:rsidRPr="00C264FE">
        <w:rPr>
          <w:rFonts w:eastAsia="Times New Roman" w:cs="Arial"/>
          <w:color w:val="000000"/>
          <w:lang w:eastAsia="bg-BG"/>
        </w:rPr>
        <w:t xml:space="preserve">Бъбречният клирънс е между 180-300 </w:t>
      </w:r>
      <w:r w:rsidRPr="00C264FE">
        <w:rPr>
          <w:rFonts w:eastAsia="Times New Roman" w:cs="Arial"/>
          <w:color w:val="000000"/>
          <w:lang w:val="en-US"/>
        </w:rPr>
        <w:t xml:space="preserve">ml/kg/h, </w:t>
      </w:r>
      <w:r w:rsidRPr="00C264FE">
        <w:rPr>
          <w:rFonts w:eastAsia="Times New Roman" w:cs="Arial"/>
          <w:color w:val="000000"/>
          <w:lang w:eastAsia="bg-BG"/>
        </w:rPr>
        <w:t xml:space="preserve">а общият телесен клирънс е между 480-600 </w:t>
      </w:r>
      <w:r w:rsidRPr="00C264FE">
        <w:rPr>
          <w:rFonts w:eastAsia="Times New Roman" w:cs="Arial"/>
          <w:color w:val="000000"/>
          <w:lang w:val="en-US"/>
        </w:rPr>
        <w:t xml:space="preserve">ml/kg/h. </w:t>
      </w:r>
      <w:r w:rsidRPr="00C264FE">
        <w:rPr>
          <w:rFonts w:eastAsia="Times New Roman" w:cs="Arial"/>
          <w:color w:val="000000"/>
          <w:lang w:eastAsia="bg-BG"/>
        </w:rPr>
        <w:t>Ципрофлоксацин се подлага, както на гломерулна филтрация, така и на</w:t>
      </w:r>
      <w:r w:rsidRPr="00C264FE">
        <w:rPr>
          <w:rFonts w:eastAsia="Times New Roman" w:cs="Arial"/>
          <w:color w:val="000000"/>
          <w:vertAlign w:val="superscript"/>
          <w:lang w:eastAsia="bg-BG"/>
        </w:rPr>
        <w:t xml:space="preserve"> </w:t>
      </w:r>
      <w:r w:rsidRPr="00C264FE">
        <w:rPr>
          <w:rFonts w:eastAsia="Times New Roman" w:cs="Arial"/>
          <w:color w:val="000000"/>
          <w:lang w:eastAsia="bg-BG"/>
        </w:rPr>
        <w:t>тубулна секреция. Тежките нарушения на бъбречната функция удължават времето на  полуживот на ципрофлоксацин до 12 часа.</w:t>
      </w:r>
    </w:p>
    <w:p w14:paraId="6199E0C9" w14:textId="67516B97" w:rsidR="00C264FE" w:rsidRPr="00C264FE" w:rsidRDefault="00C264FE" w:rsidP="00C264FE">
      <w:pPr>
        <w:rPr>
          <w:rFonts w:eastAsia="Times New Roman" w:cs="Arial"/>
          <w:color w:val="000000"/>
          <w:lang w:eastAsia="bg-BG"/>
        </w:rPr>
      </w:pPr>
    </w:p>
    <w:p w14:paraId="76E87206"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Извънбъбречният клирънс на ципрофлоксацин се осъществява основно чрез активна секреция в червата и метаболизиране. В жлъчката ципрофлоксацин е във високи концентрации.</w:t>
      </w:r>
    </w:p>
    <w:p w14:paraId="4E6B4AE9"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Около 1% от дозата се екскретира чрез жлъчката.</w:t>
      </w:r>
    </w:p>
    <w:p w14:paraId="583D345E" w14:textId="77777777" w:rsidR="00C264FE" w:rsidRDefault="00C264FE" w:rsidP="00C264FE">
      <w:pPr>
        <w:spacing w:line="240" w:lineRule="auto"/>
        <w:rPr>
          <w:rFonts w:ascii="Times New Roman" w:eastAsia="Times New Roman" w:hAnsi="Times New Roman" w:cs="Times New Roman"/>
          <w:i/>
          <w:iCs/>
          <w:color w:val="000000"/>
          <w:u w:val="single"/>
          <w:lang w:eastAsia="bg-BG"/>
        </w:rPr>
      </w:pPr>
    </w:p>
    <w:p w14:paraId="0525BADE" w14:textId="58693C5A" w:rsidR="00C264FE" w:rsidRPr="00C264FE" w:rsidRDefault="00C264FE" w:rsidP="00C264FE">
      <w:pPr>
        <w:spacing w:line="240" w:lineRule="auto"/>
        <w:rPr>
          <w:rFonts w:eastAsia="Times New Roman" w:cs="Arial"/>
          <w:sz w:val="24"/>
          <w:szCs w:val="24"/>
          <w:lang w:eastAsia="bg-BG"/>
        </w:rPr>
      </w:pPr>
      <w:r w:rsidRPr="00C264FE">
        <w:rPr>
          <w:rFonts w:eastAsia="Times New Roman" w:cs="Arial"/>
          <w:i/>
          <w:iCs/>
          <w:color w:val="000000"/>
          <w:u w:val="single"/>
          <w:lang w:eastAsia="bg-BG"/>
        </w:rPr>
        <w:t>Педиатрични пациенти</w:t>
      </w:r>
    </w:p>
    <w:p w14:paraId="137E918C"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Данните относно фармакокинетиката при педиатрични пациенти са ограничени.</w:t>
      </w:r>
    </w:p>
    <w:p w14:paraId="79A2527E"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В проучване при деца над едногодишна възраст се установява, че С</w:t>
      </w:r>
      <w:r w:rsidRPr="00C264FE">
        <w:rPr>
          <w:rFonts w:eastAsia="Times New Roman" w:cs="Arial"/>
          <w:color w:val="000000"/>
          <w:lang w:val="en-US"/>
        </w:rPr>
        <w:t>m</w:t>
      </w:r>
      <w:r w:rsidRPr="00C264FE">
        <w:rPr>
          <w:rFonts w:eastAsia="Times New Roman" w:cs="Arial"/>
          <w:color w:val="000000"/>
          <w:lang w:eastAsia="bg-BG"/>
        </w:rPr>
        <w:t xml:space="preserve">ах и </w:t>
      </w:r>
      <w:r w:rsidRPr="00C264FE">
        <w:rPr>
          <w:rFonts w:eastAsia="Times New Roman" w:cs="Arial"/>
          <w:color w:val="000000"/>
          <w:lang w:val="en-US"/>
        </w:rPr>
        <w:t xml:space="preserve">AUC </w:t>
      </w:r>
      <w:r w:rsidRPr="00C264FE">
        <w:rPr>
          <w:rFonts w:eastAsia="Times New Roman" w:cs="Arial"/>
          <w:color w:val="000000"/>
          <w:lang w:eastAsia="bg-BG"/>
        </w:rPr>
        <w:t xml:space="preserve">не зависят от възрастта. Не се наблюдава значимо повишаване на Стах и </w:t>
      </w:r>
      <w:r w:rsidRPr="00C264FE">
        <w:rPr>
          <w:rFonts w:eastAsia="Times New Roman" w:cs="Arial"/>
          <w:color w:val="000000"/>
          <w:lang w:val="en-US"/>
        </w:rPr>
        <w:t xml:space="preserve">AUC </w:t>
      </w:r>
      <w:r w:rsidRPr="00C264FE">
        <w:rPr>
          <w:rFonts w:eastAsia="Times New Roman" w:cs="Arial"/>
          <w:color w:val="000000"/>
          <w:lang w:eastAsia="bg-BG"/>
        </w:rPr>
        <w:t xml:space="preserve">след многократно прилагане (10 </w:t>
      </w:r>
      <w:r w:rsidRPr="00C264FE">
        <w:rPr>
          <w:rFonts w:eastAsia="Times New Roman" w:cs="Arial"/>
          <w:color w:val="000000"/>
          <w:lang w:val="en-US"/>
        </w:rPr>
        <w:t xml:space="preserve">mg/kg </w:t>
      </w:r>
      <w:r w:rsidRPr="00C264FE">
        <w:rPr>
          <w:rFonts w:eastAsia="Times New Roman" w:cs="Arial"/>
          <w:color w:val="000000"/>
          <w:lang w:eastAsia="bg-BG"/>
        </w:rPr>
        <w:t>3 пъти на ден).</w:t>
      </w:r>
    </w:p>
    <w:p w14:paraId="6343932C"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 xml:space="preserve">След едночасова интравенозна инфузия на доза от 10 </w:t>
      </w:r>
      <w:r w:rsidRPr="00C264FE">
        <w:rPr>
          <w:rFonts w:eastAsia="Times New Roman" w:cs="Arial"/>
          <w:color w:val="000000"/>
          <w:lang w:val="en-US"/>
        </w:rPr>
        <w:t xml:space="preserve">mg/kg </w:t>
      </w:r>
      <w:r w:rsidRPr="00C264FE">
        <w:rPr>
          <w:rFonts w:eastAsia="Times New Roman" w:cs="Arial"/>
          <w:color w:val="000000"/>
          <w:lang w:eastAsia="bg-BG"/>
        </w:rPr>
        <w:t>при 10 деца с тежък сепсис С</w:t>
      </w:r>
      <w:r w:rsidRPr="00C264FE">
        <w:rPr>
          <w:rFonts w:eastAsia="Times New Roman" w:cs="Arial"/>
          <w:color w:val="000000"/>
          <w:vertAlign w:val="subscript"/>
          <w:lang w:val="en-US"/>
        </w:rPr>
        <w:t>max</w:t>
      </w:r>
      <w:r w:rsidRPr="00C264FE">
        <w:rPr>
          <w:rFonts w:eastAsia="Times New Roman" w:cs="Arial"/>
          <w:color w:val="000000"/>
          <w:lang w:eastAsia="bg-BG"/>
        </w:rPr>
        <w:t xml:space="preserve"> е 6,1 </w:t>
      </w:r>
      <w:r w:rsidRPr="00C264FE">
        <w:rPr>
          <w:rFonts w:eastAsia="Times New Roman" w:cs="Arial"/>
          <w:color w:val="000000"/>
          <w:lang w:val="en-US"/>
        </w:rPr>
        <w:t xml:space="preserve">mg/l </w:t>
      </w:r>
      <w:r w:rsidRPr="00C264FE">
        <w:rPr>
          <w:rFonts w:eastAsia="Times New Roman" w:cs="Arial"/>
          <w:color w:val="000000"/>
          <w:lang w:eastAsia="bg-BG"/>
        </w:rPr>
        <w:t xml:space="preserve">(интервал 4,6 - 8,3 </w:t>
      </w:r>
      <w:r w:rsidRPr="00C264FE">
        <w:rPr>
          <w:rFonts w:eastAsia="Times New Roman" w:cs="Arial"/>
          <w:color w:val="000000"/>
          <w:lang w:val="en-US"/>
        </w:rPr>
        <w:t xml:space="preserve">mg/l) </w:t>
      </w:r>
      <w:r w:rsidRPr="00C264FE">
        <w:rPr>
          <w:rFonts w:eastAsia="Times New Roman" w:cs="Arial"/>
          <w:color w:val="000000"/>
          <w:lang w:eastAsia="bg-BG"/>
        </w:rPr>
        <w:t xml:space="preserve">при деца на възраст под 1 година и 7,2 </w:t>
      </w:r>
      <w:r w:rsidRPr="00C264FE">
        <w:rPr>
          <w:rFonts w:eastAsia="Times New Roman" w:cs="Arial"/>
          <w:color w:val="000000"/>
          <w:lang w:val="en-US"/>
        </w:rPr>
        <w:t xml:space="preserve">mg/l </w:t>
      </w:r>
      <w:r w:rsidRPr="00C264FE">
        <w:rPr>
          <w:rFonts w:eastAsia="Times New Roman" w:cs="Arial"/>
          <w:color w:val="000000"/>
          <w:lang w:eastAsia="bg-BG"/>
        </w:rPr>
        <w:t xml:space="preserve">(интервал 4,7 -11,8 </w:t>
      </w:r>
      <w:r w:rsidRPr="00C264FE">
        <w:rPr>
          <w:rFonts w:eastAsia="Times New Roman" w:cs="Arial"/>
          <w:color w:val="000000"/>
          <w:lang w:val="en-US"/>
        </w:rPr>
        <w:t xml:space="preserve">mg/l) </w:t>
      </w:r>
      <w:r w:rsidRPr="00C264FE">
        <w:rPr>
          <w:rFonts w:eastAsia="Times New Roman" w:cs="Arial"/>
          <w:color w:val="000000"/>
          <w:lang w:eastAsia="bg-BG"/>
        </w:rPr>
        <w:t xml:space="preserve">при деца на възраст между 1 и 5 години. Стойностите на </w:t>
      </w:r>
      <w:r w:rsidRPr="00C264FE">
        <w:rPr>
          <w:rFonts w:eastAsia="Times New Roman" w:cs="Arial"/>
          <w:color w:val="000000"/>
          <w:lang w:val="en-US"/>
        </w:rPr>
        <w:t xml:space="preserve">AUC </w:t>
      </w:r>
      <w:r w:rsidRPr="00C264FE">
        <w:rPr>
          <w:rFonts w:eastAsia="Times New Roman" w:cs="Arial"/>
          <w:color w:val="000000"/>
          <w:lang w:eastAsia="bg-BG"/>
        </w:rPr>
        <w:t xml:space="preserve">за съответните възрастови групи са съответно 17,4 </w:t>
      </w:r>
      <w:r w:rsidRPr="00C264FE">
        <w:rPr>
          <w:rFonts w:eastAsia="Times New Roman" w:cs="Arial"/>
          <w:color w:val="000000"/>
          <w:lang w:val="en-US"/>
        </w:rPr>
        <w:t xml:space="preserve">mg/h/l </w:t>
      </w:r>
      <w:r w:rsidRPr="00C264FE">
        <w:rPr>
          <w:rFonts w:eastAsia="Times New Roman" w:cs="Arial"/>
          <w:color w:val="000000"/>
          <w:lang w:eastAsia="bg-BG"/>
        </w:rPr>
        <w:t xml:space="preserve">(интервал 11,8 - 32 </w:t>
      </w:r>
      <w:r w:rsidRPr="00C264FE">
        <w:rPr>
          <w:rFonts w:eastAsia="Times New Roman" w:cs="Arial"/>
          <w:color w:val="000000"/>
          <w:lang w:val="en-US"/>
        </w:rPr>
        <w:t xml:space="preserve">mg/h/1) </w:t>
      </w:r>
      <w:r w:rsidRPr="00C264FE">
        <w:rPr>
          <w:rFonts w:eastAsia="Times New Roman" w:cs="Arial"/>
          <w:color w:val="000000"/>
          <w:lang w:eastAsia="bg-BG"/>
        </w:rPr>
        <w:t xml:space="preserve">и 16,5 </w:t>
      </w:r>
      <w:r w:rsidRPr="00C264FE">
        <w:rPr>
          <w:rFonts w:eastAsia="Times New Roman" w:cs="Arial"/>
          <w:color w:val="000000"/>
          <w:lang w:val="en-US"/>
        </w:rPr>
        <w:t xml:space="preserve">mg/h/l </w:t>
      </w:r>
      <w:r w:rsidRPr="00C264FE">
        <w:rPr>
          <w:rFonts w:eastAsia="Times New Roman" w:cs="Arial"/>
          <w:color w:val="000000"/>
          <w:lang w:eastAsia="bg-BG"/>
        </w:rPr>
        <w:t xml:space="preserve">(интервал 11 - 23,8 </w:t>
      </w:r>
      <w:r w:rsidRPr="00C264FE">
        <w:rPr>
          <w:rFonts w:eastAsia="Times New Roman" w:cs="Arial"/>
          <w:color w:val="000000"/>
          <w:lang w:val="en-US"/>
        </w:rPr>
        <w:t>mg/h/l).</w:t>
      </w:r>
    </w:p>
    <w:p w14:paraId="39996143" w14:textId="3271F24D" w:rsidR="00C264FE" w:rsidRPr="00C264FE" w:rsidRDefault="00C264FE" w:rsidP="00C264FE">
      <w:pPr>
        <w:rPr>
          <w:rFonts w:cs="Arial"/>
        </w:rPr>
      </w:pPr>
      <w:r w:rsidRPr="00C264FE">
        <w:rPr>
          <w:rFonts w:eastAsia="Times New Roman" w:cs="Arial"/>
          <w:color w:val="000000"/>
          <w:lang w:eastAsia="bg-BG"/>
        </w:rPr>
        <w:t>Тези стойности са в границите на съобщаваните при възрастни при прилагане на терапевтични дози. Популационният фармакокинетичен анализ при педиатрични пациенти с различни инфекции прогнозира средно време на полуживот около 4-5 часа и бионаличност на пероралната суспензия в границите на 50 до 80%.</w:t>
      </w:r>
    </w:p>
    <w:p w14:paraId="311AAA94" w14:textId="77777777" w:rsidR="00C264FE" w:rsidRPr="0091385D" w:rsidRDefault="00C264FE"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2E1E0E72"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Предклиничните данни не показват особен риск за хората на база на конвенционалните</w:t>
      </w:r>
      <w:r w:rsidRPr="00C264FE">
        <w:rPr>
          <w:rFonts w:ascii="Times New Roman" w:eastAsia="Times New Roman" w:hAnsi="Times New Roman" w:cs="Times New Roman"/>
          <w:color w:val="000000"/>
          <w:lang w:eastAsia="bg-BG"/>
        </w:rPr>
        <w:t xml:space="preserve"> </w:t>
      </w:r>
      <w:r w:rsidRPr="00C264FE">
        <w:rPr>
          <w:rFonts w:eastAsia="Times New Roman" w:cs="Arial"/>
          <w:color w:val="000000"/>
          <w:lang w:eastAsia="bg-BG"/>
        </w:rPr>
        <w:t>изпитвания за токсичност след еднократно и многократно прилагане, канцерогенен потенциал или репродуктивна токсичност.</w:t>
      </w:r>
    </w:p>
    <w:p w14:paraId="521D0840"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 xml:space="preserve">Подобно на много други хинолони, ципрофлоксацин е фототоксичен при животни при клинично релевантни нива на експозиция. Данните за фотомутагенност/фотоканцерогенност от експерименти при животни показват слаб фотомутагенен или фототуморогенен ефект на ципрофлоксацин </w:t>
      </w:r>
      <w:r w:rsidRPr="00C264FE">
        <w:rPr>
          <w:rFonts w:eastAsia="Times New Roman" w:cs="Arial"/>
          <w:i/>
          <w:iCs/>
          <w:color w:val="000000"/>
          <w:lang w:val="en-US"/>
        </w:rPr>
        <w:t>in vitro.</w:t>
      </w:r>
      <w:r w:rsidRPr="00C264FE">
        <w:rPr>
          <w:rFonts w:eastAsia="Times New Roman" w:cs="Arial"/>
          <w:color w:val="000000"/>
          <w:lang w:val="en-US"/>
        </w:rPr>
        <w:t xml:space="preserve"> </w:t>
      </w:r>
      <w:r w:rsidRPr="00C264FE">
        <w:rPr>
          <w:rFonts w:eastAsia="Times New Roman" w:cs="Arial"/>
          <w:color w:val="000000"/>
          <w:lang w:eastAsia="bg-BG"/>
        </w:rPr>
        <w:t>Ефектът е съпоставим с този на други гиразни инхибитори.</w:t>
      </w:r>
    </w:p>
    <w:p w14:paraId="40E46686" w14:textId="77777777" w:rsidR="00C264FE" w:rsidRPr="00C264FE" w:rsidRDefault="00C264FE" w:rsidP="00C264FE">
      <w:pPr>
        <w:spacing w:line="240" w:lineRule="auto"/>
        <w:rPr>
          <w:rFonts w:eastAsia="Times New Roman" w:cs="Arial"/>
          <w:color w:val="000000"/>
          <w:u w:val="single"/>
          <w:lang w:eastAsia="bg-BG"/>
        </w:rPr>
      </w:pPr>
    </w:p>
    <w:p w14:paraId="3ED25B1D" w14:textId="0158A5FC"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u w:val="single"/>
          <w:lang w:eastAsia="bg-BG"/>
        </w:rPr>
        <w:t>Поносимост по отношение на ставите</w:t>
      </w:r>
      <w:r w:rsidRPr="00C264FE">
        <w:rPr>
          <w:rFonts w:eastAsia="Times New Roman" w:cs="Arial"/>
          <w:color w:val="000000"/>
          <w:lang w:eastAsia="bg-BG"/>
        </w:rPr>
        <w:t>:</w:t>
      </w:r>
    </w:p>
    <w:p w14:paraId="52E4D01A" w14:textId="26FE358A" w:rsidR="0091385D" w:rsidRPr="00C264FE" w:rsidRDefault="00C264FE" w:rsidP="00C264FE">
      <w:pPr>
        <w:rPr>
          <w:rFonts w:cs="Arial"/>
        </w:rPr>
      </w:pPr>
      <w:r w:rsidRPr="00C264FE">
        <w:rPr>
          <w:rFonts w:eastAsia="Times New Roman" w:cs="Arial"/>
          <w:color w:val="000000"/>
          <w:lang w:eastAsia="bg-BG"/>
        </w:rPr>
        <w:t xml:space="preserve">Както е съобщено и за други гиразни инхибитори, ципрофлоксацин причинява увреждане на големите носещи стави при животни, недостигнали полова зрелост. Степента на увреждане на хрущяла варира според възрастта, животинския вид и дозата; увреждането може да се намали, ако ставите не се натоварват. Проучванията при полово зрели животни (плъхове, кучета) не показват данни за увреждане на хрущялите. При млади кучета от порода бийгъл ципрофлоксацин е довел до тежки промени в ставите при </w:t>
      </w:r>
      <w:r w:rsidRPr="00C264FE">
        <w:rPr>
          <w:rFonts w:eastAsia="Times New Roman" w:cs="Arial"/>
          <w:color w:val="000000"/>
          <w:lang w:eastAsia="bg-BG"/>
        </w:rPr>
        <w:lastRenderedPageBreak/>
        <w:t>прилагане на терапевтични дози в продължение на 2 седмици, които продължават да се наблюдават и след 5 месеца.</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5E47368C" w14:textId="77777777" w:rsidR="00C264FE" w:rsidRPr="00C264FE" w:rsidRDefault="00C264FE" w:rsidP="00C264FE">
      <w:pPr>
        <w:spacing w:line="240" w:lineRule="auto"/>
        <w:rPr>
          <w:rFonts w:eastAsia="Times New Roman" w:cs="Arial"/>
          <w:sz w:val="24"/>
          <w:szCs w:val="24"/>
          <w:lang w:eastAsia="bg-BG"/>
        </w:rPr>
      </w:pPr>
      <w:r w:rsidRPr="00C264FE">
        <w:rPr>
          <w:rFonts w:eastAsia="Times New Roman" w:cs="Arial"/>
          <w:color w:val="000000"/>
          <w:lang w:eastAsia="bg-BG"/>
        </w:rPr>
        <w:t>СОФАРМА АД</w:t>
      </w:r>
    </w:p>
    <w:p w14:paraId="3FD825DB" w14:textId="6D048CC5" w:rsidR="0091385D" w:rsidRPr="00C264FE" w:rsidRDefault="00C264FE" w:rsidP="00C264FE">
      <w:pPr>
        <w:rPr>
          <w:rFonts w:cs="Arial"/>
        </w:rPr>
      </w:pPr>
      <w:r w:rsidRPr="00C264FE">
        <w:rPr>
          <w:rFonts w:eastAsia="Times New Roman" w:cs="Arial"/>
          <w:color w:val="000000"/>
          <w:lang w:eastAsia="bg-BG"/>
        </w:rPr>
        <w:t>ул. Илиенско шосе 16, 1220 София, 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5B3CEB5D" w:rsidR="0091385D" w:rsidRPr="00C264FE" w:rsidRDefault="00C264FE" w:rsidP="0091385D">
      <w:pPr>
        <w:rPr>
          <w:rFonts w:cs="Arial"/>
        </w:rPr>
      </w:pPr>
      <w:r w:rsidRPr="00C264FE">
        <w:rPr>
          <w:rFonts w:cs="Arial"/>
        </w:rPr>
        <w:t>20020501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3FEBFBB1" w:rsidR="0091385D" w:rsidRPr="00C264FE" w:rsidRDefault="00C264FE" w:rsidP="0091385D">
      <w:pPr>
        <w:rPr>
          <w:rFonts w:cs="Arial"/>
        </w:rPr>
      </w:pPr>
      <w:r w:rsidRPr="00C264FE">
        <w:rPr>
          <w:rFonts w:cs="Arial"/>
        </w:rPr>
        <w:t>18.06.2002/30.11.2007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6E97830" w:rsidR="0091385D" w:rsidRPr="00C264FE" w:rsidRDefault="00C264FE" w:rsidP="0091385D">
      <w:pPr>
        <w:rPr>
          <w:rFonts w:cs="Arial"/>
        </w:rPr>
      </w:pPr>
      <w:r w:rsidRPr="00C264FE">
        <w:rPr>
          <w:rFonts w:cs="Arial"/>
        </w:rPr>
        <w:t>Март 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A11A93"/>
    <w:multiLevelType w:val="hybridMultilevel"/>
    <w:tmpl w:val="78F85CB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43D8A"/>
    <w:multiLevelType w:val="hybridMultilevel"/>
    <w:tmpl w:val="0CC2BB1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6ECE"/>
    <w:multiLevelType w:val="hybridMultilevel"/>
    <w:tmpl w:val="51A0BE3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3243C25"/>
    <w:multiLevelType w:val="hybridMultilevel"/>
    <w:tmpl w:val="0DD88F9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BC306E"/>
    <w:multiLevelType w:val="hybridMultilevel"/>
    <w:tmpl w:val="2B8CEF1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07176"/>
    <w:multiLevelType w:val="hybridMultilevel"/>
    <w:tmpl w:val="08480A1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A3CB7"/>
    <w:multiLevelType w:val="hybridMultilevel"/>
    <w:tmpl w:val="08E8EAC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4"/>
  </w:num>
  <w:num w:numId="12">
    <w:abstractNumId w:val="17"/>
  </w:num>
  <w:num w:numId="13">
    <w:abstractNumId w:val="23"/>
  </w:num>
  <w:num w:numId="14">
    <w:abstractNumId w:val="13"/>
  </w:num>
  <w:num w:numId="15">
    <w:abstractNumId w:val="33"/>
  </w:num>
  <w:num w:numId="16">
    <w:abstractNumId w:val="11"/>
  </w:num>
  <w:num w:numId="17">
    <w:abstractNumId w:val="28"/>
  </w:num>
  <w:num w:numId="18">
    <w:abstractNumId w:val="8"/>
  </w:num>
  <w:num w:numId="19">
    <w:abstractNumId w:val="30"/>
  </w:num>
  <w:num w:numId="20">
    <w:abstractNumId w:val="27"/>
  </w:num>
  <w:num w:numId="21">
    <w:abstractNumId w:val="21"/>
  </w:num>
  <w:num w:numId="22">
    <w:abstractNumId w:val="29"/>
  </w:num>
  <w:num w:numId="23">
    <w:abstractNumId w:val="22"/>
  </w:num>
  <w:num w:numId="24">
    <w:abstractNumId w:val="9"/>
  </w:num>
  <w:num w:numId="25">
    <w:abstractNumId w:val="26"/>
  </w:num>
  <w:num w:numId="26">
    <w:abstractNumId w:val="25"/>
  </w:num>
  <w:num w:numId="27">
    <w:abstractNumId w:val="36"/>
  </w:num>
  <w:num w:numId="28">
    <w:abstractNumId w:val="7"/>
  </w:num>
  <w:num w:numId="29">
    <w:abstractNumId w:val="24"/>
  </w:num>
  <w:num w:numId="30">
    <w:abstractNumId w:val="40"/>
  </w:num>
  <w:num w:numId="31">
    <w:abstractNumId w:val="6"/>
  </w:num>
  <w:num w:numId="32">
    <w:abstractNumId w:val="39"/>
  </w:num>
  <w:num w:numId="33">
    <w:abstractNumId w:val="32"/>
  </w:num>
  <w:num w:numId="34">
    <w:abstractNumId w:val="37"/>
  </w:num>
  <w:num w:numId="35">
    <w:abstractNumId w:val="16"/>
  </w:num>
  <w:num w:numId="36">
    <w:abstractNumId w:val="38"/>
  </w:num>
  <w:num w:numId="37">
    <w:abstractNumId w:val="35"/>
  </w:num>
  <w:num w:numId="38">
    <w:abstractNumId w:val="10"/>
  </w:num>
  <w:num w:numId="39">
    <w:abstractNumId w:val="15"/>
  </w:num>
  <w:num w:numId="40">
    <w:abstractNumId w:val="2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7D47DC"/>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264FE"/>
    <w:rsid w:val="00C316B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7948</Words>
  <Characters>45306</Characters>
  <Application>Microsoft Office Word</Application>
  <DocSecurity>0</DocSecurity>
  <Lines>377</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2022-11-14T11:37:00Z</dcterms:created>
  <dcterms:modified xsi:type="dcterms:W3CDTF">2022-11-14T11:37:00Z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