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28012C85" w:rsidR="0091385D" w:rsidRDefault="0091385D" w:rsidP="0091385D"/>
    <w:p w14:paraId="2B560F4C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 xml:space="preserve">ЦИТЕРАЛ 250 </w:t>
      </w:r>
      <w:r w:rsidRPr="00D36C52">
        <w:rPr>
          <w:rFonts w:eastAsia="Times New Roman" w:cs="Arial"/>
          <w:color w:val="000000"/>
          <w:lang w:val="en-US"/>
        </w:rPr>
        <w:t xml:space="preserve">mg </w:t>
      </w:r>
      <w:r w:rsidRPr="00D36C52">
        <w:rPr>
          <w:rFonts w:eastAsia="Times New Roman" w:cs="Arial"/>
          <w:color w:val="000000"/>
          <w:lang w:eastAsia="bg-BG"/>
        </w:rPr>
        <w:t>филмирани таблетки</w:t>
      </w:r>
    </w:p>
    <w:p w14:paraId="1F95AC54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val="en-US"/>
        </w:rPr>
        <w:t xml:space="preserve">CITERAL </w:t>
      </w:r>
      <w:r w:rsidRPr="00D36C52">
        <w:rPr>
          <w:rFonts w:eastAsia="Times New Roman" w:cs="Arial"/>
          <w:color w:val="000000"/>
          <w:lang w:eastAsia="bg-BG"/>
        </w:rPr>
        <w:t xml:space="preserve">250 </w:t>
      </w:r>
      <w:r w:rsidRPr="00D36C52">
        <w:rPr>
          <w:rFonts w:eastAsia="Times New Roman" w:cs="Arial"/>
          <w:color w:val="000000"/>
          <w:lang w:val="en-US"/>
        </w:rPr>
        <w:t>mg film-coated tablets</w:t>
      </w:r>
    </w:p>
    <w:p w14:paraId="4C00E490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 xml:space="preserve">ЦИТЕРАЛ 500 </w:t>
      </w:r>
      <w:r w:rsidRPr="00D36C52">
        <w:rPr>
          <w:rFonts w:eastAsia="Times New Roman" w:cs="Arial"/>
          <w:color w:val="000000"/>
          <w:lang w:val="en-US"/>
        </w:rPr>
        <w:t xml:space="preserve">mg </w:t>
      </w:r>
      <w:r w:rsidRPr="00D36C52">
        <w:rPr>
          <w:rFonts w:eastAsia="Times New Roman" w:cs="Arial"/>
          <w:color w:val="000000"/>
          <w:lang w:eastAsia="bg-BG"/>
        </w:rPr>
        <w:t>филмирани таблетки</w:t>
      </w:r>
    </w:p>
    <w:p w14:paraId="5015A1FD" w14:textId="594D3E2E" w:rsidR="00A73575" w:rsidRPr="00D36C52" w:rsidRDefault="00D36C52" w:rsidP="00D36C52">
      <w:pPr>
        <w:rPr>
          <w:rFonts w:cs="Arial"/>
        </w:rPr>
      </w:pPr>
      <w:r w:rsidRPr="00D36C52">
        <w:rPr>
          <w:rFonts w:eastAsia="Times New Roman" w:cs="Arial"/>
          <w:color w:val="000000"/>
          <w:lang w:val="en-US"/>
        </w:rPr>
        <w:t xml:space="preserve">CITERAL </w:t>
      </w:r>
      <w:r w:rsidRPr="00D36C52">
        <w:rPr>
          <w:rFonts w:eastAsia="Times New Roman" w:cs="Arial"/>
          <w:color w:val="000000"/>
          <w:lang w:eastAsia="bg-BG"/>
        </w:rPr>
        <w:t xml:space="preserve">500 </w:t>
      </w:r>
      <w:r w:rsidRPr="00D36C52">
        <w:rPr>
          <w:rFonts w:eastAsia="Times New Roman" w:cs="Arial"/>
          <w:color w:val="000000"/>
          <w:lang w:val="en-US"/>
        </w:rPr>
        <w:t>mg film-coated tablets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288788EF" w:rsidR="0091385D" w:rsidRDefault="0091385D" w:rsidP="0091385D"/>
    <w:p w14:paraId="0D78FAA2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 xml:space="preserve">Цитерал 250 </w:t>
      </w:r>
      <w:r w:rsidRPr="00D36C52">
        <w:rPr>
          <w:rFonts w:eastAsia="Times New Roman" w:cs="Arial"/>
          <w:color w:val="000000"/>
          <w:lang w:val="en-US"/>
        </w:rPr>
        <w:t xml:space="preserve">mg: </w:t>
      </w:r>
      <w:r w:rsidRPr="00D36C52">
        <w:rPr>
          <w:rFonts w:eastAsia="Times New Roman" w:cs="Arial"/>
          <w:color w:val="000000"/>
          <w:lang w:eastAsia="bg-BG"/>
        </w:rPr>
        <w:t xml:space="preserve">Всяка филмирана таблетка съдържа 291,5 </w:t>
      </w:r>
      <w:r w:rsidRPr="00D36C52">
        <w:rPr>
          <w:rFonts w:eastAsia="Times New Roman" w:cs="Arial"/>
          <w:color w:val="000000"/>
          <w:lang w:val="en-US"/>
        </w:rPr>
        <w:t xml:space="preserve">mg (ciprofloxacin hydrochloride monohydrate) </w:t>
      </w:r>
      <w:r w:rsidRPr="00D36C52">
        <w:rPr>
          <w:rFonts w:eastAsia="Times New Roman" w:cs="Arial"/>
          <w:color w:val="000000"/>
          <w:lang w:eastAsia="bg-BG"/>
        </w:rPr>
        <w:t xml:space="preserve">ципрофлоксацинов хидрохлорид монохидрат, съответстващ на 250 </w:t>
      </w:r>
      <w:r w:rsidRPr="00D36C52">
        <w:rPr>
          <w:rFonts w:eastAsia="Times New Roman" w:cs="Arial"/>
          <w:color w:val="000000"/>
          <w:lang w:val="en-US"/>
        </w:rPr>
        <w:t xml:space="preserve">mg </w:t>
      </w:r>
      <w:r w:rsidRPr="00D36C52">
        <w:rPr>
          <w:rFonts w:eastAsia="Times New Roman" w:cs="Arial"/>
          <w:color w:val="000000"/>
          <w:lang w:eastAsia="bg-BG"/>
        </w:rPr>
        <w:t>ципрофлоксацин.</w:t>
      </w:r>
    </w:p>
    <w:p w14:paraId="7533D637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 xml:space="preserve">Цитерал 500 </w:t>
      </w:r>
      <w:r w:rsidRPr="00D36C52">
        <w:rPr>
          <w:rFonts w:eastAsia="Times New Roman" w:cs="Arial"/>
          <w:color w:val="000000"/>
          <w:lang w:val="en-US"/>
        </w:rPr>
        <w:t xml:space="preserve">mg: </w:t>
      </w:r>
      <w:r w:rsidRPr="00D36C52">
        <w:rPr>
          <w:rFonts w:eastAsia="Times New Roman" w:cs="Arial"/>
          <w:color w:val="000000"/>
          <w:lang w:eastAsia="bg-BG"/>
        </w:rPr>
        <w:t xml:space="preserve">Всяка филмирана таблетка съдържа 583 </w:t>
      </w:r>
      <w:r w:rsidRPr="00D36C52">
        <w:rPr>
          <w:rFonts w:eastAsia="Times New Roman" w:cs="Arial"/>
          <w:color w:val="000000"/>
          <w:lang w:val="en-US"/>
        </w:rPr>
        <w:t xml:space="preserve">mg (ciprofloxacin hydrochloride monohydrate) </w:t>
      </w:r>
      <w:r w:rsidRPr="00D36C52">
        <w:rPr>
          <w:rFonts w:eastAsia="Times New Roman" w:cs="Arial"/>
          <w:color w:val="000000"/>
          <w:lang w:eastAsia="bg-BG"/>
        </w:rPr>
        <w:t xml:space="preserve">ципрофлоксацинов хидрохлорид монохидрат, съответстващ на 500 </w:t>
      </w:r>
      <w:r w:rsidRPr="00D36C52">
        <w:rPr>
          <w:rFonts w:eastAsia="Times New Roman" w:cs="Arial"/>
          <w:color w:val="000000"/>
          <w:lang w:val="en-US"/>
        </w:rPr>
        <w:t xml:space="preserve">mg </w:t>
      </w:r>
      <w:r w:rsidRPr="00D36C52">
        <w:rPr>
          <w:rFonts w:eastAsia="Times New Roman" w:cs="Arial"/>
          <w:color w:val="000000"/>
          <w:lang w:eastAsia="bg-BG"/>
        </w:rPr>
        <w:t>ципрофлоксацин.</w:t>
      </w:r>
    </w:p>
    <w:p w14:paraId="246CF3C0" w14:textId="77777777" w:rsidR="00D36C52" w:rsidRPr="00D36C52" w:rsidRDefault="00D36C52" w:rsidP="00D36C52">
      <w:pPr>
        <w:rPr>
          <w:rFonts w:eastAsia="Times New Roman" w:cs="Arial"/>
          <w:color w:val="000000"/>
          <w:lang w:eastAsia="bg-BG"/>
        </w:rPr>
      </w:pPr>
    </w:p>
    <w:p w14:paraId="03110A50" w14:textId="0C54988C" w:rsidR="0091385D" w:rsidRPr="00D36C52" w:rsidRDefault="00D36C52" w:rsidP="00D36C52">
      <w:pPr>
        <w:rPr>
          <w:rFonts w:cs="Arial"/>
        </w:rPr>
      </w:pPr>
      <w:r w:rsidRPr="00D36C52">
        <w:rPr>
          <w:rFonts w:eastAsia="Times New Roman" w:cs="Arial"/>
          <w:color w:val="000000"/>
          <w:lang w:eastAsia="bg-BG"/>
        </w:rPr>
        <w:t>За пълния списък на помощните вещества, вижте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277B91E7" w:rsidR="0091385D" w:rsidRDefault="0091385D" w:rsidP="0091385D"/>
    <w:p w14:paraId="4C0A43A8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>* Филмирани таблетки</w:t>
      </w:r>
    </w:p>
    <w:p w14:paraId="40D26151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 xml:space="preserve">Цитерал 250 </w:t>
      </w:r>
      <w:r w:rsidRPr="00D36C52">
        <w:rPr>
          <w:rFonts w:eastAsia="Times New Roman" w:cs="Arial"/>
          <w:color w:val="000000"/>
          <w:lang w:val="en-US"/>
        </w:rPr>
        <w:t xml:space="preserve">mg </w:t>
      </w:r>
      <w:r w:rsidRPr="00D36C52">
        <w:rPr>
          <w:rFonts w:eastAsia="Times New Roman" w:cs="Arial"/>
          <w:color w:val="000000"/>
          <w:lang w:eastAsia="bg-BG"/>
        </w:rPr>
        <w:t>представлява бели до бледо жълти на цвят, продълговати, двойно изпъкнали филмирани таблетки.</w:t>
      </w:r>
    </w:p>
    <w:p w14:paraId="61EC3FBC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 xml:space="preserve">Цитерал 500 </w:t>
      </w:r>
      <w:r w:rsidRPr="00D36C52">
        <w:rPr>
          <w:rFonts w:eastAsia="Times New Roman" w:cs="Arial"/>
          <w:color w:val="000000"/>
          <w:lang w:val="en-US"/>
        </w:rPr>
        <w:t xml:space="preserve">mg </w:t>
      </w:r>
      <w:r w:rsidRPr="00D36C52">
        <w:rPr>
          <w:rFonts w:eastAsia="Times New Roman" w:cs="Arial"/>
          <w:color w:val="000000"/>
          <w:lang w:eastAsia="bg-BG"/>
        </w:rPr>
        <w:t>представлява бели до бледо жълти на цвят, продълговати, двойно изпъкнали филмирани таблетки с разделителна линия от едната страна.</w:t>
      </w:r>
    </w:p>
    <w:p w14:paraId="4129ADBB" w14:textId="3F55EAEF" w:rsidR="0091385D" w:rsidRPr="00D36C52" w:rsidRDefault="00D36C52" w:rsidP="00D36C52">
      <w:pPr>
        <w:rPr>
          <w:rFonts w:cs="Arial"/>
        </w:rPr>
      </w:pPr>
      <w:r w:rsidRPr="00D36C52">
        <w:rPr>
          <w:rFonts w:eastAsia="Times New Roman" w:cs="Arial"/>
          <w:color w:val="000000"/>
          <w:lang w:eastAsia="bg-BG"/>
        </w:rPr>
        <w:t>Делителната черга е само за улесняване на счупването с цел по-лесно поглъщане, а не за разделяне на равни дози.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07621587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 xml:space="preserve">Ципрофлоксацин филмирани таблетки от 250 </w:t>
      </w:r>
      <w:r w:rsidRPr="00D36C52">
        <w:rPr>
          <w:rFonts w:eastAsia="Times New Roman" w:cs="Arial"/>
          <w:color w:val="000000"/>
          <w:lang w:val="en-US"/>
        </w:rPr>
        <w:t xml:space="preserve">mg </w:t>
      </w:r>
      <w:r w:rsidRPr="00D36C52">
        <w:rPr>
          <w:rFonts w:eastAsia="Times New Roman" w:cs="Arial"/>
          <w:color w:val="000000"/>
          <w:lang w:eastAsia="bg-BG"/>
        </w:rPr>
        <w:t xml:space="preserve">и от 500 </w:t>
      </w:r>
      <w:r w:rsidRPr="00D36C52">
        <w:rPr>
          <w:rFonts w:eastAsia="Times New Roman" w:cs="Arial"/>
          <w:color w:val="000000"/>
          <w:lang w:val="en-US"/>
        </w:rPr>
        <w:t xml:space="preserve">mg </w:t>
      </w:r>
      <w:r w:rsidRPr="00D36C52">
        <w:rPr>
          <w:rFonts w:eastAsia="Times New Roman" w:cs="Arial"/>
          <w:color w:val="000000"/>
          <w:lang w:eastAsia="bg-BG"/>
        </w:rPr>
        <w:t>е предназначен за лечение на следните инфекции. Преди започване на терапия е необходимо е да се обърне специално внимание на информацията относно резистентността към ципрофлоксацин. Да се имат предвид официалните препоръки относно правилната употреба на антибактериалните средства.</w:t>
      </w:r>
      <w:bookmarkStart w:id="1" w:name="bookmark0"/>
      <w:bookmarkEnd w:id="1"/>
    </w:p>
    <w:p w14:paraId="58E092E4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3A700D2B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b/>
          <w:bCs/>
          <w:i/>
          <w:iCs/>
          <w:color w:val="000000"/>
          <w:u w:val="single"/>
          <w:lang w:eastAsia="bg-BG"/>
        </w:rPr>
        <w:t>Възрастни</w:t>
      </w:r>
    </w:p>
    <w:p w14:paraId="04B2E99C" w14:textId="6B624D13" w:rsidR="0091385D" w:rsidRPr="00D36C52" w:rsidRDefault="00D36C52" w:rsidP="00D36C52">
      <w:pPr>
        <w:rPr>
          <w:rFonts w:eastAsia="Times New Roman" w:cs="Arial"/>
          <w:i/>
          <w:iCs/>
          <w:color w:val="000000"/>
          <w:lang w:eastAsia="bg-BG"/>
        </w:rPr>
      </w:pPr>
      <w:r w:rsidRPr="00D36C52">
        <w:rPr>
          <w:rFonts w:eastAsia="Times New Roman" w:cs="Arial"/>
          <w:i/>
          <w:iCs/>
          <w:color w:val="000000"/>
          <w:lang w:eastAsia="bg-BG"/>
        </w:rPr>
        <w:lastRenderedPageBreak/>
        <w:t>Инфекции на долните дихателни пътища, предизвикани от грам-отрицателни бактерии:</w:t>
      </w:r>
    </w:p>
    <w:p w14:paraId="76109BE5" w14:textId="77777777" w:rsidR="00D36C52" w:rsidRDefault="00D36C52" w:rsidP="00D36C52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>екзацербация на хронична обструктивна белодробна болест;</w:t>
      </w:r>
    </w:p>
    <w:p w14:paraId="7F2ABE54" w14:textId="77777777" w:rsidR="00D36C52" w:rsidRDefault="00D36C52" w:rsidP="00D36C52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>бронхо-пулмонални инфекции при муковисцидоза или бронхиектазии;</w:t>
      </w:r>
    </w:p>
    <w:p w14:paraId="44AA5292" w14:textId="23EABB93" w:rsidR="00D36C52" w:rsidRPr="00D36C52" w:rsidRDefault="00D36C52" w:rsidP="00D36C52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>пневмония</w:t>
      </w:r>
    </w:p>
    <w:p w14:paraId="552E80D5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lang w:eastAsia="bg-BG"/>
        </w:rPr>
        <w:t>Хронично супуративно възпаление на средното ухо</w:t>
      </w:r>
    </w:p>
    <w:p w14:paraId="74114464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lang w:eastAsia="bg-BG"/>
        </w:rPr>
        <w:t>Остра екзацербация на хроничен синушп, особено ако е предизвикан от грам- отрицателни бактерии</w:t>
      </w:r>
    </w:p>
    <w:p w14:paraId="5579A870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lang w:eastAsia="bg-BG"/>
        </w:rPr>
        <w:t>Инфекции на пикочните пътища</w:t>
      </w:r>
    </w:p>
    <w:p w14:paraId="373FB11F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lang w:eastAsia="bg-BG"/>
        </w:rPr>
        <w:t>Гонококов уретрит и цервицит</w:t>
      </w:r>
    </w:p>
    <w:p w14:paraId="217AC356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lang w:eastAsia="bg-BG"/>
        </w:rPr>
        <w:t xml:space="preserve">Орхиепидидимит, включително случаите, когато е предизвикан от </w:t>
      </w:r>
      <w:r w:rsidRPr="00D36C52">
        <w:rPr>
          <w:rFonts w:eastAsia="Times New Roman" w:cs="Arial"/>
          <w:i/>
          <w:iCs/>
          <w:color w:val="000000"/>
          <w:lang w:val="en-US"/>
        </w:rPr>
        <w:t xml:space="preserve">Neisseria </w:t>
      </w:r>
      <w:proofErr w:type="spellStart"/>
      <w:r w:rsidRPr="00D36C52">
        <w:rPr>
          <w:rFonts w:eastAsia="Times New Roman" w:cs="Arial"/>
          <w:i/>
          <w:iCs/>
          <w:color w:val="000000"/>
          <w:lang w:val="en-US"/>
        </w:rPr>
        <w:t>gonorrhoeae</w:t>
      </w:r>
      <w:proofErr w:type="spellEnd"/>
      <w:r w:rsidRPr="00D36C52">
        <w:rPr>
          <w:rFonts w:eastAsia="Times New Roman" w:cs="Arial"/>
          <w:i/>
          <w:iCs/>
          <w:color w:val="000000"/>
          <w:lang w:val="en-US"/>
        </w:rPr>
        <w:t xml:space="preserve"> </w:t>
      </w:r>
      <w:r w:rsidRPr="00D36C52">
        <w:rPr>
          <w:rFonts w:eastAsia="Times New Roman" w:cs="Arial"/>
          <w:i/>
          <w:iCs/>
          <w:color w:val="000000"/>
          <w:lang w:eastAsia="bg-BG"/>
        </w:rPr>
        <w:t xml:space="preserve">Тазова възпалителна болест, включително случаите, когато са предизвикани от </w:t>
      </w:r>
      <w:r w:rsidRPr="00D36C52">
        <w:rPr>
          <w:rFonts w:eastAsia="Times New Roman" w:cs="Arial"/>
          <w:i/>
          <w:iCs/>
          <w:color w:val="000000"/>
          <w:lang w:val="en-US"/>
        </w:rPr>
        <w:t xml:space="preserve">Neisseria </w:t>
      </w:r>
      <w:proofErr w:type="spellStart"/>
      <w:r w:rsidRPr="00D36C52">
        <w:rPr>
          <w:rFonts w:eastAsia="Times New Roman" w:cs="Arial"/>
          <w:i/>
          <w:iCs/>
          <w:color w:val="000000"/>
          <w:lang w:val="en-US"/>
        </w:rPr>
        <w:t>gonorrhoeae</w:t>
      </w:r>
      <w:proofErr w:type="spellEnd"/>
    </w:p>
    <w:p w14:paraId="7DA4823F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 xml:space="preserve">При гореспоменатите генитални инфекции, когато е установено или се предполага, че са предизвикани от </w:t>
      </w:r>
      <w:r w:rsidRPr="00D36C52">
        <w:rPr>
          <w:rFonts w:eastAsia="Times New Roman" w:cs="Arial"/>
          <w:i/>
          <w:iCs/>
          <w:color w:val="000000"/>
          <w:lang w:val="en-US"/>
        </w:rPr>
        <w:t xml:space="preserve">Neisseria </w:t>
      </w:r>
      <w:proofErr w:type="spellStart"/>
      <w:r w:rsidRPr="00D36C52">
        <w:rPr>
          <w:rFonts w:eastAsia="Times New Roman" w:cs="Arial"/>
          <w:i/>
          <w:iCs/>
          <w:color w:val="000000"/>
          <w:lang w:val="en-US"/>
        </w:rPr>
        <w:t>gonorrhoeae</w:t>
      </w:r>
      <w:proofErr w:type="spellEnd"/>
      <w:r w:rsidRPr="00D36C52">
        <w:rPr>
          <w:rFonts w:eastAsia="Times New Roman" w:cs="Arial"/>
          <w:i/>
          <w:iCs/>
          <w:color w:val="000000"/>
          <w:lang w:val="en-US"/>
        </w:rPr>
        <w:t>,</w:t>
      </w:r>
      <w:r w:rsidRPr="00D36C52">
        <w:rPr>
          <w:rFonts w:eastAsia="Times New Roman" w:cs="Arial"/>
          <w:color w:val="000000"/>
          <w:lang w:val="en-US"/>
        </w:rPr>
        <w:t xml:space="preserve"> </w:t>
      </w:r>
      <w:r w:rsidRPr="00D36C52">
        <w:rPr>
          <w:rFonts w:eastAsia="Times New Roman" w:cs="Arial"/>
          <w:color w:val="000000"/>
          <w:lang w:eastAsia="bg-BG"/>
        </w:rPr>
        <w:t>е от изключително значение да се получи локална информация за разпространението на ципрофлоксацин-резистентни щамове и чувствителността да се потвърди чрез лабораторни тестове.</w:t>
      </w:r>
    </w:p>
    <w:p w14:paraId="2B259A15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lang w:eastAsia="bg-BG"/>
        </w:rPr>
        <w:t>Инфекции на стомашно-чревния тракт (например диария при пътуване) Интраабдоминални инфекции</w:t>
      </w:r>
    </w:p>
    <w:p w14:paraId="5C94E062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lang w:eastAsia="bg-BG"/>
        </w:rPr>
        <w:t>Инфекции на кожата и меките тъкани, предизвикани от грам-отрицателни бактерии Злокачествен външен отит</w:t>
      </w:r>
    </w:p>
    <w:p w14:paraId="5670F7C0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lang w:eastAsia="bg-BG"/>
        </w:rPr>
        <w:t>Инфекции на костите и ставите</w:t>
      </w:r>
    </w:p>
    <w:p w14:paraId="46DD6D05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lang w:eastAsia="bg-BG"/>
        </w:rPr>
        <w:t>Лечение на инфекции при неутропенични пациенти</w:t>
      </w:r>
    </w:p>
    <w:p w14:paraId="37AC44B7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lang w:eastAsia="bg-BG"/>
        </w:rPr>
        <w:t>Профилактика на инфекции при неутропенични пациенти</w:t>
      </w:r>
    </w:p>
    <w:p w14:paraId="66D4E989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lang w:eastAsia="bg-BG"/>
        </w:rPr>
        <w:t xml:space="preserve">Профилактика на инвазивни инфекции, причинени от </w:t>
      </w:r>
      <w:r w:rsidRPr="00D36C52">
        <w:rPr>
          <w:rFonts w:eastAsia="Times New Roman" w:cs="Arial"/>
          <w:i/>
          <w:iCs/>
          <w:color w:val="000000"/>
          <w:lang w:val="en-US"/>
        </w:rPr>
        <w:t xml:space="preserve">Neisseria </w:t>
      </w:r>
      <w:proofErr w:type="spellStart"/>
      <w:r w:rsidRPr="00D36C52">
        <w:rPr>
          <w:rFonts w:eastAsia="Times New Roman" w:cs="Arial"/>
          <w:i/>
          <w:iCs/>
          <w:color w:val="000000"/>
          <w:lang w:val="en-US"/>
        </w:rPr>
        <w:t>meningitidis</w:t>
      </w:r>
      <w:proofErr w:type="spellEnd"/>
    </w:p>
    <w:p w14:paraId="11100A6F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lang w:eastAsia="bg-BG"/>
        </w:rPr>
        <w:t>Инхалаторен антракс (постекспозиционна профилактика и лечение)</w:t>
      </w:r>
    </w:p>
    <w:p w14:paraId="2DF76258" w14:textId="77777777" w:rsidR="00D36C52" w:rsidRPr="00D36C52" w:rsidRDefault="00D36C52" w:rsidP="00D36C52">
      <w:pPr>
        <w:spacing w:line="240" w:lineRule="auto"/>
        <w:rPr>
          <w:rFonts w:eastAsia="Times New Roman" w:cs="Arial"/>
          <w:b/>
          <w:bCs/>
          <w:i/>
          <w:iCs/>
          <w:color w:val="000000"/>
          <w:u w:val="single"/>
          <w:lang w:eastAsia="bg-BG"/>
        </w:rPr>
      </w:pPr>
    </w:p>
    <w:p w14:paraId="2F6CF9C0" w14:textId="2EDB4BCA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b/>
          <w:bCs/>
          <w:i/>
          <w:iCs/>
          <w:color w:val="000000"/>
          <w:u w:val="single"/>
          <w:lang w:eastAsia="bg-BG"/>
        </w:rPr>
        <w:t>Педиатрична популация</w:t>
      </w:r>
    </w:p>
    <w:p w14:paraId="02B601C9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lang w:eastAsia="bg-BG"/>
        </w:rPr>
        <w:t xml:space="preserve">Бронхо-пулмонарни инфекции при муковисцидоза, предизвикани от </w:t>
      </w:r>
      <w:r w:rsidRPr="00D36C52">
        <w:rPr>
          <w:rFonts w:eastAsia="Times New Roman" w:cs="Arial"/>
          <w:i/>
          <w:iCs/>
          <w:color w:val="000000"/>
          <w:lang w:val="en-US"/>
        </w:rPr>
        <w:t>Pseudomonas aeruginosa</w:t>
      </w:r>
    </w:p>
    <w:p w14:paraId="1B6F36FE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lang w:eastAsia="bg-BG"/>
        </w:rPr>
        <w:t>Усложнени инфекции на пикочните пътища и пиелонефрит</w:t>
      </w:r>
    </w:p>
    <w:p w14:paraId="149D5FE2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lang w:eastAsia="bg-BG"/>
        </w:rPr>
        <w:t>Инхалаторен антракс (постекспозиционна профилактика и лечение)</w:t>
      </w:r>
    </w:p>
    <w:p w14:paraId="74740EA8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>Ципрофлоксацин може също да се прилага при лечение на тежки инфекции при деца и подрастващи, когато това се счита за наложително.</w:t>
      </w:r>
    </w:p>
    <w:p w14:paraId="3533B40F" w14:textId="23632DA8" w:rsidR="00D36C52" w:rsidRPr="00D36C52" w:rsidRDefault="00D36C52" w:rsidP="00D36C52">
      <w:pPr>
        <w:rPr>
          <w:rFonts w:cs="Arial"/>
        </w:rPr>
      </w:pPr>
      <w:r w:rsidRPr="00D36C52">
        <w:rPr>
          <w:rFonts w:eastAsia="Times New Roman" w:cs="Arial"/>
          <w:color w:val="000000"/>
          <w:lang w:eastAsia="bg-BG"/>
        </w:rPr>
        <w:t>Лечението трябва да се провежда от лекари, които са с опит в лечението на муковисцидоза и/или тежки инфекции при деца и подрастващи (виж т 4.4 и 5.1).</w:t>
      </w:r>
    </w:p>
    <w:p w14:paraId="6DFA4B9D" w14:textId="77777777" w:rsidR="0091385D" w:rsidRPr="0091385D" w:rsidRDefault="0091385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3A681DFB" w:rsidR="0091385D" w:rsidRDefault="0091385D" w:rsidP="0091385D"/>
    <w:p w14:paraId="53DC8823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>Дозировката се определя от индикациите, тежестта и мястото на инфекцията, чувствителността на причинителя към ципрофлоксацин, състоянието на бъбречната функция на пациента, а при деца и подрастващи и от телесната маса.</w:t>
      </w:r>
    </w:p>
    <w:p w14:paraId="4E5F7BC2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>Продължителността на лечението зависи от тежестта на заболяването и от клиничния и бактериологичния статус.</w:t>
      </w:r>
    </w:p>
    <w:p w14:paraId="401BA189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 xml:space="preserve">Лечението на инфекции, предизвикани от конкретни бактерии (напр. </w:t>
      </w:r>
      <w:r w:rsidRPr="00D36C52">
        <w:rPr>
          <w:rFonts w:eastAsia="Times New Roman" w:cs="Arial"/>
          <w:i/>
          <w:iCs/>
          <w:color w:val="000000"/>
          <w:lang w:val="en-US"/>
        </w:rPr>
        <w:t>Pseudomonas</w:t>
      </w:r>
    </w:p>
    <w:p w14:paraId="37108297" w14:textId="77777777" w:rsidR="00D36C52" w:rsidRPr="00D36C52" w:rsidRDefault="00D36C52" w:rsidP="00D36C52">
      <w:pPr>
        <w:rPr>
          <w:rFonts w:eastAsia="Times New Roman" w:cs="Arial"/>
          <w:sz w:val="24"/>
          <w:szCs w:val="24"/>
          <w:lang w:eastAsia="bg-BG"/>
        </w:rPr>
      </w:pPr>
      <w:proofErr w:type="gramStart"/>
      <w:r w:rsidRPr="00D36C52">
        <w:rPr>
          <w:rFonts w:eastAsia="Times New Roman" w:cs="Arial"/>
          <w:i/>
          <w:iCs/>
          <w:color w:val="000000"/>
          <w:lang w:val="en-US"/>
        </w:rPr>
        <w:t>aeruginosa</w:t>
      </w:r>
      <w:proofErr w:type="gramEnd"/>
      <w:r w:rsidRPr="00D36C52">
        <w:rPr>
          <w:rFonts w:eastAsia="Times New Roman" w:cs="Arial"/>
          <w:i/>
          <w:iCs/>
          <w:color w:val="000000"/>
          <w:lang w:val="en-US"/>
        </w:rPr>
        <w:t xml:space="preserve">, </w:t>
      </w:r>
      <w:proofErr w:type="spellStart"/>
      <w:r w:rsidRPr="00D36C52">
        <w:rPr>
          <w:rFonts w:eastAsia="Times New Roman" w:cs="Arial"/>
          <w:i/>
          <w:iCs/>
          <w:color w:val="000000"/>
          <w:lang w:val="en-US"/>
        </w:rPr>
        <w:t>Acinetobacter</w:t>
      </w:r>
      <w:proofErr w:type="spellEnd"/>
      <w:r w:rsidRPr="00D36C52">
        <w:rPr>
          <w:rFonts w:eastAsia="Times New Roman" w:cs="Arial"/>
          <w:color w:val="000000"/>
          <w:lang w:val="en-US"/>
        </w:rPr>
        <w:t xml:space="preserve"> </w:t>
      </w:r>
      <w:r w:rsidRPr="00D36C52">
        <w:rPr>
          <w:rFonts w:eastAsia="Times New Roman" w:cs="Arial"/>
          <w:color w:val="000000"/>
          <w:lang w:eastAsia="bg-BG"/>
        </w:rPr>
        <w:t xml:space="preserve">или </w:t>
      </w:r>
      <w:r w:rsidRPr="00D36C52">
        <w:rPr>
          <w:rFonts w:eastAsia="Times New Roman" w:cs="Arial"/>
          <w:i/>
          <w:iCs/>
          <w:color w:val="000000"/>
          <w:lang w:val="en-US"/>
        </w:rPr>
        <w:t>Staphylococci),</w:t>
      </w:r>
      <w:r w:rsidRPr="00D36C52">
        <w:rPr>
          <w:rFonts w:eastAsia="Times New Roman" w:cs="Arial"/>
          <w:color w:val="000000"/>
          <w:lang w:val="en-US"/>
        </w:rPr>
        <w:t xml:space="preserve"> </w:t>
      </w:r>
      <w:r w:rsidRPr="00D36C52">
        <w:rPr>
          <w:rFonts w:eastAsia="Times New Roman" w:cs="Arial"/>
          <w:color w:val="000000"/>
          <w:lang w:eastAsia="bg-BG"/>
        </w:rPr>
        <w:t>може да изисква по-високи дози ципрофлоксацин и комбинирано приложение с други антибактериални/средства. Лечението на някои инфекции (напр. възпаления в малкия таз, интра-абдомиални</w:t>
      </w:r>
      <w:r w:rsidRPr="00D36C52">
        <w:rPr>
          <w:rFonts w:eastAsia="Times New Roman" w:cs="Arial"/>
          <w:i/>
          <w:iCs/>
          <w:color w:val="000000"/>
          <w:lang w:eastAsia="bg-BG"/>
        </w:rPr>
        <w:t xml:space="preserve"> </w:t>
      </w:r>
      <w:r w:rsidRPr="00D36C52">
        <w:rPr>
          <w:rFonts w:eastAsia="Times New Roman" w:cs="Arial"/>
          <w:color w:val="000000"/>
          <w:lang w:eastAsia="bg-BG"/>
        </w:rPr>
        <w:t xml:space="preserve">инфекции, инфекции при неутропенични пациенти и инфекции на костите и ставите) може </w:t>
      </w:r>
      <w:r w:rsidRPr="00D36C52">
        <w:rPr>
          <w:rFonts w:eastAsia="Times New Roman" w:cs="Arial"/>
          <w:color w:val="000000"/>
          <w:lang w:eastAsia="bg-BG"/>
        </w:rPr>
        <w:lastRenderedPageBreak/>
        <w:t>да изисква едновременното приложение и на други подходящи антибактериални средства в зависимост от причиняващите агенти.</w:t>
      </w:r>
    </w:p>
    <w:p w14:paraId="4E89C2D6" w14:textId="77777777" w:rsidR="00D36C52" w:rsidRPr="00D36C52" w:rsidRDefault="00D36C52" w:rsidP="00D36C52">
      <w:pPr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75300EC" w14:textId="133CEAA4" w:rsidR="0091385D" w:rsidRDefault="00D36C52" w:rsidP="00D36C52">
      <w:pPr>
        <w:rPr>
          <w:rFonts w:eastAsia="Times New Roman" w:cs="Arial"/>
          <w:i/>
          <w:iCs/>
          <w:color w:val="000000"/>
          <w:u w:val="single"/>
          <w:lang w:eastAsia="bg-BG"/>
        </w:rPr>
      </w:pPr>
      <w:r w:rsidRPr="00D36C52">
        <w:rPr>
          <w:rFonts w:eastAsia="Times New Roman" w:cs="Arial"/>
          <w:i/>
          <w:iCs/>
          <w:color w:val="000000"/>
          <w:u w:val="single"/>
          <w:lang w:eastAsia="bg-BG"/>
        </w:rPr>
        <w:t>Възрастни</w:t>
      </w:r>
    </w:p>
    <w:p w14:paraId="2302605C" w14:textId="77777777" w:rsidR="00D36C52" w:rsidRPr="00D36C52" w:rsidRDefault="00D36C52" w:rsidP="00D36C5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350"/>
        <w:gridCol w:w="2316"/>
        <w:gridCol w:w="2365"/>
      </w:tblGrid>
      <w:tr w:rsidR="00F918A4" w14:paraId="5138C809" w14:textId="77777777" w:rsidTr="00357032">
        <w:tc>
          <w:tcPr>
            <w:tcW w:w="2375" w:type="dxa"/>
            <w:vAlign w:val="center"/>
          </w:tcPr>
          <w:p w14:paraId="407A36C7" w14:textId="0FEDAD34" w:rsidR="00F918A4" w:rsidRDefault="00F918A4" w:rsidP="00F918A4">
            <w:r>
              <w:rPr>
                <w:b/>
                <w:bCs/>
              </w:rPr>
              <w:t>Индикации</w:t>
            </w:r>
          </w:p>
        </w:tc>
        <w:tc>
          <w:tcPr>
            <w:tcW w:w="4750" w:type="dxa"/>
            <w:gridSpan w:val="2"/>
            <w:vAlign w:val="center"/>
          </w:tcPr>
          <w:p w14:paraId="71B09A3F" w14:textId="2C1A5126" w:rsidR="00F918A4" w:rsidRDefault="00F918A4" w:rsidP="00F918A4">
            <w:r>
              <w:rPr>
                <w:b/>
                <w:bCs/>
              </w:rPr>
              <w:t xml:space="preserve">Дневна доза в </w:t>
            </w:r>
            <w:r>
              <w:rPr>
                <w:b/>
                <w:bCs/>
                <w:lang w:val="en-US"/>
              </w:rPr>
              <w:t>mg</w:t>
            </w:r>
          </w:p>
        </w:tc>
        <w:tc>
          <w:tcPr>
            <w:tcW w:w="2375" w:type="dxa"/>
            <w:vAlign w:val="bottom"/>
          </w:tcPr>
          <w:p w14:paraId="1F1A5B99" w14:textId="08A7ED8F" w:rsidR="00F918A4" w:rsidRDefault="00F918A4" w:rsidP="00F918A4">
            <w:r>
              <w:rPr>
                <w:b/>
                <w:bCs/>
              </w:rPr>
              <w:t>Обща продължителност на лечението (потенциално включено инициално парентерално приложение на ципрофлоксацин)</w:t>
            </w:r>
          </w:p>
        </w:tc>
      </w:tr>
      <w:tr w:rsidR="00F918A4" w14:paraId="292798F4" w14:textId="77777777" w:rsidTr="00357032">
        <w:tc>
          <w:tcPr>
            <w:tcW w:w="2375" w:type="dxa"/>
          </w:tcPr>
          <w:p w14:paraId="0A5ED7BE" w14:textId="2D5136C1" w:rsidR="00F918A4" w:rsidRDefault="00F918A4" w:rsidP="00F918A4">
            <w:r>
              <w:t>Инфекции на долните дихателни пътища</w:t>
            </w:r>
          </w:p>
        </w:tc>
        <w:tc>
          <w:tcPr>
            <w:tcW w:w="4750" w:type="dxa"/>
            <w:gridSpan w:val="2"/>
            <w:vAlign w:val="center"/>
          </w:tcPr>
          <w:p w14:paraId="2595A4C8" w14:textId="1FAE5F9C" w:rsidR="00F918A4" w:rsidRDefault="00F918A4" w:rsidP="00F918A4">
            <w:r>
              <w:t xml:space="preserve">500 до 750 </w:t>
            </w:r>
            <w:r>
              <w:rPr>
                <w:lang w:val="en-US"/>
              </w:rPr>
              <w:t xml:space="preserve">mg </w:t>
            </w:r>
            <w:r>
              <w:t>два пъти дневно</w:t>
            </w:r>
          </w:p>
        </w:tc>
        <w:tc>
          <w:tcPr>
            <w:tcW w:w="2375" w:type="dxa"/>
            <w:vAlign w:val="center"/>
          </w:tcPr>
          <w:p w14:paraId="78DF4A05" w14:textId="7F96A0CF" w:rsidR="00F918A4" w:rsidRDefault="00F918A4" w:rsidP="00F918A4">
            <w:r>
              <w:t>7 до 14 дни</w:t>
            </w:r>
          </w:p>
        </w:tc>
      </w:tr>
      <w:tr w:rsidR="00F918A4" w14:paraId="27E7827A" w14:textId="77777777" w:rsidTr="00357032">
        <w:tc>
          <w:tcPr>
            <w:tcW w:w="2375" w:type="dxa"/>
            <w:vMerge w:val="restart"/>
            <w:vAlign w:val="center"/>
          </w:tcPr>
          <w:p w14:paraId="6F239B49" w14:textId="10BF880D" w:rsidR="00F918A4" w:rsidRPr="00F918A4" w:rsidRDefault="00F918A4" w:rsidP="00F918A4">
            <w:r w:rsidRPr="00F918A4">
              <w:t>Инфекции на горните дихателни пътища</w:t>
            </w:r>
          </w:p>
        </w:tc>
        <w:tc>
          <w:tcPr>
            <w:tcW w:w="2375" w:type="dxa"/>
            <w:vAlign w:val="bottom"/>
          </w:tcPr>
          <w:p w14:paraId="440926C5" w14:textId="4F3AD4A6" w:rsidR="00F918A4" w:rsidRDefault="00F918A4" w:rsidP="00F918A4">
            <w:r>
              <w:t>Остра екзацербация хроничен синуит</w:t>
            </w:r>
          </w:p>
        </w:tc>
        <w:tc>
          <w:tcPr>
            <w:tcW w:w="2375" w:type="dxa"/>
            <w:vAlign w:val="center"/>
          </w:tcPr>
          <w:p w14:paraId="2E213918" w14:textId="1EFCC138" w:rsidR="00F918A4" w:rsidRDefault="00F918A4" w:rsidP="00F918A4">
            <w:r>
              <w:t xml:space="preserve">500 до 750 </w:t>
            </w:r>
            <w:r>
              <w:rPr>
                <w:lang w:val="en-US"/>
              </w:rPr>
              <w:t xml:space="preserve">mg </w:t>
            </w:r>
            <w:r>
              <w:t>два пъти дневно</w:t>
            </w:r>
          </w:p>
        </w:tc>
        <w:tc>
          <w:tcPr>
            <w:tcW w:w="2375" w:type="dxa"/>
            <w:vAlign w:val="center"/>
          </w:tcPr>
          <w:p w14:paraId="4B982C47" w14:textId="618D3DCF" w:rsidR="00F918A4" w:rsidRDefault="00F918A4" w:rsidP="00F918A4">
            <w:r>
              <w:t>7 до 14 дни</w:t>
            </w:r>
          </w:p>
        </w:tc>
      </w:tr>
      <w:tr w:rsidR="00F918A4" w14:paraId="677FC8D4" w14:textId="77777777" w:rsidTr="00357032">
        <w:tc>
          <w:tcPr>
            <w:tcW w:w="2375" w:type="dxa"/>
            <w:vMerge/>
            <w:vAlign w:val="center"/>
          </w:tcPr>
          <w:p w14:paraId="77853E43" w14:textId="77777777" w:rsidR="00F918A4" w:rsidRPr="00F918A4" w:rsidRDefault="00F918A4" w:rsidP="00F918A4"/>
        </w:tc>
        <w:tc>
          <w:tcPr>
            <w:tcW w:w="2375" w:type="dxa"/>
          </w:tcPr>
          <w:p w14:paraId="4DB2762B" w14:textId="02891E72" w:rsidR="00F918A4" w:rsidRDefault="00F918A4" w:rsidP="00F918A4">
            <w:r>
              <w:t>Хронично супуративно възпаление на средното ухо</w:t>
            </w:r>
          </w:p>
        </w:tc>
        <w:tc>
          <w:tcPr>
            <w:tcW w:w="2375" w:type="dxa"/>
            <w:vAlign w:val="center"/>
          </w:tcPr>
          <w:p w14:paraId="526C23C4" w14:textId="6161B2A2" w:rsidR="00F918A4" w:rsidRDefault="00F918A4" w:rsidP="00F918A4">
            <w:r>
              <w:t xml:space="preserve">500 до 750 </w:t>
            </w:r>
            <w:r>
              <w:rPr>
                <w:lang w:val="en-US"/>
              </w:rPr>
              <w:t xml:space="preserve">mg </w:t>
            </w:r>
            <w:r>
              <w:t>два пъти дневно</w:t>
            </w:r>
          </w:p>
        </w:tc>
        <w:tc>
          <w:tcPr>
            <w:tcW w:w="2375" w:type="dxa"/>
            <w:vAlign w:val="center"/>
          </w:tcPr>
          <w:p w14:paraId="19A4EF5F" w14:textId="7C0EEC08" w:rsidR="00F918A4" w:rsidRDefault="00F918A4" w:rsidP="00F918A4">
            <w:r>
              <w:t>7 до 14 дни</w:t>
            </w:r>
          </w:p>
        </w:tc>
      </w:tr>
      <w:tr w:rsidR="00F918A4" w14:paraId="55F967AC" w14:textId="77777777" w:rsidTr="00357032">
        <w:tc>
          <w:tcPr>
            <w:tcW w:w="2375" w:type="dxa"/>
            <w:vMerge/>
            <w:vAlign w:val="center"/>
          </w:tcPr>
          <w:p w14:paraId="2C486B7F" w14:textId="77777777" w:rsidR="00F918A4" w:rsidRPr="00F918A4" w:rsidRDefault="00F918A4" w:rsidP="00F918A4"/>
        </w:tc>
        <w:tc>
          <w:tcPr>
            <w:tcW w:w="2375" w:type="dxa"/>
            <w:vAlign w:val="center"/>
          </w:tcPr>
          <w:p w14:paraId="7150B1FD" w14:textId="6381F76C" w:rsidR="00F918A4" w:rsidRDefault="00F918A4" w:rsidP="00F918A4">
            <w:r>
              <w:t>Малигнен външен отит</w:t>
            </w:r>
          </w:p>
        </w:tc>
        <w:tc>
          <w:tcPr>
            <w:tcW w:w="2375" w:type="dxa"/>
            <w:vAlign w:val="center"/>
          </w:tcPr>
          <w:p w14:paraId="3FC9225C" w14:textId="0BFDE8A4" w:rsidR="00F918A4" w:rsidRDefault="00F918A4" w:rsidP="00F918A4">
            <w:r>
              <w:t xml:space="preserve">750 </w:t>
            </w:r>
            <w:r>
              <w:rPr>
                <w:lang w:val="en-US"/>
              </w:rPr>
              <w:t xml:space="preserve">mg </w:t>
            </w:r>
            <w:r>
              <w:t>два пъти дневно</w:t>
            </w:r>
          </w:p>
        </w:tc>
        <w:tc>
          <w:tcPr>
            <w:tcW w:w="2375" w:type="dxa"/>
            <w:vAlign w:val="center"/>
          </w:tcPr>
          <w:p w14:paraId="2237E92F" w14:textId="26D29F77" w:rsidR="00F918A4" w:rsidRDefault="00F918A4" w:rsidP="00F918A4">
            <w:r>
              <w:t>28 дни до 3 месеца</w:t>
            </w:r>
          </w:p>
        </w:tc>
      </w:tr>
      <w:tr w:rsidR="00F918A4" w14:paraId="1F270A65" w14:textId="77777777" w:rsidTr="00357032">
        <w:tc>
          <w:tcPr>
            <w:tcW w:w="2375" w:type="dxa"/>
            <w:vMerge w:val="restart"/>
            <w:vAlign w:val="center"/>
          </w:tcPr>
          <w:p w14:paraId="5C0B02C8" w14:textId="1ED30FD9" w:rsidR="00F918A4" w:rsidRPr="00F918A4" w:rsidRDefault="00F918A4" w:rsidP="00F918A4">
            <w:r w:rsidRPr="00F918A4">
              <w:t>Инфекции на пикочните пътища</w:t>
            </w:r>
          </w:p>
        </w:tc>
        <w:tc>
          <w:tcPr>
            <w:tcW w:w="2375" w:type="dxa"/>
            <w:vMerge w:val="restart"/>
            <w:vAlign w:val="center"/>
          </w:tcPr>
          <w:p w14:paraId="2D768F92" w14:textId="14528818" w:rsidR="00F918A4" w:rsidRDefault="00F918A4" w:rsidP="00F918A4">
            <w:r>
              <w:t>Неусложнен цистит</w:t>
            </w:r>
          </w:p>
        </w:tc>
        <w:tc>
          <w:tcPr>
            <w:tcW w:w="2375" w:type="dxa"/>
            <w:vAlign w:val="center"/>
          </w:tcPr>
          <w:p w14:paraId="386E9082" w14:textId="26FA9669" w:rsidR="00F918A4" w:rsidRPr="00F918A4" w:rsidRDefault="00F918A4" w:rsidP="00F918A4">
            <w:r w:rsidRPr="00F918A4">
              <w:t xml:space="preserve">250 до 500 </w:t>
            </w:r>
            <w:r w:rsidRPr="00F918A4">
              <w:rPr>
                <w:lang w:val="en-US"/>
              </w:rPr>
              <w:t xml:space="preserve">mg </w:t>
            </w:r>
            <w:r w:rsidRPr="00F918A4">
              <w:t>два пъти дневно</w:t>
            </w:r>
          </w:p>
        </w:tc>
        <w:tc>
          <w:tcPr>
            <w:tcW w:w="2375" w:type="dxa"/>
            <w:vAlign w:val="center"/>
          </w:tcPr>
          <w:p w14:paraId="04AA951C" w14:textId="76691002" w:rsidR="00F918A4" w:rsidRPr="00F918A4" w:rsidRDefault="00F918A4" w:rsidP="00F918A4">
            <w:r w:rsidRPr="00F918A4">
              <w:t>3 дни</w:t>
            </w:r>
          </w:p>
        </w:tc>
      </w:tr>
      <w:tr w:rsidR="00F918A4" w14:paraId="2C2C1602" w14:textId="77777777" w:rsidTr="00357032">
        <w:tc>
          <w:tcPr>
            <w:tcW w:w="2375" w:type="dxa"/>
            <w:vMerge/>
          </w:tcPr>
          <w:p w14:paraId="37C69983" w14:textId="77777777" w:rsidR="00F918A4" w:rsidRDefault="00F918A4" w:rsidP="00F918A4"/>
        </w:tc>
        <w:tc>
          <w:tcPr>
            <w:tcW w:w="2375" w:type="dxa"/>
            <w:vMerge/>
            <w:vAlign w:val="center"/>
          </w:tcPr>
          <w:p w14:paraId="58FC01BE" w14:textId="77777777" w:rsidR="00F918A4" w:rsidRDefault="00F918A4" w:rsidP="00F918A4"/>
        </w:tc>
        <w:tc>
          <w:tcPr>
            <w:tcW w:w="4750" w:type="dxa"/>
            <w:gridSpan w:val="2"/>
          </w:tcPr>
          <w:p w14:paraId="460796AC" w14:textId="5716EC6C" w:rsidR="00F918A4" w:rsidRPr="00F918A4" w:rsidRDefault="00F918A4" w:rsidP="00F918A4">
            <w:r w:rsidRPr="00F918A4">
              <w:t xml:space="preserve">При жени в пременопауза може да се приложи еднократна доза от 500 </w:t>
            </w:r>
            <w:r w:rsidRPr="00F918A4">
              <w:rPr>
                <w:lang w:val="en-US"/>
              </w:rPr>
              <w:t>mg</w:t>
            </w:r>
          </w:p>
        </w:tc>
      </w:tr>
      <w:tr w:rsidR="00F918A4" w14:paraId="738BF93A" w14:textId="77777777" w:rsidTr="00357032">
        <w:tc>
          <w:tcPr>
            <w:tcW w:w="2375" w:type="dxa"/>
            <w:vMerge/>
          </w:tcPr>
          <w:p w14:paraId="3255162E" w14:textId="77777777" w:rsidR="00F918A4" w:rsidRDefault="00F918A4" w:rsidP="00F918A4"/>
        </w:tc>
        <w:tc>
          <w:tcPr>
            <w:tcW w:w="2375" w:type="dxa"/>
            <w:vAlign w:val="bottom"/>
          </w:tcPr>
          <w:p w14:paraId="0540B92F" w14:textId="3D3BC2A8" w:rsidR="00F918A4" w:rsidRDefault="00F918A4" w:rsidP="00F918A4">
            <w:r>
              <w:t>Усложнен цистит, неусложнен пиелонефрит</w:t>
            </w:r>
          </w:p>
        </w:tc>
        <w:tc>
          <w:tcPr>
            <w:tcW w:w="2375" w:type="dxa"/>
            <w:vAlign w:val="center"/>
          </w:tcPr>
          <w:p w14:paraId="1F0CE4B7" w14:textId="533FEBAF" w:rsidR="00F918A4" w:rsidRPr="00F918A4" w:rsidRDefault="00F918A4" w:rsidP="00F918A4">
            <w:r w:rsidRPr="00F918A4">
              <w:t xml:space="preserve">500 </w:t>
            </w:r>
            <w:r w:rsidRPr="00F918A4">
              <w:rPr>
                <w:lang w:val="en-US"/>
              </w:rPr>
              <w:t xml:space="preserve">mg </w:t>
            </w:r>
            <w:r w:rsidRPr="00F918A4">
              <w:t>два пъти дневно</w:t>
            </w:r>
          </w:p>
        </w:tc>
        <w:tc>
          <w:tcPr>
            <w:tcW w:w="2375" w:type="dxa"/>
            <w:vAlign w:val="center"/>
          </w:tcPr>
          <w:p w14:paraId="4CAF1380" w14:textId="5641806C" w:rsidR="00F918A4" w:rsidRPr="00F918A4" w:rsidRDefault="00F918A4" w:rsidP="00F918A4">
            <w:r w:rsidRPr="00F918A4">
              <w:t>7 дни</w:t>
            </w:r>
          </w:p>
        </w:tc>
      </w:tr>
      <w:tr w:rsidR="00F918A4" w14:paraId="39274C6C" w14:textId="77777777" w:rsidTr="00357032">
        <w:tc>
          <w:tcPr>
            <w:tcW w:w="2375" w:type="dxa"/>
            <w:vMerge/>
          </w:tcPr>
          <w:p w14:paraId="5BE51D34" w14:textId="77777777" w:rsidR="00F918A4" w:rsidRDefault="00F918A4" w:rsidP="00F918A4"/>
        </w:tc>
        <w:tc>
          <w:tcPr>
            <w:tcW w:w="2375" w:type="dxa"/>
            <w:vAlign w:val="center"/>
          </w:tcPr>
          <w:p w14:paraId="7F9E4CE5" w14:textId="38A77AE0" w:rsidR="00F918A4" w:rsidRDefault="00F918A4" w:rsidP="00F918A4">
            <w:r>
              <w:t>Усложнен пиелонефрит</w:t>
            </w:r>
          </w:p>
        </w:tc>
        <w:tc>
          <w:tcPr>
            <w:tcW w:w="2375" w:type="dxa"/>
            <w:vAlign w:val="center"/>
          </w:tcPr>
          <w:p w14:paraId="76F8FACE" w14:textId="29E8A5FF" w:rsidR="00F918A4" w:rsidRPr="00F918A4" w:rsidRDefault="00F918A4" w:rsidP="00F918A4">
            <w:r w:rsidRPr="00F918A4">
              <w:t xml:space="preserve">500 </w:t>
            </w:r>
            <w:r w:rsidRPr="00F918A4">
              <w:rPr>
                <w:lang w:val="en-US"/>
              </w:rPr>
              <w:t xml:space="preserve">mg </w:t>
            </w:r>
            <w:r w:rsidRPr="00F918A4">
              <w:t xml:space="preserve">два пъти дневно до 750 </w:t>
            </w:r>
            <w:r w:rsidRPr="00F918A4">
              <w:rPr>
                <w:lang w:val="en-US"/>
              </w:rPr>
              <w:t xml:space="preserve">mg </w:t>
            </w:r>
            <w:r w:rsidRPr="00F918A4">
              <w:t>два пъти дневно</w:t>
            </w:r>
          </w:p>
        </w:tc>
        <w:tc>
          <w:tcPr>
            <w:tcW w:w="2375" w:type="dxa"/>
            <w:vAlign w:val="bottom"/>
          </w:tcPr>
          <w:p w14:paraId="48BA965D" w14:textId="5D34FDA7" w:rsidR="00F918A4" w:rsidRPr="00F918A4" w:rsidRDefault="00F918A4" w:rsidP="00F918A4">
            <w:r w:rsidRPr="00F918A4">
              <w:t xml:space="preserve">Най-малко 10 дни, може да се продължи и повече от 21 дни някои специални обстоятелства (като абцеси) </w:t>
            </w:r>
          </w:p>
        </w:tc>
      </w:tr>
      <w:tr w:rsidR="00F918A4" w14:paraId="07A37E38" w14:textId="77777777" w:rsidTr="00357032">
        <w:trPr>
          <w:trHeight w:val="1089"/>
        </w:trPr>
        <w:tc>
          <w:tcPr>
            <w:tcW w:w="2375" w:type="dxa"/>
            <w:vMerge/>
          </w:tcPr>
          <w:p w14:paraId="33AB8E85" w14:textId="77777777" w:rsidR="00F918A4" w:rsidRDefault="00F918A4" w:rsidP="00F918A4"/>
        </w:tc>
        <w:tc>
          <w:tcPr>
            <w:tcW w:w="2375" w:type="dxa"/>
            <w:vAlign w:val="center"/>
          </w:tcPr>
          <w:p w14:paraId="57876280" w14:textId="0C21C708" w:rsidR="00F918A4" w:rsidRDefault="00F918A4" w:rsidP="00F918A4">
            <w:r>
              <w:t>Простатит</w:t>
            </w:r>
          </w:p>
        </w:tc>
        <w:tc>
          <w:tcPr>
            <w:tcW w:w="2375" w:type="dxa"/>
            <w:vAlign w:val="bottom"/>
          </w:tcPr>
          <w:p w14:paraId="6324B230" w14:textId="77777777" w:rsidR="00F918A4" w:rsidRPr="00F918A4" w:rsidRDefault="00F918A4" w:rsidP="00F918A4">
            <w:r w:rsidRPr="00F918A4">
              <w:t xml:space="preserve">500 </w:t>
            </w:r>
            <w:r w:rsidRPr="00F918A4">
              <w:rPr>
                <w:lang w:val="en-US"/>
              </w:rPr>
              <w:t xml:space="preserve">mg </w:t>
            </w:r>
            <w:r w:rsidRPr="00F918A4">
              <w:t xml:space="preserve">два пъти дневно до 750 </w:t>
            </w:r>
            <w:r w:rsidRPr="00F918A4">
              <w:rPr>
                <w:lang w:val="en-US"/>
              </w:rPr>
              <w:t>mg</w:t>
            </w:r>
          </w:p>
          <w:p w14:paraId="7FDAAEB3" w14:textId="11D4C431" w:rsidR="00F918A4" w:rsidRPr="00F918A4" w:rsidRDefault="00F918A4" w:rsidP="00F918A4">
            <w:r>
              <w:t>два пъти дневно</w:t>
            </w:r>
          </w:p>
        </w:tc>
        <w:tc>
          <w:tcPr>
            <w:tcW w:w="2375" w:type="dxa"/>
            <w:vAlign w:val="bottom"/>
          </w:tcPr>
          <w:p w14:paraId="036CFFF1" w14:textId="5D0EE2B3" w:rsidR="00F918A4" w:rsidRPr="00F918A4" w:rsidRDefault="00F918A4" w:rsidP="00F918A4">
            <w:r w:rsidRPr="00F918A4">
              <w:t>2 до 4 седмици (остър) до 4 до 6 седмици</w:t>
            </w:r>
            <w:r>
              <w:t xml:space="preserve"> (хроничен)</w:t>
            </w:r>
          </w:p>
        </w:tc>
      </w:tr>
      <w:tr w:rsidR="00F918A4" w14:paraId="5E42AF69" w14:textId="77777777" w:rsidTr="00357032">
        <w:tc>
          <w:tcPr>
            <w:tcW w:w="2375" w:type="dxa"/>
            <w:vMerge w:val="restart"/>
          </w:tcPr>
          <w:p w14:paraId="77B821EF" w14:textId="165308F1" w:rsidR="00F918A4" w:rsidRDefault="00F918A4" w:rsidP="00F918A4">
            <w:r>
              <w:t>Полови инфекции</w:t>
            </w:r>
          </w:p>
        </w:tc>
        <w:tc>
          <w:tcPr>
            <w:tcW w:w="2375" w:type="dxa"/>
            <w:vAlign w:val="bottom"/>
          </w:tcPr>
          <w:p w14:paraId="6DFAB885" w14:textId="2AF86A23" w:rsidR="00F918A4" w:rsidRDefault="00F918A4" w:rsidP="00F918A4">
            <w:r>
              <w:t>Гонококов уретрит и цервицит</w:t>
            </w:r>
          </w:p>
        </w:tc>
        <w:tc>
          <w:tcPr>
            <w:tcW w:w="2375" w:type="dxa"/>
            <w:vAlign w:val="center"/>
          </w:tcPr>
          <w:p w14:paraId="4685B955" w14:textId="170C8C05" w:rsidR="00F918A4" w:rsidRDefault="00F918A4" w:rsidP="00F918A4">
            <w:r>
              <w:t xml:space="preserve">500 </w:t>
            </w:r>
            <w:r>
              <w:rPr>
                <w:lang w:val="en-US"/>
              </w:rPr>
              <w:t xml:space="preserve">mg </w:t>
            </w:r>
            <w:r>
              <w:t>като еднократна доза</w:t>
            </w:r>
          </w:p>
        </w:tc>
        <w:tc>
          <w:tcPr>
            <w:tcW w:w="2375" w:type="dxa"/>
            <w:vAlign w:val="center"/>
          </w:tcPr>
          <w:p w14:paraId="1323C4D4" w14:textId="57646459" w:rsidR="00F918A4" w:rsidRDefault="00F918A4" w:rsidP="00F918A4">
            <w:r>
              <w:t>1 ден (еднократна доза)</w:t>
            </w:r>
          </w:p>
        </w:tc>
      </w:tr>
      <w:tr w:rsidR="00F918A4" w14:paraId="5AFA5F01" w14:textId="77777777" w:rsidTr="00357032">
        <w:tc>
          <w:tcPr>
            <w:tcW w:w="2375" w:type="dxa"/>
            <w:vMerge/>
          </w:tcPr>
          <w:p w14:paraId="3F504A67" w14:textId="77777777" w:rsidR="00F918A4" w:rsidRDefault="00F918A4" w:rsidP="00F918A4"/>
        </w:tc>
        <w:tc>
          <w:tcPr>
            <w:tcW w:w="2375" w:type="dxa"/>
            <w:vAlign w:val="center"/>
          </w:tcPr>
          <w:p w14:paraId="0643238B" w14:textId="416A7D94" w:rsidR="00F918A4" w:rsidRDefault="00F918A4" w:rsidP="00F918A4">
            <w:r>
              <w:t>Епидидимоорхит и възпаление в малкия таз</w:t>
            </w:r>
          </w:p>
        </w:tc>
        <w:tc>
          <w:tcPr>
            <w:tcW w:w="2375" w:type="dxa"/>
            <w:vAlign w:val="center"/>
          </w:tcPr>
          <w:p w14:paraId="58B741F8" w14:textId="2D60690A" w:rsidR="00F918A4" w:rsidRDefault="00F918A4" w:rsidP="00F918A4">
            <w:r>
              <w:t xml:space="preserve">500 </w:t>
            </w:r>
            <w:r>
              <w:rPr>
                <w:lang w:val="en-US"/>
              </w:rPr>
              <w:t xml:space="preserve">mg </w:t>
            </w:r>
            <w:r>
              <w:t xml:space="preserve">два пъти дневно до 750 </w:t>
            </w:r>
            <w:r>
              <w:rPr>
                <w:lang w:val="en-US"/>
              </w:rPr>
              <w:t xml:space="preserve">mg </w:t>
            </w:r>
            <w:r>
              <w:t>два пъти дневно</w:t>
            </w:r>
          </w:p>
        </w:tc>
        <w:tc>
          <w:tcPr>
            <w:tcW w:w="2375" w:type="dxa"/>
            <w:vAlign w:val="center"/>
          </w:tcPr>
          <w:p w14:paraId="096AA2F6" w14:textId="66AA690A" w:rsidR="00F918A4" w:rsidRDefault="00F918A4" w:rsidP="00F918A4">
            <w:r>
              <w:t>Най-малко 14 дни</w:t>
            </w:r>
          </w:p>
        </w:tc>
      </w:tr>
    </w:tbl>
    <w:p w14:paraId="6ACAF645" w14:textId="521B8693" w:rsidR="0091385D" w:rsidRDefault="0091385D" w:rsidP="009138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2331"/>
        <w:gridCol w:w="2289"/>
        <w:gridCol w:w="2365"/>
      </w:tblGrid>
      <w:tr w:rsidR="00F918A4" w14:paraId="14532F15" w14:textId="77777777" w:rsidTr="00357032">
        <w:tc>
          <w:tcPr>
            <w:tcW w:w="2375" w:type="dxa"/>
            <w:vAlign w:val="center"/>
          </w:tcPr>
          <w:p w14:paraId="56E0C9A2" w14:textId="6AF206D8" w:rsidR="00F918A4" w:rsidRDefault="00F918A4" w:rsidP="00F918A4">
            <w:r>
              <w:rPr>
                <w:b/>
                <w:bCs/>
              </w:rPr>
              <w:t>Индикации</w:t>
            </w:r>
          </w:p>
        </w:tc>
        <w:tc>
          <w:tcPr>
            <w:tcW w:w="4750" w:type="dxa"/>
            <w:gridSpan w:val="2"/>
            <w:vAlign w:val="center"/>
          </w:tcPr>
          <w:p w14:paraId="1DFE9530" w14:textId="084B0727" w:rsidR="00F918A4" w:rsidRDefault="00F918A4" w:rsidP="00F918A4">
            <w:r>
              <w:rPr>
                <w:b/>
                <w:bCs/>
              </w:rPr>
              <w:t xml:space="preserve">Дневна доза в </w:t>
            </w:r>
            <w:r>
              <w:rPr>
                <w:b/>
                <w:bCs/>
                <w:lang w:val="en-US"/>
              </w:rPr>
              <w:t>mg</w:t>
            </w:r>
          </w:p>
        </w:tc>
        <w:tc>
          <w:tcPr>
            <w:tcW w:w="2375" w:type="dxa"/>
            <w:vAlign w:val="bottom"/>
          </w:tcPr>
          <w:p w14:paraId="4AAE1B1E" w14:textId="415E0B54" w:rsidR="00F918A4" w:rsidRDefault="00F918A4" w:rsidP="00F918A4">
            <w:r>
              <w:rPr>
                <w:b/>
                <w:bCs/>
              </w:rPr>
              <w:t>Обща продължителност на лечението (потенциално включено инициално парентерално приложение на ципрофлоксацин)</w:t>
            </w:r>
          </w:p>
        </w:tc>
      </w:tr>
      <w:tr w:rsidR="00F918A4" w14:paraId="762227CE" w14:textId="77777777" w:rsidTr="00357032">
        <w:tc>
          <w:tcPr>
            <w:tcW w:w="2375" w:type="dxa"/>
            <w:vMerge w:val="restart"/>
            <w:vAlign w:val="center"/>
          </w:tcPr>
          <w:p w14:paraId="564202A8" w14:textId="61FD8ACC" w:rsidR="00F918A4" w:rsidRDefault="00F918A4" w:rsidP="00F918A4">
            <w:r>
              <w:t>Стомашно-чревни инфекции и интраабдоминални инфекции</w:t>
            </w:r>
          </w:p>
        </w:tc>
        <w:tc>
          <w:tcPr>
            <w:tcW w:w="2375" w:type="dxa"/>
            <w:vAlign w:val="bottom"/>
          </w:tcPr>
          <w:p w14:paraId="3D6CD28E" w14:textId="71A25776" w:rsidR="00F918A4" w:rsidRDefault="00F918A4" w:rsidP="00F918A4">
            <w:r>
              <w:t xml:space="preserve">Диария, предизвикана от бактериални патогени, вкл. </w:t>
            </w:r>
            <w:proofErr w:type="spellStart"/>
            <w:r>
              <w:rPr>
                <w:i/>
                <w:iCs/>
                <w:lang w:val="en-US"/>
              </w:rPr>
              <w:t>Shigella</w:t>
            </w:r>
            <w:proofErr w:type="spellEnd"/>
            <w:r>
              <w:rPr>
                <w:lang w:val="en-US"/>
              </w:rPr>
              <w:t xml:space="preserve"> spp., </w:t>
            </w:r>
            <w:r>
              <w:t xml:space="preserve">различни от </w:t>
            </w:r>
            <w:proofErr w:type="spellStart"/>
            <w:r>
              <w:rPr>
                <w:i/>
                <w:iCs/>
                <w:lang w:val="en-US"/>
              </w:rPr>
              <w:t>Shigella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dysenteriae</w:t>
            </w:r>
            <w:proofErr w:type="spellEnd"/>
            <w:r>
              <w:rPr>
                <w:lang w:val="en-US"/>
              </w:rPr>
              <w:t xml:space="preserve"> </w:t>
            </w:r>
            <w:r>
              <w:t>тип 1 и емпирично лечение на тежка диария при пътуване</w:t>
            </w:r>
          </w:p>
        </w:tc>
        <w:tc>
          <w:tcPr>
            <w:tcW w:w="2375" w:type="dxa"/>
            <w:vAlign w:val="bottom"/>
          </w:tcPr>
          <w:p w14:paraId="12D65E2A" w14:textId="7C02407A" w:rsidR="00F918A4" w:rsidRDefault="00F918A4" w:rsidP="00F918A4">
            <w:r>
              <w:t xml:space="preserve">500 </w:t>
            </w:r>
            <w:r>
              <w:rPr>
                <w:lang w:val="en-US"/>
              </w:rPr>
              <w:t xml:space="preserve">mg </w:t>
            </w:r>
            <w:r>
              <w:t>два пъти дневно</w:t>
            </w:r>
          </w:p>
        </w:tc>
        <w:tc>
          <w:tcPr>
            <w:tcW w:w="2375" w:type="dxa"/>
            <w:vAlign w:val="bottom"/>
          </w:tcPr>
          <w:p w14:paraId="44E73D29" w14:textId="7D7076D6" w:rsidR="00F918A4" w:rsidRDefault="00F918A4" w:rsidP="00F918A4">
            <w:r>
              <w:t>1 ден</w:t>
            </w:r>
          </w:p>
        </w:tc>
      </w:tr>
      <w:tr w:rsidR="00F918A4" w14:paraId="59A36129" w14:textId="77777777" w:rsidTr="00357032">
        <w:tc>
          <w:tcPr>
            <w:tcW w:w="2375" w:type="dxa"/>
            <w:vMerge/>
          </w:tcPr>
          <w:p w14:paraId="175E08D8" w14:textId="77777777" w:rsidR="00F918A4" w:rsidRDefault="00F918A4" w:rsidP="00F918A4"/>
        </w:tc>
        <w:tc>
          <w:tcPr>
            <w:tcW w:w="2375" w:type="dxa"/>
            <w:vAlign w:val="bottom"/>
          </w:tcPr>
          <w:p w14:paraId="0D85F574" w14:textId="5E8BECF2" w:rsidR="00F918A4" w:rsidRDefault="00F918A4" w:rsidP="00F918A4">
            <w:r>
              <w:t xml:space="preserve">Диария, предизвикана от </w:t>
            </w:r>
            <w:proofErr w:type="spellStart"/>
            <w:r>
              <w:rPr>
                <w:i/>
                <w:iCs/>
                <w:lang w:val="en-US"/>
              </w:rPr>
              <w:t>Shigella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dysenteriae</w:t>
            </w:r>
            <w:proofErr w:type="spellEnd"/>
            <w:r>
              <w:rPr>
                <w:lang w:val="en-US"/>
              </w:rPr>
              <w:t xml:space="preserve"> </w:t>
            </w:r>
            <w:r>
              <w:t>тип 1</w:t>
            </w:r>
          </w:p>
        </w:tc>
        <w:tc>
          <w:tcPr>
            <w:tcW w:w="2375" w:type="dxa"/>
            <w:vAlign w:val="center"/>
          </w:tcPr>
          <w:p w14:paraId="67261258" w14:textId="390DEDD6" w:rsidR="00F918A4" w:rsidRDefault="00F918A4" w:rsidP="00F918A4">
            <w:r>
              <w:t xml:space="preserve">500 </w:t>
            </w:r>
            <w:r>
              <w:rPr>
                <w:lang w:val="en-US"/>
              </w:rPr>
              <w:t xml:space="preserve">mg </w:t>
            </w:r>
            <w:r>
              <w:t>два пъти дневно</w:t>
            </w:r>
          </w:p>
        </w:tc>
        <w:tc>
          <w:tcPr>
            <w:tcW w:w="2375" w:type="dxa"/>
            <w:vAlign w:val="center"/>
          </w:tcPr>
          <w:p w14:paraId="3A9AA471" w14:textId="6669F020" w:rsidR="00F918A4" w:rsidRDefault="00F918A4" w:rsidP="00F918A4">
            <w:r>
              <w:t>5 дни</w:t>
            </w:r>
          </w:p>
        </w:tc>
      </w:tr>
      <w:tr w:rsidR="00F918A4" w14:paraId="541A1D88" w14:textId="77777777" w:rsidTr="00357032">
        <w:tc>
          <w:tcPr>
            <w:tcW w:w="2375" w:type="dxa"/>
            <w:vMerge/>
          </w:tcPr>
          <w:p w14:paraId="6BD34120" w14:textId="77777777" w:rsidR="00F918A4" w:rsidRDefault="00F918A4" w:rsidP="00F918A4"/>
        </w:tc>
        <w:tc>
          <w:tcPr>
            <w:tcW w:w="2375" w:type="dxa"/>
            <w:vAlign w:val="center"/>
          </w:tcPr>
          <w:p w14:paraId="227663A9" w14:textId="092DDD1C" w:rsidR="00F918A4" w:rsidRDefault="00F918A4" w:rsidP="00F918A4">
            <w:r>
              <w:t xml:space="preserve">Диария, предизвикана от </w:t>
            </w:r>
            <w:r>
              <w:rPr>
                <w:i/>
                <w:iCs/>
                <w:lang w:val="en-US"/>
              </w:rPr>
              <w:t xml:space="preserve">Vibrio </w:t>
            </w:r>
            <w:proofErr w:type="spellStart"/>
            <w:r>
              <w:rPr>
                <w:i/>
                <w:iCs/>
                <w:lang w:val="en-US"/>
              </w:rPr>
              <w:t>cholerae</w:t>
            </w:r>
            <w:proofErr w:type="spellEnd"/>
          </w:p>
        </w:tc>
        <w:tc>
          <w:tcPr>
            <w:tcW w:w="2375" w:type="dxa"/>
            <w:vAlign w:val="center"/>
          </w:tcPr>
          <w:p w14:paraId="32DA07C3" w14:textId="3F883AB6" w:rsidR="00F918A4" w:rsidRDefault="00F918A4" w:rsidP="00F918A4">
            <w:r>
              <w:t xml:space="preserve">500 </w:t>
            </w:r>
            <w:r>
              <w:rPr>
                <w:lang w:val="en-US"/>
              </w:rPr>
              <w:t xml:space="preserve">mg </w:t>
            </w:r>
            <w:r>
              <w:t>два пъти дневно</w:t>
            </w:r>
          </w:p>
        </w:tc>
        <w:tc>
          <w:tcPr>
            <w:tcW w:w="2375" w:type="dxa"/>
            <w:vAlign w:val="center"/>
          </w:tcPr>
          <w:p w14:paraId="7168949C" w14:textId="68413327" w:rsidR="00F918A4" w:rsidRDefault="00F918A4" w:rsidP="00F918A4">
            <w:r>
              <w:t>3 дни</w:t>
            </w:r>
          </w:p>
        </w:tc>
      </w:tr>
      <w:tr w:rsidR="00F918A4" w14:paraId="2C5FD312" w14:textId="77777777" w:rsidTr="00357032">
        <w:tc>
          <w:tcPr>
            <w:tcW w:w="2375" w:type="dxa"/>
            <w:vMerge/>
          </w:tcPr>
          <w:p w14:paraId="08EBC3CD" w14:textId="77777777" w:rsidR="00F918A4" w:rsidRDefault="00F918A4" w:rsidP="00F918A4"/>
        </w:tc>
        <w:tc>
          <w:tcPr>
            <w:tcW w:w="2375" w:type="dxa"/>
            <w:vAlign w:val="center"/>
          </w:tcPr>
          <w:p w14:paraId="57C33755" w14:textId="2854539C" w:rsidR="00F918A4" w:rsidRDefault="00F918A4" w:rsidP="00F918A4">
            <w:r>
              <w:t>Тиф</w:t>
            </w:r>
          </w:p>
        </w:tc>
        <w:tc>
          <w:tcPr>
            <w:tcW w:w="2375" w:type="dxa"/>
            <w:vAlign w:val="center"/>
          </w:tcPr>
          <w:p w14:paraId="772EA9FE" w14:textId="4618457D" w:rsidR="00F918A4" w:rsidRDefault="00F918A4" w:rsidP="00F918A4">
            <w:r>
              <w:t xml:space="preserve">500 </w:t>
            </w:r>
            <w:r>
              <w:rPr>
                <w:lang w:val="en-US"/>
              </w:rPr>
              <w:t xml:space="preserve">mg </w:t>
            </w:r>
            <w:r>
              <w:t>два пъти дневно</w:t>
            </w:r>
          </w:p>
        </w:tc>
        <w:tc>
          <w:tcPr>
            <w:tcW w:w="2375" w:type="dxa"/>
            <w:vAlign w:val="center"/>
          </w:tcPr>
          <w:p w14:paraId="543C679D" w14:textId="2C2EA0A2" w:rsidR="00F918A4" w:rsidRDefault="00F918A4" w:rsidP="00F918A4">
            <w:r>
              <w:t>7 дни</w:t>
            </w:r>
          </w:p>
        </w:tc>
      </w:tr>
      <w:tr w:rsidR="00F918A4" w14:paraId="52A3B44A" w14:textId="77777777" w:rsidTr="00357032">
        <w:trPr>
          <w:trHeight w:val="1349"/>
        </w:trPr>
        <w:tc>
          <w:tcPr>
            <w:tcW w:w="2375" w:type="dxa"/>
            <w:vMerge/>
          </w:tcPr>
          <w:p w14:paraId="733115A1" w14:textId="77777777" w:rsidR="00F918A4" w:rsidRDefault="00F918A4" w:rsidP="00F918A4"/>
        </w:tc>
        <w:tc>
          <w:tcPr>
            <w:tcW w:w="2375" w:type="dxa"/>
            <w:vAlign w:val="bottom"/>
          </w:tcPr>
          <w:p w14:paraId="58CE3081" w14:textId="77777777" w:rsidR="00F918A4" w:rsidRDefault="00F918A4" w:rsidP="00F918A4">
            <w:r>
              <w:t>Интра</w:t>
            </w:r>
            <w:r>
              <w:softHyphen/>
              <w:t>абдоминални инфекции,</w:t>
            </w:r>
          </w:p>
          <w:p w14:paraId="3D17B541" w14:textId="7927B3AE" w:rsidR="00F918A4" w:rsidRDefault="00F918A4" w:rsidP="00F918A4">
            <w:r>
              <w:t>причинени от грам-отрицателни бактерии</w:t>
            </w:r>
          </w:p>
        </w:tc>
        <w:tc>
          <w:tcPr>
            <w:tcW w:w="2375" w:type="dxa"/>
            <w:vAlign w:val="center"/>
          </w:tcPr>
          <w:p w14:paraId="538C6DFD" w14:textId="77777777" w:rsidR="00F918A4" w:rsidRDefault="00F918A4" w:rsidP="00F918A4">
            <w:r>
              <w:t xml:space="preserve">500 </w:t>
            </w:r>
            <w:r>
              <w:rPr>
                <w:lang w:val="en-US"/>
              </w:rPr>
              <w:t xml:space="preserve">mg </w:t>
            </w:r>
            <w:r>
              <w:t xml:space="preserve">два пъти дневно до 750 </w:t>
            </w:r>
            <w:r>
              <w:rPr>
                <w:lang w:val="en-US"/>
              </w:rPr>
              <w:t>mg</w:t>
            </w:r>
          </w:p>
          <w:p w14:paraId="51914A84" w14:textId="4D6465D1" w:rsidR="00F918A4" w:rsidRDefault="00F918A4" w:rsidP="00F918A4">
            <w:r>
              <w:t>два пъти дневно</w:t>
            </w:r>
          </w:p>
        </w:tc>
        <w:tc>
          <w:tcPr>
            <w:tcW w:w="2375" w:type="dxa"/>
            <w:vAlign w:val="center"/>
          </w:tcPr>
          <w:p w14:paraId="345CFBA5" w14:textId="77777777" w:rsidR="00F918A4" w:rsidRDefault="00F918A4" w:rsidP="00F918A4"/>
          <w:p w14:paraId="4DE483DE" w14:textId="6E2EB058" w:rsidR="00F918A4" w:rsidRDefault="00F918A4" w:rsidP="00F918A4">
            <w:r>
              <w:t xml:space="preserve">5 до 14 дни </w:t>
            </w:r>
          </w:p>
        </w:tc>
      </w:tr>
      <w:tr w:rsidR="00F918A4" w14:paraId="0A66E8D3" w14:textId="77777777" w:rsidTr="00357032">
        <w:tc>
          <w:tcPr>
            <w:tcW w:w="2375" w:type="dxa"/>
            <w:vAlign w:val="center"/>
          </w:tcPr>
          <w:p w14:paraId="79369F2E" w14:textId="0DFCD285" w:rsidR="00F918A4" w:rsidRDefault="00F918A4" w:rsidP="00F918A4">
            <w:r>
              <w:t>Инфекции на кожата и меките тъкани</w:t>
            </w:r>
          </w:p>
        </w:tc>
        <w:tc>
          <w:tcPr>
            <w:tcW w:w="4750" w:type="dxa"/>
            <w:gridSpan w:val="2"/>
            <w:vAlign w:val="center"/>
          </w:tcPr>
          <w:p w14:paraId="062E4642" w14:textId="3724EEB7" w:rsidR="00F918A4" w:rsidRDefault="00F918A4" w:rsidP="00F918A4">
            <w:r>
              <w:t xml:space="preserve">500 </w:t>
            </w:r>
            <w:r>
              <w:rPr>
                <w:lang w:val="en-US"/>
              </w:rPr>
              <w:t xml:space="preserve">mg </w:t>
            </w:r>
            <w:r>
              <w:t xml:space="preserve">два пъти дневно до 750 </w:t>
            </w:r>
            <w:r>
              <w:rPr>
                <w:lang w:val="en-US"/>
              </w:rPr>
              <w:t xml:space="preserve">mg </w:t>
            </w:r>
            <w:r>
              <w:t>два пъти дневно</w:t>
            </w:r>
          </w:p>
        </w:tc>
        <w:tc>
          <w:tcPr>
            <w:tcW w:w="2375" w:type="dxa"/>
            <w:vAlign w:val="center"/>
          </w:tcPr>
          <w:p w14:paraId="384A0321" w14:textId="1EE6B760" w:rsidR="00F918A4" w:rsidRDefault="00F918A4" w:rsidP="00F918A4">
            <w:r>
              <w:t>7 до 14 дни</w:t>
            </w:r>
          </w:p>
        </w:tc>
      </w:tr>
      <w:tr w:rsidR="00F918A4" w14:paraId="2D3C8BC9" w14:textId="77777777" w:rsidTr="00357032">
        <w:tc>
          <w:tcPr>
            <w:tcW w:w="2375" w:type="dxa"/>
            <w:vAlign w:val="center"/>
          </w:tcPr>
          <w:p w14:paraId="28FEA658" w14:textId="1415B000" w:rsidR="00F918A4" w:rsidRDefault="00F918A4" w:rsidP="00F918A4">
            <w:r>
              <w:t>Инфекции на костите и ставите</w:t>
            </w:r>
          </w:p>
        </w:tc>
        <w:tc>
          <w:tcPr>
            <w:tcW w:w="4750" w:type="dxa"/>
            <w:gridSpan w:val="2"/>
            <w:vAlign w:val="center"/>
          </w:tcPr>
          <w:p w14:paraId="57FA59F6" w14:textId="1F0DA67A" w:rsidR="00F918A4" w:rsidRDefault="00F918A4" w:rsidP="00F918A4">
            <w:r>
              <w:t xml:space="preserve">500 </w:t>
            </w:r>
            <w:r>
              <w:rPr>
                <w:lang w:val="en-US"/>
              </w:rPr>
              <w:t xml:space="preserve">mg </w:t>
            </w:r>
            <w:r>
              <w:t xml:space="preserve">два пъти дневно до 750 </w:t>
            </w:r>
            <w:r>
              <w:rPr>
                <w:lang w:val="en-US"/>
              </w:rPr>
              <w:t xml:space="preserve">mg </w:t>
            </w:r>
            <w:r>
              <w:t>два пъти дневно</w:t>
            </w:r>
          </w:p>
        </w:tc>
        <w:tc>
          <w:tcPr>
            <w:tcW w:w="2375" w:type="dxa"/>
            <w:vAlign w:val="center"/>
          </w:tcPr>
          <w:p w14:paraId="3A5A174C" w14:textId="69B84BD1" w:rsidR="00F918A4" w:rsidRDefault="00F918A4" w:rsidP="00F918A4">
            <w:r>
              <w:t>Максимално 3 месеца</w:t>
            </w:r>
          </w:p>
        </w:tc>
      </w:tr>
      <w:tr w:rsidR="00F918A4" w14:paraId="4411606E" w14:textId="77777777" w:rsidTr="00357032">
        <w:tc>
          <w:tcPr>
            <w:tcW w:w="2375" w:type="dxa"/>
            <w:vAlign w:val="center"/>
          </w:tcPr>
          <w:p w14:paraId="06CB7B4F" w14:textId="5E41854A" w:rsidR="00F918A4" w:rsidRDefault="00F918A4" w:rsidP="00F918A4">
            <w:r>
              <w:t>Лечение на инфекции или профилактика на инфекции при неутропенични пациенти</w:t>
            </w:r>
          </w:p>
        </w:tc>
        <w:tc>
          <w:tcPr>
            <w:tcW w:w="4750" w:type="dxa"/>
            <w:gridSpan w:val="2"/>
            <w:vAlign w:val="center"/>
          </w:tcPr>
          <w:p w14:paraId="6CDE1B94" w14:textId="12A34519" w:rsidR="00F918A4" w:rsidRDefault="00F918A4" w:rsidP="00F918A4">
            <w:r>
              <w:t xml:space="preserve">500 </w:t>
            </w:r>
            <w:r>
              <w:rPr>
                <w:lang w:val="en-US"/>
              </w:rPr>
              <w:t xml:space="preserve">mg </w:t>
            </w:r>
            <w:r>
              <w:t xml:space="preserve">два пъти дневно до 750 </w:t>
            </w:r>
            <w:r>
              <w:rPr>
                <w:lang w:val="en-US"/>
              </w:rPr>
              <w:t xml:space="preserve">mg </w:t>
            </w:r>
            <w:r>
              <w:t>два пъти дневно</w:t>
            </w:r>
          </w:p>
        </w:tc>
        <w:tc>
          <w:tcPr>
            <w:tcW w:w="2375" w:type="dxa"/>
            <w:vAlign w:val="bottom"/>
          </w:tcPr>
          <w:p w14:paraId="1C9E8210" w14:textId="77777777" w:rsidR="00F918A4" w:rsidRDefault="00F918A4" w:rsidP="00F918A4">
            <w:r>
              <w:t>Терапията трябва да продължи през целия период на неутропения</w:t>
            </w:r>
          </w:p>
          <w:p w14:paraId="1FD4DC3A" w14:textId="07F05936" w:rsidR="00F918A4" w:rsidRDefault="00F918A4" w:rsidP="00F918A4">
            <w:r>
              <w:t xml:space="preserve">Комбинираното приложение на </w:t>
            </w:r>
            <w:r>
              <w:lastRenderedPageBreak/>
              <w:t>ципрофлоксацин трябва да става с подходящи антибактериални агенти в съответствие с официалните препоръки</w:t>
            </w:r>
          </w:p>
        </w:tc>
      </w:tr>
      <w:tr w:rsidR="00F918A4" w14:paraId="5861BEC7" w14:textId="77777777" w:rsidTr="00357032">
        <w:tc>
          <w:tcPr>
            <w:tcW w:w="2375" w:type="dxa"/>
            <w:vAlign w:val="bottom"/>
          </w:tcPr>
          <w:p w14:paraId="69AD411D" w14:textId="3437B1FA" w:rsidR="00F918A4" w:rsidRDefault="00F918A4" w:rsidP="00F918A4">
            <w:r>
              <w:lastRenderedPageBreak/>
              <w:t xml:space="preserve">Профилактика на инвазивни инфекции, причинени от </w:t>
            </w:r>
            <w:r>
              <w:rPr>
                <w:i/>
                <w:iCs/>
                <w:lang w:val="en-US"/>
              </w:rPr>
              <w:t xml:space="preserve">Neisseria </w:t>
            </w:r>
            <w:proofErr w:type="spellStart"/>
            <w:r>
              <w:rPr>
                <w:i/>
                <w:iCs/>
                <w:lang w:val="en-US"/>
              </w:rPr>
              <w:t>meningitidis</w:t>
            </w:r>
            <w:proofErr w:type="spellEnd"/>
          </w:p>
        </w:tc>
        <w:tc>
          <w:tcPr>
            <w:tcW w:w="4750" w:type="dxa"/>
            <w:gridSpan w:val="2"/>
            <w:vAlign w:val="center"/>
          </w:tcPr>
          <w:p w14:paraId="60079952" w14:textId="57B3A347" w:rsidR="00F918A4" w:rsidRDefault="00F918A4" w:rsidP="00F918A4">
            <w:r>
              <w:t xml:space="preserve">500 </w:t>
            </w:r>
            <w:r>
              <w:rPr>
                <w:lang w:val="en-US"/>
              </w:rPr>
              <w:t xml:space="preserve">mg </w:t>
            </w:r>
            <w:r>
              <w:t>като еднократна доза</w:t>
            </w:r>
          </w:p>
        </w:tc>
        <w:tc>
          <w:tcPr>
            <w:tcW w:w="2375" w:type="dxa"/>
            <w:vAlign w:val="center"/>
          </w:tcPr>
          <w:p w14:paraId="1E91BF39" w14:textId="218BC45E" w:rsidR="00F918A4" w:rsidRDefault="00F918A4" w:rsidP="00F918A4">
            <w:r>
              <w:t>1 ден (еднократна доза)</w:t>
            </w:r>
          </w:p>
        </w:tc>
      </w:tr>
      <w:tr w:rsidR="00F918A4" w14:paraId="14D7EDB7" w14:textId="77777777" w:rsidTr="00357032">
        <w:trPr>
          <w:trHeight w:val="4587"/>
        </w:trPr>
        <w:tc>
          <w:tcPr>
            <w:tcW w:w="2375" w:type="dxa"/>
            <w:vAlign w:val="center"/>
          </w:tcPr>
          <w:p w14:paraId="1FF027E7" w14:textId="77777777" w:rsidR="00F918A4" w:rsidRDefault="00F918A4" w:rsidP="00F918A4">
            <w:r>
              <w:t>Инхалационен антракс, постекспозиционна профилактика и лечение за пациенти, които могат да приемат медикамента перорално, когато това е клинично</w:t>
            </w:r>
          </w:p>
          <w:p w14:paraId="5B379EA2" w14:textId="77777777" w:rsidR="00F918A4" w:rsidRDefault="00F918A4" w:rsidP="00F918A4">
            <w:r>
              <w:t>оправдано</w:t>
            </w:r>
          </w:p>
          <w:p w14:paraId="38E0C6AA" w14:textId="7FCDA542" w:rsidR="00F918A4" w:rsidRDefault="00F918A4" w:rsidP="00F918A4">
            <w:r>
              <w:t>Лечението трябва да започне възможно най- скоро след предполагаема или сигурна експозиция</w:t>
            </w:r>
          </w:p>
        </w:tc>
        <w:tc>
          <w:tcPr>
            <w:tcW w:w="4750" w:type="dxa"/>
            <w:gridSpan w:val="2"/>
            <w:vAlign w:val="center"/>
          </w:tcPr>
          <w:p w14:paraId="7A7ED99C" w14:textId="3581D71C" w:rsidR="00F918A4" w:rsidRDefault="00F918A4" w:rsidP="00F918A4">
            <w:r>
              <w:t xml:space="preserve">500 </w:t>
            </w:r>
            <w:r>
              <w:rPr>
                <w:lang w:val="en-US"/>
              </w:rPr>
              <w:t xml:space="preserve">mg </w:t>
            </w:r>
            <w:r>
              <w:t>два пъти дневно</w:t>
            </w:r>
          </w:p>
        </w:tc>
        <w:tc>
          <w:tcPr>
            <w:tcW w:w="2375" w:type="dxa"/>
            <w:vAlign w:val="bottom"/>
          </w:tcPr>
          <w:p w14:paraId="6F6F1DD2" w14:textId="51261D58" w:rsidR="00F918A4" w:rsidRDefault="00F918A4" w:rsidP="00F918A4">
            <w:r>
              <w:t xml:space="preserve">60 дни след установяване на експозицията </w:t>
            </w:r>
            <w:r>
              <w:rPr>
                <w:lang w:val="en-US"/>
              </w:rPr>
              <w:t xml:space="preserve">Bacillus </w:t>
            </w:r>
            <w:proofErr w:type="spellStart"/>
            <w:r>
              <w:rPr>
                <w:lang w:val="en-US"/>
              </w:rPr>
              <w:t>anthracis</w:t>
            </w:r>
            <w:proofErr w:type="spellEnd"/>
          </w:p>
        </w:tc>
      </w:tr>
    </w:tbl>
    <w:p w14:paraId="05068DBF" w14:textId="77777777" w:rsidR="00D36C52" w:rsidRDefault="00D36C52" w:rsidP="0091385D"/>
    <w:p w14:paraId="6AB4F7C2" w14:textId="5145002C" w:rsidR="00D36C52" w:rsidRDefault="00D36C52" w:rsidP="0091385D">
      <w:r>
        <w:rPr>
          <w:i/>
          <w:iCs/>
          <w:u w:val="single"/>
        </w:rPr>
        <w:t>Педиатрична популаиия</w:t>
      </w:r>
    </w:p>
    <w:p w14:paraId="380B7B12" w14:textId="6CF5E363" w:rsidR="00D36C52" w:rsidRDefault="00D36C52" w:rsidP="009138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03"/>
        <w:gridCol w:w="3131"/>
      </w:tblGrid>
      <w:tr w:rsidR="00F918A4" w14:paraId="6730F8E3" w14:textId="77777777" w:rsidTr="00D36C52">
        <w:tc>
          <w:tcPr>
            <w:tcW w:w="3166" w:type="dxa"/>
          </w:tcPr>
          <w:p w14:paraId="3EDBD652" w14:textId="0BE2CC33" w:rsidR="00F918A4" w:rsidRDefault="00F918A4" w:rsidP="00F918A4">
            <w:r>
              <w:rPr>
                <w:b/>
                <w:bCs/>
              </w:rPr>
              <w:t>Индикации</w:t>
            </w:r>
          </w:p>
        </w:tc>
        <w:tc>
          <w:tcPr>
            <w:tcW w:w="3167" w:type="dxa"/>
          </w:tcPr>
          <w:p w14:paraId="12B9D591" w14:textId="16C08AEF" w:rsidR="00F918A4" w:rsidRDefault="00F918A4" w:rsidP="00F918A4">
            <w:r>
              <w:rPr>
                <w:b/>
                <w:bCs/>
              </w:rPr>
              <w:t xml:space="preserve">Дневна доза в </w:t>
            </w:r>
            <w:r>
              <w:rPr>
                <w:b/>
                <w:bCs/>
                <w:lang w:val="en-US"/>
              </w:rPr>
              <w:t>mg</w:t>
            </w:r>
          </w:p>
        </w:tc>
        <w:tc>
          <w:tcPr>
            <w:tcW w:w="3167" w:type="dxa"/>
          </w:tcPr>
          <w:p w14:paraId="7E42E3FA" w14:textId="739EB475" w:rsidR="00F918A4" w:rsidRDefault="00F918A4" w:rsidP="00F918A4">
            <w:r>
              <w:rPr>
                <w:b/>
                <w:bCs/>
              </w:rPr>
              <w:t>Обща продължителност на лечението (потенциално включено инициално парентерално приложение на ципрофлоксацин)</w:t>
            </w:r>
          </w:p>
        </w:tc>
      </w:tr>
      <w:tr w:rsidR="00F918A4" w14:paraId="23E5081A" w14:textId="77777777" w:rsidTr="00D36C52">
        <w:tc>
          <w:tcPr>
            <w:tcW w:w="3166" w:type="dxa"/>
          </w:tcPr>
          <w:p w14:paraId="5CC8FB19" w14:textId="2A7DF134" w:rsidR="00F918A4" w:rsidRDefault="00F918A4" w:rsidP="00F918A4">
            <w:r>
              <w:t>Муковисцидоза</w:t>
            </w:r>
          </w:p>
        </w:tc>
        <w:tc>
          <w:tcPr>
            <w:tcW w:w="3167" w:type="dxa"/>
          </w:tcPr>
          <w:p w14:paraId="2555D7BC" w14:textId="3C9B25BE" w:rsidR="00F918A4" w:rsidRDefault="00F918A4" w:rsidP="00F918A4">
            <w:r>
              <w:t xml:space="preserve">20 </w:t>
            </w:r>
            <w:r>
              <w:rPr>
                <w:lang w:val="en-US"/>
              </w:rPr>
              <w:t xml:space="preserve">mg/kg </w:t>
            </w:r>
            <w:r>
              <w:t xml:space="preserve">телесна маса два пъти дневно с позволена максимална еднократна доза 750 </w:t>
            </w:r>
            <w:r>
              <w:rPr>
                <w:lang w:val="en-US"/>
              </w:rPr>
              <w:t>mg</w:t>
            </w:r>
          </w:p>
        </w:tc>
        <w:tc>
          <w:tcPr>
            <w:tcW w:w="3167" w:type="dxa"/>
          </w:tcPr>
          <w:p w14:paraId="6941FF1E" w14:textId="2703B94D" w:rsidR="00F918A4" w:rsidRDefault="00F918A4" w:rsidP="00F918A4">
            <w:r>
              <w:t>10 до 14 дни</w:t>
            </w:r>
          </w:p>
        </w:tc>
      </w:tr>
      <w:tr w:rsidR="00F918A4" w14:paraId="6359AEE2" w14:textId="77777777" w:rsidTr="00D36C52">
        <w:tc>
          <w:tcPr>
            <w:tcW w:w="3166" w:type="dxa"/>
          </w:tcPr>
          <w:p w14:paraId="24749DFF" w14:textId="54E87931" w:rsidR="00F918A4" w:rsidRDefault="00F918A4" w:rsidP="00F918A4">
            <w:r>
              <w:t>Усложнени инфекции на пикочните пътища и пиелонефрит</w:t>
            </w:r>
          </w:p>
        </w:tc>
        <w:tc>
          <w:tcPr>
            <w:tcW w:w="3167" w:type="dxa"/>
          </w:tcPr>
          <w:p w14:paraId="28DDFD3B" w14:textId="757E2BCF" w:rsidR="00F918A4" w:rsidRDefault="00F918A4" w:rsidP="00F918A4">
            <w:r>
              <w:t xml:space="preserve">10 </w:t>
            </w:r>
            <w:r>
              <w:rPr>
                <w:lang w:val="en-US"/>
              </w:rPr>
              <w:t xml:space="preserve">mg/kg </w:t>
            </w:r>
            <w:r>
              <w:t xml:space="preserve">телесна маса два пъти дневно до 20 </w:t>
            </w:r>
            <w:r>
              <w:rPr>
                <w:lang w:val="en-US"/>
              </w:rPr>
              <w:t xml:space="preserve">mg/kg </w:t>
            </w:r>
            <w:r>
              <w:t xml:space="preserve">телесна маса два пъти дневно с позволена </w:t>
            </w:r>
            <w:r>
              <w:lastRenderedPageBreak/>
              <w:t xml:space="preserve">максимална еднократна доза 750 </w:t>
            </w:r>
            <w:r>
              <w:rPr>
                <w:lang w:val="en-US"/>
              </w:rPr>
              <w:t>mg</w:t>
            </w:r>
          </w:p>
        </w:tc>
        <w:tc>
          <w:tcPr>
            <w:tcW w:w="3167" w:type="dxa"/>
          </w:tcPr>
          <w:p w14:paraId="67487FBF" w14:textId="04638A55" w:rsidR="00F918A4" w:rsidRDefault="00F918A4" w:rsidP="00F918A4">
            <w:r>
              <w:lastRenderedPageBreak/>
              <w:t>10 до 21 дни</w:t>
            </w:r>
          </w:p>
        </w:tc>
      </w:tr>
    </w:tbl>
    <w:p w14:paraId="30214168" w14:textId="77777777" w:rsidR="00D36C52" w:rsidRDefault="00D36C52" w:rsidP="009138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096"/>
        <w:gridCol w:w="3128"/>
      </w:tblGrid>
      <w:tr w:rsidR="00F918A4" w14:paraId="3F02B1DB" w14:textId="77777777" w:rsidTr="00357032">
        <w:tc>
          <w:tcPr>
            <w:tcW w:w="3166" w:type="dxa"/>
            <w:vAlign w:val="center"/>
          </w:tcPr>
          <w:p w14:paraId="1DBCAA77" w14:textId="1C3E499D" w:rsidR="00F918A4" w:rsidRDefault="00F918A4" w:rsidP="00F918A4">
            <w:r>
              <w:rPr>
                <w:b/>
                <w:bCs/>
              </w:rPr>
              <w:t>Индикации</w:t>
            </w:r>
          </w:p>
        </w:tc>
        <w:tc>
          <w:tcPr>
            <w:tcW w:w="3167" w:type="dxa"/>
            <w:vAlign w:val="center"/>
          </w:tcPr>
          <w:p w14:paraId="69E45C9D" w14:textId="1C9AC608" w:rsidR="00F918A4" w:rsidRDefault="00F918A4" w:rsidP="00F918A4">
            <w:r>
              <w:rPr>
                <w:b/>
                <w:bCs/>
              </w:rPr>
              <w:t xml:space="preserve">Дневна доза в </w:t>
            </w:r>
            <w:r>
              <w:rPr>
                <w:b/>
                <w:bCs/>
                <w:lang w:val="en-US"/>
              </w:rPr>
              <w:t>mg</w:t>
            </w:r>
          </w:p>
        </w:tc>
        <w:tc>
          <w:tcPr>
            <w:tcW w:w="3167" w:type="dxa"/>
          </w:tcPr>
          <w:p w14:paraId="78C1D484" w14:textId="78ABEB02" w:rsidR="00F918A4" w:rsidRDefault="00F918A4" w:rsidP="00F918A4">
            <w:r>
              <w:rPr>
                <w:b/>
                <w:bCs/>
              </w:rPr>
              <w:t>Обща продължителност на лечението (потенциално включено инициално парентерално приложение на ципрофлоксацин)</w:t>
            </w:r>
          </w:p>
        </w:tc>
      </w:tr>
      <w:tr w:rsidR="00F918A4" w14:paraId="7439C8D5" w14:textId="77777777" w:rsidTr="00357032">
        <w:tc>
          <w:tcPr>
            <w:tcW w:w="3166" w:type="dxa"/>
          </w:tcPr>
          <w:p w14:paraId="656DF998" w14:textId="76639E37" w:rsidR="00F918A4" w:rsidRDefault="00F918A4" w:rsidP="00F918A4">
            <w:r>
              <w:t>Инхалационен антракс, постекспозиционна профилактика и лечение на пациенти, които могат да приемат медикамента перорално, когато това е клинично оправдано</w:t>
            </w:r>
          </w:p>
        </w:tc>
        <w:tc>
          <w:tcPr>
            <w:tcW w:w="3167" w:type="dxa"/>
            <w:vAlign w:val="bottom"/>
          </w:tcPr>
          <w:p w14:paraId="470D30A8" w14:textId="66B992CC" w:rsidR="00F918A4" w:rsidRDefault="00F918A4" w:rsidP="00F918A4">
            <w:r>
              <w:t xml:space="preserve">10 </w:t>
            </w:r>
            <w:r>
              <w:rPr>
                <w:lang w:val="en-US"/>
              </w:rPr>
              <w:t xml:space="preserve">mg/kg </w:t>
            </w:r>
            <w:r>
              <w:t xml:space="preserve">телесна маса два пъти дневно до 15 </w:t>
            </w:r>
            <w:r>
              <w:rPr>
                <w:lang w:val="en-US"/>
              </w:rPr>
              <w:t xml:space="preserve">mg/kg </w:t>
            </w:r>
            <w:r>
              <w:t>телесна маса два пъти дневно с позволена максимална еднократна</w:t>
            </w:r>
          </w:p>
        </w:tc>
        <w:tc>
          <w:tcPr>
            <w:tcW w:w="3167" w:type="dxa"/>
            <w:vAlign w:val="bottom"/>
          </w:tcPr>
          <w:p w14:paraId="60108135" w14:textId="78418ED2" w:rsidR="00F918A4" w:rsidRDefault="00F918A4" w:rsidP="00F918A4">
            <w:r>
              <w:t xml:space="preserve">60 дни след установяване на експозицията на </w:t>
            </w:r>
            <w:r>
              <w:rPr>
                <w:i/>
                <w:iCs/>
                <w:lang w:val="en-US"/>
              </w:rPr>
              <w:t xml:space="preserve">Bacillus </w:t>
            </w:r>
            <w:proofErr w:type="spellStart"/>
            <w:r>
              <w:rPr>
                <w:i/>
                <w:iCs/>
                <w:lang w:val="en-US"/>
              </w:rPr>
              <w:t>anthracis</w:t>
            </w:r>
            <w:proofErr w:type="spellEnd"/>
          </w:p>
        </w:tc>
      </w:tr>
      <w:tr w:rsidR="00F918A4" w14:paraId="43DE406F" w14:textId="77777777" w:rsidTr="00357032">
        <w:tc>
          <w:tcPr>
            <w:tcW w:w="3166" w:type="dxa"/>
          </w:tcPr>
          <w:p w14:paraId="67DA99E0" w14:textId="06111204" w:rsidR="00F918A4" w:rsidRDefault="00F918A4" w:rsidP="00F918A4">
            <w:r>
              <w:t>Лечението трябва да започне възможно най- скоро след предполагаема или сигурна експозиция</w:t>
            </w:r>
          </w:p>
        </w:tc>
        <w:tc>
          <w:tcPr>
            <w:tcW w:w="3167" w:type="dxa"/>
          </w:tcPr>
          <w:p w14:paraId="484E0203" w14:textId="57ECE384" w:rsidR="00F918A4" w:rsidRDefault="00F918A4" w:rsidP="00F918A4">
            <w:r>
              <w:t xml:space="preserve">доза 500 </w:t>
            </w:r>
            <w:r>
              <w:rPr>
                <w:lang w:val="en-US"/>
              </w:rPr>
              <w:t>mg</w:t>
            </w:r>
          </w:p>
        </w:tc>
        <w:tc>
          <w:tcPr>
            <w:tcW w:w="3167" w:type="dxa"/>
            <w:textDirection w:val="tbRl"/>
          </w:tcPr>
          <w:p w14:paraId="73B00C8C" w14:textId="77777777" w:rsidR="00F918A4" w:rsidRDefault="00F918A4" w:rsidP="00F918A4"/>
        </w:tc>
      </w:tr>
      <w:tr w:rsidR="00F53176" w14:paraId="196F119B" w14:textId="77777777" w:rsidTr="00D36C52">
        <w:tc>
          <w:tcPr>
            <w:tcW w:w="3166" w:type="dxa"/>
          </w:tcPr>
          <w:p w14:paraId="405AB99E" w14:textId="1978EDF6" w:rsidR="00F53176" w:rsidRDefault="00F53176" w:rsidP="00F53176">
            <w:r>
              <w:t>Други тежки инфекции</w:t>
            </w:r>
          </w:p>
        </w:tc>
        <w:tc>
          <w:tcPr>
            <w:tcW w:w="3167" w:type="dxa"/>
          </w:tcPr>
          <w:p w14:paraId="738FAD53" w14:textId="4F4DBBD3" w:rsidR="00F53176" w:rsidRDefault="00F53176" w:rsidP="00F53176">
            <w:r>
              <w:t xml:space="preserve">20 </w:t>
            </w:r>
            <w:r>
              <w:rPr>
                <w:lang w:val="en-US"/>
              </w:rPr>
              <w:t xml:space="preserve">mg/kg </w:t>
            </w:r>
            <w:r>
              <w:t xml:space="preserve">телесна маса два пъти дневно с позволена максимална еднократна доза 750 </w:t>
            </w:r>
            <w:r>
              <w:rPr>
                <w:lang w:val="en-US"/>
              </w:rPr>
              <w:t>mg</w:t>
            </w:r>
          </w:p>
        </w:tc>
        <w:tc>
          <w:tcPr>
            <w:tcW w:w="3167" w:type="dxa"/>
          </w:tcPr>
          <w:p w14:paraId="69F93B91" w14:textId="742B7619" w:rsidR="00F53176" w:rsidRDefault="00F53176" w:rsidP="00F53176">
            <w:r>
              <w:t>В зависимост от вида на инфекцията</w:t>
            </w:r>
          </w:p>
        </w:tc>
      </w:tr>
    </w:tbl>
    <w:p w14:paraId="1554B023" w14:textId="0288489F" w:rsidR="00D36C52" w:rsidRDefault="00D36C52" w:rsidP="0091385D"/>
    <w:p w14:paraId="5B90B619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u w:val="single"/>
          <w:lang w:eastAsia="bg-BG"/>
        </w:rPr>
        <w:t>Пациенти в напреднала възраст</w:t>
      </w:r>
    </w:p>
    <w:p w14:paraId="59A6BD83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>Пациентите в напреднала възраст трябва да получават доза, подбрана в зависимост от тежестта на инфекцията и индивидуалния креатининов клирънс.</w:t>
      </w:r>
    </w:p>
    <w:p w14:paraId="1FD581B7" w14:textId="77777777" w:rsidR="00D36C52" w:rsidRPr="00D36C52" w:rsidRDefault="00D36C52" w:rsidP="00D36C52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CC14206" w14:textId="4C16C021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u w:val="single"/>
          <w:lang w:eastAsia="bg-BG"/>
        </w:rPr>
        <w:t>Бъбречна и чернодробна недостатъчност</w:t>
      </w:r>
    </w:p>
    <w:p w14:paraId="4156BD53" w14:textId="4D0ECE8C" w:rsidR="00D36C52" w:rsidRPr="00D36C52" w:rsidRDefault="00D36C52" w:rsidP="00D36C52">
      <w:pPr>
        <w:rPr>
          <w:rFonts w:cs="Arial"/>
        </w:rPr>
      </w:pPr>
      <w:r w:rsidRPr="00D36C52">
        <w:rPr>
          <w:rFonts w:eastAsia="Times New Roman" w:cs="Arial"/>
          <w:color w:val="000000"/>
          <w:lang w:eastAsia="bg-BG"/>
        </w:rPr>
        <w:t>Препоръчителни начални и поддържащи дози за пациенти с увредена бъбречна функция:</w:t>
      </w:r>
    </w:p>
    <w:p w14:paraId="734A072F" w14:textId="3D144B5E" w:rsidR="00D36C52" w:rsidRDefault="00D36C52" w:rsidP="009138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13"/>
        <w:gridCol w:w="3115"/>
      </w:tblGrid>
      <w:tr w:rsidR="00F53176" w14:paraId="1CE49952" w14:textId="77777777" w:rsidTr="00D36C52">
        <w:tc>
          <w:tcPr>
            <w:tcW w:w="3166" w:type="dxa"/>
          </w:tcPr>
          <w:p w14:paraId="336D4372" w14:textId="231DD4DF" w:rsidR="00F53176" w:rsidRDefault="00F53176" w:rsidP="00F53176">
            <w:r>
              <w:rPr>
                <w:b/>
                <w:bCs/>
              </w:rPr>
              <w:t xml:space="preserve">Креатининов клирънс </w:t>
            </w:r>
            <w:r>
              <w:rPr>
                <w:b/>
                <w:bCs/>
                <w:lang w:val="en-US"/>
              </w:rPr>
              <w:t>[ml/min/1.73 m</w:t>
            </w:r>
            <w:r>
              <w:rPr>
                <w:b/>
                <w:bCs/>
                <w:vertAlign w:val="superscript"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]</w:t>
            </w:r>
          </w:p>
        </w:tc>
        <w:tc>
          <w:tcPr>
            <w:tcW w:w="3167" w:type="dxa"/>
          </w:tcPr>
          <w:p w14:paraId="01C1449C" w14:textId="4A7C4747" w:rsidR="00F53176" w:rsidRDefault="00F53176" w:rsidP="00F53176">
            <w:r>
              <w:rPr>
                <w:b/>
                <w:bCs/>
              </w:rPr>
              <w:t xml:space="preserve">Серумен креатинин </w:t>
            </w: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μ</w:t>
            </w:r>
            <w:proofErr w:type="spellStart"/>
            <w:r>
              <w:rPr>
                <w:b/>
                <w:bCs/>
                <w:lang w:val="en-US"/>
              </w:rPr>
              <w:t>mol</w:t>
            </w:r>
            <w:proofErr w:type="spellEnd"/>
            <w:r>
              <w:rPr>
                <w:b/>
                <w:bCs/>
                <w:lang w:val="en-US"/>
              </w:rPr>
              <w:t>/L]</w:t>
            </w:r>
          </w:p>
        </w:tc>
        <w:tc>
          <w:tcPr>
            <w:tcW w:w="3167" w:type="dxa"/>
          </w:tcPr>
          <w:p w14:paraId="6E71C021" w14:textId="1CC74796" w:rsidR="00F53176" w:rsidRDefault="00F53176" w:rsidP="00F53176">
            <w:r>
              <w:rPr>
                <w:b/>
                <w:bCs/>
              </w:rPr>
              <w:t xml:space="preserve">Перорална доза </w:t>
            </w:r>
            <w:r>
              <w:rPr>
                <w:b/>
                <w:bCs/>
                <w:lang w:val="en-US"/>
              </w:rPr>
              <w:t>[mg]</w:t>
            </w:r>
          </w:p>
        </w:tc>
      </w:tr>
      <w:tr w:rsidR="00F53176" w14:paraId="0D485F73" w14:textId="77777777" w:rsidTr="00D36C52">
        <w:tc>
          <w:tcPr>
            <w:tcW w:w="3166" w:type="dxa"/>
          </w:tcPr>
          <w:p w14:paraId="08DA956A" w14:textId="24120256" w:rsidR="00F53176" w:rsidRDefault="00F53176" w:rsidP="00F53176">
            <w:r>
              <w:t>&gt;60</w:t>
            </w:r>
          </w:p>
        </w:tc>
        <w:tc>
          <w:tcPr>
            <w:tcW w:w="3167" w:type="dxa"/>
          </w:tcPr>
          <w:p w14:paraId="44A2C6F1" w14:textId="61F06399" w:rsidR="00F53176" w:rsidRDefault="00F53176" w:rsidP="00F53176">
            <w:r>
              <w:t>&lt;124</w:t>
            </w:r>
          </w:p>
        </w:tc>
        <w:tc>
          <w:tcPr>
            <w:tcW w:w="3167" w:type="dxa"/>
          </w:tcPr>
          <w:p w14:paraId="33B6F7AC" w14:textId="5E29D3ED" w:rsidR="00F53176" w:rsidRDefault="00F53176" w:rsidP="00F53176">
            <w:r>
              <w:t>Виж обичайна доза</w:t>
            </w:r>
          </w:p>
        </w:tc>
      </w:tr>
      <w:tr w:rsidR="00F53176" w14:paraId="5D9387C1" w14:textId="77777777" w:rsidTr="00D36C52">
        <w:tc>
          <w:tcPr>
            <w:tcW w:w="3166" w:type="dxa"/>
          </w:tcPr>
          <w:p w14:paraId="2C8269B6" w14:textId="05B401CB" w:rsidR="00F53176" w:rsidRDefault="00F53176" w:rsidP="00F53176">
            <w:r>
              <w:t>30-60</w:t>
            </w:r>
          </w:p>
        </w:tc>
        <w:tc>
          <w:tcPr>
            <w:tcW w:w="3167" w:type="dxa"/>
          </w:tcPr>
          <w:p w14:paraId="221E4808" w14:textId="65B5824A" w:rsidR="00F53176" w:rsidRDefault="00F53176" w:rsidP="00F53176">
            <w:r>
              <w:t>124 до 168</w:t>
            </w:r>
          </w:p>
        </w:tc>
        <w:tc>
          <w:tcPr>
            <w:tcW w:w="3167" w:type="dxa"/>
          </w:tcPr>
          <w:p w14:paraId="7EBE175F" w14:textId="7F543DE6" w:rsidR="00F53176" w:rsidRDefault="00F53176" w:rsidP="00F53176">
            <w:r>
              <w:t xml:space="preserve">250-500 </w:t>
            </w:r>
            <w:r>
              <w:rPr>
                <w:lang w:val="en-US"/>
              </w:rPr>
              <w:t xml:space="preserve">mg </w:t>
            </w:r>
            <w:r>
              <w:t>на всеки 12 часа</w:t>
            </w:r>
          </w:p>
        </w:tc>
      </w:tr>
      <w:tr w:rsidR="00F53176" w14:paraId="6508FAA6" w14:textId="77777777" w:rsidTr="00D36C52">
        <w:tc>
          <w:tcPr>
            <w:tcW w:w="3166" w:type="dxa"/>
          </w:tcPr>
          <w:p w14:paraId="7FCBD4D8" w14:textId="5DD7ABC5" w:rsidR="00F53176" w:rsidRDefault="00F53176" w:rsidP="00F53176">
            <w:r>
              <w:t>&lt;30</w:t>
            </w:r>
          </w:p>
        </w:tc>
        <w:tc>
          <w:tcPr>
            <w:tcW w:w="3167" w:type="dxa"/>
          </w:tcPr>
          <w:p w14:paraId="49B16B96" w14:textId="35E5914A" w:rsidR="00F53176" w:rsidRDefault="00F53176" w:rsidP="00F53176">
            <w:r>
              <w:t>&gt;169</w:t>
            </w:r>
          </w:p>
        </w:tc>
        <w:tc>
          <w:tcPr>
            <w:tcW w:w="3167" w:type="dxa"/>
          </w:tcPr>
          <w:p w14:paraId="367942EB" w14:textId="43038CDD" w:rsidR="00F53176" w:rsidRDefault="00F53176" w:rsidP="00F53176">
            <w:r>
              <w:t xml:space="preserve">250-500 </w:t>
            </w:r>
            <w:r>
              <w:rPr>
                <w:lang w:val="en-US"/>
              </w:rPr>
              <w:t xml:space="preserve">mg </w:t>
            </w:r>
            <w:r>
              <w:t>на всеки 24 часа</w:t>
            </w:r>
          </w:p>
        </w:tc>
      </w:tr>
      <w:tr w:rsidR="00F53176" w14:paraId="191F433D" w14:textId="77777777" w:rsidTr="00D36C52">
        <w:tc>
          <w:tcPr>
            <w:tcW w:w="3166" w:type="dxa"/>
          </w:tcPr>
          <w:p w14:paraId="2484A4DF" w14:textId="7A3FD0F9" w:rsidR="00F53176" w:rsidRDefault="00F53176" w:rsidP="00F53176">
            <w:r>
              <w:t>Пациенти на хемодиализа</w:t>
            </w:r>
          </w:p>
        </w:tc>
        <w:tc>
          <w:tcPr>
            <w:tcW w:w="3167" w:type="dxa"/>
          </w:tcPr>
          <w:p w14:paraId="0FB5CE70" w14:textId="7D40E6BA" w:rsidR="00F53176" w:rsidRDefault="00F53176" w:rsidP="00F53176">
            <w:r>
              <w:t>&gt;169</w:t>
            </w:r>
          </w:p>
        </w:tc>
        <w:tc>
          <w:tcPr>
            <w:tcW w:w="3167" w:type="dxa"/>
          </w:tcPr>
          <w:p w14:paraId="4CBD66D8" w14:textId="3DE05A97" w:rsidR="00F53176" w:rsidRDefault="00F53176" w:rsidP="00F53176">
            <w:r>
              <w:t xml:space="preserve">250-500 </w:t>
            </w:r>
            <w:r>
              <w:rPr>
                <w:lang w:val="en-US"/>
              </w:rPr>
              <w:t xml:space="preserve">mg </w:t>
            </w:r>
            <w:r>
              <w:t>на всеки 24 часа (след диализа)</w:t>
            </w:r>
          </w:p>
        </w:tc>
      </w:tr>
      <w:tr w:rsidR="00F53176" w14:paraId="01C40025" w14:textId="77777777" w:rsidTr="00D36C52">
        <w:tc>
          <w:tcPr>
            <w:tcW w:w="3166" w:type="dxa"/>
          </w:tcPr>
          <w:p w14:paraId="5F633BAC" w14:textId="630037C8" w:rsidR="00F53176" w:rsidRDefault="00F53176" w:rsidP="00F53176">
            <w:r>
              <w:t>Пациенти на перитонеална диализа</w:t>
            </w:r>
          </w:p>
        </w:tc>
        <w:tc>
          <w:tcPr>
            <w:tcW w:w="3167" w:type="dxa"/>
          </w:tcPr>
          <w:p w14:paraId="7CF51E61" w14:textId="1A68E733" w:rsidR="00F53176" w:rsidRDefault="00F53176" w:rsidP="00F53176">
            <w:r>
              <w:t>&gt;169</w:t>
            </w:r>
          </w:p>
        </w:tc>
        <w:tc>
          <w:tcPr>
            <w:tcW w:w="3167" w:type="dxa"/>
          </w:tcPr>
          <w:p w14:paraId="629B7AD4" w14:textId="457A4673" w:rsidR="00F53176" w:rsidRDefault="00F53176" w:rsidP="00F53176">
            <w:r>
              <w:t xml:space="preserve">250-500 </w:t>
            </w:r>
            <w:r>
              <w:rPr>
                <w:lang w:val="en-US"/>
              </w:rPr>
              <w:t xml:space="preserve">mg </w:t>
            </w:r>
            <w:r>
              <w:t>на всеки 24 часа</w:t>
            </w:r>
          </w:p>
        </w:tc>
      </w:tr>
    </w:tbl>
    <w:p w14:paraId="4E9C2FF6" w14:textId="574638D9" w:rsidR="00D36C52" w:rsidRDefault="00D36C52" w:rsidP="0091385D"/>
    <w:p w14:paraId="18BAFF34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>При пациенти с нарушена чернодробна функция не е необходимо коригиране на дозата. Дозирането при деца с нарушени бъбречни и/или чернодробни функции не е изучавано.</w:t>
      </w:r>
    </w:p>
    <w:p w14:paraId="3ECB9CBE" w14:textId="77777777" w:rsidR="00D36C52" w:rsidRPr="00D36C52" w:rsidRDefault="00D36C52" w:rsidP="00D36C52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8DD3B37" w14:textId="2EE26864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u w:val="single"/>
          <w:lang w:eastAsia="bg-BG"/>
        </w:rPr>
        <w:t>Начин на приложение</w:t>
      </w:r>
    </w:p>
    <w:p w14:paraId="21549FB7" w14:textId="77777777" w:rsidR="00D36C52" w:rsidRPr="00D36C52" w:rsidRDefault="00D36C52" w:rsidP="00D36C5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A359834" w14:textId="24490BC1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>Таблетките се приемат с течност, без да се сдъвкват независимо от времето на хранене. Ако се приемат на гладно, активната субстанция се абсорбира по-бързо. Таблетките ципрофлоксацин не бива да се приемат с млечни продукти (напр. мляко, кисело мляко) или с обогатени с минерали плодови сокове (напр. портокалов сок с добавка на калций) (виж т. 4.5).</w:t>
      </w:r>
    </w:p>
    <w:p w14:paraId="3BFFB985" w14:textId="351CD9F5" w:rsidR="00D36C52" w:rsidRPr="00D36C52" w:rsidRDefault="00D36C52" w:rsidP="00D36C52">
      <w:pPr>
        <w:rPr>
          <w:rFonts w:cs="Arial"/>
        </w:rPr>
      </w:pPr>
      <w:r w:rsidRPr="00D36C52">
        <w:rPr>
          <w:rFonts w:eastAsia="Times New Roman" w:cs="Arial"/>
          <w:color w:val="000000"/>
          <w:lang w:eastAsia="bg-BG"/>
        </w:rPr>
        <w:t>При тежки случаи или ако пациентът не е в състояние да приема таблетките (напр. пациенти на парентерално хранене) се препоръчва терапия с интравенозно вливане на ципрофлоксацин, докато стане възможно преминаването към перорален прием.</w:t>
      </w:r>
    </w:p>
    <w:p w14:paraId="4CC50316" w14:textId="77777777" w:rsidR="00D36C52" w:rsidRPr="0091385D" w:rsidRDefault="00D36C52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48168570" w:rsidR="0091385D" w:rsidRDefault="0091385D" w:rsidP="0091385D"/>
    <w:p w14:paraId="3241D0A5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>Свръхчувствителност към активното вещество или към някое от помощните вещества изброени в точка. 6.1, или към други хинолони.</w:t>
      </w:r>
    </w:p>
    <w:p w14:paraId="2309EAB0" w14:textId="21EE0D61" w:rsidR="0091385D" w:rsidRPr="00D36C52" w:rsidRDefault="00D36C52" w:rsidP="00D36C52">
      <w:pPr>
        <w:rPr>
          <w:rFonts w:cs="Arial"/>
        </w:rPr>
      </w:pPr>
      <w:r w:rsidRPr="00D36C52">
        <w:rPr>
          <w:rFonts w:eastAsia="Times New Roman" w:cs="Arial"/>
          <w:color w:val="000000"/>
          <w:lang w:eastAsia="bg-BG"/>
        </w:rPr>
        <w:t>Едновременно приложение на ципрофлоксацин и тизанидин (виж т. 4.5).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0A08B607" w:rsidR="0091385D" w:rsidRDefault="0091385D" w:rsidP="0091385D"/>
    <w:p w14:paraId="43E750C9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u w:val="single"/>
          <w:lang w:eastAsia="bg-BG"/>
        </w:rPr>
        <w:t xml:space="preserve">Тежки инфекции и смесени инфекции с грам-положителни и анаеробни патогени </w:t>
      </w:r>
      <w:r w:rsidRPr="00D36C52">
        <w:rPr>
          <w:rFonts w:eastAsia="Times New Roman" w:cs="Arial"/>
          <w:color w:val="000000"/>
          <w:lang w:eastAsia="bg-BG"/>
        </w:rPr>
        <w:t>Монотерапията с ципрофлоксацин не е подходяща за лечение на тежки инфекции и на инфекции, за които се предполага, че са предизвикани от грам-положителни или анаеробни патогени. При такива инфекции ципрофлоксацин трябва да се прилага комбинирано с други подходящи антибактериални агенти.</w:t>
      </w:r>
    </w:p>
    <w:p w14:paraId="1C12FB26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u w:val="single"/>
          <w:lang w:eastAsia="bg-BG"/>
        </w:rPr>
        <w:t xml:space="preserve">Стрептококови инфекиии (включително </w:t>
      </w:r>
      <w:r w:rsidRPr="00D36C52">
        <w:rPr>
          <w:rFonts w:eastAsia="Times New Roman" w:cs="Arial"/>
          <w:i/>
          <w:iCs/>
          <w:color w:val="000000"/>
          <w:u w:val="single"/>
          <w:lang w:val="en-US"/>
        </w:rPr>
        <w:t xml:space="preserve">Streptococcus </w:t>
      </w:r>
      <w:proofErr w:type="spellStart"/>
      <w:r w:rsidRPr="00D36C52">
        <w:rPr>
          <w:rFonts w:eastAsia="Times New Roman" w:cs="Arial"/>
          <w:i/>
          <w:iCs/>
          <w:color w:val="000000"/>
          <w:u w:val="single"/>
          <w:lang w:val="en-US"/>
        </w:rPr>
        <w:t>pneumoniae</w:t>
      </w:r>
      <w:proofErr w:type="spellEnd"/>
      <w:r w:rsidRPr="00D36C52">
        <w:rPr>
          <w:rFonts w:eastAsia="Times New Roman" w:cs="Arial"/>
          <w:i/>
          <w:iCs/>
          <w:color w:val="000000"/>
          <w:u w:val="single"/>
          <w:lang w:val="en-US"/>
        </w:rPr>
        <w:t>)</w:t>
      </w:r>
    </w:p>
    <w:p w14:paraId="1F39A943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>Ципрофлоксацин не се препоръчва за лечение на стрептококови инфекции, тъй като не е достатъчно ефективен при тях.</w:t>
      </w:r>
    </w:p>
    <w:p w14:paraId="021F3B9F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u w:val="single"/>
          <w:lang w:eastAsia="bg-BG"/>
        </w:rPr>
        <w:t>Инфекиии на половите пътища</w:t>
      </w:r>
    </w:p>
    <w:p w14:paraId="033EF2CB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 xml:space="preserve">Орхиепидидимит и възпалителни състояния в малкия таз могат да бъдат причинени от флуорохинолон-резистентна </w:t>
      </w:r>
      <w:r w:rsidRPr="00D36C52">
        <w:rPr>
          <w:rFonts w:eastAsia="Times New Roman" w:cs="Arial"/>
          <w:i/>
          <w:iCs/>
          <w:color w:val="000000"/>
          <w:lang w:val="en-US"/>
        </w:rPr>
        <w:t xml:space="preserve">Neisseria </w:t>
      </w:r>
      <w:proofErr w:type="spellStart"/>
      <w:r w:rsidRPr="00D36C52">
        <w:rPr>
          <w:rFonts w:eastAsia="Times New Roman" w:cs="Arial"/>
          <w:i/>
          <w:iCs/>
          <w:color w:val="000000"/>
          <w:lang w:val="en-US"/>
        </w:rPr>
        <w:t>gonorrhoeae</w:t>
      </w:r>
      <w:proofErr w:type="spellEnd"/>
      <w:r w:rsidRPr="00D36C52">
        <w:rPr>
          <w:rFonts w:eastAsia="Times New Roman" w:cs="Arial"/>
          <w:i/>
          <w:iCs/>
          <w:color w:val="000000"/>
          <w:lang w:val="en-US"/>
        </w:rPr>
        <w:t>.</w:t>
      </w:r>
      <w:r w:rsidRPr="00D36C52">
        <w:rPr>
          <w:rFonts w:eastAsia="Times New Roman" w:cs="Arial"/>
          <w:color w:val="000000"/>
          <w:lang w:val="en-US"/>
        </w:rPr>
        <w:t xml:space="preserve"> </w:t>
      </w:r>
      <w:r w:rsidRPr="00D36C52">
        <w:rPr>
          <w:rFonts w:eastAsia="Times New Roman" w:cs="Arial"/>
          <w:color w:val="000000"/>
          <w:lang w:eastAsia="bg-BG"/>
        </w:rPr>
        <w:t xml:space="preserve">Ципрофлоксацин трябва да се прилага в комбинация с друг подходящ антибактериален агент, освен ако не е изключена ципрофлоксацин-резистентната </w:t>
      </w:r>
      <w:r w:rsidRPr="00D36C52">
        <w:rPr>
          <w:rFonts w:eastAsia="Times New Roman" w:cs="Arial"/>
          <w:i/>
          <w:iCs/>
          <w:color w:val="000000"/>
          <w:lang w:val="en-US"/>
        </w:rPr>
        <w:t xml:space="preserve">Neisseria </w:t>
      </w:r>
      <w:proofErr w:type="spellStart"/>
      <w:r w:rsidRPr="00D36C52">
        <w:rPr>
          <w:rFonts w:eastAsia="Times New Roman" w:cs="Arial"/>
          <w:i/>
          <w:iCs/>
          <w:color w:val="000000"/>
          <w:lang w:val="en-US"/>
        </w:rPr>
        <w:t>gonorrhoeae</w:t>
      </w:r>
      <w:proofErr w:type="spellEnd"/>
      <w:r w:rsidRPr="00D36C52">
        <w:rPr>
          <w:rFonts w:eastAsia="Times New Roman" w:cs="Arial"/>
          <w:i/>
          <w:iCs/>
          <w:color w:val="000000"/>
          <w:lang w:val="en-US"/>
        </w:rPr>
        <w:t>.</w:t>
      </w:r>
      <w:r w:rsidRPr="00D36C52">
        <w:rPr>
          <w:rFonts w:eastAsia="Times New Roman" w:cs="Arial"/>
          <w:color w:val="000000"/>
          <w:lang w:val="en-US"/>
        </w:rPr>
        <w:t xml:space="preserve"> </w:t>
      </w:r>
      <w:r w:rsidRPr="00D36C52">
        <w:rPr>
          <w:rFonts w:eastAsia="Times New Roman" w:cs="Arial"/>
          <w:color w:val="000000"/>
          <w:lang w:eastAsia="bg-BG"/>
        </w:rPr>
        <w:t>Ако след три дни лечение не се постигне клинично подобрение, терапията се коригира.</w:t>
      </w:r>
    </w:p>
    <w:p w14:paraId="20F519C9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u w:val="single"/>
          <w:lang w:eastAsia="bg-BG"/>
        </w:rPr>
        <w:t>Интра-абдоминални инфекиии</w:t>
      </w:r>
    </w:p>
    <w:p w14:paraId="75EAFBCB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>Съществуват ограничени данни за ефективността на ципрофлоксацин при лечението на пост-хирургични интра-абдоминални инфекции.</w:t>
      </w:r>
    </w:p>
    <w:p w14:paraId="52CA93C1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u w:val="single"/>
          <w:lang w:eastAsia="bg-BG"/>
        </w:rPr>
        <w:t>Диария при пътуване</w:t>
      </w:r>
    </w:p>
    <w:p w14:paraId="40933A71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>При избора на ципрофлоксацин трябва да се взима пред вид информацията относно резистентността към ципрофлоксацин при съответните преобладаващи регионални патогенни щамове в посетените страни.</w:t>
      </w:r>
    </w:p>
    <w:p w14:paraId="6B35C708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u w:val="single"/>
          <w:lang w:eastAsia="bg-BG"/>
        </w:rPr>
        <w:t>Инфекиии на костите и ставите</w:t>
      </w:r>
    </w:p>
    <w:p w14:paraId="092170C6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>Ципрофлоксацин трябва да се използва в комбинация с други антимикробни агенти в зависимост от резултата на микробиологичното изследване.</w:t>
      </w:r>
    </w:p>
    <w:p w14:paraId="62F020F0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u w:val="single"/>
          <w:lang w:eastAsia="bg-BG"/>
        </w:rPr>
        <w:t>Инхалационен антракс</w:t>
      </w:r>
    </w:p>
    <w:p w14:paraId="312C7C31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 xml:space="preserve">Използването при хора се основава на данните за чувствителност </w:t>
      </w:r>
      <w:r w:rsidRPr="00D36C52">
        <w:rPr>
          <w:rFonts w:eastAsia="Times New Roman" w:cs="Arial"/>
          <w:i/>
          <w:iCs/>
          <w:color w:val="000000"/>
          <w:lang w:val="en-US"/>
        </w:rPr>
        <w:t>in vitro</w:t>
      </w:r>
      <w:r w:rsidRPr="00D36C52">
        <w:rPr>
          <w:rFonts w:eastAsia="Times New Roman" w:cs="Arial"/>
          <w:color w:val="000000"/>
          <w:lang w:val="en-US"/>
        </w:rPr>
        <w:t xml:space="preserve"> </w:t>
      </w:r>
      <w:r w:rsidRPr="00D36C52">
        <w:rPr>
          <w:rFonts w:eastAsia="Times New Roman" w:cs="Arial"/>
          <w:color w:val="000000"/>
          <w:lang w:eastAsia="bg-BG"/>
        </w:rPr>
        <w:t>и при животински модели, както и от ограничените данни от използването му при хора. Лекуващите лекари трябва да се отнесат към националните и/или международните консенсусни документи по отношение лечението на антракс.</w:t>
      </w:r>
    </w:p>
    <w:p w14:paraId="12A537F3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u w:val="single"/>
          <w:lang w:eastAsia="bg-BG"/>
        </w:rPr>
        <w:t>Педиатрична популация</w:t>
      </w:r>
    </w:p>
    <w:p w14:paraId="67601814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lastRenderedPageBreak/>
        <w:t>Използването на ципрофлоксацин при деца и подрастващи следва наличните официални препоръки. Лечението с ципрофлоксацин трябва да започва само след съответно назначение от лекари с опит при третирането на муковисцидоза и/или тежки инфекции при деца и подрастващи.</w:t>
      </w:r>
    </w:p>
    <w:p w14:paraId="68E7D5AC" w14:textId="77777777" w:rsidR="00D36C52" w:rsidRPr="00F53176" w:rsidRDefault="00D36C52" w:rsidP="00D36C52">
      <w:pPr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 xml:space="preserve">Описано е, че ципрофлоксацин предизвиква артропатия в носещите стави при млади животни. Данните за безопасност при случайно подбрани двойно слепи изпитвания при употреба на ципрофлоксацин при деца (ципрофлоксацин: </w:t>
      </w:r>
      <w:r w:rsidRPr="00D36C52">
        <w:rPr>
          <w:rFonts w:eastAsia="Times New Roman" w:cs="Arial"/>
          <w:color w:val="000000"/>
          <w:lang w:val="en-US"/>
        </w:rPr>
        <w:t>n</w:t>
      </w:r>
      <w:r w:rsidRPr="00D36C52">
        <w:rPr>
          <w:rFonts w:eastAsia="Times New Roman" w:cs="Arial"/>
          <w:color w:val="000000"/>
          <w:lang w:eastAsia="bg-BG"/>
        </w:rPr>
        <w:t>=335, средна възраст =</w:t>
      </w:r>
      <w:r w:rsidRPr="00D36C52">
        <w:rPr>
          <w:rFonts w:eastAsia="Times New Roman" w:cs="Arial"/>
          <w:color w:val="000000"/>
          <w:lang w:val="en-US"/>
        </w:rPr>
        <w:t xml:space="preserve"> 6.3</w:t>
      </w:r>
      <w:r w:rsidRPr="00D36C52">
        <w:rPr>
          <w:rFonts w:eastAsia="Times New Roman" w:cs="Arial"/>
          <w:color w:val="000000"/>
          <w:lang w:eastAsia="bg-BG"/>
        </w:rPr>
        <w:t xml:space="preserve"> години, плацебо: </w:t>
      </w:r>
      <w:r w:rsidRPr="00D36C52">
        <w:rPr>
          <w:rFonts w:eastAsia="Times New Roman" w:cs="Arial"/>
          <w:color w:val="000000"/>
          <w:lang w:val="en-US"/>
        </w:rPr>
        <w:t>n</w:t>
      </w:r>
      <w:r w:rsidRPr="00D36C52">
        <w:rPr>
          <w:rFonts w:eastAsia="Times New Roman" w:cs="Arial"/>
          <w:color w:val="000000"/>
          <w:lang w:eastAsia="bg-BG"/>
        </w:rPr>
        <w:t>=349, средна възраст = 6.2 години, възрастов интервал =</w:t>
      </w:r>
      <w:r w:rsidRPr="00D36C52">
        <w:rPr>
          <w:rFonts w:eastAsia="Times New Roman" w:cs="Arial"/>
          <w:color w:val="000000"/>
          <w:lang w:val="en-US"/>
        </w:rPr>
        <w:t xml:space="preserve"> 1 </w:t>
      </w:r>
      <w:r w:rsidRPr="00D36C52">
        <w:rPr>
          <w:rFonts w:eastAsia="Times New Roman" w:cs="Arial"/>
          <w:color w:val="000000"/>
          <w:lang w:eastAsia="bg-BG"/>
        </w:rPr>
        <w:t>до 17 години), разкриват случаи на вероятно лекарствено-зависима артропатия</w:t>
      </w:r>
      <w:r w:rsidRPr="00D36C52">
        <w:rPr>
          <w:rFonts w:eastAsia="Times New Roman" w:cs="Arial"/>
          <w:color w:val="000000"/>
          <w:lang w:val="en-US"/>
        </w:rPr>
        <w:t xml:space="preserve"> (</w:t>
      </w:r>
      <w:r w:rsidRPr="00D36C52">
        <w:rPr>
          <w:rFonts w:eastAsia="Times New Roman" w:cs="Arial"/>
          <w:color w:val="000000"/>
          <w:lang w:eastAsia="bg-BG"/>
        </w:rPr>
        <w:t>различна от</w:t>
      </w:r>
      <w:r w:rsidRPr="00D36C52">
        <w:rPr>
          <w:rFonts w:eastAsia="Times New Roman" w:cs="Arial"/>
          <w:sz w:val="24"/>
          <w:szCs w:val="24"/>
          <w:lang w:eastAsia="bg-BG"/>
        </w:rPr>
        <w:t xml:space="preserve"> </w:t>
      </w:r>
      <w:r w:rsidRPr="00F53176">
        <w:rPr>
          <w:rFonts w:eastAsia="Times New Roman" w:cs="Arial"/>
          <w:color w:val="000000"/>
          <w:lang w:eastAsia="bg-BG"/>
        </w:rPr>
        <w:t>свързани със ставите болестни симптоми) до 42-я ден при съответно 7.2% и 4.6%.</w:t>
      </w:r>
      <w:r w:rsidRPr="00F53176">
        <w:rPr>
          <w:rFonts w:eastAsia="Times New Roman" w:cs="Arial"/>
          <w:color w:val="000000"/>
          <w:lang w:val="en-US"/>
        </w:rPr>
        <w:t xml:space="preserve"> </w:t>
      </w:r>
      <w:r w:rsidRPr="00F53176">
        <w:rPr>
          <w:rFonts w:eastAsia="Times New Roman" w:cs="Arial"/>
          <w:color w:val="000000"/>
          <w:lang w:eastAsia="bg-BG"/>
        </w:rPr>
        <w:t>Появата на лекарствено-обусловена артропатия след едногодишно проследяване е съответно 9.0% и 5.7%. Увеличението на случаите на лекарствено обусловена артропатия с времето не е статистически значимо между групите.</w:t>
      </w:r>
    </w:p>
    <w:p w14:paraId="20FD133C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 xml:space="preserve">Лечението трябва да започва след внимателна преценка на съотношението полза/риск поради възможните странични ефекти, свързани със ставите и околните тъкани. </w:t>
      </w:r>
      <w:r w:rsidRPr="00D36C52">
        <w:rPr>
          <w:rFonts w:eastAsia="Times New Roman" w:cs="Arial"/>
          <w:i/>
          <w:iCs/>
          <w:color w:val="000000"/>
          <w:lang w:eastAsia="bg-BG"/>
        </w:rPr>
        <w:t>Бронхо-пулмонални инфекции при муковисцидоза</w:t>
      </w:r>
    </w:p>
    <w:p w14:paraId="27D79FEB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 xml:space="preserve">В клиничните изпитания са включвани деца и подрастващи на възраст между 5 и 17 години. По-ограничен е опитът при лечение на деца между 1-и 5-годишна възраст. </w:t>
      </w:r>
      <w:r w:rsidRPr="00D36C52">
        <w:rPr>
          <w:rFonts w:eastAsia="Times New Roman" w:cs="Arial"/>
          <w:i/>
          <w:iCs/>
          <w:color w:val="000000"/>
          <w:lang w:eastAsia="bg-BG"/>
        </w:rPr>
        <w:t>Усложнени инфекции на пикочните пътища и пиелонефрит</w:t>
      </w:r>
    </w:p>
    <w:p w14:paraId="161EB9EA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>Лечение на инфекции на пикочните пътища с ципрофлоксацин се обмисля в случаите, когато е невъзможно прилагането на друго лечение и се основава на резултатите от микробиологичното изследване. В клиничните изпитания са включвани и деца, и подрастващи на възраст между 1 и 17 години.</w:t>
      </w:r>
    </w:p>
    <w:p w14:paraId="33CEFAAF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lang w:eastAsia="bg-BG"/>
        </w:rPr>
        <w:t>Други специфични тежки инфекции</w:t>
      </w:r>
    </w:p>
    <w:p w14:paraId="2673D9A7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>Други тежки инфекции в съответствие с официалните препоръки и след внимателна преценка на съотношението полза/риск, когато е невъзможно да се приложи друго лечение, или след неуспех на конвенционалното лечение, или когато микробиологичното изследване оправдава употребата на ципрофлоксацин.</w:t>
      </w:r>
    </w:p>
    <w:p w14:paraId="4571997C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>Употребата на ципрофлоксацин при специфични тежки инфекции, различни от споменатите по горе, не е проверена при клинични изпитвания и клиничният опит е ограничен. Затова е необходимо внимание, когато на такива пациенти се предписва ципрофлоксацин.</w:t>
      </w:r>
    </w:p>
    <w:p w14:paraId="3219FE44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u w:val="single"/>
          <w:lang w:eastAsia="bg-BG"/>
        </w:rPr>
        <w:t>Свръхчувствителност</w:t>
      </w:r>
    </w:p>
    <w:p w14:paraId="2A3C56D6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>Свръхчувствителност и алергични реакции, включително анафилаксия и анафилактоидни реакции, могат да последват единична доза (виж т. 4.8) и да са живото-застрашаващи. Ако настъпи такава реакция, приемът на ципрофлоксацин се преустановява веднага и се търси квалифицирана медицинска помощ.</w:t>
      </w:r>
    </w:p>
    <w:p w14:paraId="67DC2B4D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u w:val="single"/>
          <w:lang w:eastAsia="bg-BG"/>
        </w:rPr>
        <w:t>Мускуло-скелетна система</w:t>
      </w:r>
    </w:p>
    <w:p w14:paraId="047627D5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>Ципрофлоксацин не бива да се предписва на пациенти с история за заболявания на сухожилията или такива, възникнали в резултат на прием на хинолони. Все пак в много редките случаи, когато резултатът от микробиологичното изследване го налага, и при благоприятна преценка на съотношението полза/риск, ципрофлоксацин може да се предпише и на такива пациенти за лечение на определени тежки инфекции, особено при неуспех на стандартната терапия или наличие на бактериална резистентност, както и когато микробиологичният анализ оправдава употребата на ципрофлоксацин.</w:t>
      </w:r>
    </w:p>
    <w:p w14:paraId="43E2B759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>При третиране с ципрофлоксацин може да възникне тендинит и скъсване на сухожилие (особено ахилесовото) понякога двустранно в първите 48 часа от приема. Рискът от тендинопатия се увеличава при пациенти в напреднала възраст или при такива, лекувани едновременно с кортикостероиди (виж т. 4.8).</w:t>
      </w:r>
    </w:p>
    <w:p w14:paraId="6BA0A82C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lastRenderedPageBreak/>
        <w:t>При всеки симптом на тендинит (напр. болезнено подуване, възпаление) лечението с ципрофлоксацин се преустановява. Необходимо е да се съблюдава засегнатият крайник да е в покой.</w:t>
      </w:r>
    </w:p>
    <w:p w14:paraId="0D608DD5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 xml:space="preserve">Ципрофлоксацин трябва да се прилага внимателно при пациенти с миастения гравис (виж т. 4.8). </w:t>
      </w:r>
    </w:p>
    <w:p w14:paraId="1249EEA5" w14:textId="77777777" w:rsidR="00D36C52" w:rsidRPr="00F53176" w:rsidRDefault="00D36C52" w:rsidP="00D36C52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B3BEE35" w14:textId="17682B18" w:rsidR="0091385D" w:rsidRPr="00F53176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53176">
        <w:rPr>
          <w:rFonts w:eastAsia="Times New Roman" w:cs="Arial"/>
          <w:i/>
          <w:iCs/>
          <w:color w:val="000000"/>
          <w:u w:val="single"/>
          <w:lang w:eastAsia="bg-BG"/>
        </w:rPr>
        <w:t>Фоточувствителност</w:t>
      </w:r>
    </w:p>
    <w:p w14:paraId="24FF570C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>Описани са реакции на фоточувствителност при ципрофлоксацин. Пациентите, приемащи ципрофлоксацин, трябва да бъдат посъветвани да избягват директната слънчева светлина и ултравиолетовото облъчване в хода на лечението (виж т. 4.8).</w:t>
      </w:r>
    </w:p>
    <w:p w14:paraId="72BB2C84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u w:val="single"/>
          <w:lang w:eastAsia="bg-BG"/>
        </w:rPr>
        <w:t>Централна нервна система</w:t>
      </w:r>
    </w:p>
    <w:p w14:paraId="11A7B6E5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>За хинолоните е известно, че могат да предизвикат припадък или да понижат прага за получаване на припадък. Ципрофлоксацин се използва внимателно при пациенти с нарушения в централната нервна система, тъй като те могат да са предпоставка за припадък. В случай на припадък приемът на ципрофлоксацин се преустановява веднага (виж т. 4.8). Психиатрични реакции могат да възникнат и след първия прием на ципрофлоксацин. В редки случаи депресията или психозата могат да прогресират до самоунищожително поведение. В такива случаи лечението с ципрофлоксацин се преустановява.</w:t>
      </w:r>
    </w:p>
    <w:p w14:paraId="6A203B3E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 xml:space="preserve">Съобщавано е за случаи на полиневропатия (въз основа на неврологични симптоми като болка, парене, нарушена чувствителност или мускулна слабост самостоятелно или в комбинация) при пациенти, лекувани с ципрофлоксацин. Лечението се преустановява при пациенти, показали симптоми на невропатия, включващи болка, парене, мравучкане, изтръпване и/или слабост, за да се предотврати появата на трайни поражения (виж т. 4.8). </w:t>
      </w:r>
      <w:r w:rsidRPr="00D36C52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зрението</w:t>
      </w:r>
    </w:p>
    <w:p w14:paraId="718DA15F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u w:val="single"/>
          <w:lang w:eastAsia="bg-BG"/>
        </w:rPr>
        <w:t>Ако възникне нарушение на зрението или някакви нарушения на очите, незабавно трябва да се направи консултация с офталмолог.</w:t>
      </w:r>
    </w:p>
    <w:p w14:paraId="6174B045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u w:val="single"/>
          <w:lang w:eastAsia="bg-BG"/>
        </w:rPr>
        <w:t>Сърдечни нарушения</w:t>
      </w:r>
    </w:p>
    <w:p w14:paraId="549B4385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 xml:space="preserve">Тъй като приемът на ципрофлоксацин е свързван със случаи на удължаване на </w:t>
      </w:r>
      <w:r w:rsidRPr="00D36C52">
        <w:rPr>
          <w:rFonts w:eastAsia="Times New Roman" w:cs="Arial"/>
          <w:color w:val="000000"/>
          <w:lang w:val="en-US"/>
        </w:rPr>
        <w:t xml:space="preserve">QT </w:t>
      </w:r>
      <w:r w:rsidRPr="00D36C52">
        <w:rPr>
          <w:rFonts w:eastAsia="Times New Roman" w:cs="Arial"/>
          <w:color w:val="000000"/>
          <w:lang w:eastAsia="bg-BG"/>
        </w:rPr>
        <w:t xml:space="preserve">(виж т. 4.8), необходимо е внимание при предписване на медикамента на пациенти с риск за аритмия </w:t>
      </w:r>
      <w:proofErr w:type="spellStart"/>
      <w:r w:rsidRPr="00D36C52">
        <w:rPr>
          <w:rFonts w:eastAsia="Times New Roman" w:cs="Arial"/>
          <w:color w:val="000000"/>
          <w:lang w:val="en-US"/>
        </w:rPr>
        <w:t>torsades</w:t>
      </w:r>
      <w:proofErr w:type="spellEnd"/>
      <w:r w:rsidRPr="00D36C52">
        <w:rPr>
          <w:rFonts w:eastAsia="Times New Roman" w:cs="Arial"/>
          <w:color w:val="000000"/>
          <w:lang w:val="en-US"/>
        </w:rPr>
        <w:t xml:space="preserve"> de pointes.</w:t>
      </w:r>
    </w:p>
    <w:p w14:paraId="637A3A34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u w:val="single"/>
          <w:lang w:eastAsia="bg-BG"/>
        </w:rPr>
        <w:t>Храносмилателна система</w:t>
      </w:r>
    </w:p>
    <w:p w14:paraId="6317C484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>Появата на тежка и продължителна диария по време или след лечение (включително няколко седмици след лечение) може да означава колит, асоцииран с антибиотичното лечение (живото-застрашаващ с възможен фатален изход), изискващ незабавно лечение (виж т. 4.8). В такива случаи приемът на ципрофлоксацин се преустановява веднага и се назначава подходяща терапия. При тази ситуация антиперисталтичните медикаменти са противопоказани.</w:t>
      </w:r>
    </w:p>
    <w:p w14:paraId="21DADDD0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u w:val="single"/>
          <w:lang w:eastAsia="bg-BG"/>
        </w:rPr>
        <w:t>Бъбреци и пикочни пътища</w:t>
      </w:r>
    </w:p>
    <w:p w14:paraId="647C3094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>Съобщавано е за кристалурия, свързана с употребата на ципрофлоксацин (виж т.4.8). Пациентите, лекувани с ципрофлоксацин, трябва да са добре хидратирани и да се избягва прекомерното алкализиране на урината им.</w:t>
      </w:r>
    </w:p>
    <w:p w14:paraId="0B608A91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u w:val="single"/>
          <w:lang w:eastAsia="bg-BG"/>
        </w:rPr>
        <w:t>Черен дроб и жлъчка</w:t>
      </w:r>
    </w:p>
    <w:p w14:paraId="11B08644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>Съобщавано е за случаи на чернодробна некроза и животозастрашаваща чернодробна недостатъчност при лечение с ципрофлоксацин. В случай на поява на някакъв симптом на чернодробно увреждане (като анорексия, жълтеница, потъмняване на урината, пруритус, неразположение в коремната област), лечението се преустановява.</w:t>
      </w:r>
    </w:p>
    <w:p w14:paraId="3C1B8AE9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i/>
          <w:iCs/>
          <w:color w:val="000000"/>
          <w:u w:val="single"/>
          <w:lang w:eastAsia="bg-BG"/>
        </w:rPr>
        <w:t>Глюкозо~6-фосфат-дехидрогеназен дефицит</w:t>
      </w:r>
    </w:p>
    <w:p w14:paraId="100A299A" w14:textId="68589F92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36C52">
        <w:rPr>
          <w:rFonts w:eastAsia="Times New Roman" w:cs="Arial"/>
          <w:color w:val="000000"/>
          <w:lang w:eastAsia="bg-BG"/>
        </w:rPr>
        <w:t>Съобщавано е за хемолитични реакции при прием на ципрофлоксацин от папиенти с</w:t>
      </w:r>
      <w:r w:rsidRPr="00D36C52">
        <w:rPr>
          <w:rFonts w:eastAsia="Times New Roman" w:cs="Arial"/>
          <w:color w:val="000000"/>
          <w:u w:val="single"/>
          <w:lang w:eastAsia="bg-BG"/>
        </w:rPr>
        <w:t xml:space="preserve"> </w:t>
      </w:r>
      <w:r w:rsidRPr="00D36C52">
        <w:rPr>
          <w:rFonts w:eastAsia="Times New Roman" w:cs="Arial"/>
          <w:color w:val="000000"/>
          <w:lang w:eastAsia="bg-BG"/>
        </w:rPr>
        <w:t xml:space="preserve">глюкозо-6-фосфат-дехидрогеназен дефицит. При такива пациенти лечението с ципрофлоксацин трябва да се избягва, освен ако потенциалната полза от лечението </w:t>
      </w:r>
      <w:r w:rsidRPr="00D36C52">
        <w:rPr>
          <w:rFonts w:eastAsia="Times New Roman" w:cs="Arial"/>
          <w:color w:val="000000"/>
          <w:lang w:eastAsia="bg-BG"/>
        </w:rPr>
        <w:lastRenderedPageBreak/>
        <w:t>превишава многократно възможния риск. В такива случаи се следи за възможна поява нахемолиза.</w:t>
      </w:r>
    </w:p>
    <w:p w14:paraId="70EAA2D4" w14:textId="77777777" w:rsidR="00D36C52" w:rsidRPr="00D36C52" w:rsidRDefault="00D36C52" w:rsidP="00D36C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24E3E82F" w14:textId="74758D75" w:rsidR="0091385D" w:rsidRPr="00F53176" w:rsidRDefault="00D36C52" w:rsidP="00D36C52">
      <w:pPr>
        <w:rPr>
          <w:rFonts w:cs="Arial"/>
          <w:u w:val="single"/>
        </w:rPr>
      </w:pPr>
      <w:r w:rsidRPr="00F53176">
        <w:rPr>
          <w:rFonts w:eastAsia="Times New Roman" w:cs="Arial"/>
          <w:i/>
          <w:iCs/>
          <w:color w:val="000000"/>
          <w:u w:val="single"/>
          <w:lang w:eastAsia="bg-BG"/>
        </w:rPr>
        <w:t>Резистентност</w:t>
      </w:r>
    </w:p>
    <w:p w14:paraId="4ACC0B08" w14:textId="77777777" w:rsidR="00F53176" w:rsidRPr="00F53176" w:rsidRDefault="00F53176" w:rsidP="00F5317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53176">
        <w:rPr>
          <w:rFonts w:eastAsia="Times New Roman" w:cs="Arial"/>
          <w:color w:val="000000"/>
          <w:lang w:eastAsia="bg-BG"/>
        </w:rPr>
        <w:t xml:space="preserve">По време или след лечебен курс с ципрофлоксацин е възможно да се изолират ципрофлоксацин-резистентни бактерии, придружено или не от клинично забележима суперинфекция. Рискът от селекциониране на ципрофлоксацин-резистентни бактерии е особено голям при продължително лечение и при третиране на вътреболнични инфекции и/или инфекции, предизвикани от </w:t>
      </w:r>
      <w:r w:rsidRPr="00F53176">
        <w:rPr>
          <w:rFonts w:eastAsia="Times New Roman" w:cs="Arial"/>
          <w:i/>
          <w:iCs/>
          <w:color w:val="000000"/>
          <w:lang w:val="en-US"/>
        </w:rPr>
        <w:t>Staphylococcus</w:t>
      </w:r>
      <w:r w:rsidRPr="00F53176">
        <w:rPr>
          <w:rFonts w:eastAsia="Times New Roman" w:cs="Arial"/>
          <w:color w:val="000000"/>
          <w:lang w:val="en-US"/>
        </w:rPr>
        <w:t xml:space="preserve"> </w:t>
      </w:r>
      <w:r w:rsidRPr="00F53176">
        <w:rPr>
          <w:rFonts w:eastAsia="Times New Roman" w:cs="Arial"/>
          <w:color w:val="000000"/>
          <w:lang w:eastAsia="bg-BG"/>
        </w:rPr>
        <w:t xml:space="preserve">и </w:t>
      </w:r>
      <w:r w:rsidRPr="00F53176">
        <w:rPr>
          <w:rFonts w:eastAsia="Times New Roman" w:cs="Arial"/>
          <w:i/>
          <w:iCs/>
          <w:color w:val="000000"/>
          <w:lang w:val="en-US"/>
        </w:rPr>
        <w:t>Pseudomonas.</w:t>
      </w:r>
    </w:p>
    <w:p w14:paraId="10CFFEDC" w14:textId="77777777" w:rsidR="00F53176" w:rsidRPr="00F53176" w:rsidRDefault="00F53176" w:rsidP="00F5317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53176">
        <w:rPr>
          <w:rFonts w:eastAsia="Times New Roman" w:cs="Arial"/>
          <w:i/>
          <w:iCs/>
          <w:color w:val="000000"/>
          <w:u w:val="single"/>
          <w:lang w:eastAsia="bg-BG"/>
        </w:rPr>
        <w:t>Цитохром Р450</w:t>
      </w:r>
    </w:p>
    <w:p w14:paraId="1671064E" w14:textId="77777777" w:rsidR="00F53176" w:rsidRPr="00F53176" w:rsidRDefault="00F53176" w:rsidP="00F5317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53176">
        <w:rPr>
          <w:rFonts w:eastAsia="Times New Roman" w:cs="Arial"/>
          <w:color w:val="000000"/>
          <w:lang w:eastAsia="bg-BG"/>
        </w:rPr>
        <w:t xml:space="preserve">Ципрофлоксацин инхибира </w:t>
      </w:r>
      <w:r w:rsidRPr="00F53176">
        <w:rPr>
          <w:rFonts w:eastAsia="Times New Roman" w:cs="Arial"/>
          <w:color w:val="000000"/>
          <w:lang w:val="en-US"/>
        </w:rPr>
        <w:t xml:space="preserve">CYP1A2 </w:t>
      </w:r>
      <w:r w:rsidRPr="00F53176">
        <w:rPr>
          <w:rFonts w:eastAsia="Times New Roman" w:cs="Arial"/>
          <w:color w:val="000000"/>
          <w:lang w:eastAsia="bg-BG"/>
        </w:rPr>
        <w:t>и по този начин може да предизвика повишена серумна концентрация на някои лекарства, прилагани едновременно и метаболизирани от този ензим (напр. теофилин, клозапин, ропинирол, тизанидин). Едновременното прилагане на ципрофлоксацин и тизанидин е противопоказано. Пациентите, приемащи едновременно такива лекарства, се следят внимателно за проява на симптоми на предозиране като може да се наложи и определяне на серумните концентрации (напр. на теофилин) (виж т. 4.5).</w:t>
      </w:r>
    </w:p>
    <w:p w14:paraId="090BA3A6" w14:textId="77777777" w:rsidR="00F53176" w:rsidRPr="00F53176" w:rsidRDefault="00F53176" w:rsidP="00F5317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53176">
        <w:rPr>
          <w:rFonts w:eastAsia="Times New Roman" w:cs="Arial"/>
          <w:i/>
          <w:iCs/>
          <w:color w:val="000000"/>
          <w:u w:val="single"/>
          <w:lang w:eastAsia="bg-BG"/>
        </w:rPr>
        <w:t>Метотрексат</w:t>
      </w:r>
    </w:p>
    <w:p w14:paraId="1E91CB75" w14:textId="77777777" w:rsidR="00F53176" w:rsidRPr="00F53176" w:rsidRDefault="00F53176" w:rsidP="00F5317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53176">
        <w:rPr>
          <w:rFonts w:eastAsia="Times New Roman" w:cs="Arial"/>
          <w:color w:val="000000"/>
          <w:lang w:eastAsia="bg-BG"/>
        </w:rPr>
        <w:t>Не се препоръчва едновременната употреба на ципрофлоксацин и метотрексат (виж т. 4.5).</w:t>
      </w:r>
    </w:p>
    <w:p w14:paraId="5A370B2A" w14:textId="77777777" w:rsidR="00F53176" w:rsidRPr="00F53176" w:rsidRDefault="00F53176" w:rsidP="00F5317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53176">
        <w:rPr>
          <w:rFonts w:eastAsia="Times New Roman" w:cs="Arial"/>
          <w:i/>
          <w:iCs/>
          <w:color w:val="000000"/>
          <w:u w:val="single"/>
          <w:lang w:eastAsia="bg-BG"/>
        </w:rPr>
        <w:t>Повлияване на лабораторни тестове</w:t>
      </w:r>
    </w:p>
    <w:p w14:paraId="2AD8273C" w14:textId="75F94354" w:rsidR="00D36C52" w:rsidRPr="00F53176" w:rsidRDefault="00F53176" w:rsidP="00F53176">
      <w:pPr>
        <w:rPr>
          <w:rFonts w:eastAsia="Times New Roman" w:cs="Arial"/>
          <w:color w:val="000000"/>
          <w:lang w:eastAsia="bg-BG"/>
        </w:rPr>
      </w:pPr>
      <w:r w:rsidRPr="00F53176">
        <w:rPr>
          <w:rFonts w:eastAsia="Times New Roman" w:cs="Arial"/>
          <w:color w:val="000000"/>
          <w:lang w:eastAsia="bg-BG"/>
        </w:rPr>
        <w:t xml:space="preserve">Активността </w:t>
      </w:r>
      <w:r w:rsidRPr="00F53176">
        <w:rPr>
          <w:rFonts w:eastAsia="Times New Roman" w:cs="Arial"/>
          <w:i/>
          <w:iCs/>
          <w:color w:val="000000"/>
          <w:lang w:val="en-US"/>
        </w:rPr>
        <w:t>in vitro</w:t>
      </w:r>
      <w:r w:rsidRPr="00F53176">
        <w:rPr>
          <w:rFonts w:eastAsia="Times New Roman" w:cs="Arial"/>
          <w:color w:val="000000"/>
          <w:lang w:val="en-US"/>
        </w:rPr>
        <w:t xml:space="preserve"> </w:t>
      </w:r>
      <w:r w:rsidRPr="00F53176">
        <w:rPr>
          <w:rFonts w:eastAsia="Times New Roman" w:cs="Arial"/>
          <w:color w:val="000000"/>
          <w:lang w:eastAsia="bg-BG"/>
        </w:rPr>
        <w:t xml:space="preserve">на ципрофлоксацин срещу </w:t>
      </w:r>
      <w:r w:rsidRPr="00F53176">
        <w:rPr>
          <w:rFonts w:eastAsia="Times New Roman" w:cs="Arial"/>
          <w:i/>
          <w:iCs/>
          <w:color w:val="000000"/>
          <w:lang w:val="en-US"/>
        </w:rPr>
        <w:t>Mycobacterium tuberculosis</w:t>
      </w:r>
      <w:r w:rsidRPr="00F53176">
        <w:rPr>
          <w:rFonts w:eastAsia="Times New Roman" w:cs="Arial"/>
          <w:color w:val="000000"/>
          <w:lang w:val="en-US"/>
        </w:rPr>
        <w:t xml:space="preserve"> </w:t>
      </w:r>
      <w:r w:rsidRPr="00F53176">
        <w:rPr>
          <w:rFonts w:eastAsia="Times New Roman" w:cs="Arial"/>
          <w:color w:val="000000"/>
          <w:lang w:eastAsia="bg-BG"/>
        </w:rPr>
        <w:t>може да даде фалшиво отрицателен бактериологичен резултат при проби от пациенти, приемащи към момента ципрофлоксацин.</w:t>
      </w:r>
    </w:p>
    <w:p w14:paraId="7698E64C" w14:textId="77777777" w:rsidR="00F53176" w:rsidRPr="0091385D" w:rsidRDefault="00F53176" w:rsidP="00F53176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06BA660D" w14:textId="77777777" w:rsidR="00E458CB" w:rsidRPr="00E458CB" w:rsidRDefault="00E458CB" w:rsidP="00E458C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458CB">
        <w:rPr>
          <w:rFonts w:eastAsia="Times New Roman" w:cs="Arial"/>
          <w:b/>
          <w:bCs/>
          <w:i/>
          <w:iCs/>
          <w:color w:val="000000"/>
          <w:u w:val="single"/>
          <w:lang w:eastAsia="bg-BG"/>
        </w:rPr>
        <w:t>Ефект на други продукти върху ципрофлоксацин:</w:t>
      </w:r>
    </w:p>
    <w:p w14:paraId="37E9C7C1" w14:textId="77777777" w:rsidR="00E458CB" w:rsidRPr="00E458CB" w:rsidRDefault="00E458CB" w:rsidP="00E458C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458CB">
        <w:rPr>
          <w:rFonts w:eastAsia="Times New Roman" w:cs="Arial"/>
          <w:i/>
          <w:iCs/>
          <w:color w:val="000000"/>
          <w:u w:val="single"/>
          <w:lang w:eastAsia="bg-BG"/>
        </w:rPr>
        <w:t>Образуване на хелатни комплекси</w:t>
      </w:r>
    </w:p>
    <w:p w14:paraId="1EA11873" w14:textId="77777777" w:rsidR="00E458CB" w:rsidRPr="00E458CB" w:rsidRDefault="00E458CB" w:rsidP="00E458C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458CB">
        <w:rPr>
          <w:rFonts w:eastAsia="Times New Roman" w:cs="Arial"/>
          <w:color w:val="000000"/>
          <w:lang w:eastAsia="bg-BG"/>
        </w:rPr>
        <w:t xml:space="preserve">Едновременният прием на ципрофлоксацин (през устата) и мултивалентни катион- съдържащи медикаменти и минерални добавки (калций, магнезий, алумний, желязо), фосфат свързващи полимери (севеламер), сукралфат или антиацидни средства и силно буферирани медикаменти (таблетки диданозин), съдържащи магнезий, алуминий или калций, редуцират абсорбцията на ципрофлоксацин. Затова ципрофлоксацин се приема или 1 -2 часа преди или най-малко 4 часа след прием на такива средства. Ограничението не се отнася за антиацидни средства от групата на </w:t>
      </w:r>
      <w:r w:rsidRPr="00E458CB">
        <w:rPr>
          <w:rFonts w:eastAsia="Times New Roman" w:cs="Arial"/>
          <w:color w:val="000000"/>
          <w:lang w:val="en-US"/>
        </w:rPr>
        <w:t>H</w:t>
      </w:r>
      <w:r w:rsidRPr="00E458CB">
        <w:rPr>
          <w:rFonts w:eastAsia="Times New Roman" w:cs="Arial"/>
          <w:color w:val="000000"/>
          <w:vertAlign w:val="subscript"/>
          <w:lang w:val="en-US"/>
        </w:rPr>
        <w:t>2</w:t>
      </w:r>
      <w:r w:rsidRPr="00E458CB">
        <w:rPr>
          <w:rFonts w:eastAsia="Times New Roman" w:cs="Arial"/>
          <w:color w:val="000000"/>
          <w:lang w:eastAsia="bg-BG"/>
        </w:rPr>
        <w:t>-блокерите.</w:t>
      </w:r>
    </w:p>
    <w:p w14:paraId="2533A562" w14:textId="77777777" w:rsidR="00E458CB" w:rsidRPr="00E458CB" w:rsidRDefault="00E458CB" w:rsidP="00E458C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458CB">
        <w:rPr>
          <w:rFonts w:eastAsia="Times New Roman" w:cs="Arial"/>
          <w:i/>
          <w:iCs/>
          <w:color w:val="000000"/>
          <w:u w:val="single"/>
          <w:lang w:eastAsia="bg-BG"/>
        </w:rPr>
        <w:t>Храна и млечни продукти</w:t>
      </w:r>
    </w:p>
    <w:p w14:paraId="495C5D85" w14:textId="77777777" w:rsidR="00E458CB" w:rsidRPr="00E458CB" w:rsidRDefault="00E458CB" w:rsidP="00E458C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458CB">
        <w:rPr>
          <w:rFonts w:eastAsia="Times New Roman" w:cs="Arial"/>
          <w:color w:val="000000"/>
          <w:lang w:eastAsia="bg-BG"/>
        </w:rPr>
        <w:t>Калцият, съдържащ се в храната, не повлиява съществено абсорбцията. Все пак обаче едновременният прием на млечни продукти или обогатени с минерали напитки (прясно и кисело мляко, обогатен с калций портокалов сок) заедно с ципрофлоксацин се избягва, тъй като може да се намали абсорбцията му.</w:t>
      </w:r>
    </w:p>
    <w:p w14:paraId="777C84A4" w14:textId="77777777" w:rsidR="00E458CB" w:rsidRPr="00E458CB" w:rsidRDefault="00E458CB" w:rsidP="00E458C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458CB">
        <w:rPr>
          <w:rFonts w:eastAsia="Times New Roman" w:cs="Arial"/>
          <w:i/>
          <w:iCs/>
          <w:color w:val="000000"/>
          <w:u w:val="single"/>
          <w:lang w:eastAsia="bg-BG"/>
        </w:rPr>
        <w:t>Пробенеиид</w:t>
      </w:r>
    </w:p>
    <w:p w14:paraId="7EF972CC" w14:textId="77777777" w:rsidR="00E458CB" w:rsidRPr="00E458CB" w:rsidRDefault="00E458CB" w:rsidP="00E458C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458CB">
        <w:rPr>
          <w:rFonts w:eastAsia="Times New Roman" w:cs="Arial"/>
          <w:color w:val="000000"/>
          <w:lang w:eastAsia="bg-BG"/>
        </w:rPr>
        <w:t>Пробенецид повлиява бъбречната секреция на ципрофлоксацин. Едновременният прием на пробенецид и ципрофлоксацин повишава серумните нива на ципрофлоксацин.</w:t>
      </w:r>
    </w:p>
    <w:p w14:paraId="42B5F99D" w14:textId="77777777" w:rsidR="00E458CB" w:rsidRPr="00E458CB" w:rsidRDefault="00E458CB" w:rsidP="00E458C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458CB">
        <w:rPr>
          <w:rFonts w:eastAsia="Times New Roman" w:cs="Arial"/>
          <w:b/>
          <w:bCs/>
          <w:i/>
          <w:iCs/>
          <w:color w:val="000000"/>
          <w:u w:val="single"/>
          <w:lang w:eastAsia="bg-BG"/>
        </w:rPr>
        <w:t>Ефект на ципрофлоксацин върху други лекарствени продукти:</w:t>
      </w:r>
    </w:p>
    <w:p w14:paraId="5A35DF77" w14:textId="77777777" w:rsidR="00E458CB" w:rsidRPr="00E458CB" w:rsidRDefault="00E458CB" w:rsidP="00E458C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458CB">
        <w:rPr>
          <w:rFonts w:eastAsia="Times New Roman" w:cs="Arial"/>
          <w:i/>
          <w:iCs/>
          <w:color w:val="000000"/>
          <w:u w:val="single"/>
          <w:lang w:eastAsia="bg-BG"/>
        </w:rPr>
        <w:t>Тизанидин</w:t>
      </w:r>
    </w:p>
    <w:p w14:paraId="5FCAB37E" w14:textId="77777777" w:rsidR="00E458CB" w:rsidRPr="00E458CB" w:rsidRDefault="00E458CB" w:rsidP="00E458C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458CB">
        <w:rPr>
          <w:rFonts w:eastAsia="Times New Roman" w:cs="Arial"/>
          <w:color w:val="000000"/>
          <w:lang w:eastAsia="bg-BG"/>
        </w:rPr>
        <w:t>Тизанидин не бива да се приема заедно с ципрофлоксацин (виж т. 4.3). В клинично изпитване със здрави индивиди е наблюдавано повишение на серумната концентрация на</w:t>
      </w:r>
    </w:p>
    <w:p w14:paraId="09AD6274" w14:textId="77777777" w:rsidR="00E458CB" w:rsidRPr="00A228D9" w:rsidRDefault="00E458CB" w:rsidP="00E458CB">
      <w:pPr>
        <w:rPr>
          <w:rFonts w:eastAsia="Times New Roman" w:cs="Arial"/>
          <w:sz w:val="24"/>
          <w:szCs w:val="24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lastRenderedPageBreak/>
        <w:t>тизанидин (С</w:t>
      </w:r>
      <w:r w:rsidRPr="00A228D9">
        <w:rPr>
          <w:rFonts w:eastAsia="Times New Roman" w:cs="Arial"/>
          <w:color w:val="000000"/>
          <w:vertAlign w:val="subscript"/>
          <w:lang w:val="en-US"/>
        </w:rPr>
        <w:t>max</w:t>
      </w:r>
      <w:r w:rsidRPr="00A228D9">
        <w:rPr>
          <w:rFonts w:eastAsia="Times New Roman" w:cs="Arial"/>
          <w:color w:val="000000"/>
          <w:lang w:eastAsia="bg-BG"/>
        </w:rPr>
        <w:t xml:space="preserve"> повишаване : средно 7-кратно в диапазон от 4 до 21 -кратно;</w:t>
      </w:r>
      <w:r w:rsidRPr="00A228D9">
        <w:rPr>
          <w:rFonts w:eastAsia="Times New Roman" w:cs="Arial"/>
          <w:color w:val="000000"/>
          <w:lang w:val="en-US"/>
        </w:rPr>
        <w:t xml:space="preserve"> </w:t>
      </w:r>
      <w:r w:rsidRPr="00A228D9">
        <w:rPr>
          <w:rFonts w:eastAsia="Times New Roman" w:cs="Arial"/>
          <w:color w:val="000000"/>
          <w:lang w:eastAsia="bg-BG"/>
        </w:rPr>
        <w:t xml:space="preserve">повишаване  на площта под кривата </w:t>
      </w:r>
      <w:r w:rsidRPr="00A228D9">
        <w:rPr>
          <w:rFonts w:eastAsia="Times New Roman" w:cs="Arial"/>
          <w:color w:val="000000"/>
          <w:lang w:val="en-US"/>
        </w:rPr>
        <w:t xml:space="preserve">AUC: </w:t>
      </w:r>
      <w:r w:rsidRPr="00A228D9">
        <w:rPr>
          <w:rFonts w:eastAsia="Times New Roman" w:cs="Arial"/>
          <w:color w:val="000000"/>
          <w:lang w:eastAsia="bg-BG"/>
        </w:rPr>
        <w:t>средно 10-кратно в диапазон от 6 до 24-кратно) при</w:t>
      </w:r>
      <w:r w:rsidRPr="00A228D9">
        <w:rPr>
          <w:rFonts w:eastAsia="Times New Roman" w:cs="Arial"/>
          <w:color w:val="000000"/>
          <w:lang w:val="en-US" w:eastAsia="bg-BG"/>
        </w:rPr>
        <w:t xml:space="preserve"> </w:t>
      </w:r>
      <w:r w:rsidRPr="00A228D9">
        <w:rPr>
          <w:rFonts w:eastAsia="Times New Roman" w:cs="Arial"/>
          <w:color w:val="000000"/>
          <w:lang w:eastAsia="bg-BG"/>
        </w:rPr>
        <w:t>едновременен прием с ципрофлоксацин. Повишената серумна концентрация на тизанидин се дължи на потенциране на хипотензивния и седативния ефект.</w:t>
      </w:r>
    </w:p>
    <w:p w14:paraId="5BA6BF0D" w14:textId="77777777" w:rsidR="00E458CB" w:rsidRPr="00E458CB" w:rsidRDefault="00E458CB" w:rsidP="00E458C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458CB">
        <w:rPr>
          <w:rFonts w:eastAsia="Times New Roman" w:cs="Arial"/>
          <w:i/>
          <w:iCs/>
          <w:color w:val="000000"/>
          <w:u w:val="single"/>
          <w:lang w:eastAsia="bg-BG"/>
        </w:rPr>
        <w:t>Метотрексат</w:t>
      </w:r>
    </w:p>
    <w:p w14:paraId="26FC376E" w14:textId="77777777" w:rsidR="00E458CB" w:rsidRPr="00E458CB" w:rsidRDefault="00E458CB" w:rsidP="00E458C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458CB">
        <w:rPr>
          <w:rFonts w:eastAsia="Times New Roman" w:cs="Arial"/>
          <w:color w:val="000000"/>
          <w:lang w:eastAsia="bg-BG"/>
        </w:rPr>
        <w:t>Бъбречният тубуларен транспорт на метотрексат може да бъде инхибиран при едновременно приложение с ципрофлоксацин, което потенциално да доведе до повишени плазмени нива на метотрексат и повишен риск от метотрексат-свързани токсични реакции. Едновременната употреба не се препоръчва (виж т. 4.4).</w:t>
      </w:r>
    </w:p>
    <w:p w14:paraId="34E74B68" w14:textId="77777777" w:rsidR="00E458CB" w:rsidRPr="00E458CB" w:rsidRDefault="00E458CB" w:rsidP="00E458C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458CB">
        <w:rPr>
          <w:rFonts w:eastAsia="Times New Roman" w:cs="Arial"/>
          <w:i/>
          <w:iCs/>
          <w:color w:val="000000"/>
          <w:u w:val="single"/>
          <w:lang w:eastAsia="bg-BG"/>
        </w:rPr>
        <w:t>Теофилин</w:t>
      </w:r>
    </w:p>
    <w:p w14:paraId="2844A375" w14:textId="77777777" w:rsidR="00E458CB" w:rsidRPr="00E458CB" w:rsidRDefault="00E458CB" w:rsidP="00E458C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458CB">
        <w:rPr>
          <w:rFonts w:eastAsia="Times New Roman" w:cs="Arial"/>
          <w:color w:val="000000"/>
          <w:lang w:eastAsia="bg-BG"/>
        </w:rPr>
        <w:t>Едновременното приложение на ципрофлоксацин и теофилин може да предизвика нежелано повишаване на серумната концентрация на теофилин. Това може да доведе до теофилин- предизвикани странични ефекти, които рядко могат да бъдат животозастрашаващи или фатални. Затова при комбиниране серумната концентрация на теофилин се наблюдава и дозата на теофилин се редуцира, ако е необходимо (виж т. 4.4).</w:t>
      </w:r>
    </w:p>
    <w:p w14:paraId="6C3F8EB3" w14:textId="77777777" w:rsidR="00E458CB" w:rsidRPr="00E458CB" w:rsidRDefault="00E458CB" w:rsidP="00E458C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458CB">
        <w:rPr>
          <w:rFonts w:eastAsia="Times New Roman" w:cs="Arial"/>
          <w:i/>
          <w:iCs/>
          <w:color w:val="000000"/>
          <w:u w:val="single"/>
          <w:lang w:eastAsia="bg-BG"/>
        </w:rPr>
        <w:t>Други ксантинови производни</w:t>
      </w:r>
    </w:p>
    <w:p w14:paraId="5D526901" w14:textId="77777777" w:rsidR="00E458CB" w:rsidRPr="00E458CB" w:rsidRDefault="00E458CB" w:rsidP="00E458C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458CB">
        <w:rPr>
          <w:rFonts w:eastAsia="Times New Roman" w:cs="Arial"/>
          <w:color w:val="000000"/>
          <w:lang w:eastAsia="bg-BG"/>
        </w:rPr>
        <w:t>При едновременно приемане на ципрофлоксацин и кофеин или пентоксифилин (окспентифилин) е съобщавано за повишени серумни концентрации на тези ксантинови производни.</w:t>
      </w:r>
    </w:p>
    <w:p w14:paraId="3D932E7E" w14:textId="77777777" w:rsidR="00E458CB" w:rsidRPr="00E458CB" w:rsidRDefault="00E458CB" w:rsidP="00E458C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458CB">
        <w:rPr>
          <w:rFonts w:eastAsia="Times New Roman" w:cs="Arial"/>
          <w:i/>
          <w:iCs/>
          <w:color w:val="000000"/>
          <w:u w:val="single"/>
          <w:lang w:eastAsia="bg-BG"/>
        </w:rPr>
        <w:t>Фенитоин</w:t>
      </w:r>
    </w:p>
    <w:p w14:paraId="526B7D86" w14:textId="77777777" w:rsidR="00E458CB" w:rsidRPr="00E458CB" w:rsidRDefault="00E458CB" w:rsidP="00E458C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458CB">
        <w:rPr>
          <w:rFonts w:eastAsia="Times New Roman" w:cs="Arial"/>
          <w:color w:val="000000"/>
          <w:lang w:eastAsia="bg-BG"/>
        </w:rPr>
        <w:t>Едновременният прием на ципрофлоксацин и фенитоин може да доведе до повишено или намалено серумно ниво на фенитоин. Затова се препоръчва мониториране на плазмените нива на медикаментите.</w:t>
      </w:r>
    </w:p>
    <w:p w14:paraId="00BB7126" w14:textId="77777777" w:rsidR="00E458CB" w:rsidRPr="00E458CB" w:rsidRDefault="00E458CB" w:rsidP="00E458C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458CB">
        <w:rPr>
          <w:rFonts w:eastAsia="Times New Roman" w:cs="Arial"/>
          <w:i/>
          <w:iCs/>
          <w:color w:val="000000"/>
          <w:u w:val="single"/>
          <w:lang w:eastAsia="bg-BG"/>
        </w:rPr>
        <w:t>Перорални антикоагуланти</w:t>
      </w:r>
    </w:p>
    <w:p w14:paraId="31F06EC3" w14:textId="77777777" w:rsidR="00E458CB" w:rsidRPr="00E458CB" w:rsidRDefault="00E458CB" w:rsidP="00E458C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458CB">
        <w:rPr>
          <w:rFonts w:eastAsia="Times New Roman" w:cs="Arial"/>
          <w:color w:val="000000"/>
          <w:lang w:eastAsia="bg-BG"/>
        </w:rPr>
        <w:t xml:space="preserve">Едновременният прием на ципрофлоксацин и варфарин може да усили антикоагулантния ефект. Многократно е съобщавано за усилване на антикоагулантния ефект при пациенти, лекувани с антибактериални средства, включително флуорохинолони. Рискът е различен в зависимост от инфекцията, възрастта и общото състояние на пациента и е трудно да се установи конкретният принос на флуорохинолоните към повишаването на </w:t>
      </w:r>
      <w:r w:rsidRPr="00E458CB">
        <w:rPr>
          <w:rFonts w:eastAsia="Times New Roman" w:cs="Arial"/>
          <w:color w:val="000000"/>
          <w:lang w:val="en-US"/>
        </w:rPr>
        <w:t xml:space="preserve">INR </w:t>
      </w:r>
      <w:r w:rsidRPr="00E458CB">
        <w:rPr>
          <w:rFonts w:eastAsia="Times New Roman" w:cs="Arial"/>
          <w:color w:val="000000"/>
          <w:lang w:eastAsia="bg-BG"/>
        </w:rPr>
        <w:t xml:space="preserve">(международно нормализирано отношение). Препоръчва се </w:t>
      </w:r>
      <w:r w:rsidRPr="00E458CB">
        <w:rPr>
          <w:rFonts w:eastAsia="Times New Roman" w:cs="Arial"/>
          <w:color w:val="000000"/>
          <w:lang w:val="en-US"/>
        </w:rPr>
        <w:t xml:space="preserve">INR </w:t>
      </w:r>
      <w:r w:rsidRPr="00E458CB">
        <w:rPr>
          <w:rFonts w:eastAsia="Times New Roman" w:cs="Arial"/>
          <w:color w:val="000000"/>
          <w:lang w:eastAsia="bg-BG"/>
        </w:rPr>
        <w:t>да се следи често по време и скоро след едновременно приемане на ципрофлоксацин и перорални антикоагуланти.</w:t>
      </w:r>
    </w:p>
    <w:p w14:paraId="6FD5EBE8" w14:textId="77777777" w:rsidR="00E458CB" w:rsidRPr="00E458CB" w:rsidRDefault="00E458CB" w:rsidP="00E458C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458CB">
        <w:rPr>
          <w:rFonts w:eastAsia="Times New Roman" w:cs="Arial"/>
          <w:i/>
          <w:iCs/>
          <w:color w:val="000000"/>
          <w:u w:val="single"/>
          <w:lang w:eastAsia="bg-BG"/>
        </w:rPr>
        <w:t>Ропинирол</w:t>
      </w:r>
    </w:p>
    <w:p w14:paraId="7CC80A0B" w14:textId="77777777" w:rsidR="00E458CB" w:rsidRPr="00E458CB" w:rsidRDefault="00E458CB" w:rsidP="00E458C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458CB">
        <w:rPr>
          <w:rFonts w:eastAsia="Times New Roman" w:cs="Arial"/>
          <w:color w:val="000000"/>
          <w:lang w:eastAsia="bg-BG"/>
        </w:rPr>
        <w:t xml:space="preserve">В клинични изпитвания е установено, че едновременната употреба на ропинирол и ципрофлоксацин, умерен инхибитор на изозим </w:t>
      </w:r>
      <w:r w:rsidRPr="00E458CB">
        <w:rPr>
          <w:rFonts w:eastAsia="Times New Roman" w:cs="Arial"/>
          <w:color w:val="000000"/>
          <w:lang w:val="en-US"/>
        </w:rPr>
        <w:t xml:space="preserve">CYP450 </w:t>
      </w:r>
      <w:r w:rsidRPr="00E458CB">
        <w:rPr>
          <w:rFonts w:eastAsia="Times New Roman" w:cs="Arial"/>
          <w:color w:val="000000"/>
          <w:lang w:eastAsia="bg-BG"/>
        </w:rPr>
        <w:t>1А2, води до повишаване на максималната концентрация С</w:t>
      </w:r>
      <w:r w:rsidRPr="00E458CB">
        <w:rPr>
          <w:rFonts w:eastAsia="Times New Roman" w:cs="Arial"/>
          <w:color w:val="000000"/>
          <w:vertAlign w:val="subscript"/>
          <w:lang w:val="en-US"/>
        </w:rPr>
        <w:t>max</w:t>
      </w:r>
      <w:r w:rsidRPr="00E458CB">
        <w:rPr>
          <w:rFonts w:eastAsia="Times New Roman" w:cs="Arial"/>
          <w:color w:val="000000"/>
          <w:lang w:eastAsia="bg-BG"/>
        </w:rPr>
        <w:t xml:space="preserve"> и площта под кривата </w:t>
      </w:r>
      <w:r w:rsidRPr="00E458CB">
        <w:rPr>
          <w:rFonts w:eastAsia="Times New Roman" w:cs="Arial"/>
          <w:color w:val="000000"/>
          <w:lang w:val="en-US"/>
        </w:rPr>
        <w:t xml:space="preserve">AUC </w:t>
      </w:r>
      <w:r w:rsidRPr="00E458CB">
        <w:rPr>
          <w:rFonts w:eastAsia="Times New Roman" w:cs="Arial"/>
          <w:color w:val="000000"/>
          <w:lang w:eastAsia="bg-BG"/>
        </w:rPr>
        <w:t>на ропинирол със съответно 60% и 84%. По време и скоро след едновременно приемане на ципрофлоксацин с ропинирол се препоръчва следене за поява на ропинирол-свързани странични ефекти и ако е необходимо, дозата се коригира (виж т. 4.4).</w:t>
      </w:r>
    </w:p>
    <w:p w14:paraId="213639AA" w14:textId="77777777" w:rsidR="00E458CB" w:rsidRPr="00E458CB" w:rsidRDefault="00E458CB" w:rsidP="00E458C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458CB">
        <w:rPr>
          <w:rFonts w:eastAsia="Times New Roman" w:cs="Arial"/>
          <w:i/>
          <w:iCs/>
          <w:color w:val="000000"/>
          <w:u w:val="single"/>
          <w:lang w:eastAsia="bg-BG"/>
        </w:rPr>
        <w:t>Клозапин</w:t>
      </w:r>
    </w:p>
    <w:p w14:paraId="172AE819" w14:textId="384EF75D" w:rsidR="0091385D" w:rsidRPr="00A228D9" w:rsidRDefault="00E458CB" w:rsidP="00E458CB">
      <w:pPr>
        <w:rPr>
          <w:rFonts w:cs="Arial"/>
          <w:lang w:val="en-US"/>
        </w:rPr>
      </w:pPr>
      <w:r w:rsidRPr="00A228D9">
        <w:rPr>
          <w:rFonts w:eastAsia="Times New Roman" w:cs="Arial"/>
          <w:color w:val="000000"/>
          <w:lang w:eastAsia="bg-BG"/>
        </w:rPr>
        <w:t xml:space="preserve">След едновременен прием на 250 </w:t>
      </w:r>
      <w:r w:rsidRPr="00A228D9">
        <w:rPr>
          <w:rFonts w:eastAsia="Times New Roman" w:cs="Arial"/>
          <w:color w:val="000000"/>
          <w:lang w:val="en-US"/>
        </w:rPr>
        <w:t xml:space="preserve">mg </w:t>
      </w:r>
      <w:r w:rsidRPr="00A228D9">
        <w:rPr>
          <w:rFonts w:eastAsia="Times New Roman" w:cs="Arial"/>
          <w:color w:val="000000"/>
          <w:lang w:eastAsia="bg-BG"/>
        </w:rPr>
        <w:t xml:space="preserve">ципрофлоксацин с клозапин в продължение на 7 дни серумните концентрации на клозапин и </w:t>
      </w:r>
      <w:r w:rsidRPr="00A228D9">
        <w:rPr>
          <w:rFonts w:eastAsia="Times New Roman" w:cs="Arial"/>
          <w:color w:val="000000"/>
          <w:lang w:val="en-US"/>
        </w:rPr>
        <w:t>N</w:t>
      </w:r>
      <w:r w:rsidRPr="00A228D9">
        <w:rPr>
          <w:rFonts w:eastAsia="Times New Roman" w:cs="Arial"/>
          <w:color w:val="000000"/>
          <w:lang w:eastAsia="bg-BG"/>
        </w:rPr>
        <w:t>-дисметилклозапин са се повишили съответно с 29% и 31 %. Препоръчва се клинично наблюдение и подходящо коригиране на дозата на клозапин при едновременен прием с ципрофлоксацин (виж т. 4.4).</w:t>
      </w:r>
    </w:p>
    <w:p w14:paraId="5B2761C5" w14:textId="77777777" w:rsidR="0091385D" w:rsidRPr="0091385D" w:rsidRDefault="0091385D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11C96CFA" w:rsidR="0091385D" w:rsidRDefault="0091385D" w:rsidP="0091385D"/>
    <w:p w14:paraId="776662C5" w14:textId="33082A8E" w:rsidR="0091385D" w:rsidRPr="00F11C93" w:rsidRDefault="00E458CB" w:rsidP="00F11C93">
      <w:pPr>
        <w:pStyle w:val="Heading3"/>
        <w:rPr>
          <w:u w:val="single"/>
        </w:rPr>
      </w:pPr>
      <w:r w:rsidRPr="00F11C93">
        <w:rPr>
          <w:u w:val="single"/>
        </w:rPr>
        <w:lastRenderedPageBreak/>
        <w:t>Бременност</w:t>
      </w:r>
    </w:p>
    <w:p w14:paraId="5B090184" w14:textId="77777777" w:rsidR="00E458CB" w:rsidRPr="00E458CB" w:rsidRDefault="00E458CB" w:rsidP="00E458C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458CB">
        <w:rPr>
          <w:rFonts w:eastAsia="Times New Roman" w:cs="Arial"/>
          <w:color w:val="000000"/>
          <w:lang w:eastAsia="bg-BG"/>
        </w:rPr>
        <w:t>Наличните данни относно приема на ципрофлоксацин от бременни жени не показват риск от малформации и фето/неонатална токсичност на медикамента. Опитите върху животни не показват преки или косвени вредни ефекти по отношение на репродуктивната токсичност. При експозиция на хинолони на млади и неродени още животни са наблюдавани ефекти върху незрялата хрущялна тъкан и затова не се изключва, че медикаментът може да предизвика увреда на ставните хрущяли при младия човешки организъм/плод (виж т. 5.3). За предпочитане е да се избягва употребата на ципрофлоксацин по време на бременността.</w:t>
      </w:r>
    </w:p>
    <w:p w14:paraId="34A7DD6B" w14:textId="77777777" w:rsidR="00E458CB" w:rsidRPr="00A228D9" w:rsidRDefault="00E458CB" w:rsidP="00E458C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38C1ECB" w14:textId="7B7AE4C9" w:rsidR="00E458CB" w:rsidRPr="00F11C93" w:rsidRDefault="00E458CB" w:rsidP="00F11C93">
      <w:pPr>
        <w:pStyle w:val="Heading3"/>
        <w:rPr>
          <w:rFonts w:eastAsia="Times New Roman"/>
          <w:u w:val="single"/>
          <w:lang w:eastAsia="bg-BG"/>
        </w:rPr>
      </w:pPr>
      <w:r w:rsidRPr="00F11C93">
        <w:rPr>
          <w:rFonts w:eastAsia="Times New Roman"/>
          <w:u w:val="single"/>
          <w:lang w:eastAsia="bg-BG"/>
        </w:rPr>
        <w:t>Кърмене</w:t>
      </w:r>
    </w:p>
    <w:p w14:paraId="5B554CCC" w14:textId="3185F7A9" w:rsidR="00E458CB" w:rsidRPr="00A228D9" w:rsidRDefault="00E458CB" w:rsidP="00E458CB">
      <w:pPr>
        <w:rPr>
          <w:rFonts w:cs="Arial"/>
        </w:rPr>
      </w:pPr>
      <w:r w:rsidRPr="00A228D9">
        <w:rPr>
          <w:rFonts w:eastAsia="Times New Roman" w:cs="Arial"/>
          <w:color w:val="000000"/>
          <w:lang w:eastAsia="bg-BG"/>
        </w:rPr>
        <w:t>Ципрофлоксацин се екскретира в майчиното мляко. Поради потенциалния риск от увреда на ставите ципрофлоксацин не бива да се употребява в периода на кърмене.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2676810A" w:rsidR="0091385D" w:rsidRDefault="0091385D" w:rsidP="0091385D"/>
    <w:p w14:paraId="2B4135A6" w14:textId="792D6462" w:rsidR="0091385D" w:rsidRDefault="00E458CB" w:rsidP="0091385D">
      <w:r>
        <w:t>Поради неврологичните си ефекти ципрофлоксацин може да повлияе реакционното време. Това може д</w:t>
      </w:r>
      <w:bookmarkStart w:id="2" w:name="_GoBack"/>
      <w:bookmarkEnd w:id="2"/>
      <w:r>
        <w:t>а окаже неблагоприятно влияние върху уменията за шофиране и работа с машини.</w:t>
      </w:r>
    </w:p>
    <w:p w14:paraId="35801A15" w14:textId="77777777" w:rsidR="0091385D" w:rsidRPr="0091385D" w:rsidRDefault="0091385D" w:rsidP="0091385D"/>
    <w:p w14:paraId="37A3FD9F" w14:textId="0E7561E3" w:rsidR="00CF77F7" w:rsidRDefault="002C50EE" w:rsidP="004A448E">
      <w:pPr>
        <w:pStyle w:val="Heading2"/>
      </w:pPr>
      <w:r>
        <w:t>4.8. Нежелани лекарствени реакции</w:t>
      </w:r>
    </w:p>
    <w:p w14:paraId="4838F52A" w14:textId="4C2232D6" w:rsidR="0091385D" w:rsidRDefault="0091385D" w:rsidP="0091385D"/>
    <w:p w14:paraId="4C41B039" w14:textId="77777777" w:rsidR="00E458CB" w:rsidRPr="00E458CB" w:rsidRDefault="00E458CB" w:rsidP="00E458CB">
      <w:pPr>
        <w:spacing w:line="240" w:lineRule="auto"/>
        <w:rPr>
          <w:rFonts w:eastAsia="Times New Roman" w:cs="Arial"/>
          <w:lang w:eastAsia="bg-BG"/>
        </w:rPr>
      </w:pPr>
      <w:r w:rsidRPr="00E458CB">
        <w:rPr>
          <w:rFonts w:eastAsia="Times New Roman" w:cs="Arial"/>
          <w:color w:val="000000"/>
          <w:lang w:eastAsia="bg-BG"/>
        </w:rPr>
        <w:t>Нежеланите лекарствени реакции са подредени по честота: много чести (&gt;1/10); чести (&gt; 1/100 &lt;1/10); нечести (&gt; 1/1000 &lt; 1/100); редки (&gt; 1/10000 &lt; 1/1000); много редки (&lt; 1/10000), неизвестна честота (не може да се установи от наличните данни). Най-често съобщаваните нежелани лекарствени реакции са гадене и диария. Нежеланите лекарствени реакции, описани при клиничните изпитания и постмаркетинговото наблюдение на ципрофлоксацин (перорален прием, интравенозно прилагане, секвенциална терапия), са сортирани по категории и изброени по-долу. За анализа на честотата са използвани данни, както от пероралното, така и от интравенозното приложение на ципрофлоксацин.</w:t>
      </w:r>
    </w:p>
    <w:p w14:paraId="0F12481C" w14:textId="77777777" w:rsidR="00E458CB" w:rsidRPr="00E458CB" w:rsidRDefault="00E458CB" w:rsidP="00E458CB">
      <w:pPr>
        <w:spacing w:line="240" w:lineRule="auto"/>
        <w:rPr>
          <w:rFonts w:eastAsia="Times New Roman" w:cs="Arial"/>
          <w:lang w:eastAsia="bg-BG"/>
        </w:rPr>
      </w:pPr>
      <w:r w:rsidRPr="00E458CB">
        <w:rPr>
          <w:rFonts w:eastAsia="Times New Roman" w:cs="Arial"/>
          <w:i/>
          <w:iCs/>
          <w:color w:val="000000"/>
          <w:u w:val="single"/>
          <w:lang w:eastAsia="bg-BG"/>
        </w:rPr>
        <w:t>Инфекиии и инфестации</w:t>
      </w:r>
    </w:p>
    <w:p w14:paraId="4B652600" w14:textId="77777777" w:rsidR="00E458CB" w:rsidRPr="00E458CB" w:rsidRDefault="00E458CB" w:rsidP="00E458CB">
      <w:pPr>
        <w:spacing w:line="240" w:lineRule="auto"/>
        <w:rPr>
          <w:rFonts w:eastAsia="Times New Roman" w:cs="Arial"/>
          <w:lang w:eastAsia="bg-BG"/>
        </w:rPr>
      </w:pPr>
      <w:r w:rsidRPr="00E458CB">
        <w:rPr>
          <w:rFonts w:eastAsia="Times New Roman" w:cs="Arial"/>
          <w:color w:val="000000"/>
          <w:lang w:eastAsia="bg-BG"/>
        </w:rPr>
        <w:t>Нечести: микотични суперинфекции.</w:t>
      </w:r>
    </w:p>
    <w:p w14:paraId="026FA0F3" w14:textId="77777777" w:rsidR="00E458CB" w:rsidRPr="00E458CB" w:rsidRDefault="00E458CB" w:rsidP="00E458CB">
      <w:pPr>
        <w:spacing w:line="240" w:lineRule="auto"/>
        <w:rPr>
          <w:rFonts w:eastAsia="Times New Roman" w:cs="Arial"/>
          <w:lang w:eastAsia="bg-BG"/>
        </w:rPr>
      </w:pPr>
      <w:r w:rsidRPr="00E458CB">
        <w:rPr>
          <w:rFonts w:eastAsia="Times New Roman" w:cs="Arial"/>
          <w:color w:val="000000"/>
          <w:lang w:eastAsia="bg-BG"/>
        </w:rPr>
        <w:t>Редки: колит, обусловен от антибиотичната терапия (много рядко с възможен фатален изход) (виж т.4.4).</w:t>
      </w:r>
    </w:p>
    <w:p w14:paraId="0F7E40AE" w14:textId="77777777" w:rsidR="00E458CB" w:rsidRPr="00E458CB" w:rsidRDefault="00E458CB" w:rsidP="00E458CB">
      <w:pPr>
        <w:spacing w:line="240" w:lineRule="auto"/>
        <w:rPr>
          <w:rFonts w:eastAsia="Times New Roman" w:cs="Arial"/>
          <w:lang w:eastAsia="bg-BG"/>
        </w:rPr>
      </w:pPr>
      <w:r w:rsidRPr="00E458CB">
        <w:rPr>
          <w:rFonts w:eastAsia="Times New Roman" w:cs="Arial"/>
          <w:i/>
          <w:iCs/>
          <w:color w:val="000000"/>
          <w:u w:val="single"/>
          <w:lang w:eastAsia="bg-BG"/>
        </w:rPr>
        <w:t xml:space="preserve">Нарушения на кръвта и лимфната система </w:t>
      </w:r>
      <w:r w:rsidRPr="00E458CB">
        <w:rPr>
          <w:rFonts w:eastAsia="Times New Roman" w:cs="Arial"/>
          <w:color w:val="000000"/>
          <w:lang w:eastAsia="bg-BG"/>
        </w:rPr>
        <w:t>Нечести: еозинофилия.</w:t>
      </w:r>
    </w:p>
    <w:p w14:paraId="798401BE" w14:textId="77777777" w:rsidR="00E458CB" w:rsidRPr="00E458CB" w:rsidRDefault="00E458CB" w:rsidP="00E458CB">
      <w:pPr>
        <w:spacing w:line="240" w:lineRule="auto"/>
        <w:rPr>
          <w:rFonts w:eastAsia="Times New Roman" w:cs="Arial"/>
          <w:lang w:eastAsia="bg-BG"/>
        </w:rPr>
      </w:pPr>
      <w:r w:rsidRPr="00E458CB">
        <w:rPr>
          <w:rFonts w:eastAsia="Times New Roman" w:cs="Arial"/>
          <w:color w:val="000000"/>
          <w:lang w:eastAsia="bg-BG"/>
        </w:rPr>
        <w:t>Редки: левкопения, анемия, неутропения, левкоцитоза, тромбоцитопения, тромбоцитемия. Много редки: хемолитична анемия, агранулоцитоза, панцитопения (животозастрашаваща) костно-мозъчно подтискане (животозастрашаващо).</w:t>
      </w:r>
    </w:p>
    <w:p w14:paraId="5843BF26" w14:textId="77777777" w:rsidR="00E458CB" w:rsidRPr="00E458CB" w:rsidRDefault="00E458CB" w:rsidP="00E458CB">
      <w:pPr>
        <w:spacing w:line="240" w:lineRule="auto"/>
        <w:rPr>
          <w:rFonts w:eastAsia="Times New Roman" w:cs="Arial"/>
          <w:lang w:eastAsia="bg-BG"/>
        </w:rPr>
      </w:pPr>
      <w:r w:rsidRPr="00E458CB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имунната система</w:t>
      </w:r>
    </w:p>
    <w:p w14:paraId="3A08E8A6" w14:textId="77777777" w:rsidR="00E458CB" w:rsidRPr="00E458CB" w:rsidRDefault="00E458CB" w:rsidP="00E458CB">
      <w:pPr>
        <w:spacing w:line="240" w:lineRule="auto"/>
        <w:rPr>
          <w:rFonts w:eastAsia="Times New Roman" w:cs="Arial"/>
          <w:lang w:eastAsia="bg-BG"/>
        </w:rPr>
      </w:pPr>
      <w:r w:rsidRPr="00E458CB">
        <w:rPr>
          <w:rFonts w:eastAsia="Times New Roman" w:cs="Arial"/>
          <w:color w:val="000000"/>
          <w:lang w:eastAsia="bg-BG"/>
        </w:rPr>
        <w:t>Редки: алергична реакция, алергичен едем/ангиоедем.</w:t>
      </w:r>
    </w:p>
    <w:p w14:paraId="02D20BF7" w14:textId="77777777" w:rsidR="00E458CB" w:rsidRPr="00E458CB" w:rsidRDefault="00E458CB" w:rsidP="00E458CB">
      <w:pPr>
        <w:spacing w:line="240" w:lineRule="auto"/>
        <w:rPr>
          <w:rFonts w:eastAsia="Times New Roman" w:cs="Arial"/>
          <w:lang w:eastAsia="bg-BG"/>
        </w:rPr>
      </w:pPr>
      <w:r w:rsidRPr="00E458CB">
        <w:rPr>
          <w:rFonts w:eastAsia="Times New Roman" w:cs="Arial"/>
          <w:color w:val="000000"/>
          <w:lang w:eastAsia="bg-BG"/>
        </w:rPr>
        <w:t>Много редки: анафилактична реакция, анафилактичен шок (животозастрашаващ) (виж т.</w:t>
      </w:r>
    </w:p>
    <w:p w14:paraId="4F21A62C" w14:textId="77777777" w:rsidR="00E458CB" w:rsidRPr="00E458CB" w:rsidRDefault="00E458CB" w:rsidP="00E458CB">
      <w:pPr>
        <w:spacing w:line="240" w:lineRule="auto"/>
        <w:rPr>
          <w:rFonts w:eastAsia="Times New Roman" w:cs="Arial"/>
          <w:lang w:eastAsia="bg-BG"/>
        </w:rPr>
      </w:pPr>
      <w:r w:rsidRPr="00E458CB">
        <w:rPr>
          <w:rFonts w:eastAsia="Times New Roman" w:cs="Arial"/>
          <w:color w:val="000000"/>
          <w:lang w:eastAsia="bg-BG"/>
        </w:rPr>
        <w:t>4.4), подобна на серумна болест реакция.</w:t>
      </w:r>
    </w:p>
    <w:p w14:paraId="58F0BC9A" w14:textId="77777777" w:rsidR="00E458CB" w:rsidRPr="00E458CB" w:rsidRDefault="00E458CB" w:rsidP="00E458CB">
      <w:pPr>
        <w:spacing w:line="240" w:lineRule="auto"/>
        <w:rPr>
          <w:rFonts w:eastAsia="Times New Roman" w:cs="Arial"/>
          <w:lang w:eastAsia="bg-BG"/>
        </w:rPr>
      </w:pPr>
      <w:r w:rsidRPr="00E458CB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метаболизма и храненето</w:t>
      </w:r>
    </w:p>
    <w:p w14:paraId="26804FE4" w14:textId="77777777" w:rsidR="00E458CB" w:rsidRPr="00E458CB" w:rsidRDefault="00E458CB" w:rsidP="00E458CB">
      <w:pPr>
        <w:spacing w:line="240" w:lineRule="auto"/>
        <w:rPr>
          <w:rFonts w:eastAsia="Times New Roman" w:cs="Arial"/>
          <w:lang w:eastAsia="bg-BG"/>
        </w:rPr>
      </w:pPr>
      <w:r w:rsidRPr="00E458CB">
        <w:rPr>
          <w:rFonts w:eastAsia="Times New Roman" w:cs="Arial"/>
          <w:color w:val="000000"/>
          <w:lang w:eastAsia="bg-BG"/>
        </w:rPr>
        <w:t>Нечести: анорексия.</w:t>
      </w:r>
    </w:p>
    <w:p w14:paraId="23859F8B" w14:textId="77777777" w:rsidR="00E458CB" w:rsidRPr="00E458CB" w:rsidRDefault="00E458CB" w:rsidP="00E458CB">
      <w:pPr>
        <w:spacing w:line="240" w:lineRule="auto"/>
        <w:rPr>
          <w:rFonts w:eastAsia="Times New Roman" w:cs="Arial"/>
          <w:lang w:eastAsia="bg-BG"/>
        </w:rPr>
      </w:pPr>
      <w:r w:rsidRPr="00E458CB">
        <w:rPr>
          <w:rFonts w:eastAsia="Times New Roman" w:cs="Arial"/>
          <w:color w:val="000000"/>
          <w:lang w:eastAsia="bg-BG"/>
        </w:rPr>
        <w:t>Редки: хипергликемия.</w:t>
      </w:r>
    </w:p>
    <w:p w14:paraId="5846566F" w14:textId="77777777" w:rsidR="00E458CB" w:rsidRPr="00E458CB" w:rsidRDefault="00E458CB" w:rsidP="00E458CB">
      <w:pPr>
        <w:spacing w:line="240" w:lineRule="auto"/>
        <w:rPr>
          <w:rFonts w:eastAsia="Times New Roman" w:cs="Arial"/>
          <w:lang w:eastAsia="bg-BG"/>
        </w:rPr>
      </w:pPr>
      <w:r w:rsidRPr="00E458CB">
        <w:rPr>
          <w:rFonts w:eastAsia="Times New Roman" w:cs="Arial"/>
          <w:i/>
          <w:iCs/>
          <w:color w:val="000000"/>
          <w:u w:val="single"/>
          <w:lang w:eastAsia="bg-BG"/>
        </w:rPr>
        <w:t>Психични нарушения</w:t>
      </w:r>
    </w:p>
    <w:p w14:paraId="570508C4" w14:textId="565E8231" w:rsidR="0091385D" w:rsidRPr="00A228D9" w:rsidRDefault="00E458CB" w:rsidP="00E458CB">
      <w:pPr>
        <w:rPr>
          <w:rFonts w:eastAsia="Times New Roman" w:cs="Arial"/>
          <w:color w:val="000000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Нечести: психомоторна хиперреактивност/възбуда</w:t>
      </w:r>
    </w:p>
    <w:p w14:paraId="1D58433D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lastRenderedPageBreak/>
        <w:t>Редки: объркване и дезориентираност, тревожност, необичайни сънища, депресия, халюцинации.</w:t>
      </w:r>
    </w:p>
    <w:p w14:paraId="5E184E7B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Много редки: психотични рекции (виж 4.4).</w:t>
      </w:r>
    </w:p>
    <w:p w14:paraId="65879DEC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нервната система</w:t>
      </w:r>
    </w:p>
    <w:p w14:paraId="1EC24D63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Нечести: главоболие, замаяност, разстройства на съня, нарушения на вкуса.</w:t>
      </w:r>
    </w:p>
    <w:p w14:paraId="1F1FA2F6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Редки: пар- и дисестезия, хипоестезия, тремор, припадъци (виж т. 4.4), вертиго.</w:t>
      </w:r>
    </w:p>
    <w:p w14:paraId="1BBB8299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Много редки: мигрена, нарушена координация, нарушения в походката, разстройства в обонянието, повишено вътречерепно налягане.</w:t>
      </w:r>
    </w:p>
    <w:p w14:paraId="038DE926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Неизвестна честота: периферна невропатия (виж 4.4).</w:t>
      </w:r>
    </w:p>
    <w:p w14:paraId="763607CE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очите</w:t>
      </w:r>
    </w:p>
    <w:p w14:paraId="11D66219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Редки: нарушено зрение.</w:t>
      </w:r>
    </w:p>
    <w:p w14:paraId="687E2116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Много редки: деформация на цветното възприятие.</w:t>
      </w:r>
    </w:p>
    <w:p w14:paraId="49C8382F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ухото и лабиринта</w:t>
      </w:r>
    </w:p>
    <w:p w14:paraId="21205232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Редки: шум в ушите, загуба на слуха/увреден слух.</w:t>
      </w:r>
    </w:p>
    <w:p w14:paraId="6FFE09F3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i/>
          <w:iCs/>
          <w:color w:val="000000"/>
          <w:u w:val="single"/>
          <w:lang w:eastAsia="bg-BG"/>
        </w:rPr>
        <w:t>Сърдечни нарушения</w:t>
      </w:r>
    </w:p>
    <w:p w14:paraId="7FD09B8C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Редки: тахикардия.</w:t>
      </w:r>
    </w:p>
    <w:p w14:paraId="00EC35D6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 xml:space="preserve">Неизвестна честота: камерна аритмия, удължаване на </w:t>
      </w:r>
      <w:r w:rsidRPr="00A228D9">
        <w:rPr>
          <w:rFonts w:eastAsia="Times New Roman" w:cs="Arial"/>
          <w:color w:val="000000"/>
          <w:lang w:val="en-US"/>
        </w:rPr>
        <w:t xml:space="preserve">QT, </w:t>
      </w:r>
      <w:proofErr w:type="spellStart"/>
      <w:r w:rsidRPr="00A228D9">
        <w:rPr>
          <w:rFonts w:eastAsia="Times New Roman" w:cs="Arial"/>
          <w:color w:val="000000"/>
          <w:lang w:val="en-US"/>
        </w:rPr>
        <w:t>torsades</w:t>
      </w:r>
      <w:proofErr w:type="spellEnd"/>
      <w:r w:rsidRPr="00A228D9">
        <w:rPr>
          <w:rFonts w:eastAsia="Times New Roman" w:cs="Arial"/>
          <w:color w:val="000000"/>
          <w:lang w:val="en-US"/>
        </w:rPr>
        <w:t xml:space="preserve"> de pointes </w:t>
      </w:r>
      <w:r w:rsidRPr="00A228D9">
        <w:rPr>
          <w:rFonts w:eastAsia="Times New Roman" w:cs="Arial"/>
          <w:color w:val="000000"/>
          <w:lang w:eastAsia="bg-BG"/>
        </w:rPr>
        <w:t>(разновидност на камерната аритмия).</w:t>
      </w:r>
    </w:p>
    <w:p w14:paraId="00D9FC7B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 xml:space="preserve">Тези състояния са описани през постмаркетинговия период и са наблюдавани предимно при пациенти с наличие на риск за удължаване на </w:t>
      </w:r>
      <w:r w:rsidRPr="00A228D9">
        <w:rPr>
          <w:rFonts w:eastAsia="Times New Roman" w:cs="Arial"/>
          <w:color w:val="000000"/>
          <w:lang w:val="en-US"/>
        </w:rPr>
        <w:t xml:space="preserve">QT </w:t>
      </w:r>
      <w:r w:rsidRPr="00A228D9">
        <w:rPr>
          <w:rFonts w:eastAsia="Times New Roman" w:cs="Arial"/>
          <w:color w:val="000000"/>
          <w:lang w:eastAsia="bg-BG"/>
        </w:rPr>
        <w:t>(виж 4.4).</w:t>
      </w:r>
    </w:p>
    <w:p w14:paraId="45B7B4D4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i/>
          <w:iCs/>
          <w:color w:val="000000"/>
          <w:u w:val="single"/>
          <w:lang w:eastAsia="bg-BG"/>
        </w:rPr>
        <w:t>Съдови нарушения</w:t>
      </w:r>
    </w:p>
    <w:p w14:paraId="33A10C8E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Редки: вазодилатация, хипотензия, синкоп.</w:t>
      </w:r>
    </w:p>
    <w:p w14:paraId="446B8584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Много редки: васкулит.</w:t>
      </w:r>
    </w:p>
    <w:p w14:paraId="6BEE024D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i/>
          <w:iCs/>
          <w:color w:val="000000"/>
          <w:u w:val="single"/>
          <w:lang w:eastAsia="bg-BG"/>
        </w:rPr>
        <w:t>Респираторни, гръдни и медиастинални нарушения</w:t>
      </w:r>
    </w:p>
    <w:p w14:paraId="24DB2CA6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Редки: диспнея (включително астматичен пристъп).</w:t>
      </w:r>
    </w:p>
    <w:p w14:paraId="074CACB5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i/>
          <w:iCs/>
          <w:color w:val="000000"/>
          <w:u w:val="single"/>
          <w:lang w:eastAsia="bg-BG"/>
        </w:rPr>
        <w:t>Стомашно-чревни нарушения</w:t>
      </w:r>
    </w:p>
    <w:p w14:paraId="238A4B69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Чести: гадене, диария.</w:t>
      </w:r>
    </w:p>
    <w:p w14:paraId="0B7BC2B4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Нечести: повръщане, гастроинтестинални и коремни болки, диспепсия, флатуленция.</w:t>
      </w:r>
    </w:p>
    <w:p w14:paraId="25E938C7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Много редки: панкреатит.</w:t>
      </w:r>
    </w:p>
    <w:p w14:paraId="7F33E568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i/>
          <w:iCs/>
          <w:color w:val="000000"/>
          <w:u w:val="single"/>
          <w:lang w:eastAsia="bg-BG"/>
        </w:rPr>
        <w:t>Хепатобилиарни нарушения</w:t>
      </w:r>
    </w:p>
    <w:p w14:paraId="04F4D30D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Нечести: повишение на трансаминазите, повишен билирубин.</w:t>
      </w:r>
    </w:p>
    <w:p w14:paraId="3F514E66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Редки: увреждане на черния дроб, холестатична жълтеница, хепатит.</w:t>
      </w:r>
    </w:p>
    <w:p w14:paraId="2D396D22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Много редки: чернодробна некроза (много рядко прогресираща до животозастрашаваща чернодробна недостатъчност) (виж т. 4.4).</w:t>
      </w:r>
    </w:p>
    <w:p w14:paraId="0F1C6F2C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кожата и подкожната тъкан</w:t>
      </w:r>
    </w:p>
    <w:p w14:paraId="50E198D7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Нечести: обрив, пруритус, уртикария.</w:t>
      </w:r>
    </w:p>
    <w:p w14:paraId="79B1503C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Редки: реакции на фоточувствителност (виж т. 4.4).</w:t>
      </w:r>
    </w:p>
    <w:p w14:paraId="22600FBA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Много редки: петехии, еритема мултиформе, еритема нодозум, синдром на Стивън- Джонсън (потенциално животозастрашаващ), токсична епцдермална некролиза (потенциално животозастрашаваща).</w:t>
      </w:r>
    </w:p>
    <w:p w14:paraId="5A4804D9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мускулно-скелетната система и съединителната тъкан</w:t>
      </w:r>
    </w:p>
    <w:p w14:paraId="17EECE1A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Нечести: мускулноскелетна болка (болки по крайниците, болки в гърба, болки в гръдния кош), болки в ставите.</w:t>
      </w:r>
    </w:p>
    <w:p w14:paraId="3F658A0C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Редки: миалгия, артрит, повишен мускулен тонус и крампи.</w:t>
      </w:r>
    </w:p>
    <w:p w14:paraId="783E2F9C" w14:textId="77777777" w:rsidR="00A228D9" w:rsidRPr="00A228D9" w:rsidRDefault="00A228D9" w:rsidP="00A228D9">
      <w:pPr>
        <w:rPr>
          <w:rFonts w:eastAsia="Times New Roman" w:cs="Arial"/>
          <w:color w:val="000000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 xml:space="preserve">Много редки: мускулна слабост, тендинит, скъсване на сухожилие (предимно ахилесовото сухожилие) (виж т. 4.4), изостряне на симптомите на миастения гравис (виж т. 4.4). </w:t>
      </w:r>
    </w:p>
    <w:p w14:paraId="02B58412" w14:textId="04B55CF3" w:rsidR="00A228D9" w:rsidRPr="00A228D9" w:rsidRDefault="00A228D9" w:rsidP="00A228D9">
      <w:pPr>
        <w:rPr>
          <w:rFonts w:eastAsia="Times New Roman" w:cs="Arial"/>
          <w:i/>
          <w:iCs/>
          <w:color w:val="000000"/>
          <w:u w:val="single"/>
          <w:lang w:eastAsia="bg-BG"/>
        </w:rPr>
      </w:pPr>
      <w:r w:rsidRPr="00A228D9">
        <w:rPr>
          <w:rFonts w:eastAsia="Times New Roman" w:cs="Arial"/>
          <w:i/>
          <w:iCs/>
          <w:color w:val="000000"/>
          <w:u w:val="single"/>
          <w:lang w:eastAsia="bg-BG"/>
        </w:rPr>
        <w:t>Нарушения от страна на бъбреците и пикочните пътища</w:t>
      </w:r>
    </w:p>
    <w:p w14:paraId="1E155CBE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Нечести: бъбречно увреждане.</w:t>
      </w:r>
    </w:p>
    <w:p w14:paraId="3493B892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Редки: бъбречна недостатъчност, хематурия, кристалурия (виж т. 4.4), тубулоинтерстициален нефрит.</w:t>
      </w:r>
    </w:p>
    <w:p w14:paraId="221C80D3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i/>
          <w:iCs/>
          <w:color w:val="000000"/>
          <w:u w:val="single"/>
          <w:lang w:eastAsia="bg-BG"/>
        </w:rPr>
        <w:t>Обши нарушения и ефекти на мястото на приложение</w:t>
      </w:r>
    </w:p>
    <w:p w14:paraId="3A86D294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lastRenderedPageBreak/>
        <w:t>Нечести: астения, треска.</w:t>
      </w:r>
    </w:p>
    <w:p w14:paraId="61494CE2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Редки: едем, изпотяване (хиперхидроза).</w:t>
      </w:r>
    </w:p>
    <w:p w14:paraId="54176121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i/>
          <w:iCs/>
          <w:color w:val="000000"/>
          <w:u w:val="single"/>
          <w:lang w:eastAsia="bg-BG"/>
        </w:rPr>
        <w:t>Изследвания</w:t>
      </w:r>
    </w:p>
    <w:p w14:paraId="1FF5FF77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Нечести: повишение на алкалната фосфатаза в кръвта.</w:t>
      </w:r>
    </w:p>
    <w:p w14:paraId="3B562EDB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Редки: патологично ниво на протромбин, повишена амилаза.</w:t>
      </w:r>
    </w:p>
    <w:p w14:paraId="74504AFE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b/>
          <w:bCs/>
          <w:i/>
          <w:iCs/>
          <w:color w:val="000000"/>
          <w:u w:val="single"/>
          <w:lang w:eastAsia="bg-BG"/>
        </w:rPr>
        <w:t>Педиатрична популаиия</w:t>
      </w:r>
    </w:p>
    <w:p w14:paraId="4759DE65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Случаите на артропатия, споменати по-горе, се отнасят до изпитвания, провеждани с възрастни пациенти. При деца често се съобщава за артропатия. (виж т. 4.4).</w:t>
      </w:r>
    </w:p>
    <w:p w14:paraId="5DB5A6BA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1CCA05D7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съобщаване:</w:t>
      </w:r>
    </w:p>
    <w:p w14:paraId="0D4EBB89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207D339D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ул. „Дамян Груев” № 8</w:t>
      </w:r>
    </w:p>
    <w:p w14:paraId="7E31D464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1303 София</w:t>
      </w:r>
    </w:p>
    <w:p w14:paraId="58ADEFAC" w14:textId="77777777" w:rsidR="00A228D9" w:rsidRPr="00A228D9" w:rsidRDefault="00A228D9" w:rsidP="00A228D9">
      <w:pPr>
        <w:spacing w:line="240" w:lineRule="auto"/>
        <w:rPr>
          <w:rFonts w:eastAsia="Times New Roman" w:cs="Arial"/>
          <w:lang w:eastAsia="bg-BG"/>
        </w:rPr>
      </w:pPr>
      <w:r w:rsidRPr="00A228D9">
        <w:rPr>
          <w:rFonts w:eastAsia="Times New Roman" w:cs="Arial"/>
          <w:color w:val="000000"/>
          <w:lang w:eastAsia="bg-BG"/>
        </w:rPr>
        <w:t>Тел.: +35 928903417</w:t>
      </w:r>
    </w:p>
    <w:p w14:paraId="3CBB91B2" w14:textId="23D07054" w:rsidR="00A228D9" w:rsidRPr="00A228D9" w:rsidRDefault="00A228D9" w:rsidP="00A228D9">
      <w:pPr>
        <w:rPr>
          <w:rFonts w:cs="Arial"/>
        </w:rPr>
      </w:pPr>
      <w:r w:rsidRPr="00A228D9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A228D9">
          <w:rPr>
            <w:rFonts w:eastAsia="Times New Roman" w:cs="Arial"/>
            <w:color w:val="000000"/>
            <w:lang w:val="en-US"/>
          </w:rPr>
          <w:t>www.bda.bg</w:t>
        </w:r>
      </w:hyperlink>
    </w:p>
    <w:p w14:paraId="43E3C48F" w14:textId="77777777" w:rsidR="0091385D" w:rsidRPr="0091385D" w:rsidRDefault="0091385D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296E7EBA" w:rsidR="0091385D" w:rsidRDefault="0091385D" w:rsidP="0091385D"/>
    <w:p w14:paraId="19CBAC62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 xml:space="preserve">Съобщено е, че предозиране с 12 </w:t>
      </w:r>
      <w:r w:rsidRPr="00357032">
        <w:rPr>
          <w:rFonts w:eastAsia="Times New Roman" w:cs="Arial"/>
          <w:color w:val="000000"/>
          <w:lang w:val="en-US"/>
        </w:rPr>
        <w:t xml:space="preserve">g </w:t>
      </w:r>
      <w:r w:rsidRPr="00357032">
        <w:rPr>
          <w:rFonts w:eastAsia="Times New Roman" w:cs="Arial"/>
          <w:color w:val="000000"/>
          <w:lang w:eastAsia="bg-BG"/>
        </w:rPr>
        <w:t xml:space="preserve">води до леки симптоми на токсичност. Остро предозиране с 16 </w:t>
      </w:r>
      <w:r w:rsidRPr="00357032">
        <w:rPr>
          <w:rFonts w:eastAsia="Times New Roman" w:cs="Arial"/>
          <w:color w:val="000000"/>
          <w:lang w:val="en-US"/>
        </w:rPr>
        <w:t xml:space="preserve">g </w:t>
      </w:r>
      <w:r w:rsidRPr="00357032">
        <w:rPr>
          <w:rFonts w:eastAsia="Times New Roman" w:cs="Arial"/>
          <w:color w:val="000000"/>
          <w:lang w:eastAsia="bg-BG"/>
        </w:rPr>
        <w:t>води до остра бъбречна недостатъчност.</w:t>
      </w:r>
    </w:p>
    <w:p w14:paraId="35A0F7CE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 xml:space="preserve">Симптомите на предозиране включват замаяност, тремор, главоболие, умора, припадъци, халюцинации, объркване, коремно неразположение, бъбречно и чернодробно увреждане, както и кристалурия и хематурия. Съобщавано е за обратима бъбречна токсичност. Освен рутинните спешни мерки се препоръчва наблюдение на бъбречната функция, включващо и определяне на </w:t>
      </w:r>
      <w:r w:rsidRPr="00357032">
        <w:rPr>
          <w:rFonts w:eastAsia="Times New Roman" w:cs="Arial"/>
          <w:color w:val="000000"/>
          <w:lang w:val="en-US"/>
        </w:rPr>
        <w:t xml:space="preserve">pH </w:t>
      </w:r>
      <w:r w:rsidRPr="00357032">
        <w:rPr>
          <w:rFonts w:eastAsia="Times New Roman" w:cs="Arial"/>
          <w:color w:val="000000"/>
          <w:lang w:eastAsia="bg-BG"/>
        </w:rPr>
        <w:t>на урината и подкиселяването й, за да се предотврати кристалурия. Пациентите трябва да се поддържат добре хидратирани.</w:t>
      </w:r>
    </w:p>
    <w:p w14:paraId="0F0079CB" w14:textId="7B4F6942" w:rsidR="0091385D" w:rsidRPr="00357032" w:rsidRDefault="00357032" w:rsidP="00357032">
      <w:pPr>
        <w:rPr>
          <w:rFonts w:cs="Arial"/>
        </w:rPr>
      </w:pPr>
      <w:r w:rsidRPr="00357032">
        <w:rPr>
          <w:rFonts w:eastAsia="Times New Roman" w:cs="Arial"/>
          <w:color w:val="000000"/>
          <w:lang w:eastAsia="bg-BG"/>
        </w:rPr>
        <w:t>Само малко количество ципрофлоксацин (&lt;10%) се елиминира чрез хемодиализа или перитонеална диализа.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44345EC9" w:rsidR="0091385D" w:rsidRDefault="0091385D" w:rsidP="0091385D"/>
    <w:p w14:paraId="3307D4CE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 xml:space="preserve">Фармакотерапевтична груп: флуорохинолони, АТС код: </w:t>
      </w:r>
      <w:r w:rsidRPr="00357032">
        <w:rPr>
          <w:rFonts w:eastAsia="Times New Roman" w:cs="Arial"/>
          <w:color w:val="000000"/>
          <w:lang w:val="en-US"/>
        </w:rPr>
        <w:t>J01MA02</w:t>
      </w:r>
    </w:p>
    <w:p w14:paraId="4E7BB4F5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28252AA0" w14:textId="1705CEF8" w:rsidR="0091385D" w:rsidRPr="00357032" w:rsidRDefault="00357032" w:rsidP="00357032">
      <w:pPr>
        <w:rPr>
          <w:rFonts w:eastAsia="Times New Roman" w:cs="Arial"/>
          <w:i/>
          <w:iCs/>
          <w:color w:val="000000"/>
          <w:lang w:eastAsia="bg-BG"/>
        </w:rPr>
      </w:pPr>
      <w:r w:rsidRPr="00357032">
        <w:rPr>
          <w:rFonts w:eastAsia="Times New Roman" w:cs="Arial"/>
          <w:i/>
          <w:iCs/>
          <w:color w:val="000000"/>
          <w:lang w:eastAsia="bg-BG"/>
        </w:rPr>
        <w:t>Механизъм</w:t>
      </w:r>
      <w:r w:rsidRPr="00357032">
        <w:rPr>
          <w:rFonts w:eastAsia="Times New Roman" w:cs="Arial"/>
          <w:i/>
          <w:iCs/>
          <w:color w:val="000000"/>
          <w:u w:val="single"/>
          <w:lang w:eastAsia="bg-BG"/>
        </w:rPr>
        <w:t xml:space="preserve"> </w:t>
      </w:r>
      <w:r w:rsidRPr="00357032">
        <w:rPr>
          <w:rFonts w:eastAsia="Times New Roman" w:cs="Arial"/>
          <w:i/>
          <w:iCs/>
          <w:color w:val="000000"/>
          <w:lang w:eastAsia="bg-BG"/>
        </w:rPr>
        <w:t>на</w:t>
      </w:r>
      <w:r w:rsidRPr="00357032">
        <w:rPr>
          <w:rFonts w:eastAsia="Times New Roman" w:cs="Arial"/>
          <w:i/>
          <w:iCs/>
          <w:color w:val="000000"/>
          <w:u w:val="single"/>
          <w:lang w:eastAsia="bg-BG"/>
        </w:rPr>
        <w:t xml:space="preserve"> </w:t>
      </w:r>
      <w:r w:rsidRPr="00357032">
        <w:rPr>
          <w:rFonts w:eastAsia="Times New Roman" w:cs="Arial"/>
          <w:i/>
          <w:iCs/>
          <w:color w:val="000000"/>
          <w:lang w:eastAsia="bg-BG"/>
        </w:rPr>
        <w:t>действие:</w:t>
      </w:r>
    </w:p>
    <w:p w14:paraId="0E913302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>Както при всички флуорохинолонови антибактериални средства бактерицидният ефект на ципрофлоксацин е резултат от инхибицията на топоизомераза II (ДНК гираза) и топоизомераза IV, необходими за бактериалната ДНК репликация, транскрипция, възстановяване и рекомбинация.</w:t>
      </w:r>
    </w:p>
    <w:p w14:paraId="735E9895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i/>
          <w:iCs/>
          <w:color w:val="000000"/>
          <w:u w:val="single"/>
          <w:lang w:val="en-US"/>
        </w:rPr>
        <w:t xml:space="preserve">PK/PD </w:t>
      </w:r>
      <w:r w:rsidRPr="00357032">
        <w:rPr>
          <w:rFonts w:eastAsia="Times New Roman" w:cs="Arial"/>
          <w:i/>
          <w:iCs/>
          <w:color w:val="000000"/>
          <w:u w:val="single"/>
          <w:lang w:eastAsia="bg-BG"/>
        </w:rPr>
        <w:t>отношение (фармакокинетично/фармакодинамично отношение):</w:t>
      </w:r>
    </w:p>
    <w:p w14:paraId="0F108990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>Ефективността зависи основно от връзката между максималната серумна концентрация С</w:t>
      </w:r>
      <w:r w:rsidRPr="00357032">
        <w:rPr>
          <w:rFonts w:eastAsia="Times New Roman" w:cs="Arial"/>
          <w:color w:val="000000"/>
          <w:vertAlign w:val="subscript"/>
          <w:lang w:val="en-US"/>
        </w:rPr>
        <w:t>m</w:t>
      </w:r>
      <w:r w:rsidRPr="00357032">
        <w:rPr>
          <w:rFonts w:eastAsia="Times New Roman" w:cs="Arial"/>
          <w:color w:val="000000"/>
          <w:vertAlign w:val="subscript"/>
          <w:lang w:eastAsia="bg-BG"/>
        </w:rPr>
        <w:t>ах</w:t>
      </w:r>
      <w:r w:rsidRPr="00357032">
        <w:rPr>
          <w:rFonts w:eastAsia="Times New Roman" w:cs="Arial"/>
          <w:color w:val="000000"/>
          <w:lang w:eastAsia="bg-BG"/>
        </w:rPr>
        <w:t xml:space="preserve">) и минималната инхибираща концентрация </w:t>
      </w:r>
      <w:r w:rsidRPr="00357032">
        <w:rPr>
          <w:rFonts w:eastAsia="Times New Roman" w:cs="Arial"/>
          <w:color w:val="000000"/>
          <w:lang w:val="en-US"/>
        </w:rPr>
        <w:t xml:space="preserve">(MIC) </w:t>
      </w:r>
      <w:r w:rsidRPr="00357032">
        <w:rPr>
          <w:rFonts w:eastAsia="Times New Roman" w:cs="Arial"/>
          <w:color w:val="000000"/>
          <w:lang w:eastAsia="bg-BG"/>
        </w:rPr>
        <w:t xml:space="preserve">на ципрофлоксацин за даден бактериален патоген и отношението между площта под кривата </w:t>
      </w:r>
      <w:r w:rsidRPr="00357032">
        <w:rPr>
          <w:rFonts w:eastAsia="Times New Roman" w:cs="Arial"/>
          <w:color w:val="000000"/>
          <w:lang w:val="en-US"/>
        </w:rPr>
        <w:t xml:space="preserve">(AUC) </w:t>
      </w:r>
      <w:r w:rsidRPr="00357032">
        <w:rPr>
          <w:rFonts w:eastAsia="Times New Roman" w:cs="Arial"/>
          <w:color w:val="000000"/>
          <w:lang w:eastAsia="bg-BG"/>
        </w:rPr>
        <w:t xml:space="preserve">и </w:t>
      </w:r>
      <w:r w:rsidRPr="00357032">
        <w:rPr>
          <w:rFonts w:eastAsia="Times New Roman" w:cs="Arial"/>
          <w:color w:val="000000"/>
          <w:lang w:val="en-US"/>
        </w:rPr>
        <w:t>MIC.</w:t>
      </w:r>
    </w:p>
    <w:p w14:paraId="087A0F7D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i/>
          <w:iCs/>
          <w:color w:val="000000"/>
          <w:u w:val="single"/>
          <w:lang w:eastAsia="bg-BG"/>
        </w:rPr>
        <w:lastRenderedPageBreak/>
        <w:t>Механизъм на резистентност:</w:t>
      </w:r>
    </w:p>
    <w:p w14:paraId="4DB0EE66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 xml:space="preserve">Резистентността </w:t>
      </w:r>
      <w:r w:rsidRPr="00357032">
        <w:rPr>
          <w:rFonts w:eastAsia="Times New Roman" w:cs="Arial"/>
          <w:i/>
          <w:iCs/>
          <w:color w:val="000000"/>
          <w:lang w:val="en-US"/>
        </w:rPr>
        <w:t>in vitro</w:t>
      </w:r>
      <w:r w:rsidRPr="00357032">
        <w:rPr>
          <w:rFonts w:eastAsia="Times New Roman" w:cs="Arial"/>
          <w:color w:val="000000"/>
          <w:lang w:val="en-US"/>
        </w:rPr>
        <w:t xml:space="preserve"> </w:t>
      </w:r>
      <w:r w:rsidRPr="00357032">
        <w:rPr>
          <w:rFonts w:eastAsia="Times New Roman" w:cs="Arial"/>
          <w:color w:val="000000"/>
          <w:lang w:eastAsia="bg-BG"/>
        </w:rPr>
        <w:t>към ципрофлоксацин се придобива чрез стъпаловиден процес на възникване на мутации, както в ДНК гиразата, така и в топоизомераза IV. Степента на кръстосана резистентност между ципрофлоксацин и други флуорохинолони е различна. Единични мутации могат да не доведат до клинична резистентност, но множествени мутации обикновено водят до клинична резистентност, към много или към всички активни субстанции в дадения клас.</w:t>
      </w:r>
    </w:p>
    <w:p w14:paraId="17B69D8B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 xml:space="preserve">Механизмите за резистентност като непропускливост и/или ефлукс-помпа за активното вещество може да имат вариабилен ефект върху чувствителността към флуорохинолони, която зависи от физикохимичните свойства на различните активни субстанции в класа и афинитета към транспортните системи на всяко активно вещество. Всички механизми на </w:t>
      </w:r>
      <w:r w:rsidRPr="00357032">
        <w:rPr>
          <w:rFonts w:eastAsia="Times New Roman" w:cs="Arial"/>
          <w:i/>
          <w:iCs/>
          <w:color w:val="000000"/>
          <w:lang w:val="en-US"/>
        </w:rPr>
        <w:t>in vitro</w:t>
      </w:r>
      <w:r w:rsidRPr="00357032">
        <w:rPr>
          <w:rFonts w:eastAsia="Times New Roman" w:cs="Arial"/>
          <w:color w:val="000000"/>
          <w:lang w:val="en-US"/>
        </w:rPr>
        <w:t xml:space="preserve"> </w:t>
      </w:r>
      <w:r w:rsidRPr="00357032">
        <w:rPr>
          <w:rFonts w:eastAsia="Times New Roman" w:cs="Arial"/>
          <w:color w:val="000000"/>
          <w:lang w:eastAsia="bg-BG"/>
        </w:rPr>
        <w:t xml:space="preserve">резистентност се наблюдават обичайно при клинични изолати. Механизмите на резистентност, които инактивират други антибиотици, като бариери на пропускливостта (често при </w:t>
      </w:r>
      <w:r w:rsidRPr="00357032">
        <w:rPr>
          <w:rFonts w:eastAsia="Times New Roman" w:cs="Arial"/>
          <w:i/>
          <w:iCs/>
          <w:color w:val="000000"/>
          <w:lang w:val="en-US"/>
        </w:rPr>
        <w:t>Pseudomonas aeruginosa)</w:t>
      </w:r>
      <w:r w:rsidRPr="00357032">
        <w:rPr>
          <w:rFonts w:eastAsia="Times New Roman" w:cs="Arial"/>
          <w:color w:val="000000"/>
          <w:lang w:val="en-US"/>
        </w:rPr>
        <w:t xml:space="preserve"> </w:t>
      </w:r>
      <w:r w:rsidRPr="00357032">
        <w:rPr>
          <w:rFonts w:eastAsia="Times New Roman" w:cs="Arial"/>
          <w:color w:val="000000"/>
          <w:lang w:eastAsia="bg-BG"/>
        </w:rPr>
        <w:t>и ефлукс механизми, могат да повлияят чувствителността към ципрофлоксацин.</w:t>
      </w:r>
    </w:p>
    <w:p w14:paraId="53C692D8" w14:textId="38774002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 xml:space="preserve">Съобщено е за плазмид-медиирана резистентност, кодирана от </w:t>
      </w:r>
      <w:proofErr w:type="spellStart"/>
      <w:r>
        <w:rPr>
          <w:rFonts w:eastAsia="Times New Roman" w:cs="Arial"/>
          <w:color w:val="000000"/>
          <w:lang w:val="en-US"/>
        </w:rPr>
        <w:t>q</w:t>
      </w:r>
      <w:r w:rsidRPr="00357032">
        <w:rPr>
          <w:rFonts w:eastAsia="Times New Roman" w:cs="Arial"/>
          <w:color w:val="000000"/>
          <w:lang w:val="en-US"/>
        </w:rPr>
        <w:t>nr</w:t>
      </w:r>
      <w:proofErr w:type="spellEnd"/>
      <w:r w:rsidRPr="00357032">
        <w:rPr>
          <w:rFonts w:eastAsia="Times New Roman" w:cs="Arial"/>
          <w:color w:val="000000"/>
          <w:lang w:eastAsia="bg-BG"/>
        </w:rPr>
        <w:t>-гени.</w:t>
      </w:r>
    </w:p>
    <w:p w14:paraId="51376121" w14:textId="77777777" w:rsidR="00357032" w:rsidRPr="00357032" w:rsidRDefault="00357032" w:rsidP="00357032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3FC4EE6" w14:textId="741E8092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i/>
          <w:iCs/>
          <w:color w:val="000000"/>
          <w:u w:val="single"/>
          <w:lang w:eastAsia="bg-BG"/>
        </w:rPr>
        <w:t>Спектър на антибактериална активност:</w:t>
      </w:r>
    </w:p>
    <w:p w14:paraId="016B8CA6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 xml:space="preserve">Граничните стойности </w:t>
      </w:r>
      <w:r w:rsidRPr="00357032">
        <w:rPr>
          <w:rFonts w:eastAsia="Times New Roman" w:cs="Arial"/>
          <w:color w:val="000000"/>
          <w:lang w:val="en-US"/>
        </w:rPr>
        <w:t xml:space="preserve">(breakpoints) </w:t>
      </w:r>
      <w:r w:rsidRPr="00357032">
        <w:rPr>
          <w:rFonts w:eastAsia="Times New Roman" w:cs="Arial"/>
          <w:color w:val="000000"/>
          <w:lang w:eastAsia="bg-BG"/>
        </w:rPr>
        <w:t>разделят чувствителните щамове от щамовете с умерена чувствителност и последните от резистентните щамове:</w:t>
      </w:r>
    </w:p>
    <w:p w14:paraId="12E19BB1" w14:textId="77777777" w:rsidR="00357032" w:rsidRPr="00357032" w:rsidRDefault="00357032" w:rsidP="00357032">
      <w:pPr>
        <w:rPr>
          <w:rFonts w:eastAsia="Times New Roman" w:cs="Arial"/>
          <w:i/>
          <w:iCs/>
          <w:color w:val="000000"/>
          <w:u w:val="single"/>
          <w:lang w:val="en-US"/>
        </w:rPr>
      </w:pPr>
    </w:p>
    <w:p w14:paraId="54E1CE3E" w14:textId="0319E137" w:rsidR="00357032" w:rsidRPr="00357032" w:rsidRDefault="00357032" w:rsidP="00357032">
      <w:pPr>
        <w:rPr>
          <w:rFonts w:cs="Arial"/>
        </w:rPr>
      </w:pPr>
      <w:r w:rsidRPr="00357032">
        <w:rPr>
          <w:rFonts w:eastAsia="Times New Roman" w:cs="Arial"/>
          <w:i/>
          <w:iCs/>
          <w:color w:val="000000"/>
          <w:u w:val="single"/>
          <w:lang w:val="en-US"/>
        </w:rPr>
        <w:t xml:space="preserve">EUCAST </w:t>
      </w:r>
      <w:r w:rsidRPr="00357032">
        <w:rPr>
          <w:rFonts w:eastAsia="Times New Roman" w:cs="Arial"/>
          <w:i/>
          <w:iCs/>
          <w:color w:val="000000"/>
          <w:u w:val="single"/>
          <w:lang w:eastAsia="bg-BG"/>
        </w:rPr>
        <w:t>препоръки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57032" w14:paraId="724C8181" w14:textId="77777777" w:rsidTr="00357032">
        <w:tc>
          <w:tcPr>
            <w:tcW w:w="3116" w:type="dxa"/>
          </w:tcPr>
          <w:p w14:paraId="4596F2F1" w14:textId="11199EEF" w:rsidR="00357032" w:rsidRDefault="00357032" w:rsidP="00357032">
            <w:r>
              <w:rPr>
                <w:b/>
                <w:bCs/>
                <w:lang w:eastAsia="bg-BG"/>
              </w:rPr>
              <w:t>микроорганизми</w:t>
            </w:r>
          </w:p>
        </w:tc>
        <w:tc>
          <w:tcPr>
            <w:tcW w:w="3117" w:type="dxa"/>
          </w:tcPr>
          <w:p w14:paraId="4AF2F147" w14:textId="1EF2DFAA" w:rsidR="00357032" w:rsidRDefault="00357032" w:rsidP="00357032">
            <w:r>
              <w:rPr>
                <w:b/>
                <w:bCs/>
                <w:lang w:eastAsia="bg-BG"/>
              </w:rPr>
              <w:t>Чувствителност</w:t>
            </w:r>
          </w:p>
        </w:tc>
        <w:tc>
          <w:tcPr>
            <w:tcW w:w="3117" w:type="dxa"/>
          </w:tcPr>
          <w:p w14:paraId="651F0695" w14:textId="667B3002" w:rsidR="00357032" w:rsidRDefault="00357032" w:rsidP="00357032">
            <w:r>
              <w:rPr>
                <w:b/>
                <w:bCs/>
                <w:lang w:eastAsia="bg-BG"/>
              </w:rPr>
              <w:t>Резистентност</w:t>
            </w:r>
          </w:p>
        </w:tc>
      </w:tr>
      <w:tr w:rsidR="00357032" w14:paraId="4BBAF1CB" w14:textId="77777777" w:rsidTr="00357032">
        <w:tc>
          <w:tcPr>
            <w:tcW w:w="3116" w:type="dxa"/>
          </w:tcPr>
          <w:p w14:paraId="7C1129F8" w14:textId="1EED9FDC" w:rsidR="00357032" w:rsidRDefault="00357032" w:rsidP="00357032">
            <w:r>
              <w:rPr>
                <w:i/>
                <w:iCs/>
              </w:rPr>
              <w:t>Enterobacteria</w:t>
            </w:r>
          </w:p>
        </w:tc>
        <w:tc>
          <w:tcPr>
            <w:tcW w:w="3117" w:type="dxa"/>
          </w:tcPr>
          <w:p w14:paraId="398415E4" w14:textId="1D1A7A50" w:rsidR="00357032" w:rsidRDefault="00357032" w:rsidP="00357032">
            <w:r>
              <w:t xml:space="preserve">S </w:t>
            </w:r>
            <w:r>
              <w:rPr>
                <w:lang w:eastAsia="bg-BG"/>
              </w:rPr>
              <w:t>≤</w:t>
            </w:r>
            <w:r>
              <w:t xml:space="preserve"> 0.5 mg/L</w:t>
            </w:r>
          </w:p>
        </w:tc>
        <w:tc>
          <w:tcPr>
            <w:tcW w:w="3117" w:type="dxa"/>
          </w:tcPr>
          <w:p w14:paraId="1B489CFA" w14:textId="1BD31C2B" w:rsidR="00357032" w:rsidRDefault="00357032" w:rsidP="00357032">
            <w:r>
              <w:t>R &gt; 1 mg/L</w:t>
            </w:r>
          </w:p>
        </w:tc>
      </w:tr>
      <w:tr w:rsidR="00357032" w14:paraId="302A972B" w14:textId="77777777" w:rsidTr="00357032">
        <w:tc>
          <w:tcPr>
            <w:tcW w:w="3116" w:type="dxa"/>
          </w:tcPr>
          <w:p w14:paraId="5DDAE3D1" w14:textId="0CEC4D94" w:rsidR="00357032" w:rsidRDefault="00357032" w:rsidP="00357032">
            <w:r>
              <w:rPr>
                <w:i/>
                <w:iCs/>
              </w:rPr>
              <w:t>Pseudomonas</w:t>
            </w:r>
          </w:p>
        </w:tc>
        <w:tc>
          <w:tcPr>
            <w:tcW w:w="3117" w:type="dxa"/>
          </w:tcPr>
          <w:p w14:paraId="3162B86C" w14:textId="6068E3D5" w:rsidR="00357032" w:rsidRDefault="00357032" w:rsidP="00357032">
            <w:r>
              <w:t>S</w:t>
            </w:r>
            <w:r>
              <w:rPr>
                <w:lang w:eastAsia="bg-BG"/>
              </w:rPr>
              <w:t>≤</w:t>
            </w:r>
            <w:r>
              <w:t xml:space="preserve"> 0.5 mg/L</w:t>
            </w:r>
          </w:p>
        </w:tc>
        <w:tc>
          <w:tcPr>
            <w:tcW w:w="3117" w:type="dxa"/>
          </w:tcPr>
          <w:p w14:paraId="3349C580" w14:textId="32F93DA5" w:rsidR="00357032" w:rsidRDefault="00357032" w:rsidP="00357032">
            <w:r>
              <w:t>R &gt; 1 mg/L</w:t>
            </w:r>
          </w:p>
        </w:tc>
      </w:tr>
      <w:tr w:rsidR="00357032" w14:paraId="54F51A06" w14:textId="77777777" w:rsidTr="00357032">
        <w:tc>
          <w:tcPr>
            <w:tcW w:w="3116" w:type="dxa"/>
          </w:tcPr>
          <w:p w14:paraId="6CF61406" w14:textId="1EBE9F90" w:rsidR="00357032" w:rsidRDefault="00357032" w:rsidP="00357032">
            <w:r>
              <w:rPr>
                <w:i/>
                <w:iCs/>
              </w:rPr>
              <w:t>Acinetobacter</w:t>
            </w:r>
          </w:p>
        </w:tc>
        <w:tc>
          <w:tcPr>
            <w:tcW w:w="3117" w:type="dxa"/>
          </w:tcPr>
          <w:p w14:paraId="376B2E5B" w14:textId="11FC08C5" w:rsidR="00357032" w:rsidRDefault="00357032" w:rsidP="00357032">
            <w:r>
              <w:t xml:space="preserve">S </w:t>
            </w:r>
            <w:r>
              <w:rPr>
                <w:lang w:eastAsia="bg-BG"/>
              </w:rPr>
              <w:t>≤</w:t>
            </w:r>
            <w:r>
              <w:t xml:space="preserve"> 1 mg/L</w:t>
            </w:r>
          </w:p>
        </w:tc>
        <w:tc>
          <w:tcPr>
            <w:tcW w:w="3117" w:type="dxa"/>
          </w:tcPr>
          <w:p w14:paraId="25DE1C6C" w14:textId="0CE91C8D" w:rsidR="00357032" w:rsidRDefault="00357032" w:rsidP="00357032">
            <w:r>
              <w:t>R &gt; 1 mg/L</w:t>
            </w:r>
          </w:p>
        </w:tc>
      </w:tr>
      <w:tr w:rsidR="00357032" w14:paraId="3FEF9401" w14:textId="77777777" w:rsidTr="00357032">
        <w:tc>
          <w:tcPr>
            <w:tcW w:w="3116" w:type="dxa"/>
          </w:tcPr>
          <w:p w14:paraId="59F43A42" w14:textId="65F8FC6D" w:rsidR="00357032" w:rsidRDefault="00357032" w:rsidP="00357032">
            <w:r>
              <w:rPr>
                <w:i/>
                <w:iCs/>
              </w:rPr>
              <w:t>Staphylococcus</w:t>
            </w:r>
            <w:r>
              <w:t xml:space="preserve"> spp?</w:t>
            </w:r>
          </w:p>
        </w:tc>
        <w:tc>
          <w:tcPr>
            <w:tcW w:w="3117" w:type="dxa"/>
          </w:tcPr>
          <w:p w14:paraId="096BED44" w14:textId="1BF8CC13" w:rsidR="00357032" w:rsidRDefault="00357032" w:rsidP="00357032">
            <w:r>
              <w:t xml:space="preserve">S </w:t>
            </w:r>
            <w:r>
              <w:rPr>
                <w:lang w:eastAsia="bg-BG"/>
              </w:rPr>
              <w:t>≤</w:t>
            </w:r>
            <w:r>
              <w:t xml:space="preserve"> 1 mg/L</w:t>
            </w:r>
          </w:p>
        </w:tc>
        <w:tc>
          <w:tcPr>
            <w:tcW w:w="3117" w:type="dxa"/>
          </w:tcPr>
          <w:p w14:paraId="0C7A03C7" w14:textId="32B9ACA6" w:rsidR="00357032" w:rsidRDefault="00357032" w:rsidP="00357032">
            <w:r>
              <w:t>R &gt; 1 mg/L</w:t>
            </w:r>
          </w:p>
        </w:tc>
      </w:tr>
      <w:tr w:rsidR="00357032" w14:paraId="26A4205C" w14:textId="77777777" w:rsidTr="00357032">
        <w:tc>
          <w:tcPr>
            <w:tcW w:w="3116" w:type="dxa"/>
          </w:tcPr>
          <w:p w14:paraId="650DB25E" w14:textId="1EF5E204" w:rsidR="00357032" w:rsidRDefault="00357032" w:rsidP="00357032">
            <w:r>
              <w:rPr>
                <w:i/>
                <w:iCs/>
              </w:rPr>
              <w:t>Haemophilus influenzae</w:t>
            </w:r>
            <w:r>
              <w:t xml:space="preserve"> </w:t>
            </w:r>
            <w:r>
              <w:rPr>
                <w:lang w:eastAsia="bg-BG"/>
              </w:rPr>
              <w:t xml:space="preserve">и </w:t>
            </w:r>
            <w:r>
              <w:rPr>
                <w:i/>
                <w:iCs/>
              </w:rPr>
              <w:t>Moraxella catarrhalis</w:t>
            </w:r>
          </w:p>
        </w:tc>
        <w:tc>
          <w:tcPr>
            <w:tcW w:w="3117" w:type="dxa"/>
          </w:tcPr>
          <w:p w14:paraId="5980AF57" w14:textId="59EC8007" w:rsidR="00357032" w:rsidRDefault="00357032" w:rsidP="00357032">
            <w:r>
              <w:t xml:space="preserve">S </w:t>
            </w:r>
            <w:r>
              <w:rPr>
                <w:lang w:eastAsia="bg-BG"/>
              </w:rPr>
              <w:t>≤</w:t>
            </w:r>
            <w:r>
              <w:t xml:space="preserve"> 0.5 mg/L</w:t>
            </w:r>
          </w:p>
        </w:tc>
        <w:tc>
          <w:tcPr>
            <w:tcW w:w="3117" w:type="dxa"/>
          </w:tcPr>
          <w:p w14:paraId="38D38BBA" w14:textId="60F87ECF" w:rsidR="00357032" w:rsidRDefault="00357032" w:rsidP="00357032">
            <w:r>
              <w:t>R &gt; 0.5 mg/L</w:t>
            </w:r>
          </w:p>
        </w:tc>
      </w:tr>
      <w:tr w:rsidR="00357032" w14:paraId="090A9971" w14:textId="77777777" w:rsidTr="00357032">
        <w:tc>
          <w:tcPr>
            <w:tcW w:w="3116" w:type="dxa"/>
          </w:tcPr>
          <w:p w14:paraId="017A2F56" w14:textId="3825A51D" w:rsidR="00357032" w:rsidRDefault="00357032" w:rsidP="00357032">
            <w:r>
              <w:rPr>
                <w:i/>
                <w:iCs/>
              </w:rPr>
              <w:t>Neisseria gonorrhoeae</w:t>
            </w:r>
          </w:p>
        </w:tc>
        <w:tc>
          <w:tcPr>
            <w:tcW w:w="3117" w:type="dxa"/>
          </w:tcPr>
          <w:p w14:paraId="4776956A" w14:textId="173C222E" w:rsidR="00357032" w:rsidRDefault="00357032" w:rsidP="00357032">
            <w:r>
              <w:t xml:space="preserve">S </w:t>
            </w:r>
            <w:r>
              <w:rPr>
                <w:lang w:eastAsia="bg-BG"/>
              </w:rPr>
              <w:t>≤</w:t>
            </w:r>
            <w:r>
              <w:t xml:space="preserve"> 0.03 mg/L</w:t>
            </w:r>
          </w:p>
        </w:tc>
        <w:tc>
          <w:tcPr>
            <w:tcW w:w="3117" w:type="dxa"/>
          </w:tcPr>
          <w:p w14:paraId="2B4ECC91" w14:textId="78F7ED9D" w:rsidR="00357032" w:rsidRDefault="00357032" w:rsidP="00357032">
            <w:r>
              <w:t>R &gt; 0.06 mg/L</w:t>
            </w:r>
          </w:p>
        </w:tc>
      </w:tr>
      <w:tr w:rsidR="00357032" w14:paraId="081348C3" w14:textId="77777777" w:rsidTr="00357032">
        <w:tc>
          <w:tcPr>
            <w:tcW w:w="3116" w:type="dxa"/>
          </w:tcPr>
          <w:p w14:paraId="76AD3174" w14:textId="5A6394FF" w:rsidR="00357032" w:rsidRDefault="00357032" w:rsidP="00357032">
            <w:r>
              <w:rPr>
                <w:i/>
                <w:iCs/>
              </w:rPr>
              <w:t>Neisseria meningitidis</w:t>
            </w:r>
          </w:p>
        </w:tc>
        <w:tc>
          <w:tcPr>
            <w:tcW w:w="3117" w:type="dxa"/>
          </w:tcPr>
          <w:p w14:paraId="6D4F3230" w14:textId="3957E94E" w:rsidR="00357032" w:rsidRDefault="00357032" w:rsidP="00357032">
            <w:r>
              <w:t xml:space="preserve">S </w:t>
            </w:r>
            <w:r>
              <w:rPr>
                <w:lang w:eastAsia="bg-BG"/>
              </w:rPr>
              <w:t>≤</w:t>
            </w:r>
            <w:r>
              <w:t xml:space="preserve"> 0.03 mg/L</w:t>
            </w:r>
          </w:p>
        </w:tc>
        <w:tc>
          <w:tcPr>
            <w:tcW w:w="3117" w:type="dxa"/>
          </w:tcPr>
          <w:p w14:paraId="12454FCE" w14:textId="7C9E3A09" w:rsidR="00357032" w:rsidRDefault="00357032" w:rsidP="00357032">
            <w:r>
              <w:t>R &gt; 0.06 mg/L</w:t>
            </w:r>
          </w:p>
        </w:tc>
      </w:tr>
      <w:tr w:rsidR="00357032" w14:paraId="7BD9C821" w14:textId="77777777" w:rsidTr="00357032">
        <w:tc>
          <w:tcPr>
            <w:tcW w:w="3116" w:type="dxa"/>
          </w:tcPr>
          <w:p w14:paraId="66DB19C9" w14:textId="5D257044" w:rsidR="00357032" w:rsidRDefault="00357032" w:rsidP="00357032">
            <w:r>
              <w:t xml:space="preserve">He </w:t>
            </w:r>
            <w:r>
              <w:rPr>
                <w:lang w:eastAsia="bg-BG"/>
              </w:rPr>
              <w:t xml:space="preserve">свързани </w:t>
            </w:r>
            <w:r>
              <w:t xml:space="preserve">c </w:t>
            </w:r>
            <w:r>
              <w:rPr>
                <w:lang w:eastAsia="bg-BG"/>
              </w:rPr>
              <w:t>определен вид*</w:t>
            </w:r>
          </w:p>
        </w:tc>
        <w:tc>
          <w:tcPr>
            <w:tcW w:w="3117" w:type="dxa"/>
          </w:tcPr>
          <w:p w14:paraId="7E790FA7" w14:textId="0050CA6E" w:rsidR="00357032" w:rsidRDefault="00357032" w:rsidP="00357032">
            <w:r>
              <w:t xml:space="preserve">S </w:t>
            </w:r>
            <w:r>
              <w:rPr>
                <w:lang w:eastAsia="bg-BG"/>
              </w:rPr>
              <w:t>≤</w:t>
            </w:r>
            <w:r>
              <w:t xml:space="preserve"> 0.5 mg/L</w:t>
            </w:r>
          </w:p>
        </w:tc>
        <w:tc>
          <w:tcPr>
            <w:tcW w:w="3117" w:type="dxa"/>
          </w:tcPr>
          <w:p w14:paraId="055A7F7E" w14:textId="36729CC0" w:rsidR="00357032" w:rsidRDefault="00357032" w:rsidP="00357032">
            <w:r>
              <w:t>R &gt; 1 mg/L</w:t>
            </w:r>
          </w:p>
        </w:tc>
      </w:tr>
    </w:tbl>
    <w:p w14:paraId="36152471" w14:textId="65F453D5" w:rsidR="0091385D" w:rsidRDefault="0091385D" w:rsidP="0091385D"/>
    <w:p w14:paraId="17017517" w14:textId="12704B77" w:rsidR="00357032" w:rsidRPr="00357032" w:rsidRDefault="00357032" w:rsidP="00357032">
      <w:pPr>
        <w:rPr>
          <w:rFonts w:eastAsia="Times New Roman" w:cs="Arial"/>
          <w:sz w:val="24"/>
          <w:szCs w:val="24"/>
          <w:lang w:eastAsia="bg-BG"/>
        </w:rPr>
      </w:pPr>
      <w:r>
        <w:t xml:space="preserve">1 </w:t>
      </w:r>
      <w:r>
        <w:rPr>
          <w:lang w:val="en-US"/>
        </w:rPr>
        <w:t xml:space="preserve">Staphylococcus spp. - </w:t>
      </w:r>
      <w:proofErr w:type="gramStart"/>
      <w:r>
        <w:t>стойностите</w:t>
      </w:r>
      <w:proofErr w:type="gramEnd"/>
      <w:r>
        <w:t xml:space="preserve"> се отнасят за терапия с високи дози ципрофлоксацин * несвързаните с определен вид стойности са определени основно на базата на фармакокинетични/фармакодинамични </w:t>
      </w:r>
      <w:r>
        <w:rPr>
          <w:lang w:val="en-US"/>
        </w:rPr>
        <w:t xml:space="preserve">(PK/PD) </w:t>
      </w:r>
      <w:r>
        <w:t xml:space="preserve">данни и са независими от разпределението на </w:t>
      </w:r>
      <w:r>
        <w:rPr>
          <w:lang w:val="en-US"/>
        </w:rPr>
        <w:t xml:space="preserve">MIC </w:t>
      </w:r>
      <w:r>
        <w:t>за отделните видове. Те могат да се използват само при видове</w:t>
      </w:r>
      <w:r>
        <w:rPr>
          <w:lang w:val="en-US"/>
        </w:rPr>
        <w:t xml:space="preserve">, </w:t>
      </w:r>
      <w:r w:rsidRPr="00357032">
        <w:rPr>
          <w:rFonts w:eastAsia="Times New Roman" w:cs="Arial"/>
          <w:color w:val="000000"/>
          <w:lang w:eastAsia="bg-BG"/>
        </w:rPr>
        <w:t xml:space="preserve">за които не е дадена видово специфична стойност </w:t>
      </w:r>
      <w:r w:rsidRPr="00357032">
        <w:rPr>
          <w:rFonts w:eastAsia="Times New Roman" w:cs="Arial"/>
          <w:color w:val="000000"/>
          <w:lang w:val="en-US"/>
        </w:rPr>
        <w:t xml:space="preserve">(breakpoint) </w:t>
      </w:r>
      <w:r w:rsidRPr="00357032">
        <w:rPr>
          <w:rFonts w:eastAsia="Times New Roman" w:cs="Arial"/>
          <w:color w:val="000000"/>
          <w:lang w:eastAsia="bg-BG"/>
        </w:rPr>
        <w:t>и не за тези, за които се препоръчва изследване на чувствителността.</w:t>
      </w:r>
    </w:p>
    <w:p w14:paraId="2DF5BB83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>Преобладаването на придобита резистентност за определени видове може да варира в зависимост от географския регион и времето, и е желателна информираност за наличната местна резистентност, особено при лечение на тежки инфекции. Когато е необходимо, се търси експертно мнение, особено когато местната преобладаваща резистентност е такава, че използването на агента при някои видове инфекции е съмнително.</w:t>
      </w:r>
    </w:p>
    <w:p w14:paraId="4727675B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 xml:space="preserve">Групиране на видовете в зависимост от чувствителността им към ципрофлоксацин (за </w:t>
      </w:r>
      <w:r w:rsidRPr="00357032">
        <w:rPr>
          <w:rFonts w:eastAsia="Times New Roman" w:cs="Arial"/>
          <w:i/>
          <w:iCs/>
          <w:color w:val="000000"/>
          <w:lang w:val="en-US"/>
        </w:rPr>
        <w:t>Streptococcus</w:t>
      </w:r>
      <w:r w:rsidRPr="00357032">
        <w:rPr>
          <w:rFonts w:eastAsia="Times New Roman" w:cs="Arial"/>
          <w:color w:val="000000"/>
          <w:lang w:val="en-US"/>
        </w:rPr>
        <w:t xml:space="preserve"> </w:t>
      </w:r>
      <w:r w:rsidRPr="00357032">
        <w:rPr>
          <w:rFonts w:eastAsia="Times New Roman" w:cs="Arial"/>
          <w:color w:val="000000"/>
          <w:lang w:eastAsia="bg-BG"/>
        </w:rPr>
        <w:t>виж т. 4.4)</w:t>
      </w:r>
    </w:p>
    <w:p w14:paraId="3E9F205C" w14:textId="77777777" w:rsidR="00357032" w:rsidRPr="00357032" w:rsidRDefault="00357032" w:rsidP="00357032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4DB4F4EF" w14:textId="31D11F00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b/>
          <w:bCs/>
          <w:color w:val="000000"/>
          <w:lang w:eastAsia="bg-BG"/>
        </w:rPr>
        <w:lastRenderedPageBreak/>
        <w:t>Предимно чувствителни видове</w:t>
      </w:r>
    </w:p>
    <w:p w14:paraId="32255DBA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u w:val="single"/>
          <w:lang w:eastAsia="bg-BG"/>
        </w:rPr>
        <w:t>Аеробни грам-положителни микроорганизми</w:t>
      </w:r>
      <w:r w:rsidRPr="00357032">
        <w:rPr>
          <w:rFonts w:eastAsia="Times New Roman" w:cs="Arial"/>
          <w:color w:val="000000"/>
          <w:lang w:eastAsia="bg-BG"/>
        </w:rPr>
        <w:t xml:space="preserve">: </w:t>
      </w:r>
      <w:r w:rsidRPr="00357032">
        <w:rPr>
          <w:rFonts w:eastAsia="Times New Roman" w:cs="Arial"/>
          <w:i/>
          <w:iCs/>
          <w:color w:val="000000"/>
          <w:lang w:val="en-US"/>
        </w:rPr>
        <w:t xml:space="preserve">Bacillus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anthracis</w:t>
      </w:r>
      <w:proofErr w:type="spellEnd"/>
      <w:r w:rsidRPr="00357032">
        <w:rPr>
          <w:rFonts w:eastAsia="Times New Roman" w:cs="Arial"/>
          <w:color w:val="000000"/>
          <w:lang w:val="en-US"/>
        </w:rPr>
        <w:t xml:space="preserve"> </w:t>
      </w:r>
      <w:r w:rsidRPr="00357032">
        <w:rPr>
          <w:rFonts w:eastAsia="Times New Roman" w:cs="Arial"/>
          <w:color w:val="000000"/>
          <w:lang w:eastAsia="bg-BG"/>
        </w:rPr>
        <w:t>(1)</w:t>
      </w:r>
    </w:p>
    <w:p w14:paraId="5E89676F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u w:val="single"/>
          <w:lang w:eastAsia="bg-BG"/>
        </w:rPr>
        <w:t xml:space="preserve">Аеробни грам-отрицателни микроорганизми: </w:t>
      </w:r>
      <w:proofErr w:type="spellStart"/>
      <w:r w:rsidRPr="00357032">
        <w:rPr>
          <w:rFonts w:eastAsia="Times New Roman" w:cs="Arial"/>
          <w:i/>
          <w:iCs/>
          <w:color w:val="000000"/>
          <w:u w:val="single"/>
          <w:lang w:val="en-US"/>
        </w:rPr>
        <w:t>A</w:t>
      </w:r>
      <w:r w:rsidRPr="00357032">
        <w:rPr>
          <w:rFonts w:eastAsia="Times New Roman" w:cs="Arial"/>
          <w:i/>
          <w:iCs/>
          <w:color w:val="000000"/>
          <w:lang w:val="en-US"/>
        </w:rPr>
        <w:t>eromonas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 spp.,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Brucella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 spp.,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Citrobacter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koseri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,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Francisella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tularensis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,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Haemophilus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ducreyi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;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Haemophilus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influenzae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*, Legionella spp., Moraxella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catarrhalis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*, Neisseria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meningitidis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,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Pasteurella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 spp., Salmonella spp. *,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Shigella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 spp. *, Vibrio spp., Yersinia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pestis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>.</w:t>
      </w:r>
    </w:p>
    <w:p w14:paraId="5851F65F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u w:val="single"/>
          <w:lang w:eastAsia="bg-BG"/>
        </w:rPr>
        <w:t>Анаеробни микроорганизми</w:t>
      </w:r>
      <w:r w:rsidRPr="00357032">
        <w:rPr>
          <w:rFonts w:eastAsia="Times New Roman" w:cs="Arial"/>
          <w:color w:val="000000"/>
          <w:lang w:eastAsia="bg-BG"/>
        </w:rPr>
        <w:t xml:space="preserve">: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Mobiluncus</w:t>
      </w:r>
      <w:proofErr w:type="spellEnd"/>
    </w:p>
    <w:p w14:paraId="5B658DAD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u w:val="single"/>
          <w:lang w:eastAsia="bg-BG"/>
        </w:rPr>
        <w:t>Други микроорганизми</w:t>
      </w:r>
      <w:r w:rsidRPr="00357032">
        <w:rPr>
          <w:rFonts w:eastAsia="Times New Roman" w:cs="Arial"/>
          <w:color w:val="000000"/>
          <w:lang w:eastAsia="bg-BG"/>
        </w:rPr>
        <w:t xml:space="preserve">: </w:t>
      </w:r>
      <w:r w:rsidRPr="00357032">
        <w:rPr>
          <w:rFonts w:eastAsia="Times New Roman" w:cs="Arial"/>
          <w:i/>
          <w:iCs/>
          <w:color w:val="000000"/>
          <w:lang w:val="en-US"/>
        </w:rPr>
        <w:t xml:space="preserve">Chlamydia trachomatis ($), Chlamydia pneumonia ($), Mycoplasma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hominis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 ($), Mycoplasma pneumonia ($).</w:t>
      </w:r>
    </w:p>
    <w:p w14:paraId="3B2266DE" w14:textId="77777777" w:rsidR="00357032" w:rsidRPr="00357032" w:rsidRDefault="00357032" w:rsidP="00357032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3" w:name="bookmark2"/>
    </w:p>
    <w:p w14:paraId="61F906A7" w14:textId="786E50E5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b/>
          <w:bCs/>
          <w:color w:val="000000"/>
          <w:lang w:eastAsia="bg-BG"/>
        </w:rPr>
        <w:t>Видове, за които придобитата резистентност може да представлява проблем</w:t>
      </w:r>
      <w:bookmarkEnd w:id="3"/>
    </w:p>
    <w:p w14:paraId="29812895" w14:textId="0DC4D496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u w:val="single"/>
          <w:lang w:eastAsia="bg-BG"/>
        </w:rPr>
        <w:t>Аеробни грам-положителни микроорганизми</w:t>
      </w:r>
      <w:r w:rsidRPr="00357032">
        <w:rPr>
          <w:rFonts w:eastAsia="Times New Roman" w:cs="Arial"/>
          <w:color w:val="000000"/>
          <w:lang w:eastAsia="bg-BG"/>
        </w:rPr>
        <w:t xml:space="preserve">: </w:t>
      </w:r>
      <w:r w:rsidRPr="00357032">
        <w:rPr>
          <w:rFonts w:eastAsia="Times New Roman" w:cs="Arial"/>
          <w:i/>
          <w:iCs/>
          <w:color w:val="000000"/>
          <w:lang w:val="en-US"/>
        </w:rPr>
        <w:t xml:space="preserve">Enterococcus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faecalis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 </w:t>
      </w:r>
      <w:r w:rsidRPr="00357032">
        <w:rPr>
          <w:rFonts w:eastAsia="Times New Roman" w:cs="Arial"/>
          <w:i/>
          <w:iCs/>
          <w:color w:val="000000"/>
          <w:lang w:eastAsia="bg-BG"/>
        </w:rPr>
        <w:t xml:space="preserve">($), </w:t>
      </w:r>
      <w:r w:rsidRPr="00357032">
        <w:rPr>
          <w:rFonts w:eastAsia="Times New Roman" w:cs="Arial"/>
          <w:i/>
          <w:iCs/>
          <w:color w:val="000000"/>
          <w:lang w:val="en-US"/>
        </w:rPr>
        <w:t xml:space="preserve">Staphylococcus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spp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>*</w:t>
      </w:r>
      <w:r w:rsidR="009D4901">
        <w:rPr>
          <w:rFonts w:eastAsia="Times New Roman" w:cs="Arial"/>
          <w:color w:val="000000"/>
          <w:lang w:val="en-US"/>
        </w:rPr>
        <w:t xml:space="preserve"> </w:t>
      </w:r>
      <w:r w:rsidRPr="00357032">
        <w:rPr>
          <w:rFonts w:eastAsia="Times New Roman" w:cs="Arial"/>
          <w:color w:val="000000"/>
          <w:lang w:val="en-US"/>
        </w:rPr>
        <w:t>(2)</w:t>
      </w:r>
    </w:p>
    <w:p w14:paraId="5AFEB5E4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u w:val="single"/>
          <w:lang w:eastAsia="bg-BG"/>
        </w:rPr>
        <w:t>Аеробни грам-отрицателни микроорганизми</w:t>
      </w:r>
      <w:r w:rsidRPr="00357032">
        <w:rPr>
          <w:rFonts w:eastAsia="Times New Roman" w:cs="Arial"/>
          <w:color w:val="000000"/>
          <w:lang w:eastAsia="bg-BG"/>
        </w:rPr>
        <w:t xml:space="preserve">: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Acinetobacter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baumannii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+,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Burkholderia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cepacia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+*, Campylobacter spp.+ *,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Citrobacter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freundii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*,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Enterobacter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aerogenes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,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Enterobacter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 cloacae*, Escherichia coli*,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Klebsiella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oxytoca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,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Klebsiella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pneumoniae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*,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Morganella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morganii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*, Neisseria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gonorrhoeae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*, Proteus mirabilis*, Proteus vulgaris*,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Providencia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 spp., Pseudomonas aeruginosa*, Pseudomonas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fluorescens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,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Serratia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marcescens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*. </w:t>
      </w:r>
      <w:r w:rsidRPr="00357032">
        <w:rPr>
          <w:rFonts w:eastAsia="Times New Roman" w:cs="Arial"/>
          <w:color w:val="000000"/>
          <w:u w:val="single"/>
          <w:lang w:eastAsia="bg-BG"/>
        </w:rPr>
        <w:t>Анаеробни микроорганизми</w:t>
      </w:r>
      <w:r w:rsidRPr="00357032">
        <w:rPr>
          <w:rFonts w:eastAsia="Times New Roman" w:cs="Arial"/>
          <w:color w:val="000000"/>
          <w:lang w:eastAsia="bg-BG"/>
        </w:rPr>
        <w:t xml:space="preserve">: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Peptostreptococcus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 spp.,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Propionibacterium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 acnes.</w:t>
      </w:r>
    </w:p>
    <w:p w14:paraId="5E7FC4AE" w14:textId="77777777" w:rsidR="00357032" w:rsidRPr="00357032" w:rsidRDefault="00357032" w:rsidP="00357032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4" w:name="bookmark4"/>
    </w:p>
    <w:p w14:paraId="7894DCE4" w14:textId="2AC83AAD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b/>
          <w:bCs/>
          <w:color w:val="000000"/>
          <w:lang w:eastAsia="bg-BG"/>
        </w:rPr>
        <w:t>Естествено резистентни организми</w:t>
      </w:r>
      <w:bookmarkEnd w:id="4"/>
    </w:p>
    <w:p w14:paraId="01EB1AB5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u w:val="single"/>
          <w:lang w:eastAsia="bg-BG"/>
        </w:rPr>
        <w:t>Аеробни грам-положителни микроорганизми</w:t>
      </w:r>
      <w:r w:rsidRPr="00357032">
        <w:rPr>
          <w:rFonts w:eastAsia="Times New Roman" w:cs="Arial"/>
          <w:color w:val="000000"/>
          <w:lang w:eastAsia="bg-BG"/>
        </w:rPr>
        <w:t xml:space="preserve">: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Actinomyces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,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Enteroccus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faecium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, Listeria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monocytogenes</w:t>
      </w:r>
      <w:proofErr w:type="spellEnd"/>
    </w:p>
    <w:p w14:paraId="336C393E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u w:val="single"/>
          <w:lang w:eastAsia="bg-BG"/>
        </w:rPr>
        <w:t>Аеробни грам-отрицателни микроорганизми</w:t>
      </w:r>
      <w:r w:rsidRPr="00357032">
        <w:rPr>
          <w:rFonts w:eastAsia="Times New Roman" w:cs="Arial"/>
          <w:color w:val="000000"/>
          <w:lang w:eastAsia="bg-BG"/>
        </w:rPr>
        <w:t xml:space="preserve">: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Stenotrophomonas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maltophilia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 </w:t>
      </w:r>
      <w:r w:rsidRPr="00357032">
        <w:rPr>
          <w:rFonts w:eastAsia="Times New Roman" w:cs="Arial"/>
          <w:color w:val="000000"/>
          <w:u w:val="single"/>
          <w:lang w:eastAsia="bg-BG"/>
        </w:rPr>
        <w:t>Анаеробни микроорганизми</w:t>
      </w:r>
      <w:r w:rsidRPr="00357032">
        <w:rPr>
          <w:rFonts w:eastAsia="Times New Roman" w:cs="Arial"/>
          <w:color w:val="000000"/>
          <w:lang w:eastAsia="bg-BG"/>
        </w:rPr>
        <w:t>: С изключение на изброените по-горе.</w:t>
      </w:r>
    </w:p>
    <w:p w14:paraId="59DCCECC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u w:val="single"/>
          <w:lang w:eastAsia="bg-BG"/>
        </w:rPr>
        <w:t>Други микроорганизми</w:t>
      </w:r>
      <w:r w:rsidRPr="00357032">
        <w:rPr>
          <w:rFonts w:eastAsia="Times New Roman" w:cs="Arial"/>
          <w:color w:val="000000"/>
          <w:lang w:eastAsia="bg-BG"/>
        </w:rPr>
        <w:t xml:space="preserve">: </w:t>
      </w:r>
      <w:r w:rsidRPr="00357032">
        <w:rPr>
          <w:rFonts w:eastAsia="Times New Roman" w:cs="Arial"/>
          <w:i/>
          <w:iCs/>
          <w:color w:val="000000"/>
          <w:lang w:val="en-US"/>
        </w:rPr>
        <w:t xml:space="preserve">Mycoplasma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genitalium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,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Ureaplasma</w:t>
      </w:r>
      <w:proofErr w:type="spellEnd"/>
      <w:r w:rsidRPr="00357032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357032">
        <w:rPr>
          <w:rFonts w:eastAsia="Times New Roman" w:cs="Arial"/>
          <w:i/>
          <w:iCs/>
          <w:color w:val="000000"/>
          <w:lang w:val="en-US"/>
        </w:rPr>
        <w:t>urealitycum</w:t>
      </w:r>
      <w:proofErr w:type="spellEnd"/>
    </w:p>
    <w:p w14:paraId="030F2E42" w14:textId="77777777" w:rsidR="00357032" w:rsidRPr="00357032" w:rsidRDefault="00357032" w:rsidP="00357032">
      <w:pPr>
        <w:spacing w:line="240" w:lineRule="auto"/>
        <w:rPr>
          <w:rFonts w:eastAsia="Times New Roman" w:cs="Arial"/>
          <w:color w:val="000000"/>
          <w:lang w:val="en-US"/>
        </w:rPr>
      </w:pPr>
    </w:p>
    <w:p w14:paraId="06F65FB3" w14:textId="66A92C23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val="en-US"/>
        </w:rPr>
        <w:t xml:space="preserve">* </w:t>
      </w:r>
      <w:proofErr w:type="gramStart"/>
      <w:r w:rsidRPr="00357032">
        <w:rPr>
          <w:rFonts w:eastAsia="Times New Roman" w:cs="Arial"/>
          <w:color w:val="000000"/>
          <w:lang w:eastAsia="bg-BG"/>
        </w:rPr>
        <w:t>демонстрирана</w:t>
      </w:r>
      <w:proofErr w:type="gramEnd"/>
      <w:r w:rsidRPr="00357032">
        <w:rPr>
          <w:rFonts w:eastAsia="Times New Roman" w:cs="Arial"/>
          <w:color w:val="000000"/>
          <w:lang w:eastAsia="bg-BG"/>
        </w:rPr>
        <w:t xml:space="preserve"> е клинична ефективност при чувствителни изолати при утвърдени клинични индикации</w:t>
      </w:r>
    </w:p>
    <w:p w14:paraId="34C2059C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>+ степен на резистентност &gt; 50% в една или повече страни на ЕС.</w:t>
      </w:r>
    </w:p>
    <w:p w14:paraId="125DF243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>($): естествена умерена чувствителност при отсъствие на придобит механизъм на резистентност.</w:t>
      </w:r>
    </w:p>
    <w:p w14:paraId="3923BDD8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 xml:space="preserve">(1): изследванията са провеждани в експериментални инфекции при животни след инхалиране на спори на </w:t>
      </w:r>
      <w:r w:rsidRPr="00357032">
        <w:rPr>
          <w:rFonts w:eastAsia="Times New Roman" w:cs="Arial"/>
          <w:color w:val="000000"/>
          <w:lang w:val="en-US"/>
        </w:rPr>
        <w:t xml:space="preserve">Bacillus </w:t>
      </w:r>
      <w:proofErr w:type="spellStart"/>
      <w:r w:rsidRPr="00357032">
        <w:rPr>
          <w:rFonts w:eastAsia="Times New Roman" w:cs="Arial"/>
          <w:color w:val="000000"/>
          <w:lang w:val="en-US"/>
        </w:rPr>
        <w:t>anthracis</w:t>
      </w:r>
      <w:proofErr w:type="spellEnd"/>
      <w:r w:rsidRPr="00357032">
        <w:rPr>
          <w:rFonts w:eastAsia="Times New Roman" w:cs="Arial"/>
          <w:color w:val="000000"/>
          <w:lang w:val="en-US"/>
        </w:rPr>
        <w:t xml:space="preserve">. </w:t>
      </w:r>
      <w:r w:rsidRPr="00357032">
        <w:rPr>
          <w:rFonts w:eastAsia="Times New Roman" w:cs="Arial"/>
          <w:color w:val="000000"/>
          <w:lang w:eastAsia="bg-BG"/>
        </w:rPr>
        <w:t>Тези изследвания разкриват, че започването на антибиотична терапия скоро след експозицията предотвратява появата на болест, когато</w:t>
      </w:r>
    </w:p>
    <w:p w14:paraId="6940F1AF" w14:textId="2B36E894" w:rsidR="00357032" w:rsidRPr="00357032" w:rsidRDefault="00357032" w:rsidP="00357032">
      <w:pPr>
        <w:rPr>
          <w:rFonts w:cs="Arial"/>
          <w:lang w:val="en-US"/>
        </w:rPr>
      </w:pPr>
      <w:r w:rsidRPr="00357032">
        <w:rPr>
          <w:rFonts w:eastAsia="Times New Roman" w:cs="Arial"/>
          <w:color w:val="000000"/>
          <w:lang w:eastAsia="bg-BG"/>
        </w:rPr>
        <w:t>лечението цели намаляване на броя на спорите в организма под инфекциозната доза.</w:t>
      </w:r>
    </w:p>
    <w:p w14:paraId="1AF47DA8" w14:textId="790BDE42" w:rsidR="00357032" w:rsidRDefault="00357032" w:rsidP="0091385D"/>
    <w:p w14:paraId="1D8459D8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 xml:space="preserve">Препоръчваната употреба при хора се основава, основно на чувствителността </w:t>
      </w:r>
      <w:r w:rsidRPr="00357032">
        <w:rPr>
          <w:rFonts w:eastAsia="Times New Roman" w:cs="Arial"/>
          <w:i/>
          <w:iCs/>
          <w:color w:val="000000"/>
          <w:lang w:val="en-US"/>
        </w:rPr>
        <w:t>in vitro</w:t>
      </w:r>
      <w:r w:rsidRPr="00357032">
        <w:rPr>
          <w:rFonts w:eastAsia="Times New Roman" w:cs="Arial"/>
          <w:color w:val="000000"/>
          <w:lang w:val="en-US"/>
        </w:rPr>
        <w:t xml:space="preserve"> </w:t>
      </w:r>
      <w:r w:rsidRPr="00357032">
        <w:rPr>
          <w:rFonts w:eastAsia="Times New Roman" w:cs="Arial"/>
          <w:color w:val="000000"/>
          <w:lang w:eastAsia="bg-BG"/>
        </w:rPr>
        <w:t xml:space="preserve">и на експериментални резултати с животни, както и на ограничен брой данни от приложение на хора. Лечение на възрастни в продължение на два месеца с орален ципрофлоксацин, даван по 500 </w:t>
      </w:r>
      <w:r w:rsidRPr="00357032">
        <w:rPr>
          <w:rFonts w:eastAsia="Times New Roman" w:cs="Arial"/>
          <w:color w:val="000000"/>
          <w:lang w:val="en-US"/>
        </w:rPr>
        <w:t xml:space="preserve">mg </w:t>
      </w:r>
      <w:r w:rsidRPr="00357032">
        <w:rPr>
          <w:rFonts w:eastAsia="Times New Roman" w:cs="Arial"/>
          <w:color w:val="000000"/>
          <w:lang w:eastAsia="bg-BG"/>
        </w:rPr>
        <w:t>два пъти дневно, се счита ефективно да предотврати антраксна инфекция у хора. За лечението на антракс лекуващият лекар трябва да се консултира с националните или международните консенсусни документи относно лечението на антракс.</w:t>
      </w:r>
    </w:p>
    <w:p w14:paraId="575A757F" w14:textId="7977715B" w:rsidR="00357032" w:rsidRPr="00357032" w:rsidRDefault="00357032" w:rsidP="00357032">
      <w:pPr>
        <w:rPr>
          <w:rFonts w:cs="Arial"/>
        </w:rPr>
      </w:pPr>
      <w:r w:rsidRPr="00357032">
        <w:rPr>
          <w:rFonts w:eastAsia="Times New Roman" w:cs="Arial"/>
          <w:color w:val="000000"/>
          <w:lang w:eastAsia="bg-BG"/>
        </w:rPr>
        <w:t xml:space="preserve">(2): метицилин-резистентните </w:t>
      </w:r>
      <w:r w:rsidRPr="00357032">
        <w:rPr>
          <w:rFonts w:eastAsia="Times New Roman" w:cs="Arial"/>
          <w:color w:val="000000"/>
          <w:lang w:val="en-US"/>
        </w:rPr>
        <w:t xml:space="preserve">S. </w:t>
      </w:r>
      <w:proofErr w:type="gramStart"/>
      <w:r w:rsidRPr="00357032">
        <w:rPr>
          <w:rFonts w:eastAsia="Times New Roman" w:cs="Arial"/>
          <w:color w:val="000000"/>
          <w:lang w:val="en-US"/>
        </w:rPr>
        <w:t>aureus</w:t>
      </w:r>
      <w:proofErr w:type="gramEnd"/>
      <w:r w:rsidRPr="00357032">
        <w:rPr>
          <w:rFonts w:eastAsia="Times New Roman" w:cs="Arial"/>
          <w:color w:val="000000"/>
          <w:lang w:val="en-US"/>
        </w:rPr>
        <w:t xml:space="preserve"> </w:t>
      </w:r>
      <w:r w:rsidRPr="00357032">
        <w:rPr>
          <w:rFonts w:eastAsia="Times New Roman" w:cs="Arial"/>
          <w:color w:val="000000"/>
          <w:lang w:eastAsia="bg-BG"/>
        </w:rPr>
        <w:t>много често показват кръстосана резистентност към флуорохинолони. Степента на резистентност към метицилин е около 20 до 50% измежду всички видове стафилококи и е обикновено по-висока при вътреболнични изолати.</w:t>
      </w:r>
    </w:p>
    <w:p w14:paraId="5E59B70A" w14:textId="77777777" w:rsidR="00357032" w:rsidRPr="0091385D" w:rsidRDefault="00357032" w:rsidP="0091385D"/>
    <w:p w14:paraId="35F84B81" w14:textId="6423E5BB" w:rsidR="00CF77F7" w:rsidRDefault="002C50EE" w:rsidP="004A448E">
      <w:pPr>
        <w:pStyle w:val="Heading2"/>
      </w:pPr>
      <w:r>
        <w:lastRenderedPageBreak/>
        <w:t>5.2. Фармакокинетични свойства</w:t>
      </w:r>
    </w:p>
    <w:p w14:paraId="5031193D" w14:textId="06A21EFE" w:rsidR="0091385D" w:rsidRDefault="0091385D" w:rsidP="0091385D"/>
    <w:p w14:paraId="43AE23A6" w14:textId="77777777" w:rsidR="00357032" w:rsidRPr="00357032" w:rsidRDefault="00357032" w:rsidP="00357032">
      <w:pPr>
        <w:pStyle w:val="Heading3"/>
        <w:rPr>
          <w:rFonts w:eastAsia="Times New Roman"/>
          <w:u w:val="single"/>
          <w:lang w:eastAsia="bg-BG"/>
        </w:rPr>
      </w:pPr>
      <w:r w:rsidRPr="00357032">
        <w:rPr>
          <w:rFonts w:eastAsia="Times New Roman"/>
          <w:u w:val="single"/>
          <w:lang w:eastAsia="bg-BG"/>
        </w:rPr>
        <w:t>Абсорбция</w:t>
      </w:r>
    </w:p>
    <w:p w14:paraId="0A9A823B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 xml:space="preserve">След еднократен прием през устата на доза от 250 </w:t>
      </w:r>
      <w:r w:rsidRPr="00357032">
        <w:rPr>
          <w:rFonts w:eastAsia="Times New Roman" w:cs="Arial"/>
          <w:color w:val="000000"/>
          <w:lang w:val="en-US"/>
        </w:rPr>
        <w:t xml:space="preserve">mg, </w:t>
      </w:r>
      <w:r w:rsidRPr="00357032">
        <w:rPr>
          <w:rFonts w:eastAsia="Times New Roman" w:cs="Arial"/>
          <w:color w:val="000000"/>
          <w:lang w:eastAsia="bg-BG"/>
        </w:rPr>
        <w:t xml:space="preserve">500 </w:t>
      </w:r>
      <w:r w:rsidRPr="00357032">
        <w:rPr>
          <w:rFonts w:eastAsia="Times New Roman" w:cs="Arial"/>
          <w:color w:val="000000"/>
          <w:lang w:val="en-US"/>
        </w:rPr>
        <w:t xml:space="preserve">mg </w:t>
      </w:r>
      <w:r w:rsidRPr="00357032">
        <w:rPr>
          <w:rFonts w:eastAsia="Times New Roman" w:cs="Arial"/>
          <w:color w:val="000000"/>
          <w:lang w:eastAsia="bg-BG"/>
        </w:rPr>
        <w:t xml:space="preserve">и 750 </w:t>
      </w:r>
      <w:r w:rsidRPr="00357032">
        <w:rPr>
          <w:rFonts w:eastAsia="Times New Roman" w:cs="Arial"/>
          <w:color w:val="000000"/>
          <w:lang w:val="en-US"/>
        </w:rPr>
        <w:t xml:space="preserve">mg </w:t>
      </w:r>
      <w:r w:rsidRPr="00357032">
        <w:rPr>
          <w:rFonts w:eastAsia="Times New Roman" w:cs="Arial"/>
          <w:color w:val="000000"/>
          <w:lang w:eastAsia="bg-BG"/>
        </w:rPr>
        <w:t>ципрофлоксацин таблетки, веществото се абсорбира бързо и екстензивно, основно през тънките черва като максимални серумни концентрации се достигат след 1 -2 часа.</w:t>
      </w:r>
    </w:p>
    <w:p w14:paraId="6482CCA0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 xml:space="preserve">Еднократни дози от 100-750 </w:t>
      </w:r>
      <w:r w:rsidRPr="00357032">
        <w:rPr>
          <w:rFonts w:eastAsia="Times New Roman" w:cs="Arial"/>
          <w:color w:val="000000"/>
          <w:lang w:val="en-US"/>
        </w:rPr>
        <w:t xml:space="preserve">mg </w:t>
      </w:r>
      <w:r w:rsidRPr="00357032">
        <w:rPr>
          <w:rFonts w:eastAsia="Times New Roman" w:cs="Arial"/>
          <w:color w:val="000000"/>
          <w:lang w:eastAsia="bg-BG"/>
        </w:rPr>
        <w:t>водят до дозо-зависими максимални серумни концентрации (С</w:t>
      </w:r>
      <w:r w:rsidRPr="00357032">
        <w:rPr>
          <w:rFonts w:eastAsia="Times New Roman" w:cs="Arial"/>
          <w:color w:val="000000"/>
          <w:vertAlign w:val="subscript"/>
          <w:lang w:val="en-US"/>
        </w:rPr>
        <w:t>max</w:t>
      </w:r>
      <w:r w:rsidRPr="00357032">
        <w:rPr>
          <w:rFonts w:eastAsia="Times New Roman" w:cs="Arial"/>
          <w:color w:val="000000"/>
          <w:lang w:eastAsia="bg-BG"/>
        </w:rPr>
        <w:t xml:space="preserve">) между 0.56 и 3.7 </w:t>
      </w:r>
      <w:r w:rsidRPr="00357032">
        <w:rPr>
          <w:rFonts w:eastAsia="Times New Roman" w:cs="Arial"/>
          <w:color w:val="000000"/>
          <w:lang w:val="en-US"/>
        </w:rPr>
        <w:t xml:space="preserve">mg/L. </w:t>
      </w:r>
      <w:r w:rsidRPr="00357032">
        <w:rPr>
          <w:rFonts w:eastAsia="Times New Roman" w:cs="Arial"/>
          <w:color w:val="000000"/>
          <w:lang w:eastAsia="bg-BG"/>
        </w:rPr>
        <w:t xml:space="preserve">Серумните концентрации се повишават, пропорционално, с повишаване на дозите до 1000 </w:t>
      </w:r>
      <w:r w:rsidRPr="00357032">
        <w:rPr>
          <w:rFonts w:eastAsia="Times New Roman" w:cs="Arial"/>
          <w:color w:val="000000"/>
          <w:lang w:val="en-US"/>
        </w:rPr>
        <w:t>mg.</w:t>
      </w:r>
    </w:p>
    <w:p w14:paraId="08F10300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>Абсолютната бионаличност е 70-80%.</w:t>
      </w:r>
    </w:p>
    <w:p w14:paraId="210CC78E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 xml:space="preserve">Доза от 500 </w:t>
      </w:r>
      <w:r w:rsidRPr="00357032">
        <w:rPr>
          <w:rFonts w:eastAsia="Times New Roman" w:cs="Arial"/>
          <w:color w:val="000000"/>
          <w:lang w:val="en-US"/>
        </w:rPr>
        <w:t xml:space="preserve">mg, </w:t>
      </w:r>
      <w:r w:rsidRPr="00357032">
        <w:rPr>
          <w:rFonts w:eastAsia="Times New Roman" w:cs="Arial"/>
          <w:color w:val="000000"/>
          <w:lang w:eastAsia="bg-BG"/>
        </w:rPr>
        <w:t xml:space="preserve">давана през устата на всеки 12 часа, води до постигане на площ под кривата серумна концентрация-време </w:t>
      </w:r>
      <w:r w:rsidRPr="00357032">
        <w:rPr>
          <w:rFonts w:eastAsia="Times New Roman" w:cs="Arial"/>
          <w:color w:val="000000"/>
          <w:lang w:val="en-US"/>
        </w:rPr>
        <w:t xml:space="preserve">(AUC), </w:t>
      </w:r>
      <w:r w:rsidRPr="00357032">
        <w:rPr>
          <w:rFonts w:eastAsia="Times New Roman" w:cs="Arial"/>
          <w:color w:val="000000"/>
          <w:lang w:eastAsia="bg-BG"/>
        </w:rPr>
        <w:t xml:space="preserve">еквивалентна с тази, постигана с вътревенозно вливане на 400 </w:t>
      </w:r>
      <w:r w:rsidRPr="00357032">
        <w:rPr>
          <w:rFonts w:eastAsia="Times New Roman" w:cs="Arial"/>
          <w:color w:val="000000"/>
          <w:lang w:val="en-US"/>
        </w:rPr>
        <w:t xml:space="preserve">mg </w:t>
      </w:r>
      <w:r w:rsidRPr="00357032">
        <w:rPr>
          <w:rFonts w:eastAsia="Times New Roman" w:cs="Arial"/>
          <w:color w:val="000000"/>
          <w:lang w:eastAsia="bg-BG"/>
        </w:rPr>
        <w:t>ципрофлоксацин за 60 мин. на всеки 12 часа.</w:t>
      </w:r>
    </w:p>
    <w:p w14:paraId="6470CD27" w14:textId="77777777" w:rsidR="00357032" w:rsidRPr="00357032" w:rsidRDefault="00357032" w:rsidP="0035703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250610A" w14:textId="746F1475" w:rsidR="00357032" w:rsidRPr="00357032" w:rsidRDefault="00357032" w:rsidP="00357032">
      <w:pPr>
        <w:pStyle w:val="Heading3"/>
        <w:rPr>
          <w:rFonts w:eastAsia="Times New Roman"/>
          <w:u w:val="single"/>
          <w:lang w:eastAsia="bg-BG"/>
        </w:rPr>
      </w:pPr>
      <w:r w:rsidRPr="00357032">
        <w:rPr>
          <w:rFonts w:eastAsia="Times New Roman"/>
          <w:u w:val="single"/>
          <w:lang w:eastAsia="bg-BG"/>
        </w:rPr>
        <w:t>Разпределение</w:t>
      </w:r>
    </w:p>
    <w:p w14:paraId="60A776ED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 xml:space="preserve">Свързването на ципрофлоксацин с белтъците е слабо (20-30%). Ципрофлоксацин се намира в плазмата предимно в нейонизирана форма и има голям обем на разпределение в равновесно състояние от 2-3 </w:t>
      </w:r>
      <w:r w:rsidRPr="00357032">
        <w:rPr>
          <w:rFonts w:eastAsia="Times New Roman" w:cs="Arial"/>
          <w:color w:val="000000"/>
          <w:lang w:val="en-US"/>
        </w:rPr>
        <w:t xml:space="preserve">L/kg </w:t>
      </w:r>
      <w:r w:rsidRPr="00357032">
        <w:rPr>
          <w:rFonts w:eastAsia="Times New Roman" w:cs="Arial"/>
          <w:color w:val="000000"/>
          <w:lang w:eastAsia="bg-BG"/>
        </w:rPr>
        <w:t xml:space="preserve">телесна маса. Ципрофлоксацин достига високи концентрации в редица тъкани като бял дроб (епителиална течност, алвеоларни макрофаги, биопсична тъкан), синуси, възпалителни огнища (течност от кожни мехури, причинени от </w:t>
      </w:r>
      <w:r w:rsidRPr="00357032">
        <w:rPr>
          <w:rFonts w:eastAsia="Times New Roman" w:cs="Arial"/>
          <w:i/>
          <w:iCs/>
          <w:color w:val="000000"/>
          <w:lang w:val="en-US"/>
        </w:rPr>
        <w:t>cantharides)</w:t>
      </w:r>
      <w:r w:rsidRPr="00357032">
        <w:rPr>
          <w:rFonts w:eastAsia="Times New Roman" w:cs="Arial"/>
          <w:color w:val="000000"/>
          <w:lang w:val="en-US"/>
        </w:rPr>
        <w:t xml:space="preserve"> </w:t>
      </w:r>
      <w:r w:rsidRPr="00357032">
        <w:rPr>
          <w:rFonts w:eastAsia="Times New Roman" w:cs="Arial"/>
          <w:color w:val="000000"/>
          <w:lang w:eastAsia="bg-BG"/>
        </w:rPr>
        <w:t>и урогениталните пътища (урина, простата, ендометриум), където общата концентрация превишава достигнатата плазмена концентрция.</w:t>
      </w:r>
    </w:p>
    <w:p w14:paraId="36339886" w14:textId="77777777" w:rsidR="00357032" w:rsidRPr="00357032" w:rsidRDefault="00357032" w:rsidP="0035703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38A4815" w14:textId="21E05542" w:rsidR="00357032" w:rsidRPr="00357032" w:rsidRDefault="00357032" w:rsidP="00357032">
      <w:pPr>
        <w:pStyle w:val="Heading3"/>
        <w:rPr>
          <w:rFonts w:eastAsia="Times New Roman"/>
          <w:u w:val="single"/>
          <w:lang w:eastAsia="bg-BG"/>
        </w:rPr>
      </w:pPr>
      <w:r w:rsidRPr="00357032">
        <w:rPr>
          <w:rFonts w:eastAsia="Times New Roman"/>
          <w:u w:val="single"/>
          <w:lang w:eastAsia="bg-BG"/>
        </w:rPr>
        <w:t>Метаболизъм</w:t>
      </w:r>
    </w:p>
    <w:p w14:paraId="3AFBF9EA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 xml:space="preserve">Съобщено е за наличие на четири метаболита в ниски концентрации, идентифицирани както следва: дезетиленципрофлоксацин </w:t>
      </w:r>
      <w:r w:rsidRPr="00357032">
        <w:rPr>
          <w:rFonts w:eastAsia="Times New Roman" w:cs="Arial"/>
          <w:color w:val="000000"/>
          <w:lang w:val="en-US"/>
        </w:rPr>
        <w:t xml:space="preserve">(Ml), </w:t>
      </w:r>
      <w:r w:rsidRPr="00357032">
        <w:rPr>
          <w:rFonts w:eastAsia="Times New Roman" w:cs="Arial"/>
          <w:color w:val="000000"/>
          <w:lang w:eastAsia="bg-BG"/>
        </w:rPr>
        <w:t xml:space="preserve">сулфоципрофлоксацин (M2), оксоципрофлоксацин (M3) и формилципрофлосацин (М4). Метаболитите притежават антимикробна активност </w:t>
      </w:r>
      <w:r w:rsidRPr="00357032">
        <w:rPr>
          <w:rFonts w:eastAsia="Times New Roman" w:cs="Arial"/>
          <w:i/>
          <w:iCs/>
          <w:color w:val="000000"/>
          <w:lang w:val="en-US"/>
        </w:rPr>
        <w:t>in vitro,</w:t>
      </w:r>
      <w:r w:rsidRPr="00357032">
        <w:rPr>
          <w:rFonts w:eastAsia="Times New Roman" w:cs="Arial"/>
          <w:color w:val="000000"/>
          <w:lang w:val="en-US"/>
        </w:rPr>
        <w:t xml:space="preserve"> </w:t>
      </w:r>
      <w:r w:rsidRPr="00357032">
        <w:rPr>
          <w:rFonts w:eastAsia="Times New Roman" w:cs="Arial"/>
          <w:color w:val="000000"/>
          <w:lang w:eastAsia="bg-BG"/>
        </w:rPr>
        <w:t>но в по-ниска степен от изходното съединение.</w:t>
      </w:r>
    </w:p>
    <w:p w14:paraId="6FAF46E5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 xml:space="preserve">Ципрофлоксацин е умерен инхибитор на </w:t>
      </w:r>
      <w:r w:rsidRPr="00357032">
        <w:rPr>
          <w:rFonts w:eastAsia="Times New Roman" w:cs="Arial"/>
          <w:color w:val="000000"/>
          <w:lang w:val="en-US"/>
        </w:rPr>
        <w:t xml:space="preserve">CYP </w:t>
      </w:r>
      <w:r w:rsidRPr="00357032">
        <w:rPr>
          <w:rFonts w:eastAsia="Times New Roman" w:cs="Arial"/>
          <w:color w:val="000000"/>
          <w:lang w:eastAsia="bg-BG"/>
        </w:rPr>
        <w:t>450 1А2 изоензими.</w:t>
      </w:r>
    </w:p>
    <w:p w14:paraId="6CC021DF" w14:textId="77777777" w:rsidR="00357032" w:rsidRPr="00357032" w:rsidRDefault="00357032" w:rsidP="0035703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23FA492" w14:textId="69152F30" w:rsidR="00357032" w:rsidRPr="00357032" w:rsidRDefault="00357032" w:rsidP="00357032">
      <w:pPr>
        <w:pStyle w:val="Heading3"/>
        <w:rPr>
          <w:rFonts w:eastAsia="Times New Roman"/>
          <w:u w:val="single"/>
          <w:lang w:eastAsia="bg-BG"/>
        </w:rPr>
      </w:pPr>
      <w:r w:rsidRPr="00357032">
        <w:rPr>
          <w:rFonts w:eastAsia="Times New Roman"/>
          <w:u w:val="single"/>
          <w:lang w:eastAsia="bg-BG"/>
        </w:rPr>
        <w:t>Елиминиране</w:t>
      </w:r>
    </w:p>
    <w:p w14:paraId="148BA3FC" w14:textId="4E9945BC" w:rsidR="0091385D" w:rsidRPr="00357032" w:rsidRDefault="00357032" w:rsidP="00357032">
      <w:pPr>
        <w:rPr>
          <w:rFonts w:cs="Arial"/>
        </w:rPr>
      </w:pPr>
      <w:r w:rsidRPr="00357032">
        <w:rPr>
          <w:rFonts w:eastAsia="Times New Roman" w:cs="Arial"/>
          <w:color w:val="000000"/>
          <w:lang w:eastAsia="bg-BG"/>
        </w:rPr>
        <w:t>Ципрофлоксацин се екскретира непроменен предимно чрез урината и в по-малка степен-  чрез фекалиите. Серумният полуживот на елиминиране при индивиди с нормална бъбречна функция обикновено е 4-7 часа.</w:t>
      </w:r>
    </w:p>
    <w:p w14:paraId="4EE1BB0B" w14:textId="7B4FA0F2" w:rsidR="0091385D" w:rsidRDefault="0091385D" w:rsidP="009138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57032" w14:paraId="7E5E01E1" w14:textId="77777777" w:rsidTr="00357032">
        <w:tc>
          <w:tcPr>
            <w:tcW w:w="9350" w:type="dxa"/>
            <w:gridSpan w:val="3"/>
          </w:tcPr>
          <w:p w14:paraId="0AA8875F" w14:textId="4CD573C9" w:rsidR="00357032" w:rsidRDefault="00357032" w:rsidP="0091385D">
            <w:r>
              <w:rPr>
                <w:u w:val="single"/>
              </w:rPr>
              <w:t xml:space="preserve">Екскреция на ципрофлоксацин </w:t>
            </w:r>
            <w:r>
              <w:rPr>
                <w:u w:val="single"/>
                <w:lang w:val="en-US"/>
              </w:rPr>
              <w:t xml:space="preserve">(% </w:t>
            </w:r>
            <w:r>
              <w:rPr>
                <w:u w:val="single"/>
              </w:rPr>
              <w:t>от дозата)</w:t>
            </w:r>
          </w:p>
        </w:tc>
      </w:tr>
      <w:tr w:rsidR="00357032" w14:paraId="6F871BD8" w14:textId="77777777" w:rsidTr="00357032">
        <w:tc>
          <w:tcPr>
            <w:tcW w:w="3116" w:type="dxa"/>
            <w:vMerge w:val="restart"/>
          </w:tcPr>
          <w:p w14:paraId="777B01AE" w14:textId="77777777" w:rsidR="00357032" w:rsidRDefault="00357032" w:rsidP="0091385D"/>
        </w:tc>
        <w:tc>
          <w:tcPr>
            <w:tcW w:w="6234" w:type="dxa"/>
            <w:gridSpan w:val="2"/>
          </w:tcPr>
          <w:p w14:paraId="24125D04" w14:textId="3648AAFF" w:rsidR="00357032" w:rsidRDefault="00357032" w:rsidP="0091385D">
            <w:r>
              <w:t>При прием през устата</w:t>
            </w:r>
          </w:p>
        </w:tc>
      </w:tr>
      <w:tr w:rsidR="00357032" w14:paraId="0618D80C" w14:textId="77777777" w:rsidTr="00357032">
        <w:tc>
          <w:tcPr>
            <w:tcW w:w="3116" w:type="dxa"/>
            <w:vMerge/>
          </w:tcPr>
          <w:p w14:paraId="2D4432EB" w14:textId="77777777" w:rsidR="00357032" w:rsidRDefault="00357032" w:rsidP="00357032"/>
        </w:tc>
        <w:tc>
          <w:tcPr>
            <w:tcW w:w="3117" w:type="dxa"/>
          </w:tcPr>
          <w:p w14:paraId="2C62282E" w14:textId="55924B08" w:rsidR="00357032" w:rsidRDefault="00357032" w:rsidP="00357032">
            <w:r>
              <w:t>Урина</w:t>
            </w:r>
          </w:p>
        </w:tc>
        <w:tc>
          <w:tcPr>
            <w:tcW w:w="3117" w:type="dxa"/>
          </w:tcPr>
          <w:p w14:paraId="4CAC3923" w14:textId="68555BDA" w:rsidR="00357032" w:rsidRDefault="00357032" w:rsidP="00357032">
            <w:r>
              <w:t>Фекалии</w:t>
            </w:r>
          </w:p>
        </w:tc>
      </w:tr>
      <w:tr w:rsidR="00357032" w14:paraId="7DFE2049" w14:textId="77777777" w:rsidTr="00357032">
        <w:tc>
          <w:tcPr>
            <w:tcW w:w="3116" w:type="dxa"/>
          </w:tcPr>
          <w:p w14:paraId="02250028" w14:textId="0168F1A8" w:rsidR="00357032" w:rsidRPr="00357032" w:rsidRDefault="00357032" w:rsidP="00357032">
            <w:r w:rsidRPr="00357032">
              <w:t>Ципрофлоксацин</w:t>
            </w:r>
          </w:p>
        </w:tc>
        <w:tc>
          <w:tcPr>
            <w:tcW w:w="3117" w:type="dxa"/>
          </w:tcPr>
          <w:p w14:paraId="6083B00F" w14:textId="2DB1B441" w:rsidR="00357032" w:rsidRDefault="00357032" w:rsidP="00357032">
            <w:r>
              <w:t>44.7</w:t>
            </w:r>
          </w:p>
        </w:tc>
        <w:tc>
          <w:tcPr>
            <w:tcW w:w="3117" w:type="dxa"/>
          </w:tcPr>
          <w:p w14:paraId="37060BC4" w14:textId="155CF756" w:rsidR="00357032" w:rsidRDefault="00357032" w:rsidP="00357032">
            <w:r>
              <w:t>25.0</w:t>
            </w:r>
          </w:p>
        </w:tc>
      </w:tr>
      <w:tr w:rsidR="00357032" w14:paraId="0D68369A" w14:textId="77777777" w:rsidTr="00357032">
        <w:tc>
          <w:tcPr>
            <w:tcW w:w="3116" w:type="dxa"/>
          </w:tcPr>
          <w:p w14:paraId="192998AB" w14:textId="320B7334" w:rsidR="00357032" w:rsidRPr="00357032" w:rsidRDefault="00357032" w:rsidP="00357032">
            <w:r w:rsidRPr="00357032">
              <w:t xml:space="preserve">Метаболити </w:t>
            </w:r>
            <w:r w:rsidRPr="00357032">
              <w:rPr>
                <w:lang w:val="en-US"/>
              </w:rPr>
              <w:t xml:space="preserve">(M1 </w:t>
            </w:r>
            <w:r w:rsidRPr="00357032">
              <w:t>-М4)</w:t>
            </w:r>
          </w:p>
        </w:tc>
        <w:tc>
          <w:tcPr>
            <w:tcW w:w="3117" w:type="dxa"/>
          </w:tcPr>
          <w:p w14:paraId="6BD28D3E" w14:textId="2A8949ED" w:rsidR="00357032" w:rsidRDefault="00357032" w:rsidP="00357032">
            <w:r>
              <w:t>11.3</w:t>
            </w:r>
          </w:p>
        </w:tc>
        <w:tc>
          <w:tcPr>
            <w:tcW w:w="3117" w:type="dxa"/>
          </w:tcPr>
          <w:p w14:paraId="07817B6A" w14:textId="6FE5DEF6" w:rsidR="00357032" w:rsidRDefault="00357032" w:rsidP="00357032">
            <w:r>
              <w:t>7.5</w:t>
            </w:r>
          </w:p>
        </w:tc>
      </w:tr>
    </w:tbl>
    <w:p w14:paraId="38DE556E" w14:textId="4A94FE6B" w:rsidR="00357032" w:rsidRDefault="00357032" w:rsidP="0091385D"/>
    <w:p w14:paraId="3832B66C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 xml:space="preserve">Бъбречният клирънс е между 180-300 </w:t>
      </w:r>
      <w:r w:rsidRPr="00357032">
        <w:rPr>
          <w:rFonts w:eastAsia="Times New Roman" w:cs="Arial"/>
          <w:color w:val="000000"/>
          <w:lang w:val="en-US"/>
        </w:rPr>
        <w:t xml:space="preserve">ml/kg/h, </w:t>
      </w:r>
      <w:r w:rsidRPr="00357032">
        <w:rPr>
          <w:rFonts w:eastAsia="Times New Roman" w:cs="Arial"/>
          <w:color w:val="000000"/>
          <w:lang w:eastAsia="bg-BG"/>
        </w:rPr>
        <w:t xml:space="preserve">а тоталният клирънс на организма е между 480-600 </w:t>
      </w:r>
      <w:r w:rsidRPr="00357032">
        <w:rPr>
          <w:rFonts w:eastAsia="Times New Roman" w:cs="Arial"/>
          <w:color w:val="000000"/>
          <w:lang w:val="en-US"/>
        </w:rPr>
        <w:t xml:space="preserve">ml/kg/h. </w:t>
      </w:r>
      <w:r w:rsidRPr="00357032">
        <w:rPr>
          <w:rFonts w:eastAsia="Times New Roman" w:cs="Arial"/>
          <w:color w:val="000000"/>
          <w:lang w:eastAsia="bg-BG"/>
        </w:rPr>
        <w:t>Ципрофлоксацин се подлага както на глумерулна филтрация, така и на тубулна секреция. Тежко увредената бъбречна функция води до удължен полуживот на ципрофлоксацин до 12 часа. Извънбъбречният клирънс на ципрофлоксацин е резултат на активна транс-интестинална секреция и метаболизъм. 1% от дозата се екскретира чрез жлъчните пътища. Ципрофлоксацин се открива в жлъчката във високи концентрации.</w:t>
      </w:r>
    </w:p>
    <w:p w14:paraId="35F40298" w14:textId="77777777" w:rsidR="00357032" w:rsidRPr="00357032" w:rsidRDefault="00357032" w:rsidP="00357032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C8D2248" w14:textId="210AC9FF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i/>
          <w:iCs/>
          <w:color w:val="000000"/>
          <w:u w:val="single"/>
          <w:lang w:eastAsia="bg-BG"/>
        </w:rPr>
        <w:lastRenderedPageBreak/>
        <w:t>Педиатрична популация</w:t>
      </w:r>
    </w:p>
    <w:p w14:paraId="1D68DDDA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>Фармакокинетичните данни при деца са ограничени.</w:t>
      </w:r>
    </w:p>
    <w:p w14:paraId="50F127E3" w14:textId="5B13C8CA" w:rsidR="00357032" w:rsidRPr="00357032" w:rsidRDefault="00357032" w:rsidP="00357032">
      <w:pPr>
        <w:rPr>
          <w:rFonts w:cs="Arial"/>
        </w:rPr>
      </w:pPr>
      <w:r w:rsidRPr="00357032">
        <w:rPr>
          <w:rFonts w:eastAsia="Times New Roman" w:cs="Arial"/>
          <w:color w:val="000000"/>
          <w:lang w:eastAsia="bg-BG"/>
        </w:rPr>
        <w:t xml:space="preserve">При изследване е установено, че Стах и площта под кривата </w:t>
      </w:r>
      <w:r w:rsidRPr="00357032">
        <w:rPr>
          <w:rFonts w:eastAsia="Times New Roman" w:cs="Arial"/>
          <w:color w:val="000000"/>
          <w:lang w:val="en-US"/>
        </w:rPr>
        <w:t xml:space="preserve">(AUC) </w:t>
      </w:r>
      <w:r w:rsidRPr="00357032">
        <w:rPr>
          <w:rFonts w:eastAsia="Times New Roman" w:cs="Arial"/>
          <w:color w:val="000000"/>
          <w:lang w:eastAsia="bg-BG"/>
        </w:rPr>
        <w:t xml:space="preserve">не зависят от възрастта (за деца над 1 -годишна възраст). Не е забелязано съществено повишение на Стах и </w:t>
      </w:r>
      <w:r w:rsidRPr="00357032">
        <w:rPr>
          <w:rFonts w:eastAsia="Times New Roman" w:cs="Arial"/>
          <w:color w:val="000000"/>
          <w:lang w:val="en-US"/>
        </w:rPr>
        <w:t xml:space="preserve">AUC </w:t>
      </w:r>
      <w:r w:rsidRPr="00357032">
        <w:rPr>
          <w:rFonts w:eastAsia="Times New Roman" w:cs="Arial"/>
          <w:color w:val="000000"/>
          <w:lang w:eastAsia="bg-BG"/>
        </w:rPr>
        <w:t xml:space="preserve">при многократен прием (10 </w:t>
      </w:r>
      <w:r w:rsidRPr="00357032">
        <w:rPr>
          <w:rFonts w:eastAsia="Times New Roman" w:cs="Arial"/>
          <w:color w:val="000000"/>
          <w:lang w:val="en-US"/>
        </w:rPr>
        <w:t xml:space="preserve">mg/kg </w:t>
      </w:r>
      <w:r w:rsidRPr="00357032">
        <w:rPr>
          <w:rFonts w:eastAsia="Times New Roman" w:cs="Arial"/>
          <w:color w:val="000000"/>
          <w:lang w:eastAsia="bg-BG"/>
        </w:rPr>
        <w:t xml:space="preserve">три пъти дневно). При 10 деца с тежък сепсис Стах е била 6.1 </w:t>
      </w:r>
      <w:r w:rsidRPr="00357032">
        <w:rPr>
          <w:rFonts w:eastAsia="Times New Roman" w:cs="Arial"/>
          <w:color w:val="000000"/>
          <w:lang w:val="en-US"/>
        </w:rPr>
        <w:t xml:space="preserve">mg/L </w:t>
      </w:r>
      <w:r w:rsidRPr="00357032">
        <w:rPr>
          <w:rFonts w:eastAsia="Times New Roman" w:cs="Arial"/>
          <w:color w:val="000000"/>
          <w:lang w:eastAsia="bg-BG"/>
        </w:rPr>
        <w:t xml:space="preserve">(диапазон 4.6-8.3 </w:t>
      </w:r>
      <w:r w:rsidRPr="00357032">
        <w:rPr>
          <w:rFonts w:eastAsia="Times New Roman" w:cs="Arial"/>
          <w:color w:val="000000"/>
          <w:lang w:val="en-US"/>
        </w:rPr>
        <w:t xml:space="preserve">mg/L) </w:t>
      </w:r>
      <w:r w:rsidRPr="00357032">
        <w:rPr>
          <w:rFonts w:eastAsia="Times New Roman" w:cs="Arial"/>
          <w:color w:val="000000"/>
          <w:lang w:eastAsia="bg-BG"/>
        </w:rPr>
        <w:t xml:space="preserve">след едночасово вътревенозно вливане на 10 </w:t>
      </w:r>
      <w:r w:rsidRPr="00357032">
        <w:rPr>
          <w:rFonts w:eastAsia="Times New Roman" w:cs="Arial"/>
          <w:color w:val="000000"/>
          <w:lang w:val="en-US"/>
        </w:rPr>
        <w:t xml:space="preserve">mg/kg </w:t>
      </w:r>
      <w:r w:rsidRPr="00357032">
        <w:rPr>
          <w:rFonts w:eastAsia="Times New Roman" w:cs="Arial"/>
          <w:color w:val="000000"/>
          <w:lang w:eastAsia="bg-BG"/>
        </w:rPr>
        <w:t xml:space="preserve">при децата под една година и 7.2 </w:t>
      </w:r>
      <w:r w:rsidRPr="00357032">
        <w:rPr>
          <w:rFonts w:eastAsia="Times New Roman" w:cs="Arial"/>
          <w:color w:val="000000"/>
          <w:lang w:val="en-US"/>
        </w:rPr>
        <w:t xml:space="preserve">mg/L </w:t>
      </w:r>
      <w:r w:rsidRPr="00357032">
        <w:rPr>
          <w:rFonts w:eastAsia="Times New Roman" w:cs="Arial"/>
          <w:color w:val="000000"/>
          <w:lang w:eastAsia="bg-BG"/>
        </w:rPr>
        <w:t xml:space="preserve">(диапазон 4.7-11.8 </w:t>
      </w:r>
      <w:r w:rsidRPr="00357032">
        <w:rPr>
          <w:rFonts w:eastAsia="Times New Roman" w:cs="Arial"/>
          <w:color w:val="000000"/>
          <w:lang w:val="en-US"/>
        </w:rPr>
        <w:t xml:space="preserve">mg/L) </w:t>
      </w:r>
      <w:r w:rsidRPr="00357032">
        <w:rPr>
          <w:rFonts w:eastAsia="Times New Roman" w:cs="Arial"/>
          <w:color w:val="000000"/>
          <w:lang w:eastAsia="bg-BG"/>
        </w:rPr>
        <w:t xml:space="preserve">при децата между 1 и 5 години. Площта под кривата </w:t>
      </w:r>
      <w:r w:rsidRPr="00357032">
        <w:rPr>
          <w:rFonts w:eastAsia="Times New Roman" w:cs="Arial"/>
          <w:color w:val="000000"/>
          <w:lang w:val="en-US"/>
        </w:rPr>
        <w:t xml:space="preserve">(AUC) </w:t>
      </w:r>
      <w:r w:rsidRPr="00357032">
        <w:rPr>
          <w:rFonts w:eastAsia="Times New Roman" w:cs="Arial"/>
          <w:color w:val="000000"/>
          <w:lang w:eastAsia="bg-BG"/>
        </w:rPr>
        <w:t xml:space="preserve">за съответните възрастови групи е 17.4 </w:t>
      </w:r>
      <w:r w:rsidRPr="00357032">
        <w:rPr>
          <w:rFonts w:eastAsia="Times New Roman" w:cs="Arial"/>
          <w:color w:val="000000"/>
          <w:lang w:val="en-US"/>
        </w:rPr>
        <w:t xml:space="preserve">mg*h/L </w:t>
      </w:r>
      <w:r w:rsidRPr="00357032">
        <w:rPr>
          <w:rFonts w:eastAsia="Times New Roman" w:cs="Arial"/>
          <w:color w:val="000000"/>
          <w:lang w:eastAsia="bg-BG"/>
        </w:rPr>
        <w:t xml:space="preserve">(диапазон 11.8-32.0 </w:t>
      </w:r>
      <w:r w:rsidRPr="00357032">
        <w:rPr>
          <w:rFonts w:eastAsia="Times New Roman" w:cs="Arial"/>
          <w:color w:val="000000"/>
          <w:lang w:val="en-US"/>
        </w:rPr>
        <w:t xml:space="preserve">mg*h/L) </w:t>
      </w:r>
      <w:r w:rsidRPr="00357032">
        <w:rPr>
          <w:rFonts w:eastAsia="Times New Roman" w:cs="Arial"/>
          <w:color w:val="000000"/>
          <w:lang w:eastAsia="bg-BG"/>
        </w:rPr>
        <w:t xml:space="preserve">и 16.5 </w:t>
      </w:r>
      <w:r w:rsidRPr="00357032">
        <w:rPr>
          <w:rFonts w:eastAsia="Times New Roman" w:cs="Arial"/>
          <w:color w:val="000000"/>
          <w:lang w:val="en-US"/>
        </w:rPr>
        <w:t xml:space="preserve">mg*h/L </w:t>
      </w:r>
      <w:r w:rsidRPr="00357032">
        <w:rPr>
          <w:rFonts w:eastAsia="Times New Roman" w:cs="Arial"/>
          <w:color w:val="000000"/>
          <w:lang w:eastAsia="bg-BG"/>
        </w:rPr>
        <w:t xml:space="preserve">(диапазон 11.0-23.8 </w:t>
      </w:r>
      <w:r w:rsidRPr="00357032">
        <w:rPr>
          <w:rFonts w:eastAsia="Times New Roman" w:cs="Arial"/>
          <w:color w:val="000000"/>
          <w:lang w:val="en-US"/>
        </w:rPr>
        <w:t xml:space="preserve">mg*h/L). </w:t>
      </w:r>
      <w:r w:rsidRPr="00357032">
        <w:rPr>
          <w:rFonts w:eastAsia="Times New Roman" w:cs="Arial"/>
          <w:color w:val="000000"/>
          <w:lang w:eastAsia="bg-BG"/>
        </w:rPr>
        <w:t>Тези стойности се вместват в диапазона, съобщен за възрастни при терапевтични дози. Въз основа на популационен фармакокинетичен анализ на пациентите в детска възраст с различни инфекции предполагаемият среден полуживот при деца е приблизително 4-5 часа, като бионаличността на пероралната суспензия варира между 50 и 80%.</w:t>
      </w:r>
    </w:p>
    <w:p w14:paraId="533B4333" w14:textId="77777777" w:rsidR="00357032" w:rsidRPr="0091385D" w:rsidRDefault="00357032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31455D09" w14:textId="4D0EFBF5" w:rsidR="0091385D" w:rsidRDefault="0091385D" w:rsidP="0091385D"/>
    <w:p w14:paraId="7980BC8F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>Неклиничните данни не показват особен риск за хора на база на конвенционалните фармакологични проучвания за безопасност, токсичност при многократно прилагане, генотоксичност, канцерогенен потенциал, репродуктивна токсичност и токсичност за развитието.</w:t>
      </w:r>
    </w:p>
    <w:p w14:paraId="5ACEB2BB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 xml:space="preserve">Както редица други хинолони, ципрофлоксацин е фототоксичен за животни при клинично релевантни експозиционни нива. Данните от фотомутагенностга/фотоканцерогенността показват слаб фотомутагенен или фототуморогенен ефект на ципрофлоксацин </w:t>
      </w:r>
      <w:r w:rsidRPr="00357032">
        <w:rPr>
          <w:rFonts w:eastAsia="Times New Roman" w:cs="Arial"/>
          <w:i/>
          <w:iCs/>
          <w:color w:val="000000"/>
          <w:lang w:val="en-US"/>
        </w:rPr>
        <w:t>in vitro</w:t>
      </w:r>
      <w:r w:rsidRPr="00357032">
        <w:rPr>
          <w:rFonts w:eastAsia="Times New Roman" w:cs="Arial"/>
          <w:color w:val="000000"/>
          <w:lang w:val="en-US"/>
        </w:rPr>
        <w:t xml:space="preserve"> </w:t>
      </w:r>
      <w:r w:rsidRPr="00357032">
        <w:rPr>
          <w:rFonts w:eastAsia="Times New Roman" w:cs="Arial"/>
          <w:color w:val="000000"/>
          <w:lang w:eastAsia="bg-BG"/>
        </w:rPr>
        <w:t>и при животни. Този ефект е сравним с ефекта на други инхибитори на гиразата.</w:t>
      </w:r>
    </w:p>
    <w:p w14:paraId="46ABA8A5" w14:textId="77777777" w:rsidR="00357032" w:rsidRPr="00357032" w:rsidRDefault="00357032" w:rsidP="0035703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>Ставна поносимост:</w:t>
      </w:r>
    </w:p>
    <w:p w14:paraId="52E4D01A" w14:textId="42718D52" w:rsidR="0091385D" w:rsidRPr="00357032" w:rsidRDefault="00357032" w:rsidP="00357032">
      <w:pPr>
        <w:rPr>
          <w:rFonts w:cs="Arial"/>
        </w:rPr>
      </w:pPr>
      <w:r w:rsidRPr="00357032">
        <w:rPr>
          <w:rFonts w:eastAsia="Times New Roman" w:cs="Arial"/>
          <w:color w:val="000000"/>
          <w:lang w:eastAsia="bg-BG"/>
        </w:rPr>
        <w:t>Както е съобщавано за други инхибитори на гиразата, ципрофлоксацин уврежда големите носещи стави при млади животни. Степента на увреда на хрущяла зависи от възрастта, вида и дозата. У вредата може да се редуцира чрез намаляване на тежестта, носена от ставата. Изследванията на зрели животни (плъхове, кучета) не разкриват хрущялни лезии. При изследвания върху кучета ципрофлоксацин е предизвикал тежки ставни промени при терапевтични дози в двуседмичен лечебен курс, които не са отзвучали и след 5 месеца.</w:t>
      </w:r>
    </w:p>
    <w:p w14:paraId="20E967BE" w14:textId="77777777" w:rsidR="0091385D" w:rsidRPr="0091385D" w:rsidRDefault="0091385D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3382E6AC" w:rsidR="0091385D" w:rsidRDefault="0091385D" w:rsidP="0091385D"/>
    <w:p w14:paraId="193BBD8B" w14:textId="77777777" w:rsidR="00357032" w:rsidRPr="00357032" w:rsidRDefault="00357032" w:rsidP="00357032">
      <w:pPr>
        <w:spacing w:line="240" w:lineRule="auto"/>
        <w:rPr>
          <w:rFonts w:eastAsia="Times New Roman" w:cs="Arial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>’’Алкалоид" ЕООД</w:t>
      </w:r>
    </w:p>
    <w:p w14:paraId="23E33326" w14:textId="77777777" w:rsidR="00357032" w:rsidRPr="00357032" w:rsidRDefault="00357032" w:rsidP="00357032">
      <w:pPr>
        <w:spacing w:line="240" w:lineRule="auto"/>
        <w:rPr>
          <w:rFonts w:eastAsia="Times New Roman" w:cs="Arial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>ж.к. "Мотописта" 2,</w:t>
      </w:r>
    </w:p>
    <w:p w14:paraId="5E2DEE60" w14:textId="77777777" w:rsidR="00357032" w:rsidRPr="00357032" w:rsidRDefault="00357032" w:rsidP="00357032">
      <w:pPr>
        <w:spacing w:line="240" w:lineRule="auto"/>
        <w:rPr>
          <w:rFonts w:eastAsia="Times New Roman" w:cs="Arial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>ул.’’Рикардо Вакарини" № 2, ет.3, ап.10</w:t>
      </w:r>
    </w:p>
    <w:p w14:paraId="231ED436" w14:textId="77777777" w:rsidR="00357032" w:rsidRPr="00357032" w:rsidRDefault="00357032" w:rsidP="00357032">
      <w:pPr>
        <w:spacing w:line="240" w:lineRule="auto"/>
        <w:rPr>
          <w:rFonts w:eastAsia="Times New Roman" w:cs="Arial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>гр.София 1404, Р. България</w:t>
      </w:r>
    </w:p>
    <w:p w14:paraId="70BFCE57" w14:textId="77777777" w:rsidR="00357032" w:rsidRPr="00357032" w:rsidRDefault="00357032" w:rsidP="00357032">
      <w:pPr>
        <w:spacing w:line="240" w:lineRule="auto"/>
        <w:rPr>
          <w:rFonts w:eastAsia="Times New Roman" w:cs="Arial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>тел. +359 2 80 81 081</w:t>
      </w:r>
    </w:p>
    <w:p w14:paraId="095BDEB0" w14:textId="77777777" w:rsidR="00357032" w:rsidRPr="00357032" w:rsidRDefault="00357032" w:rsidP="00357032">
      <w:pPr>
        <w:spacing w:line="240" w:lineRule="auto"/>
        <w:rPr>
          <w:rFonts w:eastAsia="Times New Roman" w:cs="Arial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>факс: +359 2 95 89 367</w:t>
      </w:r>
    </w:p>
    <w:p w14:paraId="3FD825DB" w14:textId="247ABBD0" w:rsidR="0091385D" w:rsidRPr="00357032" w:rsidRDefault="00357032" w:rsidP="00357032">
      <w:pPr>
        <w:rPr>
          <w:rFonts w:cs="Arial"/>
        </w:rPr>
      </w:pPr>
      <w:proofErr w:type="gramStart"/>
      <w:r w:rsidRPr="00357032">
        <w:rPr>
          <w:rFonts w:eastAsia="Times New Roman" w:cs="Arial"/>
          <w:color w:val="000000"/>
          <w:lang w:val="en-US"/>
        </w:rPr>
        <w:t>e-mail</w:t>
      </w:r>
      <w:proofErr w:type="gramEnd"/>
      <w:r w:rsidRPr="00357032">
        <w:rPr>
          <w:rFonts w:eastAsia="Times New Roman" w:cs="Arial"/>
          <w:color w:val="000000"/>
          <w:lang w:val="en-US"/>
        </w:rPr>
        <w:t xml:space="preserve">: </w:t>
      </w:r>
      <w:hyperlink r:id="rId6" w:history="1">
        <w:r w:rsidRPr="00357032">
          <w:rPr>
            <w:rFonts w:eastAsia="Times New Roman" w:cs="Arial"/>
            <w:color w:val="000000"/>
            <w:lang w:val="en-US"/>
          </w:rPr>
          <w:t>office@alkaloid.bg</w:t>
        </w:r>
      </w:hyperlink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54CA436A" w:rsidR="0091385D" w:rsidRDefault="0091385D" w:rsidP="0091385D"/>
    <w:p w14:paraId="75B898A9" w14:textId="77777777" w:rsidR="00357032" w:rsidRPr="00357032" w:rsidRDefault="00357032" w:rsidP="00357032">
      <w:pPr>
        <w:spacing w:line="240" w:lineRule="auto"/>
        <w:rPr>
          <w:rFonts w:eastAsia="Times New Roman" w:cs="Arial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 xml:space="preserve">ЦИТЕРАЛ 250 </w:t>
      </w:r>
      <w:r w:rsidRPr="00357032">
        <w:rPr>
          <w:rFonts w:eastAsia="Times New Roman" w:cs="Arial"/>
          <w:color w:val="000000"/>
          <w:lang w:val="en-US"/>
        </w:rPr>
        <w:t xml:space="preserve">mg </w:t>
      </w:r>
      <w:r w:rsidRPr="00357032">
        <w:rPr>
          <w:rFonts w:eastAsia="Times New Roman" w:cs="Arial"/>
          <w:color w:val="000000"/>
          <w:lang w:eastAsia="bg-BG"/>
        </w:rPr>
        <w:t>филмирани таблетки - № 2000085/12.05.2011</w:t>
      </w:r>
    </w:p>
    <w:p w14:paraId="6E892CE5" w14:textId="45C57040" w:rsidR="0091385D" w:rsidRPr="00357032" w:rsidRDefault="00357032" w:rsidP="00357032">
      <w:pPr>
        <w:rPr>
          <w:rFonts w:cs="Arial"/>
        </w:rPr>
      </w:pPr>
      <w:r w:rsidRPr="00357032">
        <w:rPr>
          <w:rFonts w:eastAsia="Times New Roman" w:cs="Arial"/>
          <w:color w:val="000000"/>
          <w:lang w:eastAsia="bg-BG"/>
        </w:rPr>
        <w:lastRenderedPageBreak/>
        <w:t xml:space="preserve">ЦИТЕРАЛ 500 </w:t>
      </w:r>
      <w:r w:rsidRPr="00357032">
        <w:rPr>
          <w:rFonts w:eastAsia="Times New Roman" w:cs="Arial"/>
          <w:color w:val="000000"/>
          <w:lang w:val="en-US"/>
        </w:rPr>
        <w:t xml:space="preserve">mg </w:t>
      </w:r>
      <w:r w:rsidRPr="00357032">
        <w:rPr>
          <w:rFonts w:eastAsia="Times New Roman" w:cs="Arial"/>
          <w:color w:val="000000"/>
          <w:lang w:eastAsia="bg-BG"/>
        </w:rPr>
        <w:t>филмирани таблетки - № 20000086/12.05.2011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0F79A9B4" w:rsidR="0091385D" w:rsidRDefault="0091385D" w:rsidP="0091385D"/>
    <w:p w14:paraId="2FF9DFB3" w14:textId="77777777" w:rsidR="00357032" w:rsidRPr="00357032" w:rsidRDefault="00357032" w:rsidP="00357032">
      <w:pPr>
        <w:spacing w:line="240" w:lineRule="auto"/>
        <w:rPr>
          <w:rFonts w:eastAsia="Times New Roman" w:cs="Arial"/>
          <w:lang w:eastAsia="bg-BG"/>
        </w:rPr>
      </w:pPr>
      <w:r w:rsidRPr="00357032">
        <w:rPr>
          <w:rFonts w:eastAsia="Times New Roman" w:cs="Arial"/>
          <w:color w:val="000000"/>
          <w:lang w:eastAsia="bg-BG"/>
        </w:rPr>
        <w:t>Дата на първо разрешаване: 04.02.2000 г.</w:t>
      </w:r>
    </w:p>
    <w:p w14:paraId="497007FA" w14:textId="200792CC" w:rsidR="0091385D" w:rsidRPr="00357032" w:rsidRDefault="00357032" w:rsidP="00357032">
      <w:pPr>
        <w:rPr>
          <w:rFonts w:cs="Arial"/>
        </w:rPr>
      </w:pPr>
      <w:r w:rsidRPr="00357032">
        <w:rPr>
          <w:rFonts w:eastAsia="Times New Roman" w:cs="Arial"/>
          <w:color w:val="000000"/>
          <w:lang w:eastAsia="bg-BG"/>
        </w:rPr>
        <w:t>Дата на последно подновяване: 12.05.2011 г.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34E0D3BB" w:rsidR="0091385D" w:rsidRDefault="0091385D" w:rsidP="0091385D"/>
    <w:p w14:paraId="30276F52" w14:textId="1102D8EC" w:rsidR="0091385D" w:rsidRPr="00357032" w:rsidRDefault="00357032" w:rsidP="0091385D">
      <w:pPr>
        <w:rPr>
          <w:rFonts w:cs="Arial"/>
        </w:rPr>
      </w:pPr>
      <w:r w:rsidRPr="00357032">
        <w:rPr>
          <w:rFonts w:cs="Arial"/>
        </w:rPr>
        <w:t>09/2014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67642"/>
    <w:multiLevelType w:val="hybridMultilevel"/>
    <w:tmpl w:val="4D54E4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D4D62"/>
    <w:multiLevelType w:val="hybridMultilevel"/>
    <w:tmpl w:val="F4143FE0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7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6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31"/>
  </w:num>
  <w:num w:numId="12">
    <w:abstractNumId w:val="14"/>
  </w:num>
  <w:num w:numId="13">
    <w:abstractNumId w:val="19"/>
  </w:num>
  <w:num w:numId="14">
    <w:abstractNumId w:val="11"/>
  </w:num>
  <w:num w:numId="15">
    <w:abstractNumId w:val="30"/>
  </w:num>
  <w:num w:numId="16">
    <w:abstractNumId w:val="9"/>
  </w:num>
  <w:num w:numId="17">
    <w:abstractNumId w:val="24"/>
  </w:num>
  <w:num w:numId="18">
    <w:abstractNumId w:val="7"/>
  </w:num>
  <w:num w:numId="19">
    <w:abstractNumId w:val="26"/>
  </w:num>
  <w:num w:numId="20">
    <w:abstractNumId w:val="23"/>
  </w:num>
  <w:num w:numId="21">
    <w:abstractNumId w:val="17"/>
  </w:num>
  <w:num w:numId="22">
    <w:abstractNumId w:val="25"/>
  </w:num>
  <w:num w:numId="23">
    <w:abstractNumId w:val="18"/>
  </w:num>
  <w:num w:numId="24">
    <w:abstractNumId w:val="8"/>
  </w:num>
  <w:num w:numId="25">
    <w:abstractNumId w:val="22"/>
  </w:num>
  <w:num w:numId="26">
    <w:abstractNumId w:val="21"/>
  </w:num>
  <w:num w:numId="27">
    <w:abstractNumId w:val="32"/>
  </w:num>
  <w:num w:numId="28">
    <w:abstractNumId w:val="6"/>
  </w:num>
  <w:num w:numId="29">
    <w:abstractNumId w:val="20"/>
  </w:num>
  <w:num w:numId="30">
    <w:abstractNumId w:val="35"/>
  </w:num>
  <w:num w:numId="31">
    <w:abstractNumId w:val="5"/>
  </w:num>
  <w:num w:numId="32">
    <w:abstractNumId w:val="34"/>
  </w:num>
  <w:num w:numId="33">
    <w:abstractNumId w:val="29"/>
  </w:num>
  <w:num w:numId="34">
    <w:abstractNumId w:val="33"/>
  </w:num>
  <w:num w:numId="35">
    <w:abstractNumId w:val="1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57032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773E4"/>
    <w:rsid w:val="009B171C"/>
    <w:rsid w:val="009D4901"/>
    <w:rsid w:val="009F1313"/>
    <w:rsid w:val="00A20351"/>
    <w:rsid w:val="00A228D9"/>
    <w:rsid w:val="00A65A81"/>
    <w:rsid w:val="00A73575"/>
    <w:rsid w:val="00AA23EC"/>
    <w:rsid w:val="00AC63CE"/>
    <w:rsid w:val="00AE2107"/>
    <w:rsid w:val="00B275A8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36C52"/>
    <w:rsid w:val="00D86297"/>
    <w:rsid w:val="00DD466D"/>
    <w:rsid w:val="00E458CB"/>
    <w:rsid w:val="00EB6364"/>
    <w:rsid w:val="00F11C93"/>
    <w:rsid w:val="00F37B64"/>
    <w:rsid w:val="00F53176"/>
    <w:rsid w:val="00F918A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lkaloid.bg" TargetMode="Externa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6284</Words>
  <Characters>35821</Characters>
  <Application>Microsoft Office Word</Application>
  <DocSecurity>0</DocSecurity>
  <Lines>298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2022-11-13T15:03:00Z</dcterms:created>
  <dcterms:modified xsi:type="dcterms:W3CDTF">2022-11-13T15:03:00Z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