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0A9EBC20" w14:textId="08AD1D6C" w:rsidR="009F77A4" w:rsidRDefault="00DD466D" w:rsidP="00387A66">
      <w:pPr>
        <w:pStyle w:val="Heading1"/>
      </w:pPr>
      <w:r>
        <w:t>1.ИМЕ НА ЛЕКАРСТВЕНИЯ ПРОДУКТ</w:t>
      </w:r>
    </w:p>
    <w:p w14:paraId="744E6C88" w14:textId="7FA6955D" w:rsidR="00D9047A" w:rsidRDefault="00D9047A" w:rsidP="00D9047A"/>
    <w:p w14:paraId="5D8A319C" w14:textId="77777777" w:rsidR="00D9047A" w:rsidRPr="00D9047A" w:rsidRDefault="00D9047A" w:rsidP="00D9047A">
      <w:pPr>
        <w:rPr>
          <w:sz w:val="24"/>
          <w:szCs w:val="24"/>
          <w:lang w:val="en-US" w:eastAsia="bg-BG"/>
        </w:rPr>
      </w:pPr>
      <w:r w:rsidRPr="00D9047A">
        <w:rPr>
          <w:lang w:eastAsia="bg-BG"/>
        </w:rPr>
        <w:t xml:space="preserve">Клиндамицин Каби 150 </w:t>
      </w:r>
      <w:r w:rsidRPr="00D9047A">
        <w:rPr>
          <w:lang w:val="en-US"/>
        </w:rPr>
        <w:t xml:space="preserve">mg/ml </w:t>
      </w:r>
      <w:r w:rsidRPr="00D9047A">
        <w:rPr>
          <w:lang w:eastAsia="bg-BG"/>
        </w:rPr>
        <w:t xml:space="preserve">инжекционен разтвор/концентрат за инфузионен разтвор </w:t>
      </w:r>
      <w:r w:rsidRPr="00D9047A">
        <w:rPr>
          <w:lang w:val="en-US"/>
        </w:rPr>
        <w:t xml:space="preserve">Clindamycin </w:t>
      </w:r>
      <w:proofErr w:type="spellStart"/>
      <w:r w:rsidRPr="00D9047A">
        <w:rPr>
          <w:lang w:val="en-US"/>
        </w:rPr>
        <w:t>Kabi</w:t>
      </w:r>
      <w:proofErr w:type="spellEnd"/>
      <w:r w:rsidRPr="00D9047A">
        <w:rPr>
          <w:lang w:val="en-US"/>
        </w:rPr>
        <w:t xml:space="preserve"> </w:t>
      </w:r>
      <w:r w:rsidRPr="00D9047A">
        <w:rPr>
          <w:lang w:eastAsia="bg-BG"/>
        </w:rPr>
        <w:t xml:space="preserve">150 </w:t>
      </w:r>
      <w:r w:rsidRPr="00D9047A">
        <w:rPr>
          <w:lang w:val="en-US"/>
        </w:rPr>
        <w:t>mg/ml solution for injection/concentrate for solution for infusion</w:t>
      </w:r>
    </w:p>
    <w:p w14:paraId="34BD09A5" w14:textId="77777777" w:rsidR="00D9047A" w:rsidRPr="00D9047A" w:rsidRDefault="00D9047A" w:rsidP="00D9047A"/>
    <w:p w14:paraId="0DF202EC" w14:textId="0801D6E6" w:rsidR="00F53FB7" w:rsidRDefault="00DD466D" w:rsidP="00A93499">
      <w:pPr>
        <w:pStyle w:val="Heading1"/>
      </w:pPr>
      <w:r>
        <w:t>2. КАЧЕСТВЕН И КОЛИЧЕСТВЕН СЪСТАВ</w:t>
      </w:r>
    </w:p>
    <w:p w14:paraId="499DEA3B" w14:textId="4A2FA782" w:rsidR="00D9047A" w:rsidRDefault="00D9047A" w:rsidP="00D9047A"/>
    <w:p w14:paraId="043D3F35" w14:textId="77777777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 xml:space="preserve">Всеки </w:t>
      </w:r>
      <w:r w:rsidRPr="00D9047A">
        <w:rPr>
          <w:rFonts w:eastAsia="Times New Roman" w:cs="Arial"/>
          <w:color w:val="000000"/>
          <w:lang w:val="en-US"/>
        </w:rPr>
        <w:t xml:space="preserve">ml </w:t>
      </w:r>
      <w:r w:rsidRPr="00D9047A">
        <w:rPr>
          <w:rFonts w:eastAsia="Times New Roman" w:cs="Arial"/>
          <w:color w:val="000000"/>
          <w:lang w:eastAsia="bg-BG"/>
        </w:rPr>
        <w:t xml:space="preserve">от инжекционния разтвор/концентрат за инфузионен разтвор съдържа 150 </w:t>
      </w:r>
      <w:r w:rsidRPr="00D9047A">
        <w:rPr>
          <w:rFonts w:eastAsia="Times New Roman" w:cs="Arial"/>
          <w:color w:val="000000"/>
          <w:lang w:val="en-US"/>
        </w:rPr>
        <w:t xml:space="preserve">mg </w:t>
      </w:r>
      <w:r w:rsidRPr="00D9047A">
        <w:rPr>
          <w:rFonts w:eastAsia="Times New Roman" w:cs="Arial"/>
          <w:color w:val="000000"/>
          <w:lang w:eastAsia="bg-BG"/>
        </w:rPr>
        <w:t>клиндамицин (</w:t>
      </w:r>
      <w:r w:rsidRPr="00D9047A">
        <w:rPr>
          <w:rFonts w:eastAsia="Times New Roman" w:cs="Arial"/>
          <w:i/>
          <w:iCs/>
          <w:color w:val="000000"/>
          <w:lang w:val="en-US"/>
        </w:rPr>
        <w:t>clindamycin)</w:t>
      </w:r>
      <w:r w:rsidRPr="00D9047A">
        <w:rPr>
          <w:rFonts w:eastAsia="Times New Roman" w:cs="Arial"/>
          <w:color w:val="000000"/>
          <w:lang w:val="en-US"/>
        </w:rPr>
        <w:t xml:space="preserve"> </w:t>
      </w:r>
      <w:r w:rsidRPr="00D9047A">
        <w:rPr>
          <w:rFonts w:eastAsia="Times New Roman" w:cs="Arial"/>
          <w:color w:val="000000"/>
          <w:lang w:eastAsia="bg-BG"/>
        </w:rPr>
        <w:t>(като фосфат).</w:t>
      </w:r>
    </w:p>
    <w:p w14:paraId="51FF2E93" w14:textId="77777777" w:rsidR="00D9047A" w:rsidRPr="00D9047A" w:rsidRDefault="00D9047A" w:rsidP="00D9047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CAE8628" w14:textId="4CB83612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 xml:space="preserve">Всяка ампула от 2 </w:t>
      </w:r>
      <w:r w:rsidRPr="00D9047A">
        <w:rPr>
          <w:rFonts w:eastAsia="Times New Roman" w:cs="Arial"/>
          <w:color w:val="000000"/>
          <w:lang w:val="en-US"/>
        </w:rPr>
        <w:t xml:space="preserve">ml </w:t>
      </w:r>
      <w:r w:rsidRPr="00D9047A">
        <w:rPr>
          <w:rFonts w:eastAsia="Times New Roman" w:cs="Arial"/>
          <w:color w:val="000000"/>
          <w:lang w:eastAsia="bg-BG"/>
        </w:rPr>
        <w:t xml:space="preserve">съдържа 300 </w:t>
      </w:r>
      <w:r w:rsidRPr="00D9047A">
        <w:rPr>
          <w:rFonts w:eastAsia="Times New Roman" w:cs="Arial"/>
          <w:color w:val="000000"/>
          <w:lang w:val="en-US"/>
        </w:rPr>
        <w:t xml:space="preserve">mg </w:t>
      </w:r>
      <w:r w:rsidRPr="00D9047A">
        <w:rPr>
          <w:rFonts w:eastAsia="Times New Roman" w:cs="Arial"/>
          <w:color w:val="000000"/>
          <w:lang w:eastAsia="bg-BG"/>
        </w:rPr>
        <w:t>клиндамицин (</w:t>
      </w:r>
      <w:r w:rsidRPr="00D9047A">
        <w:rPr>
          <w:rFonts w:eastAsia="Times New Roman" w:cs="Arial"/>
          <w:color w:val="000000"/>
          <w:lang w:val="en-US"/>
        </w:rPr>
        <w:t>c</w:t>
      </w:r>
      <w:r w:rsidRPr="00D9047A">
        <w:rPr>
          <w:rFonts w:eastAsia="Times New Roman" w:cs="Arial"/>
          <w:i/>
          <w:iCs/>
          <w:color w:val="000000"/>
          <w:lang w:val="en-US"/>
        </w:rPr>
        <w:t>lindamycin).</w:t>
      </w:r>
    </w:p>
    <w:p w14:paraId="0E5D8553" w14:textId="77777777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 xml:space="preserve">Всяка ампула от 4 </w:t>
      </w:r>
      <w:r w:rsidRPr="00D9047A">
        <w:rPr>
          <w:rFonts w:eastAsia="Times New Roman" w:cs="Arial"/>
          <w:color w:val="000000"/>
          <w:lang w:val="en-US"/>
        </w:rPr>
        <w:t xml:space="preserve">ml </w:t>
      </w:r>
      <w:r w:rsidRPr="00D9047A">
        <w:rPr>
          <w:rFonts w:eastAsia="Times New Roman" w:cs="Arial"/>
          <w:color w:val="000000"/>
          <w:lang w:eastAsia="bg-BG"/>
        </w:rPr>
        <w:t xml:space="preserve">съдържа 600 </w:t>
      </w:r>
      <w:r w:rsidRPr="00D9047A">
        <w:rPr>
          <w:rFonts w:eastAsia="Times New Roman" w:cs="Arial"/>
          <w:color w:val="000000"/>
          <w:lang w:val="en-US"/>
        </w:rPr>
        <w:t xml:space="preserve">mg </w:t>
      </w:r>
      <w:r w:rsidRPr="00D9047A">
        <w:rPr>
          <w:rFonts w:eastAsia="Times New Roman" w:cs="Arial"/>
          <w:color w:val="000000"/>
          <w:lang w:eastAsia="bg-BG"/>
        </w:rPr>
        <w:t>клиндамицин (</w:t>
      </w:r>
      <w:r w:rsidRPr="00D9047A">
        <w:rPr>
          <w:rFonts w:eastAsia="Times New Roman" w:cs="Arial"/>
          <w:i/>
          <w:iCs/>
          <w:color w:val="000000"/>
          <w:lang w:val="en-US"/>
        </w:rPr>
        <w:t>clindamycin).</w:t>
      </w:r>
    </w:p>
    <w:p w14:paraId="34D07DFF" w14:textId="77777777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 xml:space="preserve">Всяка ампула от 6 </w:t>
      </w:r>
      <w:r w:rsidRPr="00D9047A">
        <w:rPr>
          <w:rFonts w:eastAsia="Times New Roman" w:cs="Arial"/>
          <w:color w:val="000000"/>
          <w:lang w:val="en-US"/>
        </w:rPr>
        <w:t xml:space="preserve">ml </w:t>
      </w:r>
      <w:r w:rsidRPr="00D9047A">
        <w:rPr>
          <w:rFonts w:eastAsia="Times New Roman" w:cs="Arial"/>
          <w:color w:val="000000"/>
          <w:lang w:eastAsia="bg-BG"/>
        </w:rPr>
        <w:t xml:space="preserve">съдържа 900 </w:t>
      </w:r>
      <w:r w:rsidRPr="00D9047A">
        <w:rPr>
          <w:rFonts w:eastAsia="Times New Roman" w:cs="Arial"/>
          <w:color w:val="000000"/>
          <w:lang w:val="en-US"/>
        </w:rPr>
        <w:t xml:space="preserve">mg </w:t>
      </w:r>
      <w:r w:rsidRPr="00D9047A">
        <w:rPr>
          <w:rFonts w:eastAsia="Times New Roman" w:cs="Arial"/>
          <w:color w:val="000000"/>
          <w:lang w:eastAsia="bg-BG"/>
        </w:rPr>
        <w:t>клиндамицин (</w:t>
      </w:r>
      <w:r w:rsidRPr="00D9047A">
        <w:rPr>
          <w:rFonts w:eastAsia="Times New Roman" w:cs="Arial"/>
          <w:i/>
          <w:iCs/>
          <w:color w:val="000000"/>
          <w:lang w:val="en-US"/>
        </w:rPr>
        <w:t>clindamycin).</w:t>
      </w:r>
    </w:p>
    <w:p w14:paraId="43820B8E" w14:textId="77777777" w:rsidR="00D9047A" w:rsidRPr="00D9047A" w:rsidRDefault="00D9047A" w:rsidP="00D9047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D7E65FF" w14:textId="7BE962D9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Помощни вещества с известно действие:</w:t>
      </w:r>
    </w:p>
    <w:p w14:paraId="3C3C99E9" w14:textId="77777777" w:rsidR="00D9047A" w:rsidRPr="00D9047A" w:rsidRDefault="00D9047A" w:rsidP="00D9047A">
      <w:pPr>
        <w:rPr>
          <w:rFonts w:eastAsia="Times New Roman" w:cs="Arial"/>
          <w:color w:val="000000"/>
          <w:lang w:eastAsia="bg-BG"/>
        </w:rPr>
      </w:pPr>
    </w:p>
    <w:p w14:paraId="213A0A68" w14:textId="45AA95AB" w:rsidR="00D9047A" w:rsidRPr="00D9047A" w:rsidRDefault="00D9047A" w:rsidP="00D9047A">
      <w:pPr>
        <w:rPr>
          <w:rFonts w:cs="Arial"/>
        </w:rPr>
      </w:pPr>
      <w:r w:rsidRPr="00D9047A">
        <w:rPr>
          <w:rFonts w:eastAsia="Times New Roman" w:cs="Arial"/>
          <w:color w:val="000000"/>
          <w:lang w:eastAsia="bg-BG"/>
        </w:rPr>
        <w:t xml:space="preserve">Този лекарствен продукт съдържа 9 </w:t>
      </w:r>
      <w:r w:rsidRPr="00D9047A">
        <w:rPr>
          <w:rFonts w:eastAsia="Times New Roman" w:cs="Arial"/>
          <w:color w:val="000000"/>
          <w:lang w:val="en-US"/>
        </w:rPr>
        <w:t xml:space="preserve">mg </w:t>
      </w:r>
      <w:r w:rsidRPr="00D9047A">
        <w:rPr>
          <w:rFonts w:eastAsia="Times New Roman" w:cs="Arial"/>
          <w:color w:val="000000"/>
          <w:lang w:eastAsia="bg-BG"/>
        </w:rPr>
        <w:t xml:space="preserve">бензилов алкохол и 8,5 </w:t>
      </w:r>
      <w:r w:rsidRPr="00D9047A">
        <w:rPr>
          <w:rFonts w:eastAsia="Times New Roman" w:cs="Arial"/>
          <w:color w:val="000000"/>
          <w:lang w:val="en-US"/>
        </w:rPr>
        <w:t xml:space="preserve">mg </w:t>
      </w:r>
      <w:r w:rsidRPr="00D9047A">
        <w:rPr>
          <w:rFonts w:eastAsia="Times New Roman" w:cs="Arial"/>
          <w:color w:val="000000"/>
          <w:lang w:eastAsia="bg-BG"/>
        </w:rPr>
        <w:t xml:space="preserve">натрий на </w:t>
      </w:r>
      <w:r w:rsidRPr="00D9047A">
        <w:rPr>
          <w:rFonts w:eastAsia="Times New Roman" w:cs="Arial"/>
          <w:color w:val="000000"/>
          <w:lang w:val="en-US"/>
        </w:rPr>
        <w:t xml:space="preserve">ml. </w:t>
      </w:r>
      <w:r w:rsidRPr="00D9047A">
        <w:rPr>
          <w:rFonts w:eastAsia="Times New Roman" w:cs="Arial"/>
          <w:color w:val="000000"/>
          <w:lang w:eastAsia="bg-BG"/>
        </w:rPr>
        <w:t xml:space="preserve">Това съдържание на натрий е </w:t>
      </w:r>
      <w:r w:rsidRPr="00D9047A">
        <w:rPr>
          <w:rFonts w:eastAsia="Times New Roman" w:cs="Arial"/>
          <w:i/>
          <w:iCs/>
          <w:color w:val="000000"/>
          <w:lang w:eastAsia="bg-BG"/>
        </w:rPr>
        <w:t>еквивалентно на</w:t>
      </w:r>
      <w:r w:rsidRPr="00D9047A">
        <w:rPr>
          <w:rFonts w:eastAsia="Times New Roman" w:cs="Arial"/>
          <w:color w:val="000000"/>
          <w:lang w:eastAsia="bg-BG"/>
        </w:rPr>
        <w:t xml:space="preserve"> 0,43% от максималния дневен прием от 2 </w:t>
      </w:r>
      <w:r w:rsidRPr="00D9047A">
        <w:rPr>
          <w:rFonts w:eastAsia="Times New Roman" w:cs="Arial"/>
          <w:color w:val="000000"/>
          <w:lang w:val="en-US"/>
        </w:rPr>
        <w:t xml:space="preserve">g </w:t>
      </w:r>
      <w:r w:rsidRPr="00D9047A">
        <w:rPr>
          <w:rFonts w:eastAsia="Times New Roman" w:cs="Arial"/>
          <w:color w:val="000000"/>
          <w:lang w:eastAsia="bg-BG"/>
        </w:rPr>
        <w:t>натрий за възрастен, препоръчан от СЗО.</w:t>
      </w:r>
    </w:p>
    <w:p w14:paraId="4CABB9ED" w14:textId="744A659F" w:rsidR="00F53FB7" w:rsidRDefault="00DD466D" w:rsidP="00A93499">
      <w:pPr>
        <w:pStyle w:val="Heading1"/>
      </w:pPr>
      <w:r>
        <w:t>3. ЛЕКАРСТВЕНА ФОРМА</w:t>
      </w:r>
    </w:p>
    <w:p w14:paraId="65298AA8" w14:textId="05B93FA7" w:rsidR="00D9047A" w:rsidRDefault="00D9047A" w:rsidP="00D9047A"/>
    <w:p w14:paraId="1E5B82DE" w14:textId="77777777" w:rsidR="00D9047A" w:rsidRPr="00D9047A" w:rsidRDefault="00D9047A" w:rsidP="00D9047A">
      <w:pPr>
        <w:rPr>
          <w:sz w:val="24"/>
          <w:szCs w:val="24"/>
          <w:lang w:eastAsia="bg-BG"/>
        </w:rPr>
      </w:pPr>
      <w:r w:rsidRPr="00D9047A">
        <w:rPr>
          <w:lang w:eastAsia="bg-BG"/>
        </w:rPr>
        <w:t>Инжекционен разтвор/концентрат за инфузионен разтвор.</w:t>
      </w:r>
    </w:p>
    <w:p w14:paraId="5E4321C1" w14:textId="77777777" w:rsidR="00D9047A" w:rsidRDefault="00D9047A" w:rsidP="00D9047A">
      <w:pPr>
        <w:rPr>
          <w:lang w:eastAsia="bg-BG"/>
        </w:rPr>
      </w:pPr>
    </w:p>
    <w:p w14:paraId="2ECB9D5F" w14:textId="2F40A693" w:rsidR="00D9047A" w:rsidRPr="00D9047A" w:rsidRDefault="00D9047A" w:rsidP="00D9047A">
      <w:r w:rsidRPr="00D9047A">
        <w:rPr>
          <w:lang w:eastAsia="bg-BG"/>
        </w:rPr>
        <w:t>Лекарственият продукт представлява прозрачен и безцветен до бледожълто оцветен разтвор.</w:t>
      </w:r>
    </w:p>
    <w:p w14:paraId="490FC2C4" w14:textId="6899DE43" w:rsidR="002C50EE" w:rsidRDefault="002C50EE" w:rsidP="002C50EE">
      <w:pPr>
        <w:pStyle w:val="Heading1"/>
      </w:pPr>
      <w:r>
        <w:t>4. КЛИНИЧНИ ДАННИ</w:t>
      </w:r>
    </w:p>
    <w:p w14:paraId="461901E4" w14:textId="786B5AE8" w:rsidR="009F77A4" w:rsidRDefault="002C50EE" w:rsidP="00387A66">
      <w:pPr>
        <w:pStyle w:val="Heading2"/>
      </w:pPr>
      <w:r>
        <w:t>4.1. Терапевтични показания</w:t>
      </w:r>
    </w:p>
    <w:p w14:paraId="498B7270" w14:textId="05B20BC8" w:rsidR="00D9047A" w:rsidRDefault="00D9047A" w:rsidP="00D9047A"/>
    <w:p w14:paraId="0276DF8D" w14:textId="77777777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Клиндамицин Каби е показан за лечението на следните тежки инфекции, причинени от чувствителни към клиндамицин микроорганизми (вж. точка 5.1). При аеробни инфекции клиндамицин представлява алтернативно лечение, в случай, че други антибактериални лекарствени продукти не са ефикасни или са противопоказани (напр. при алергия към пеницилини). При анаеробни инфекции клиндамицин трябва да се има предвид като първи избор на лечение.</w:t>
      </w:r>
    </w:p>
    <w:p w14:paraId="226614E9" w14:textId="77777777" w:rsidR="00D9047A" w:rsidRPr="00D9047A" w:rsidRDefault="00D9047A" w:rsidP="00D9047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C7CB893" w14:textId="77777777" w:rsidR="00D9047A" w:rsidRPr="00D9047A" w:rsidRDefault="00D9047A" w:rsidP="00D9047A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Стафилококова инфекция на костите и ставите като остеомиелит и септичен артрит</w:t>
      </w:r>
    </w:p>
    <w:p w14:paraId="44C07947" w14:textId="77777777" w:rsidR="00D9047A" w:rsidRPr="00D9047A" w:rsidRDefault="00D9047A" w:rsidP="00D9047A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Хроничен синузит причинен от анаеробни микроорганизми</w:t>
      </w:r>
    </w:p>
    <w:p w14:paraId="4AC1D502" w14:textId="1DB1B02D" w:rsidR="00D9047A" w:rsidRPr="00D9047A" w:rsidRDefault="00D9047A" w:rsidP="00D9047A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Инфекции на долните дихателни пътища като:</w:t>
      </w:r>
    </w:p>
    <w:p w14:paraId="09157FED" w14:textId="489E9A52" w:rsidR="00D9047A" w:rsidRPr="00D9047A" w:rsidRDefault="00D9047A" w:rsidP="00D9047A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аспирационна пневмония, белодробен абсцес, некротизираща пневмони</w:t>
      </w:r>
      <w:r w:rsidRPr="00D9047A">
        <w:rPr>
          <w:rFonts w:eastAsia="Times New Roman" w:cs="Arial"/>
          <w:color w:val="000000"/>
          <w:u w:val="single"/>
          <w:lang w:eastAsia="bg-BG"/>
        </w:rPr>
        <w:t>я и ем</w:t>
      </w:r>
      <w:r w:rsidRPr="00D9047A">
        <w:rPr>
          <w:rFonts w:eastAsia="Times New Roman" w:cs="Arial"/>
          <w:color w:val="000000"/>
          <w:lang w:eastAsia="bg-BG"/>
        </w:rPr>
        <w:t>пиема.</w:t>
      </w:r>
    </w:p>
    <w:p w14:paraId="371C5069" w14:textId="77777777" w:rsidR="00D9047A" w:rsidRPr="00D9047A" w:rsidRDefault="00D9047A" w:rsidP="00D9047A">
      <w:pPr>
        <w:spacing w:line="240" w:lineRule="auto"/>
        <w:ind w:left="360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lastRenderedPageBreak/>
        <w:t>В случай на съмнение за полимикробна белодробна инфекция,</w:t>
      </w:r>
      <w:r w:rsidRPr="00D9047A">
        <w:rPr>
          <w:rFonts w:eastAsia="Times New Roman" w:cs="Arial"/>
          <w:color w:val="000000"/>
          <w:lang w:val="en-US"/>
        </w:rPr>
        <w:t xml:space="preserve"> </w:t>
      </w:r>
      <w:r w:rsidRPr="00D9047A">
        <w:rPr>
          <w:rFonts w:eastAsia="Times New Roman" w:cs="Arial"/>
          <w:color w:val="000000"/>
          <w:lang w:eastAsia="bg-BG"/>
        </w:rPr>
        <w:t>трябва също да се</w:t>
      </w:r>
      <w:r w:rsidRPr="00D9047A">
        <w:rPr>
          <w:rFonts w:eastAsia="Times New Roman" w:cs="Arial"/>
          <w:color w:val="000000"/>
          <w:lang w:eastAsia="bg-BG"/>
        </w:rPr>
        <w:t xml:space="preserve"> </w:t>
      </w:r>
      <w:r w:rsidRPr="00D9047A">
        <w:rPr>
          <w:rFonts w:eastAsia="Times New Roman" w:cs="Arial"/>
          <w:color w:val="000000"/>
          <w:lang w:eastAsia="bg-BG"/>
        </w:rPr>
        <w:t>използва в комбинация и медикамент с подходящо действие срещу Грам-отрицателни бактерии, за да се обхване действието на възможни Грам-отрицателни бактерии</w:t>
      </w:r>
    </w:p>
    <w:p w14:paraId="77CEF100" w14:textId="77777777" w:rsidR="00D9047A" w:rsidRPr="00D9047A" w:rsidRDefault="00D9047A" w:rsidP="00D9047A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Вътрекоремни инфекции като перитонит и коремен абсцес, където избор на лечението клиндамицин заедно с антибиотик с добра ефикасност срещу аеробни Грам-отрицателни бактерии.</w:t>
      </w:r>
    </w:p>
    <w:p w14:paraId="3563166B" w14:textId="77777777" w:rsidR="00D9047A" w:rsidRPr="00D9047A" w:rsidRDefault="00D9047A" w:rsidP="00D9047A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 xml:space="preserve">Инфекции на таза и женските полови органи такива като тазова възпалителна болест </w:t>
      </w:r>
      <w:r w:rsidRPr="00D9047A">
        <w:rPr>
          <w:rFonts w:eastAsia="Times New Roman" w:cs="Arial"/>
          <w:color w:val="000000"/>
          <w:lang w:val="en-US"/>
        </w:rPr>
        <w:t xml:space="preserve">(PID), </w:t>
      </w:r>
      <w:r w:rsidRPr="00D9047A">
        <w:rPr>
          <w:rFonts w:eastAsia="Times New Roman" w:cs="Arial"/>
          <w:color w:val="000000"/>
          <w:lang w:eastAsia="bg-BG"/>
        </w:rPr>
        <w:t>ендометрит, пери вагинални инфекции, тубо-овариални абсцеси, салпингит, тазов целулит, когато е приложен едновременно друг антибиотик с добра ефикасност срещу аеробни Грам- отрицателни бактерии.</w:t>
      </w:r>
    </w:p>
    <w:p w14:paraId="7D1BABE2" w14:textId="2B7B5470" w:rsidR="00D9047A" w:rsidRPr="00D9047A" w:rsidRDefault="00D9047A" w:rsidP="00D9047A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Инфекции на кожата и меките тъкани.</w:t>
      </w:r>
    </w:p>
    <w:p w14:paraId="38B58961" w14:textId="77777777" w:rsidR="00D9047A" w:rsidRPr="00D9047A" w:rsidRDefault="00D9047A" w:rsidP="00D9047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99DEE8B" w14:textId="355FD685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Трябва да се вземат под внимание официалните насоки за подходящата употреба на антибактериални лекарствени продукти.</w:t>
      </w:r>
    </w:p>
    <w:p w14:paraId="18CF239D" w14:textId="77777777" w:rsidR="00D9047A" w:rsidRPr="00D9047A" w:rsidRDefault="00D9047A" w:rsidP="00D9047A"/>
    <w:p w14:paraId="31744E5A" w14:textId="03C5A33A" w:rsidR="009F77A4" w:rsidRDefault="002C50EE" w:rsidP="00387A66">
      <w:pPr>
        <w:pStyle w:val="Heading2"/>
      </w:pPr>
      <w:r>
        <w:t>4.2. Дозировка и начин на приложение</w:t>
      </w:r>
    </w:p>
    <w:p w14:paraId="5013A00B" w14:textId="1BEF93C6" w:rsidR="00D9047A" w:rsidRDefault="00D9047A" w:rsidP="00D9047A"/>
    <w:p w14:paraId="02D88E29" w14:textId="77777777" w:rsidR="00D9047A" w:rsidRPr="00D9047A" w:rsidRDefault="00D9047A" w:rsidP="00D9047A">
      <w:pPr>
        <w:pStyle w:val="Heading3"/>
        <w:rPr>
          <w:rFonts w:eastAsia="Times New Roman"/>
          <w:u w:val="single"/>
          <w:lang w:eastAsia="bg-BG"/>
        </w:rPr>
      </w:pPr>
      <w:r w:rsidRPr="00D9047A">
        <w:rPr>
          <w:rFonts w:eastAsia="Times New Roman"/>
          <w:u w:val="single"/>
          <w:lang w:eastAsia="bg-BG"/>
        </w:rPr>
        <w:t>Дозировка</w:t>
      </w:r>
    </w:p>
    <w:p w14:paraId="4EE3E864" w14:textId="77777777" w:rsidR="00D9047A" w:rsidRPr="00D9047A" w:rsidRDefault="00D9047A" w:rsidP="00D9047A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48D27F27" w14:textId="7AA2B418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i/>
          <w:iCs/>
          <w:color w:val="000000"/>
          <w:u w:val="single"/>
          <w:lang w:eastAsia="bg-BG"/>
        </w:rPr>
        <w:t>Възрастни и юноши над 12 години</w:t>
      </w:r>
    </w:p>
    <w:p w14:paraId="377C2F3C" w14:textId="77777777" w:rsidR="00D9047A" w:rsidRPr="00D9047A" w:rsidRDefault="00D9047A" w:rsidP="00D9047A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за лечението на тежки инфекции (такива като вътрекоремни инфекции, тазови инфекции при жените или други тежки инфекции):</w:t>
      </w:r>
      <w:r w:rsidRPr="00D9047A">
        <w:rPr>
          <w:rFonts w:eastAsia="Times New Roman" w:cs="Arial"/>
          <w:color w:val="000000"/>
          <w:lang w:eastAsia="bg-BG"/>
        </w:rPr>
        <w:t xml:space="preserve"> </w:t>
      </w:r>
      <w:r w:rsidRPr="00D9047A">
        <w:rPr>
          <w:rFonts w:eastAsia="Times New Roman" w:cs="Arial"/>
          <w:color w:val="000000"/>
          <w:lang w:eastAsia="bg-BG"/>
        </w:rPr>
        <w:t xml:space="preserve">12 до 18 </w:t>
      </w:r>
      <w:r w:rsidRPr="00D9047A">
        <w:rPr>
          <w:rFonts w:eastAsia="Times New Roman" w:cs="Arial"/>
          <w:color w:val="000000"/>
          <w:lang w:val="en-US"/>
        </w:rPr>
        <w:t xml:space="preserve">ml </w:t>
      </w:r>
      <w:r w:rsidRPr="00D9047A">
        <w:rPr>
          <w:rFonts w:eastAsia="Times New Roman" w:cs="Arial"/>
          <w:color w:val="000000"/>
          <w:lang w:eastAsia="bg-BG"/>
        </w:rPr>
        <w:t xml:space="preserve">Клиндамицин Каби дневно (което съответства на 1800 до 2700 </w:t>
      </w:r>
      <w:r w:rsidRPr="00D9047A">
        <w:rPr>
          <w:rFonts w:eastAsia="Times New Roman" w:cs="Arial"/>
          <w:color w:val="000000"/>
          <w:lang w:val="en-US"/>
        </w:rPr>
        <w:t xml:space="preserve">mg </w:t>
      </w:r>
      <w:r w:rsidRPr="00D9047A">
        <w:rPr>
          <w:rFonts w:eastAsia="Times New Roman" w:cs="Arial"/>
          <w:color w:val="000000"/>
          <w:lang w:eastAsia="bg-BG"/>
        </w:rPr>
        <w:t>клиндамицин) в 2 - 4 равни дози, обикновено в комбинация с антибиотик с добра ефикасност срещу аеробни Грам-отрицателни бактерии.</w:t>
      </w:r>
    </w:p>
    <w:p w14:paraId="2D161259" w14:textId="665FF68D" w:rsidR="00D9047A" w:rsidRPr="00D9047A" w:rsidRDefault="00D9047A" w:rsidP="00D9047A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за лечението на по-леки инфекции:</w:t>
      </w:r>
      <w:r w:rsidRPr="00D9047A">
        <w:rPr>
          <w:rFonts w:eastAsia="Times New Roman" w:cs="Arial"/>
          <w:color w:val="000000"/>
          <w:lang w:eastAsia="bg-BG"/>
        </w:rPr>
        <w:t xml:space="preserve"> </w:t>
      </w:r>
      <w:r w:rsidRPr="00D9047A">
        <w:rPr>
          <w:rFonts w:eastAsia="Times New Roman" w:cs="Arial"/>
          <w:color w:val="000000"/>
          <w:lang w:eastAsia="bg-BG"/>
        </w:rPr>
        <w:t xml:space="preserve">8 до 12 </w:t>
      </w:r>
      <w:r w:rsidRPr="00D9047A">
        <w:rPr>
          <w:rFonts w:eastAsia="Times New Roman" w:cs="Arial"/>
          <w:color w:val="000000"/>
          <w:lang w:val="en-US"/>
        </w:rPr>
        <w:t xml:space="preserve">ml </w:t>
      </w:r>
      <w:r w:rsidRPr="00D9047A">
        <w:rPr>
          <w:rFonts w:eastAsia="Times New Roman" w:cs="Arial"/>
          <w:color w:val="000000"/>
          <w:lang w:eastAsia="bg-BG"/>
        </w:rPr>
        <w:t xml:space="preserve">Клиндамицин Каби дневно (което съответства на 1200 до 1800 </w:t>
      </w:r>
      <w:r w:rsidRPr="00D9047A">
        <w:rPr>
          <w:rFonts w:eastAsia="Times New Roman" w:cs="Arial"/>
          <w:color w:val="000000"/>
          <w:lang w:val="en-US"/>
        </w:rPr>
        <w:t xml:space="preserve">mg </w:t>
      </w:r>
      <w:r w:rsidRPr="00D9047A">
        <w:rPr>
          <w:rFonts w:eastAsia="Times New Roman" w:cs="Arial"/>
          <w:color w:val="000000"/>
          <w:lang w:eastAsia="bg-BG"/>
        </w:rPr>
        <w:t>клиндамицин), приложени в 3 или 4 еднакви дози.</w:t>
      </w:r>
    </w:p>
    <w:p w14:paraId="466023D2" w14:textId="77777777" w:rsidR="00D9047A" w:rsidRPr="00D9047A" w:rsidRDefault="00D9047A" w:rsidP="00D9047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2CAA065" w14:textId="0A825E16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 xml:space="preserve">Обикновено максималната дневна доза за възрастни и юноши над 12 години е 18 </w:t>
      </w:r>
      <w:r w:rsidRPr="00D9047A">
        <w:rPr>
          <w:rFonts w:eastAsia="Times New Roman" w:cs="Arial"/>
          <w:color w:val="000000"/>
          <w:lang w:val="en-US"/>
        </w:rPr>
        <w:t xml:space="preserve">ml </w:t>
      </w:r>
      <w:r w:rsidRPr="00D9047A">
        <w:rPr>
          <w:rFonts w:eastAsia="Times New Roman" w:cs="Arial"/>
          <w:color w:val="000000"/>
          <w:lang w:eastAsia="bg-BG"/>
        </w:rPr>
        <w:t xml:space="preserve">Клиндамицин Каби (което съответства на 2700 </w:t>
      </w:r>
      <w:r w:rsidRPr="00D9047A">
        <w:rPr>
          <w:rFonts w:eastAsia="Times New Roman" w:cs="Arial"/>
          <w:color w:val="000000"/>
          <w:lang w:val="en-US"/>
        </w:rPr>
        <w:t xml:space="preserve">mg </w:t>
      </w:r>
      <w:r w:rsidRPr="00D9047A">
        <w:rPr>
          <w:rFonts w:eastAsia="Times New Roman" w:cs="Arial"/>
          <w:color w:val="000000"/>
          <w:lang w:eastAsia="bg-BG"/>
        </w:rPr>
        <w:t>клиндамицин) в 2 до 4 еднакви дози.</w:t>
      </w:r>
    </w:p>
    <w:p w14:paraId="72782824" w14:textId="77777777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 xml:space="preserve">При животозастрашаващи инфекции може да бъде приложена доза до 4800 </w:t>
      </w:r>
      <w:r w:rsidRPr="00D9047A">
        <w:rPr>
          <w:rFonts w:eastAsia="Times New Roman" w:cs="Arial"/>
          <w:color w:val="000000"/>
          <w:lang w:val="en-US"/>
        </w:rPr>
        <w:t>mg</w:t>
      </w:r>
      <w:r w:rsidRPr="00D9047A">
        <w:rPr>
          <w:rFonts w:eastAsia="Times New Roman" w:cs="Arial"/>
          <w:color w:val="000000"/>
          <w:lang w:eastAsia="bg-BG"/>
        </w:rPr>
        <w:t>/дневно.</w:t>
      </w:r>
    </w:p>
    <w:p w14:paraId="6576767F" w14:textId="77777777" w:rsidR="00D9047A" w:rsidRPr="00D9047A" w:rsidRDefault="00D9047A" w:rsidP="00D9047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6A8EB09" w14:textId="714B011C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 xml:space="preserve">Не се препоръчва прилагане на еднократни интрамускулни </w:t>
      </w:r>
      <w:r w:rsidRPr="00D9047A">
        <w:rPr>
          <w:rFonts w:eastAsia="Times New Roman" w:cs="Arial"/>
          <w:color w:val="000000"/>
          <w:lang w:val="en-US"/>
        </w:rPr>
        <w:t>(</w:t>
      </w:r>
      <w:proofErr w:type="spellStart"/>
      <w:r w:rsidRPr="00D9047A">
        <w:rPr>
          <w:rFonts w:eastAsia="Times New Roman" w:cs="Arial"/>
          <w:color w:val="000000"/>
          <w:lang w:val="en-US"/>
        </w:rPr>
        <w:t>i.m.</w:t>
      </w:r>
      <w:proofErr w:type="spellEnd"/>
      <w:r w:rsidRPr="00D9047A">
        <w:rPr>
          <w:rFonts w:eastAsia="Times New Roman" w:cs="Arial"/>
          <w:color w:val="000000"/>
          <w:lang w:val="en-US"/>
        </w:rPr>
        <w:t xml:space="preserve">) </w:t>
      </w:r>
      <w:r w:rsidRPr="00D9047A">
        <w:rPr>
          <w:rFonts w:eastAsia="Times New Roman" w:cs="Arial"/>
          <w:color w:val="000000"/>
          <w:lang w:eastAsia="bg-BG"/>
        </w:rPr>
        <w:t xml:space="preserve">инжекции в доза по-голяма от 600 </w:t>
      </w:r>
      <w:r w:rsidRPr="00D9047A">
        <w:rPr>
          <w:rFonts w:eastAsia="Times New Roman" w:cs="Arial"/>
          <w:color w:val="000000"/>
          <w:lang w:val="en-US"/>
        </w:rPr>
        <w:t xml:space="preserve">mg, </w:t>
      </w:r>
      <w:r w:rsidRPr="00D9047A">
        <w:rPr>
          <w:rFonts w:eastAsia="Times New Roman" w:cs="Arial"/>
          <w:color w:val="000000"/>
          <w:lang w:eastAsia="bg-BG"/>
        </w:rPr>
        <w:t xml:space="preserve">нито прилагане на еднократна едночасова инфузия в доза по-голяма от 1,2 </w:t>
      </w:r>
      <w:r w:rsidRPr="00D9047A">
        <w:rPr>
          <w:rFonts w:eastAsia="Times New Roman" w:cs="Arial"/>
          <w:color w:val="000000"/>
          <w:lang w:val="en-US"/>
        </w:rPr>
        <w:t>g.</w:t>
      </w:r>
    </w:p>
    <w:p w14:paraId="194D78C9" w14:textId="77777777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 xml:space="preserve">Алтернативно лекарственият продукт може да се приложи под формата на еднократна краткотрайна инфузия като първа доза, последвана от продължителна интравенозна </w:t>
      </w:r>
      <w:r w:rsidRPr="00D9047A">
        <w:rPr>
          <w:rFonts w:eastAsia="Times New Roman" w:cs="Arial"/>
          <w:color w:val="000000"/>
          <w:lang w:val="en-US"/>
        </w:rPr>
        <w:t>(</w:t>
      </w:r>
      <w:proofErr w:type="spellStart"/>
      <w:r w:rsidRPr="00D9047A">
        <w:rPr>
          <w:rFonts w:eastAsia="Times New Roman" w:cs="Arial"/>
          <w:color w:val="000000"/>
          <w:lang w:val="en-US"/>
        </w:rPr>
        <w:t>i.v.</w:t>
      </w:r>
      <w:proofErr w:type="spellEnd"/>
      <w:r w:rsidRPr="00D9047A">
        <w:rPr>
          <w:rFonts w:eastAsia="Times New Roman" w:cs="Arial"/>
          <w:color w:val="000000"/>
          <w:lang w:val="en-US"/>
        </w:rPr>
        <w:t xml:space="preserve">) </w:t>
      </w:r>
      <w:r w:rsidRPr="00D9047A">
        <w:rPr>
          <w:rFonts w:eastAsia="Times New Roman" w:cs="Arial"/>
          <w:color w:val="000000"/>
          <w:lang w:eastAsia="bg-BG"/>
        </w:rPr>
        <w:t>инфузия.</w:t>
      </w:r>
    </w:p>
    <w:p w14:paraId="5D168B6B" w14:textId="77777777" w:rsidR="00D9047A" w:rsidRPr="00D9047A" w:rsidRDefault="00D9047A" w:rsidP="00D9047A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4C1F798E" w14:textId="0CACD290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i/>
          <w:iCs/>
          <w:color w:val="000000"/>
          <w:u w:val="single"/>
          <w:lang w:eastAsia="bg-BG"/>
        </w:rPr>
        <w:t>Педиатрична популация</w:t>
      </w:r>
    </w:p>
    <w:p w14:paraId="6E8721D0" w14:textId="77777777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i/>
          <w:iCs/>
          <w:color w:val="000000"/>
          <w:lang w:eastAsia="bg-BG"/>
        </w:rPr>
        <w:t>Деца (на възраст над 1 месец до 12 години)</w:t>
      </w:r>
    </w:p>
    <w:p w14:paraId="5129119C" w14:textId="77777777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 xml:space="preserve">Сериозни инфекции: 15-25 </w:t>
      </w:r>
      <w:r w:rsidRPr="00D9047A">
        <w:rPr>
          <w:rFonts w:eastAsia="Times New Roman" w:cs="Arial"/>
          <w:color w:val="000000"/>
          <w:lang w:val="en-US"/>
        </w:rPr>
        <w:t>mg/kg</w:t>
      </w:r>
      <w:r w:rsidRPr="00D9047A">
        <w:rPr>
          <w:rFonts w:eastAsia="Times New Roman" w:cs="Arial"/>
          <w:color w:val="000000"/>
          <w:lang w:eastAsia="bg-BG"/>
        </w:rPr>
        <w:t>/ден в три или четири еднакви дози.</w:t>
      </w:r>
    </w:p>
    <w:p w14:paraId="3083FDC5" w14:textId="77777777" w:rsidR="00D9047A" w:rsidRPr="00D9047A" w:rsidRDefault="00D9047A" w:rsidP="00D9047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F9580FD" w14:textId="44EF6F0C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 xml:space="preserve">Много тежки инфекции: 25-40 </w:t>
      </w:r>
      <w:r w:rsidRPr="00D9047A">
        <w:rPr>
          <w:rFonts w:eastAsia="Times New Roman" w:cs="Arial"/>
          <w:color w:val="000000"/>
          <w:lang w:val="en-US"/>
        </w:rPr>
        <w:t>mg/kg</w:t>
      </w:r>
      <w:r w:rsidRPr="00D9047A">
        <w:rPr>
          <w:rFonts w:eastAsia="Times New Roman" w:cs="Arial"/>
          <w:color w:val="000000"/>
          <w:lang w:eastAsia="bg-BG"/>
        </w:rPr>
        <w:t xml:space="preserve">/ден в три или четири еднакви дози. При тежки инфекции се препоръчва на деца да бъде прилагана доза не по-малка от 300 </w:t>
      </w:r>
      <w:r w:rsidRPr="00D9047A">
        <w:rPr>
          <w:rFonts w:eastAsia="Times New Roman" w:cs="Arial"/>
          <w:color w:val="000000"/>
          <w:lang w:val="en-US"/>
        </w:rPr>
        <w:t>mg</w:t>
      </w:r>
      <w:r w:rsidRPr="00D9047A">
        <w:rPr>
          <w:rFonts w:eastAsia="Times New Roman" w:cs="Arial"/>
          <w:color w:val="000000"/>
          <w:lang w:eastAsia="bg-BG"/>
        </w:rPr>
        <w:t>/ден в зависимост от телесното тегло.</w:t>
      </w:r>
    </w:p>
    <w:p w14:paraId="0F421840" w14:textId="77777777" w:rsidR="00D9047A" w:rsidRPr="00D9047A" w:rsidRDefault="00D9047A" w:rsidP="00D9047A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1582324B" w14:textId="52AB434F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i/>
          <w:iCs/>
          <w:color w:val="000000"/>
          <w:u w:val="single"/>
          <w:lang w:eastAsia="bg-BG"/>
        </w:rPr>
        <w:t>Старческа възраст</w:t>
      </w:r>
    </w:p>
    <w:p w14:paraId="3ED02C8E" w14:textId="77777777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 xml:space="preserve">Времето на полуживот, обемът на разпределение, клирънсът и степента на абсорбция след прилагане на клиндамицинов фосфат не се променят от напредналата възраст. </w:t>
      </w:r>
      <w:r w:rsidRPr="00D9047A">
        <w:rPr>
          <w:rFonts w:eastAsia="Times New Roman" w:cs="Arial"/>
          <w:color w:val="000000"/>
          <w:lang w:eastAsia="bg-BG"/>
        </w:rPr>
        <w:lastRenderedPageBreak/>
        <w:t>Анализът на данни от клинични изпитвания не са показали каквото и да е повишаване на токсичността. Дозовите изисквания при пациенти в старческа възраст, следователно не трябва да се влияят единствено от възрастта. Вижте точка 4.4 за други фактори, които трябва да бъдат взети предвид.</w:t>
      </w:r>
    </w:p>
    <w:p w14:paraId="718997D7" w14:textId="77777777" w:rsidR="00D9047A" w:rsidRPr="00D9047A" w:rsidRDefault="00D9047A" w:rsidP="00D9047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34A1E19" w14:textId="75A90DF6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u w:val="single"/>
          <w:lang w:eastAsia="bg-BG"/>
        </w:rPr>
        <w:t>Пациенти с чернодробно увреждане</w:t>
      </w:r>
    </w:p>
    <w:p w14:paraId="5D718F1B" w14:textId="77777777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При пациенти със средно тежка до тежка форма на чернодробно увреждане елиминационният полуживот на клиндамицин е удължен. Ако Клиндамицин Каби се прилага на всеки 8 часа обикновено не се налага намаляване на дозата. Въпреки това, при пациенти с тежка</w:t>
      </w:r>
    </w:p>
    <w:p w14:paraId="1764B973" w14:textId="77777777" w:rsidR="00D9047A" w:rsidRPr="00D9047A" w:rsidRDefault="00D9047A" w:rsidP="00D9047A">
      <w:pPr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чернодробна недостатъчност, плазмената концентрация на клиндамицин трябва да бъде</w:t>
      </w:r>
      <w:r w:rsidRPr="00D9047A">
        <w:rPr>
          <w:rFonts w:eastAsia="Times New Roman" w:cs="Arial"/>
          <w:color w:val="000000"/>
          <w:lang w:eastAsia="bg-BG"/>
        </w:rPr>
        <w:t xml:space="preserve"> </w:t>
      </w:r>
      <w:r w:rsidRPr="00D9047A">
        <w:rPr>
          <w:rFonts w:eastAsia="Times New Roman" w:cs="Arial"/>
          <w:color w:val="000000"/>
          <w:lang w:eastAsia="bg-BG"/>
        </w:rPr>
        <w:t>мониторирана. В зависимост от резултатите, тази мярка може да наложи понижаване на дозата или удължаване на интервалите между отделните дози.</w:t>
      </w:r>
    </w:p>
    <w:p w14:paraId="17ABF7FF" w14:textId="77777777" w:rsidR="00D9047A" w:rsidRPr="00D9047A" w:rsidRDefault="00D9047A" w:rsidP="00D9047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E2B1F29" w14:textId="2794EF45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u w:val="single"/>
          <w:lang w:eastAsia="bg-BG"/>
        </w:rPr>
        <w:t>Пациенти с бъбречно увреждане</w:t>
      </w:r>
    </w:p>
    <w:p w14:paraId="27572C15" w14:textId="77777777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При наличието на бъбречно увреждане, елиминационният полуживот е удължен; обаче, в случаите на леко до средностепенно нарушаване на бъбречната функция не се налага понижаване на дозата. Въпреки това, при пациенти с тежка бъбречна недостатъчност или анурия, плазмената концентрация на клиндамицин трябва да бъде мониторирана. В зависимост от резултатите, тази мярка може да наложи понижаване на дозата или удължаване на интервалите между отделните дози от 8 или дори 12 часа.</w:t>
      </w:r>
    </w:p>
    <w:p w14:paraId="5F22216A" w14:textId="77777777" w:rsidR="00D9047A" w:rsidRPr="00D9047A" w:rsidRDefault="00D9047A" w:rsidP="00D9047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642E058" w14:textId="3B55A184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u w:val="single"/>
          <w:lang w:eastAsia="bg-BG"/>
        </w:rPr>
        <w:t>Дозировка при пациенти на хемодиализа</w:t>
      </w:r>
    </w:p>
    <w:p w14:paraId="5EA56B14" w14:textId="77777777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Клиндамицин не може да се отстранява посредством хемодиализа. Следователно, нито преди, нито след хемодиализа не се налага прилагането на допълнителна доза.</w:t>
      </w:r>
    </w:p>
    <w:p w14:paraId="3C70136F" w14:textId="77777777" w:rsidR="00D9047A" w:rsidRPr="00D9047A" w:rsidRDefault="00D9047A" w:rsidP="00D9047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B09D9AD" w14:textId="3B68BEE4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u w:val="single"/>
          <w:lang w:eastAsia="bg-BG"/>
        </w:rPr>
        <w:t>Продължителност на лечение</w:t>
      </w:r>
    </w:p>
    <w:p w14:paraId="13F07B8C" w14:textId="77777777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В случай на доказани или дори подозирани инфекции с В-хемолитични стрептококи лечението с Клиндамицин Каби трябва да продължи най-малко 10 дни.</w:t>
      </w:r>
    </w:p>
    <w:p w14:paraId="0BC05818" w14:textId="77777777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Тъй като този лекарствен продукт съдържа бензилов алкохол, той не трябва да се използва за повече от 7 дни при малки деца (под 3-годишна възраст), освен ако не е необходима по-голяма продължителност на лечение (вж. точка 4.4).</w:t>
      </w:r>
    </w:p>
    <w:p w14:paraId="2AC1D505" w14:textId="77777777" w:rsidR="00D9047A" w:rsidRPr="00D9047A" w:rsidRDefault="00D9047A" w:rsidP="00D9047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D0046F7" w14:textId="5AE1FD5E" w:rsidR="00D9047A" w:rsidRPr="00D9047A" w:rsidRDefault="00D9047A" w:rsidP="00D9047A">
      <w:pPr>
        <w:pStyle w:val="Heading3"/>
        <w:rPr>
          <w:rFonts w:eastAsia="Times New Roman"/>
          <w:u w:val="single"/>
          <w:lang w:eastAsia="bg-BG"/>
        </w:rPr>
      </w:pPr>
      <w:r w:rsidRPr="00D9047A">
        <w:rPr>
          <w:rFonts w:eastAsia="Times New Roman"/>
          <w:u w:val="single"/>
          <w:lang w:eastAsia="bg-BG"/>
        </w:rPr>
        <w:t>Начин на приложение</w:t>
      </w:r>
    </w:p>
    <w:p w14:paraId="3EAF5F0D" w14:textId="77777777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 xml:space="preserve">Клиндамицин Каби се прилага като интрамускулна инжекция или като интравенозна инфузия. Клиндамицин Каби </w:t>
      </w:r>
      <w:r w:rsidRPr="00D9047A">
        <w:rPr>
          <w:rFonts w:eastAsia="Times New Roman" w:cs="Arial"/>
          <w:b/>
          <w:bCs/>
          <w:color w:val="000000"/>
          <w:lang w:eastAsia="bg-BG"/>
        </w:rPr>
        <w:t xml:space="preserve">трябва </w:t>
      </w:r>
      <w:r w:rsidRPr="00D9047A">
        <w:rPr>
          <w:rFonts w:eastAsia="Times New Roman" w:cs="Arial"/>
          <w:color w:val="000000"/>
          <w:lang w:eastAsia="bg-BG"/>
        </w:rPr>
        <w:t xml:space="preserve">да се разреди преди интравенозно приложение и продължителността на инфузията трябва да бъде най-малко 10-60 минути. Концентрацията не трябва да надвишава 18 </w:t>
      </w:r>
      <w:r w:rsidRPr="00D9047A">
        <w:rPr>
          <w:rFonts w:eastAsia="Times New Roman" w:cs="Arial"/>
          <w:color w:val="000000"/>
          <w:lang w:val="en-US"/>
        </w:rPr>
        <w:t xml:space="preserve">mg </w:t>
      </w:r>
      <w:r w:rsidRPr="00D9047A">
        <w:rPr>
          <w:rFonts w:eastAsia="Times New Roman" w:cs="Arial"/>
          <w:color w:val="000000"/>
          <w:lang w:eastAsia="bg-BG"/>
        </w:rPr>
        <w:t xml:space="preserve">клиндамицин / </w:t>
      </w:r>
      <w:r w:rsidRPr="00D9047A">
        <w:rPr>
          <w:rFonts w:eastAsia="Times New Roman" w:cs="Arial"/>
          <w:color w:val="000000"/>
          <w:lang w:val="en-US"/>
        </w:rPr>
        <w:t xml:space="preserve">ml </w:t>
      </w:r>
      <w:r w:rsidRPr="00D9047A">
        <w:rPr>
          <w:rFonts w:eastAsia="Times New Roman" w:cs="Arial"/>
          <w:color w:val="000000"/>
          <w:lang w:eastAsia="bg-BG"/>
        </w:rPr>
        <w:t>разтвор.</w:t>
      </w:r>
    </w:p>
    <w:p w14:paraId="467A3F7A" w14:textId="77777777" w:rsidR="00D9047A" w:rsidRPr="00D9047A" w:rsidRDefault="00D9047A" w:rsidP="00D9047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8DE5029" w14:textId="5D84B0AA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За интрамускулно приложение Клиндамицин Каби трябва да се използва неразреден.</w:t>
      </w:r>
    </w:p>
    <w:p w14:paraId="34709158" w14:textId="77777777" w:rsidR="00D9047A" w:rsidRPr="00D9047A" w:rsidRDefault="00D9047A" w:rsidP="00D9047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3B617F3" w14:textId="32A664AA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За указания относно разреждането на лекарствения продукт преди приложение вижте точка 6.6.</w:t>
      </w:r>
    </w:p>
    <w:p w14:paraId="5104DB3C" w14:textId="6BC1A40F" w:rsidR="00D9047A" w:rsidRPr="00D9047A" w:rsidRDefault="00D9047A" w:rsidP="00D9047A"/>
    <w:p w14:paraId="5D9E65DA" w14:textId="420EB703" w:rsidR="009F77A4" w:rsidRDefault="002C50EE" w:rsidP="00387A66">
      <w:pPr>
        <w:pStyle w:val="Heading2"/>
      </w:pPr>
      <w:r>
        <w:t>4.3. Противопоказания</w:t>
      </w:r>
    </w:p>
    <w:p w14:paraId="498FD5B7" w14:textId="2E06AF57" w:rsidR="00D9047A" w:rsidRDefault="00D9047A" w:rsidP="00D9047A"/>
    <w:p w14:paraId="5181589F" w14:textId="2144AC35" w:rsidR="00D9047A" w:rsidRPr="00D9047A" w:rsidRDefault="00D9047A" w:rsidP="00D9047A">
      <w:r>
        <w:t>Свръхчувствителност към клиндамицин или линкомицин (съществува кръстосана алергия) или към някое от помощните вещества, изброени в точка 6.1.</w:t>
      </w:r>
    </w:p>
    <w:p w14:paraId="1C27CE53" w14:textId="5528781F" w:rsidR="009F77A4" w:rsidRDefault="002C50EE" w:rsidP="00387A66">
      <w:pPr>
        <w:pStyle w:val="Heading2"/>
      </w:pPr>
      <w:r>
        <w:lastRenderedPageBreak/>
        <w:t>4.4. Специални предупреждения и предпазни мерки при употреба</w:t>
      </w:r>
    </w:p>
    <w:p w14:paraId="0C951A53" w14:textId="4F1FAC8E" w:rsidR="00D9047A" w:rsidRDefault="00D9047A" w:rsidP="00D9047A"/>
    <w:p w14:paraId="741C47B4" w14:textId="77777777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Клиндамицин Каби трябва да се прилага само за лечение на сериозни инфекции. При вземане на решение за прилагане на Клиндамицин Каби, лекарят трябва да има предвид вида на инфекцията и потенциалната опасност от диария, тъй като са били докладвани случаи на колити по време, или дори две или три седмици след прилагането на Клиндамицин Каби. По вероятно е заболяването да бъде последвано от много по-тежък курс при по-възрастни пациеши или при немощни пациенти.</w:t>
      </w:r>
    </w:p>
    <w:p w14:paraId="6AC4E3E8" w14:textId="77777777" w:rsidR="00D9047A" w:rsidRPr="00D9047A" w:rsidRDefault="00D9047A" w:rsidP="00D9047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BF7C94F" w14:textId="0FE54CED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 xml:space="preserve">Тежки реакции на свръхчувствителност, включително тежки кожни реакции като лекарствена реакция с еозинофилия и системни симптоми </w:t>
      </w:r>
      <w:r w:rsidRPr="00D9047A">
        <w:rPr>
          <w:rFonts w:eastAsia="Times New Roman" w:cs="Arial"/>
          <w:color w:val="000000"/>
          <w:lang w:val="en-US"/>
        </w:rPr>
        <w:t xml:space="preserve">(drug reaction with eosinophilia and systemic symptoms, DRESS), </w:t>
      </w:r>
      <w:r w:rsidRPr="00D9047A">
        <w:rPr>
          <w:rFonts w:eastAsia="Times New Roman" w:cs="Arial"/>
          <w:color w:val="000000"/>
          <w:lang w:eastAsia="bg-BG"/>
        </w:rPr>
        <w:t xml:space="preserve">синдром на </w:t>
      </w:r>
      <w:r w:rsidRPr="00D9047A">
        <w:rPr>
          <w:rFonts w:eastAsia="Times New Roman" w:cs="Arial"/>
          <w:color w:val="000000"/>
          <w:lang w:val="en-US"/>
        </w:rPr>
        <w:t xml:space="preserve">Stevens-Johnson (SJS), </w:t>
      </w:r>
      <w:r w:rsidRPr="00D9047A">
        <w:rPr>
          <w:rFonts w:eastAsia="Times New Roman" w:cs="Arial"/>
          <w:color w:val="000000"/>
          <w:lang w:eastAsia="bg-BG"/>
        </w:rPr>
        <w:t>токсична епидермална некролиза (</w:t>
      </w:r>
      <w:r w:rsidRPr="00D9047A">
        <w:rPr>
          <w:rFonts w:eastAsia="Times New Roman" w:cs="Arial"/>
          <w:color w:val="000000"/>
          <w:lang w:val="en-US"/>
        </w:rPr>
        <w:t xml:space="preserve">toxic epidermal necrolysis, TEN) </w:t>
      </w:r>
      <w:r w:rsidRPr="00D9047A">
        <w:rPr>
          <w:rFonts w:eastAsia="Times New Roman" w:cs="Arial"/>
          <w:color w:val="000000"/>
          <w:lang w:eastAsia="bg-BG"/>
        </w:rPr>
        <w:t xml:space="preserve">и остра генерализирана екзантематозна пустулоза (Acute generalised </w:t>
      </w:r>
      <w:proofErr w:type="spellStart"/>
      <w:r w:rsidRPr="00D9047A">
        <w:rPr>
          <w:rFonts w:eastAsia="Times New Roman" w:cs="Arial"/>
          <w:color w:val="000000"/>
          <w:lang w:val="en-US"/>
        </w:rPr>
        <w:t>exanthematous</w:t>
      </w:r>
      <w:proofErr w:type="spellEnd"/>
      <w:r w:rsidRPr="00D9047A">
        <w:rPr>
          <w:rFonts w:eastAsia="Times New Roman" w:cs="Arial"/>
          <w:color w:val="000000"/>
          <w:lang w:val="en-US"/>
        </w:rPr>
        <w:t xml:space="preserve"> pustulosis, AGEP), </w:t>
      </w:r>
      <w:r w:rsidRPr="00D9047A">
        <w:rPr>
          <w:rFonts w:eastAsia="Times New Roman" w:cs="Arial"/>
          <w:color w:val="000000"/>
          <w:lang w:eastAsia="bg-BG"/>
        </w:rPr>
        <w:t>се съобщават при пациенти, получаващи терапия с клиндамицин. Ако възникне свръхчувствителност или тежка кожна реакция, клинамицин трябва да се преустанови и да се започне подходяща терапия (вж. точки 4.3 и 4.8).</w:t>
      </w:r>
    </w:p>
    <w:p w14:paraId="1C355E75" w14:textId="77777777" w:rsidR="00D9047A" w:rsidRPr="00D9047A" w:rsidRDefault="00D9047A" w:rsidP="00D9047A">
      <w:pPr>
        <w:rPr>
          <w:rFonts w:eastAsia="Times New Roman" w:cs="Arial"/>
          <w:color w:val="000000"/>
          <w:lang w:eastAsia="bg-BG"/>
        </w:rPr>
      </w:pPr>
    </w:p>
    <w:p w14:paraId="0D2BAB97" w14:textId="467581AD" w:rsidR="00D9047A" w:rsidRPr="00D9047A" w:rsidRDefault="00D9047A" w:rsidP="00D9047A">
      <w:pPr>
        <w:rPr>
          <w:rFonts w:eastAsia="Times New Roman" w:cs="Arial"/>
          <w:color w:val="000000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Необходимо е внимание при пациенти с:</w:t>
      </w:r>
    </w:p>
    <w:p w14:paraId="462ED150" w14:textId="77777777" w:rsidR="00D9047A" w:rsidRPr="00D9047A" w:rsidRDefault="00D9047A" w:rsidP="00D9047A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увредена чернодробна и бъбречна функция (вж. точка 4.2),</w:t>
      </w:r>
    </w:p>
    <w:p w14:paraId="4131C7BF" w14:textId="77777777" w:rsidR="00D9047A" w:rsidRPr="00D9047A" w:rsidRDefault="00D9047A" w:rsidP="00D9047A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нарушения в нервномускулното предаване (миастения гравис, болест на Паркинсон и т.н.) както и</w:t>
      </w:r>
    </w:p>
    <w:p w14:paraId="71E70B69" w14:textId="77777777" w:rsidR="00D9047A" w:rsidRPr="00D9047A" w:rsidRDefault="00D9047A" w:rsidP="00D9047A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анамнеза за стомашно-чревни заболявания (като например предходно възпаление на дебелото черво)</w:t>
      </w:r>
    </w:p>
    <w:p w14:paraId="16AA8BDB" w14:textId="2E3993C7" w:rsidR="00D9047A" w:rsidRPr="00D9047A" w:rsidRDefault="00D9047A" w:rsidP="00D9047A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атопични заболявания.</w:t>
      </w:r>
    </w:p>
    <w:p w14:paraId="6F6C11E7" w14:textId="77777777" w:rsidR="00D9047A" w:rsidRPr="00D9047A" w:rsidRDefault="00D9047A" w:rsidP="00D9047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7C41DD0" w14:textId="47ADBE58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Тежки алергични реакции могат да се появят дори след първото приложение. В този случай лечението с Клиндамицин Каби трябва да се прекрати незабавно и да се предприемат стандартните мерки за спешна помощ.</w:t>
      </w:r>
    </w:p>
    <w:p w14:paraId="7F7D5E7C" w14:textId="77777777" w:rsidR="00D9047A" w:rsidRPr="00D9047A" w:rsidRDefault="00D9047A" w:rsidP="00D9047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9B87274" w14:textId="1FF7C641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Бърза интравенозна инжекция може да има сериозен ефект върху сърцето (вж. точка 4.8) и трябва да се избягва.</w:t>
      </w:r>
    </w:p>
    <w:p w14:paraId="716DE1F4" w14:textId="77777777" w:rsidR="00D9047A" w:rsidRPr="00D9047A" w:rsidRDefault="00D9047A" w:rsidP="00D9047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4D74A74" w14:textId="77777777" w:rsidR="00D9047A" w:rsidRPr="00D9047A" w:rsidRDefault="00D9047A" w:rsidP="00D9047A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 xml:space="preserve">Рядко се съобщава за остро бъбречно увреждане, включително остра бъбречна недостатъчност. </w:t>
      </w:r>
    </w:p>
    <w:p w14:paraId="240BA755" w14:textId="32502A32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При пациенти, които страдат от предшестваща бъбречна дисфункция или приемат съпътстващо нефротоксични лекарства, трябва да се обмисли проследяване на бъбречната функция (вж. точка 4.8).</w:t>
      </w:r>
    </w:p>
    <w:p w14:paraId="7C458411" w14:textId="77777777" w:rsidR="00D9047A" w:rsidRPr="00D9047A" w:rsidRDefault="00D9047A" w:rsidP="00D9047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E1F1D86" w14:textId="6D15E6D6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При кърмачета под една година и в случаите на дългосрочна терапия (лечение в продължение на повече от 10 дни), кръвната картина, както и чернодробната и бъбречната функции трябва да се проследяват на регулярни интервали.</w:t>
      </w:r>
    </w:p>
    <w:p w14:paraId="7CA1FA8D" w14:textId="77777777" w:rsidR="00D9047A" w:rsidRPr="00D9047A" w:rsidRDefault="00D9047A" w:rsidP="00D9047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ABC9FFB" w14:textId="78F8D21F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 xml:space="preserve">Дългосрочното и многократно приложение на Клиндамицин Каби може да доведе до суперинфекция </w:t>
      </w:r>
      <w:r w:rsidRPr="00D9047A">
        <w:rPr>
          <w:rFonts w:eastAsia="Times New Roman" w:cs="Arial"/>
          <w:i/>
          <w:iCs/>
          <w:color w:val="000000"/>
          <w:lang w:eastAsia="bg-BG"/>
        </w:rPr>
        <w:t>и/или до</w:t>
      </w:r>
      <w:r w:rsidRPr="00D9047A">
        <w:rPr>
          <w:rFonts w:eastAsia="Times New Roman" w:cs="Arial"/>
          <w:color w:val="000000"/>
          <w:lang w:eastAsia="bg-BG"/>
        </w:rPr>
        <w:t xml:space="preserve"> колонизация на кожата и лигавиците с резистентни патогени или мицели.</w:t>
      </w:r>
    </w:p>
    <w:p w14:paraId="20D3CC81" w14:textId="77777777" w:rsidR="00D9047A" w:rsidRPr="00D9047A" w:rsidRDefault="00D9047A" w:rsidP="00D9047A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 xml:space="preserve">При определени обстоятелства, терапията с клиндамицин може да представлява алтернативна форма на лечение при пациенти с алергия към пеницилин (пеницилинова свръхчувствителност). </w:t>
      </w:r>
    </w:p>
    <w:p w14:paraId="0FA00619" w14:textId="77777777" w:rsidR="00D9047A" w:rsidRPr="00D9047A" w:rsidRDefault="00D9047A" w:rsidP="00D9047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1523539" w14:textId="785929A8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lastRenderedPageBreak/>
        <w:t>Не са известни съобщения за кръстосана алергична реакция между клиндамицин и пеницилин и въз основа на структурните различия между веществата, такава не трябва да се очаква. Въпреки това, в отделни случаи има информация за анафилаксия (свръхчувствителност) по отношение на клиндамицин при хора с вече съществуваща алергия към пеницилин. Това трябва да се има предвид при лечебните курсове с клиндамицин, при пациенти с алергия към пеницилин.</w:t>
      </w:r>
    </w:p>
    <w:p w14:paraId="79D0D220" w14:textId="77777777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 xml:space="preserve">Развитие на диария, свързана с </w:t>
      </w:r>
      <w:r w:rsidRPr="00D9047A">
        <w:rPr>
          <w:rFonts w:eastAsia="Times New Roman" w:cs="Arial"/>
          <w:i/>
          <w:iCs/>
          <w:color w:val="000000"/>
          <w:lang w:val="en-US"/>
        </w:rPr>
        <w:t>Clostridium difficile (Clostridium difficile</w:t>
      </w:r>
      <w:r w:rsidRPr="00D9047A">
        <w:rPr>
          <w:rFonts w:eastAsia="Times New Roman" w:cs="Arial"/>
          <w:color w:val="000000"/>
          <w:lang w:val="en-US"/>
        </w:rPr>
        <w:t xml:space="preserve"> associated </w:t>
      </w:r>
      <w:proofErr w:type="spellStart"/>
      <w:r w:rsidRPr="00D9047A">
        <w:rPr>
          <w:rFonts w:eastAsia="Times New Roman" w:cs="Arial"/>
          <w:color w:val="000000"/>
          <w:lang w:val="en-US"/>
        </w:rPr>
        <w:t>diarrhoea</w:t>
      </w:r>
      <w:proofErr w:type="spellEnd"/>
      <w:r w:rsidRPr="00D9047A">
        <w:rPr>
          <w:rFonts w:eastAsia="Times New Roman" w:cs="Arial"/>
          <w:color w:val="000000"/>
          <w:lang w:val="en-US"/>
        </w:rPr>
        <w:t xml:space="preserve">, CDAD), </w:t>
      </w:r>
      <w:r w:rsidRPr="00D9047A">
        <w:rPr>
          <w:rFonts w:eastAsia="Times New Roman" w:cs="Arial"/>
          <w:color w:val="000000"/>
          <w:lang w:eastAsia="bg-BG"/>
        </w:rPr>
        <w:t>се съобщава при употребата на почти всички антибактериални средства, включително клиндамицин. Тя варира от лека диария до фатален колит.</w:t>
      </w:r>
    </w:p>
    <w:p w14:paraId="5B1A10BB" w14:textId="77777777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 xml:space="preserve">Лечението с антибактериални средства променя нормалната флора на дебелото черво, което води до свръхрастеж на </w:t>
      </w:r>
      <w:r w:rsidRPr="00D9047A">
        <w:rPr>
          <w:rFonts w:eastAsia="Times New Roman" w:cs="Arial"/>
          <w:i/>
          <w:iCs/>
          <w:color w:val="000000"/>
          <w:lang w:val="en-US"/>
        </w:rPr>
        <w:t>Clostridium difficile.</w:t>
      </w:r>
    </w:p>
    <w:p w14:paraId="1200C08F" w14:textId="77777777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i/>
          <w:iCs/>
          <w:color w:val="000000"/>
          <w:lang w:val="en-US"/>
        </w:rPr>
        <w:t>Clostridium difficile</w:t>
      </w:r>
      <w:r w:rsidRPr="00D9047A">
        <w:rPr>
          <w:rFonts w:eastAsia="Times New Roman" w:cs="Arial"/>
          <w:color w:val="000000"/>
          <w:lang w:val="en-US"/>
        </w:rPr>
        <w:t xml:space="preserve"> </w:t>
      </w:r>
      <w:r w:rsidRPr="00D9047A">
        <w:rPr>
          <w:rFonts w:eastAsia="Times New Roman" w:cs="Arial"/>
          <w:color w:val="000000"/>
          <w:lang w:eastAsia="bg-BG"/>
        </w:rPr>
        <w:t xml:space="preserve">произвежда токсини А и В, които допринасят за развитието на </w:t>
      </w:r>
      <w:r w:rsidRPr="00D9047A">
        <w:rPr>
          <w:rFonts w:eastAsia="Times New Roman" w:cs="Arial"/>
          <w:color w:val="000000"/>
          <w:lang w:val="en-US"/>
        </w:rPr>
        <w:t xml:space="preserve">CDAD </w:t>
      </w:r>
      <w:r w:rsidRPr="00D9047A">
        <w:rPr>
          <w:rFonts w:eastAsia="Times New Roman" w:cs="Arial"/>
          <w:color w:val="000000"/>
          <w:lang w:eastAsia="bg-BG"/>
        </w:rPr>
        <w:t>и са основна причина за „колит, свързан с употреба на антибиотици“.</w:t>
      </w:r>
    </w:p>
    <w:p w14:paraId="41E7F3A2" w14:textId="77777777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 xml:space="preserve">Свръхвирулентни щамове на </w:t>
      </w:r>
      <w:r w:rsidRPr="00D9047A">
        <w:rPr>
          <w:rFonts w:eastAsia="Times New Roman" w:cs="Arial"/>
          <w:i/>
          <w:iCs/>
          <w:color w:val="000000"/>
          <w:lang w:val="en-US"/>
        </w:rPr>
        <w:t>Clostridium difficile</w:t>
      </w:r>
      <w:r w:rsidRPr="00D9047A">
        <w:rPr>
          <w:rFonts w:eastAsia="Times New Roman" w:cs="Arial"/>
          <w:color w:val="000000"/>
          <w:lang w:val="en-US"/>
        </w:rPr>
        <w:t xml:space="preserve"> </w:t>
      </w:r>
      <w:r w:rsidRPr="00D9047A">
        <w:rPr>
          <w:rFonts w:eastAsia="Times New Roman" w:cs="Arial"/>
          <w:color w:val="000000"/>
          <w:lang w:eastAsia="bg-BG"/>
        </w:rPr>
        <w:t>са свързани с повишена заболеваемост и смъртност, тъй като такива инфекции може да бъдат резистентни на антибиотична терапия и може да наложат колектомия.</w:t>
      </w:r>
    </w:p>
    <w:p w14:paraId="7A7A64D7" w14:textId="77777777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 xml:space="preserve">Важно е да се има предвид диагнозата </w:t>
      </w:r>
      <w:r w:rsidRPr="00D9047A">
        <w:rPr>
          <w:rFonts w:eastAsia="Times New Roman" w:cs="Arial"/>
          <w:color w:val="000000"/>
          <w:lang w:val="en-US"/>
        </w:rPr>
        <w:t xml:space="preserve">CDAD </w:t>
      </w:r>
      <w:r w:rsidRPr="00D9047A">
        <w:rPr>
          <w:rFonts w:eastAsia="Times New Roman" w:cs="Arial"/>
          <w:color w:val="000000"/>
          <w:lang w:eastAsia="bg-BG"/>
        </w:rPr>
        <w:t>при пациенти с диария след прилагане на антибактериални средства.</w:t>
      </w:r>
    </w:p>
    <w:p w14:paraId="447B87E3" w14:textId="77777777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 xml:space="preserve">В такъв случай трябва да се снеме внимателно анамнеза, тъй като </w:t>
      </w:r>
      <w:r w:rsidRPr="00D9047A">
        <w:rPr>
          <w:rFonts w:eastAsia="Times New Roman" w:cs="Arial"/>
          <w:color w:val="000000"/>
          <w:lang w:val="en-US"/>
        </w:rPr>
        <w:t xml:space="preserve">CDAD </w:t>
      </w:r>
      <w:r w:rsidRPr="00D9047A">
        <w:rPr>
          <w:rFonts w:eastAsia="Times New Roman" w:cs="Arial"/>
          <w:color w:val="000000"/>
          <w:lang w:eastAsia="bg-BG"/>
        </w:rPr>
        <w:t>може да възникне до два месеца след антибиотична терапия.</w:t>
      </w:r>
    </w:p>
    <w:p w14:paraId="5218EC00" w14:textId="77777777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Ако се подозират или потвърдят диария или колит, свързани с употребата на ангибиотици, текущото лечение с антибактериални средства, включително клиндамицин, трявба да се преустанови и незабавно да се предприемат адекватни терапевтични мерки</w:t>
      </w:r>
    </w:p>
    <w:p w14:paraId="24FC9527" w14:textId="0916AE80" w:rsidR="00D9047A" w:rsidRPr="00D9047A" w:rsidRDefault="00D9047A" w:rsidP="00D9047A">
      <w:pPr>
        <w:rPr>
          <w:rFonts w:eastAsia="Times New Roman" w:cs="Arial"/>
          <w:color w:val="000000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Лекарствени продукти, инхибиращи перисталтиката, са противопоказани в такава ситуация.</w:t>
      </w:r>
    </w:p>
    <w:p w14:paraId="46310791" w14:textId="61FC1FD0" w:rsidR="00D9047A" w:rsidRPr="00D9047A" w:rsidRDefault="00D9047A" w:rsidP="00D9047A">
      <w:pPr>
        <w:rPr>
          <w:rFonts w:eastAsia="Times New Roman" w:cs="Arial"/>
          <w:color w:val="000000"/>
          <w:lang w:eastAsia="bg-BG"/>
        </w:rPr>
      </w:pPr>
    </w:p>
    <w:p w14:paraId="0930B04C" w14:textId="77777777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Клиндамицин Каби не трябва да се употребява в случаите на остри инфекции на респираторния тракт, ако те са причинени от вируси.</w:t>
      </w:r>
    </w:p>
    <w:p w14:paraId="7ADD3A78" w14:textId="77777777" w:rsidR="00D9047A" w:rsidRPr="00D9047A" w:rsidRDefault="00D9047A" w:rsidP="00D9047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BE81ADE" w14:textId="50BCED02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Клиндамицин Каби не е подходящ за лечението на менингит, тъй като концентрацията на антибиотика, която се достига в цереброспиналния ликвор е твърде ниска.</w:t>
      </w:r>
    </w:p>
    <w:p w14:paraId="1CF4624F" w14:textId="77777777" w:rsidR="00D9047A" w:rsidRPr="00D9047A" w:rsidRDefault="00D9047A" w:rsidP="00D9047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25B8687" w14:textId="1418F825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Този лекарствен продукт съдържа бензилов алкохол, който може да причини алергични реакции.</w:t>
      </w:r>
    </w:p>
    <w:p w14:paraId="0C448E49" w14:textId="77777777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 xml:space="preserve">Бензиловият алкохол е свързан с риск от тежки нежелани реакции, включително проблеми с дишането (наречени „синдром на задъхване“ </w:t>
      </w:r>
      <w:r w:rsidRPr="00D9047A">
        <w:rPr>
          <w:rFonts w:eastAsia="Times New Roman" w:cs="Arial"/>
          <w:color w:val="000000"/>
          <w:lang w:val="en-US"/>
        </w:rPr>
        <w:t xml:space="preserve">(gasping syndrome)) </w:t>
      </w:r>
      <w:r w:rsidRPr="00D9047A">
        <w:rPr>
          <w:rFonts w:eastAsia="Times New Roman" w:cs="Arial"/>
          <w:color w:val="000000"/>
          <w:lang w:eastAsia="bg-BG"/>
        </w:rPr>
        <w:t>при малки деца. Поради това лекарственият продукт не трябва да се прилага при новородени (до 4-седмична възраст), освен ако не е препоръчан от медицинския специалист.</w:t>
      </w:r>
    </w:p>
    <w:p w14:paraId="3D134490" w14:textId="77777777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Този лекарствен продукт не трябва да се употребява за повече от седмица при малки деца (под 3-годишна възраст), освен ако не е препоръчан от медицинския специалист.</w:t>
      </w:r>
    </w:p>
    <w:p w14:paraId="273A2212" w14:textId="77777777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Големи количества бензилов алкохол може да се натрупат в организма и да предизвикат нежелани реакции (наречени „метаболитна ацидоза“). Това трябва да се има предвид при бременни и кърмещи жени, както и при пациенти с чернодробно и бъбречно заболяване.</w:t>
      </w:r>
    </w:p>
    <w:p w14:paraId="205D5C1C" w14:textId="77777777" w:rsidR="00D9047A" w:rsidRPr="00D9047A" w:rsidRDefault="00D9047A" w:rsidP="00D9047A"/>
    <w:p w14:paraId="1DA47448" w14:textId="0E5B5CE2" w:rsidR="009F77A4" w:rsidRDefault="002C50EE" w:rsidP="00387A66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</w:p>
    <w:p w14:paraId="6206F9E7" w14:textId="40AE0EC6" w:rsidR="00D9047A" w:rsidRDefault="00D9047A" w:rsidP="00D9047A"/>
    <w:p w14:paraId="4FF09F2B" w14:textId="77777777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Антагонисти на витамин К</w:t>
      </w:r>
    </w:p>
    <w:p w14:paraId="5D170205" w14:textId="77777777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 xml:space="preserve">При пациенти, лекувани с клиндамицин в комбинация с антагонист на витамин К (напр. варфарин, аценокумарол и флуиндион) се съобщава за повишени стойности от </w:t>
      </w:r>
      <w:r w:rsidRPr="00D9047A">
        <w:rPr>
          <w:rFonts w:eastAsia="Times New Roman" w:cs="Arial"/>
          <w:color w:val="000000"/>
          <w:lang w:eastAsia="bg-BG"/>
        </w:rPr>
        <w:lastRenderedPageBreak/>
        <w:t xml:space="preserve">коагулационните тестове </w:t>
      </w:r>
      <w:r w:rsidRPr="00D9047A">
        <w:rPr>
          <w:rFonts w:eastAsia="Times New Roman" w:cs="Arial"/>
          <w:color w:val="000000"/>
          <w:lang w:val="en-US"/>
        </w:rPr>
        <w:t xml:space="preserve">(PT/INR) </w:t>
      </w:r>
      <w:r w:rsidRPr="00D9047A">
        <w:rPr>
          <w:rFonts w:eastAsia="Times New Roman" w:cs="Arial"/>
          <w:color w:val="000000"/>
          <w:lang w:eastAsia="bg-BG"/>
        </w:rPr>
        <w:t>и/или кървене. Поради това, при пациенти, лекувани с антагонисти на витамин К, трябва често да се проследяват коагулационните тестове.</w:t>
      </w:r>
    </w:p>
    <w:p w14:paraId="12253FFD" w14:textId="77777777" w:rsidR="00D9047A" w:rsidRPr="00D9047A" w:rsidRDefault="00D9047A" w:rsidP="00D9047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6B56C02" w14:textId="0C4019AA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 xml:space="preserve">Когато това е възможно, Клиндамицин Каби не трябва да се комбинира с еритромицин, тъй като </w:t>
      </w:r>
      <w:r w:rsidRPr="00D9047A">
        <w:rPr>
          <w:rFonts w:eastAsia="Times New Roman" w:cs="Arial"/>
          <w:i/>
          <w:iCs/>
          <w:color w:val="000000"/>
          <w:lang w:val="en-US"/>
        </w:rPr>
        <w:t>in vitro</w:t>
      </w:r>
      <w:r w:rsidRPr="00D9047A">
        <w:rPr>
          <w:rFonts w:eastAsia="Times New Roman" w:cs="Arial"/>
          <w:color w:val="000000"/>
          <w:lang w:val="en-US"/>
        </w:rPr>
        <w:t xml:space="preserve"> </w:t>
      </w:r>
      <w:r w:rsidRPr="00D9047A">
        <w:rPr>
          <w:rFonts w:eastAsia="Times New Roman" w:cs="Arial"/>
          <w:color w:val="000000"/>
          <w:lang w:eastAsia="bg-BG"/>
        </w:rPr>
        <w:t>е бил наблюдаван антагонистичен ефект по отношение на антибактериалното действие.</w:t>
      </w:r>
    </w:p>
    <w:p w14:paraId="417F7143" w14:textId="77777777" w:rsidR="00D9047A" w:rsidRPr="00D9047A" w:rsidRDefault="00D9047A" w:rsidP="00D9047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8FD5BAD" w14:textId="3A148D59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Съществува кръстосана резистентност на патогени по отношение на клиндамицин и линкомицин.</w:t>
      </w:r>
    </w:p>
    <w:p w14:paraId="2D0C489D" w14:textId="77777777" w:rsidR="00D9047A" w:rsidRPr="00D9047A" w:rsidRDefault="00D9047A" w:rsidP="00D9047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AB2B23E" w14:textId="512900B0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Поради невромускулните си блокиращи свойства, Клиндамицин Каби може да потенцира ефекта на мускулните релаксанти. В резултат на това, по време на хирургични операции могат да настъпят неочаквани, животозастрашаващи инциденти.</w:t>
      </w:r>
    </w:p>
    <w:p w14:paraId="0404BB7A" w14:textId="77777777" w:rsidR="00D9047A" w:rsidRPr="00D9047A" w:rsidRDefault="00D9047A" w:rsidP="00D9047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46CEFC8" w14:textId="4B4A7F5C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 xml:space="preserve">Клиндамицин се метаболизира предимно от </w:t>
      </w:r>
      <w:r w:rsidRPr="00D9047A">
        <w:rPr>
          <w:rFonts w:eastAsia="Times New Roman" w:cs="Arial"/>
          <w:color w:val="000000"/>
          <w:lang w:val="en-US"/>
        </w:rPr>
        <w:t xml:space="preserve">CYP3A4 </w:t>
      </w:r>
      <w:r w:rsidRPr="00D9047A">
        <w:rPr>
          <w:rFonts w:eastAsia="Times New Roman" w:cs="Arial"/>
          <w:color w:val="000000"/>
          <w:lang w:eastAsia="bg-BG"/>
        </w:rPr>
        <w:t xml:space="preserve">и в по-малка степен от </w:t>
      </w:r>
      <w:r w:rsidRPr="00D9047A">
        <w:rPr>
          <w:rFonts w:eastAsia="Times New Roman" w:cs="Arial"/>
          <w:color w:val="000000"/>
          <w:lang w:val="en-US"/>
        </w:rPr>
        <w:t xml:space="preserve">CYP3A5 </w:t>
      </w:r>
      <w:r w:rsidRPr="00D9047A">
        <w:rPr>
          <w:rFonts w:eastAsia="Times New Roman" w:cs="Arial"/>
          <w:color w:val="000000"/>
          <w:lang w:eastAsia="bg-BG"/>
        </w:rPr>
        <w:t>до главния метаболит клиндамицин сулфоксид и второстепенния метаболит</w:t>
      </w:r>
    </w:p>
    <w:p w14:paraId="52379DDA" w14:textId="77777777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val="en-US"/>
        </w:rPr>
        <w:t>N</w:t>
      </w:r>
      <w:r w:rsidRPr="00D9047A">
        <w:rPr>
          <w:rFonts w:eastAsia="Times New Roman" w:cs="Arial"/>
          <w:color w:val="000000"/>
          <w:lang w:eastAsia="bg-BG"/>
        </w:rPr>
        <w:t xml:space="preserve">-деметилклиндамицин. Поради това инхибитори на </w:t>
      </w:r>
      <w:r w:rsidRPr="00D9047A">
        <w:rPr>
          <w:rFonts w:eastAsia="Times New Roman" w:cs="Arial"/>
          <w:color w:val="000000"/>
          <w:lang w:val="en-US"/>
        </w:rPr>
        <w:t>CYP3</w:t>
      </w:r>
      <w:r w:rsidRPr="00D9047A">
        <w:rPr>
          <w:rFonts w:eastAsia="Times New Roman" w:cs="Arial"/>
          <w:color w:val="000000"/>
          <w:lang w:eastAsia="bg-BG"/>
        </w:rPr>
        <w:t xml:space="preserve">А4 и </w:t>
      </w:r>
      <w:r w:rsidRPr="00D9047A">
        <w:rPr>
          <w:rFonts w:eastAsia="Times New Roman" w:cs="Arial"/>
          <w:color w:val="000000"/>
          <w:lang w:val="en-US"/>
        </w:rPr>
        <w:t xml:space="preserve">CYP3A5 </w:t>
      </w:r>
      <w:r w:rsidRPr="00D9047A">
        <w:rPr>
          <w:rFonts w:eastAsia="Times New Roman" w:cs="Arial"/>
          <w:color w:val="000000"/>
          <w:lang w:eastAsia="bg-BG"/>
        </w:rPr>
        <w:t xml:space="preserve">може да намалят клирънса, а индукгори на тези изоензими може да повишат клирънса на клиндамицин. При наличие на мощни индукгори на </w:t>
      </w:r>
      <w:r w:rsidRPr="00D9047A">
        <w:rPr>
          <w:rFonts w:eastAsia="Times New Roman" w:cs="Arial"/>
          <w:color w:val="000000"/>
          <w:lang w:val="en-US"/>
        </w:rPr>
        <w:t xml:space="preserve">CYP3A4 </w:t>
      </w:r>
      <w:r w:rsidRPr="00D9047A">
        <w:rPr>
          <w:rFonts w:eastAsia="Times New Roman" w:cs="Arial"/>
          <w:color w:val="000000"/>
          <w:lang w:eastAsia="bg-BG"/>
        </w:rPr>
        <w:t>като рифампицин наблюдавайте за загуба на ефективност.</w:t>
      </w:r>
    </w:p>
    <w:p w14:paraId="7079A56F" w14:textId="4498DCA2" w:rsidR="00D9047A" w:rsidRPr="00D9047A" w:rsidRDefault="00D9047A" w:rsidP="00D9047A">
      <w:pPr>
        <w:rPr>
          <w:rFonts w:eastAsia="Times New Roman" w:cs="Arial"/>
          <w:color w:val="000000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 xml:space="preserve">Проучвания </w:t>
      </w:r>
      <w:r w:rsidRPr="00D9047A">
        <w:rPr>
          <w:rFonts w:eastAsia="Times New Roman" w:cs="Arial"/>
          <w:i/>
          <w:iCs/>
          <w:color w:val="000000"/>
          <w:lang w:val="en-US"/>
        </w:rPr>
        <w:t>in vitro</w:t>
      </w:r>
      <w:r w:rsidRPr="00D9047A">
        <w:rPr>
          <w:rFonts w:eastAsia="Times New Roman" w:cs="Arial"/>
          <w:color w:val="000000"/>
          <w:lang w:val="en-US"/>
        </w:rPr>
        <w:t xml:space="preserve"> </w:t>
      </w:r>
      <w:r w:rsidRPr="00D9047A">
        <w:rPr>
          <w:rFonts w:eastAsia="Times New Roman" w:cs="Arial"/>
          <w:color w:val="000000"/>
          <w:lang w:eastAsia="bg-BG"/>
        </w:rPr>
        <w:t xml:space="preserve">показват, че клиндамицин не инхибира </w:t>
      </w:r>
      <w:r w:rsidRPr="00D9047A">
        <w:rPr>
          <w:rFonts w:eastAsia="Times New Roman" w:cs="Arial"/>
          <w:color w:val="000000"/>
          <w:lang w:val="en-US"/>
        </w:rPr>
        <w:t xml:space="preserve">CYP1A2, CYP2C9, CYP2C19, CYP2E1 </w:t>
      </w:r>
      <w:r w:rsidRPr="00D9047A">
        <w:rPr>
          <w:rFonts w:eastAsia="Times New Roman" w:cs="Arial"/>
          <w:color w:val="000000"/>
          <w:lang w:eastAsia="bg-BG"/>
        </w:rPr>
        <w:t xml:space="preserve">или </w:t>
      </w:r>
      <w:r w:rsidRPr="00D9047A">
        <w:rPr>
          <w:rFonts w:eastAsia="Times New Roman" w:cs="Arial"/>
          <w:color w:val="000000"/>
          <w:lang w:val="en-US"/>
        </w:rPr>
        <w:t xml:space="preserve">CYP2D6 </w:t>
      </w:r>
      <w:r w:rsidRPr="00D9047A">
        <w:rPr>
          <w:rFonts w:eastAsia="Times New Roman" w:cs="Arial"/>
          <w:color w:val="000000"/>
          <w:lang w:eastAsia="bg-BG"/>
        </w:rPr>
        <w:t xml:space="preserve">и само умерено инхибира </w:t>
      </w:r>
      <w:r w:rsidRPr="00D9047A">
        <w:rPr>
          <w:rFonts w:eastAsia="Times New Roman" w:cs="Arial"/>
          <w:color w:val="000000"/>
          <w:lang w:val="en-US"/>
        </w:rPr>
        <w:t xml:space="preserve">CYP3A4. </w:t>
      </w:r>
      <w:r w:rsidRPr="00D9047A">
        <w:rPr>
          <w:rFonts w:eastAsia="Times New Roman" w:cs="Arial"/>
          <w:color w:val="000000"/>
          <w:lang w:eastAsia="bg-BG"/>
        </w:rPr>
        <w:t xml:space="preserve">Поради това няма вероятност от клинично значими взаимодействия между клиндамицин и едновременно приложени лекарствени продукти, метаболизирани от тези </w:t>
      </w:r>
      <w:r w:rsidRPr="00D9047A">
        <w:rPr>
          <w:rFonts w:eastAsia="Times New Roman" w:cs="Arial"/>
          <w:color w:val="000000"/>
          <w:lang w:val="en-US"/>
        </w:rPr>
        <w:t xml:space="preserve">CYP </w:t>
      </w:r>
      <w:r w:rsidRPr="00D9047A">
        <w:rPr>
          <w:rFonts w:eastAsia="Times New Roman" w:cs="Arial"/>
          <w:color w:val="000000"/>
          <w:lang w:eastAsia="bg-BG"/>
        </w:rPr>
        <w:t>ензими.</w:t>
      </w:r>
    </w:p>
    <w:p w14:paraId="37551E3A" w14:textId="77777777" w:rsidR="00D9047A" w:rsidRPr="00D9047A" w:rsidRDefault="00D9047A" w:rsidP="00D9047A"/>
    <w:p w14:paraId="48846BBA" w14:textId="20060C25" w:rsidR="009F77A4" w:rsidRDefault="002C50EE" w:rsidP="00387A66">
      <w:pPr>
        <w:pStyle w:val="Heading2"/>
      </w:pPr>
      <w:r>
        <w:t>4.6. Фертилитет, бременност и кърмене</w:t>
      </w:r>
    </w:p>
    <w:p w14:paraId="230CA004" w14:textId="36637240" w:rsidR="00D9047A" w:rsidRDefault="00D9047A" w:rsidP="00D9047A"/>
    <w:p w14:paraId="2C05E6FD" w14:textId="77777777" w:rsidR="00D9047A" w:rsidRPr="00D9047A" w:rsidRDefault="00D9047A" w:rsidP="00D9047A">
      <w:pPr>
        <w:pStyle w:val="Heading3"/>
        <w:rPr>
          <w:rFonts w:eastAsia="Times New Roman"/>
          <w:u w:val="single"/>
          <w:lang w:eastAsia="bg-BG"/>
        </w:rPr>
      </w:pPr>
      <w:r w:rsidRPr="00D9047A">
        <w:rPr>
          <w:rFonts w:eastAsia="Times New Roman"/>
          <w:u w:val="single"/>
          <w:lang w:eastAsia="bg-BG"/>
        </w:rPr>
        <w:t>Бременност</w:t>
      </w:r>
    </w:p>
    <w:p w14:paraId="797B52CC" w14:textId="77777777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Едно голямо проучване при бременни жени, при което са били изледвани около 650,</w:t>
      </w:r>
    </w:p>
    <w:p w14:paraId="0B24429D" w14:textId="77777777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новородени, изложени на действието на клиндамицин, по време на първия триместър на</w:t>
      </w:r>
    </w:p>
    <w:p w14:paraId="31509677" w14:textId="7F76358E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бременността, не е показало никакво повишение в честотата на малформациите. Въпреки това по отношение безопасността на клиндамицина по време на бременност няма д</w:t>
      </w:r>
      <w:r w:rsidRPr="00D9047A">
        <w:rPr>
          <w:rFonts w:eastAsia="Times New Roman" w:cs="Arial"/>
          <w:color w:val="000000"/>
          <w:lang w:val="en-US"/>
        </w:rPr>
        <w:t>o</w:t>
      </w:r>
      <w:r w:rsidRPr="00D9047A">
        <w:rPr>
          <w:rFonts w:eastAsia="Times New Roman" w:cs="Arial"/>
          <w:color w:val="000000"/>
          <w:lang w:eastAsia="bg-BG"/>
        </w:rPr>
        <w:t>статъчно данни</w:t>
      </w:r>
      <w:r w:rsidRPr="00D9047A">
        <w:rPr>
          <w:rFonts w:eastAsia="Times New Roman" w:cs="Arial"/>
          <w:sz w:val="24"/>
          <w:szCs w:val="24"/>
          <w:lang w:eastAsia="bg-BG"/>
        </w:rPr>
        <w:t xml:space="preserve"> </w:t>
      </w:r>
      <w:r w:rsidRPr="00D9047A">
        <w:rPr>
          <w:rFonts w:eastAsia="Times New Roman" w:cs="Arial"/>
          <w:color w:val="000000"/>
          <w:lang w:eastAsia="bg-BG"/>
        </w:rPr>
        <w:t>Клиндамицин преминава в плацентата. Приема се, че у фетуса може да бъде достигната концентрация с терапевтични нива. Когато се прилага по време на бременност, ползите и рисковете трябва внимателно да се преценяват едни спрямо други.</w:t>
      </w:r>
    </w:p>
    <w:p w14:paraId="6E7E9D21" w14:textId="77777777" w:rsidR="00D9047A" w:rsidRPr="00D9047A" w:rsidRDefault="00D9047A" w:rsidP="00D9047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BA91769" w14:textId="74F17767" w:rsidR="00D9047A" w:rsidRPr="00D9047A" w:rsidRDefault="00D9047A" w:rsidP="00D9047A">
      <w:pPr>
        <w:pStyle w:val="Heading3"/>
        <w:rPr>
          <w:rFonts w:eastAsia="Times New Roman"/>
          <w:u w:val="single"/>
          <w:lang w:eastAsia="bg-BG"/>
        </w:rPr>
      </w:pPr>
      <w:r w:rsidRPr="00D9047A">
        <w:rPr>
          <w:rFonts w:eastAsia="Times New Roman"/>
          <w:u w:val="single"/>
          <w:lang w:eastAsia="bg-BG"/>
        </w:rPr>
        <w:t>Кърмене</w:t>
      </w:r>
    </w:p>
    <w:p w14:paraId="20F42297" w14:textId="77777777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Клиндамицин се излъчва с млякото при жените кърмачки. Поради това, възможността за сенсибилизиране, диария и колонизиране с мицели на лигавиците при кърмачетата не може да се изключи. Когато се прилага в периода на кърмене, ползите и рисковете трябва внимателно да се преценяват едни спрямо други.</w:t>
      </w:r>
    </w:p>
    <w:p w14:paraId="79615256" w14:textId="77777777" w:rsidR="00D9047A" w:rsidRPr="00D9047A" w:rsidRDefault="00D9047A" w:rsidP="00D9047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0DFAFAE" w14:textId="0A5EFECA" w:rsidR="00D9047A" w:rsidRPr="00D9047A" w:rsidRDefault="00D9047A" w:rsidP="00D9047A">
      <w:pPr>
        <w:pStyle w:val="Heading3"/>
        <w:rPr>
          <w:rFonts w:eastAsia="Times New Roman"/>
          <w:u w:val="single"/>
          <w:lang w:eastAsia="bg-BG"/>
        </w:rPr>
      </w:pPr>
      <w:r w:rsidRPr="00D9047A">
        <w:rPr>
          <w:rFonts w:eastAsia="Times New Roman"/>
          <w:u w:val="single"/>
          <w:lang w:eastAsia="bg-BG"/>
        </w:rPr>
        <w:t>Фертилитет</w:t>
      </w:r>
    </w:p>
    <w:p w14:paraId="30638239" w14:textId="77777777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Проучвания при животни не показват ефекти върху фертилитета. Липсват данни относно влиянието на клиндамицин върху фертилитета при хора.</w:t>
      </w:r>
    </w:p>
    <w:p w14:paraId="234D5A2B" w14:textId="77777777" w:rsidR="00D9047A" w:rsidRPr="00D9047A" w:rsidRDefault="00D9047A" w:rsidP="00D9047A"/>
    <w:p w14:paraId="321AAB00" w14:textId="3F291B04" w:rsidR="009F77A4" w:rsidRDefault="002C50EE" w:rsidP="00387A66">
      <w:pPr>
        <w:pStyle w:val="Heading2"/>
      </w:pPr>
      <w:r>
        <w:lastRenderedPageBreak/>
        <w:t>4.7. Ефекти върху способността за шофиране и работа с машини</w:t>
      </w:r>
    </w:p>
    <w:p w14:paraId="26FE30C3" w14:textId="00A1672F" w:rsidR="00D9047A" w:rsidRDefault="00D9047A" w:rsidP="00D9047A"/>
    <w:p w14:paraId="1BBDB66D" w14:textId="77777777" w:rsidR="00D9047A" w:rsidRPr="00D9047A" w:rsidRDefault="00D9047A" w:rsidP="00D9047A">
      <w:pPr>
        <w:rPr>
          <w:sz w:val="24"/>
          <w:szCs w:val="24"/>
          <w:lang w:eastAsia="bg-BG"/>
        </w:rPr>
      </w:pPr>
      <w:r w:rsidRPr="00D9047A">
        <w:rPr>
          <w:lang w:eastAsia="bg-BG"/>
        </w:rPr>
        <w:t>Нежелани реакции като замайване, сънливост и главоболие могат да затруднят способността за шофиране и работа с машини.</w:t>
      </w:r>
    </w:p>
    <w:p w14:paraId="580C36A8" w14:textId="77777777" w:rsidR="00D9047A" w:rsidRPr="00D9047A" w:rsidRDefault="00D9047A" w:rsidP="00D9047A">
      <w:pPr>
        <w:rPr>
          <w:sz w:val="24"/>
          <w:szCs w:val="24"/>
          <w:lang w:eastAsia="bg-BG"/>
        </w:rPr>
      </w:pPr>
      <w:r w:rsidRPr="00D9047A">
        <w:rPr>
          <w:lang w:eastAsia="bg-BG"/>
        </w:rPr>
        <w:t>В изолирани случаи (като например анафилактичен шок) са били наблюдавани нежелани реакции (вж. точка 4.8), които правят пациентите неспособни да участват активно в движението по пътищата, да работят с машини и да прилагат необходимите предпазни мерки поради нестабилност.</w:t>
      </w:r>
    </w:p>
    <w:p w14:paraId="4B002E58" w14:textId="77777777" w:rsidR="00D9047A" w:rsidRPr="00D9047A" w:rsidRDefault="00D9047A" w:rsidP="00D9047A"/>
    <w:p w14:paraId="136C86B8" w14:textId="00533073" w:rsidR="009F77A4" w:rsidRDefault="002C50EE" w:rsidP="00387A66">
      <w:pPr>
        <w:pStyle w:val="Heading2"/>
      </w:pPr>
      <w:r>
        <w:t>4.8. Нежелани лекарствени реакции</w:t>
      </w:r>
    </w:p>
    <w:p w14:paraId="1276561D" w14:textId="60D26210" w:rsidR="00D9047A" w:rsidRDefault="00D9047A" w:rsidP="00D9047A"/>
    <w:p w14:paraId="4CAF1A5D" w14:textId="77777777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i/>
          <w:iCs/>
          <w:color w:val="000000"/>
          <w:lang w:eastAsia="bg-BG"/>
        </w:rPr>
        <w:t>а)</w:t>
      </w:r>
      <w:r w:rsidRPr="00D9047A">
        <w:rPr>
          <w:rFonts w:eastAsia="Times New Roman" w:cs="Arial"/>
          <w:color w:val="000000"/>
          <w:lang w:eastAsia="bg-BG"/>
        </w:rPr>
        <w:t xml:space="preserve"> Обобщение на нежеланите реакции в табличен вид</w:t>
      </w:r>
    </w:p>
    <w:p w14:paraId="5BEB2B4A" w14:textId="77777777" w:rsidR="00D9047A" w:rsidRPr="00D9047A" w:rsidRDefault="00D9047A" w:rsidP="00D9047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4933BEC" w14:textId="05A9BE03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В таблицата по-долу са изброени нежеланите реакции, установени при клиничните изпитвания и постмаркетинговото наблюдение по системо-органен клас и честота.</w:t>
      </w:r>
    </w:p>
    <w:p w14:paraId="4F6EBA47" w14:textId="77777777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Групирането по честота е определено при използване на следната конвенция:</w:t>
      </w:r>
    </w:p>
    <w:p w14:paraId="65ED2536" w14:textId="5143A4F2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Много чести (≥1/10)</w:t>
      </w:r>
    </w:p>
    <w:p w14:paraId="55B96647" w14:textId="1FFF8885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Чести (≥1/100 до &lt; 1/10)</w:t>
      </w:r>
    </w:p>
    <w:p w14:paraId="44958D95" w14:textId="26667BB3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Нечести (≥1/1 000 до &lt; 1/100)</w:t>
      </w:r>
    </w:p>
    <w:p w14:paraId="38655429" w14:textId="2750FE5E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Редки (≥1/10 000 до &lt; 1/1 000)</w:t>
      </w:r>
    </w:p>
    <w:p w14:paraId="225A8A3B" w14:textId="77777777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Много редки (&lt; 1/10 000)</w:t>
      </w:r>
    </w:p>
    <w:p w14:paraId="0675AB0A" w14:textId="77777777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С неизвестна честота (от наличните данни не може да бъде направена оценка).</w:t>
      </w:r>
    </w:p>
    <w:p w14:paraId="63E38F94" w14:textId="77777777" w:rsidR="00D9047A" w:rsidRPr="00D9047A" w:rsidRDefault="00D9047A" w:rsidP="00D9047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B2F5B8C" w14:textId="67E8AA8B" w:rsidR="00D9047A" w:rsidRPr="00D9047A" w:rsidRDefault="00D9047A" w:rsidP="00D9047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При всяко групиране в зависимост от честотата, нежеланите лекарствени реакции са изброени в низходящ ред по отношение на тежестта на тяхната сериозност.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"/>
        <w:gridCol w:w="1149"/>
        <w:gridCol w:w="1454"/>
        <w:gridCol w:w="1222"/>
        <w:gridCol w:w="1425"/>
        <w:gridCol w:w="1329"/>
        <w:gridCol w:w="1454"/>
      </w:tblGrid>
      <w:tr w:rsidR="00000000" w14:paraId="34491FCE" w14:textId="77777777" w:rsidTr="00D9047A">
        <w:tc>
          <w:tcPr>
            <w:tcW w:w="1349" w:type="dxa"/>
          </w:tcPr>
          <w:p w14:paraId="0F3DC451" w14:textId="62869D45" w:rsidR="00D9047A" w:rsidRDefault="00D9047A" w:rsidP="00D9047A">
            <w:r>
              <w:rPr>
                <w:b/>
                <w:bCs/>
                <w:u w:val="single"/>
              </w:rPr>
              <w:t>Снстемо- органен клас</w:t>
            </w:r>
          </w:p>
        </w:tc>
        <w:tc>
          <w:tcPr>
            <w:tcW w:w="1176" w:type="dxa"/>
          </w:tcPr>
          <w:p w14:paraId="4FA10E33" w14:textId="614C4691" w:rsidR="00D9047A" w:rsidRDefault="00D9047A" w:rsidP="00D9047A">
            <w:r>
              <w:rPr>
                <w:b/>
                <w:bCs/>
                <w:u w:val="single"/>
              </w:rPr>
              <w:t xml:space="preserve">Много чести </w:t>
            </w:r>
            <w:r>
              <w:rPr>
                <w:b/>
                <w:bCs/>
              </w:rPr>
              <w:t>(≥1/10)</w:t>
            </w:r>
          </w:p>
        </w:tc>
        <w:tc>
          <w:tcPr>
            <w:tcW w:w="1489" w:type="dxa"/>
          </w:tcPr>
          <w:p w14:paraId="70AA8BE6" w14:textId="463C1519" w:rsidR="00D9047A" w:rsidRDefault="00D9047A" w:rsidP="00D9047A">
            <w:r>
              <w:rPr>
                <w:b/>
                <w:bCs/>
                <w:u w:val="single"/>
              </w:rPr>
              <w:t xml:space="preserve">Чести </w:t>
            </w:r>
            <w:r>
              <w:rPr>
                <w:b/>
                <w:bCs/>
              </w:rPr>
              <w:t>(≥1/100 до &lt; 1/10)</w:t>
            </w:r>
          </w:p>
        </w:tc>
        <w:tc>
          <w:tcPr>
            <w:tcW w:w="1251" w:type="dxa"/>
          </w:tcPr>
          <w:p w14:paraId="59C5DA6F" w14:textId="0A02338E" w:rsidR="00D9047A" w:rsidRDefault="00D9047A" w:rsidP="00D9047A">
            <w:r>
              <w:rPr>
                <w:b/>
                <w:bCs/>
                <w:u w:val="single"/>
              </w:rPr>
              <w:t xml:space="preserve">Нечести </w:t>
            </w:r>
            <w:r>
              <w:rPr>
                <w:b/>
                <w:bCs/>
              </w:rPr>
              <w:t>(≥1/1 000 до &lt; 1/100)</w:t>
            </w:r>
          </w:p>
        </w:tc>
        <w:tc>
          <w:tcPr>
            <w:tcW w:w="1460" w:type="dxa"/>
          </w:tcPr>
          <w:p w14:paraId="1659B31D" w14:textId="11808F67" w:rsidR="00D9047A" w:rsidRDefault="00D9047A" w:rsidP="00D9047A">
            <w:r>
              <w:rPr>
                <w:b/>
                <w:bCs/>
                <w:u w:val="single"/>
              </w:rPr>
              <w:t xml:space="preserve">Редки </w:t>
            </w:r>
            <w:r>
              <w:rPr>
                <w:b/>
                <w:bCs/>
              </w:rPr>
              <w:t>(≥1/10 000 до &lt; 1/1 000)</w:t>
            </w:r>
          </w:p>
        </w:tc>
        <w:tc>
          <w:tcPr>
            <w:tcW w:w="1361" w:type="dxa"/>
          </w:tcPr>
          <w:p w14:paraId="0A390A66" w14:textId="0C0A1A78" w:rsidR="00D9047A" w:rsidRDefault="00D9047A" w:rsidP="00D9047A">
            <w:r>
              <w:rPr>
                <w:b/>
                <w:bCs/>
                <w:u w:val="single"/>
              </w:rPr>
              <w:t xml:space="preserve">Много редки </w:t>
            </w:r>
            <w:r>
              <w:rPr>
                <w:b/>
                <w:bCs/>
              </w:rPr>
              <w:t>(&lt; 1/10 000)</w:t>
            </w:r>
          </w:p>
        </w:tc>
        <w:tc>
          <w:tcPr>
            <w:tcW w:w="1490" w:type="dxa"/>
            <w:vAlign w:val="bottom"/>
          </w:tcPr>
          <w:p w14:paraId="49509AA2" w14:textId="7AA61BF9" w:rsidR="00D9047A" w:rsidRDefault="00D9047A" w:rsidP="00D9047A">
            <w:r>
              <w:rPr>
                <w:b/>
                <w:bCs/>
                <w:u w:val="single"/>
              </w:rPr>
              <w:t xml:space="preserve">С неизвестна честота </w:t>
            </w:r>
            <w:r>
              <w:rPr>
                <w:b/>
                <w:bCs/>
              </w:rPr>
              <w:t>(от наличните данни не може да бъде направена оценка)</w:t>
            </w:r>
          </w:p>
        </w:tc>
      </w:tr>
      <w:tr w:rsidR="00000000" w14:paraId="0DCEF45D" w14:textId="77777777" w:rsidTr="00D9047A">
        <w:tc>
          <w:tcPr>
            <w:tcW w:w="1349" w:type="dxa"/>
          </w:tcPr>
          <w:p w14:paraId="7455EB56" w14:textId="69D2551F" w:rsidR="00D9047A" w:rsidRDefault="00D9047A" w:rsidP="00D9047A">
            <w:r>
              <w:rPr>
                <w:b/>
                <w:bCs/>
              </w:rPr>
              <w:t>Инфекции н ннфестации</w:t>
            </w:r>
          </w:p>
        </w:tc>
        <w:tc>
          <w:tcPr>
            <w:tcW w:w="1176" w:type="dxa"/>
          </w:tcPr>
          <w:p w14:paraId="1F3249B7" w14:textId="77777777" w:rsidR="00D9047A" w:rsidRDefault="00D9047A" w:rsidP="00D9047A"/>
        </w:tc>
        <w:tc>
          <w:tcPr>
            <w:tcW w:w="1489" w:type="dxa"/>
          </w:tcPr>
          <w:p w14:paraId="6742B48A" w14:textId="45186A5E" w:rsidR="00D9047A" w:rsidRDefault="00D9047A" w:rsidP="00D9047A">
            <w:r>
              <w:t>Псевдомембра- нозен колит, свързан с антибиотици</w:t>
            </w:r>
            <w:r>
              <w:rPr>
                <w:vertAlign w:val="superscript"/>
              </w:rPr>
              <w:t>*#</w:t>
            </w:r>
          </w:p>
        </w:tc>
        <w:tc>
          <w:tcPr>
            <w:tcW w:w="1251" w:type="dxa"/>
          </w:tcPr>
          <w:p w14:paraId="051501C8" w14:textId="77777777" w:rsidR="00D9047A" w:rsidRDefault="00D9047A" w:rsidP="00D9047A"/>
        </w:tc>
        <w:tc>
          <w:tcPr>
            <w:tcW w:w="1460" w:type="dxa"/>
          </w:tcPr>
          <w:p w14:paraId="11F1FB80" w14:textId="77777777" w:rsidR="00D9047A" w:rsidRDefault="00D9047A" w:rsidP="00D9047A"/>
        </w:tc>
        <w:tc>
          <w:tcPr>
            <w:tcW w:w="1361" w:type="dxa"/>
            <w:vAlign w:val="bottom"/>
          </w:tcPr>
          <w:p w14:paraId="0B4A0690" w14:textId="77777777" w:rsidR="00D9047A" w:rsidRDefault="00D9047A" w:rsidP="00D9047A"/>
        </w:tc>
        <w:tc>
          <w:tcPr>
            <w:tcW w:w="1490" w:type="dxa"/>
            <w:vAlign w:val="bottom"/>
          </w:tcPr>
          <w:p w14:paraId="54B56566" w14:textId="77777777" w:rsidR="00D9047A" w:rsidRDefault="00D9047A" w:rsidP="00D9047A">
            <w:r>
              <w:t>Колит,</w:t>
            </w:r>
          </w:p>
          <w:p w14:paraId="4DFFDE4F" w14:textId="77777777" w:rsidR="00D9047A" w:rsidRDefault="00D9047A" w:rsidP="00D9047A">
            <w:r>
              <w:t>причинен от</w:t>
            </w:r>
          </w:p>
          <w:p w14:paraId="6C0057E2" w14:textId="77777777" w:rsidR="00D9047A" w:rsidRDefault="00D9047A" w:rsidP="00D9047A">
            <w:proofErr w:type="spellStart"/>
            <w:r>
              <w:rPr>
                <w:lang w:val="en-US"/>
              </w:rPr>
              <w:t>Cloystridium</w:t>
            </w:r>
            <w:proofErr w:type="spellEnd"/>
          </w:p>
          <w:p w14:paraId="64387B7A" w14:textId="77777777" w:rsidR="00D9047A" w:rsidRDefault="00D9047A" w:rsidP="00D9047A">
            <w:proofErr w:type="spellStart"/>
            <w:r>
              <w:rPr>
                <w:lang w:val="en-US"/>
              </w:rPr>
              <w:t>difficule</w:t>
            </w:r>
            <w:proofErr w:type="spellEnd"/>
          </w:p>
          <w:p w14:paraId="65E5D341" w14:textId="77777777" w:rsidR="00D9047A" w:rsidRDefault="00D9047A" w:rsidP="00D9047A">
            <w:r>
              <w:t>вагинална</w:t>
            </w:r>
          </w:p>
          <w:p w14:paraId="31EA8A78" w14:textId="3CE65FF2" w:rsidR="00D9047A" w:rsidRDefault="00D9047A" w:rsidP="00D9047A">
            <w:r>
              <w:t>инфекция*</w:t>
            </w:r>
          </w:p>
        </w:tc>
      </w:tr>
      <w:tr w:rsidR="00000000" w14:paraId="4DB03B99" w14:textId="77777777" w:rsidTr="00D9047A">
        <w:tc>
          <w:tcPr>
            <w:tcW w:w="1349" w:type="dxa"/>
          </w:tcPr>
          <w:p w14:paraId="5781544C" w14:textId="6DF6A419" w:rsidR="00D9047A" w:rsidRDefault="00D9047A" w:rsidP="00D9047A">
            <w:r>
              <w:rPr>
                <w:b/>
                <w:bCs/>
              </w:rPr>
              <w:t>Нарушения на кръвта и лимфната система</w:t>
            </w:r>
          </w:p>
        </w:tc>
        <w:tc>
          <w:tcPr>
            <w:tcW w:w="1176" w:type="dxa"/>
          </w:tcPr>
          <w:p w14:paraId="178BD083" w14:textId="77777777" w:rsidR="00D9047A" w:rsidRDefault="00D9047A" w:rsidP="00D9047A"/>
        </w:tc>
        <w:tc>
          <w:tcPr>
            <w:tcW w:w="1489" w:type="dxa"/>
            <w:vAlign w:val="bottom"/>
          </w:tcPr>
          <w:p w14:paraId="69CAF074" w14:textId="2A023936" w:rsidR="00D9047A" w:rsidRDefault="00D9047A" w:rsidP="00D9047A">
            <w:r>
              <w:t xml:space="preserve">Агранулоци- тоза*, неутропения*, тромбоцито- пения*, левкопения*, </w:t>
            </w:r>
            <w:r>
              <w:lastRenderedPageBreak/>
              <w:t>еозинофилия</w:t>
            </w:r>
          </w:p>
        </w:tc>
        <w:tc>
          <w:tcPr>
            <w:tcW w:w="1251" w:type="dxa"/>
          </w:tcPr>
          <w:p w14:paraId="29777B31" w14:textId="77777777" w:rsidR="00D9047A" w:rsidRDefault="00D9047A" w:rsidP="00D9047A"/>
        </w:tc>
        <w:tc>
          <w:tcPr>
            <w:tcW w:w="1460" w:type="dxa"/>
          </w:tcPr>
          <w:p w14:paraId="67BDD39A" w14:textId="77777777" w:rsidR="00D9047A" w:rsidRDefault="00D9047A" w:rsidP="00D9047A"/>
        </w:tc>
        <w:tc>
          <w:tcPr>
            <w:tcW w:w="1361" w:type="dxa"/>
          </w:tcPr>
          <w:p w14:paraId="786B9BC0" w14:textId="77777777" w:rsidR="00D9047A" w:rsidRDefault="00D9047A" w:rsidP="00D9047A"/>
        </w:tc>
        <w:tc>
          <w:tcPr>
            <w:tcW w:w="1490" w:type="dxa"/>
          </w:tcPr>
          <w:p w14:paraId="534308AA" w14:textId="77777777" w:rsidR="00D9047A" w:rsidRDefault="00D9047A" w:rsidP="00D9047A"/>
        </w:tc>
      </w:tr>
      <w:tr w:rsidR="00000000" w14:paraId="03C65A4C" w14:textId="77777777" w:rsidTr="00D9047A">
        <w:tc>
          <w:tcPr>
            <w:tcW w:w="1349" w:type="dxa"/>
          </w:tcPr>
          <w:p w14:paraId="7CEB2E40" w14:textId="32599646" w:rsidR="00D9047A" w:rsidRDefault="00D9047A" w:rsidP="00D9047A">
            <w:r>
              <w:rPr>
                <w:b/>
                <w:bCs/>
              </w:rPr>
              <w:t>Нарушения на имунната система</w:t>
            </w:r>
          </w:p>
        </w:tc>
        <w:tc>
          <w:tcPr>
            <w:tcW w:w="1176" w:type="dxa"/>
          </w:tcPr>
          <w:p w14:paraId="655A4D00" w14:textId="77777777" w:rsidR="00D9047A" w:rsidRDefault="00D9047A" w:rsidP="00D9047A"/>
        </w:tc>
        <w:tc>
          <w:tcPr>
            <w:tcW w:w="1489" w:type="dxa"/>
          </w:tcPr>
          <w:p w14:paraId="5448EDAA" w14:textId="77777777" w:rsidR="00D9047A" w:rsidRDefault="00D9047A" w:rsidP="00D9047A"/>
        </w:tc>
        <w:tc>
          <w:tcPr>
            <w:tcW w:w="1251" w:type="dxa"/>
          </w:tcPr>
          <w:p w14:paraId="0CD2657B" w14:textId="77777777" w:rsidR="00D9047A" w:rsidRDefault="00D9047A" w:rsidP="00D9047A"/>
        </w:tc>
        <w:tc>
          <w:tcPr>
            <w:tcW w:w="1460" w:type="dxa"/>
            <w:vAlign w:val="bottom"/>
          </w:tcPr>
          <w:p w14:paraId="7E8BE789" w14:textId="31E6C41C" w:rsidR="00D9047A" w:rsidRDefault="00D9047A" w:rsidP="00D9047A">
            <w:r>
              <w:t>Медикаментоз</w:t>
            </w:r>
            <w:r>
              <w:softHyphen/>
              <w:t>на треска, реакция на свръхчувстви</w:t>
            </w:r>
            <w:r>
              <w:softHyphen/>
              <w:t>телност към бензилов алкохол („синдром на задъхване“)</w:t>
            </w:r>
          </w:p>
        </w:tc>
        <w:tc>
          <w:tcPr>
            <w:tcW w:w="1361" w:type="dxa"/>
          </w:tcPr>
          <w:p w14:paraId="583E7A63" w14:textId="7CFE475A" w:rsidR="00D9047A" w:rsidRDefault="00D9047A" w:rsidP="00D9047A">
            <w:r>
              <w:t>Анафилак- тична реакция*#</w:t>
            </w:r>
          </w:p>
        </w:tc>
        <w:tc>
          <w:tcPr>
            <w:tcW w:w="1490" w:type="dxa"/>
          </w:tcPr>
          <w:p w14:paraId="6FEA1F79" w14:textId="42043817" w:rsidR="00D9047A" w:rsidRDefault="00D9047A" w:rsidP="00D9047A">
            <w:r>
              <w:t>Анафилак- тичен шок*, анафилак- тоидна реакция, свръхчувстви</w:t>
            </w:r>
            <w:r>
              <w:softHyphen/>
              <w:t>телност</w:t>
            </w:r>
          </w:p>
        </w:tc>
      </w:tr>
      <w:tr w:rsidR="00000000" w14:paraId="2FB9B22F" w14:textId="77777777" w:rsidTr="00D9047A">
        <w:tc>
          <w:tcPr>
            <w:tcW w:w="1349" w:type="dxa"/>
            <w:vAlign w:val="bottom"/>
          </w:tcPr>
          <w:p w14:paraId="6B82DA77" w14:textId="36E88F84" w:rsidR="00D9047A" w:rsidRDefault="00D9047A" w:rsidP="00D9047A">
            <w:r>
              <w:rPr>
                <w:b/>
                <w:bCs/>
              </w:rPr>
              <w:t>Нарушения на нервната система</w:t>
            </w:r>
          </w:p>
        </w:tc>
        <w:tc>
          <w:tcPr>
            <w:tcW w:w="1176" w:type="dxa"/>
          </w:tcPr>
          <w:p w14:paraId="160404AA" w14:textId="77777777" w:rsidR="00D9047A" w:rsidRDefault="00D9047A" w:rsidP="00D9047A"/>
        </w:tc>
        <w:tc>
          <w:tcPr>
            <w:tcW w:w="1489" w:type="dxa"/>
          </w:tcPr>
          <w:p w14:paraId="3333A3EF" w14:textId="77777777" w:rsidR="00D9047A" w:rsidRDefault="00D9047A" w:rsidP="00D9047A"/>
        </w:tc>
        <w:tc>
          <w:tcPr>
            <w:tcW w:w="1251" w:type="dxa"/>
            <w:vAlign w:val="bottom"/>
          </w:tcPr>
          <w:p w14:paraId="5F24C7D0" w14:textId="12D68788" w:rsidR="00D9047A" w:rsidRDefault="00D9047A" w:rsidP="00D9047A">
            <w:r>
              <w:t>Дисгеузия, ефект на невромуску- лен блокаж</w:t>
            </w:r>
          </w:p>
        </w:tc>
        <w:tc>
          <w:tcPr>
            <w:tcW w:w="1460" w:type="dxa"/>
          </w:tcPr>
          <w:p w14:paraId="2112550D" w14:textId="77777777" w:rsidR="00D9047A" w:rsidRDefault="00D9047A" w:rsidP="00D9047A"/>
        </w:tc>
        <w:tc>
          <w:tcPr>
            <w:tcW w:w="1361" w:type="dxa"/>
          </w:tcPr>
          <w:p w14:paraId="57558912" w14:textId="77777777" w:rsidR="00D9047A" w:rsidRDefault="00D9047A" w:rsidP="00D9047A"/>
        </w:tc>
        <w:tc>
          <w:tcPr>
            <w:tcW w:w="1490" w:type="dxa"/>
          </w:tcPr>
          <w:p w14:paraId="07785DF8" w14:textId="4B1A384F" w:rsidR="00D9047A" w:rsidRDefault="00D9047A" w:rsidP="00D9047A">
            <w:r>
              <w:t>Сънливост, замайване, главоболие</w:t>
            </w:r>
          </w:p>
        </w:tc>
      </w:tr>
      <w:tr w:rsidR="00000000" w14:paraId="63876F64" w14:textId="77777777" w:rsidTr="00D9047A">
        <w:tc>
          <w:tcPr>
            <w:tcW w:w="1349" w:type="dxa"/>
          </w:tcPr>
          <w:p w14:paraId="01F58CAB" w14:textId="47EF089D" w:rsidR="00D9047A" w:rsidRDefault="00D9047A" w:rsidP="00D9047A">
            <w:r>
              <w:rPr>
                <w:b/>
                <w:bCs/>
              </w:rPr>
              <w:t>Сърдечни нарушения</w:t>
            </w:r>
          </w:p>
        </w:tc>
        <w:tc>
          <w:tcPr>
            <w:tcW w:w="1176" w:type="dxa"/>
          </w:tcPr>
          <w:p w14:paraId="44223C8F" w14:textId="77777777" w:rsidR="00D9047A" w:rsidRDefault="00D9047A" w:rsidP="00D9047A"/>
        </w:tc>
        <w:tc>
          <w:tcPr>
            <w:tcW w:w="1489" w:type="dxa"/>
          </w:tcPr>
          <w:p w14:paraId="707A1BE1" w14:textId="77777777" w:rsidR="00D9047A" w:rsidRDefault="00D9047A" w:rsidP="00D9047A"/>
        </w:tc>
        <w:tc>
          <w:tcPr>
            <w:tcW w:w="1251" w:type="dxa"/>
            <w:vAlign w:val="bottom"/>
          </w:tcPr>
          <w:p w14:paraId="178C8718" w14:textId="382A47AD" w:rsidR="00D9047A" w:rsidRDefault="00D9047A" w:rsidP="00D9047A">
            <w:r>
              <w:t>Кардио- пулмонарен арест</w:t>
            </w:r>
            <w:r>
              <w:rPr>
                <w:vertAlign w:val="superscript"/>
              </w:rPr>
              <w:t>§</w:t>
            </w:r>
          </w:p>
        </w:tc>
        <w:tc>
          <w:tcPr>
            <w:tcW w:w="1460" w:type="dxa"/>
          </w:tcPr>
          <w:p w14:paraId="05275D0B" w14:textId="77777777" w:rsidR="00D9047A" w:rsidRDefault="00D9047A" w:rsidP="00D9047A"/>
        </w:tc>
        <w:tc>
          <w:tcPr>
            <w:tcW w:w="1361" w:type="dxa"/>
          </w:tcPr>
          <w:p w14:paraId="522920BF" w14:textId="77777777" w:rsidR="00D9047A" w:rsidRDefault="00D9047A" w:rsidP="00D9047A"/>
        </w:tc>
        <w:tc>
          <w:tcPr>
            <w:tcW w:w="1490" w:type="dxa"/>
          </w:tcPr>
          <w:p w14:paraId="0EDA309B" w14:textId="77777777" w:rsidR="00D9047A" w:rsidRDefault="00D9047A" w:rsidP="00D9047A"/>
        </w:tc>
      </w:tr>
      <w:tr w:rsidR="00000000" w14:paraId="0C764A54" w14:textId="77777777" w:rsidTr="00D9047A">
        <w:tc>
          <w:tcPr>
            <w:tcW w:w="1349" w:type="dxa"/>
            <w:vAlign w:val="bottom"/>
          </w:tcPr>
          <w:p w14:paraId="5DC93B4C" w14:textId="490C8D1E" w:rsidR="00D9047A" w:rsidRDefault="00D9047A" w:rsidP="00D9047A">
            <w:r>
              <w:rPr>
                <w:b/>
                <w:bCs/>
              </w:rPr>
              <w:t>Съдови нарушения</w:t>
            </w:r>
          </w:p>
        </w:tc>
        <w:tc>
          <w:tcPr>
            <w:tcW w:w="1176" w:type="dxa"/>
          </w:tcPr>
          <w:p w14:paraId="0BF4C900" w14:textId="77777777" w:rsidR="00D9047A" w:rsidRDefault="00D9047A" w:rsidP="00D9047A"/>
        </w:tc>
        <w:tc>
          <w:tcPr>
            <w:tcW w:w="1489" w:type="dxa"/>
          </w:tcPr>
          <w:p w14:paraId="48CFB82D" w14:textId="018E8681" w:rsidR="00D9047A" w:rsidRDefault="00D9047A" w:rsidP="00D9047A">
            <w:r>
              <w:t>Тромбофлебит</w:t>
            </w:r>
          </w:p>
        </w:tc>
        <w:tc>
          <w:tcPr>
            <w:tcW w:w="1251" w:type="dxa"/>
          </w:tcPr>
          <w:p w14:paraId="63D97282" w14:textId="53CAA4BB" w:rsidR="00D9047A" w:rsidRDefault="00D9047A" w:rsidP="00D9047A">
            <w:r>
              <w:t>Хипотония</w:t>
            </w:r>
            <w:r>
              <w:rPr>
                <w:vertAlign w:val="superscript"/>
              </w:rPr>
              <w:t>§</w:t>
            </w:r>
          </w:p>
        </w:tc>
        <w:tc>
          <w:tcPr>
            <w:tcW w:w="1460" w:type="dxa"/>
          </w:tcPr>
          <w:p w14:paraId="280ACF1A" w14:textId="77777777" w:rsidR="00D9047A" w:rsidRDefault="00D9047A" w:rsidP="00D9047A"/>
        </w:tc>
        <w:tc>
          <w:tcPr>
            <w:tcW w:w="1361" w:type="dxa"/>
          </w:tcPr>
          <w:p w14:paraId="41B7E52C" w14:textId="77777777" w:rsidR="00D9047A" w:rsidRDefault="00D9047A" w:rsidP="00D9047A"/>
        </w:tc>
        <w:tc>
          <w:tcPr>
            <w:tcW w:w="1490" w:type="dxa"/>
          </w:tcPr>
          <w:p w14:paraId="46DFA2D3" w14:textId="77777777" w:rsidR="00D9047A" w:rsidRDefault="00D9047A" w:rsidP="00D9047A"/>
        </w:tc>
      </w:tr>
      <w:tr w:rsidR="00000000" w14:paraId="68C01A22" w14:textId="77777777" w:rsidTr="00D9047A">
        <w:tc>
          <w:tcPr>
            <w:tcW w:w="1349" w:type="dxa"/>
          </w:tcPr>
          <w:p w14:paraId="310E2B8B" w14:textId="201E77AC" w:rsidR="00D9047A" w:rsidRDefault="00D9047A" w:rsidP="00D9047A">
            <w:r>
              <w:rPr>
                <w:b/>
                <w:bCs/>
              </w:rPr>
              <w:t>Стомашно- чревни нарушения</w:t>
            </w:r>
          </w:p>
        </w:tc>
        <w:tc>
          <w:tcPr>
            <w:tcW w:w="1176" w:type="dxa"/>
            <w:vAlign w:val="bottom"/>
          </w:tcPr>
          <w:p w14:paraId="07A941BA" w14:textId="4BE1C957" w:rsidR="00D9047A" w:rsidRDefault="00D9047A" w:rsidP="00D9047A">
            <w:r>
              <w:t>Диария, болки в корема, повръщане, гадене</w:t>
            </w:r>
          </w:p>
        </w:tc>
        <w:tc>
          <w:tcPr>
            <w:tcW w:w="1489" w:type="dxa"/>
          </w:tcPr>
          <w:p w14:paraId="034B21F7" w14:textId="77777777" w:rsidR="00D9047A" w:rsidRDefault="00D9047A" w:rsidP="00D9047A"/>
        </w:tc>
        <w:tc>
          <w:tcPr>
            <w:tcW w:w="1251" w:type="dxa"/>
          </w:tcPr>
          <w:p w14:paraId="7462A657" w14:textId="77777777" w:rsidR="00D9047A" w:rsidRDefault="00D9047A" w:rsidP="00D9047A"/>
        </w:tc>
        <w:tc>
          <w:tcPr>
            <w:tcW w:w="1460" w:type="dxa"/>
          </w:tcPr>
          <w:p w14:paraId="07945EDB" w14:textId="77777777" w:rsidR="00D9047A" w:rsidRDefault="00D9047A" w:rsidP="00D9047A"/>
        </w:tc>
        <w:tc>
          <w:tcPr>
            <w:tcW w:w="1361" w:type="dxa"/>
          </w:tcPr>
          <w:p w14:paraId="6207BCB7" w14:textId="77777777" w:rsidR="00D9047A" w:rsidRDefault="00D9047A" w:rsidP="00D9047A"/>
        </w:tc>
        <w:tc>
          <w:tcPr>
            <w:tcW w:w="1490" w:type="dxa"/>
          </w:tcPr>
          <w:p w14:paraId="5DDFAB6B" w14:textId="77777777" w:rsidR="00D9047A" w:rsidRDefault="00D9047A" w:rsidP="00D9047A"/>
        </w:tc>
      </w:tr>
      <w:tr w:rsidR="00000000" w14:paraId="78D009F9" w14:textId="77777777" w:rsidTr="00D9047A">
        <w:tc>
          <w:tcPr>
            <w:tcW w:w="1349" w:type="dxa"/>
          </w:tcPr>
          <w:p w14:paraId="2CB78AA1" w14:textId="5AA5F1AD" w:rsidR="00D9047A" w:rsidRDefault="00D9047A" w:rsidP="00D9047A">
            <w:r>
              <w:rPr>
                <w:b/>
                <w:bCs/>
              </w:rPr>
              <w:t>Хепатоби- лиарнн нарушения</w:t>
            </w:r>
          </w:p>
        </w:tc>
        <w:tc>
          <w:tcPr>
            <w:tcW w:w="1176" w:type="dxa"/>
          </w:tcPr>
          <w:p w14:paraId="184E1B22" w14:textId="77777777" w:rsidR="00D9047A" w:rsidRDefault="00D9047A" w:rsidP="00D9047A"/>
        </w:tc>
        <w:tc>
          <w:tcPr>
            <w:tcW w:w="1489" w:type="dxa"/>
          </w:tcPr>
          <w:p w14:paraId="07739643" w14:textId="77777777" w:rsidR="00D9047A" w:rsidRDefault="00D9047A" w:rsidP="00D9047A"/>
        </w:tc>
        <w:tc>
          <w:tcPr>
            <w:tcW w:w="1251" w:type="dxa"/>
          </w:tcPr>
          <w:p w14:paraId="78583093" w14:textId="77777777" w:rsidR="00D9047A" w:rsidRDefault="00D9047A" w:rsidP="00D9047A"/>
        </w:tc>
        <w:tc>
          <w:tcPr>
            <w:tcW w:w="1460" w:type="dxa"/>
          </w:tcPr>
          <w:p w14:paraId="6A4C65FF" w14:textId="77777777" w:rsidR="00D9047A" w:rsidRDefault="00D9047A" w:rsidP="00D9047A"/>
        </w:tc>
        <w:tc>
          <w:tcPr>
            <w:tcW w:w="1361" w:type="dxa"/>
            <w:vAlign w:val="bottom"/>
          </w:tcPr>
          <w:p w14:paraId="0FF1C560" w14:textId="2B35538A" w:rsidR="00D9047A" w:rsidRDefault="00D9047A" w:rsidP="00D9047A">
            <w:r>
              <w:t>Преходен хепатит с холестатична жълтеница</w:t>
            </w:r>
          </w:p>
        </w:tc>
        <w:tc>
          <w:tcPr>
            <w:tcW w:w="1490" w:type="dxa"/>
          </w:tcPr>
          <w:p w14:paraId="492DB044" w14:textId="37D298DE" w:rsidR="00D9047A" w:rsidRDefault="00D9047A" w:rsidP="00D9047A">
            <w:r>
              <w:t>Жълтеница*</w:t>
            </w:r>
          </w:p>
        </w:tc>
      </w:tr>
      <w:tr w:rsidR="00000000" w14:paraId="6E508858" w14:textId="77777777" w:rsidTr="00D9047A">
        <w:tc>
          <w:tcPr>
            <w:tcW w:w="1349" w:type="dxa"/>
          </w:tcPr>
          <w:p w14:paraId="601B9D86" w14:textId="589F9926" w:rsidR="00D9047A" w:rsidRDefault="00D9047A" w:rsidP="00D9047A">
            <w:r>
              <w:rPr>
                <w:b/>
                <w:bCs/>
              </w:rPr>
              <w:t>Нарушения на кожата н подкожната тъкан</w:t>
            </w:r>
          </w:p>
        </w:tc>
        <w:tc>
          <w:tcPr>
            <w:tcW w:w="1176" w:type="dxa"/>
          </w:tcPr>
          <w:p w14:paraId="1E77187D" w14:textId="77777777" w:rsidR="00D9047A" w:rsidRDefault="00D9047A" w:rsidP="00D9047A"/>
        </w:tc>
        <w:tc>
          <w:tcPr>
            <w:tcW w:w="1489" w:type="dxa"/>
          </w:tcPr>
          <w:p w14:paraId="59F34215" w14:textId="0B10BDA3" w:rsidR="00D9047A" w:rsidRDefault="00D9047A" w:rsidP="00D9047A">
            <w:r>
              <w:t>Макуло- папуларен екзантем, морбилифор- мен екзантем*, уртикария</w:t>
            </w:r>
          </w:p>
        </w:tc>
        <w:tc>
          <w:tcPr>
            <w:tcW w:w="1251" w:type="dxa"/>
          </w:tcPr>
          <w:p w14:paraId="643B1531" w14:textId="77777777" w:rsidR="00D9047A" w:rsidRDefault="00D9047A" w:rsidP="00D9047A"/>
        </w:tc>
        <w:tc>
          <w:tcPr>
            <w:tcW w:w="1460" w:type="dxa"/>
            <w:vAlign w:val="bottom"/>
          </w:tcPr>
          <w:p w14:paraId="49A8D26A" w14:textId="1C47C2A6" w:rsidR="00D9047A" w:rsidRDefault="00D9047A" w:rsidP="00D9047A">
            <w:r>
              <w:t xml:space="preserve">Токсична епидермална некролиза </w:t>
            </w:r>
            <w:r>
              <w:rPr>
                <w:lang w:val="en-US"/>
              </w:rPr>
              <w:t xml:space="preserve">(TEN)*, </w:t>
            </w:r>
            <w:r>
              <w:t xml:space="preserve">синдром на </w:t>
            </w:r>
            <w:r>
              <w:rPr>
                <w:lang w:val="en-US"/>
              </w:rPr>
              <w:t xml:space="preserve">Stevens Johnson (SJS)*, </w:t>
            </w:r>
            <w:r>
              <w:t xml:space="preserve">синдром на </w:t>
            </w:r>
            <w:r>
              <w:rPr>
                <w:lang w:val="en-US"/>
              </w:rPr>
              <w:lastRenderedPageBreak/>
              <w:t xml:space="preserve">Lyell, </w:t>
            </w:r>
            <w:r>
              <w:t>ангиоедем, ексфолиативен дерматит*, булозен дерматит*, еритема мултиформе, сърбеж, вагинит</w:t>
            </w:r>
          </w:p>
        </w:tc>
        <w:tc>
          <w:tcPr>
            <w:tcW w:w="1361" w:type="dxa"/>
          </w:tcPr>
          <w:p w14:paraId="6C9D0FA3" w14:textId="08032922" w:rsidR="00D9047A" w:rsidRDefault="00D9047A" w:rsidP="00D9047A">
            <w:r>
              <w:lastRenderedPageBreak/>
              <w:t>Обрив и образуване на мехури (реакция на свръхчувстви</w:t>
            </w:r>
            <w:r>
              <w:softHyphen/>
              <w:t>телност)</w:t>
            </w:r>
          </w:p>
        </w:tc>
        <w:tc>
          <w:tcPr>
            <w:tcW w:w="1490" w:type="dxa"/>
          </w:tcPr>
          <w:p w14:paraId="606DC5F7" w14:textId="7C4DB41F" w:rsidR="00D9047A" w:rsidRDefault="00D9047A" w:rsidP="00D9047A">
            <w:r>
              <w:t xml:space="preserve">Лекарствена реакция с еозинофилия и системни симптоми </w:t>
            </w:r>
            <w:r>
              <w:rPr>
                <w:lang w:val="en-US"/>
              </w:rPr>
              <w:t xml:space="preserve">(DRESS)*, </w:t>
            </w:r>
            <w:r>
              <w:t>остра генерали</w:t>
            </w:r>
            <w:r>
              <w:softHyphen/>
              <w:t xml:space="preserve">зирана </w:t>
            </w:r>
            <w:r>
              <w:lastRenderedPageBreak/>
              <w:t xml:space="preserve">екзантематозна пустулоза </w:t>
            </w:r>
            <w:r>
              <w:rPr>
                <w:lang w:val="en-US"/>
              </w:rPr>
              <w:t>(AGEP)*,</w:t>
            </w:r>
          </w:p>
        </w:tc>
      </w:tr>
      <w:tr w:rsidR="00000000" w14:paraId="7DABC901" w14:textId="77777777" w:rsidTr="00D9047A">
        <w:tc>
          <w:tcPr>
            <w:tcW w:w="1349" w:type="dxa"/>
            <w:vAlign w:val="bottom"/>
          </w:tcPr>
          <w:p w14:paraId="228B7C3A" w14:textId="673D20E8" w:rsidR="00D9047A" w:rsidRPr="00D9047A" w:rsidRDefault="00D9047A" w:rsidP="00D904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b/>
                <w:bCs/>
              </w:rPr>
              <w:t xml:space="preserve">Нарушения на мускулно- скелетната </w:t>
            </w:r>
            <w:r w:rsidRPr="00D9047A">
              <w:rPr>
                <w:b/>
                <w:bCs/>
                <w:lang w:eastAsia="bg-BG"/>
              </w:rPr>
              <w:t>система и съединител ната тъкан</w:t>
            </w:r>
          </w:p>
        </w:tc>
        <w:tc>
          <w:tcPr>
            <w:tcW w:w="1176" w:type="dxa"/>
          </w:tcPr>
          <w:p w14:paraId="5C29720B" w14:textId="77777777" w:rsidR="00D9047A" w:rsidRDefault="00D9047A" w:rsidP="00D9047A"/>
        </w:tc>
        <w:tc>
          <w:tcPr>
            <w:tcW w:w="1489" w:type="dxa"/>
          </w:tcPr>
          <w:p w14:paraId="3D08F9F2" w14:textId="77777777" w:rsidR="00D9047A" w:rsidRDefault="00D9047A" w:rsidP="00D9047A"/>
        </w:tc>
        <w:tc>
          <w:tcPr>
            <w:tcW w:w="1251" w:type="dxa"/>
          </w:tcPr>
          <w:p w14:paraId="1C698C9D" w14:textId="77777777" w:rsidR="00D9047A" w:rsidRDefault="00D9047A" w:rsidP="00D9047A"/>
        </w:tc>
        <w:tc>
          <w:tcPr>
            <w:tcW w:w="1460" w:type="dxa"/>
          </w:tcPr>
          <w:p w14:paraId="18441265" w14:textId="77777777" w:rsidR="00D9047A" w:rsidRDefault="00D9047A" w:rsidP="00D9047A"/>
        </w:tc>
        <w:tc>
          <w:tcPr>
            <w:tcW w:w="1361" w:type="dxa"/>
            <w:vAlign w:val="bottom"/>
          </w:tcPr>
          <w:p w14:paraId="06825861" w14:textId="50A71AAA" w:rsidR="00D9047A" w:rsidRDefault="00D9047A" w:rsidP="00D9047A">
            <w:r>
              <w:t>Полиартрит</w:t>
            </w:r>
          </w:p>
        </w:tc>
        <w:tc>
          <w:tcPr>
            <w:tcW w:w="1490" w:type="dxa"/>
          </w:tcPr>
          <w:p w14:paraId="518530BE" w14:textId="77777777" w:rsidR="00D9047A" w:rsidRDefault="00D9047A" w:rsidP="00D9047A"/>
        </w:tc>
      </w:tr>
      <w:tr w:rsidR="00000000" w14:paraId="096D1800" w14:textId="77777777" w:rsidTr="00D9047A">
        <w:tc>
          <w:tcPr>
            <w:tcW w:w="1349" w:type="dxa"/>
          </w:tcPr>
          <w:p w14:paraId="424B1F5A" w14:textId="497E6CD8" w:rsidR="00D9047A" w:rsidRDefault="00D9047A" w:rsidP="00D9047A">
            <w:r>
              <w:rPr>
                <w:b/>
                <w:bCs/>
              </w:rPr>
              <w:t>Нарушения на бъбреците и пикочните пътища</w:t>
            </w:r>
          </w:p>
        </w:tc>
        <w:tc>
          <w:tcPr>
            <w:tcW w:w="1176" w:type="dxa"/>
          </w:tcPr>
          <w:p w14:paraId="56FEA06D" w14:textId="77777777" w:rsidR="00D9047A" w:rsidRDefault="00D9047A" w:rsidP="00D9047A"/>
        </w:tc>
        <w:tc>
          <w:tcPr>
            <w:tcW w:w="1489" w:type="dxa"/>
          </w:tcPr>
          <w:p w14:paraId="015D628C" w14:textId="77777777" w:rsidR="00D9047A" w:rsidRDefault="00D9047A" w:rsidP="00D9047A"/>
        </w:tc>
        <w:tc>
          <w:tcPr>
            <w:tcW w:w="1251" w:type="dxa"/>
          </w:tcPr>
          <w:p w14:paraId="769A4C61" w14:textId="77777777" w:rsidR="00D9047A" w:rsidRDefault="00D9047A" w:rsidP="00D9047A"/>
        </w:tc>
        <w:tc>
          <w:tcPr>
            <w:tcW w:w="1460" w:type="dxa"/>
          </w:tcPr>
          <w:p w14:paraId="187115EF" w14:textId="77777777" w:rsidR="00D9047A" w:rsidRDefault="00D9047A" w:rsidP="00D9047A"/>
        </w:tc>
        <w:tc>
          <w:tcPr>
            <w:tcW w:w="1361" w:type="dxa"/>
          </w:tcPr>
          <w:p w14:paraId="45633808" w14:textId="77777777" w:rsidR="00D9047A" w:rsidRDefault="00D9047A" w:rsidP="00D9047A"/>
        </w:tc>
        <w:tc>
          <w:tcPr>
            <w:tcW w:w="1490" w:type="dxa"/>
          </w:tcPr>
          <w:p w14:paraId="0A696C51" w14:textId="12226E2B" w:rsidR="00D9047A" w:rsidRDefault="00D9047A" w:rsidP="00D9047A">
            <w:r>
              <w:t>Остро бъбречно # увреждане</w:t>
            </w:r>
          </w:p>
        </w:tc>
      </w:tr>
      <w:tr w:rsidR="00000000" w14:paraId="44224D9B" w14:textId="77777777" w:rsidTr="00D9047A">
        <w:tc>
          <w:tcPr>
            <w:tcW w:w="1349" w:type="dxa"/>
          </w:tcPr>
          <w:p w14:paraId="393E70CC" w14:textId="4DE916FA" w:rsidR="00D9047A" w:rsidRDefault="00D9047A" w:rsidP="00D9047A">
            <w:r>
              <w:rPr>
                <w:b/>
                <w:bCs/>
              </w:rPr>
              <w:t>Общи нарушения и ефекти на мястото на приложение</w:t>
            </w:r>
          </w:p>
        </w:tc>
        <w:tc>
          <w:tcPr>
            <w:tcW w:w="1176" w:type="dxa"/>
          </w:tcPr>
          <w:p w14:paraId="2B7A0FD0" w14:textId="77777777" w:rsidR="00D9047A" w:rsidRDefault="00D9047A" w:rsidP="00D9047A"/>
        </w:tc>
        <w:tc>
          <w:tcPr>
            <w:tcW w:w="1489" w:type="dxa"/>
          </w:tcPr>
          <w:p w14:paraId="04BD5FE7" w14:textId="77777777" w:rsidR="00D9047A" w:rsidRDefault="00D9047A" w:rsidP="00D9047A"/>
        </w:tc>
        <w:tc>
          <w:tcPr>
            <w:tcW w:w="1251" w:type="dxa"/>
          </w:tcPr>
          <w:p w14:paraId="7014E360" w14:textId="022346DF" w:rsidR="00D9047A" w:rsidRDefault="00D9047A" w:rsidP="00D9047A">
            <w:r>
              <w:t>Болка, абсцес на мястото на инжектиране</w:t>
            </w:r>
          </w:p>
        </w:tc>
        <w:tc>
          <w:tcPr>
            <w:tcW w:w="1460" w:type="dxa"/>
          </w:tcPr>
          <w:p w14:paraId="6C63DE7F" w14:textId="77777777" w:rsidR="00D9047A" w:rsidRDefault="00D9047A" w:rsidP="00D9047A"/>
        </w:tc>
        <w:tc>
          <w:tcPr>
            <w:tcW w:w="1361" w:type="dxa"/>
          </w:tcPr>
          <w:p w14:paraId="4E5B9B75" w14:textId="77777777" w:rsidR="00D9047A" w:rsidRDefault="00D9047A" w:rsidP="00D9047A"/>
        </w:tc>
        <w:tc>
          <w:tcPr>
            <w:tcW w:w="1490" w:type="dxa"/>
          </w:tcPr>
          <w:p w14:paraId="2B67B1F2" w14:textId="1E628885" w:rsidR="00D9047A" w:rsidRDefault="00D9047A" w:rsidP="00D9047A">
            <w:r>
              <w:t>Дразнене на мястото на инжектиране*</w:t>
            </w:r>
          </w:p>
        </w:tc>
      </w:tr>
      <w:tr w:rsidR="00000000" w14:paraId="48B29073" w14:textId="77777777" w:rsidTr="00D9047A">
        <w:tc>
          <w:tcPr>
            <w:tcW w:w="1349" w:type="dxa"/>
          </w:tcPr>
          <w:p w14:paraId="73081217" w14:textId="451C0FF0" w:rsidR="00D9047A" w:rsidRDefault="00D9047A" w:rsidP="00D9047A">
            <w:r>
              <w:rPr>
                <w:b/>
                <w:bCs/>
              </w:rPr>
              <w:t>Изследвания</w:t>
            </w:r>
          </w:p>
        </w:tc>
        <w:tc>
          <w:tcPr>
            <w:tcW w:w="1176" w:type="dxa"/>
          </w:tcPr>
          <w:p w14:paraId="17AAF3F2" w14:textId="77777777" w:rsidR="00D9047A" w:rsidRDefault="00D9047A" w:rsidP="00D9047A"/>
        </w:tc>
        <w:tc>
          <w:tcPr>
            <w:tcW w:w="1489" w:type="dxa"/>
          </w:tcPr>
          <w:p w14:paraId="145D3A7F" w14:textId="609C4ED1" w:rsidR="00D9047A" w:rsidRDefault="00D9047A" w:rsidP="00D9047A">
            <w:r>
              <w:t>Отклонения в чернодробните функционални изследвания</w:t>
            </w:r>
          </w:p>
        </w:tc>
        <w:tc>
          <w:tcPr>
            <w:tcW w:w="1251" w:type="dxa"/>
          </w:tcPr>
          <w:p w14:paraId="5799DAB9" w14:textId="77777777" w:rsidR="00D9047A" w:rsidRDefault="00D9047A" w:rsidP="00D9047A"/>
        </w:tc>
        <w:tc>
          <w:tcPr>
            <w:tcW w:w="1460" w:type="dxa"/>
          </w:tcPr>
          <w:p w14:paraId="4468DB13" w14:textId="77777777" w:rsidR="00D9047A" w:rsidRDefault="00D9047A" w:rsidP="00D9047A"/>
        </w:tc>
        <w:tc>
          <w:tcPr>
            <w:tcW w:w="1361" w:type="dxa"/>
          </w:tcPr>
          <w:p w14:paraId="05A94903" w14:textId="77777777" w:rsidR="00D9047A" w:rsidRDefault="00D9047A" w:rsidP="00D9047A"/>
        </w:tc>
        <w:tc>
          <w:tcPr>
            <w:tcW w:w="1490" w:type="dxa"/>
          </w:tcPr>
          <w:p w14:paraId="4A62BB26" w14:textId="77777777" w:rsidR="00D9047A" w:rsidRDefault="00D9047A" w:rsidP="00D9047A"/>
        </w:tc>
      </w:tr>
    </w:tbl>
    <w:p w14:paraId="4C901CA4" w14:textId="77777777" w:rsidR="00D9047A" w:rsidRPr="00D9047A" w:rsidRDefault="00D9047A" w:rsidP="00D9047A">
      <w:pPr>
        <w:spacing w:line="240" w:lineRule="auto"/>
        <w:rPr>
          <w:rFonts w:eastAsia="Times New Roman" w:cs="Arial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* НЛР, установени в постмаркетинговия период</w:t>
      </w:r>
    </w:p>
    <w:p w14:paraId="4FA7AEFF" w14:textId="77777777" w:rsidR="00D9047A" w:rsidRPr="00D9047A" w:rsidRDefault="00D9047A" w:rsidP="00D9047A">
      <w:pPr>
        <w:spacing w:line="240" w:lineRule="auto"/>
        <w:rPr>
          <w:rFonts w:eastAsia="Times New Roman" w:cs="Arial"/>
          <w:lang w:eastAsia="bg-BG"/>
        </w:rPr>
      </w:pPr>
      <w:r w:rsidRPr="00D9047A">
        <w:rPr>
          <w:rFonts w:eastAsia="Times New Roman" w:cs="Arial"/>
          <w:color w:val="000000"/>
          <w:vertAlign w:val="superscript"/>
          <w:lang w:eastAsia="bg-BG"/>
        </w:rPr>
        <w:t>#</w:t>
      </w:r>
      <w:r w:rsidRPr="00D9047A">
        <w:rPr>
          <w:rFonts w:eastAsia="Times New Roman" w:cs="Arial"/>
          <w:color w:val="000000"/>
          <w:lang w:eastAsia="bg-BG"/>
        </w:rPr>
        <w:t xml:space="preserve"> Вижте точка 4.4</w:t>
      </w:r>
    </w:p>
    <w:p w14:paraId="6EF14A4B" w14:textId="77777777" w:rsidR="00D9047A" w:rsidRPr="00D9047A" w:rsidRDefault="00D9047A" w:rsidP="00D9047A">
      <w:pPr>
        <w:spacing w:line="240" w:lineRule="auto"/>
        <w:rPr>
          <w:rFonts w:eastAsia="Times New Roman" w:cs="Arial"/>
          <w:lang w:eastAsia="bg-BG"/>
        </w:rPr>
      </w:pPr>
      <w:r w:rsidRPr="00D9047A">
        <w:rPr>
          <w:rFonts w:eastAsia="Times New Roman" w:cs="Arial"/>
          <w:color w:val="000000"/>
          <w:vertAlign w:val="superscript"/>
          <w:lang w:eastAsia="bg-BG"/>
        </w:rPr>
        <w:t>§</w:t>
      </w:r>
      <w:r w:rsidRPr="00D9047A">
        <w:rPr>
          <w:rFonts w:eastAsia="Times New Roman" w:cs="Arial"/>
          <w:color w:val="000000"/>
          <w:lang w:eastAsia="bg-BG"/>
        </w:rPr>
        <w:t>Съобщават се в редки случаи след твърде бързо интравенозно приложение (вж. точка 4.2).</w:t>
      </w:r>
    </w:p>
    <w:p w14:paraId="7F92C5DA" w14:textId="77777777" w:rsidR="00D9047A" w:rsidRPr="00D9047A" w:rsidRDefault="00D9047A" w:rsidP="00D9047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9BC2166" w14:textId="667708A0" w:rsidR="00D9047A" w:rsidRPr="00D9047A" w:rsidRDefault="00D9047A" w:rsidP="00D9047A">
      <w:pPr>
        <w:spacing w:line="240" w:lineRule="auto"/>
        <w:rPr>
          <w:rFonts w:eastAsia="Times New Roman" w:cs="Arial"/>
          <w:lang w:eastAsia="bg-BG"/>
        </w:rPr>
      </w:pPr>
      <w:r w:rsidRPr="00D9047A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015A0D2A" w14:textId="77777777" w:rsidR="00D9047A" w:rsidRPr="00D9047A" w:rsidRDefault="00D9047A" w:rsidP="00D9047A">
      <w:pPr>
        <w:spacing w:line="240" w:lineRule="auto"/>
        <w:rPr>
          <w:rFonts w:eastAsia="Times New Roman" w:cs="Arial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lastRenderedPageBreak/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националната система за съобщаване:</w:t>
      </w:r>
    </w:p>
    <w:p w14:paraId="41671686" w14:textId="77777777" w:rsidR="00D9047A" w:rsidRPr="00D9047A" w:rsidRDefault="00D9047A" w:rsidP="00D9047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6B7C631" w14:textId="3CBD3355" w:rsidR="00D9047A" w:rsidRPr="00D9047A" w:rsidRDefault="00D9047A" w:rsidP="00D9047A">
      <w:pPr>
        <w:spacing w:line="240" w:lineRule="auto"/>
        <w:rPr>
          <w:rFonts w:eastAsia="Times New Roman" w:cs="Arial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Изпълнителна агенция по лекарствата</w:t>
      </w:r>
    </w:p>
    <w:p w14:paraId="033B4004" w14:textId="77777777" w:rsidR="00D9047A" w:rsidRPr="00D9047A" w:rsidRDefault="00D9047A" w:rsidP="00D9047A">
      <w:pPr>
        <w:spacing w:line="240" w:lineRule="auto"/>
        <w:rPr>
          <w:rFonts w:eastAsia="Times New Roman" w:cs="Arial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ул. „Дамян Груев” № 8</w:t>
      </w:r>
    </w:p>
    <w:p w14:paraId="13137C00" w14:textId="77777777" w:rsidR="00D9047A" w:rsidRPr="00D9047A" w:rsidRDefault="00D9047A" w:rsidP="00D9047A">
      <w:pPr>
        <w:spacing w:line="240" w:lineRule="auto"/>
        <w:rPr>
          <w:rFonts w:eastAsia="Times New Roman" w:cs="Arial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1303 София</w:t>
      </w:r>
    </w:p>
    <w:p w14:paraId="6D88B55C" w14:textId="77777777" w:rsidR="00D9047A" w:rsidRPr="00D9047A" w:rsidRDefault="00D9047A" w:rsidP="00D9047A">
      <w:pPr>
        <w:spacing w:line="240" w:lineRule="auto"/>
        <w:rPr>
          <w:rFonts w:eastAsia="Times New Roman" w:cs="Arial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Тел.:+359 2 8903417</w:t>
      </w:r>
    </w:p>
    <w:p w14:paraId="30A28575" w14:textId="77777777" w:rsidR="00D9047A" w:rsidRPr="00D9047A" w:rsidRDefault="00D9047A" w:rsidP="00D904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 xml:space="preserve">уебсайт: </w:t>
      </w:r>
      <w:hyperlink r:id="rId5" w:history="1">
        <w:r w:rsidRPr="00D9047A">
          <w:rPr>
            <w:rFonts w:eastAsia="Times New Roman" w:cs="Arial"/>
            <w:color w:val="000000"/>
            <w:u w:val="single"/>
            <w:lang w:val="en-US"/>
          </w:rPr>
          <w:t>www.bda.bg</w:t>
        </w:r>
      </w:hyperlink>
    </w:p>
    <w:p w14:paraId="0208EB9F" w14:textId="77777777" w:rsidR="00D9047A" w:rsidRPr="00D9047A" w:rsidRDefault="00D9047A" w:rsidP="00D9047A"/>
    <w:p w14:paraId="378A0F20" w14:textId="411BBDA5" w:rsidR="001D095A" w:rsidRDefault="002C50EE" w:rsidP="00340E8D">
      <w:pPr>
        <w:pStyle w:val="Heading2"/>
      </w:pPr>
      <w:r>
        <w:t>4.9. Предозиране</w:t>
      </w:r>
    </w:p>
    <w:p w14:paraId="60472A32" w14:textId="252AB667" w:rsidR="00D9047A" w:rsidRDefault="00D9047A" w:rsidP="00D9047A"/>
    <w:p w14:paraId="00113A35" w14:textId="77777777" w:rsidR="00D9047A" w:rsidRPr="00D9047A" w:rsidRDefault="00D9047A" w:rsidP="00D9047A">
      <w:pPr>
        <w:rPr>
          <w:sz w:val="24"/>
          <w:szCs w:val="24"/>
          <w:lang w:eastAsia="bg-BG"/>
        </w:rPr>
      </w:pPr>
      <w:r w:rsidRPr="00D9047A">
        <w:rPr>
          <w:lang w:eastAsia="bg-BG"/>
        </w:rPr>
        <w:t>Досега не са били наблюдавани симптоми на предозиране. Хемодиализата и перитонеалната диализа са неефективни. Няма известен специфичен антидот. Клиндамицин Каби се прилага интрамускулно или интравенозно, следователно промивка на стомаха не би била полезна.</w:t>
      </w:r>
    </w:p>
    <w:p w14:paraId="72A45905" w14:textId="77777777" w:rsidR="00D9047A" w:rsidRPr="00D9047A" w:rsidRDefault="00D9047A" w:rsidP="00D9047A"/>
    <w:p w14:paraId="02081B24" w14:textId="36FE76F4" w:rsidR="00395555" w:rsidRPr="00395555" w:rsidRDefault="002C50EE" w:rsidP="008A6AF2">
      <w:pPr>
        <w:pStyle w:val="Heading1"/>
      </w:pPr>
      <w:r>
        <w:t>5. ФАРМАКОЛОГИЧНИ СВОЙСТВА</w:t>
      </w:r>
    </w:p>
    <w:p w14:paraId="7F6CC5E1" w14:textId="453F4093" w:rsidR="00F62E44" w:rsidRDefault="002C50EE" w:rsidP="00387A66">
      <w:pPr>
        <w:pStyle w:val="Heading2"/>
      </w:pPr>
      <w:r>
        <w:t>5.1. Фармакодинамични свойства</w:t>
      </w:r>
    </w:p>
    <w:p w14:paraId="269D1362" w14:textId="72FD511E" w:rsidR="00D9047A" w:rsidRDefault="00D9047A" w:rsidP="00D9047A"/>
    <w:p w14:paraId="54C93FC5" w14:textId="77777777" w:rsidR="00D9047A" w:rsidRPr="00D9047A" w:rsidRDefault="00D9047A" w:rsidP="00D9047A">
      <w:pPr>
        <w:spacing w:line="240" w:lineRule="auto"/>
        <w:rPr>
          <w:rFonts w:eastAsia="Times New Roman" w:cs="Arial"/>
          <w:lang w:eastAsia="bg-BG"/>
        </w:rPr>
      </w:pPr>
      <w:r w:rsidRPr="00D9047A">
        <w:rPr>
          <w:rFonts w:eastAsia="Times New Roman" w:cs="Arial"/>
          <w:color w:val="000000"/>
          <w:u w:val="single"/>
          <w:lang w:eastAsia="bg-BG"/>
        </w:rPr>
        <w:t>Фармакотерапевтична група: Антибактериални средства за системна употреба; Линкозамиди</w:t>
      </w:r>
    </w:p>
    <w:p w14:paraId="71AEA28E" w14:textId="77777777" w:rsidR="00D9047A" w:rsidRPr="00396C79" w:rsidRDefault="00D9047A" w:rsidP="00D9047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7A0427B" w14:textId="562F5A78" w:rsidR="00D9047A" w:rsidRPr="00D9047A" w:rsidRDefault="00D9047A" w:rsidP="00D9047A">
      <w:pPr>
        <w:spacing w:line="240" w:lineRule="auto"/>
        <w:rPr>
          <w:rFonts w:eastAsia="Times New Roman" w:cs="Arial"/>
          <w:lang w:eastAsia="bg-BG"/>
        </w:rPr>
      </w:pPr>
      <w:r w:rsidRPr="00D9047A">
        <w:rPr>
          <w:rFonts w:eastAsia="Times New Roman" w:cs="Arial"/>
          <w:color w:val="000000"/>
          <w:u w:val="single"/>
          <w:lang w:eastAsia="bg-BG"/>
        </w:rPr>
        <w:t xml:space="preserve">АТС код: </w:t>
      </w:r>
      <w:r w:rsidRPr="00D9047A">
        <w:rPr>
          <w:rFonts w:eastAsia="Times New Roman" w:cs="Arial"/>
          <w:color w:val="000000"/>
          <w:lang w:val="en-US"/>
        </w:rPr>
        <w:t>J01FF01</w:t>
      </w:r>
    </w:p>
    <w:p w14:paraId="6A234152" w14:textId="77777777" w:rsidR="00D9047A" w:rsidRPr="00D9047A" w:rsidRDefault="00D9047A" w:rsidP="00D9047A">
      <w:pPr>
        <w:spacing w:line="240" w:lineRule="auto"/>
        <w:rPr>
          <w:rFonts w:eastAsia="Times New Roman" w:cs="Arial"/>
          <w:lang w:eastAsia="bg-BG"/>
        </w:rPr>
      </w:pPr>
      <w:r w:rsidRPr="00D9047A">
        <w:rPr>
          <w:rFonts w:eastAsia="Times New Roman" w:cs="Arial"/>
          <w:color w:val="000000"/>
          <w:u w:val="single"/>
          <w:lang w:eastAsia="bg-BG"/>
        </w:rPr>
        <w:t>Механизъм на действие</w:t>
      </w:r>
    </w:p>
    <w:p w14:paraId="658DE26B" w14:textId="77777777" w:rsidR="00D9047A" w:rsidRPr="00D9047A" w:rsidRDefault="00D9047A" w:rsidP="00D9047A">
      <w:pPr>
        <w:spacing w:line="240" w:lineRule="auto"/>
        <w:rPr>
          <w:rFonts w:eastAsia="Times New Roman" w:cs="Arial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 xml:space="preserve">Клиндамицин се свързва със субединицата </w:t>
      </w:r>
      <w:r w:rsidRPr="00D9047A">
        <w:rPr>
          <w:rFonts w:eastAsia="Times New Roman" w:cs="Arial"/>
          <w:color w:val="000000"/>
          <w:lang w:val="en-US"/>
        </w:rPr>
        <w:t xml:space="preserve">50S </w:t>
      </w:r>
      <w:r w:rsidRPr="00D9047A">
        <w:rPr>
          <w:rFonts w:eastAsia="Times New Roman" w:cs="Arial"/>
          <w:color w:val="000000"/>
          <w:lang w:eastAsia="bg-BG"/>
        </w:rPr>
        <w:t>на бактериалните рибозоми и инхибира синтеза на протеини. Клиндамицин притежава предимно бактериостатично действие</w:t>
      </w:r>
    </w:p>
    <w:p w14:paraId="183C9273" w14:textId="77777777" w:rsidR="00D9047A" w:rsidRPr="00396C79" w:rsidRDefault="00D9047A" w:rsidP="00D9047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F3417D6" w14:textId="66CB022B" w:rsidR="00D9047A" w:rsidRPr="00396C79" w:rsidRDefault="00D9047A" w:rsidP="00D9047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  <w:r w:rsidRPr="00D9047A">
        <w:rPr>
          <w:rFonts w:eastAsia="Times New Roman" w:cs="Arial"/>
          <w:color w:val="000000"/>
          <w:u w:val="single"/>
          <w:lang w:eastAsia="bg-BG"/>
        </w:rPr>
        <w:t>Фармакодинамични ефекти</w:t>
      </w:r>
    </w:p>
    <w:p w14:paraId="151F14E6" w14:textId="647176E5" w:rsidR="00D9047A" w:rsidRPr="00396C79" w:rsidRDefault="00D9047A" w:rsidP="00D9047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8F1E31D" w14:textId="77777777" w:rsidR="00D9047A" w:rsidRPr="00D9047A" w:rsidRDefault="00D9047A" w:rsidP="00D9047A">
      <w:pPr>
        <w:spacing w:line="240" w:lineRule="auto"/>
        <w:rPr>
          <w:rFonts w:eastAsia="Times New Roman" w:cs="Arial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 xml:space="preserve">Ефикасността зависи основно от периода време, през което нивата на агента са над минималната инхибиторна концентрация </w:t>
      </w:r>
      <w:r w:rsidRPr="00D9047A">
        <w:rPr>
          <w:rFonts w:eastAsia="Times New Roman" w:cs="Arial"/>
          <w:color w:val="000000"/>
          <w:lang w:val="en-US"/>
        </w:rPr>
        <w:t xml:space="preserve">(MIC) </w:t>
      </w:r>
      <w:r w:rsidRPr="00D9047A">
        <w:rPr>
          <w:rFonts w:eastAsia="Times New Roman" w:cs="Arial"/>
          <w:color w:val="000000"/>
          <w:lang w:eastAsia="bg-BG"/>
        </w:rPr>
        <w:t>за патогена.</w:t>
      </w:r>
    </w:p>
    <w:p w14:paraId="60C86B49" w14:textId="77777777" w:rsidR="00D9047A" w:rsidRPr="00396C79" w:rsidRDefault="00D9047A" w:rsidP="00D9047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2A2BCDA" w14:textId="0E90B6FB" w:rsidR="00D9047A" w:rsidRPr="00D9047A" w:rsidRDefault="00D9047A" w:rsidP="00D9047A">
      <w:pPr>
        <w:spacing w:line="240" w:lineRule="auto"/>
        <w:rPr>
          <w:rFonts w:eastAsia="Times New Roman" w:cs="Arial"/>
          <w:lang w:eastAsia="bg-BG"/>
        </w:rPr>
      </w:pPr>
      <w:r w:rsidRPr="00D9047A">
        <w:rPr>
          <w:rFonts w:eastAsia="Times New Roman" w:cs="Arial"/>
          <w:color w:val="000000"/>
          <w:u w:val="single"/>
          <w:lang w:eastAsia="bg-BG"/>
        </w:rPr>
        <w:t>Механизъм(механизми) на резистентност</w:t>
      </w:r>
    </w:p>
    <w:p w14:paraId="6833F7FF" w14:textId="77777777" w:rsidR="00D9047A" w:rsidRPr="00D9047A" w:rsidRDefault="00D9047A" w:rsidP="00D9047A">
      <w:pPr>
        <w:spacing w:line="240" w:lineRule="auto"/>
        <w:rPr>
          <w:rFonts w:eastAsia="Times New Roman" w:cs="Arial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Резистентността по отношение на клиндамицин може да се дължи на следните механизми:</w:t>
      </w:r>
    </w:p>
    <w:p w14:paraId="2CBDD4C5" w14:textId="77777777" w:rsidR="00D9047A" w:rsidRPr="00D9047A" w:rsidRDefault="00D9047A" w:rsidP="00D9047A">
      <w:pPr>
        <w:spacing w:line="240" w:lineRule="auto"/>
        <w:rPr>
          <w:rFonts w:eastAsia="Times New Roman" w:cs="Arial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 xml:space="preserve">Резистентността на стафилококите и стрептококите често е поради повишеното свързване на метиловите групи към 23 </w:t>
      </w:r>
      <w:r w:rsidRPr="00D9047A">
        <w:rPr>
          <w:rFonts w:eastAsia="Times New Roman" w:cs="Arial"/>
          <w:color w:val="000000"/>
          <w:lang w:val="en-US"/>
        </w:rPr>
        <w:t xml:space="preserve">S </w:t>
      </w:r>
      <w:r w:rsidRPr="00D9047A">
        <w:rPr>
          <w:rFonts w:eastAsia="Times New Roman" w:cs="Arial"/>
          <w:color w:val="000000"/>
          <w:lang w:eastAsia="bg-BG"/>
        </w:rPr>
        <w:t>рРНК (така наречената структурна М</w:t>
      </w:r>
      <w:r w:rsidRPr="00D9047A">
        <w:rPr>
          <w:rFonts w:eastAsia="Times New Roman" w:cs="Arial"/>
          <w:color w:val="000000"/>
          <w:lang w:val="en-US"/>
        </w:rPr>
        <w:t>LS</w:t>
      </w:r>
      <w:r w:rsidRPr="00D9047A">
        <w:rPr>
          <w:rFonts w:eastAsia="Times New Roman" w:cs="Arial"/>
          <w:color w:val="000000"/>
          <w:lang w:eastAsia="bg-BG"/>
        </w:rPr>
        <w:t>в-резистентност), поради което свързващият афинитет на клиндамицина към рибозомата е силно понижен.</w:t>
      </w:r>
    </w:p>
    <w:p w14:paraId="099848F6" w14:textId="77777777" w:rsidR="00D9047A" w:rsidRPr="00D9047A" w:rsidRDefault="00D9047A" w:rsidP="00D9047A">
      <w:pPr>
        <w:spacing w:line="240" w:lineRule="auto"/>
        <w:rPr>
          <w:rFonts w:eastAsia="Times New Roman" w:cs="Arial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 xml:space="preserve">Преобладаващата част от метицилин резистентните 5. </w:t>
      </w:r>
      <w:r w:rsidRPr="00D9047A">
        <w:rPr>
          <w:rFonts w:eastAsia="Times New Roman" w:cs="Arial"/>
          <w:i/>
          <w:iCs/>
          <w:color w:val="000000"/>
          <w:lang w:val="en-US"/>
        </w:rPr>
        <w:t>aureus</w:t>
      </w:r>
      <w:r w:rsidRPr="00D9047A">
        <w:rPr>
          <w:rFonts w:eastAsia="Times New Roman" w:cs="Arial"/>
          <w:color w:val="000000"/>
          <w:lang w:val="en-US"/>
        </w:rPr>
        <w:t xml:space="preserve"> (MRSA) </w:t>
      </w:r>
      <w:r w:rsidRPr="00D9047A">
        <w:rPr>
          <w:rFonts w:eastAsia="Times New Roman" w:cs="Arial"/>
          <w:color w:val="000000"/>
          <w:lang w:eastAsia="bg-BG"/>
        </w:rPr>
        <w:t xml:space="preserve">демонстрира структурния </w:t>
      </w:r>
      <w:proofErr w:type="spellStart"/>
      <w:r w:rsidRPr="00D9047A">
        <w:rPr>
          <w:rFonts w:eastAsia="Times New Roman" w:cs="Arial"/>
          <w:smallCaps/>
          <w:color w:val="000000"/>
          <w:lang w:val="en-US"/>
        </w:rPr>
        <w:t>MLS</w:t>
      </w:r>
      <w:r w:rsidRPr="00D9047A">
        <w:rPr>
          <w:rFonts w:eastAsia="Times New Roman" w:cs="Arial"/>
          <w:smallCaps/>
          <w:color w:val="000000"/>
          <w:vertAlign w:val="subscript"/>
          <w:lang w:val="en-US"/>
        </w:rPr>
        <w:t>b</w:t>
      </w:r>
      <w:proofErr w:type="spellEnd"/>
      <w:r w:rsidRPr="00D9047A">
        <w:rPr>
          <w:rFonts w:eastAsia="Times New Roman" w:cs="Arial"/>
          <w:smallCaps/>
          <w:color w:val="000000"/>
          <w:lang w:eastAsia="bg-BG"/>
        </w:rPr>
        <w:t>-тип</w:t>
      </w:r>
      <w:r w:rsidRPr="00D9047A">
        <w:rPr>
          <w:rFonts w:eastAsia="Times New Roman" w:cs="Arial"/>
          <w:color w:val="000000"/>
          <w:lang w:eastAsia="bg-BG"/>
        </w:rPr>
        <w:t xml:space="preserve"> резистентност, вследствие на което е резистентна към клиндамицин. Инфекциите, причинявани от резистентни на макролидите стафилококи, не трябва да се лекуват с клиндамицин, дори и когато тяхната </w:t>
      </w:r>
      <w:r w:rsidRPr="00D9047A">
        <w:rPr>
          <w:rFonts w:eastAsia="Times New Roman" w:cs="Arial"/>
          <w:i/>
          <w:iCs/>
          <w:color w:val="000000"/>
          <w:lang w:val="en-US"/>
        </w:rPr>
        <w:t>in-vitro</w:t>
      </w:r>
      <w:r w:rsidRPr="00D9047A">
        <w:rPr>
          <w:rFonts w:eastAsia="Times New Roman" w:cs="Arial"/>
          <w:color w:val="000000"/>
          <w:lang w:val="en-US"/>
        </w:rPr>
        <w:t xml:space="preserve"> </w:t>
      </w:r>
      <w:r w:rsidRPr="00D9047A">
        <w:rPr>
          <w:rFonts w:eastAsia="Times New Roman" w:cs="Arial"/>
          <w:color w:val="000000"/>
          <w:lang w:eastAsia="bg-BG"/>
        </w:rPr>
        <w:t>чувствителност е доказана, тъй като лечението може да доведе до селекция на мутанти със структурна М</w:t>
      </w:r>
      <w:r w:rsidRPr="00D9047A">
        <w:rPr>
          <w:rFonts w:eastAsia="Times New Roman" w:cs="Arial"/>
          <w:color w:val="000000"/>
          <w:lang w:val="en-US"/>
        </w:rPr>
        <w:t>LS</w:t>
      </w:r>
      <w:r w:rsidRPr="00D9047A">
        <w:rPr>
          <w:rFonts w:eastAsia="Times New Roman" w:cs="Arial"/>
          <w:color w:val="000000"/>
          <w:lang w:eastAsia="bg-BG"/>
        </w:rPr>
        <w:t>в-резистентност.</w:t>
      </w:r>
    </w:p>
    <w:p w14:paraId="3233AC1B" w14:textId="77777777" w:rsidR="00D9047A" w:rsidRPr="00D9047A" w:rsidRDefault="00D9047A" w:rsidP="00D9047A">
      <w:pPr>
        <w:spacing w:line="240" w:lineRule="auto"/>
        <w:rPr>
          <w:rFonts w:eastAsia="Times New Roman" w:cs="Arial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lastRenderedPageBreak/>
        <w:t xml:space="preserve">Щамовете със структурна </w:t>
      </w:r>
      <w:r w:rsidRPr="00D9047A">
        <w:rPr>
          <w:rFonts w:eastAsia="Times New Roman" w:cs="Arial"/>
          <w:color w:val="000000"/>
          <w:lang w:val="en-US"/>
        </w:rPr>
        <w:t>MLS</w:t>
      </w:r>
      <w:r w:rsidRPr="00D9047A">
        <w:rPr>
          <w:rFonts w:eastAsia="Times New Roman" w:cs="Arial"/>
          <w:color w:val="000000"/>
          <w:vertAlign w:val="subscript"/>
          <w:lang w:val="en-US"/>
        </w:rPr>
        <w:t>B</w:t>
      </w:r>
      <w:r w:rsidRPr="00D9047A">
        <w:rPr>
          <w:rFonts w:eastAsia="Times New Roman" w:cs="Arial"/>
          <w:color w:val="000000"/>
          <w:lang w:eastAsia="bg-BG"/>
        </w:rPr>
        <w:t>-рсзистентност показват пълна кръстосана резистентност на клиндамицин с линкомицин, макрояиди (като например азитромицин, кларитромицин, еритромицин, рокситромицин, спирамицин), както и със стрептограмин В.</w:t>
      </w:r>
    </w:p>
    <w:p w14:paraId="479C977C" w14:textId="77777777" w:rsidR="00D9047A" w:rsidRPr="00396C79" w:rsidRDefault="00D9047A" w:rsidP="00D9047A">
      <w:pPr>
        <w:spacing w:line="240" w:lineRule="auto"/>
        <w:rPr>
          <w:rFonts w:eastAsia="Times New Roman" w:cs="Arial"/>
          <w:b/>
          <w:bCs/>
          <w:i/>
          <w:iCs/>
          <w:color w:val="000000"/>
          <w:lang w:eastAsia="bg-BG"/>
        </w:rPr>
      </w:pPr>
    </w:p>
    <w:p w14:paraId="035E5E21" w14:textId="03C8C0E4" w:rsidR="00D9047A" w:rsidRPr="00D9047A" w:rsidRDefault="00D9047A" w:rsidP="00D9047A">
      <w:pPr>
        <w:spacing w:line="240" w:lineRule="auto"/>
        <w:rPr>
          <w:rFonts w:eastAsia="Times New Roman" w:cs="Arial"/>
          <w:lang w:eastAsia="bg-BG"/>
        </w:rPr>
      </w:pPr>
      <w:r w:rsidRPr="00D9047A">
        <w:rPr>
          <w:rFonts w:eastAsia="Times New Roman" w:cs="Arial"/>
          <w:b/>
          <w:bCs/>
          <w:i/>
          <w:iCs/>
          <w:color w:val="000000"/>
          <w:lang w:eastAsia="bg-BG"/>
        </w:rPr>
        <w:t>Граници</w:t>
      </w:r>
    </w:p>
    <w:p w14:paraId="10E38FD0" w14:textId="77777777" w:rsidR="00D9047A" w:rsidRPr="00396C79" w:rsidRDefault="00D9047A" w:rsidP="00D9047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64DD50E" w14:textId="584602BA" w:rsidR="00D9047A" w:rsidRPr="00D9047A" w:rsidRDefault="00D9047A" w:rsidP="00D9047A">
      <w:pPr>
        <w:spacing w:line="240" w:lineRule="auto"/>
        <w:rPr>
          <w:rFonts w:eastAsia="Times New Roman" w:cs="Arial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За тестване на клиндамицин се използват стандартните серии на разреждане. Определени са следните минимални инхибиторни концентрации за чувствителните и резистентните микроби:</w:t>
      </w:r>
    </w:p>
    <w:p w14:paraId="00765FCE" w14:textId="77777777" w:rsidR="00D9047A" w:rsidRPr="00396C79" w:rsidRDefault="00D9047A" w:rsidP="00D9047A">
      <w:pPr>
        <w:spacing w:line="240" w:lineRule="auto"/>
        <w:rPr>
          <w:rFonts w:eastAsia="Times New Roman" w:cs="Arial"/>
          <w:color w:val="000000"/>
          <w:lang w:val="en-US"/>
        </w:rPr>
      </w:pPr>
    </w:p>
    <w:p w14:paraId="02F3555A" w14:textId="0E12C0AD" w:rsidR="00D9047A" w:rsidRPr="00D9047A" w:rsidRDefault="00D9047A" w:rsidP="00D9047A">
      <w:pPr>
        <w:spacing w:line="240" w:lineRule="auto"/>
        <w:rPr>
          <w:rFonts w:eastAsia="Times New Roman" w:cs="Arial"/>
          <w:lang w:eastAsia="bg-BG"/>
        </w:rPr>
      </w:pPr>
      <w:r w:rsidRPr="00D9047A">
        <w:rPr>
          <w:rFonts w:eastAsia="Times New Roman" w:cs="Arial"/>
          <w:color w:val="000000"/>
          <w:lang w:val="en-US"/>
        </w:rPr>
        <w:t xml:space="preserve">EUCAST </w:t>
      </w:r>
      <w:r w:rsidRPr="00D9047A">
        <w:rPr>
          <w:rFonts w:eastAsia="Times New Roman" w:cs="Arial"/>
          <w:color w:val="000000"/>
          <w:lang w:eastAsia="bg-BG"/>
        </w:rPr>
        <w:t>(Версия 6.0, валидна от 01.01.2016 г.)</w:t>
      </w:r>
    </w:p>
    <w:p w14:paraId="1FD6CA11" w14:textId="77777777" w:rsidR="00D9047A" w:rsidRPr="00396C79" w:rsidRDefault="00D9047A" w:rsidP="00D9047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FEB29FF" w14:textId="0510CF45" w:rsidR="00D9047A" w:rsidRPr="00396C79" w:rsidRDefault="00D9047A" w:rsidP="00D9047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  <w:r w:rsidRPr="00396C79">
        <w:rPr>
          <w:rFonts w:eastAsia="Times New Roman" w:cs="Arial"/>
          <w:color w:val="000000"/>
          <w:u w:val="single"/>
          <w:lang w:eastAsia="bg-BG"/>
        </w:rPr>
        <w:t>Клинични гранични стойности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0"/>
        <w:gridCol w:w="3117"/>
        <w:gridCol w:w="3113"/>
      </w:tblGrid>
      <w:tr w:rsidR="00D9047A" w:rsidRPr="00396C79" w14:paraId="47A1D0F4" w14:textId="77777777" w:rsidTr="00D9047A">
        <w:tc>
          <w:tcPr>
            <w:tcW w:w="3166" w:type="dxa"/>
          </w:tcPr>
          <w:p w14:paraId="2B7F9282" w14:textId="08468EF2" w:rsidR="00D9047A" w:rsidRPr="00396C79" w:rsidRDefault="00D9047A" w:rsidP="00D9047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396C79">
              <w:rPr>
                <w:rFonts w:cs="Arial"/>
                <w:lang w:eastAsia="bg-BG"/>
              </w:rPr>
              <w:t>Патогени</w:t>
            </w:r>
          </w:p>
        </w:tc>
        <w:tc>
          <w:tcPr>
            <w:tcW w:w="3167" w:type="dxa"/>
          </w:tcPr>
          <w:p w14:paraId="58243C4C" w14:textId="15E68467" w:rsidR="00D9047A" w:rsidRPr="00396C79" w:rsidRDefault="00D9047A" w:rsidP="00D9047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396C79">
              <w:rPr>
                <w:rFonts w:cs="Arial"/>
                <w:lang w:eastAsia="bg-BG"/>
              </w:rPr>
              <w:t>Чувствителни</w:t>
            </w:r>
          </w:p>
        </w:tc>
        <w:tc>
          <w:tcPr>
            <w:tcW w:w="3167" w:type="dxa"/>
          </w:tcPr>
          <w:p w14:paraId="012A1CDC" w14:textId="47721685" w:rsidR="00D9047A" w:rsidRPr="00396C79" w:rsidRDefault="00D9047A" w:rsidP="00D9047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396C79">
              <w:rPr>
                <w:rFonts w:cs="Arial"/>
                <w:lang w:eastAsia="bg-BG"/>
              </w:rPr>
              <w:t>Резистентни</w:t>
            </w:r>
          </w:p>
        </w:tc>
      </w:tr>
      <w:tr w:rsidR="00D9047A" w:rsidRPr="00396C79" w14:paraId="16EC2283" w14:textId="77777777" w:rsidTr="00D9047A">
        <w:tc>
          <w:tcPr>
            <w:tcW w:w="3166" w:type="dxa"/>
          </w:tcPr>
          <w:p w14:paraId="25DA00DA" w14:textId="7ED6C182" w:rsidR="00D9047A" w:rsidRPr="00396C79" w:rsidRDefault="00D9047A" w:rsidP="00D9047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396C79">
              <w:rPr>
                <w:rFonts w:cs="Arial"/>
                <w:i/>
                <w:iCs/>
              </w:rPr>
              <w:t xml:space="preserve">Staphylococcus </w:t>
            </w:r>
            <w:r w:rsidRPr="00396C79">
              <w:rPr>
                <w:rFonts w:cs="Arial"/>
                <w:i/>
                <w:iCs/>
                <w:vertAlign w:val="superscript"/>
                <w:lang w:eastAsia="bg-BG"/>
              </w:rPr>
              <w:t>1</w:t>
            </w:r>
          </w:p>
        </w:tc>
        <w:tc>
          <w:tcPr>
            <w:tcW w:w="3167" w:type="dxa"/>
          </w:tcPr>
          <w:p w14:paraId="375F72D4" w14:textId="0FCA8639" w:rsidR="00D9047A" w:rsidRPr="00396C79" w:rsidRDefault="00D9047A" w:rsidP="00D9047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396C79">
              <w:rPr>
                <w:rFonts w:cs="Arial"/>
                <w:lang w:eastAsia="bg-BG"/>
              </w:rPr>
              <w:t xml:space="preserve">≤ 0,25 </w:t>
            </w:r>
            <w:r w:rsidRPr="00396C79">
              <w:rPr>
                <w:rFonts w:cs="Arial"/>
              </w:rPr>
              <w:t>mg/1</w:t>
            </w:r>
          </w:p>
        </w:tc>
        <w:tc>
          <w:tcPr>
            <w:tcW w:w="3167" w:type="dxa"/>
          </w:tcPr>
          <w:p w14:paraId="63C4FB5E" w14:textId="678C050F" w:rsidR="00D9047A" w:rsidRPr="00396C79" w:rsidRDefault="00D9047A" w:rsidP="00D9047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396C79">
              <w:rPr>
                <w:rFonts w:cs="Arial"/>
              </w:rPr>
              <w:t>&gt; 0,5 mg/1</w:t>
            </w:r>
          </w:p>
        </w:tc>
      </w:tr>
      <w:tr w:rsidR="00D9047A" w:rsidRPr="00396C79" w14:paraId="2538F0AB" w14:textId="77777777" w:rsidTr="00D9047A">
        <w:tc>
          <w:tcPr>
            <w:tcW w:w="3166" w:type="dxa"/>
          </w:tcPr>
          <w:p w14:paraId="7BF4BB80" w14:textId="01AAEDD0" w:rsidR="00D9047A" w:rsidRPr="00396C79" w:rsidRDefault="00D9047A" w:rsidP="00D9047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396C79">
              <w:rPr>
                <w:rFonts w:cs="Arial"/>
                <w:i/>
                <w:iCs/>
              </w:rPr>
              <w:t xml:space="preserve">Streptococcus </w:t>
            </w:r>
            <w:r w:rsidRPr="00396C79">
              <w:rPr>
                <w:rFonts w:cs="Arial"/>
                <w:i/>
                <w:iCs/>
                <w:lang w:eastAsia="bg-BG"/>
              </w:rPr>
              <w:t>А, В, С,</w:t>
            </w:r>
            <w:r w:rsidRPr="00396C79">
              <w:rPr>
                <w:rFonts w:cs="Arial"/>
                <w:lang w:eastAsia="bg-BG"/>
              </w:rPr>
              <w:t xml:space="preserve"> </w:t>
            </w:r>
            <w:r w:rsidRPr="00396C79">
              <w:rPr>
                <w:rFonts w:cs="Arial"/>
              </w:rPr>
              <w:t>G</w:t>
            </w:r>
            <w:r w:rsidRPr="00396C79">
              <w:rPr>
                <w:rFonts w:cs="Arial"/>
                <w:vertAlign w:val="superscript"/>
              </w:rPr>
              <w:t>1,2</w:t>
            </w:r>
          </w:p>
        </w:tc>
        <w:tc>
          <w:tcPr>
            <w:tcW w:w="3167" w:type="dxa"/>
          </w:tcPr>
          <w:p w14:paraId="76CA1B60" w14:textId="1572047B" w:rsidR="00D9047A" w:rsidRPr="00396C79" w:rsidRDefault="00D9047A" w:rsidP="00D9047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396C79">
              <w:rPr>
                <w:rFonts w:cs="Arial"/>
                <w:lang w:eastAsia="bg-BG"/>
              </w:rPr>
              <w:t xml:space="preserve">≤ 0,5 </w:t>
            </w:r>
            <w:r w:rsidRPr="00396C79">
              <w:rPr>
                <w:rFonts w:cs="Arial"/>
              </w:rPr>
              <w:t>mg/1</w:t>
            </w:r>
          </w:p>
        </w:tc>
        <w:tc>
          <w:tcPr>
            <w:tcW w:w="3167" w:type="dxa"/>
          </w:tcPr>
          <w:p w14:paraId="42893812" w14:textId="522293D7" w:rsidR="00D9047A" w:rsidRPr="00396C79" w:rsidRDefault="00D9047A" w:rsidP="00D9047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396C79">
              <w:rPr>
                <w:rFonts w:cs="Arial"/>
              </w:rPr>
              <w:t>&gt; 0,5 mg/1</w:t>
            </w:r>
          </w:p>
        </w:tc>
      </w:tr>
      <w:tr w:rsidR="00D9047A" w:rsidRPr="00396C79" w14:paraId="7B53C167" w14:textId="77777777" w:rsidTr="00D9047A">
        <w:tc>
          <w:tcPr>
            <w:tcW w:w="3166" w:type="dxa"/>
          </w:tcPr>
          <w:p w14:paraId="147599B4" w14:textId="138E6F95" w:rsidR="00D9047A" w:rsidRPr="00396C79" w:rsidRDefault="00D9047A" w:rsidP="00D9047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396C79">
              <w:rPr>
                <w:rFonts w:cs="Arial"/>
                <w:i/>
                <w:iCs/>
              </w:rPr>
              <w:t>Streptococcus pneumoniae</w:t>
            </w:r>
            <w:r w:rsidRPr="00396C79">
              <w:rPr>
                <w:rFonts w:cs="Arial"/>
                <w:i/>
                <w:iCs/>
                <w:vertAlign w:val="superscript"/>
                <w:lang w:eastAsia="bg-BG"/>
              </w:rPr>
              <w:t>3</w:t>
            </w:r>
          </w:p>
        </w:tc>
        <w:tc>
          <w:tcPr>
            <w:tcW w:w="3167" w:type="dxa"/>
          </w:tcPr>
          <w:p w14:paraId="7E965019" w14:textId="5A5B5DC0" w:rsidR="00D9047A" w:rsidRPr="00396C79" w:rsidRDefault="00D9047A" w:rsidP="00D9047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396C79">
              <w:rPr>
                <w:rFonts w:cs="Arial"/>
                <w:lang w:eastAsia="bg-BG"/>
              </w:rPr>
              <w:t xml:space="preserve">≤ 0,5 </w:t>
            </w:r>
            <w:r w:rsidRPr="00396C79">
              <w:rPr>
                <w:rFonts w:cs="Arial"/>
              </w:rPr>
              <w:t>mg/1</w:t>
            </w:r>
          </w:p>
        </w:tc>
        <w:tc>
          <w:tcPr>
            <w:tcW w:w="3167" w:type="dxa"/>
          </w:tcPr>
          <w:p w14:paraId="678BDABF" w14:textId="7E28788C" w:rsidR="00D9047A" w:rsidRPr="00396C79" w:rsidRDefault="00D9047A" w:rsidP="00D9047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396C79">
              <w:rPr>
                <w:rFonts w:cs="Arial"/>
              </w:rPr>
              <w:t>&gt; 0,5 mg/1</w:t>
            </w:r>
          </w:p>
        </w:tc>
      </w:tr>
      <w:tr w:rsidR="00D9047A" w:rsidRPr="00396C79" w14:paraId="744D480D" w14:textId="77777777" w:rsidTr="00D9047A">
        <w:tc>
          <w:tcPr>
            <w:tcW w:w="3166" w:type="dxa"/>
          </w:tcPr>
          <w:p w14:paraId="572F7B76" w14:textId="71A57EFA" w:rsidR="00D9047A" w:rsidRPr="00396C79" w:rsidRDefault="00D9047A" w:rsidP="00D9047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396C79">
              <w:rPr>
                <w:rFonts w:cs="Arial"/>
                <w:i/>
                <w:iCs/>
                <w:lang w:eastAsia="bg-BG"/>
              </w:rPr>
              <w:t>Стрептококи</w:t>
            </w:r>
            <w:r w:rsidRPr="00396C79">
              <w:rPr>
                <w:rFonts w:cs="Arial"/>
                <w:lang w:eastAsia="bg-BG"/>
              </w:rPr>
              <w:t xml:space="preserve"> от група </w:t>
            </w:r>
            <w:r w:rsidRPr="00396C79">
              <w:rPr>
                <w:rFonts w:cs="Arial"/>
              </w:rPr>
              <w:t>Viridans</w:t>
            </w:r>
            <w:r w:rsidRPr="00396C79">
              <w:rPr>
                <w:rFonts w:cs="Arial"/>
                <w:vertAlign w:val="superscript"/>
              </w:rPr>
              <w:t>3</w:t>
            </w:r>
          </w:p>
        </w:tc>
        <w:tc>
          <w:tcPr>
            <w:tcW w:w="3167" w:type="dxa"/>
          </w:tcPr>
          <w:p w14:paraId="53A03F33" w14:textId="75054137" w:rsidR="00D9047A" w:rsidRPr="00396C79" w:rsidRDefault="00D9047A" w:rsidP="00D9047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396C79">
              <w:rPr>
                <w:rFonts w:cs="Arial"/>
                <w:lang w:eastAsia="bg-BG"/>
              </w:rPr>
              <w:t xml:space="preserve">≤ 0,5 </w:t>
            </w:r>
            <w:r w:rsidRPr="00396C79">
              <w:rPr>
                <w:rFonts w:cs="Arial"/>
              </w:rPr>
              <w:t>mg/1</w:t>
            </w:r>
          </w:p>
        </w:tc>
        <w:tc>
          <w:tcPr>
            <w:tcW w:w="3167" w:type="dxa"/>
          </w:tcPr>
          <w:p w14:paraId="45A55F7E" w14:textId="65A3D9AF" w:rsidR="00D9047A" w:rsidRPr="00396C79" w:rsidRDefault="00D9047A" w:rsidP="00D9047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396C79">
              <w:rPr>
                <w:rFonts w:cs="Arial"/>
              </w:rPr>
              <w:t>&gt; 0,5 mg/1</w:t>
            </w:r>
          </w:p>
        </w:tc>
      </w:tr>
      <w:tr w:rsidR="00D9047A" w:rsidRPr="00396C79" w14:paraId="44DF985E" w14:textId="77777777" w:rsidTr="00D9047A">
        <w:tc>
          <w:tcPr>
            <w:tcW w:w="3166" w:type="dxa"/>
          </w:tcPr>
          <w:p w14:paraId="53D20E69" w14:textId="59E2EE68" w:rsidR="00D9047A" w:rsidRPr="00396C79" w:rsidRDefault="00D9047A" w:rsidP="00D9047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396C79">
              <w:rPr>
                <w:rFonts w:cs="Arial"/>
                <w:lang w:eastAsia="bg-BG"/>
              </w:rPr>
              <w:t>Грам-отрицателни анаероби</w:t>
            </w:r>
          </w:p>
        </w:tc>
        <w:tc>
          <w:tcPr>
            <w:tcW w:w="3167" w:type="dxa"/>
          </w:tcPr>
          <w:p w14:paraId="3C7FBD5E" w14:textId="71E0F1D5" w:rsidR="00D9047A" w:rsidRPr="00396C79" w:rsidRDefault="00D9047A" w:rsidP="00D9047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396C79">
              <w:rPr>
                <w:rFonts w:cs="Arial"/>
                <w:lang w:eastAsia="bg-BG"/>
              </w:rPr>
              <w:t>≤</w:t>
            </w:r>
            <w:r w:rsidRPr="00396C79">
              <w:rPr>
                <w:rFonts w:cs="Arial"/>
              </w:rPr>
              <w:t>4 mg/1</w:t>
            </w:r>
          </w:p>
        </w:tc>
        <w:tc>
          <w:tcPr>
            <w:tcW w:w="3167" w:type="dxa"/>
          </w:tcPr>
          <w:p w14:paraId="0B909638" w14:textId="5DAA615A" w:rsidR="00D9047A" w:rsidRPr="00396C79" w:rsidRDefault="00D9047A" w:rsidP="00D9047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396C79">
              <w:rPr>
                <w:rFonts w:cs="Arial"/>
              </w:rPr>
              <w:t>&gt; 4 mg/1</w:t>
            </w:r>
          </w:p>
        </w:tc>
      </w:tr>
      <w:tr w:rsidR="00D9047A" w:rsidRPr="00396C79" w14:paraId="04C1B7B2" w14:textId="77777777" w:rsidTr="00D9047A">
        <w:tc>
          <w:tcPr>
            <w:tcW w:w="3166" w:type="dxa"/>
          </w:tcPr>
          <w:p w14:paraId="50E52690" w14:textId="6C65A5F7" w:rsidR="00D9047A" w:rsidRPr="00396C79" w:rsidRDefault="00D9047A" w:rsidP="00D9047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396C79">
              <w:rPr>
                <w:rFonts w:cs="Arial"/>
                <w:lang w:eastAsia="bg-BG"/>
              </w:rPr>
              <w:t>Грам-положителни анаероби</w:t>
            </w:r>
          </w:p>
        </w:tc>
        <w:tc>
          <w:tcPr>
            <w:tcW w:w="3167" w:type="dxa"/>
          </w:tcPr>
          <w:p w14:paraId="0205490B" w14:textId="129CE0A1" w:rsidR="00D9047A" w:rsidRPr="00396C79" w:rsidRDefault="00D9047A" w:rsidP="00D9047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396C79">
              <w:rPr>
                <w:rFonts w:cs="Arial"/>
                <w:lang w:eastAsia="bg-BG"/>
              </w:rPr>
              <w:t>≤</w:t>
            </w:r>
            <w:r w:rsidRPr="00396C79">
              <w:rPr>
                <w:rFonts w:cs="Arial"/>
              </w:rPr>
              <w:t xml:space="preserve"> 4 mg/1</w:t>
            </w:r>
          </w:p>
        </w:tc>
        <w:tc>
          <w:tcPr>
            <w:tcW w:w="3167" w:type="dxa"/>
          </w:tcPr>
          <w:p w14:paraId="1FCFDF99" w14:textId="2762498C" w:rsidR="00D9047A" w:rsidRPr="00396C79" w:rsidRDefault="00D9047A" w:rsidP="00D9047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396C79">
              <w:rPr>
                <w:rFonts w:cs="Arial"/>
              </w:rPr>
              <w:t>&gt; 4 mg/1</w:t>
            </w:r>
          </w:p>
        </w:tc>
      </w:tr>
      <w:tr w:rsidR="00D9047A" w:rsidRPr="00396C79" w14:paraId="19EDE0DF" w14:textId="77777777" w:rsidTr="003459FC">
        <w:tc>
          <w:tcPr>
            <w:tcW w:w="9500" w:type="dxa"/>
            <w:gridSpan w:val="3"/>
          </w:tcPr>
          <w:p w14:paraId="68F519D7" w14:textId="1EF95387" w:rsidR="00D9047A" w:rsidRPr="00D9047A" w:rsidRDefault="00D9047A" w:rsidP="00D9047A">
            <w:pPr>
              <w:spacing w:line="240" w:lineRule="auto"/>
              <w:rPr>
                <w:rFonts w:eastAsia="Times New Roman" w:cs="Arial"/>
                <w:color w:val="000000"/>
                <w:lang w:eastAsia="bg-BG"/>
              </w:rPr>
            </w:pPr>
            <w:r w:rsidRPr="00396C79">
              <w:rPr>
                <w:rFonts w:eastAsia="Times New Roman" w:cs="Arial"/>
                <w:color w:val="000000"/>
                <w:vertAlign w:val="superscript"/>
                <w:lang w:eastAsia="bg-BG"/>
              </w:rPr>
              <w:t>1</w:t>
            </w:r>
            <w:r w:rsidRPr="00D9047A">
              <w:rPr>
                <w:rFonts w:eastAsia="Times New Roman" w:cs="Arial"/>
                <w:color w:val="000000"/>
                <w:lang w:eastAsia="bg-BG"/>
              </w:rPr>
              <w:t>Индуцируема резистентност на клиндамицин може да се открие чрез антагонизиране на активността на клиндамицин с макролидно средство. Ако не се открие, тогава съобщете като чувствителни. Ако се открие, тогава съобщете като резистентни и помислете за добавяне на този коментар към съобщението: „Клиндамицин може все пак да се използва за краткотрайна терапия на не много сериозни инфекции на кожата и меките тъкани, тъй като по време на такава терапия е малко вероятно да се развие конститутивна резистентност“.</w:t>
            </w:r>
          </w:p>
          <w:p w14:paraId="1DED47EA" w14:textId="5E0621F5" w:rsidR="00D9047A" w:rsidRPr="00D9047A" w:rsidRDefault="00D9047A" w:rsidP="00D9047A">
            <w:pPr>
              <w:spacing w:line="240" w:lineRule="auto"/>
              <w:rPr>
                <w:rFonts w:eastAsia="Times New Roman" w:cs="Arial"/>
                <w:color w:val="000000"/>
                <w:lang w:eastAsia="bg-BG"/>
              </w:rPr>
            </w:pPr>
            <w:r w:rsidRPr="00396C79">
              <w:rPr>
                <w:rFonts w:eastAsia="Times New Roman" w:cs="Arial"/>
                <w:color w:val="000000"/>
                <w:vertAlign w:val="superscript"/>
                <w:lang w:eastAsia="bg-BG"/>
              </w:rPr>
              <w:t>2</w:t>
            </w:r>
            <w:r w:rsidRPr="00D9047A">
              <w:rPr>
                <w:rFonts w:eastAsia="Times New Roman" w:cs="Arial"/>
                <w:color w:val="000000"/>
                <w:lang w:eastAsia="bg-BG"/>
              </w:rPr>
              <w:t xml:space="preserve">Клиничното значение на индуцируемата резистентност на клиндамицин при комбинирано лечение на тежки инфекции със </w:t>
            </w:r>
            <w:r w:rsidRPr="00D9047A">
              <w:rPr>
                <w:rFonts w:eastAsia="Times New Roman" w:cs="Arial"/>
                <w:color w:val="000000"/>
                <w:lang w:val="en-US"/>
              </w:rPr>
              <w:t xml:space="preserve">S. pyogenes </w:t>
            </w:r>
            <w:r w:rsidRPr="00D9047A">
              <w:rPr>
                <w:rFonts w:eastAsia="Times New Roman" w:cs="Arial"/>
                <w:color w:val="000000"/>
                <w:lang w:eastAsia="bg-BG"/>
              </w:rPr>
              <w:t>не е известно.</w:t>
            </w:r>
          </w:p>
          <w:p w14:paraId="41093974" w14:textId="64E52429" w:rsidR="00D9047A" w:rsidRPr="00396C79" w:rsidRDefault="00D9047A" w:rsidP="00D9047A">
            <w:pPr>
              <w:spacing w:line="240" w:lineRule="auto"/>
              <w:rPr>
                <w:rFonts w:eastAsia="Times New Roman" w:cs="Arial"/>
                <w:color w:val="000000"/>
                <w:lang w:eastAsia="bg-BG"/>
              </w:rPr>
            </w:pPr>
            <w:r w:rsidRPr="00396C79">
              <w:rPr>
                <w:rFonts w:eastAsia="Times New Roman" w:cs="Arial"/>
                <w:color w:val="000000"/>
                <w:vertAlign w:val="superscript"/>
                <w:lang w:eastAsia="bg-BG"/>
              </w:rPr>
              <w:t>3</w:t>
            </w:r>
            <w:r w:rsidRPr="00D9047A">
              <w:rPr>
                <w:rFonts w:eastAsia="Times New Roman" w:cs="Arial"/>
                <w:color w:val="000000"/>
                <w:lang w:eastAsia="bg-BG"/>
              </w:rPr>
              <w:t>Индуцируема резистентност на клиндамицин може да се открие чрез антагонизиране на активността на клиндамицин с макролидно средство. Ако не се открие, тогава съобщете като чувствителни. Ако се открие, тогава съобщете като резистентни.</w:t>
            </w:r>
          </w:p>
        </w:tc>
      </w:tr>
    </w:tbl>
    <w:p w14:paraId="5BCB3A20" w14:textId="77777777" w:rsidR="00D9047A" w:rsidRPr="00396C79" w:rsidRDefault="00D9047A" w:rsidP="00D9047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18ACC06" w14:textId="0552FD47" w:rsidR="00D9047A" w:rsidRPr="00D9047A" w:rsidRDefault="00D9047A" w:rsidP="00D9047A">
      <w:pPr>
        <w:spacing w:line="240" w:lineRule="auto"/>
        <w:rPr>
          <w:rFonts w:eastAsia="Times New Roman" w:cs="Arial"/>
          <w:lang w:eastAsia="bg-BG"/>
        </w:rPr>
      </w:pPr>
      <w:r w:rsidRPr="00D9047A">
        <w:rPr>
          <w:rFonts w:eastAsia="Times New Roman" w:cs="Arial"/>
          <w:color w:val="000000"/>
          <w:u w:val="single"/>
          <w:lang w:eastAsia="bg-BG"/>
        </w:rPr>
        <w:t>Разпространение на придобитата резистентност</w:t>
      </w:r>
    </w:p>
    <w:p w14:paraId="64C1C863" w14:textId="77777777" w:rsidR="00D9047A" w:rsidRPr="00D9047A" w:rsidRDefault="00D9047A" w:rsidP="00D9047A">
      <w:pPr>
        <w:spacing w:line="240" w:lineRule="auto"/>
        <w:rPr>
          <w:rFonts w:eastAsia="Times New Roman" w:cs="Arial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Разпространението на придобитата резистентност може да варира в отделните географски области и според времето при отделни видове, поради което е желателно получаването на местна информация за резистентността, особено за лечението на тежки инфекции. При нужда</w:t>
      </w:r>
    </w:p>
    <w:p w14:paraId="79315F5E" w14:textId="77777777" w:rsidR="00D9047A" w:rsidRPr="00D9047A" w:rsidRDefault="00D9047A" w:rsidP="00D9047A">
      <w:pPr>
        <w:spacing w:line="240" w:lineRule="auto"/>
        <w:rPr>
          <w:rFonts w:eastAsia="Times New Roman" w:cs="Arial"/>
          <w:lang w:eastAsia="bg-BG"/>
        </w:rPr>
      </w:pPr>
      <w:r w:rsidRPr="00D9047A">
        <w:rPr>
          <w:rFonts w:eastAsia="Times New Roman" w:cs="Arial"/>
          <w:color w:val="000000"/>
          <w:lang w:eastAsia="bg-BG"/>
        </w:rPr>
        <w:t>трябва да се търси експертно мнение, когато локалното разпространение на резистентността е такова, че ползата от медикамента при поне някои от видовете инфекции е под въпрос. Особено</w:t>
      </w:r>
    </w:p>
    <w:p w14:paraId="70EC4016" w14:textId="76249E71" w:rsidR="00D9047A" w:rsidRPr="00D9047A" w:rsidRDefault="00D9047A" w:rsidP="00D9047A">
      <w:pPr>
        <w:spacing w:line="240" w:lineRule="auto"/>
        <w:rPr>
          <w:rFonts w:eastAsia="Times New Roman" w:cs="Arial"/>
          <w:lang w:eastAsia="bg-BG"/>
        </w:rPr>
      </w:pPr>
      <w:r w:rsidRPr="00396C79">
        <w:rPr>
          <w:rFonts w:eastAsia="Times New Roman" w:cs="Arial"/>
          <w:color w:val="000000"/>
          <w:lang w:eastAsia="bg-BG"/>
        </w:rPr>
        <w:t>при тежки инфекции или при несполучливо лечение се препоръчва микробиологична диагностика с потвърждаване на патогена и неговата чувствителност към клиндамицин.</w:t>
      </w:r>
    </w:p>
    <w:p w14:paraId="7B1DE6C7" w14:textId="1E81B358" w:rsidR="00D9047A" w:rsidRPr="00396C79" w:rsidRDefault="00D9047A" w:rsidP="00D9047A">
      <w:pPr>
        <w:rPr>
          <w:rFonts w:cs="Arial"/>
        </w:rPr>
      </w:pPr>
    </w:p>
    <w:p w14:paraId="0B73ABB6" w14:textId="77777777" w:rsidR="00D9047A" w:rsidRPr="00D9047A" w:rsidRDefault="00D9047A" w:rsidP="00D9047A">
      <w:pPr>
        <w:spacing w:line="240" w:lineRule="auto"/>
        <w:rPr>
          <w:rFonts w:eastAsia="Times New Roman" w:cs="Arial"/>
          <w:lang w:val="en-US" w:eastAsia="bg-BG"/>
        </w:rPr>
      </w:pPr>
      <w:r w:rsidRPr="00D9047A">
        <w:rPr>
          <w:rFonts w:eastAsia="Times New Roman" w:cs="Arial"/>
          <w:b/>
          <w:bCs/>
          <w:color w:val="000000"/>
          <w:lang w:eastAsia="bg-BG"/>
        </w:rPr>
        <w:t>Обичайно чувствителни видове</w:t>
      </w:r>
    </w:p>
    <w:p w14:paraId="6F8F1BE3" w14:textId="77777777" w:rsidR="00D9047A" w:rsidRPr="00D9047A" w:rsidRDefault="00D9047A" w:rsidP="00D9047A">
      <w:pPr>
        <w:spacing w:line="240" w:lineRule="auto"/>
        <w:rPr>
          <w:rFonts w:eastAsia="Times New Roman" w:cs="Arial"/>
          <w:lang w:val="en-US" w:eastAsia="bg-BG"/>
        </w:rPr>
      </w:pPr>
      <w:r w:rsidRPr="00D9047A">
        <w:rPr>
          <w:rFonts w:eastAsia="Times New Roman" w:cs="Arial"/>
          <w:b/>
          <w:bCs/>
          <w:i/>
          <w:iCs/>
          <w:color w:val="000000"/>
          <w:lang w:eastAsia="bg-BG"/>
        </w:rPr>
        <w:t>Аеробни Грам-положителни микроорганизми</w:t>
      </w:r>
    </w:p>
    <w:p w14:paraId="602DCB33" w14:textId="77777777" w:rsidR="00D9047A" w:rsidRPr="00D9047A" w:rsidRDefault="00D9047A" w:rsidP="00D9047A">
      <w:pPr>
        <w:spacing w:line="240" w:lineRule="auto"/>
        <w:rPr>
          <w:rFonts w:eastAsia="Times New Roman" w:cs="Arial"/>
          <w:lang w:val="en-US" w:eastAsia="bg-BG"/>
        </w:rPr>
      </w:pPr>
      <w:r w:rsidRPr="00D9047A">
        <w:rPr>
          <w:rFonts w:eastAsia="Times New Roman" w:cs="Arial"/>
          <w:i/>
          <w:iCs/>
          <w:color w:val="000000"/>
          <w:lang w:val="en-US"/>
        </w:rPr>
        <w:t>Actinomyces israelii</w:t>
      </w:r>
      <w:r w:rsidRPr="00D9047A">
        <w:rPr>
          <w:rFonts w:eastAsia="Times New Roman" w:cs="Arial"/>
          <w:i/>
          <w:iCs/>
          <w:color w:val="000000"/>
          <w:vertAlign w:val="superscript"/>
          <w:lang w:val="en-US"/>
        </w:rPr>
        <w:t>0</w:t>
      </w:r>
    </w:p>
    <w:p w14:paraId="57D9478E" w14:textId="77777777" w:rsidR="00D9047A" w:rsidRPr="00D9047A" w:rsidRDefault="00D9047A" w:rsidP="00D9047A">
      <w:pPr>
        <w:spacing w:line="240" w:lineRule="auto"/>
        <w:rPr>
          <w:rFonts w:eastAsia="Times New Roman" w:cs="Arial"/>
          <w:lang w:val="en-US" w:eastAsia="bg-BG"/>
        </w:rPr>
      </w:pPr>
      <w:r w:rsidRPr="00D9047A">
        <w:rPr>
          <w:rFonts w:eastAsia="Times New Roman" w:cs="Arial"/>
          <w:i/>
          <w:iCs/>
          <w:color w:val="000000"/>
          <w:lang w:val="en-US"/>
        </w:rPr>
        <w:t>Staphylococcus aureus</w:t>
      </w:r>
      <w:r w:rsidRPr="00D9047A">
        <w:rPr>
          <w:rFonts w:eastAsia="Times New Roman" w:cs="Arial"/>
          <w:color w:val="000000"/>
          <w:lang w:val="en-US"/>
        </w:rPr>
        <w:t xml:space="preserve"> </w:t>
      </w:r>
      <w:r w:rsidRPr="00D9047A">
        <w:rPr>
          <w:rFonts w:eastAsia="Times New Roman" w:cs="Arial"/>
          <w:color w:val="000000"/>
          <w:lang w:eastAsia="bg-BG"/>
        </w:rPr>
        <w:t>(Метицилин-чувствителни)</w:t>
      </w:r>
    </w:p>
    <w:p w14:paraId="459AFF3B" w14:textId="77777777" w:rsidR="00D9047A" w:rsidRPr="00D9047A" w:rsidRDefault="00D9047A" w:rsidP="00D9047A">
      <w:pPr>
        <w:spacing w:line="240" w:lineRule="auto"/>
        <w:rPr>
          <w:rFonts w:eastAsia="Times New Roman" w:cs="Arial"/>
          <w:lang w:val="en-US" w:eastAsia="bg-BG"/>
        </w:rPr>
      </w:pPr>
      <w:r w:rsidRPr="00D9047A">
        <w:rPr>
          <w:rFonts w:eastAsia="Times New Roman" w:cs="Arial"/>
          <w:i/>
          <w:iCs/>
          <w:color w:val="000000"/>
          <w:lang w:val="en-US"/>
        </w:rPr>
        <w:lastRenderedPageBreak/>
        <w:t>Streptococcus pneumoniae</w:t>
      </w:r>
    </w:p>
    <w:p w14:paraId="663E62CF" w14:textId="77777777" w:rsidR="00D9047A" w:rsidRPr="00D9047A" w:rsidRDefault="00D9047A" w:rsidP="00D9047A">
      <w:pPr>
        <w:spacing w:line="240" w:lineRule="auto"/>
        <w:rPr>
          <w:rFonts w:eastAsia="Times New Roman" w:cs="Arial"/>
          <w:lang w:val="en-US" w:eastAsia="bg-BG"/>
        </w:rPr>
      </w:pPr>
      <w:r w:rsidRPr="00D9047A">
        <w:rPr>
          <w:rFonts w:eastAsia="Times New Roman" w:cs="Arial"/>
          <w:i/>
          <w:iCs/>
          <w:color w:val="000000"/>
          <w:lang w:val="en-US"/>
        </w:rPr>
        <w:t>Streptococcus pyogenes</w:t>
      </w:r>
    </w:p>
    <w:p w14:paraId="02617A04" w14:textId="111FA07F" w:rsidR="00D9047A" w:rsidRPr="00D9047A" w:rsidRDefault="00D9047A" w:rsidP="00D9047A">
      <w:pPr>
        <w:spacing w:line="240" w:lineRule="auto"/>
        <w:rPr>
          <w:rFonts w:eastAsia="Times New Roman" w:cs="Arial"/>
          <w:lang w:val="en-US" w:eastAsia="bg-BG"/>
        </w:rPr>
      </w:pPr>
      <w:r w:rsidRPr="00D9047A">
        <w:rPr>
          <w:rFonts w:eastAsia="Times New Roman" w:cs="Arial"/>
          <w:color w:val="000000"/>
          <w:lang w:eastAsia="bg-BG"/>
        </w:rPr>
        <w:t xml:space="preserve">Стрептококи от групата </w:t>
      </w:r>
      <w:r w:rsidRPr="00D9047A">
        <w:rPr>
          <w:rFonts w:eastAsia="Times New Roman" w:cs="Arial"/>
          <w:color w:val="000000"/>
          <w:lang w:val="en-US"/>
        </w:rPr>
        <w:t>„viridans“</w:t>
      </w:r>
      <w:r w:rsidRPr="00D9047A">
        <w:rPr>
          <w:rFonts w:eastAsia="Times New Roman" w:cs="Arial"/>
          <w:color w:val="000000"/>
          <w:vertAlign w:val="superscript"/>
          <w:lang w:val="en-US"/>
        </w:rPr>
        <w:t>0</w:t>
      </w:r>
      <w:r w:rsidRPr="00396C79">
        <w:rPr>
          <w:rFonts w:eastAsia="Times New Roman" w:cs="Arial"/>
          <w:color w:val="000000"/>
          <w:lang w:val="en-US"/>
        </w:rPr>
        <w:t>^</w:t>
      </w:r>
    </w:p>
    <w:p w14:paraId="425539E7" w14:textId="77777777" w:rsidR="00D9047A" w:rsidRPr="00396C79" w:rsidRDefault="00D9047A" w:rsidP="00D9047A">
      <w:pPr>
        <w:spacing w:line="240" w:lineRule="auto"/>
        <w:rPr>
          <w:rFonts w:eastAsia="Times New Roman" w:cs="Arial"/>
          <w:b/>
          <w:bCs/>
          <w:i/>
          <w:iCs/>
          <w:color w:val="000000"/>
          <w:lang w:eastAsia="bg-BG"/>
        </w:rPr>
      </w:pPr>
    </w:p>
    <w:p w14:paraId="7092A49F" w14:textId="57390A83" w:rsidR="00D9047A" w:rsidRPr="00D9047A" w:rsidRDefault="00D9047A" w:rsidP="00D9047A">
      <w:pPr>
        <w:spacing w:line="240" w:lineRule="auto"/>
        <w:rPr>
          <w:rFonts w:eastAsia="Times New Roman" w:cs="Arial"/>
          <w:lang w:val="en-US" w:eastAsia="bg-BG"/>
        </w:rPr>
      </w:pPr>
      <w:r w:rsidRPr="00D9047A">
        <w:rPr>
          <w:rFonts w:eastAsia="Times New Roman" w:cs="Arial"/>
          <w:b/>
          <w:bCs/>
          <w:i/>
          <w:iCs/>
          <w:color w:val="000000"/>
          <w:lang w:eastAsia="bg-BG"/>
        </w:rPr>
        <w:t>Анаеробни микроорганизми</w:t>
      </w:r>
    </w:p>
    <w:p w14:paraId="44C2584E" w14:textId="5EB09215" w:rsidR="00D9047A" w:rsidRPr="00D9047A" w:rsidRDefault="00D9047A" w:rsidP="00D9047A">
      <w:pPr>
        <w:spacing w:line="240" w:lineRule="auto"/>
        <w:rPr>
          <w:rFonts w:eastAsia="Times New Roman" w:cs="Arial"/>
          <w:lang w:val="en-US" w:eastAsia="bg-BG"/>
        </w:rPr>
      </w:pPr>
      <w:r w:rsidRPr="00D9047A">
        <w:rPr>
          <w:rFonts w:eastAsia="Times New Roman" w:cs="Arial"/>
          <w:i/>
          <w:iCs/>
          <w:color w:val="000000"/>
          <w:lang w:val="en-US"/>
        </w:rPr>
        <w:t>Bacteroides</w:t>
      </w:r>
      <w:r w:rsidRPr="00D9047A">
        <w:rPr>
          <w:rFonts w:eastAsia="Times New Roman" w:cs="Arial"/>
          <w:color w:val="000000"/>
          <w:lang w:val="en-US"/>
        </w:rPr>
        <w:t xml:space="preserve"> spp.</w:t>
      </w:r>
      <w:r w:rsidRPr="00D9047A">
        <w:rPr>
          <w:rFonts w:eastAsia="Times New Roman" w:cs="Arial"/>
          <w:color w:val="000000"/>
          <w:lang w:eastAsia="bg-BG"/>
        </w:rPr>
        <w:t xml:space="preserve">° </w:t>
      </w:r>
      <w:r w:rsidRPr="00D9047A">
        <w:rPr>
          <w:rFonts w:eastAsia="Times New Roman" w:cs="Arial"/>
          <w:color w:val="000000"/>
          <w:lang w:val="en-US"/>
        </w:rPr>
        <w:t xml:space="preserve">(c </w:t>
      </w:r>
      <w:r w:rsidRPr="00D9047A">
        <w:rPr>
          <w:rFonts w:eastAsia="Times New Roman" w:cs="Arial"/>
          <w:color w:val="000000"/>
          <w:lang w:eastAsia="bg-BG"/>
        </w:rPr>
        <w:t xml:space="preserve">изключение на </w:t>
      </w:r>
      <w:proofErr w:type="spellStart"/>
      <w:proofErr w:type="gramStart"/>
      <w:r w:rsidRPr="00D9047A">
        <w:rPr>
          <w:rFonts w:eastAsia="Times New Roman" w:cs="Arial"/>
          <w:i/>
          <w:iCs/>
          <w:color w:val="000000"/>
          <w:lang w:val="en-US"/>
        </w:rPr>
        <w:t>B.fragilis</w:t>
      </w:r>
      <w:proofErr w:type="spellEnd"/>
      <w:proofErr w:type="gramEnd"/>
      <w:r w:rsidRPr="00D9047A">
        <w:rPr>
          <w:rFonts w:eastAsia="Times New Roman" w:cs="Arial"/>
          <w:i/>
          <w:iCs/>
          <w:color w:val="000000"/>
          <w:lang w:val="en-US"/>
        </w:rPr>
        <w:t>)</w:t>
      </w:r>
    </w:p>
    <w:p w14:paraId="6EC29282" w14:textId="30483F49" w:rsidR="00D9047A" w:rsidRPr="00D9047A" w:rsidRDefault="00D9047A" w:rsidP="00D9047A">
      <w:pPr>
        <w:spacing w:line="240" w:lineRule="auto"/>
        <w:rPr>
          <w:rFonts w:eastAsia="Times New Roman" w:cs="Arial"/>
          <w:lang w:val="en-US" w:eastAsia="bg-BG"/>
        </w:rPr>
      </w:pPr>
      <w:r w:rsidRPr="00D9047A">
        <w:rPr>
          <w:rFonts w:eastAsia="Times New Roman" w:cs="Arial"/>
          <w:i/>
          <w:iCs/>
          <w:color w:val="000000"/>
          <w:lang w:val="en-US"/>
        </w:rPr>
        <w:t>Clostridium perfringens°</w:t>
      </w:r>
    </w:p>
    <w:p w14:paraId="397B6DD4" w14:textId="30D6820F" w:rsidR="00D9047A" w:rsidRPr="00D9047A" w:rsidRDefault="00D9047A" w:rsidP="00D9047A">
      <w:pPr>
        <w:spacing w:line="240" w:lineRule="auto"/>
        <w:rPr>
          <w:rFonts w:eastAsia="Times New Roman" w:cs="Arial"/>
          <w:lang w:val="en-US" w:eastAsia="bg-BG"/>
        </w:rPr>
      </w:pPr>
      <w:proofErr w:type="spellStart"/>
      <w:r w:rsidRPr="00D9047A">
        <w:rPr>
          <w:rFonts w:eastAsia="Times New Roman" w:cs="Arial"/>
          <w:i/>
          <w:iCs/>
          <w:color w:val="000000"/>
          <w:lang w:val="en-US"/>
        </w:rPr>
        <w:t>Peptoniphilus</w:t>
      </w:r>
      <w:proofErr w:type="spellEnd"/>
      <w:r w:rsidRPr="00D9047A">
        <w:rPr>
          <w:rFonts w:eastAsia="Times New Roman" w:cs="Arial"/>
          <w:i/>
          <w:iCs/>
          <w:color w:val="000000"/>
          <w:lang w:val="en-US"/>
        </w:rPr>
        <w:t xml:space="preserve"> spp.°</w:t>
      </w:r>
    </w:p>
    <w:p w14:paraId="4F31275F" w14:textId="77777777" w:rsidR="00D9047A" w:rsidRPr="00D9047A" w:rsidRDefault="00D9047A" w:rsidP="00D9047A">
      <w:pPr>
        <w:spacing w:line="240" w:lineRule="auto"/>
        <w:rPr>
          <w:rFonts w:eastAsia="Times New Roman" w:cs="Arial"/>
          <w:lang w:val="en-US" w:eastAsia="bg-BG"/>
        </w:rPr>
      </w:pPr>
      <w:r w:rsidRPr="00D9047A">
        <w:rPr>
          <w:rFonts w:eastAsia="Times New Roman" w:cs="Arial"/>
          <w:i/>
          <w:iCs/>
          <w:color w:val="000000"/>
          <w:lang w:val="en-US"/>
        </w:rPr>
        <w:t>Fusobacterium</w:t>
      </w:r>
      <w:r w:rsidRPr="00D9047A">
        <w:rPr>
          <w:rFonts w:eastAsia="Times New Roman" w:cs="Arial"/>
          <w:color w:val="000000"/>
          <w:lang w:val="en-US"/>
        </w:rPr>
        <w:t xml:space="preserve"> spp.°</w:t>
      </w:r>
    </w:p>
    <w:p w14:paraId="2BC03AAF" w14:textId="3D8BA21A" w:rsidR="00D9047A" w:rsidRPr="00D9047A" w:rsidRDefault="00D9047A" w:rsidP="00D9047A">
      <w:pPr>
        <w:spacing w:line="240" w:lineRule="auto"/>
        <w:rPr>
          <w:rFonts w:eastAsia="Times New Roman" w:cs="Arial"/>
          <w:lang w:val="en-US" w:eastAsia="bg-BG"/>
        </w:rPr>
      </w:pPr>
      <w:proofErr w:type="spellStart"/>
      <w:proofErr w:type="gramStart"/>
      <w:r w:rsidRPr="00D9047A">
        <w:rPr>
          <w:rFonts w:eastAsia="Times New Roman" w:cs="Arial"/>
          <w:i/>
          <w:iCs/>
          <w:color w:val="000000"/>
          <w:lang w:val="en-US"/>
        </w:rPr>
        <w:t>Peptostreptococcusspp</w:t>
      </w:r>
      <w:proofErr w:type="spellEnd"/>
      <w:r w:rsidRPr="00D9047A">
        <w:rPr>
          <w:rFonts w:eastAsia="Times New Roman" w:cs="Arial"/>
          <w:i/>
          <w:iCs/>
          <w:color w:val="000000"/>
          <w:lang w:val="en-US"/>
        </w:rPr>
        <w:t>.°</w:t>
      </w:r>
      <w:proofErr w:type="gramEnd"/>
    </w:p>
    <w:p w14:paraId="089816E2" w14:textId="77777777" w:rsidR="00D9047A" w:rsidRPr="00D9047A" w:rsidRDefault="00D9047A" w:rsidP="00D9047A">
      <w:pPr>
        <w:spacing w:line="240" w:lineRule="auto"/>
        <w:rPr>
          <w:rFonts w:eastAsia="Times New Roman" w:cs="Arial"/>
          <w:lang w:val="en-US" w:eastAsia="bg-BG"/>
        </w:rPr>
      </w:pPr>
      <w:proofErr w:type="spellStart"/>
      <w:r w:rsidRPr="00D9047A">
        <w:rPr>
          <w:rFonts w:eastAsia="Times New Roman" w:cs="Arial"/>
          <w:i/>
          <w:iCs/>
          <w:color w:val="000000"/>
          <w:lang w:val="en-US"/>
        </w:rPr>
        <w:t>Prevotella</w:t>
      </w:r>
      <w:proofErr w:type="spellEnd"/>
      <w:r w:rsidRPr="00D9047A">
        <w:rPr>
          <w:rFonts w:eastAsia="Times New Roman" w:cs="Arial"/>
          <w:color w:val="000000"/>
          <w:lang w:val="en-US"/>
        </w:rPr>
        <w:t xml:space="preserve"> spp.</w:t>
      </w:r>
    </w:p>
    <w:p w14:paraId="4DB27E45" w14:textId="7302628D" w:rsidR="00D9047A" w:rsidRPr="00D9047A" w:rsidRDefault="00D9047A" w:rsidP="00D9047A">
      <w:pPr>
        <w:spacing w:line="240" w:lineRule="auto"/>
        <w:rPr>
          <w:rFonts w:eastAsia="Times New Roman" w:cs="Arial"/>
          <w:lang w:val="en-US" w:eastAsia="bg-BG"/>
        </w:rPr>
      </w:pPr>
      <w:r w:rsidRPr="00D9047A">
        <w:rPr>
          <w:rFonts w:eastAsia="Times New Roman" w:cs="Arial"/>
          <w:i/>
          <w:iCs/>
          <w:color w:val="000000"/>
          <w:lang w:val="en-US"/>
        </w:rPr>
        <w:t>Propionibacterium</w:t>
      </w:r>
      <w:r w:rsidRPr="00D9047A">
        <w:rPr>
          <w:rFonts w:eastAsia="Times New Roman" w:cs="Arial"/>
          <w:color w:val="000000"/>
          <w:lang w:val="en-US"/>
        </w:rPr>
        <w:t xml:space="preserve"> spp.°</w:t>
      </w:r>
    </w:p>
    <w:p w14:paraId="53A2F050" w14:textId="2E544C5D" w:rsidR="00D9047A" w:rsidRPr="00D9047A" w:rsidRDefault="00D9047A" w:rsidP="00D9047A">
      <w:pPr>
        <w:spacing w:line="240" w:lineRule="auto"/>
        <w:rPr>
          <w:rFonts w:eastAsia="Times New Roman" w:cs="Arial"/>
          <w:lang w:val="en-US" w:eastAsia="bg-BG"/>
        </w:rPr>
      </w:pPr>
      <w:proofErr w:type="spellStart"/>
      <w:r w:rsidRPr="00D9047A">
        <w:rPr>
          <w:rFonts w:eastAsia="Times New Roman" w:cs="Arial"/>
          <w:i/>
          <w:iCs/>
          <w:color w:val="000000"/>
          <w:lang w:val="en-US"/>
        </w:rPr>
        <w:t>Veillonella</w:t>
      </w:r>
      <w:proofErr w:type="spellEnd"/>
      <w:r w:rsidRPr="00D9047A">
        <w:rPr>
          <w:rFonts w:eastAsia="Times New Roman" w:cs="Arial"/>
          <w:color w:val="000000"/>
          <w:lang w:val="en-US"/>
        </w:rPr>
        <w:t xml:space="preserve"> spp.°</w:t>
      </w:r>
    </w:p>
    <w:p w14:paraId="122847B9" w14:textId="77777777" w:rsidR="00D9047A" w:rsidRPr="00396C79" w:rsidRDefault="00D9047A" w:rsidP="00D9047A">
      <w:pPr>
        <w:spacing w:line="240" w:lineRule="auto"/>
        <w:rPr>
          <w:rFonts w:eastAsia="Times New Roman" w:cs="Arial"/>
          <w:b/>
          <w:bCs/>
          <w:i/>
          <w:iCs/>
          <w:color w:val="000000"/>
          <w:lang w:eastAsia="bg-BG"/>
        </w:rPr>
      </w:pPr>
    </w:p>
    <w:p w14:paraId="2CE9FF56" w14:textId="6FC5CBCC" w:rsidR="00D9047A" w:rsidRPr="00D9047A" w:rsidRDefault="00D9047A" w:rsidP="00D9047A">
      <w:pPr>
        <w:spacing w:line="240" w:lineRule="auto"/>
        <w:rPr>
          <w:rFonts w:eastAsia="Times New Roman" w:cs="Arial"/>
          <w:lang w:val="en-US" w:eastAsia="bg-BG"/>
        </w:rPr>
      </w:pPr>
      <w:r w:rsidRPr="00D9047A">
        <w:rPr>
          <w:rFonts w:eastAsia="Times New Roman" w:cs="Arial"/>
          <w:b/>
          <w:bCs/>
          <w:i/>
          <w:iCs/>
          <w:color w:val="000000"/>
          <w:lang w:eastAsia="bg-BG"/>
        </w:rPr>
        <w:t>Други микроорганизми</w:t>
      </w:r>
    </w:p>
    <w:p w14:paraId="27F54AA7" w14:textId="77777777" w:rsidR="00D9047A" w:rsidRPr="00D9047A" w:rsidRDefault="00D9047A" w:rsidP="00D9047A">
      <w:pPr>
        <w:spacing w:line="240" w:lineRule="auto"/>
        <w:rPr>
          <w:rFonts w:eastAsia="Times New Roman" w:cs="Arial"/>
          <w:lang w:val="en-US" w:eastAsia="bg-BG"/>
        </w:rPr>
      </w:pPr>
      <w:r w:rsidRPr="00D9047A">
        <w:rPr>
          <w:rFonts w:eastAsia="Times New Roman" w:cs="Arial"/>
          <w:i/>
          <w:iCs/>
          <w:color w:val="000000"/>
          <w:lang w:val="en-US"/>
        </w:rPr>
        <w:t>Chlamydia trachomatis</w:t>
      </w:r>
      <w:r w:rsidRPr="00D9047A">
        <w:rPr>
          <w:rFonts w:eastAsia="Times New Roman" w:cs="Arial"/>
          <w:i/>
          <w:iCs/>
          <w:color w:val="000000"/>
          <w:vertAlign w:val="superscript"/>
          <w:lang w:val="en-US"/>
        </w:rPr>
        <w:t>0</w:t>
      </w:r>
    </w:p>
    <w:p w14:paraId="083DBC4B" w14:textId="77777777" w:rsidR="00D9047A" w:rsidRPr="00D9047A" w:rsidRDefault="00D9047A" w:rsidP="00D9047A">
      <w:pPr>
        <w:spacing w:line="240" w:lineRule="auto"/>
        <w:rPr>
          <w:rFonts w:eastAsia="Times New Roman" w:cs="Arial"/>
          <w:lang w:val="en-US" w:eastAsia="bg-BG"/>
        </w:rPr>
      </w:pPr>
      <w:r w:rsidRPr="00D9047A">
        <w:rPr>
          <w:rFonts w:eastAsia="Times New Roman" w:cs="Arial"/>
          <w:i/>
          <w:iCs/>
          <w:color w:val="000000"/>
          <w:lang w:val="en-US"/>
        </w:rPr>
        <w:t>Chlamydophila pneumoniae</w:t>
      </w:r>
      <w:r w:rsidRPr="00D9047A">
        <w:rPr>
          <w:rFonts w:eastAsia="Times New Roman" w:cs="Arial"/>
          <w:i/>
          <w:iCs/>
          <w:color w:val="000000"/>
          <w:vertAlign w:val="superscript"/>
          <w:lang w:val="en-US"/>
        </w:rPr>
        <w:t>0</w:t>
      </w:r>
    </w:p>
    <w:p w14:paraId="436D31A2" w14:textId="77777777" w:rsidR="00D9047A" w:rsidRPr="00D9047A" w:rsidRDefault="00D9047A" w:rsidP="00D9047A">
      <w:pPr>
        <w:spacing w:line="240" w:lineRule="auto"/>
        <w:rPr>
          <w:rFonts w:eastAsia="Times New Roman" w:cs="Arial"/>
          <w:lang w:val="en-US" w:eastAsia="bg-BG"/>
        </w:rPr>
      </w:pPr>
      <w:r w:rsidRPr="00D9047A">
        <w:rPr>
          <w:rFonts w:eastAsia="Times New Roman" w:cs="Arial"/>
          <w:i/>
          <w:iCs/>
          <w:color w:val="000000"/>
          <w:lang w:val="en-US"/>
        </w:rPr>
        <w:t>Gardnerella vaginalis</w:t>
      </w:r>
      <w:r w:rsidRPr="00D9047A">
        <w:rPr>
          <w:rFonts w:eastAsia="Times New Roman" w:cs="Arial"/>
          <w:i/>
          <w:iCs/>
          <w:color w:val="000000"/>
          <w:vertAlign w:val="superscript"/>
          <w:lang w:val="en-US"/>
        </w:rPr>
        <w:t>0</w:t>
      </w:r>
    </w:p>
    <w:p w14:paraId="4F15EA05" w14:textId="77777777" w:rsidR="00D9047A" w:rsidRPr="00D9047A" w:rsidRDefault="00D9047A" w:rsidP="00D9047A">
      <w:pPr>
        <w:spacing w:line="240" w:lineRule="auto"/>
        <w:rPr>
          <w:rFonts w:eastAsia="Times New Roman" w:cs="Arial"/>
          <w:lang w:val="en-US" w:eastAsia="bg-BG"/>
        </w:rPr>
      </w:pPr>
      <w:r w:rsidRPr="00D9047A">
        <w:rPr>
          <w:rFonts w:eastAsia="Times New Roman" w:cs="Arial"/>
          <w:i/>
          <w:iCs/>
          <w:color w:val="000000"/>
          <w:lang w:val="en-US"/>
        </w:rPr>
        <w:t>Mycoplasma hominis</w:t>
      </w:r>
      <w:r w:rsidRPr="00D9047A">
        <w:rPr>
          <w:rFonts w:eastAsia="Times New Roman" w:cs="Arial"/>
          <w:i/>
          <w:iCs/>
          <w:color w:val="000000"/>
          <w:vertAlign w:val="superscript"/>
          <w:lang w:val="en-US"/>
        </w:rPr>
        <w:t>0</w:t>
      </w:r>
    </w:p>
    <w:p w14:paraId="0CFA0CB2" w14:textId="77777777" w:rsidR="00D9047A" w:rsidRPr="00396C79" w:rsidRDefault="00D9047A" w:rsidP="00D9047A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16BF9750" w14:textId="5A9B257D" w:rsidR="00D9047A" w:rsidRPr="00D9047A" w:rsidRDefault="00D9047A" w:rsidP="00D9047A">
      <w:pPr>
        <w:spacing w:line="240" w:lineRule="auto"/>
        <w:rPr>
          <w:rFonts w:eastAsia="Times New Roman" w:cs="Arial"/>
          <w:lang w:val="en-US" w:eastAsia="bg-BG"/>
        </w:rPr>
      </w:pPr>
      <w:r w:rsidRPr="00D9047A">
        <w:rPr>
          <w:rFonts w:eastAsia="Times New Roman" w:cs="Arial"/>
          <w:b/>
          <w:bCs/>
          <w:color w:val="000000"/>
          <w:lang w:eastAsia="bg-BG"/>
        </w:rPr>
        <w:t>Видове, при конто придобитата резистентност може да представлява проблем</w:t>
      </w:r>
    </w:p>
    <w:p w14:paraId="4F1C9534" w14:textId="77777777" w:rsidR="00D9047A" w:rsidRPr="00D9047A" w:rsidRDefault="00D9047A" w:rsidP="00D9047A">
      <w:pPr>
        <w:spacing w:line="240" w:lineRule="auto"/>
        <w:rPr>
          <w:rFonts w:eastAsia="Times New Roman" w:cs="Arial"/>
          <w:lang w:val="en-US" w:eastAsia="bg-BG"/>
        </w:rPr>
      </w:pPr>
      <w:r w:rsidRPr="00D9047A">
        <w:rPr>
          <w:rFonts w:eastAsia="Times New Roman" w:cs="Arial"/>
          <w:b/>
          <w:bCs/>
          <w:i/>
          <w:iCs/>
          <w:color w:val="000000"/>
          <w:lang w:eastAsia="bg-BG"/>
        </w:rPr>
        <w:t>Аеробни Грам-положителни микроорганизми</w:t>
      </w:r>
    </w:p>
    <w:p w14:paraId="1694CE20" w14:textId="77777777" w:rsidR="00D9047A" w:rsidRPr="00D9047A" w:rsidRDefault="00D9047A" w:rsidP="00D9047A">
      <w:pPr>
        <w:spacing w:line="240" w:lineRule="auto"/>
        <w:rPr>
          <w:rFonts w:eastAsia="Times New Roman" w:cs="Arial"/>
          <w:lang w:val="en-US" w:eastAsia="bg-BG"/>
        </w:rPr>
      </w:pPr>
      <w:r w:rsidRPr="00D9047A">
        <w:rPr>
          <w:rFonts w:eastAsia="Times New Roman" w:cs="Arial"/>
          <w:i/>
          <w:iCs/>
          <w:color w:val="000000"/>
          <w:lang w:val="en-US"/>
        </w:rPr>
        <w:t>Staphylococcus aureus</w:t>
      </w:r>
    </w:p>
    <w:p w14:paraId="65B45A1E" w14:textId="77777777" w:rsidR="00D9047A" w:rsidRPr="00D9047A" w:rsidRDefault="00D9047A" w:rsidP="00D9047A">
      <w:pPr>
        <w:spacing w:line="240" w:lineRule="auto"/>
        <w:rPr>
          <w:rFonts w:eastAsia="Times New Roman" w:cs="Arial"/>
          <w:lang w:val="en-US" w:eastAsia="bg-BG"/>
        </w:rPr>
      </w:pPr>
      <w:r w:rsidRPr="00D9047A">
        <w:rPr>
          <w:rFonts w:eastAsia="Times New Roman" w:cs="Arial"/>
          <w:i/>
          <w:iCs/>
          <w:color w:val="000000"/>
          <w:lang w:val="en-US"/>
        </w:rPr>
        <w:t>Staphylococcus aureus</w:t>
      </w:r>
      <w:r w:rsidRPr="00D9047A">
        <w:rPr>
          <w:rFonts w:eastAsia="Times New Roman" w:cs="Arial"/>
          <w:color w:val="000000"/>
          <w:lang w:val="en-US"/>
        </w:rPr>
        <w:t xml:space="preserve"> </w:t>
      </w:r>
      <w:r w:rsidRPr="00D9047A">
        <w:rPr>
          <w:rFonts w:eastAsia="Times New Roman" w:cs="Arial"/>
          <w:color w:val="000000"/>
          <w:lang w:eastAsia="bg-BG"/>
        </w:rPr>
        <w:t>(Метицилин -</w:t>
      </w:r>
      <w:proofErr w:type="gramStart"/>
      <w:r w:rsidRPr="00D9047A">
        <w:rPr>
          <w:rFonts w:eastAsia="Times New Roman" w:cs="Arial"/>
          <w:color w:val="000000"/>
          <w:lang w:eastAsia="bg-BG"/>
        </w:rPr>
        <w:t>резистентни)</w:t>
      </w:r>
      <w:r w:rsidRPr="00D9047A">
        <w:rPr>
          <w:rFonts w:eastAsia="Times New Roman" w:cs="Arial"/>
          <w:color w:val="000000"/>
          <w:vertAlign w:val="superscript"/>
          <w:lang w:eastAsia="bg-BG"/>
        </w:rPr>
        <w:t>+</w:t>
      </w:r>
      <w:proofErr w:type="gramEnd"/>
    </w:p>
    <w:p w14:paraId="52F22F74" w14:textId="055CE13C" w:rsidR="00D9047A" w:rsidRPr="00396C79" w:rsidRDefault="00D9047A" w:rsidP="00D9047A">
      <w:pPr>
        <w:spacing w:line="240" w:lineRule="auto"/>
        <w:rPr>
          <w:rFonts w:eastAsia="Times New Roman" w:cs="Arial"/>
          <w:i/>
          <w:iCs/>
          <w:color w:val="000000"/>
          <w:vertAlign w:val="superscript"/>
          <w:lang w:val="en-US"/>
        </w:rPr>
      </w:pPr>
      <w:r w:rsidRPr="00D9047A">
        <w:rPr>
          <w:rFonts w:eastAsia="Times New Roman" w:cs="Arial"/>
          <w:i/>
          <w:iCs/>
          <w:color w:val="000000"/>
          <w:lang w:val="en-US"/>
        </w:rPr>
        <w:t>Staphylococcus epidermidis</w:t>
      </w:r>
      <w:r w:rsidRPr="00D9047A">
        <w:rPr>
          <w:rFonts w:eastAsia="Times New Roman" w:cs="Arial"/>
          <w:i/>
          <w:iCs/>
          <w:color w:val="000000"/>
          <w:vertAlign w:val="superscript"/>
          <w:lang w:val="en-US"/>
        </w:rPr>
        <w:t>+</w:t>
      </w:r>
    </w:p>
    <w:p w14:paraId="139769B3" w14:textId="77777777" w:rsidR="00D9047A" w:rsidRPr="00D9047A" w:rsidRDefault="00D9047A" w:rsidP="00D9047A">
      <w:pPr>
        <w:spacing w:line="240" w:lineRule="auto"/>
        <w:rPr>
          <w:rFonts w:eastAsia="Times New Roman" w:cs="Arial"/>
          <w:lang w:eastAsia="bg-BG"/>
        </w:rPr>
      </w:pPr>
      <w:r w:rsidRPr="00D9047A">
        <w:rPr>
          <w:rFonts w:eastAsia="Times New Roman" w:cs="Arial"/>
          <w:i/>
          <w:iCs/>
          <w:color w:val="000000"/>
          <w:lang w:val="en-US"/>
        </w:rPr>
        <w:t xml:space="preserve">Staphylococcus </w:t>
      </w:r>
      <w:proofErr w:type="spellStart"/>
      <w:r w:rsidRPr="00D9047A">
        <w:rPr>
          <w:rFonts w:eastAsia="Times New Roman" w:cs="Arial"/>
          <w:i/>
          <w:iCs/>
          <w:color w:val="000000"/>
          <w:lang w:val="en-US"/>
        </w:rPr>
        <w:t>haemolyticus</w:t>
      </w:r>
      <w:proofErr w:type="spellEnd"/>
    </w:p>
    <w:p w14:paraId="32BEA92E" w14:textId="77777777" w:rsidR="00D9047A" w:rsidRPr="00D9047A" w:rsidRDefault="00D9047A" w:rsidP="00D9047A">
      <w:pPr>
        <w:spacing w:line="240" w:lineRule="auto"/>
        <w:rPr>
          <w:rFonts w:eastAsia="Times New Roman" w:cs="Arial"/>
          <w:lang w:eastAsia="bg-BG"/>
        </w:rPr>
      </w:pPr>
      <w:r w:rsidRPr="00D9047A">
        <w:rPr>
          <w:rFonts w:eastAsia="Times New Roman" w:cs="Arial"/>
          <w:i/>
          <w:iCs/>
          <w:color w:val="000000"/>
          <w:lang w:val="en-US"/>
        </w:rPr>
        <w:t>Staphylococcus hominis</w:t>
      </w:r>
    </w:p>
    <w:p w14:paraId="576D298B" w14:textId="77777777" w:rsidR="00D9047A" w:rsidRPr="00D9047A" w:rsidRDefault="00D9047A" w:rsidP="00D9047A">
      <w:pPr>
        <w:spacing w:line="240" w:lineRule="auto"/>
        <w:rPr>
          <w:rFonts w:eastAsia="Times New Roman" w:cs="Arial"/>
          <w:lang w:eastAsia="bg-BG"/>
        </w:rPr>
      </w:pPr>
      <w:r w:rsidRPr="00D9047A">
        <w:rPr>
          <w:rFonts w:eastAsia="Times New Roman" w:cs="Arial"/>
          <w:i/>
          <w:iCs/>
          <w:color w:val="000000"/>
          <w:lang w:val="en-US"/>
        </w:rPr>
        <w:t>Streptococcus agalactiae</w:t>
      </w:r>
    </w:p>
    <w:p w14:paraId="3F82B078" w14:textId="77777777" w:rsidR="00D9047A" w:rsidRPr="00396C79" w:rsidRDefault="00D9047A" w:rsidP="00D9047A">
      <w:pPr>
        <w:spacing w:line="240" w:lineRule="auto"/>
        <w:rPr>
          <w:rFonts w:eastAsia="Times New Roman" w:cs="Arial"/>
          <w:b/>
          <w:bCs/>
          <w:i/>
          <w:iCs/>
          <w:color w:val="000000"/>
          <w:lang w:eastAsia="bg-BG"/>
        </w:rPr>
      </w:pPr>
    </w:p>
    <w:p w14:paraId="11DF9F8D" w14:textId="375E80DF" w:rsidR="00D9047A" w:rsidRPr="00D9047A" w:rsidRDefault="00D9047A" w:rsidP="00D9047A">
      <w:pPr>
        <w:spacing w:line="240" w:lineRule="auto"/>
        <w:rPr>
          <w:rFonts w:eastAsia="Times New Roman" w:cs="Arial"/>
          <w:lang w:eastAsia="bg-BG"/>
        </w:rPr>
      </w:pPr>
      <w:r w:rsidRPr="00D9047A">
        <w:rPr>
          <w:rFonts w:eastAsia="Times New Roman" w:cs="Arial"/>
          <w:b/>
          <w:bCs/>
          <w:i/>
          <w:iCs/>
          <w:color w:val="000000"/>
          <w:lang w:eastAsia="bg-BG"/>
        </w:rPr>
        <w:t>Аеробни Грам-отрицателни микроорганизми</w:t>
      </w:r>
    </w:p>
    <w:p w14:paraId="4AF8A6D5" w14:textId="77777777" w:rsidR="00D9047A" w:rsidRPr="00D9047A" w:rsidRDefault="00D9047A" w:rsidP="00D9047A">
      <w:pPr>
        <w:spacing w:line="240" w:lineRule="auto"/>
        <w:rPr>
          <w:rFonts w:eastAsia="Times New Roman" w:cs="Arial"/>
          <w:lang w:eastAsia="bg-BG"/>
        </w:rPr>
      </w:pPr>
      <w:r w:rsidRPr="00D9047A">
        <w:rPr>
          <w:rFonts w:eastAsia="Times New Roman" w:cs="Arial"/>
          <w:i/>
          <w:iCs/>
          <w:color w:val="000000"/>
          <w:lang w:val="en-US"/>
        </w:rPr>
        <w:t>Moraxella catarrhalis</w:t>
      </w:r>
      <w:r w:rsidRPr="00D9047A">
        <w:rPr>
          <w:rFonts w:eastAsia="Times New Roman" w:cs="Arial"/>
          <w:i/>
          <w:iCs/>
          <w:color w:val="000000"/>
          <w:vertAlign w:val="superscript"/>
          <w:lang w:val="en-US"/>
        </w:rPr>
        <w:t>$</w:t>
      </w:r>
    </w:p>
    <w:p w14:paraId="34AB8BC7" w14:textId="77777777" w:rsidR="00D9047A" w:rsidRPr="00396C79" w:rsidRDefault="00D9047A" w:rsidP="00D9047A">
      <w:pPr>
        <w:spacing w:line="240" w:lineRule="auto"/>
        <w:rPr>
          <w:rFonts w:eastAsia="Times New Roman" w:cs="Arial"/>
          <w:b/>
          <w:bCs/>
          <w:i/>
          <w:iCs/>
          <w:color w:val="000000"/>
          <w:lang w:eastAsia="bg-BG"/>
        </w:rPr>
      </w:pPr>
    </w:p>
    <w:p w14:paraId="40252593" w14:textId="13B8D40C" w:rsidR="00D9047A" w:rsidRPr="00D9047A" w:rsidRDefault="00D9047A" w:rsidP="00D9047A">
      <w:pPr>
        <w:spacing w:line="240" w:lineRule="auto"/>
        <w:rPr>
          <w:rFonts w:eastAsia="Times New Roman" w:cs="Arial"/>
          <w:lang w:eastAsia="bg-BG"/>
        </w:rPr>
      </w:pPr>
      <w:r w:rsidRPr="00D9047A">
        <w:rPr>
          <w:rFonts w:eastAsia="Times New Roman" w:cs="Arial"/>
          <w:b/>
          <w:bCs/>
          <w:i/>
          <w:iCs/>
          <w:color w:val="000000"/>
          <w:lang w:eastAsia="bg-BG"/>
        </w:rPr>
        <w:t>Анаеробни микроорганизми</w:t>
      </w:r>
    </w:p>
    <w:p w14:paraId="6C1F5D54" w14:textId="77777777" w:rsidR="00D9047A" w:rsidRPr="00D9047A" w:rsidRDefault="00D9047A" w:rsidP="00D9047A">
      <w:pPr>
        <w:spacing w:line="240" w:lineRule="auto"/>
        <w:rPr>
          <w:rFonts w:eastAsia="Times New Roman" w:cs="Arial"/>
          <w:lang w:eastAsia="bg-BG"/>
        </w:rPr>
      </w:pPr>
      <w:r w:rsidRPr="00D9047A">
        <w:rPr>
          <w:rFonts w:eastAsia="Times New Roman" w:cs="Arial"/>
          <w:i/>
          <w:iCs/>
          <w:color w:val="000000"/>
          <w:lang w:val="en-US"/>
        </w:rPr>
        <w:t>Bacteroides fragilis</w:t>
      </w:r>
    </w:p>
    <w:p w14:paraId="04A5E650" w14:textId="77777777" w:rsidR="00D9047A" w:rsidRPr="00396C79" w:rsidRDefault="00D9047A" w:rsidP="00D9047A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0A4C530F" w14:textId="341E2CB5" w:rsidR="00D9047A" w:rsidRPr="00D9047A" w:rsidRDefault="00D9047A" w:rsidP="00D9047A">
      <w:pPr>
        <w:spacing w:line="240" w:lineRule="auto"/>
        <w:rPr>
          <w:rFonts w:eastAsia="Times New Roman" w:cs="Arial"/>
          <w:lang w:eastAsia="bg-BG"/>
        </w:rPr>
      </w:pPr>
      <w:r w:rsidRPr="00D9047A">
        <w:rPr>
          <w:rFonts w:eastAsia="Times New Roman" w:cs="Arial"/>
          <w:b/>
          <w:bCs/>
          <w:color w:val="000000"/>
          <w:lang w:eastAsia="bg-BG"/>
        </w:rPr>
        <w:t>Биологично резистентни микроорганизми</w:t>
      </w:r>
    </w:p>
    <w:p w14:paraId="2D1B1D86" w14:textId="77777777" w:rsidR="00D9047A" w:rsidRPr="00D9047A" w:rsidRDefault="00D9047A" w:rsidP="00D9047A">
      <w:pPr>
        <w:spacing w:line="240" w:lineRule="auto"/>
        <w:rPr>
          <w:rFonts w:eastAsia="Times New Roman" w:cs="Arial"/>
          <w:lang w:eastAsia="bg-BG"/>
        </w:rPr>
      </w:pPr>
      <w:r w:rsidRPr="00D9047A">
        <w:rPr>
          <w:rFonts w:eastAsia="Times New Roman" w:cs="Arial"/>
          <w:b/>
          <w:bCs/>
          <w:i/>
          <w:iCs/>
          <w:color w:val="000000"/>
          <w:lang w:eastAsia="bg-BG"/>
        </w:rPr>
        <w:t>Аеробни Грам-положителни микроорганизми</w:t>
      </w:r>
    </w:p>
    <w:p w14:paraId="04486491" w14:textId="77777777" w:rsidR="00D9047A" w:rsidRPr="00D9047A" w:rsidRDefault="00D9047A" w:rsidP="00D9047A">
      <w:pPr>
        <w:spacing w:line="240" w:lineRule="auto"/>
        <w:rPr>
          <w:rFonts w:eastAsia="Times New Roman" w:cs="Arial"/>
          <w:lang w:eastAsia="bg-BG"/>
        </w:rPr>
      </w:pPr>
      <w:r w:rsidRPr="00D9047A">
        <w:rPr>
          <w:rFonts w:eastAsia="Times New Roman" w:cs="Arial"/>
          <w:i/>
          <w:iCs/>
          <w:color w:val="000000"/>
          <w:lang w:val="en-US"/>
        </w:rPr>
        <w:t>Enterococcus</w:t>
      </w:r>
      <w:r w:rsidRPr="00D9047A">
        <w:rPr>
          <w:rFonts w:eastAsia="Times New Roman" w:cs="Arial"/>
          <w:color w:val="000000"/>
          <w:lang w:val="en-US"/>
        </w:rPr>
        <w:t xml:space="preserve"> spp.</w:t>
      </w:r>
    </w:p>
    <w:p w14:paraId="6846BBB5" w14:textId="77777777" w:rsidR="00D9047A" w:rsidRPr="00D9047A" w:rsidRDefault="00D9047A" w:rsidP="00D9047A">
      <w:pPr>
        <w:spacing w:line="240" w:lineRule="auto"/>
        <w:rPr>
          <w:rFonts w:eastAsia="Times New Roman" w:cs="Arial"/>
          <w:lang w:eastAsia="bg-BG"/>
        </w:rPr>
      </w:pPr>
      <w:r w:rsidRPr="00D9047A">
        <w:rPr>
          <w:rFonts w:eastAsia="Times New Roman" w:cs="Arial"/>
          <w:i/>
          <w:iCs/>
          <w:color w:val="000000"/>
          <w:lang w:val="en-US"/>
        </w:rPr>
        <w:t>Listeria monocytogenes</w:t>
      </w:r>
    </w:p>
    <w:p w14:paraId="56BF3785" w14:textId="77777777" w:rsidR="00D9047A" w:rsidRPr="00396C79" w:rsidRDefault="00D9047A" w:rsidP="00D9047A">
      <w:pPr>
        <w:spacing w:line="240" w:lineRule="auto"/>
        <w:rPr>
          <w:rFonts w:eastAsia="Times New Roman" w:cs="Arial"/>
          <w:b/>
          <w:bCs/>
          <w:i/>
          <w:iCs/>
          <w:color w:val="000000"/>
          <w:lang w:eastAsia="bg-BG"/>
        </w:rPr>
      </w:pPr>
    </w:p>
    <w:p w14:paraId="7C9BEEF5" w14:textId="6B813445" w:rsidR="00D9047A" w:rsidRPr="00D9047A" w:rsidRDefault="00D9047A" w:rsidP="00D9047A">
      <w:pPr>
        <w:spacing w:line="240" w:lineRule="auto"/>
        <w:rPr>
          <w:rFonts w:eastAsia="Times New Roman" w:cs="Arial"/>
          <w:lang w:eastAsia="bg-BG"/>
        </w:rPr>
      </w:pPr>
      <w:r w:rsidRPr="00D9047A">
        <w:rPr>
          <w:rFonts w:eastAsia="Times New Roman" w:cs="Arial"/>
          <w:b/>
          <w:bCs/>
          <w:i/>
          <w:iCs/>
          <w:color w:val="000000"/>
          <w:lang w:eastAsia="bg-BG"/>
        </w:rPr>
        <w:t>Аеробни Грам-отрицателни микроорганизми</w:t>
      </w:r>
    </w:p>
    <w:p w14:paraId="052B35E7" w14:textId="77777777" w:rsidR="00D9047A" w:rsidRPr="00D9047A" w:rsidRDefault="00D9047A" w:rsidP="00D9047A">
      <w:pPr>
        <w:spacing w:line="240" w:lineRule="auto"/>
        <w:rPr>
          <w:rFonts w:eastAsia="Times New Roman" w:cs="Arial"/>
          <w:lang w:eastAsia="bg-BG"/>
        </w:rPr>
      </w:pPr>
      <w:r w:rsidRPr="00D9047A">
        <w:rPr>
          <w:rFonts w:eastAsia="Times New Roman" w:cs="Arial"/>
          <w:i/>
          <w:iCs/>
          <w:color w:val="000000"/>
          <w:lang w:val="en-US"/>
        </w:rPr>
        <w:t>Escherichia coli</w:t>
      </w:r>
    </w:p>
    <w:p w14:paraId="65BF8CFF" w14:textId="77777777" w:rsidR="00D9047A" w:rsidRPr="00D9047A" w:rsidRDefault="00D9047A" w:rsidP="00D9047A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D9047A">
        <w:rPr>
          <w:rFonts w:eastAsia="Times New Roman" w:cs="Arial"/>
          <w:i/>
          <w:iCs/>
          <w:color w:val="000000"/>
          <w:lang w:val="en-US"/>
        </w:rPr>
        <w:t>Haemophilus</w:t>
      </w:r>
      <w:proofErr w:type="spellEnd"/>
      <w:r w:rsidRPr="00D9047A">
        <w:rPr>
          <w:rFonts w:eastAsia="Times New Roman" w:cs="Arial"/>
          <w:i/>
          <w:iCs/>
          <w:color w:val="000000"/>
          <w:lang w:val="en-US"/>
        </w:rPr>
        <w:t xml:space="preserve"> influenzae</w:t>
      </w:r>
    </w:p>
    <w:p w14:paraId="009107AE" w14:textId="77777777" w:rsidR="00D9047A" w:rsidRPr="00D9047A" w:rsidRDefault="00D9047A" w:rsidP="00D9047A">
      <w:pPr>
        <w:spacing w:line="240" w:lineRule="auto"/>
        <w:rPr>
          <w:rFonts w:eastAsia="Times New Roman" w:cs="Arial"/>
          <w:lang w:eastAsia="bg-BG"/>
        </w:rPr>
      </w:pPr>
      <w:r w:rsidRPr="00D9047A">
        <w:rPr>
          <w:rFonts w:eastAsia="Times New Roman" w:cs="Arial"/>
          <w:i/>
          <w:iCs/>
          <w:color w:val="000000"/>
          <w:lang w:val="en-US"/>
        </w:rPr>
        <w:t>Klebsiella</w:t>
      </w:r>
      <w:r w:rsidRPr="00D9047A">
        <w:rPr>
          <w:rFonts w:eastAsia="Times New Roman" w:cs="Arial"/>
          <w:color w:val="000000"/>
          <w:lang w:val="en-US"/>
        </w:rPr>
        <w:t xml:space="preserve"> spp.</w:t>
      </w:r>
    </w:p>
    <w:p w14:paraId="56E0470C" w14:textId="77777777" w:rsidR="00D9047A" w:rsidRPr="00D9047A" w:rsidRDefault="00D9047A" w:rsidP="00D9047A">
      <w:pPr>
        <w:spacing w:line="240" w:lineRule="auto"/>
        <w:rPr>
          <w:rFonts w:eastAsia="Times New Roman" w:cs="Arial"/>
          <w:lang w:eastAsia="bg-BG"/>
        </w:rPr>
      </w:pPr>
      <w:r w:rsidRPr="00D9047A">
        <w:rPr>
          <w:rFonts w:eastAsia="Times New Roman" w:cs="Arial"/>
          <w:i/>
          <w:iCs/>
          <w:color w:val="000000"/>
          <w:lang w:val="en-US"/>
        </w:rPr>
        <w:t>Pseudomonas aeruginosa</w:t>
      </w:r>
    </w:p>
    <w:p w14:paraId="28793864" w14:textId="77777777" w:rsidR="00D9047A" w:rsidRPr="00396C79" w:rsidRDefault="00D9047A" w:rsidP="00D9047A">
      <w:pPr>
        <w:spacing w:line="240" w:lineRule="auto"/>
        <w:rPr>
          <w:rFonts w:eastAsia="Times New Roman" w:cs="Arial"/>
          <w:b/>
          <w:bCs/>
          <w:i/>
          <w:iCs/>
          <w:color w:val="000000"/>
          <w:lang w:eastAsia="bg-BG"/>
        </w:rPr>
      </w:pPr>
    </w:p>
    <w:p w14:paraId="751270F9" w14:textId="00C1DE49" w:rsidR="00D9047A" w:rsidRPr="00D9047A" w:rsidRDefault="00D9047A" w:rsidP="00D9047A">
      <w:pPr>
        <w:spacing w:line="240" w:lineRule="auto"/>
        <w:rPr>
          <w:rFonts w:eastAsia="Times New Roman" w:cs="Arial"/>
          <w:lang w:eastAsia="bg-BG"/>
        </w:rPr>
      </w:pPr>
      <w:r w:rsidRPr="00D9047A">
        <w:rPr>
          <w:rFonts w:eastAsia="Times New Roman" w:cs="Arial"/>
          <w:b/>
          <w:bCs/>
          <w:i/>
          <w:iCs/>
          <w:color w:val="000000"/>
          <w:lang w:eastAsia="bg-BG"/>
        </w:rPr>
        <w:t>Анаеробни микроорганизми</w:t>
      </w:r>
    </w:p>
    <w:p w14:paraId="5F84EF0D" w14:textId="77777777" w:rsidR="00D9047A" w:rsidRPr="00D9047A" w:rsidRDefault="00D9047A" w:rsidP="00D9047A">
      <w:pPr>
        <w:spacing w:line="240" w:lineRule="auto"/>
        <w:rPr>
          <w:rFonts w:eastAsia="Times New Roman" w:cs="Arial"/>
          <w:lang w:eastAsia="bg-BG"/>
        </w:rPr>
      </w:pPr>
      <w:r w:rsidRPr="00D9047A">
        <w:rPr>
          <w:rFonts w:eastAsia="Times New Roman" w:cs="Arial"/>
          <w:i/>
          <w:iCs/>
          <w:color w:val="000000"/>
          <w:lang w:val="en-US"/>
        </w:rPr>
        <w:t>Clostridium difficile</w:t>
      </w:r>
    </w:p>
    <w:p w14:paraId="2910AB73" w14:textId="77777777" w:rsidR="00D9047A" w:rsidRPr="00396C79" w:rsidRDefault="00D9047A" w:rsidP="00D9047A">
      <w:pPr>
        <w:spacing w:line="240" w:lineRule="auto"/>
        <w:rPr>
          <w:rFonts w:eastAsia="Times New Roman" w:cs="Arial"/>
          <w:b/>
          <w:bCs/>
          <w:i/>
          <w:iCs/>
          <w:color w:val="000000"/>
          <w:lang w:eastAsia="bg-BG"/>
        </w:rPr>
      </w:pPr>
    </w:p>
    <w:p w14:paraId="09D3A376" w14:textId="4E33820A" w:rsidR="00D9047A" w:rsidRPr="00D9047A" w:rsidRDefault="00D9047A" w:rsidP="00D9047A">
      <w:pPr>
        <w:spacing w:line="240" w:lineRule="auto"/>
        <w:rPr>
          <w:rFonts w:eastAsia="Times New Roman" w:cs="Arial"/>
          <w:lang w:eastAsia="bg-BG"/>
        </w:rPr>
      </w:pPr>
      <w:r w:rsidRPr="00D9047A">
        <w:rPr>
          <w:rFonts w:eastAsia="Times New Roman" w:cs="Arial"/>
          <w:b/>
          <w:bCs/>
          <w:i/>
          <w:iCs/>
          <w:color w:val="000000"/>
          <w:lang w:eastAsia="bg-BG"/>
        </w:rPr>
        <w:t>Други микроорганизми</w:t>
      </w:r>
    </w:p>
    <w:p w14:paraId="1732A243" w14:textId="4D750BB3" w:rsidR="00D9047A" w:rsidRPr="00D9047A" w:rsidRDefault="00D9047A" w:rsidP="00D9047A">
      <w:pPr>
        <w:spacing w:line="240" w:lineRule="auto"/>
        <w:rPr>
          <w:rFonts w:eastAsia="Times New Roman" w:cs="Arial"/>
          <w:lang w:eastAsia="bg-BG"/>
        </w:rPr>
      </w:pPr>
      <w:r w:rsidRPr="00D9047A">
        <w:rPr>
          <w:rFonts w:eastAsia="Times New Roman" w:cs="Arial"/>
          <w:i/>
          <w:iCs/>
          <w:color w:val="000000"/>
          <w:lang w:val="en-US"/>
        </w:rPr>
        <w:t>Mycoplasma pneumoniae</w:t>
      </w:r>
    </w:p>
    <w:p w14:paraId="0C87A741" w14:textId="77777777" w:rsidR="00D9047A" w:rsidRPr="00D9047A" w:rsidRDefault="00D9047A" w:rsidP="00D9047A">
      <w:pPr>
        <w:spacing w:line="240" w:lineRule="auto"/>
        <w:rPr>
          <w:rFonts w:eastAsia="Times New Roman" w:cs="Arial"/>
          <w:lang w:eastAsia="bg-BG"/>
        </w:rPr>
      </w:pPr>
      <w:proofErr w:type="spellStart"/>
      <w:r w:rsidRPr="00D9047A">
        <w:rPr>
          <w:rFonts w:eastAsia="Times New Roman" w:cs="Arial"/>
          <w:i/>
          <w:iCs/>
          <w:color w:val="000000"/>
          <w:lang w:val="en-US"/>
        </w:rPr>
        <w:lastRenderedPageBreak/>
        <w:t>Ureaplasma</w:t>
      </w:r>
      <w:proofErr w:type="spellEnd"/>
      <w:r w:rsidRPr="00D9047A">
        <w:rPr>
          <w:rFonts w:eastAsia="Times New Roman" w:cs="Arial"/>
          <w:i/>
          <w:iCs/>
          <w:color w:val="000000"/>
          <w:lang w:val="en-US"/>
        </w:rPr>
        <w:t xml:space="preserve"> </w:t>
      </w:r>
      <w:proofErr w:type="spellStart"/>
      <w:r w:rsidRPr="00D9047A">
        <w:rPr>
          <w:rFonts w:eastAsia="Times New Roman" w:cs="Arial"/>
          <w:i/>
          <w:iCs/>
          <w:color w:val="000000"/>
          <w:lang w:val="en-US"/>
        </w:rPr>
        <w:t>urealyticum</w:t>
      </w:r>
      <w:proofErr w:type="spellEnd"/>
    </w:p>
    <w:p w14:paraId="0D0408E5" w14:textId="77777777" w:rsidR="00D9047A" w:rsidRPr="00396C79" w:rsidRDefault="00D9047A" w:rsidP="00D9047A">
      <w:pPr>
        <w:spacing w:line="240" w:lineRule="auto"/>
        <w:rPr>
          <w:rFonts w:eastAsia="Times New Roman" w:cs="Arial"/>
          <w:color w:val="000000"/>
          <w:lang w:val="en-US"/>
        </w:rPr>
      </w:pPr>
    </w:p>
    <w:p w14:paraId="4B2823F5" w14:textId="7F8E313E" w:rsidR="00D9047A" w:rsidRPr="00D9047A" w:rsidRDefault="00D9047A" w:rsidP="00D9047A">
      <w:pPr>
        <w:spacing w:line="240" w:lineRule="auto"/>
        <w:rPr>
          <w:rFonts w:eastAsia="Times New Roman" w:cs="Arial"/>
          <w:lang w:eastAsia="bg-BG"/>
        </w:rPr>
      </w:pPr>
      <w:r w:rsidRPr="00D9047A">
        <w:rPr>
          <w:rFonts w:eastAsia="Times New Roman" w:cs="Arial"/>
          <w:color w:val="000000"/>
          <w:lang w:val="en-US"/>
        </w:rPr>
        <w:t xml:space="preserve">° </w:t>
      </w:r>
      <w:r w:rsidRPr="00D9047A">
        <w:rPr>
          <w:rFonts w:eastAsia="Times New Roman" w:cs="Arial"/>
          <w:color w:val="000000"/>
          <w:lang w:eastAsia="bg-BG"/>
        </w:rPr>
        <w:t>Към датата на публикуването на таблиците няма достъпни обновени данни. Първичната литература, научната стандартна литература и терапевтичните препоръки приемат чувствителността за даденост.</w:t>
      </w:r>
    </w:p>
    <w:p w14:paraId="5DF84272" w14:textId="77777777" w:rsidR="00D9047A" w:rsidRPr="00D9047A" w:rsidRDefault="00D9047A" w:rsidP="00D9047A">
      <w:pPr>
        <w:spacing w:line="240" w:lineRule="auto"/>
        <w:rPr>
          <w:rFonts w:eastAsia="Times New Roman" w:cs="Arial"/>
          <w:lang w:eastAsia="bg-BG"/>
        </w:rPr>
      </w:pPr>
      <w:r w:rsidRPr="00D9047A">
        <w:rPr>
          <w:rFonts w:eastAsia="Times New Roman" w:cs="Arial"/>
          <w:color w:val="000000"/>
          <w:vertAlign w:val="superscript"/>
          <w:lang w:eastAsia="bg-BG"/>
        </w:rPr>
        <w:t>$</w:t>
      </w:r>
      <w:r w:rsidRPr="00D9047A">
        <w:rPr>
          <w:rFonts w:eastAsia="Times New Roman" w:cs="Arial"/>
          <w:color w:val="000000"/>
          <w:lang w:eastAsia="bg-BG"/>
        </w:rPr>
        <w:t xml:space="preserve"> Биологичната чувствителност на повечето изолати демонстрира средностепенна резистентност.</w:t>
      </w:r>
    </w:p>
    <w:p w14:paraId="181A0474" w14:textId="77777777" w:rsidR="00D9047A" w:rsidRPr="00D9047A" w:rsidRDefault="00D9047A" w:rsidP="00D9047A">
      <w:pPr>
        <w:spacing w:line="240" w:lineRule="auto"/>
        <w:rPr>
          <w:rFonts w:eastAsia="Times New Roman" w:cs="Arial"/>
          <w:lang w:eastAsia="bg-BG"/>
        </w:rPr>
      </w:pPr>
      <w:r w:rsidRPr="00D9047A">
        <w:rPr>
          <w:rFonts w:eastAsia="Times New Roman" w:cs="Arial"/>
          <w:color w:val="000000"/>
          <w:vertAlign w:val="superscript"/>
          <w:lang w:eastAsia="bg-BG"/>
        </w:rPr>
        <w:t>+</w:t>
      </w:r>
      <w:r w:rsidRPr="00D9047A">
        <w:rPr>
          <w:rFonts w:eastAsia="Times New Roman" w:cs="Arial"/>
          <w:color w:val="000000"/>
          <w:lang w:eastAsia="bg-BG"/>
        </w:rPr>
        <w:t xml:space="preserve"> Поне един регион демонстрира честоти на резистентност надвишаващи 50%</w:t>
      </w:r>
    </w:p>
    <w:p w14:paraId="57397E02" w14:textId="3929A557" w:rsidR="00D9047A" w:rsidRPr="00D9047A" w:rsidRDefault="00D9047A" w:rsidP="00D9047A">
      <w:pPr>
        <w:spacing w:line="240" w:lineRule="auto"/>
        <w:rPr>
          <w:rFonts w:eastAsia="Times New Roman" w:cs="Arial"/>
          <w:lang w:val="en-US" w:eastAsia="bg-BG"/>
        </w:rPr>
      </w:pPr>
      <w:r w:rsidRPr="00396C79">
        <w:rPr>
          <w:rFonts w:eastAsia="Times New Roman" w:cs="Arial"/>
          <w:color w:val="000000"/>
          <w:lang w:val="en-US"/>
        </w:rPr>
        <w:t>^</w:t>
      </w:r>
      <w:r w:rsidRPr="00396C79">
        <w:rPr>
          <w:rFonts w:eastAsia="Times New Roman" w:cs="Arial"/>
          <w:color w:val="000000"/>
          <w:lang w:eastAsia="bg-BG"/>
        </w:rPr>
        <w:t>Събирателно име за хетерогенна група от различни видове стрептококи Честотите на резистентност могат да варират в зависимост от присъстващите видове стрептококи.</w:t>
      </w:r>
    </w:p>
    <w:p w14:paraId="70CA0903" w14:textId="77777777" w:rsidR="00D9047A" w:rsidRPr="00D9047A" w:rsidRDefault="00D9047A" w:rsidP="00D9047A"/>
    <w:p w14:paraId="544FFDAF" w14:textId="4A7A7E8A" w:rsidR="00F62E44" w:rsidRDefault="002C50EE" w:rsidP="00387A66">
      <w:pPr>
        <w:pStyle w:val="Heading2"/>
      </w:pPr>
      <w:r>
        <w:t>5.2. Фармакокинетични свойства</w:t>
      </w:r>
    </w:p>
    <w:p w14:paraId="58555E88" w14:textId="5E185E8C" w:rsidR="00396C79" w:rsidRDefault="00396C79" w:rsidP="00396C79"/>
    <w:p w14:paraId="0CD3219F" w14:textId="77777777" w:rsidR="00396C79" w:rsidRPr="00396C79" w:rsidRDefault="00396C79" w:rsidP="00396C79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bookmarkStart w:id="1" w:name="bookmark0"/>
      <w:r w:rsidRPr="00396C79">
        <w:rPr>
          <w:rFonts w:eastAsia="Times New Roman" w:cs="Arial"/>
          <w:b/>
          <w:bCs/>
          <w:color w:val="000000"/>
          <w:lang w:eastAsia="bg-BG"/>
        </w:rPr>
        <w:t>Абсорбция</w:t>
      </w:r>
      <w:bookmarkEnd w:id="1"/>
    </w:p>
    <w:p w14:paraId="1ABD7661" w14:textId="77777777" w:rsidR="00396C79" w:rsidRPr="00396C79" w:rsidRDefault="00396C79" w:rsidP="00396C79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96C79">
        <w:rPr>
          <w:rFonts w:eastAsia="Times New Roman" w:cs="Arial"/>
          <w:color w:val="000000"/>
          <w:lang w:eastAsia="bg-BG"/>
        </w:rPr>
        <w:t>Трябва да се прави разлика между производните на клиндамицина, използвани до времето на абсорбция и разцепването на естерите. След това клиндамицин съществува в тялото като свободна база (активната форма). Естерите трябва да се считат за предшественици.</w:t>
      </w:r>
    </w:p>
    <w:p w14:paraId="717321C1" w14:textId="77777777" w:rsidR="00396C79" w:rsidRPr="00396C79" w:rsidRDefault="00396C79" w:rsidP="00396C79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96C79">
        <w:rPr>
          <w:rFonts w:eastAsia="Times New Roman" w:cs="Arial"/>
          <w:color w:val="000000"/>
          <w:lang w:eastAsia="bg-BG"/>
        </w:rPr>
        <w:t xml:space="preserve">Клиндамициновият фосфат представлява водноразтворим естер за парентерално приложение. След интрамускулно инжектиране на 300 </w:t>
      </w:r>
      <w:r w:rsidRPr="00396C79">
        <w:rPr>
          <w:rFonts w:eastAsia="Times New Roman" w:cs="Arial"/>
          <w:color w:val="000000"/>
          <w:lang w:val="en-US"/>
        </w:rPr>
        <w:t xml:space="preserve">mg, </w:t>
      </w:r>
      <w:r w:rsidRPr="00396C79">
        <w:rPr>
          <w:rFonts w:eastAsia="Times New Roman" w:cs="Arial"/>
          <w:color w:val="000000"/>
          <w:lang w:eastAsia="bg-BG"/>
        </w:rPr>
        <w:t>пиковите серумни нива след 3 часа са приблизително 6 μ</w:t>
      </w:r>
      <w:r w:rsidRPr="00396C79">
        <w:rPr>
          <w:rFonts w:eastAsia="Times New Roman" w:cs="Arial"/>
          <w:color w:val="000000"/>
          <w:lang w:val="en-US"/>
        </w:rPr>
        <w:t xml:space="preserve">g/ml, </w:t>
      </w:r>
      <w:r w:rsidRPr="00396C79">
        <w:rPr>
          <w:rFonts w:eastAsia="Times New Roman" w:cs="Arial"/>
          <w:color w:val="000000"/>
          <w:lang w:eastAsia="bg-BG"/>
        </w:rPr>
        <w:t xml:space="preserve">докато след интравенозно приложение на 300 </w:t>
      </w:r>
      <w:r w:rsidRPr="00396C79">
        <w:rPr>
          <w:rFonts w:eastAsia="Times New Roman" w:cs="Arial"/>
          <w:color w:val="000000"/>
          <w:lang w:val="en-US"/>
        </w:rPr>
        <w:t xml:space="preserve">mg </w:t>
      </w:r>
      <w:r w:rsidRPr="00396C79">
        <w:rPr>
          <w:rFonts w:eastAsia="Times New Roman" w:cs="Arial"/>
          <w:color w:val="000000"/>
          <w:lang w:eastAsia="bg-BG"/>
        </w:rPr>
        <w:t>средните серумни концентрации след 1 час са приблизително 4 до 6 μ</w:t>
      </w:r>
      <w:r w:rsidRPr="00396C79">
        <w:rPr>
          <w:rFonts w:eastAsia="Times New Roman" w:cs="Arial"/>
          <w:color w:val="000000"/>
          <w:lang w:val="en-US"/>
        </w:rPr>
        <w:t>g/ml.</w:t>
      </w:r>
    </w:p>
    <w:p w14:paraId="7D3AE241" w14:textId="77777777" w:rsidR="00396C79" w:rsidRPr="00396C79" w:rsidRDefault="00396C79" w:rsidP="00396C79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2" w:name="bookmark2"/>
    </w:p>
    <w:p w14:paraId="68E2E3FE" w14:textId="28BD322E" w:rsidR="00396C79" w:rsidRPr="00396C79" w:rsidRDefault="00396C79" w:rsidP="00396C79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96C79">
        <w:rPr>
          <w:rFonts w:eastAsia="Times New Roman" w:cs="Arial"/>
          <w:b/>
          <w:bCs/>
          <w:color w:val="000000"/>
          <w:lang w:eastAsia="bg-BG"/>
        </w:rPr>
        <w:t>Разпределение</w:t>
      </w:r>
      <w:bookmarkEnd w:id="2"/>
    </w:p>
    <w:p w14:paraId="63518347" w14:textId="77777777" w:rsidR="00396C79" w:rsidRPr="00396C79" w:rsidRDefault="00396C79" w:rsidP="00396C79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96C79">
        <w:rPr>
          <w:rFonts w:eastAsia="Times New Roman" w:cs="Arial"/>
          <w:color w:val="000000"/>
          <w:lang w:eastAsia="bg-BG"/>
        </w:rPr>
        <w:t>Степента на свързване на клиндамицин с плазмените протеини е в зависимост от концентрацията и се намира в терапевтичния диапазон между 40 и 94%.</w:t>
      </w:r>
    </w:p>
    <w:p w14:paraId="1B39FB3F" w14:textId="77777777" w:rsidR="00396C79" w:rsidRPr="00396C79" w:rsidRDefault="00396C79" w:rsidP="00396C7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9262C3C" w14:textId="318D77CF" w:rsidR="00396C79" w:rsidRPr="00396C79" w:rsidRDefault="00396C79" w:rsidP="00396C79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96C79">
        <w:rPr>
          <w:rFonts w:eastAsia="Times New Roman" w:cs="Arial"/>
          <w:color w:val="000000"/>
          <w:lang w:eastAsia="bg-BG"/>
        </w:rPr>
        <w:t>Клиндамицин бързо се разпределя в тъканите, преминава плацентарната бариера и преминава в майчиното мляко. Дори когато мозъчните обвивки са възпалени, дифузията в субарахноидалното пространство е недостатъчна. Високи концентрации се достигат в костната тъкан, синовиалната течност, перитонеалната течност, плевралната течност, слюнката, гнойта. Докладвани са следните едновременни серумни концентрации на активното вещество: в костната тъкан 40% (20-75%), в синовиалната течност 50%, в перитонеалната течност 50%, в плевралната течност 50-90%, в слюнката 30-75% и в гнойта 30%.</w:t>
      </w:r>
    </w:p>
    <w:p w14:paraId="39DD7DEA" w14:textId="77777777" w:rsidR="00396C79" w:rsidRPr="00396C79" w:rsidRDefault="00396C79" w:rsidP="00396C79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3" w:name="bookmark4"/>
    </w:p>
    <w:p w14:paraId="587BD3C9" w14:textId="5706C5C2" w:rsidR="00396C79" w:rsidRPr="00396C79" w:rsidRDefault="00396C79" w:rsidP="00396C79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96C79">
        <w:rPr>
          <w:rFonts w:eastAsia="Times New Roman" w:cs="Arial"/>
          <w:b/>
          <w:bCs/>
          <w:color w:val="000000"/>
          <w:lang w:eastAsia="bg-BG"/>
        </w:rPr>
        <w:t>Метаболизъм</w:t>
      </w:r>
      <w:bookmarkEnd w:id="3"/>
    </w:p>
    <w:p w14:paraId="2178A5A1" w14:textId="77777777" w:rsidR="00396C79" w:rsidRPr="00396C79" w:rsidRDefault="00396C79" w:rsidP="00396C79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96C79">
        <w:rPr>
          <w:rFonts w:eastAsia="Times New Roman" w:cs="Arial"/>
          <w:color w:val="000000"/>
          <w:lang w:eastAsia="bg-BG"/>
        </w:rPr>
        <w:t>Клиндамицин се метаболизира предимно в черния дроб.</w:t>
      </w:r>
    </w:p>
    <w:p w14:paraId="2C76E2A3" w14:textId="77777777" w:rsidR="00396C79" w:rsidRPr="00396C79" w:rsidRDefault="00396C79" w:rsidP="00396C79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96C79">
        <w:rPr>
          <w:rFonts w:eastAsia="Times New Roman" w:cs="Arial"/>
          <w:color w:val="000000"/>
          <w:lang w:eastAsia="bg-BG"/>
        </w:rPr>
        <w:t xml:space="preserve">Проучвания </w:t>
      </w:r>
      <w:r w:rsidRPr="00396C79">
        <w:rPr>
          <w:rFonts w:eastAsia="Times New Roman" w:cs="Arial"/>
          <w:i/>
          <w:iCs/>
          <w:color w:val="000000"/>
          <w:lang w:val="en-US"/>
        </w:rPr>
        <w:t>in vitro</w:t>
      </w:r>
      <w:r w:rsidRPr="00396C79">
        <w:rPr>
          <w:rFonts w:eastAsia="Times New Roman" w:cs="Arial"/>
          <w:color w:val="000000"/>
          <w:lang w:val="en-US"/>
        </w:rPr>
        <w:t xml:space="preserve"> </w:t>
      </w:r>
      <w:r w:rsidRPr="00396C79">
        <w:rPr>
          <w:rFonts w:eastAsia="Times New Roman" w:cs="Arial"/>
          <w:color w:val="000000"/>
          <w:lang w:eastAsia="bg-BG"/>
        </w:rPr>
        <w:t xml:space="preserve">на човешки чернодробни и чревни микрозоми показват, че клиндамицин се оксидира предимно от </w:t>
      </w:r>
      <w:r w:rsidRPr="00396C79">
        <w:rPr>
          <w:rFonts w:eastAsia="Times New Roman" w:cs="Arial"/>
          <w:color w:val="000000"/>
          <w:lang w:val="en-US"/>
        </w:rPr>
        <w:t xml:space="preserve">CYP3A4 </w:t>
      </w:r>
      <w:r w:rsidRPr="00396C79">
        <w:rPr>
          <w:rFonts w:eastAsia="Times New Roman" w:cs="Arial"/>
          <w:color w:val="000000"/>
          <w:lang w:eastAsia="bg-BG"/>
        </w:rPr>
        <w:t xml:space="preserve">с по-незначително участие на </w:t>
      </w:r>
      <w:r w:rsidRPr="00396C79">
        <w:rPr>
          <w:rFonts w:eastAsia="Times New Roman" w:cs="Arial"/>
          <w:color w:val="000000"/>
          <w:lang w:val="en-US"/>
        </w:rPr>
        <w:t xml:space="preserve">CYP3A5 </w:t>
      </w:r>
      <w:r w:rsidRPr="00396C79">
        <w:rPr>
          <w:rFonts w:eastAsia="Times New Roman" w:cs="Arial"/>
          <w:color w:val="000000"/>
          <w:lang w:eastAsia="bg-BG"/>
        </w:rPr>
        <w:t xml:space="preserve">до образуване на клиндамицин сулфоксид и второстепенния метаболит </w:t>
      </w:r>
      <w:r w:rsidRPr="00396C79">
        <w:rPr>
          <w:rFonts w:eastAsia="Times New Roman" w:cs="Arial"/>
          <w:color w:val="000000"/>
          <w:lang w:val="en-US"/>
        </w:rPr>
        <w:t>N</w:t>
      </w:r>
      <w:r w:rsidRPr="00396C79">
        <w:rPr>
          <w:rFonts w:eastAsia="Times New Roman" w:cs="Arial"/>
          <w:color w:val="000000"/>
          <w:lang w:eastAsia="bg-BG"/>
        </w:rPr>
        <w:t>-деметилклиндамицин.</w:t>
      </w:r>
    </w:p>
    <w:p w14:paraId="67E15630" w14:textId="77777777" w:rsidR="00396C79" w:rsidRPr="00396C79" w:rsidRDefault="00396C79" w:rsidP="00396C79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96C79">
        <w:rPr>
          <w:rFonts w:eastAsia="Times New Roman" w:cs="Arial"/>
          <w:color w:val="000000"/>
          <w:lang w:eastAsia="bg-BG"/>
        </w:rPr>
        <w:t>Серумният полуживот на клиндамицин е приблизително 3 часа при възрастни и приблизително 2 часа при деца. Елиминационният полуживот е удължен при наличие на бъбречна недостатъчност и при средна до тежка степен на чернодробна недостатъчност.</w:t>
      </w:r>
    </w:p>
    <w:p w14:paraId="4AB45A82" w14:textId="77777777" w:rsidR="00396C79" w:rsidRPr="00396C79" w:rsidRDefault="00396C79" w:rsidP="00396C79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96C79">
        <w:rPr>
          <w:rFonts w:eastAsia="Times New Roman" w:cs="Arial"/>
          <w:color w:val="000000"/>
          <w:lang w:eastAsia="bg-BG"/>
        </w:rPr>
        <w:t xml:space="preserve">Някои метаболити са микробиологично активни </w:t>
      </w:r>
      <w:r w:rsidRPr="00396C79">
        <w:rPr>
          <w:rFonts w:eastAsia="Times New Roman" w:cs="Arial"/>
          <w:color w:val="000000"/>
          <w:lang w:val="en-US"/>
        </w:rPr>
        <w:t>(N-</w:t>
      </w:r>
      <w:proofErr w:type="spellStart"/>
      <w:r w:rsidRPr="00396C79">
        <w:rPr>
          <w:rFonts w:eastAsia="Times New Roman" w:cs="Arial"/>
          <w:color w:val="000000"/>
          <w:lang w:val="en-US"/>
        </w:rPr>
        <w:t>demethyl</w:t>
      </w:r>
      <w:proofErr w:type="spellEnd"/>
      <w:r w:rsidRPr="00396C79">
        <w:rPr>
          <w:rFonts w:eastAsia="Times New Roman" w:cs="Arial"/>
          <w:color w:val="000000"/>
          <w:lang w:val="en-US"/>
        </w:rPr>
        <w:t xml:space="preserve"> </w:t>
      </w:r>
      <w:r w:rsidRPr="00396C79">
        <w:rPr>
          <w:rFonts w:eastAsia="Times New Roman" w:cs="Arial"/>
          <w:color w:val="000000"/>
          <w:lang w:eastAsia="bg-BG"/>
        </w:rPr>
        <w:t xml:space="preserve">и </w:t>
      </w:r>
      <w:proofErr w:type="spellStart"/>
      <w:r w:rsidRPr="00396C79">
        <w:rPr>
          <w:rFonts w:eastAsia="Times New Roman" w:cs="Arial"/>
          <w:color w:val="000000"/>
          <w:lang w:val="en-US"/>
        </w:rPr>
        <w:t>sulphoxide</w:t>
      </w:r>
      <w:proofErr w:type="spellEnd"/>
      <w:r w:rsidRPr="00396C79">
        <w:rPr>
          <w:rFonts w:eastAsia="Times New Roman" w:cs="Arial"/>
          <w:color w:val="000000"/>
          <w:lang w:val="en-US"/>
        </w:rPr>
        <w:t xml:space="preserve">). </w:t>
      </w:r>
      <w:r w:rsidRPr="00396C79">
        <w:rPr>
          <w:rFonts w:eastAsia="Times New Roman" w:cs="Arial"/>
          <w:color w:val="000000"/>
          <w:lang w:eastAsia="bg-BG"/>
        </w:rPr>
        <w:t>Лекарствените продукти, които действат като ензимни индукгори в черния дроб, скъсяват средното време на задържане на клиндамицин в тялото.</w:t>
      </w:r>
    </w:p>
    <w:p w14:paraId="50E30D99" w14:textId="77777777" w:rsidR="00396C79" w:rsidRPr="00396C79" w:rsidRDefault="00396C79" w:rsidP="00396C79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4" w:name="bookmark6"/>
    </w:p>
    <w:p w14:paraId="04011CB9" w14:textId="01345D11" w:rsidR="00396C79" w:rsidRPr="00396C79" w:rsidRDefault="00396C79" w:rsidP="00396C79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96C79">
        <w:rPr>
          <w:rFonts w:eastAsia="Times New Roman" w:cs="Arial"/>
          <w:b/>
          <w:bCs/>
          <w:color w:val="000000"/>
          <w:lang w:eastAsia="bg-BG"/>
        </w:rPr>
        <w:t>Елиминиране</w:t>
      </w:r>
      <w:bookmarkEnd w:id="4"/>
    </w:p>
    <w:p w14:paraId="39B7A379" w14:textId="77777777" w:rsidR="00396C79" w:rsidRPr="00396C79" w:rsidRDefault="00396C79" w:rsidP="00396C79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96C79">
        <w:rPr>
          <w:rFonts w:eastAsia="Times New Roman" w:cs="Arial"/>
          <w:color w:val="000000"/>
          <w:lang w:eastAsia="bg-BG"/>
        </w:rPr>
        <w:lastRenderedPageBreak/>
        <w:t>2/3 от дозата на клиндамицин се елиминират с изпражненията, а 1/3 от дозата с урината. По- малко от 10% от дозата се екскретира непроменена с урината.</w:t>
      </w:r>
    </w:p>
    <w:p w14:paraId="67F00436" w14:textId="678481A6" w:rsidR="00396C79" w:rsidRDefault="00396C79" w:rsidP="00396C79">
      <w:pPr>
        <w:rPr>
          <w:rFonts w:eastAsia="Times New Roman" w:cs="Arial"/>
          <w:color w:val="000000"/>
          <w:lang w:eastAsia="bg-BG"/>
        </w:rPr>
      </w:pPr>
      <w:r w:rsidRPr="00396C79">
        <w:rPr>
          <w:rFonts w:eastAsia="Times New Roman" w:cs="Arial"/>
          <w:color w:val="000000"/>
          <w:lang w:eastAsia="bg-BG"/>
        </w:rPr>
        <w:t>Клиндамицин не може да се диализира.</w:t>
      </w:r>
    </w:p>
    <w:p w14:paraId="616EAC92" w14:textId="77777777" w:rsidR="00396C79" w:rsidRPr="00396C79" w:rsidRDefault="00396C79" w:rsidP="00396C79">
      <w:pPr>
        <w:rPr>
          <w:rFonts w:cs="Arial"/>
        </w:rPr>
      </w:pPr>
    </w:p>
    <w:p w14:paraId="6925FEB0" w14:textId="6DDF5320" w:rsidR="00F62E44" w:rsidRDefault="002C50EE" w:rsidP="00387A66">
      <w:pPr>
        <w:pStyle w:val="Heading2"/>
      </w:pPr>
      <w:r>
        <w:t>5.3. Предклинични данни за безопасност</w:t>
      </w:r>
    </w:p>
    <w:p w14:paraId="2B84D6A8" w14:textId="222BB164" w:rsidR="00396C79" w:rsidRDefault="00396C79" w:rsidP="00396C79"/>
    <w:p w14:paraId="2526D8DB" w14:textId="77777777" w:rsidR="00396C79" w:rsidRPr="00396C79" w:rsidRDefault="00396C79" w:rsidP="00396C79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96C79">
        <w:rPr>
          <w:rFonts w:eastAsia="Times New Roman" w:cs="Arial"/>
          <w:color w:val="000000"/>
          <w:lang w:eastAsia="bg-BG"/>
        </w:rPr>
        <w:t xml:space="preserve">Симптомите на интоксикация се изразяват в понижена активност на животните и конвулсии. След неколкократно дозиране </w:t>
      </w:r>
      <w:r w:rsidRPr="00396C79">
        <w:rPr>
          <w:rFonts w:eastAsia="Times New Roman" w:cs="Arial"/>
          <w:color w:val="000000"/>
          <w:lang w:val="en-US"/>
        </w:rPr>
        <w:t>(</w:t>
      </w:r>
      <w:proofErr w:type="spellStart"/>
      <w:r w:rsidRPr="00396C79">
        <w:rPr>
          <w:rFonts w:eastAsia="Times New Roman" w:cs="Arial"/>
          <w:color w:val="000000"/>
          <w:lang w:val="en-US"/>
        </w:rPr>
        <w:t>i.m.</w:t>
      </w:r>
      <w:proofErr w:type="spellEnd"/>
      <w:r w:rsidRPr="00396C79">
        <w:rPr>
          <w:rFonts w:eastAsia="Times New Roman" w:cs="Arial"/>
          <w:color w:val="000000"/>
          <w:lang w:val="en-US"/>
        </w:rPr>
        <w:t xml:space="preserve">) </w:t>
      </w:r>
      <w:r w:rsidRPr="00396C79">
        <w:rPr>
          <w:rFonts w:eastAsia="Times New Roman" w:cs="Arial"/>
          <w:color w:val="000000"/>
          <w:lang w:eastAsia="bg-BG"/>
        </w:rPr>
        <w:t xml:space="preserve">на клиндамицин при кучета се съобщава за повишаване на </w:t>
      </w:r>
      <w:r w:rsidRPr="00396C79">
        <w:rPr>
          <w:rFonts w:eastAsia="Times New Roman" w:cs="Arial"/>
          <w:color w:val="000000"/>
          <w:lang w:val="en-US"/>
        </w:rPr>
        <w:t xml:space="preserve">SGOT </w:t>
      </w:r>
      <w:r w:rsidRPr="00396C79">
        <w:rPr>
          <w:rFonts w:eastAsia="Times New Roman" w:cs="Arial"/>
          <w:color w:val="000000"/>
          <w:lang w:eastAsia="bg-BG"/>
        </w:rPr>
        <w:t xml:space="preserve">и </w:t>
      </w:r>
      <w:r w:rsidRPr="00396C79">
        <w:rPr>
          <w:rFonts w:eastAsia="Times New Roman" w:cs="Arial"/>
          <w:color w:val="000000"/>
          <w:lang w:val="en-US"/>
        </w:rPr>
        <w:t xml:space="preserve">SGPT, </w:t>
      </w:r>
      <w:r w:rsidRPr="00396C79">
        <w:rPr>
          <w:rFonts w:eastAsia="Times New Roman" w:cs="Arial"/>
          <w:color w:val="000000"/>
          <w:lang w:eastAsia="bg-BG"/>
        </w:rPr>
        <w:t>а също така е документирано и леко повишение на масата на черния дроб без морфологични промени. Дългосрочното прилагане на клиндамицин при кучета е предизвиквало увреждания на стомашната лигавица и на жлъчния мехур.</w:t>
      </w:r>
    </w:p>
    <w:p w14:paraId="14A03DFA" w14:textId="77777777" w:rsidR="00396C79" w:rsidRPr="00396C79" w:rsidRDefault="00396C79" w:rsidP="00396C7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E5A01AE" w14:textId="16B40E96" w:rsidR="00396C79" w:rsidRPr="00396C79" w:rsidRDefault="00396C79" w:rsidP="00396C79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96C79">
        <w:rPr>
          <w:rFonts w:eastAsia="Times New Roman" w:cs="Arial"/>
          <w:color w:val="000000"/>
          <w:lang w:eastAsia="bg-BG"/>
        </w:rPr>
        <w:t>Наблюдавани са локални реакции на мястото на инжектиране (възпаления, кръвоизливи и увреждане на тъканите) след интрамускулно и подкожно приложение, но концентрацията на прилаганите разтвори далеч е надвишавала максималната терапевтична концентрация.</w:t>
      </w:r>
    </w:p>
    <w:p w14:paraId="7D21D9F9" w14:textId="77777777" w:rsidR="00396C79" w:rsidRPr="00396C79" w:rsidRDefault="00396C79" w:rsidP="00396C79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DFF4BEC" w14:textId="7E361DCA" w:rsidR="00396C79" w:rsidRPr="00396C79" w:rsidRDefault="00396C79" w:rsidP="00396C79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96C79">
        <w:rPr>
          <w:rFonts w:eastAsia="Times New Roman" w:cs="Arial"/>
          <w:color w:val="000000"/>
          <w:u w:val="single"/>
          <w:lang w:eastAsia="bg-BG"/>
        </w:rPr>
        <w:t>Мутагенност и канцерогенен потенциал</w:t>
      </w:r>
    </w:p>
    <w:p w14:paraId="01411250" w14:textId="62765D1C" w:rsidR="00396C79" w:rsidRPr="00396C79" w:rsidRDefault="00396C79" w:rsidP="00396C79">
      <w:pPr>
        <w:rPr>
          <w:rFonts w:eastAsia="Times New Roman" w:cs="Arial"/>
          <w:color w:val="000000"/>
          <w:lang w:eastAsia="bg-BG"/>
        </w:rPr>
      </w:pPr>
      <w:r w:rsidRPr="00396C79">
        <w:rPr>
          <w:rFonts w:eastAsia="Times New Roman" w:cs="Arial"/>
          <w:color w:val="000000"/>
          <w:lang w:eastAsia="bg-BG"/>
        </w:rPr>
        <w:t xml:space="preserve">В </w:t>
      </w:r>
      <w:r w:rsidRPr="00396C79">
        <w:rPr>
          <w:rFonts w:eastAsia="Times New Roman" w:cs="Arial"/>
          <w:i/>
          <w:iCs/>
          <w:color w:val="000000"/>
          <w:lang w:val="en-US"/>
        </w:rPr>
        <w:t>in-vitro</w:t>
      </w:r>
      <w:r w:rsidRPr="00396C79">
        <w:rPr>
          <w:rFonts w:eastAsia="Times New Roman" w:cs="Arial"/>
          <w:color w:val="000000"/>
          <w:lang w:val="en-US"/>
        </w:rPr>
        <w:t xml:space="preserve"> </w:t>
      </w:r>
      <w:r w:rsidRPr="00396C79">
        <w:rPr>
          <w:rFonts w:eastAsia="Times New Roman" w:cs="Arial"/>
          <w:color w:val="000000"/>
          <w:lang w:eastAsia="bg-BG"/>
        </w:rPr>
        <w:t xml:space="preserve">и </w:t>
      </w:r>
      <w:r w:rsidRPr="00396C79">
        <w:rPr>
          <w:rFonts w:eastAsia="Times New Roman" w:cs="Arial"/>
          <w:i/>
          <w:iCs/>
          <w:color w:val="000000"/>
          <w:lang w:val="en-US"/>
        </w:rPr>
        <w:t>in-vivo</w:t>
      </w:r>
      <w:r w:rsidRPr="00396C79">
        <w:rPr>
          <w:rFonts w:eastAsia="Times New Roman" w:cs="Arial"/>
          <w:color w:val="000000"/>
          <w:lang w:val="en-US"/>
        </w:rPr>
        <w:t xml:space="preserve"> </w:t>
      </w:r>
      <w:r w:rsidRPr="00396C79">
        <w:rPr>
          <w:rFonts w:eastAsia="Times New Roman" w:cs="Arial"/>
          <w:color w:val="000000"/>
          <w:lang w:eastAsia="bg-BG"/>
        </w:rPr>
        <w:t>проучвания не е установен никакъв мутагенен потенциал на клиндамицин. Не са провеждани никакви дългосрочни проучвания при животни, за установяване на канцерогенния потенциал на клиндамицин.</w:t>
      </w:r>
    </w:p>
    <w:p w14:paraId="71DEEB56" w14:textId="0FF73F3A" w:rsidR="00396C79" w:rsidRPr="00396C79" w:rsidRDefault="00396C79" w:rsidP="00396C79">
      <w:pPr>
        <w:rPr>
          <w:rFonts w:eastAsia="Times New Roman" w:cs="Arial"/>
          <w:color w:val="000000"/>
          <w:lang w:eastAsia="bg-BG"/>
        </w:rPr>
      </w:pPr>
    </w:p>
    <w:p w14:paraId="672BE413" w14:textId="77777777" w:rsidR="00396C79" w:rsidRPr="00396C79" w:rsidRDefault="00396C79" w:rsidP="00396C79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96C79">
        <w:rPr>
          <w:rFonts w:eastAsia="Times New Roman" w:cs="Arial"/>
          <w:color w:val="000000"/>
          <w:u w:val="single"/>
          <w:lang w:eastAsia="bg-BG"/>
        </w:rPr>
        <w:t>Репродуктивна токсичност</w:t>
      </w:r>
    </w:p>
    <w:p w14:paraId="1B4146A6" w14:textId="43C085C9" w:rsidR="00396C79" w:rsidRPr="00396C79" w:rsidRDefault="00396C79" w:rsidP="00396C79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96C79">
        <w:rPr>
          <w:rFonts w:eastAsia="Times New Roman" w:cs="Arial"/>
          <w:color w:val="000000"/>
          <w:lang w:eastAsia="bg-BG"/>
        </w:rPr>
        <w:t>Проучванията на клиндамицин при плъхове и мишки не дават никакви данни, които може да показват някакво увреждане на фертилитета или ембрио/фетотоксичните свойства.</w:t>
      </w:r>
    </w:p>
    <w:p w14:paraId="357049A8" w14:textId="1D01A06A" w:rsidR="00BB22B4" w:rsidRDefault="002C50EE" w:rsidP="00471F10">
      <w:pPr>
        <w:pStyle w:val="Heading1"/>
      </w:pPr>
      <w:r>
        <w:t>7. ПРИТЕЖАТЕЛ НА РАЗРЕШЕНИЕТО ЗА УПОТРЕБА</w:t>
      </w:r>
    </w:p>
    <w:p w14:paraId="6273CE09" w14:textId="0FB40CB5" w:rsidR="00396C79" w:rsidRDefault="00396C79" w:rsidP="00396C79"/>
    <w:p w14:paraId="0BBA4CA4" w14:textId="77777777" w:rsidR="00396C79" w:rsidRPr="00396C79" w:rsidRDefault="00396C79" w:rsidP="00396C79">
      <w:pPr>
        <w:rPr>
          <w:sz w:val="24"/>
          <w:szCs w:val="24"/>
          <w:lang w:eastAsia="bg-BG"/>
        </w:rPr>
      </w:pPr>
      <w:r w:rsidRPr="00396C79">
        <w:rPr>
          <w:lang w:eastAsia="bg-BG"/>
        </w:rPr>
        <w:t>Фрезениус Каби България ЕООД</w:t>
      </w:r>
    </w:p>
    <w:p w14:paraId="051AEB4D" w14:textId="77777777" w:rsidR="00396C79" w:rsidRPr="00396C79" w:rsidRDefault="00396C79" w:rsidP="00396C79">
      <w:pPr>
        <w:rPr>
          <w:sz w:val="24"/>
          <w:szCs w:val="24"/>
          <w:lang w:eastAsia="bg-BG"/>
        </w:rPr>
      </w:pPr>
      <w:r w:rsidRPr="00396C79">
        <w:rPr>
          <w:lang w:eastAsia="bg-BG"/>
        </w:rPr>
        <w:t>ул. Ал. Жендов 1, ет. 6, ап. 37</w:t>
      </w:r>
    </w:p>
    <w:p w14:paraId="74C19387" w14:textId="77777777" w:rsidR="00396C79" w:rsidRPr="00396C79" w:rsidRDefault="00396C79" w:rsidP="00396C79">
      <w:pPr>
        <w:rPr>
          <w:sz w:val="24"/>
          <w:szCs w:val="24"/>
          <w:lang w:eastAsia="bg-BG"/>
        </w:rPr>
      </w:pPr>
      <w:r w:rsidRPr="00396C79">
        <w:rPr>
          <w:lang w:eastAsia="bg-BG"/>
        </w:rPr>
        <w:t>1113 София</w:t>
      </w:r>
    </w:p>
    <w:p w14:paraId="095842A4" w14:textId="4145A8D7" w:rsidR="00396C79" w:rsidRPr="00396C79" w:rsidRDefault="00396C79" w:rsidP="00396C79">
      <w:r w:rsidRPr="00396C79">
        <w:rPr>
          <w:lang w:eastAsia="bg-BG"/>
        </w:rPr>
        <w:t>България</w:t>
      </w:r>
    </w:p>
    <w:p w14:paraId="0A53321D" w14:textId="65FAA07E" w:rsidR="00EE6C97" w:rsidRDefault="00936AD0" w:rsidP="00A93499">
      <w:pPr>
        <w:pStyle w:val="Heading1"/>
      </w:pPr>
      <w:r>
        <w:t>8.</w:t>
      </w:r>
      <w:r w:rsidR="002C50EE">
        <w:t>НОМЕР НА РАЗРЕШЕНИЕТО ЗА УПОТРЕБА</w:t>
      </w:r>
    </w:p>
    <w:p w14:paraId="5AEBF1F1" w14:textId="28AD812B" w:rsidR="00396C79" w:rsidRDefault="00396C79" w:rsidP="00396C79"/>
    <w:p w14:paraId="23412790" w14:textId="63890127" w:rsidR="00396C79" w:rsidRPr="00396C79" w:rsidRDefault="00396C79" w:rsidP="00396C79">
      <w:r>
        <w:t>20080098</w:t>
      </w:r>
    </w:p>
    <w:p w14:paraId="7C2688F5" w14:textId="6D610EDF" w:rsidR="00F62E44" w:rsidRDefault="00F62E44" w:rsidP="00F62E44"/>
    <w:p w14:paraId="00481C21" w14:textId="67088BF8" w:rsidR="00F62E44" w:rsidRDefault="002C50EE" w:rsidP="00387A66">
      <w:pPr>
        <w:pStyle w:val="Heading1"/>
      </w:pPr>
      <w:r>
        <w:t>9. ДАТА НА ПЪРВО РАЗРЕШАВАНЕ/ПОДНОВЯВАНЕ НА РАЗРЕШЕНИЕТО ЗА УПОТРЕБА</w:t>
      </w:r>
    </w:p>
    <w:p w14:paraId="4DEEA8EC" w14:textId="57D33AED" w:rsidR="00396C79" w:rsidRDefault="00396C79" w:rsidP="00396C79"/>
    <w:p w14:paraId="2F0E0FD9" w14:textId="77777777" w:rsidR="00396C79" w:rsidRPr="00396C79" w:rsidRDefault="00396C79" w:rsidP="00396C79">
      <w:pPr>
        <w:rPr>
          <w:sz w:val="24"/>
          <w:szCs w:val="24"/>
          <w:lang w:eastAsia="bg-BG"/>
        </w:rPr>
      </w:pPr>
      <w:r w:rsidRPr="00396C79">
        <w:rPr>
          <w:lang w:eastAsia="bg-BG"/>
        </w:rPr>
        <w:t>Дата на първо разрешаване: 11 юни 2008 г.</w:t>
      </w:r>
    </w:p>
    <w:p w14:paraId="5D888417" w14:textId="4982B6D9" w:rsidR="00396C79" w:rsidRPr="00396C79" w:rsidRDefault="00396C79" w:rsidP="00396C79">
      <w:r w:rsidRPr="00396C79">
        <w:rPr>
          <w:lang w:eastAsia="bg-BG"/>
        </w:rPr>
        <w:t>Дата на последно подновяване: 24 август 2015 г.</w:t>
      </w:r>
    </w:p>
    <w:p w14:paraId="43FB38A2" w14:textId="0C18A683" w:rsidR="007C605B" w:rsidRDefault="002C50EE" w:rsidP="005726E3">
      <w:pPr>
        <w:pStyle w:val="Heading1"/>
      </w:pPr>
      <w:r>
        <w:lastRenderedPageBreak/>
        <w:t>10. ДАТА НА АКТУАЛИЗИРАНЕ НА ТЕКСТА</w:t>
      </w:r>
      <w:bookmarkEnd w:id="0"/>
    </w:p>
    <w:p w14:paraId="472617BD" w14:textId="52451F1E" w:rsidR="00BB22B4" w:rsidRPr="00BB22B4" w:rsidRDefault="00396C79" w:rsidP="00396C79">
      <w:r>
        <w:t>07/2021 г.</w:t>
      </w:r>
    </w:p>
    <w:sectPr w:rsidR="00BB22B4" w:rsidRPr="00BB2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74D0D9E"/>
    <w:multiLevelType w:val="hybridMultilevel"/>
    <w:tmpl w:val="4E6C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C16F5"/>
    <w:multiLevelType w:val="hybridMultilevel"/>
    <w:tmpl w:val="E5EA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9304D31"/>
    <w:multiLevelType w:val="hybridMultilevel"/>
    <w:tmpl w:val="558E93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F4277"/>
    <w:multiLevelType w:val="hybridMultilevel"/>
    <w:tmpl w:val="1E0294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D37A7"/>
    <w:multiLevelType w:val="hybridMultilevel"/>
    <w:tmpl w:val="46CC86F0"/>
    <w:lvl w:ilvl="0" w:tplc="D1263D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40263F30"/>
    <w:multiLevelType w:val="hybridMultilevel"/>
    <w:tmpl w:val="8D8818BA"/>
    <w:lvl w:ilvl="0" w:tplc="12BC014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E06251"/>
    <w:multiLevelType w:val="hybridMultilevel"/>
    <w:tmpl w:val="1090AE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 w16cid:durableId="1574118384">
    <w:abstractNumId w:val="32"/>
  </w:num>
  <w:num w:numId="2" w16cid:durableId="1612932146">
    <w:abstractNumId w:val="0"/>
  </w:num>
  <w:num w:numId="3" w16cid:durableId="1810323821">
    <w:abstractNumId w:val="16"/>
  </w:num>
  <w:num w:numId="4" w16cid:durableId="2135319613">
    <w:abstractNumId w:val="3"/>
  </w:num>
  <w:num w:numId="5" w16cid:durableId="740105516">
    <w:abstractNumId w:val="1"/>
  </w:num>
  <w:num w:numId="6" w16cid:durableId="1668363208">
    <w:abstractNumId w:val="21"/>
  </w:num>
  <w:num w:numId="7" w16cid:durableId="1241988161">
    <w:abstractNumId w:val="12"/>
  </w:num>
  <w:num w:numId="8" w16cid:durableId="2102022361">
    <w:abstractNumId w:val="19"/>
  </w:num>
  <w:num w:numId="9" w16cid:durableId="1154613663">
    <w:abstractNumId w:val="2"/>
  </w:num>
  <w:num w:numId="10" w16cid:durableId="1733848127">
    <w:abstractNumId w:val="4"/>
  </w:num>
  <w:num w:numId="11" w16cid:durableId="1861704680">
    <w:abstractNumId w:val="35"/>
  </w:num>
  <w:num w:numId="12" w16cid:durableId="1434934028">
    <w:abstractNumId w:val="17"/>
  </w:num>
  <w:num w:numId="13" w16cid:durableId="479157895">
    <w:abstractNumId w:val="24"/>
  </w:num>
  <w:num w:numId="14" w16cid:durableId="1670476636">
    <w:abstractNumId w:val="15"/>
  </w:num>
  <w:num w:numId="15" w16cid:durableId="1000155783">
    <w:abstractNumId w:val="34"/>
  </w:num>
  <w:num w:numId="16" w16cid:durableId="2056420707">
    <w:abstractNumId w:val="11"/>
  </w:num>
  <w:num w:numId="17" w16cid:durableId="1787119182">
    <w:abstractNumId w:val="29"/>
  </w:num>
  <w:num w:numId="18" w16cid:durableId="722945139">
    <w:abstractNumId w:val="8"/>
  </w:num>
  <w:num w:numId="19" w16cid:durableId="1678728408">
    <w:abstractNumId w:val="31"/>
  </w:num>
  <w:num w:numId="20" w16cid:durableId="1970816657">
    <w:abstractNumId w:val="28"/>
  </w:num>
  <w:num w:numId="21" w16cid:durableId="1531146514">
    <w:abstractNumId w:val="22"/>
  </w:num>
  <w:num w:numId="22" w16cid:durableId="1276465">
    <w:abstractNumId w:val="30"/>
  </w:num>
  <w:num w:numId="23" w16cid:durableId="1624310558">
    <w:abstractNumId w:val="23"/>
  </w:num>
  <w:num w:numId="24" w16cid:durableId="1692877547">
    <w:abstractNumId w:val="9"/>
  </w:num>
  <w:num w:numId="25" w16cid:durableId="50930855">
    <w:abstractNumId w:val="27"/>
  </w:num>
  <w:num w:numId="26" w16cid:durableId="176701536">
    <w:abstractNumId w:val="26"/>
  </w:num>
  <w:num w:numId="27" w16cid:durableId="2050564750">
    <w:abstractNumId w:val="36"/>
  </w:num>
  <w:num w:numId="28" w16cid:durableId="1820733422">
    <w:abstractNumId w:val="6"/>
  </w:num>
  <w:num w:numId="29" w16cid:durableId="973678124">
    <w:abstractNumId w:val="25"/>
  </w:num>
  <w:num w:numId="30" w16cid:durableId="154884452">
    <w:abstractNumId w:val="40"/>
  </w:num>
  <w:num w:numId="31" w16cid:durableId="1053964910">
    <w:abstractNumId w:val="5"/>
  </w:num>
  <w:num w:numId="32" w16cid:durableId="2073575793">
    <w:abstractNumId w:val="38"/>
  </w:num>
  <w:num w:numId="33" w16cid:durableId="1566643170">
    <w:abstractNumId w:val="33"/>
  </w:num>
  <w:num w:numId="34" w16cid:durableId="2060787732">
    <w:abstractNumId w:val="37"/>
  </w:num>
  <w:num w:numId="35" w16cid:durableId="34161354">
    <w:abstractNumId w:val="7"/>
  </w:num>
  <w:num w:numId="36" w16cid:durableId="1976908676">
    <w:abstractNumId w:val="10"/>
  </w:num>
  <w:num w:numId="37" w16cid:durableId="758528303">
    <w:abstractNumId w:val="18"/>
  </w:num>
  <w:num w:numId="38" w16cid:durableId="178396561">
    <w:abstractNumId w:val="39"/>
  </w:num>
  <w:num w:numId="39" w16cid:durableId="934825996">
    <w:abstractNumId w:val="13"/>
  </w:num>
  <w:num w:numId="40" w16cid:durableId="1272592470">
    <w:abstractNumId w:val="20"/>
  </w:num>
  <w:num w:numId="41" w16cid:durableId="14372133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00"/>
    <w:rsid w:val="00185A46"/>
    <w:rsid w:val="001915B6"/>
    <w:rsid w:val="001A6EBD"/>
    <w:rsid w:val="001D095A"/>
    <w:rsid w:val="001D1B23"/>
    <w:rsid w:val="002B3C38"/>
    <w:rsid w:val="002B4DBB"/>
    <w:rsid w:val="002C50EE"/>
    <w:rsid w:val="00340A0A"/>
    <w:rsid w:val="00340E8D"/>
    <w:rsid w:val="003765DC"/>
    <w:rsid w:val="00387A66"/>
    <w:rsid w:val="00395555"/>
    <w:rsid w:val="00396C79"/>
    <w:rsid w:val="003E3126"/>
    <w:rsid w:val="00426E5F"/>
    <w:rsid w:val="00471F10"/>
    <w:rsid w:val="004A448E"/>
    <w:rsid w:val="004D4D6B"/>
    <w:rsid w:val="004F1CE7"/>
    <w:rsid w:val="004F498A"/>
    <w:rsid w:val="00517A5B"/>
    <w:rsid w:val="005726E3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122AD"/>
    <w:rsid w:val="0075649D"/>
    <w:rsid w:val="007C605B"/>
    <w:rsid w:val="008134C8"/>
    <w:rsid w:val="00814073"/>
    <w:rsid w:val="00826F0D"/>
    <w:rsid w:val="00875EEC"/>
    <w:rsid w:val="00893B92"/>
    <w:rsid w:val="008A6AF2"/>
    <w:rsid w:val="008C70A2"/>
    <w:rsid w:val="008F7F23"/>
    <w:rsid w:val="00936AD0"/>
    <w:rsid w:val="00954129"/>
    <w:rsid w:val="009773E4"/>
    <w:rsid w:val="009B171C"/>
    <w:rsid w:val="009F1313"/>
    <w:rsid w:val="009F77A4"/>
    <w:rsid w:val="00A20351"/>
    <w:rsid w:val="00A428B7"/>
    <w:rsid w:val="00A65A81"/>
    <w:rsid w:val="00A71DCF"/>
    <w:rsid w:val="00A93499"/>
    <w:rsid w:val="00AA23EC"/>
    <w:rsid w:val="00AC63CE"/>
    <w:rsid w:val="00AE2107"/>
    <w:rsid w:val="00B275A8"/>
    <w:rsid w:val="00B6672E"/>
    <w:rsid w:val="00BA5B74"/>
    <w:rsid w:val="00BB22B4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9047A"/>
    <w:rsid w:val="00DB32D3"/>
    <w:rsid w:val="00DD466D"/>
    <w:rsid w:val="00E9184E"/>
    <w:rsid w:val="00EB6364"/>
    <w:rsid w:val="00EE6C97"/>
    <w:rsid w:val="00F37B64"/>
    <w:rsid w:val="00F53FB7"/>
    <w:rsid w:val="00F62E4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4212</Words>
  <Characters>24011</Characters>
  <Application>Microsoft Office Word</Application>
  <DocSecurity>0</DocSecurity>
  <Lines>200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2023-03-05T01:20:00Z</dcterms:created>
  <dcterms:modified xsi:type="dcterms:W3CDTF">2023-03-05T01:20:00Z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