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0F43DCB4" w:rsidR="00AA23EC" w:rsidRDefault="00DD466D" w:rsidP="00DD466D">
      <w:pPr>
        <w:pStyle w:val="Heading1"/>
      </w:pPr>
      <w:r>
        <w:t>1.ИМЕ НА ЛЕКАРСТВЕНИЯ ПРОДУКТ</w:t>
      </w:r>
    </w:p>
    <w:p w14:paraId="39769229" w14:textId="14D209E6" w:rsidR="007F5FA5" w:rsidRDefault="007F5FA5" w:rsidP="007F5FA5"/>
    <w:p w14:paraId="76A53185"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Клиндамицин Актавис 150 </w:t>
      </w:r>
      <w:r w:rsidRPr="007F5FA5">
        <w:rPr>
          <w:rFonts w:eastAsia="Times New Roman" w:cs="Arial"/>
          <w:color w:val="000000"/>
          <w:szCs w:val="44"/>
          <w:lang w:val="en-US"/>
        </w:rPr>
        <w:t>mg</w:t>
      </w:r>
      <w:r w:rsidRPr="007F5FA5">
        <w:rPr>
          <w:rFonts w:eastAsia="Times New Roman" w:cs="Arial"/>
          <w:color w:val="000000"/>
          <w:szCs w:val="44"/>
        </w:rPr>
        <w:t xml:space="preserve"> </w:t>
      </w:r>
      <w:r w:rsidRPr="007F5FA5">
        <w:rPr>
          <w:rFonts w:eastAsia="Times New Roman" w:cs="Arial"/>
          <w:color w:val="000000"/>
          <w:szCs w:val="44"/>
          <w:lang w:eastAsia="bg-BG"/>
        </w:rPr>
        <w:t>капсули, твърди</w:t>
      </w:r>
    </w:p>
    <w:p w14:paraId="3A69ABC9"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val="en-US"/>
        </w:rPr>
        <w:t>Clindamycin</w:t>
      </w:r>
      <w:r w:rsidRPr="007F5FA5">
        <w:rPr>
          <w:rFonts w:eastAsia="Times New Roman" w:cs="Arial"/>
          <w:color w:val="000000"/>
          <w:szCs w:val="44"/>
        </w:rPr>
        <w:t xml:space="preserve"> </w:t>
      </w:r>
      <w:r w:rsidRPr="007F5FA5">
        <w:rPr>
          <w:rFonts w:eastAsia="Times New Roman" w:cs="Arial"/>
          <w:color w:val="000000"/>
          <w:szCs w:val="44"/>
          <w:lang w:val="en-US"/>
        </w:rPr>
        <w:t>Actavis</w:t>
      </w:r>
      <w:r w:rsidRPr="007F5FA5">
        <w:rPr>
          <w:rFonts w:eastAsia="Times New Roman" w:cs="Arial"/>
          <w:color w:val="000000"/>
          <w:szCs w:val="44"/>
        </w:rPr>
        <w:t xml:space="preserve"> </w:t>
      </w:r>
      <w:r w:rsidRPr="007F5FA5">
        <w:rPr>
          <w:rFonts w:eastAsia="Times New Roman" w:cs="Arial"/>
          <w:color w:val="000000"/>
          <w:szCs w:val="44"/>
          <w:lang w:eastAsia="bg-BG"/>
        </w:rPr>
        <w:t xml:space="preserve">150 </w:t>
      </w:r>
      <w:r w:rsidRPr="007F5FA5">
        <w:rPr>
          <w:rFonts w:eastAsia="Times New Roman" w:cs="Arial"/>
          <w:color w:val="000000"/>
          <w:szCs w:val="44"/>
          <w:lang w:val="en-US"/>
        </w:rPr>
        <w:t>mg</w:t>
      </w:r>
      <w:r w:rsidRPr="007F5FA5">
        <w:rPr>
          <w:rFonts w:eastAsia="Times New Roman" w:cs="Arial"/>
          <w:color w:val="000000"/>
          <w:szCs w:val="44"/>
        </w:rPr>
        <w:t xml:space="preserve"> </w:t>
      </w:r>
      <w:r w:rsidRPr="007F5FA5">
        <w:rPr>
          <w:rFonts w:eastAsia="Times New Roman" w:cs="Arial"/>
          <w:color w:val="000000"/>
          <w:szCs w:val="44"/>
          <w:lang w:val="en-US"/>
        </w:rPr>
        <w:t>capsules</w:t>
      </w:r>
      <w:r w:rsidRPr="007F5FA5">
        <w:rPr>
          <w:rFonts w:eastAsia="Times New Roman" w:cs="Arial"/>
          <w:color w:val="000000"/>
          <w:szCs w:val="44"/>
        </w:rPr>
        <w:t xml:space="preserve">, </w:t>
      </w:r>
      <w:r w:rsidRPr="007F5FA5">
        <w:rPr>
          <w:rFonts w:eastAsia="Times New Roman" w:cs="Arial"/>
          <w:color w:val="000000"/>
          <w:szCs w:val="44"/>
          <w:lang w:val="en-US"/>
        </w:rPr>
        <w:t>hard</w:t>
      </w:r>
    </w:p>
    <w:p w14:paraId="58D27400" w14:textId="77777777" w:rsidR="007F5FA5" w:rsidRPr="007F5FA5" w:rsidRDefault="007F5FA5" w:rsidP="007F5FA5"/>
    <w:p w14:paraId="0A368469" w14:textId="1994A500" w:rsidR="00C0049F" w:rsidRDefault="00DD466D" w:rsidP="009F1313">
      <w:pPr>
        <w:pStyle w:val="Heading1"/>
      </w:pPr>
      <w:r>
        <w:t>2. КАЧЕСТВЕН И КОЛИЧЕСТВЕН СЪСТАВ</w:t>
      </w:r>
    </w:p>
    <w:p w14:paraId="768AA872" w14:textId="406D0723" w:rsidR="007F5FA5" w:rsidRDefault="007F5FA5" w:rsidP="007F5FA5"/>
    <w:p w14:paraId="0C484B7F"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Всяка капсула съдържа активно вещество клиндамицинов хидрохлорид (</w:t>
      </w:r>
      <w:r w:rsidRPr="007F5FA5">
        <w:rPr>
          <w:rFonts w:eastAsia="Times New Roman" w:cs="Arial"/>
          <w:i/>
          <w:iCs/>
          <w:color w:val="000000"/>
          <w:szCs w:val="44"/>
          <w:lang w:val="en-US"/>
        </w:rPr>
        <w:t>clindamycin</w:t>
      </w:r>
      <w:r w:rsidRPr="007F5FA5">
        <w:rPr>
          <w:rFonts w:eastAsia="Times New Roman" w:cs="Arial"/>
          <w:i/>
          <w:iCs/>
          <w:color w:val="000000"/>
          <w:szCs w:val="44"/>
        </w:rPr>
        <w:t xml:space="preserve"> </w:t>
      </w:r>
      <w:r w:rsidRPr="007F5FA5">
        <w:rPr>
          <w:rFonts w:eastAsia="Times New Roman" w:cs="Arial"/>
          <w:i/>
          <w:iCs/>
          <w:color w:val="000000"/>
          <w:szCs w:val="44"/>
          <w:lang w:val="en-US"/>
        </w:rPr>
        <w:t>hydrochloride</w:t>
      </w:r>
      <w:r w:rsidRPr="007F5FA5">
        <w:rPr>
          <w:rFonts w:eastAsia="Times New Roman" w:cs="Arial"/>
          <w:i/>
          <w:iCs/>
          <w:color w:val="000000"/>
          <w:szCs w:val="44"/>
        </w:rPr>
        <w:t xml:space="preserve">) </w:t>
      </w:r>
      <w:r w:rsidRPr="007F5FA5">
        <w:rPr>
          <w:rFonts w:eastAsia="Times New Roman" w:cs="Arial"/>
          <w:color w:val="000000"/>
          <w:szCs w:val="44"/>
          <w:lang w:eastAsia="bg-BG"/>
        </w:rPr>
        <w:t xml:space="preserve">екв. на клиндамицин </w:t>
      </w:r>
      <w:r w:rsidRPr="007F5FA5">
        <w:rPr>
          <w:rFonts w:eastAsia="Times New Roman" w:cs="Arial"/>
          <w:i/>
          <w:iCs/>
          <w:color w:val="000000"/>
          <w:szCs w:val="44"/>
        </w:rPr>
        <w:t>(</w:t>
      </w:r>
      <w:r w:rsidRPr="007F5FA5">
        <w:rPr>
          <w:rFonts w:eastAsia="Times New Roman" w:cs="Arial"/>
          <w:i/>
          <w:iCs/>
          <w:color w:val="000000"/>
          <w:szCs w:val="44"/>
          <w:lang w:val="en-US"/>
        </w:rPr>
        <w:t>clindamycin</w:t>
      </w:r>
      <w:r w:rsidRPr="007F5FA5">
        <w:rPr>
          <w:rFonts w:eastAsia="Times New Roman" w:cs="Arial"/>
          <w:i/>
          <w:iCs/>
          <w:color w:val="000000"/>
          <w:szCs w:val="44"/>
        </w:rPr>
        <w:t>)</w:t>
      </w:r>
      <w:r w:rsidRPr="007F5FA5">
        <w:rPr>
          <w:rFonts w:eastAsia="Times New Roman" w:cs="Arial"/>
          <w:color w:val="000000"/>
          <w:szCs w:val="44"/>
        </w:rPr>
        <w:t xml:space="preserve"> </w:t>
      </w:r>
      <w:r w:rsidRPr="007F5FA5">
        <w:rPr>
          <w:rFonts w:eastAsia="Times New Roman" w:cs="Arial"/>
          <w:color w:val="000000"/>
          <w:szCs w:val="44"/>
          <w:lang w:eastAsia="bg-BG"/>
        </w:rPr>
        <w:t xml:space="preserve">150 </w:t>
      </w:r>
      <w:r w:rsidRPr="007F5FA5">
        <w:rPr>
          <w:rFonts w:eastAsia="Times New Roman" w:cs="Arial"/>
          <w:color w:val="000000"/>
          <w:szCs w:val="44"/>
          <w:lang w:val="en-US"/>
        </w:rPr>
        <w:t>mg</w:t>
      </w:r>
      <w:r w:rsidRPr="007F5FA5">
        <w:rPr>
          <w:rFonts w:eastAsia="Times New Roman" w:cs="Arial"/>
          <w:color w:val="000000"/>
          <w:szCs w:val="44"/>
        </w:rPr>
        <w:t>.</w:t>
      </w:r>
    </w:p>
    <w:p w14:paraId="29783EA8" w14:textId="77777777" w:rsidR="007F5FA5" w:rsidRPr="007F5FA5" w:rsidRDefault="007F5FA5" w:rsidP="007F5FA5">
      <w:pPr>
        <w:spacing w:line="240" w:lineRule="auto"/>
        <w:rPr>
          <w:rFonts w:eastAsia="Times New Roman" w:cs="Arial"/>
          <w:color w:val="000000"/>
          <w:szCs w:val="44"/>
          <w:lang w:eastAsia="bg-BG"/>
        </w:rPr>
      </w:pPr>
    </w:p>
    <w:p w14:paraId="4C84F418" w14:textId="239515F6"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Помощни вещества с известно действие: пшенично нишесте, лактоза монохидрат, азорубин (Е 122).</w:t>
      </w:r>
    </w:p>
    <w:p w14:paraId="31B7AEF2" w14:textId="77777777" w:rsidR="007F5FA5" w:rsidRPr="007F5FA5" w:rsidRDefault="007F5FA5" w:rsidP="007F5FA5"/>
    <w:p w14:paraId="614984C4" w14:textId="7578877D" w:rsidR="008A6AF2" w:rsidRDefault="00DD466D" w:rsidP="002C50EE">
      <w:pPr>
        <w:pStyle w:val="Heading1"/>
      </w:pPr>
      <w:r>
        <w:t>3. ЛЕКАРСТВЕНА ФОРМА</w:t>
      </w:r>
    </w:p>
    <w:p w14:paraId="2BF2C424" w14:textId="1B5B6B21" w:rsidR="007F5FA5" w:rsidRDefault="007F5FA5" w:rsidP="007F5FA5"/>
    <w:p w14:paraId="598E1BF2" w14:textId="77777777" w:rsidR="007F5FA5" w:rsidRPr="007F5FA5" w:rsidRDefault="007F5FA5" w:rsidP="007F5FA5">
      <w:pPr>
        <w:rPr>
          <w:sz w:val="24"/>
          <w:szCs w:val="24"/>
        </w:rPr>
      </w:pPr>
      <w:r w:rsidRPr="007F5FA5">
        <w:rPr>
          <w:lang w:eastAsia="bg-BG"/>
        </w:rPr>
        <w:t>Капсула, твърда.</w:t>
      </w:r>
    </w:p>
    <w:p w14:paraId="3BD2FCA3" w14:textId="77777777" w:rsidR="007F5FA5" w:rsidRPr="007F5FA5" w:rsidRDefault="007F5FA5" w:rsidP="007F5FA5">
      <w:pPr>
        <w:rPr>
          <w:sz w:val="24"/>
          <w:szCs w:val="24"/>
        </w:rPr>
      </w:pPr>
      <w:r w:rsidRPr="007F5FA5">
        <w:rPr>
          <w:lang w:eastAsia="bg-BG"/>
        </w:rPr>
        <w:t>Твърди цилиндрични желатинови капсули с лилаво тяло и тъмночервено капаче.</w:t>
      </w:r>
    </w:p>
    <w:p w14:paraId="1D29807F" w14:textId="2832DE5F" w:rsidR="007F5FA5" w:rsidRPr="007F5FA5" w:rsidRDefault="007F5FA5" w:rsidP="007F5FA5">
      <w:r w:rsidRPr="007F5FA5">
        <w:rPr>
          <w:lang w:eastAsia="bg-BG"/>
        </w:rPr>
        <w:t>Капсулно съдържимо - бял до бледожълт прах.</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2899E3B" w:rsidR="00395555" w:rsidRDefault="00395555" w:rsidP="00395555"/>
    <w:p w14:paraId="4D2F9A22"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Клиндамицин Актавис се прилага за лечение на инфекции, причинени от чувствителни към антибиотика анаеробни бактерии и аеробни Грам-положителни бактерии (като стрептококи, стафилококи и пневмококи), както и чувствителни щамове </w:t>
      </w:r>
      <w:r w:rsidRPr="007F5FA5">
        <w:rPr>
          <w:rFonts w:eastAsia="Times New Roman" w:cs="Arial"/>
          <w:color w:val="000000"/>
          <w:szCs w:val="44"/>
          <w:lang w:val="en-US"/>
        </w:rPr>
        <w:t>Chlamydia</w:t>
      </w:r>
      <w:r w:rsidRPr="007F5FA5">
        <w:rPr>
          <w:rFonts w:eastAsia="Times New Roman" w:cs="Arial"/>
          <w:color w:val="000000"/>
          <w:szCs w:val="44"/>
          <w:lang w:val="ru-RU"/>
        </w:rPr>
        <w:t xml:space="preserve"> </w:t>
      </w:r>
      <w:r w:rsidRPr="007F5FA5">
        <w:rPr>
          <w:rFonts w:eastAsia="Times New Roman" w:cs="Arial"/>
          <w:color w:val="000000"/>
          <w:szCs w:val="44"/>
          <w:lang w:val="en-US"/>
        </w:rPr>
        <w:t>trachomatis</w:t>
      </w:r>
      <w:r w:rsidRPr="007F5FA5">
        <w:rPr>
          <w:rFonts w:eastAsia="Times New Roman" w:cs="Arial"/>
          <w:color w:val="000000"/>
          <w:szCs w:val="44"/>
          <w:lang w:val="ru-RU"/>
        </w:rPr>
        <w:t xml:space="preserve"> </w:t>
      </w:r>
      <w:r w:rsidRPr="007F5FA5">
        <w:rPr>
          <w:rFonts w:eastAsia="Times New Roman" w:cs="Arial"/>
          <w:color w:val="000000"/>
          <w:szCs w:val="44"/>
          <w:lang w:eastAsia="bg-BG"/>
        </w:rPr>
        <w:t>като:</w:t>
      </w:r>
    </w:p>
    <w:p w14:paraId="3638D907" w14:textId="77777777" w:rsidR="007F5FA5" w:rsidRPr="007F5FA5" w:rsidRDefault="007F5FA5" w:rsidP="007F5FA5">
      <w:pPr>
        <w:pStyle w:val="ListParagraph"/>
        <w:numPr>
          <w:ilvl w:val="0"/>
          <w:numId w:val="32"/>
        </w:numPr>
        <w:spacing w:line="240" w:lineRule="auto"/>
        <w:rPr>
          <w:rFonts w:eastAsia="Times New Roman" w:cs="Arial"/>
          <w:color w:val="000000"/>
          <w:szCs w:val="44"/>
          <w:lang w:eastAsia="bg-BG"/>
        </w:rPr>
      </w:pPr>
      <w:r w:rsidRPr="007F5FA5">
        <w:rPr>
          <w:rFonts w:eastAsia="Times New Roman" w:cs="Arial"/>
          <w:color w:val="000000"/>
          <w:szCs w:val="44"/>
          <w:lang w:eastAsia="bg-BG"/>
        </w:rPr>
        <w:t>Инфекции на горните дихателни пътища и ушите, носа и гърлото - тонзилит, фарингит, синуит, възпаление на средното ухо и скарлатина;</w:t>
      </w:r>
    </w:p>
    <w:p w14:paraId="3DEAB0BE" w14:textId="77777777" w:rsidR="007F5FA5" w:rsidRPr="007F5FA5" w:rsidRDefault="007F5FA5" w:rsidP="007F5FA5">
      <w:pPr>
        <w:pStyle w:val="ListParagraph"/>
        <w:numPr>
          <w:ilvl w:val="0"/>
          <w:numId w:val="32"/>
        </w:numPr>
        <w:spacing w:line="240" w:lineRule="auto"/>
        <w:rPr>
          <w:rFonts w:eastAsia="Times New Roman" w:cs="Arial"/>
          <w:color w:val="000000"/>
          <w:szCs w:val="44"/>
          <w:lang w:eastAsia="bg-BG"/>
        </w:rPr>
      </w:pPr>
      <w:r w:rsidRPr="007F5FA5">
        <w:rPr>
          <w:rFonts w:eastAsia="Times New Roman" w:cs="Arial"/>
          <w:color w:val="000000"/>
          <w:szCs w:val="44"/>
          <w:lang w:eastAsia="bg-BG"/>
        </w:rPr>
        <w:t>Инфекции на долните дихателни пътища - бронхит, пневмония, абсцес, емпием;</w:t>
      </w:r>
    </w:p>
    <w:p w14:paraId="4C884A58" w14:textId="55FAFDA1" w:rsidR="007F5FA5" w:rsidRPr="007F5FA5" w:rsidRDefault="007F5FA5" w:rsidP="007F5FA5">
      <w:pPr>
        <w:pStyle w:val="ListParagraph"/>
        <w:numPr>
          <w:ilvl w:val="0"/>
          <w:numId w:val="32"/>
        </w:numPr>
        <w:spacing w:line="240" w:lineRule="auto"/>
        <w:rPr>
          <w:rFonts w:eastAsia="Times New Roman" w:cs="Arial"/>
          <w:color w:val="000000"/>
          <w:szCs w:val="44"/>
          <w:lang w:eastAsia="bg-BG"/>
        </w:rPr>
      </w:pPr>
      <w:r w:rsidRPr="007F5FA5">
        <w:rPr>
          <w:rFonts w:eastAsia="Times New Roman" w:cs="Arial"/>
          <w:color w:val="000000"/>
          <w:szCs w:val="44"/>
          <w:lang w:eastAsia="bg-BG"/>
        </w:rPr>
        <w:t>Инфекции на кожата и меките тъкани - акне, фурункулози, целулит, импетиго, абсцеси,</w:t>
      </w:r>
      <w:r>
        <w:rPr>
          <w:rFonts w:eastAsia="Times New Roman" w:cs="Arial"/>
          <w:color w:val="000000"/>
          <w:szCs w:val="44"/>
          <w:lang w:eastAsia="bg-BG"/>
        </w:rPr>
        <w:t xml:space="preserve"> </w:t>
      </w:r>
      <w:r w:rsidRPr="007F5FA5">
        <w:rPr>
          <w:rFonts w:eastAsia="Times New Roman" w:cs="Arial"/>
          <w:color w:val="000000"/>
          <w:szCs w:val="44"/>
          <w:lang w:eastAsia="bg-BG"/>
        </w:rPr>
        <w:t>инфектирани рани; специфични инфекции като еризипел и панарициум;</w:t>
      </w:r>
    </w:p>
    <w:p w14:paraId="2398F7CC" w14:textId="77777777" w:rsidR="007F5FA5" w:rsidRP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t>Костни и ставни инфекции - остеомиелит и септичен артрит;</w:t>
      </w:r>
    </w:p>
    <w:p w14:paraId="3E67212E" w14:textId="77777777" w:rsidR="007F5FA5" w:rsidRP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t xml:space="preserve">Гинекологични инфекции — ендометрит, колпит, тубо-овариален абсцес, салпингит и възпалителни заболявания на органите на малкия таз в комбинация с подходящ антибиотик, активен срещу Грам-отрицателни аероби; цервицити, причинени от </w:t>
      </w:r>
      <w:r w:rsidRPr="007F5FA5">
        <w:rPr>
          <w:rFonts w:eastAsia="Times New Roman" w:cs="Arial"/>
          <w:color w:val="000000"/>
          <w:szCs w:val="44"/>
          <w:lang w:val="en-US"/>
        </w:rPr>
        <w:t>Chlamydia</w:t>
      </w:r>
      <w:r w:rsidRPr="007F5FA5">
        <w:rPr>
          <w:rFonts w:eastAsia="Times New Roman" w:cs="Arial"/>
          <w:color w:val="000000"/>
          <w:szCs w:val="44"/>
          <w:lang w:val="ru-RU"/>
        </w:rPr>
        <w:t xml:space="preserve"> </w:t>
      </w:r>
      <w:r w:rsidRPr="007F5FA5">
        <w:rPr>
          <w:rFonts w:eastAsia="Times New Roman" w:cs="Arial"/>
          <w:color w:val="000000"/>
          <w:szCs w:val="44"/>
          <w:lang w:val="en-US"/>
        </w:rPr>
        <w:t>trachomatis</w:t>
      </w:r>
      <w:r w:rsidRPr="007F5FA5">
        <w:rPr>
          <w:rFonts w:eastAsia="Times New Roman" w:cs="Arial"/>
          <w:color w:val="000000"/>
          <w:szCs w:val="44"/>
          <w:lang w:val="ru-RU"/>
        </w:rPr>
        <w:t>;</w:t>
      </w:r>
    </w:p>
    <w:p w14:paraId="1570B3E9" w14:textId="77777777" w:rsidR="007F5FA5" w:rsidRP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t>Интраабдоминални инфекции - перитонит и интраабдоминални абсцеси (причинени от анаеробни микроорганизми, които нормално се срещат в стомашно-чревния тракт) в комбинация с антибиотици, които действат на Грам-отрицателни аеробни микроорганизми;</w:t>
      </w:r>
    </w:p>
    <w:p w14:paraId="72243D13" w14:textId="77777777" w:rsid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lastRenderedPageBreak/>
        <w:t>Септицемия и ендокардити - в случаите, когато предварително е доказан бактерицидния ефект по отношение на причинителите при концентрация на продукта, която се достига в серума;</w:t>
      </w:r>
    </w:p>
    <w:p w14:paraId="713B32F9" w14:textId="77777777" w:rsid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t>Одонтогенни инфекции - периодонтален абсцес и периодонтит;</w:t>
      </w:r>
    </w:p>
    <w:p w14:paraId="0CFF7EAF" w14:textId="77777777" w:rsid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t>Токсоплазмозен енцефалит при пациенти със СПИН (в комбинация с пириметин);</w:t>
      </w:r>
    </w:p>
    <w:p w14:paraId="34880E5B" w14:textId="40ABC40F" w:rsidR="007F5FA5" w:rsidRDefault="007F5FA5" w:rsidP="007F5FA5">
      <w:pPr>
        <w:pStyle w:val="ListParagraph"/>
        <w:numPr>
          <w:ilvl w:val="0"/>
          <w:numId w:val="33"/>
        </w:numPr>
        <w:spacing w:line="240" w:lineRule="auto"/>
        <w:rPr>
          <w:rFonts w:eastAsia="Times New Roman" w:cs="Arial"/>
          <w:color w:val="000000"/>
          <w:szCs w:val="44"/>
          <w:lang w:eastAsia="bg-BG"/>
        </w:rPr>
      </w:pPr>
      <w:r w:rsidRPr="007F5FA5">
        <w:rPr>
          <w:rFonts w:eastAsia="Times New Roman" w:cs="Arial"/>
          <w:color w:val="000000"/>
          <w:szCs w:val="44"/>
          <w:lang w:eastAsia="bg-BG"/>
        </w:rPr>
        <w:t xml:space="preserve">Пневмония, причинена от </w:t>
      </w:r>
      <w:r w:rsidRPr="007F5FA5">
        <w:rPr>
          <w:rFonts w:eastAsia="Times New Roman" w:cs="Arial"/>
          <w:color w:val="000000"/>
          <w:szCs w:val="44"/>
          <w:lang w:val="en-US"/>
        </w:rPr>
        <w:t>Pneumocystis</w:t>
      </w:r>
      <w:r w:rsidRPr="007F5FA5">
        <w:rPr>
          <w:rFonts w:eastAsia="Times New Roman" w:cs="Arial"/>
          <w:color w:val="000000"/>
          <w:szCs w:val="44"/>
          <w:lang w:val="ru-RU"/>
        </w:rPr>
        <w:t xml:space="preserve"> </w:t>
      </w:r>
      <w:proofErr w:type="spellStart"/>
      <w:r w:rsidRPr="007F5FA5">
        <w:rPr>
          <w:rFonts w:eastAsia="Times New Roman" w:cs="Arial"/>
          <w:color w:val="000000"/>
          <w:szCs w:val="44"/>
          <w:lang w:val="en-US"/>
        </w:rPr>
        <w:t>carinii</w:t>
      </w:r>
      <w:proofErr w:type="spellEnd"/>
      <w:r w:rsidRPr="007F5FA5">
        <w:rPr>
          <w:rFonts w:eastAsia="Times New Roman" w:cs="Arial"/>
          <w:color w:val="000000"/>
          <w:szCs w:val="44"/>
          <w:lang w:val="ru-RU"/>
        </w:rPr>
        <w:t xml:space="preserve"> </w:t>
      </w:r>
      <w:r w:rsidRPr="007F5FA5">
        <w:rPr>
          <w:rFonts w:eastAsia="Times New Roman" w:cs="Arial"/>
          <w:color w:val="000000"/>
          <w:szCs w:val="44"/>
          <w:lang w:eastAsia="bg-BG"/>
        </w:rPr>
        <w:t>при пациенти със СПИН, които не се повлияват от конвенционалната терапия в комбинация с примаквин.</w:t>
      </w:r>
    </w:p>
    <w:p w14:paraId="70110F6F" w14:textId="598A07F7" w:rsidR="007F5FA5" w:rsidRPr="007F5FA5" w:rsidRDefault="007F5FA5" w:rsidP="007F5FA5">
      <w:pPr>
        <w:spacing w:line="240" w:lineRule="auto"/>
        <w:rPr>
          <w:rFonts w:eastAsia="Times New Roman" w:cs="Arial"/>
          <w:color w:val="000000"/>
          <w:szCs w:val="44"/>
          <w:lang w:eastAsia="bg-BG"/>
        </w:rPr>
      </w:pPr>
    </w:p>
    <w:p w14:paraId="7C0CA5EB" w14:textId="1F606546" w:rsidR="00C0049F" w:rsidRDefault="002C50EE" w:rsidP="009F1313">
      <w:pPr>
        <w:pStyle w:val="Heading2"/>
      </w:pPr>
      <w:r>
        <w:t>4.2. Дозировка и начин на приложение</w:t>
      </w:r>
    </w:p>
    <w:p w14:paraId="501A0067" w14:textId="108E3E52" w:rsidR="007F5FA5" w:rsidRDefault="007F5FA5" w:rsidP="007F5FA5"/>
    <w:p w14:paraId="69879ACD"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Дозата и начина на приложение се определят от тежестта на заболяването, състоянието на болния и чувствителността на причинителя.</w:t>
      </w:r>
    </w:p>
    <w:p w14:paraId="6680755A" w14:textId="77777777" w:rsidR="007F5FA5" w:rsidRPr="007F5FA5" w:rsidRDefault="007F5FA5" w:rsidP="007F5FA5">
      <w:pPr>
        <w:spacing w:line="240" w:lineRule="auto"/>
        <w:rPr>
          <w:rFonts w:eastAsia="Times New Roman" w:cs="Arial"/>
          <w:color w:val="000000"/>
          <w:szCs w:val="44"/>
          <w:u w:val="single"/>
          <w:lang w:eastAsia="bg-BG"/>
        </w:rPr>
      </w:pPr>
    </w:p>
    <w:p w14:paraId="124AA7AE" w14:textId="0F2DAE32" w:rsidR="007F5FA5" w:rsidRPr="007F5FA5" w:rsidRDefault="007F5FA5" w:rsidP="007F5FA5">
      <w:pPr>
        <w:pStyle w:val="Heading3"/>
        <w:rPr>
          <w:rFonts w:eastAsia="Times New Roman"/>
          <w:sz w:val="12"/>
          <w:u w:val="single"/>
        </w:rPr>
      </w:pPr>
      <w:r w:rsidRPr="007F5FA5">
        <w:rPr>
          <w:rFonts w:eastAsia="Times New Roman"/>
          <w:u w:val="single"/>
          <w:lang w:eastAsia="bg-BG"/>
        </w:rPr>
        <w:t>Дозировка</w:t>
      </w:r>
    </w:p>
    <w:p w14:paraId="550F85B1" w14:textId="77777777"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Възрастни и деца над 12 години</w:t>
      </w:r>
    </w:p>
    <w:p w14:paraId="4F88BC14"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Обичайната доза е 600-1 800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дневно, разпределени в 2, 3 или 4 приема на еднакви дози.</w:t>
      </w:r>
    </w:p>
    <w:p w14:paraId="67ADBCB7" w14:textId="77777777" w:rsidR="007F5FA5" w:rsidRPr="007F5FA5" w:rsidRDefault="007F5FA5" w:rsidP="007F5FA5">
      <w:pPr>
        <w:spacing w:line="240" w:lineRule="auto"/>
        <w:rPr>
          <w:rFonts w:eastAsia="Times New Roman" w:cs="Arial"/>
          <w:i/>
          <w:iCs/>
          <w:color w:val="000000"/>
          <w:szCs w:val="44"/>
          <w:lang w:eastAsia="bg-BG"/>
        </w:rPr>
      </w:pPr>
    </w:p>
    <w:p w14:paraId="4BA430DE" w14:textId="52823164"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Деца от 6 до 11 години</w:t>
      </w:r>
    </w:p>
    <w:p w14:paraId="74F39A2C"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По 8-25 </w:t>
      </w:r>
      <w:r w:rsidRPr="007F5FA5">
        <w:rPr>
          <w:rFonts w:eastAsia="Times New Roman" w:cs="Arial"/>
          <w:color w:val="000000"/>
          <w:szCs w:val="44"/>
          <w:lang w:val="en-US"/>
        </w:rPr>
        <w:t>mg</w:t>
      </w:r>
      <w:r w:rsidRPr="007F5FA5">
        <w:rPr>
          <w:rFonts w:eastAsia="Times New Roman" w:cs="Arial"/>
          <w:color w:val="000000"/>
          <w:szCs w:val="44"/>
          <w:lang w:val="ru-RU"/>
        </w:rPr>
        <w:t>/</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за 24 ч., разделени на 3-4 приема; при тежки инфекции - 16-20 </w:t>
      </w:r>
      <w:r w:rsidRPr="007F5FA5">
        <w:rPr>
          <w:rFonts w:eastAsia="Times New Roman" w:cs="Arial"/>
          <w:color w:val="000000"/>
          <w:szCs w:val="44"/>
          <w:lang w:val="en-US"/>
        </w:rPr>
        <w:t>mg</w:t>
      </w:r>
      <w:r w:rsidRPr="007F5FA5">
        <w:rPr>
          <w:rFonts w:eastAsia="Times New Roman" w:cs="Arial"/>
          <w:color w:val="000000"/>
          <w:szCs w:val="44"/>
          <w:lang w:val="ru-RU"/>
        </w:rPr>
        <w:t>/</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за 24 ч., разделени на 3-4 приема.</w:t>
      </w:r>
    </w:p>
    <w:p w14:paraId="406E8EE8"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При деца под 1 година или с телесно тегло под 10 </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минималната препоръчвана доза е 37,5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на всеки 8 часа, приложена под формата на сироп.</w:t>
      </w:r>
    </w:p>
    <w:p w14:paraId="59880705" w14:textId="77777777" w:rsidR="007F5FA5" w:rsidRPr="007F5FA5" w:rsidRDefault="007F5FA5" w:rsidP="007F5FA5">
      <w:pPr>
        <w:spacing w:line="240" w:lineRule="auto"/>
        <w:rPr>
          <w:rFonts w:eastAsia="Times New Roman" w:cs="Arial"/>
          <w:color w:val="000000"/>
          <w:szCs w:val="44"/>
          <w:lang w:eastAsia="bg-BG"/>
        </w:rPr>
      </w:pPr>
    </w:p>
    <w:p w14:paraId="6C6D3D1C" w14:textId="1406877A"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Продължителността на лечението варира в широки граници в зависимост от тежестта на заболяването. При инфекции, причинени от р-хемолитични стрептококи и за профилактика на ревматични рецидиви продължителността на лечението е поне 10 дни.</w:t>
      </w:r>
    </w:p>
    <w:p w14:paraId="55936E97" w14:textId="77777777" w:rsidR="007F5FA5" w:rsidRPr="007F5FA5" w:rsidRDefault="007F5FA5" w:rsidP="007F5FA5">
      <w:pPr>
        <w:spacing w:line="240" w:lineRule="auto"/>
        <w:rPr>
          <w:rFonts w:eastAsia="Times New Roman" w:cs="Arial"/>
          <w:color w:val="000000"/>
          <w:szCs w:val="44"/>
          <w:u w:val="single"/>
          <w:lang w:eastAsia="bg-BG"/>
        </w:rPr>
      </w:pPr>
    </w:p>
    <w:p w14:paraId="35CE4B6A" w14:textId="3D53DEB4"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u w:val="single"/>
          <w:lang w:eastAsia="bg-BG"/>
        </w:rPr>
        <w:t>Дозировка при специфични показания</w:t>
      </w:r>
    </w:p>
    <w:p w14:paraId="462FFF3E" w14:textId="77777777"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Малария</w:t>
      </w:r>
    </w:p>
    <w:p w14:paraId="3A5FD048"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Възрастни - 10-20 </w:t>
      </w:r>
      <w:r w:rsidRPr="007F5FA5">
        <w:rPr>
          <w:rFonts w:eastAsia="Times New Roman" w:cs="Arial"/>
          <w:color w:val="000000"/>
          <w:szCs w:val="44"/>
          <w:lang w:val="en-US"/>
        </w:rPr>
        <w:t>mg</w:t>
      </w:r>
      <w:r w:rsidRPr="007F5FA5">
        <w:rPr>
          <w:rFonts w:eastAsia="Times New Roman" w:cs="Arial"/>
          <w:color w:val="000000"/>
          <w:szCs w:val="44"/>
          <w:lang w:val="ru-RU"/>
        </w:rPr>
        <w:t>/</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дневно и деца - 10 </w:t>
      </w:r>
      <w:r w:rsidRPr="007F5FA5">
        <w:rPr>
          <w:rFonts w:eastAsia="Times New Roman" w:cs="Arial"/>
          <w:color w:val="000000"/>
          <w:szCs w:val="44"/>
          <w:lang w:val="en-US"/>
        </w:rPr>
        <w:t>mg</w:t>
      </w:r>
      <w:r w:rsidRPr="007F5FA5">
        <w:rPr>
          <w:rFonts w:eastAsia="Times New Roman" w:cs="Arial"/>
          <w:color w:val="000000"/>
          <w:szCs w:val="44"/>
          <w:lang w:val="ru-RU"/>
        </w:rPr>
        <w:t>/</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дневно, разделени на 2 приема през 12 часа в продължение на 7 дни самостоятелно или в комбинация с хинин (12 </w:t>
      </w:r>
      <w:r w:rsidRPr="007F5FA5">
        <w:rPr>
          <w:rFonts w:eastAsia="Times New Roman" w:cs="Arial"/>
          <w:color w:val="000000"/>
          <w:szCs w:val="44"/>
          <w:lang w:val="en-US"/>
        </w:rPr>
        <w:t>mg</w:t>
      </w:r>
      <w:r w:rsidRPr="007F5FA5">
        <w:rPr>
          <w:rFonts w:eastAsia="Times New Roman" w:cs="Arial"/>
          <w:color w:val="000000"/>
          <w:szCs w:val="44"/>
          <w:lang w:val="ru-RU"/>
        </w:rPr>
        <w:t>/</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на 12 часа или хлороквин (15 до 25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на 24 часа) в продължение на 3-5 дни.</w:t>
      </w:r>
    </w:p>
    <w:p w14:paraId="01FF61B4" w14:textId="77777777" w:rsidR="007F5FA5" w:rsidRPr="007F5FA5" w:rsidRDefault="007F5FA5" w:rsidP="007F5FA5">
      <w:pPr>
        <w:spacing w:line="240" w:lineRule="auto"/>
        <w:rPr>
          <w:rFonts w:eastAsia="Times New Roman" w:cs="Arial"/>
          <w:i/>
          <w:iCs/>
          <w:color w:val="000000"/>
          <w:szCs w:val="44"/>
          <w:lang w:eastAsia="bg-BG"/>
        </w:rPr>
      </w:pPr>
    </w:p>
    <w:p w14:paraId="08C61D12" w14:textId="23334C35"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Профилактика на инфекциозен ендокардит</w:t>
      </w:r>
    </w:p>
    <w:p w14:paraId="3355F6E2" w14:textId="77777777"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Възрастни</w:t>
      </w:r>
      <w:r w:rsidRPr="007F5FA5">
        <w:rPr>
          <w:rFonts w:eastAsia="Times New Roman" w:cs="Arial"/>
          <w:color w:val="000000"/>
          <w:szCs w:val="44"/>
          <w:lang w:eastAsia="bg-BG"/>
        </w:rPr>
        <w:t xml:space="preserve"> - еднократна доза 600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1 час преди процедурата;</w:t>
      </w:r>
    </w:p>
    <w:p w14:paraId="6E0A7B91" w14:textId="77777777" w:rsidR="007F5FA5" w:rsidRPr="007F5FA5" w:rsidRDefault="007F5FA5" w:rsidP="007F5FA5">
      <w:pPr>
        <w:spacing w:line="240" w:lineRule="auto"/>
        <w:rPr>
          <w:rFonts w:eastAsia="Times New Roman" w:cs="Arial"/>
          <w:i/>
          <w:iCs/>
          <w:color w:val="000000"/>
          <w:szCs w:val="44"/>
          <w:lang w:eastAsia="bg-BG"/>
        </w:rPr>
      </w:pPr>
    </w:p>
    <w:p w14:paraId="03ED108D" w14:textId="755C392D"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Деца</w:t>
      </w:r>
      <w:r w:rsidRPr="007F5FA5">
        <w:rPr>
          <w:rFonts w:eastAsia="Times New Roman" w:cs="Arial"/>
          <w:color w:val="000000"/>
          <w:szCs w:val="44"/>
          <w:lang w:eastAsia="bg-BG"/>
        </w:rPr>
        <w:t xml:space="preserve"> - еднократна доза от 20 </w:t>
      </w:r>
      <w:r w:rsidRPr="007F5FA5">
        <w:rPr>
          <w:rFonts w:eastAsia="Times New Roman" w:cs="Arial"/>
          <w:color w:val="000000"/>
          <w:szCs w:val="44"/>
          <w:lang w:val="en-US"/>
        </w:rPr>
        <w:t>mg</w:t>
      </w:r>
      <w:r w:rsidRPr="007F5FA5">
        <w:rPr>
          <w:rFonts w:eastAsia="Times New Roman" w:cs="Arial"/>
          <w:color w:val="000000"/>
          <w:szCs w:val="44"/>
          <w:lang w:val="ru-RU"/>
        </w:rPr>
        <w:t>/</w:t>
      </w:r>
      <w:r w:rsidRPr="007F5FA5">
        <w:rPr>
          <w:rFonts w:eastAsia="Times New Roman" w:cs="Arial"/>
          <w:color w:val="000000"/>
          <w:szCs w:val="44"/>
          <w:lang w:val="en-US"/>
        </w:rPr>
        <w:t>kg</w:t>
      </w:r>
      <w:r w:rsidRPr="007F5FA5">
        <w:rPr>
          <w:rFonts w:eastAsia="Times New Roman" w:cs="Arial"/>
          <w:color w:val="000000"/>
          <w:szCs w:val="44"/>
          <w:lang w:val="ru-RU"/>
        </w:rPr>
        <w:t xml:space="preserve"> </w:t>
      </w:r>
      <w:r w:rsidRPr="007F5FA5">
        <w:rPr>
          <w:rFonts w:eastAsia="Times New Roman" w:cs="Arial"/>
          <w:color w:val="000000"/>
          <w:szCs w:val="44"/>
          <w:lang w:eastAsia="bg-BG"/>
        </w:rPr>
        <w:t>1 час преди процедурата.</w:t>
      </w:r>
    </w:p>
    <w:p w14:paraId="1F1EA2E7" w14:textId="77777777" w:rsidR="007F5FA5" w:rsidRPr="007F5FA5" w:rsidRDefault="007F5FA5" w:rsidP="007F5FA5">
      <w:pPr>
        <w:spacing w:line="240" w:lineRule="auto"/>
        <w:rPr>
          <w:rFonts w:eastAsia="Times New Roman" w:cs="Arial"/>
          <w:i/>
          <w:iCs/>
          <w:color w:val="000000"/>
          <w:szCs w:val="44"/>
          <w:lang w:eastAsia="bg-BG"/>
        </w:rPr>
      </w:pPr>
    </w:p>
    <w:p w14:paraId="38A09989" w14:textId="11C71FE1"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 xml:space="preserve">Цервицити, причинени от </w:t>
      </w:r>
      <w:r w:rsidRPr="007F5FA5">
        <w:rPr>
          <w:rFonts w:eastAsia="Times New Roman" w:cs="Arial"/>
          <w:i/>
          <w:iCs/>
          <w:color w:val="000000"/>
          <w:szCs w:val="44"/>
          <w:lang w:val="en-US"/>
        </w:rPr>
        <w:t>Chlamydia</w:t>
      </w:r>
      <w:r w:rsidRPr="007F5FA5">
        <w:rPr>
          <w:rFonts w:eastAsia="Times New Roman" w:cs="Arial"/>
          <w:i/>
          <w:iCs/>
          <w:color w:val="000000"/>
          <w:szCs w:val="44"/>
          <w:lang w:val="ru-RU"/>
        </w:rPr>
        <w:t xml:space="preserve"> </w:t>
      </w:r>
      <w:r w:rsidRPr="007F5FA5">
        <w:rPr>
          <w:rFonts w:eastAsia="Times New Roman" w:cs="Arial"/>
          <w:i/>
          <w:iCs/>
          <w:color w:val="000000"/>
          <w:szCs w:val="44"/>
          <w:lang w:val="en-US"/>
        </w:rPr>
        <w:t>trachomatis</w:t>
      </w:r>
    </w:p>
    <w:p w14:paraId="042EEBF9"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По 450-600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на всеки 6 часа в продължение на 10-14 дни.</w:t>
      </w:r>
    </w:p>
    <w:p w14:paraId="22C24468" w14:textId="77777777" w:rsidR="007F5FA5" w:rsidRPr="007F5FA5" w:rsidRDefault="007F5FA5" w:rsidP="007F5FA5">
      <w:pPr>
        <w:spacing w:line="240" w:lineRule="auto"/>
        <w:rPr>
          <w:rFonts w:eastAsia="Times New Roman" w:cs="Arial"/>
          <w:i/>
          <w:iCs/>
          <w:color w:val="000000"/>
          <w:szCs w:val="44"/>
          <w:lang w:eastAsia="bg-BG"/>
        </w:rPr>
      </w:pPr>
    </w:p>
    <w:p w14:paraId="171F62B6" w14:textId="44B9B0D9"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Токсоплазмозен енцефалит при пациенти със СПИН</w:t>
      </w:r>
    </w:p>
    <w:p w14:paraId="2A1A9CE3"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По 600-1200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на всеки 6 часа в продължение на 2 седмици, след което по 300-600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на всеки 6 часа. Продължителността на терапевтичния курс обикновено е 8 до 10 седмици. Едновременно за същия период от време се прилага пириметамин в дневна доза 25 до 75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При приложение на по- високи дози пириметамин се назначава фолиева киселина в дневна доза 10-20 </w:t>
      </w:r>
      <w:r w:rsidRPr="007F5FA5">
        <w:rPr>
          <w:rFonts w:eastAsia="Times New Roman" w:cs="Arial"/>
          <w:color w:val="000000"/>
          <w:szCs w:val="44"/>
          <w:lang w:val="en-US"/>
        </w:rPr>
        <w:t>mg</w:t>
      </w:r>
      <w:r w:rsidRPr="007F5FA5">
        <w:rPr>
          <w:rFonts w:eastAsia="Times New Roman" w:cs="Arial"/>
          <w:color w:val="000000"/>
          <w:szCs w:val="44"/>
          <w:lang w:val="ru-RU"/>
        </w:rPr>
        <w:t>.</w:t>
      </w:r>
    </w:p>
    <w:p w14:paraId="5A2125F3" w14:textId="77777777" w:rsidR="007F5FA5" w:rsidRPr="007F5FA5" w:rsidRDefault="007F5FA5" w:rsidP="007F5FA5">
      <w:pPr>
        <w:spacing w:line="240" w:lineRule="auto"/>
        <w:rPr>
          <w:rFonts w:eastAsia="Times New Roman" w:cs="Arial"/>
          <w:i/>
          <w:iCs/>
          <w:color w:val="000000"/>
          <w:szCs w:val="44"/>
          <w:lang w:eastAsia="bg-BG"/>
        </w:rPr>
      </w:pPr>
    </w:p>
    <w:p w14:paraId="5A016FDA" w14:textId="0141F358"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eastAsia="bg-BG"/>
        </w:rPr>
        <w:t>Остър стрептококов тонзилит/фарингит</w:t>
      </w:r>
    </w:p>
    <w:p w14:paraId="042CF1AA"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lastRenderedPageBreak/>
        <w:t xml:space="preserve">По 300 </w:t>
      </w:r>
      <w:r w:rsidRPr="007F5FA5">
        <w:rPr>
          <w:rFonts w:eastAsia="Times New Roman" w:cs="Arial"/>
          <w:color w:val="000000"/>
          <w:szCs w:val="44"/>
          <w:lang w:val="en-US"/>
        </w:rPr>
        <w:t>mg</w:t>
      </w:r>
      <w:r w:rsidRPr="007F5FA5">
        <w:rPr>
          <w:rFonts w:eastAsia="Times New Roman" w:cs="Arial"/>
          <w:color w:val="000000"/>
          <w:szCs w:val="44"/>
          <w:lang w:val="ru-RU"/>
        </w:rPr>
        <w:t xml:space="preserve"> </w:t>
      </w:r>
      <w:r w:rsidRPr="007F5FA5">
        <w:rPr>
          <w:rFonts w:eastAsia="Times New Roman" w:cs="Arial"/>
          <w:color w:val="000000"/>
          <w:szCs w:val="44"/>
          <w:lang w:eastAsia="bg-BG"/>
        </w:rPr>
        <w:t>2 пъти дневно в продължение на 10 дни.</w:t>
      </w:r>
    </w:p>
    <w:p w14:paraId="4C5C053E" w14:textId="77777777" w:rsidR="007F5FA5" w:rsidRPr="007F5FA5" w:rsidRDefault="007F5FA5" w:rsidP="007F5FA5">
      <w:pPr>
        <w:spacing w:line="240" w:lineRule="auto"/>
        <w:rPr>
          <w:rFonts w:eastAsia="Times New Roman" w:cs="Arial"/>
          <w:color w:val="000000"/>
          <w:szCs w:val="44"/>
          <w:u w:val="single"/>
          <w:lang w:eastAsia="bg-BG"/>
        </w:rPr>
      </w:pPr>
    </w:p>
    <w:p w14:paraId="4B3FB6B6" w14:textId="5732A11F" w:rsidR="007F5FA5" w:rsidRPr="007F5FA5" w:rsidRDefault="007F5FA5" w:rsidP="007F5FA5">
      <w:pPr>
        <w:pStyle w:val="Heading3"/>
        <w:rPr>
          <w:rFonts w:eastAsia="Times New Roman"/>
          <w:sz w:val="12"/>
          <w:u w:val="single"/>
        </w:rPr>
      </w:pPr>
      <w:r w:rsidRPr="007F5FA5">
        <w:rPr>
          <w:rFonts w:eastAsia="Times New Roman"/>
          <w:u w:val="single"/>
          <w:lang w:eastAsia="bg-BG"/>
        </w:rPr>
        <w:t>Начин на приложение</w:t>
      </w:r>
    </w:p>
    <w:p w14:paraId="6651478C"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За да се избегне дразнещото действие на клиндамицин върху стомашната лигавица, лекарствения продукт се приема с пълна чаша вода.</w:t>
      </w:r>
    </w:p>
    <w:p w14:paraId="3BF98D88" w14:textId="77777777" w:rsidR="007F5FA5" w:rsidRPr="007F5FA5" w:rsidRDefault="007F5FA5" w:rsidP="007F5FA5"/>
    <w:p w14:paraId="62B13D0B" w14:textId="1F60B6E9" w:rsidR="00395555" w:rsidRDefault="002C50EE" w:rsidP="008A6AF2">
      <w:pPr>
        <w:pStyle w:val="Heading2"/>
      </w:pPr>
      <w:r>
        <w:t>4.3. Противопоказания</w:t>
      </w:r>
    </w:p>
    <w:p w14:paraId="5C55DC30" w14:textId="64ED0B95" w:rsidR="007F5FA5" w:rsidRDefault="007F5FA5" w:rsidP="007F5FA5"/>
    <w:p w14:paraId="05223C2E" w14:textId="77777777" w:rsidR="007F5FA5" w:rsidRPr="007F5FA5" w:rsidRDefault="007F5FA5" w:rsidP="007F5FA5">
      <w:pPr>
        <w:rPr>
          <w:sz w:val="24"/>
          <w:szCs w:val="24"/>
        </w:rPr>
      </w:pPr>
      <w:r w:rsidRPr="007F5FA5">
        <w:rPr>
          <w:lang w:eastAsia="bg-BG"/>
        </w:rPr>
        <w:t>Клиндамицин е противопоказан при пациенти с установена преди свръхчувствителност към клиндамицин, към линкомицин или към някое от помощните вещества, изброени в точка 6.1.</w:t>
      </w:r>
    </w:p>
    <w:p w14:paraId="74E22D6A" w14:textId="77777777" w:rsidR="007F5FA5" w:rsidRPr="007F5FA5" w:rsidRDefault="007F5FA5" w:rsidP="007F5FA5"/>
    <w:p w14:paraId="5A4AC413" w14:textId="0D6B6803" w:rsidR="00395555" w:rsidRDefault="002C50EE" w:rsidP="008A6AF2">
      <w:pPr>
        <w:pStyle w:val="Heading2"/>
      </w:pPr>
      <w:r>
        <w:t>4.4. Специални предупреждения и предпазни мерки при употреба</w:t>
      </w:r>
    </w:p>
    <w:p w14:paraId="6C81F083" w14:textId="4FF4BEFC" w:rsidR="007F5FA5" w:rsidRDefault="007F5FA5" w:rsidP="007F5FA5"/>
    <w:p w14:paraId="08D7A3E6"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Тъй като лечението с клиндамицин е свързано с поява на тежки колити, антибиотикът трябва да се прилага само при сериозни инфекции, когато употребата на друго антибактериално средство е противопоказана. Клиндамицин е антибактериален продукт от втора линия за лечение на инфекции, причинени от чувствителни щамове пневмококи, стрептококи и стафилококи при пациенти с алергия към пеницилин. Той не трябва да се използва за лечение на небактериални инфекции, например на горните дихателни пътища.</w:t>
      </w:r>
    </w:p>
    <w:p w14:paraId="29F2D96E" w14:textId="77777777" w:rsidR="007F5FA5" w:rsidRPr="007F5FA5" w:rsidRDefault="007F5FA5" w:rsidP="007F5FA5">
      <w:pPr>
        <w:spacing w:line="240" w:lineRule="auto"/>
        <w:rPr>
          <w:rFonts w:eastAsia="Times New Roman" w:cs="Arial"/>
          <w:color w:val="000000"/>
          <w:szCs w:val="44"/>
          <w:lang w:eastAsia="bg-BG"/>
        </w:rPr>
      </w:pPr>
    </w:p>
    <w:p w14:paraId="53B77210" w14:textId="119C0830"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Лечението с антибактериални средства променя нормалната чревна флора и води до свръхрастеж на </w:t>
      </w:r>
      <w:r w:rsidRPr="007F5FA5">
        <w:rPr>
          <w:rFonts w:eastAsia="Times New Roman" w:cs="Arial"/>
          <w:i/>
          <w:iCs/>
          <w:color w:val="000000"/>
          <w:szCs w:val="44"/>
          <w:lang w:val="en-US"/>
        </w:rPr>
        <w:t>Clostridium</w:t>
      </w:r>
      <w:r w:rsidRPr="007F5FA5">
        <w:rPr>
          <w:rFonts w:eastAsia="Times New Roman" w:cs="Arial"/>
          <w:i/>
          <w:iCs/>
          <w:color w:val="000000"/>
          <w:szCs w:val="44"/>
          <w:lang w:val="ru-RU"/>
        </w:rPr>
        <w:t xml:space="preserve"> </w:t>
      </w:r>
      <w:r w:rsidRPr="007F5FA5">
        <w:rPr>
          <w:rFonts w:eastAsia="Times New Roman" w:cs="Arial"/>
          <w:i/>
          <w:iCs/>
          <w:color w:val="000000"/>
          <w:szCs w:val="44"/>
          <w:lang w:val="en-US"/>
        </w:rPr>
        <w:t>difficile</w:t>
      </w:r>
      <w:r w:rsidRPr="007F5FA5">
        <w:rPr>
          <w:rFonts w:eastAsia="Times New Roman" w:cs="Arial"/>
          <w:i/>
          <w:iCs/>
          <w:color w:val="000000"/>
          <w:szCs w:val="44"/>
          <w:lang w:val="ru-RU"/>
        </w:rPr>
        <w:t>.</w:t>
      </w:r>
      <w:r w:rsidRPr="007F5FA5">
        <w:rPr>
          <w:rFonts w:eastAsia="Times New Roman" w:cs="Arial"/>
          <w:color w:val="000000"/>
          <w:szCs w:val="44"/>
          <w:lang w:val="ru-RU"/>
        </w:rPr>
        <w:t xml:space="preserve"> </w:t>
      </w:r>
      <w:r w:rsidRPr="007F5FA5">
        <w:rPr>
          <w:rFonts w:eastAsia="Times New Roman" w:cs="Arial"/>
          <w:color w:val="000000"/>
          <w:szCs w:val="44"/>
          <w:lang w:eastAsia="bg-BG"/>
        </w:rPr>
        <w:t>Съобщения за това има след прилагане на почти всички видове антибиотици, включително клиндамицин.</w:t>
      </w:r>
    </w:p>
    <w:p w14:paraId="3E9913DE" w14:textId="77777777" w:rsidR="007F5FA5" w:rsidRPr="007F5FA5" w:rsidRDefault="007F5FA5" w:rsidP="007F5FA5">
      <w:pPr>
        <w:spacing w:line="240" w:lineRule="auto"/>
        <w:rPr>
          <w:rFonts w:eastAsia="Times New Roman" w:cs="Arial"/>
          <w:i/>
          <w:iCs/>
          <w:color w:val="000000"/>
          <w:szCs w:val="44"/>
          <w:lang w:val="en-US"/>
        </w:rPr>
      </w:pPr>
    </w:p>
    <w:p w14:paraId="3F9FC2E7" w14:textId="7CE02930" w:rsidR="007F5FA5" w:rsidRPr="007F5FA5" w:rsidRDefault="007F5FA5" w:rsidP="007F5FA5">
      <w:pPr>
        <w:spacing w:line="240" w:lineRule="auto"/>
        <w:rPr>
          <w:rFonts w:eastAsia="Times New Roman" w:cs="Arial"/>
          <w:sz w:val="12"/>
          <w:szCs w:val="24"/>
        </w:rPr>
      </w:pPr>
      <w:r w:rsidRPr="007F5FA5">
        <w:rPr>
          <w:rFonts w:eastAsia="Times New Roman" w:cs="Arial"/>
          <w:i/>
          <w:iCs/>
          <w:color w:val="000000"/>
          <w:szCs w:val="44"/>
          <w:lang w:val="en-US"/>
        </w:rPr>
        <w:t>Clostridium</w:t>
      </w:r>
      <w:r w:rsidRPr="007F5FA5">
        <w:rPr>
          <w:rFonts w:eastAsia="Times New Roman" w:cs="Arial"/>
          <w:i/>
          <w:iCs/>
          <w:color w:val="000000"/>
          <w:szCs w:val="44"/>
          <w:lang w:val="ru-RU"/>
        </w:rPr>
        <w:t xml:space="preserve"> </w:t>
      </w:r>
      <w:r w:rsidRPr="007F5FA5">
        <w:rPr>
          <w:rFonts w:eastAsia="Times New Roman" w:cs="Arial"/>
          <w:i/>
          <w:iCs/>
          <w:color w:val="000000"/>
          <w:szCs w:val="44"/>
          <w:lang w:val="en-US"/>
        </w:rPr>
        <w:t>difficile</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произвежда токсини А и В, които водят до развитие на </w:t>
      </w:r>
      <w:r w:rsidRPr="007F5FA5">
        <w:rPr>
          <w:rFonts w:eastAsia="Times New Roman" w:cs="Arial"/>
          <w:i/>
          <w:iCs/>
          <w:color w:val="000000"/>
          <w:szCs w:val="44"/>
          <w:lang w:val="en-US"/>
        </w:rPr>
        <w:t>Clostridium</w:t>
      </w:r>
      <w:r w:rsidRPr="007F5FA5">
        <w:rPr>
          <w:rFonts w:eastAsia="Times New Roman" w:cs="Arial"/>
          <w:i/>
          <w:iCs/>
          <w:color w:val="000000"/>
          <w:szCs w:val="44"/>
          <w:lang w:val="ru-RU"/>
        </w:rPr>
        <w:t xml:space="preserve"> </w:t>
      </w:r>
      <w:r w:rsidRPr="007F5FA5">
        <w:rPr>
          <w:rFonts w:eastAsia="Times New Roman" w:cs="Arial"/>
          <w:i/>
          <w:iCs/>
          <w:color w:val="000000"/>
          <w:szCs w:val="44"/>
          <w:lang w:val="en-US"/>
        </w:rPr>
        <w:t>difficile</w:t>
      </w:r>
      <w:r w:rsidRPr="007F5FA5">
        <w:rPr>
          <w:rFonts w:eastAsia="Times New Roman" w:cs="Arial"/>
          <w:i/>
          <w:iCs/>
          <w:color w:val="000000"/>
          <w:szCs w:val="44"/>
          <w:lang w:val="ru-RU"/>
        </w:rPr>
        <w:t xml:space="preserve"> </w:t>
      </w:r>
      <w:r w:rsidRPr="007F5FA5">
        <w:rPr>
          <w:rFonts w:eastAsia="Times New Roman" w:cs="Arial"/>
          <w:color w:val="000000"/>
          <w:szCs w:val="44"/>
          <w:lang w:eastAsia="bg-BG"/>
        </w:rPr>
        <w:t xml:space="preserve">свързана диария </w:t>
      </w:r>
      <w:r w:rsidRPr="007F5FA5">
        <w:rPr>
          <w:rFonts w:eastAsia="Times New Roman" w:cs="Arial"/>
          <w:color w:val="000000"/>
          <w:szCs w:val="44"/>
          <w:lang w:val="ru-RU"/>
        </w:rPr>
        <w:t>(</w:t>
      </w:r>
      <w:r w:rsidRPr="007F5FA5">
        <w:rPr>
          <w:rFonts w:eastAsia="Times New Roman" w:cs="Arial"/>
          <w:color w:val="000000"/>
          <w:szCs w:val="44"/>
          <w:lang w:val="en-US"/>
        </w:rPr>
        <w:t>CDAD</w:t>
      </w:r>
      <w:r w:rsidRPr="007F5FA5">
        <w:rPr>
          <w:rFonts w:eastAsia="Times New Roman" w:cs="Arial"/>
          <w:color w:val="000000"/>
          <w:szCs w:val="44"/>
          <w:lang w:val="ru-RU"/>
        </w:rPr>
        <w:t xml:space="preserve">) </w:t>
      </w:r>
      <w:r w:rsidRPr="007F5FA5">
        <w:rPr>
          <w:rFonts w:eastAsia="Times New Roman" w:cs="Arial"/>
          <w:color w:val="000000"/>
          <w:szCs w:val="44"/>
          <w:lang w:eastAsia="bg-BG"/>
        </w:rPr>
        <w:t>и е основната причина за "колит, свързан с употребата на антибиотик”.</w:t>
      </w:r>
    </w:p>
    <w:p w14:paraId="6F04F1C1"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При пациенти, при които се наблюдава диария след приложението на антибактериални средства е важно да се има предвид диагнозата </w:t>
      </w:r>
      <w:r w:rsidRPr="007F5FA5">
        <w:rPr>
          <w:rFonts w:eastAsia="Times New Roman" w:cs="Arial"/>
          <w:color w:val="000000"/>
          <w:szCs w:val="44"/>
          <w:lang w:val="en-US"/>
        </w:rPr>
        <w:t>CDAD</w:t>
      </w:r>
      <w:r w:rsidRPr="007F5FA5">
        <w:rPr>
          <w:rFonts w:eastAsia="Times New Roman" w:cs="Arial"/>
          <w:color w:val="000000"/>
          <w:szCs w:val="44"/>
          <w:lang w:val="ru-RU"/>
        </w:rPr>
        <w:t xml:space="preserve">. </w:t>
      </w:r>
      <w:r w:rsidRPr="007F5FA5">
        <w:rPr>
          <w:rFonts w:eastAsia="Times New Roman" w:cs="Arial"/>
          <w:color w:val="000000"/>
          <w:szCs w:val="44"/>
          <w:lang w:eastAsia="bg-BG"/>
        </w:rPr>
        <w:t>Това може да прогресира до колит, включително псевдомембранозен колит (вж. точка 4.8), който може да варира от лек до фатален колит.</w:t>
      </w:r>
    </w:p>
    <w:p w14:paraId="2BBB7126"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В редки случаи няколко седмици след спиране на лечението с клиндамицин е възможно да се появят диарии и колити.</w:t>
      </w:r>
    </w:p>
    <w:p w14:paraId="50F09858"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Ако се подозира или потвърди диагнозата диария свързана с употребата на антибиотик или антибиотик-свързан колит, текущото лечение с антибактериални средства, включително и клиндамицин, трябва да се преустанови и незабавно трябва да се предприемат адекватни терапевтични мерки. Обикновено леките форми на псевдомембранозен колит отзвучават след прекратяване на лечението. При средно-тежките и тежките случаи е необходима терапия с ванкомицин и метронидазол, кортикоиди, водноелектролитни разтвори и протеини.</w:t>
      </w:r>
    </w:p>
    <w:p w14:paraId="39114422"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Лекарствени продукти, потискащи перисталтиката са противопоказани в тази ситуация.</w:t>
      </w:r>
    </w:p>
    <w:p w14:paraId="5AA16658" w14:textId="77777777" w:rsidR="007F5FA5" w:rsidRPr="007F5FA5" w:rsidRDefault="007F5FA5" w:rsidP="007F5FA5">
      <w:pPr>
        <w:spacing w:line="240" w:lineRule="auto"/>
        <w:rPr>
          <w:rFonts w:eastAsia="Times New Roman" w:cs="Arial"/>
          <w:color w:val="000000"/>
          <w:szCs w:val="44"/>
          <w:lang w:eastAsia="bg-BG"/>
        </w:rPr>
      </w:pPr>
    </w:p>
    <w:p w14:paraId="666F8FDC" w14:textId="6F3EE343"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Възможна е появата на алергии - кожни обриви, уртикария, еритема. При такива пациенти лечението с клиндамицин трябва да се преустанови и да се назначи подходяща терапия.</w:t>
      </w:r>
    </w:p>
    <w:p w14:paraId="60EEDE03"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При случаи на свръхчувствителност към линкомицин е възможна поява на кръстосана алергия. При пациенти с алергична диатеза е необходимо особено внимание при прилагането на антибиотика.</w:t>
      </w:r>
    </w:p>
    <w:p w14:paraId="02361136" w14:textId="77777777" w:rsidR="007F5FA5" w:rsidRPr="007F5FA5" w:rsidRDefault="007F5FA5" w:rsidP="007F5FA5">
      <w:pPr>
        <w:spacing w:line="240" w:lineRule="auto"/>
        <w:rPr>
          <w:rFonts w:eastAsia="Times New Roman" w:cs="Arial"/>
          <w:color w:val="000000"/>
          <w:szCs w:val="44"/>
          <w:lang w:eastAsia="bg-BG"/>
        </w:rPr>
      </w:pPr>
    </w:p>
    <w:p w14:paraId="46C7F2EE" w14:textId="3C2C1533"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При продължително лечение с клиндамицин може да се наблюдава свръхрастеж на нечувствителни микроорганизми - например дрожди. При поява на суперинфекция с такива микроорганизми, приемането на антибиотика трябва да се прекрати и да се назначи подходяща терапия според клиничната картина.</w:t>
      </w:r>
    </w:p>
    <w:p w14:paraId="2BE2F05E" w14:textId="77777777" w:rsidR="007F5FA5" w:rsidRPr="007F5FA5" w:rsidRDefault="007F5FA5" w:rsidP="007F5FA5">
      <w:pPr>
        <w:spacing w:line="240" w:lineRule="auto"/>
        <w:rPr>
          <w:rFonts w:eastAsia="Times New Roman" w:cs="Arial"/>
          <w:color w:val="000000"/>
          <w:szCs w:val="44"/>
          <w:lang w:eastAsia="bg-BG"/>
        </w:rPr>
      </w:pPr>
    </w:p>
    <w:p w14:paraId="7FBF6621" w14:textId="6AED47A8"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Не е необходима промяна в дозировката при болни с бъбречно заболяване. При пациенти с умерено до тежко чернодробно увреждане се наблюдава удължаване на времето на полуелиминиране на клиндамицин. При пациенти с чернодробно увреждане обикновено не се налага понижаване на дозата, но е подходящо удължаване на интервала на дозиране (на 8 или 12 часа) и периодично проследяване на чернодробните ензими. При продължителен курс на лечение трябва да се проследяват бъбречната, чернодробната и хемопоетичната функции.</w:t>
      </w:r>
    </w:p>
    <w:p w14:paraId="58D127B6" w14:textId="77777777" w:rsidR="007F5FA5" w:rsidRPr="007F5FA5" w:rsidRDefault="007F5FA5" w:rsidP="007F5FA5">
      <w:pPr>
        <w:spacing w:line="240" w:lineRule="auto"/>
        <w:rPr>
          <w:rFonts w:eastAsia="Times New Roman" w:cs="Arial"/>
          <w:color w:val="000000"/>
          <w:szCs w:val="44"/>
          <w:lang w:eastAsia="bg-BG"/>
        </w:rPr>
      </w:pPr>
    </w:p>
    <w:p w14:paraId="6CBDFFBD" w14:textId="7969543A"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Продуктът не се прилага за лечение на менингити, поради минималните концентрации, които достига в цереброспиналната течност дори при възпалени менинги.</w:t>
      </w:r>
    </w:p>
    <w:p w14:paraId="3E41B27E" w14:textId="77777777" w:rsidR="007F5FA5" w:rsidRPr="007F5FA5" w:rsidRDefault="007F5FA5" w:rsidP="007F5FA5">
      <w:pPr>
        <w:spacing w:line="240" w:lineRule="auto"/>
        <w:rPr>
          <w:rFonts w:eastAsia="Times New Roman" w:cs="Arial"/>
          <w:color w:val="000000"/>
          <w:szCs w:val="44"/>
          <w:lang w:eastAsia="bg-BG"/>
        </w:rPr>
      </w:pPr>
    </w:p>
    <w:p w14:paraId="5008EA53" w14:textId="7B3BC000"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За да се избегне дразнещото действие на клиндамицин върху стомашната лигавица, антибиотикът трябва да се приема с повече течности.</w:t>
      </w:r>
    </w:p>
    <w:p w14:paraId="59F3DB95" w14:textId="77777777" w:rsidR="007F5FA5" w:rsidRPr="007F5FA5" w:rsidRDefault="007F5FA5" w:rsidP="007F5FA5">
      <w:pPr>
        <w:rPr>
          <w:rFonts w:eastAsia="Times New Roman" w:cs="Arial"/>
          <w:color w:val="000000"/>
          <w:szCs w:val="44"/>
          <w:lang w:eastAsia="bg-BG"/>
        </w:rPr>
      </w:pPr>
    </w:p>
    <w:p w14:paraId="7B4FAAE0" w14:textId="6D6406E2" w:rsidR="007F5FA5" w:rsidRDefault="007F5FA5" w:rsidP="007F5FA5">
      <w:pPr>
        <w:rPr>
          <w:rFonts w:eastAsia="Times New Roman" w:cs="Arial"/>
          <w:color w:val="000000"/>
          <w:szCs w:val="44"/>
          <w:lang w:eastAsia="bg-BG"/>
        </w:rPr>
      </w:pPr>
      <w:r w:rsidRPr="007F5FA5">
        <w:rPr>
          <w:rFonts w:eastAsia="Times New Roman" w:cs="Arial"/>
          <w:color w:val="000000"/>
          <w:szCs w:val="44"/>
          <w:lang w:eastAsia="bg-BG"/>
        </w:rPr>
        <w:t>Клиндамицин е подходящ за лечение на пациенти, алергични към пеницилин като алтернативно антибактериално средство.</w:t>
      </w:r>
    </w:p>
    <w:p w14:paraId="3168EEC9" w14:textId="219D510A" w:rsidR="007F5FA5" w:rsidRDefault="007F5FA5" w:rsidP="007F5FA5">
      <w:pPr>
        <w:rPr>
          <w:rFonts w:eastAsia="Times New Roman" w:cs="Arial"/>
          <w:color w:val="000000"/>
          <w:szCs w:val="44"/>
          <w:lang w:eastAsia="bg-BG"/>
        </w:rPr>
      </w:pPr>
    </w:p>
    <w:p w14:paraId="7F983B3B"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Пшеничното нишесте в състава на продукта може да съдържа само следи от глутен и се счита за безопасно при хора с цьолиакия.</w:t>
      </w:r>
    </w:p>
    <w:p w14:paraId="488D13C7" w14:textId="77777777" w:rsidR="007F5FA5" w:rsidRPr="007F5FA5" w:rsidRDefault="007F5FA5" w:rsidP="007F5FA5">
      <w:pPr>
        <w:spacing w:line="240" w:lineRule="auto"/>
        <w:rPr>
          <w:rFonts w:eastAsia="Times New Roman" w:cs="Arial"/>
          <w:color w:val="000000"/>
          <w:szCs w:val="44"/>
          <w:lang w:eastAsia="bg-BG"/>
        </w:rPr>
      </w:pPr>
    </w:p>
    <w:p w14:paraId="0E2547D7" w14:textId="076854E2"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Пациенти с редки наследствени проблеми на галактозна непоносимост, </w:t>
      </w:r>
      <w:r w:rsidRPr="007F5FA5">
        <w:rPr>
          <w:rFonts w:eastAsia="Times New Roman" w:cs="Arial"/>
          <w:color w:val="000000"/>
          <w:szCs w:val="44"/>
          <w:lang w:val="en-US"/>
        </w:rPr>
        <w:t>Lapp</w:t>
      </w:r>
      <w:r w:rsidRPr="007F5FA5">
        <w:rPr>
          <w:rFonts w:eastAsia="Times New Roman" w:cs="Arial"/>
          <w:color w:val="000000"/>
          <w:szCs w:val="44"/>
          <w:lang w:val="ru-RU"/>
        </w:rPr>
        <w:t xml:space="preserve"> </w:t>
      </w:r>
      <w:r w:rsidRPr="007F5FA5">
        <w:rPr>
          <w:rFonts w:eastAsia="Times New Roman" w:cs="Arial"/>
          <w:color w:val="000000"/>
          <w:szCs w:val="44"/>
          <w:lang w:eastAsia="bg-BG"/>
        </w:rPr>
        <w:t>лактазен дефицит или глюкозо-галактозна малабсорбция не трябва да приемат това лекарство.</w:t>
      </w:r>
    </w:p>
    <w:p w14:paraId="3B7B61EB" w14:textId="77777777" w:rsidR="007F5FA5" w:rsidRPr="007F5FA5" w:rsidRDefault="007F5FA5" w:rsidP="007F5FA5">
      <w:pPr>
        <w:spacing w:line="240" w:lineRule="auto"/>
        <w:rPr>
          <w:rFonts w:eastAsia="Times New Roman" w:cs="Arial"/>
          <w:color w:val="000000"/>
          <w:szCs w:val="44"/>
          <w:lang w:eastAsia="bg-BG"/>
        </w:rPr>
      </w:pPr>
    </w:p>
    <w:p w14:paraId="4741AAE4" w14:textId="3D45D7FA"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Азорубин (Е122) може да причини алергични реакции.</w:t>
      </w:r>
    </w:p>
    <w:p w14:paraId="2B3AB311" w14:textId="77777777" w:rsidR="007F5FA5" w:rsidRPr="007F5FA5" w:rsidRDefault="007F5FA5" w:rsidP="007F5FA5">
      <w:pPr>
        <w:rPr>
          <w:rFonts w:cs="Arial"/>
          <w:sz w:val="10"/>
        </w:rPr>
      </w:pPr>
    </w:p>
    <w:p w14:paraId="1244F76A" w14:textId="639EC29F" w:rsidR="00395555" w:rsidRDefault="002C50EE" w:rsidP="008A6AF2">
      <w:pPr>
        <w:pStyle w:val="Heading2"/>
      </w:pPr>
      <w:r>
        <w:t>4.5. Взаимодействие с други лекарствени продукти и други форми на взаимодействие</w:t>
      </w:r>
    </w:p>
    <w:p w14:paraId="5C9D47AB" w14:textId="18D35945" w:rsidR="007F5FA5" w:rsidRDefault="007F5FA5" w:rsidP="007F5FA5"/>
    <w:p w14:paraId="21720C7D"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Едновременното прилагане на клиндамицин с антиперисталтични продукти може да засили ефекта им и да влоши състоянието на болния при поява на колит.</w:t>
      </w:r>
    </w:p>
    <w:p w14:paraId="7FCCEA6F" w14:textId="77777777" w:rsidR="007F5FA5" w:rsidRPr="007F5FA5" w:rsidRDefault="007F5FA5" w:rsidP="007F5FA5">
      <w:pPr>
        <w:spacing w:line="240" w:lineRule="auto"/>
        <w:rPr>
          <w:rFonts w:eastAsia="Times New Roman" w:cs="Arial"/>
          <w:color w:val="000000"/>
          <w:szCs w:val="44"/>
          <w:lang w:eastAsia="bg-BG"/>
        </w:rPr>
      </w:pPr>
    </w:p>
    <w:p w14:paraId="2F55DA19" w14:textId="07E88F44"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Поради антагонизъм между клиндамицин и еритромицин не се препоръчва едновременното им прилагане.</w:t>
      </w:r>
    </w:p>
    <w:p w14:paraId="17C55207" w14:textId="77777777" w:rsidR="007F5FA5" w:rsidRPr="007F5FA5" w:rsidRDefault="007F5FA5" w:rsidP="007F5FA5">
      <w:pPr>
        <w:spacing w:line="240" w:lineRule="auto"/>
        <w:rPr>
          <w:rFonts w:eastAsia="Times New Roman" w:cs="Arial"/>
          <w:color w:val="000000"/>
          <w:szCs w:val="44"/>
          <w:lang w:eastAsia="bg-BG"/>
        </w:rPr>
      </w:pPr>
    </w:p>
    <w:p w14:paraId="0B9CBDE3" w14:textId="6DC41E25"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Клиндамицин проявява синергизъм в комбинация с пеницилин, гентамицин, цефтазидим, цефокситин, цефотаксим, мезлоцилин, метронидазол, ципрофлоксацин.</w:t>
      </w:r>
    </w:p>
    <w:p w14:paraId="0783FE6C" w14:textId="77777777" w:rsidR="007F5FA5" w:rsidRPr="007F5FA5" w:rsidRDefault="007F5FA5" w:rsidP="007F5FA5">
      <w:pPr>
        <w:spacing w:line="240" w:lineRule="auto"/>
        <w:rPr>
          <w:rFonts w:eastAsia="Times New Roman" w:cs="Arial"/>
          <w:color w:val="000000"/>
          <w:szCs w:val="44"/>
          <w:lang w:eastAsia="bg-BG"/>
        </w:rPr>
      </w:pPr>
    </w:p>
    <w:p w14:paraId="172D67E9" w14:textId="656FA7C4"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Клиндамицин потиска нервно-мускулното предаване и при едновременно прилагане с невро- мускулни блокери, миорелаксанти или общи анестетици може да се усили нервно-мускулната блокада, което може да доведе до мускулна слабост и даже апнея.</w:t>
      </w:r>
    </w:p>
    <w:p w14:paraId="23288B2B" w14:textId="77777777" w:rsidR="007F5FA5" w:rsidRPr="007F5FA5" w:rsidRDefault="007F5FA5" w:rsidP="007F5FA5">
      <w:pPr>
        <w:spacing w:line="240" w:lineRule="auto"/>
        <w:rPr>
          <w:rFonts w:eastAsia="Times New Roman" w:cs="Arial"/>
          <w:color w:val="000000"/>
          <w:szCs w:val="44"/>
          <w:lang w:eastAsia="bg-BG"/>
        </w:rPr>
      </w:pPr>
    </w:p>
    <w:p w14:paraId="43F82332" w14:textId="216B0EEE"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Антагонисти на витамин К: При пациенти, лекувани с клиндамицин в комбинация с антагонисти на витамин К (напр. варфарин, аценокумарол и флуиндион) при провеждане на тестове се съобщава за удължено време на кръвосъсирване </w:t>
      </w:r>
      <w:r w:rsidRPr="007F5FA5">
        <w:rPr>
          <w:rFonts w:eastAsia="Times New Roman" w:cs="Arial"/>
          <w:color w:val="000000"/>
          <w:szCs w:val="44"/>
          <w:lang w:val="ru-RU"/>
        </w:rPr>
        <w:t>(</w:t>
      </w:r>
      <w:r w:rsidRPr="007F5FA5">
        <w:rPr>
          <w:rFonts w:eastAsia="Times New Roman" w:cs="Arial"/>
          <w:color w:val="000000"/>
          <w:szCs w:val="44"/>
          <w:lang w:val="en-US"/>
        </w:rPr>
        <w:t>PT</w:t>
      </w:r>
      <w:r w:rsidRPr="007F5FA5">
        <w:rPr>
          <w:rFonts w:eastAsia="Times New Roman" w:cs="Arial"/>
          <w:color w:val="000000"/>
          <w:szCs w:val="44"/>
          <w:lang w:val="ru-RU"/>
        </w:rPr>
        <w:t>/</w:t>
      </w:r>
      <w:r w:rsidRPr="007F5FA5">
        <w:rPr>
          <w:rFonts w:eastAsia="Times New Roman" w:cs="Arial"/>
          <w:color w:val="000000"/>
          <w:szCs w:val="44"/>
          <w:lang w:val="en-US"/>
        </w:rPr>
        <w:t>INR</w:t>
      </w:r>
      <w:r w:rsidRPr="007F5FA5">
        <w:rPr>
          <w:rFonts w:eastAsia="Times New Roman" w:cs="Arial"/>
          <w:color w:val="000000"/>
          <w:szCs w:val="44"/>
          <w:lang w:val="ru-RU"/>
        </w:rPr>
        <w:t xml:space="preserve">) </w:t>
      </w:r>
      <w:r w:rsidRPr="007F5FA5">
        <w:rPr>
          <w:rFonts w:eastAsia="Times New Roman" w:cs="Arial"/>
          <w:color w:val="000000"/>
          <w:szCs w:val="44"/>
          <w:lang w:eastAsia="bg-BG"/>
        </w:rPr>
        <w:t xml:space="preserve">и/или кървене. </w:t>
      </w:r>
      <w:r w:rsidRPr="007F5FA5">
        <w:rPr>
          <w:rFonts w:eastAsia="Times New Roman" w:cs="Arial"/>
          <w:color w:val="000000"/>
          <w:szCs w:val="44"/>
          <w:lang w:eastAsia="bg-BG"/>
        </w:rPr>
        <w:lastRenderedPageBreak/>
        <w:t>Следователно при пациенти, лекувани с антагонисти на витамин К показателите на коагулацията, трябва да бъдат проследявани често.</w:t>
      </w:r>
    </w:p>
    <w:p w14:paraId="7F145FFD" w14:textId="77777777" w:rsidR="007F5FA5" w:rsidRPr="007F5FA5" w:rsidRDefault="007F5FA5" w:rsidP="007F5FA5"/>
    <w:p w14:paraId="6EADE4D6" w14:textId="2BD432AA" w:rsidR="00395555" w:rsidRDefault="002C50EE" w:rsidP="008A6AF2">
      <w:pPr>
        <w:pStyle w:val="Heading2"/>
      </w:pPr>
      <w:r>
        <w:t>4.6. Фертилитет, бременност и кърмене</w:t>
      </w:r>
    </w:p>
    <w:p w14:paraId="06A86B65" w14:textId="062CA7AF" w:rsidR="007F5FA5" w:rsidRDefault="007F5FA5" w:rsidP="007F5FA5"/>
    <w:p w14:paraId="5945F8AA" w14:textId="77777777" w:rsidR="007F5FA5" w:rsidRPr="007F5FA5" w:rsidRDefault="007F5FA5" w:rsidP="007F5FA5">
      <w:pPr>
        <w:pStyle w:val="Heading3"/>
        <w:rPr>
          <w:rFonts w:eastAsia="Times New Roman"/>
          <w:sz w:val="12"/>
          <w:u w:val="single"/>
        </w:rPr>
      </w:pPr>
      <w:r w:rsidRPr="007F5FA5">
        <w:rPr>
          <w:rFonts w:eastAsia="Times New Roman"/>
          <w:u w:val="single"/>
          <w:lang w:eastAsia="bg-BG"/>
        </w:rPr>
        <w:t>Бременност</w:t>
      </w:r>
    </w:p>
    <w:p w14:paraId="6C6183CC"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При проучванията за репродуктивна токсичност, проведени след перорално или подкожно приложение на клиндамицин върху плъхове и зайци не показват данни за увреждане на фертилитета или увреждане на плода се дължи на клиндамицин, освен при дози, причиняващи токсичност за майчиния организъм. Проучвания върху репродукцията при животни не винаги предсказват отговора при хора.</w:t>
      </w:r>
    </w:p>
    <w:p w14:paraId="740A147B"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Клиндамицин преминава през плацентата при хора. След прилагане на многократни дози, концентрациите в амниотичната течност са приблизително 30% от концентрации в кръвта на майката.</w:t>
      </w:r>
    </w:p>
    <w:p w14:paraId="41C097C3"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В клинични проучвания при бременни жени, системното прилагане на клиндамицин по време на втория и третия триместър от бременността не води до повишена честота на вродени аномалии. Няма достатъчно и добре контролирани проучвания при бременни жени по време на първия триместър от бременността.</w:t>
      </w:r>
    </w:p>
    <w:p w14:paraId="148AEF08"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По време на бременност клиндамицин трябва да се използва само при категорична необходимост.</w:t>
      </w:r>
    </w:p>
    <w:p w14:paraId="422A6910" w14:textId="77777777" w:rsidR="007F5FA5" w:rsidRPr="007F5FA5" w:rsidRDefault="007F5FA5" w:rsidP="007F5FA5">
      <w:pPr>
        <w:spacing w:line="240" w:lineRule="auto"/>
        <w:rPr>
          <w:rFonts w:eastAsia="Times New Roman" w:cs="Arial"/>
          <w:color w:val="000000"/>
          <w:szCs w:val="44"/>
          <w:u w:val="single"/>
          <w:lang w:eastAsia="bg-BG"/>
        </w:rPr>
      </w:pPr>
    </w:p>
    <w:p w14:paraId="3100BB8E" w14:textId="2A0FFB5A" w:rsidR="007F5FA5" w:rsidRPr="007F5FA5" w:rsidRDefault="007F5FA5" w:rsidP="007F5FA5">
      <w:pPr>
        <w:pStyle w:val="Heading3"/>
        <w:rPr>
          <w:rFonts w:eastAsia="Times New Roman"/>
          <w:sz w:val="12"/>
          <w:u w:val="single"/>
        </w:rPr>
      </w:pPr>
      <w:r w:rsidRPr="007F5FA5">
        <w:rPr>
          <w:rFonts w:eastAsia="Times New Roman"/>
          <w:u w:val="single"/>
          <w:lang w:eastAsia="bg-BG"/>
        </w:rPr>
        <w:t>Кърмене</w:t>
      </w:r>
    </w:p>
    <w:p w14:paraId="04281287"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Съобщава се, че след перорално и парентерално приложение на клиндамицин концентрациите му в кърмата са в диапазона от 0,7 до 3,8 </w:t>
      </w:r>
      <w:proofErr w:type="spellStart"/>
      <w:r w:rsidRPr="007F5FA5">
        <w:rPr>
          <w:rFonts w:eastAsia="Times New Roman" w:cs="Arial"/>
          <w:color w:val="000000"/>
          <w:szCs w:val="44"/>
          <w:lang w:val="en-US"/>
        </w:rPr>
        <w:t>μg</w:t>
      </w:r>
      <w:proofErr w:type="spellEnd"/>
      <w:r w:rsidRPr="007F5FA5">
        <w:rPr>
          <w:rFonts w:eastAsia="Times New Roman" w:cs="Arial"/>
          <w:color w:val="000000"/>
          <w:szCs w:val="44"/>
          <w:lang w:val="ru-RU"/>
        </w:rPr>
        <w:t>/</w:t>
      </w:r>
      <w:r w:rsidRPr="007F5FA5">
        <w:rPr>
          <w:rFonts w:eastAsia="Times New Roman" w:cs="Arial"/>
          <w:color w:val="000000"/>
          <w:szCs w:val="44"/>
          <w:lang w:val="en-US"/>
        </w:rPr>
        <w:t>mL</w:t>
      </w:r>
      <w:r w:rsidRPr="007F5FA5">
        <w:rPr>
          <w:rFonts w:eastAsia="Times New Roman" w:cs="Arial"/>
          <w:color w:val="000000"/>
          <w:szCs w:val="44"/>
          <w:lang w:val="ru-RU"/>
        </w:rPr>
        <w:t xml:space="preserve">. </w:t>
      </w:r>
      <w:r w:rsidRPr="007F5FA5">
        <w:rPr>
          <w:rFonts w:eastAsia="Times New Roman" w:cs="Arial"/>
          <w:color w:val="000000"/>
          <w:szCs w:val="44"/>
          <w:lang w:eastAsia="bg-BG"/>
        </w:rPr>
        <w:t>Клиндамицин не трябва да се приема от кърмачки, поради възможността от поява на сериозни нежелани лекарствени реакции при кърмачетата.</w:t>
      </w:r>
    </w:p>
    <w:p w14:paraId="105B73A7" w14:textId="77777777" w:rsidR="007F5FA5" w:rsidRPr="007F5FA5" w:rsidRDefault="007F5FA5" w:rsidP="007F5FA5">
      <w:pPr>
        <w:spacing w:line="240" w:lineRule="auto"/>
        <w:rPr>
          <w:rFonts w:eastAsia="Times New Roman" w:cs="Arial"/>
          <w:sz w:val="12"/>
          <w:szCs w:val="24"/>
        </w:rPr>
      </w:pPr>
    </w:p>
    <w:p w14:paraId="7A299B92" w14:textId="39FA7B68" w:rsidR="007F5FA5" w:rsidRPr="007F5FA5" w:rsidRDefault="007F5FA5" w:rsidP="007F5FA5">
      <w:pPr>
        <w:pStyle w:val="Heading3"/>
        <w:rPr>
          <w:rFonts w:eastAsia="Times New Roman"/>
          <w:u w:val="single"/>
          <w:lang w:eastAsia="bg-BG"/>
        </w:rPr>
      </w:pPr>
      <w:r w:rsidRPr="007F5FA5">
        <w:rPr>
          <w:rFonts w:eastAsia="Times New Roman"/>
          <w:u w:val="single"/>
          <w:lang w:eastAsia="bg-BG"/>
        </w:rPr>
        <w:t>Фертнлитет</w:t>
      </w:r>
    </w:p>
    <w:p w14:paraId="45AA1C64"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Проучвания за фертилитета, проведени върху плъхове, третирани перорално с клиндамицин не показват ефекти върху фертилитета или способността за чифтосване.</w:t>
      </w:r>
    </w:p>
    <w:p w14:paraId="595D2104" w14:textId="77777777" w:rsidR="007F5FA5" w:rsidRPr="007F5FA5" w:rsidRDefault="007F5FA5" w:rsidP="007F5FA5"/>
    <w:p w14:paraId="5766770B" w14:textId="6FF8D24C" w:rsidR="00395555" w:rsidRDefault="002C50EE" w:rsidP="008A6AF2">
      <w:pPr>
        <w:pStyle w:val="Heading2"/>
      </w:pPr>
      <w:r>
        <w:t>4.7. Ефекти върху способността за шофиране и работа с машини</w:t>
      </w:r>
    </w:p>
    <w:p w14:paraId="37A8A233" w14:textId="5B634A47" w:rsidR="007F5FA5" w:rsidRDefault="007F5FA5" w:rsidP="007F5FA5"/>
    <w:p w14:paraId="0B257823" w14:textId="6A99220C" w:rsidR="007F5FA5" w:rsidRDefault="007F5FA5" w:rsidP="007F5FA5">
      <w:r>
        <w:t>Клиндамицин не повлиява или повлиява в малка степен способността за шофиране и работа с машини.</w:t>
      </w:r>
    </w:p>
    <w:p w14:paraId="0FBC0AD7" w14:textId="77777777" w:rsidR="007F5FA5" w:rsidRPr="007F5FA5" w:rsidRDefault="007F5FA5" w:rsidP="007F5FA5"/>
    <w:p w14:paraId="4FE16E21" w14:textId="5B4B1608" w:rsidR="00395555" w:rsidRDefault="002C50EE" w:rsidP="008A6AF2">
      <w:pPr>
        <w:pStyle w:val="Heading2"/>
      </w:pPr>
      <w:r>
        <w:t>4.8. Нежелани лекарствени реакции</w:t>
      </w:r>
    </w:p>
    <w:p w14:paraId="02E59E23" w14:textId="3BF8A3D6" w:rsidR="007F5FA5" w:rsidRDefault="007F5FA5" w:rsidP="007F5FA5"/>
    <w:p w14:paraId="255AB7BB"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В таблицата по-долу са изброени нежеланите лекарствени реакции, установени от опита по време на клинични изпитвания и от пост-маркетинговото наблюдение и са класифицирани по системно органни класове и по честота.</w:t>
      </w:r>
    </w:p>
    <w:p w14:paraId="24475228"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Нежеланите лекарствени реакции идентифицирани от постмаркетинговия опит са поставни в италик. Групирането по честота е определено, като е използвана следната конвенция: много чести (</w:t>
      </w:r>
      <w:r w:rsidRPr="007F5FA5">
        <w:rPr>
          <w:rFonts w:eastAsia="Times New Roman" w:cs="Arial"/>
          <w:color w:val="000000"/>
          <w:szCs w:val="44"/>
          <w:lang w:val="ru-RU"/>
        </w:rPr>
        <w:t>≥</w:t>
      </w:r>
      <w:r w:rsidRPr="007F5FA5">
        <w:rPr>
          <w:rFonts w:eastAsia="Times New Roman" w:cs="Arial"/>
          <w:color w:val="000000"/>
          <w:szCs w:val="44"/>
          <w:lang w:eastAsia="bg-BG"/>
        </w:rPr>
        <w:t>1/10), чести (</w:t>
      </w:r>
      <w:r w:rsidRPr="007F5FA5">
        <w:rPr>
          <w:rFonts w:eastAsia="Times New Roman" w:cs="Arial"/>
          <w:color w:val="000000"/>
          <w:szCs w:val="44"/>
          <w:lang w:val="ru-RU"/>
        </w:rPr>
        <w:t>≥</w:t>
      </w:r>
      <w:r w:rsidRPr="007F5FA5">
        <w:rPr>
          <w:rFonts w:eastAsia="Times New Roman" w:cs="Arial"/>
          <w:color w:val="000000"/>
          <w:szCs w:val="44"/>
          <w:lang w:eastAsia="bg-BG"/>
        </w:rPr>
        <w:t>1/100 до &lt;1/10), нечести (</w:t>
      </w:r>
      <w:r w:rsidRPr="007F5FA5">
        <w:rPr>
          <w:rFonts w:eastAsia="Times New Roman" w:cs="Arial"/>
          <w:color w:val="000000"/>
          <w:szCs w:val="44"/>
          <w:lang w:val="ru-RU"/>
        </w:rPr>
        <w:t>≥</w:t>
      </w:r>
      <w:r w:rsidRPr="007F5FA5">
        <w:rPr>
          <w:rFonts w:eastAsia="Times New Roman" w:cs="Arial"/>
          <w:color w:val="000000"/>
          <w:szCs w:val="44"/>
          <w:lang w:eastAsia="bg-BG"/>
        </w:rPr>
        <w:t>1/1 000 до &lt;1/100), редки (</w:t>
      </w:r>
      <w:r w:rsidRPr="007F5FA5">
        <w:rPr>
          <w:rFonts w:eastAsia="Times New Roman" w:cs="Arial"/>
          <w:color w:val="000000"/>
          <w:szCs w:val="44"/>
          <w:lang w:val="ru-RU"/>
        </w:rPr>
        <w:t>≥</w:t>
      </w:r>
      <w:r w:rsidRPr="007F5FA5">
        <w:rPr>
          <w:rFonts w:eastAsia="Times New Roman" w:cs="Arial"/>
          <w:color w:val="000000"/>
          <w:szCs w:val="44"/>
          <w:lang w:eastAsia="bg-BG"/>
        </w:rPr>
        <w:t>1/10 000 до &lt;1/1 000), много редки (&lt;1/10 000), с неизвестна честота (от наличните данни не може да бъде направена оценка). При всяко групиране по честота, нежеланите лекарствени реакции се изброяват в низходящ ред по отношение на тяхната сериозност.</w:t>
      </w:r>
    </w:p>
    <w:p w14:paraId="6866AA26" w14:textId="77777777" w:rsidR="007F5FA5" w:rsidRPr="007F5FA5" w:rsidRDefault="007F5FA5" w:rsidP="007F5FA5">
      <w:pPr>
        <w:spacing w:line="240" w:lineRule="auto"/>
        <w:rPr>
          <w:rFonts w:eastAsia="Times New Roman" w:cs="Arial"/>
          <w:color w:val="000000"/>
          <w:szCs w:val="44"/>
          <w:lang w:eastAsia="bg-BG"/>
        </w:rPr>
      </w:pPr>
    </w:p>
    <w:p w14:paraId="5F279E79" w14:textId="571773D1" w:rsidR="007F5FA5" w:rsidRDefault="007F5FA5" w:rsidP="007F5FA5">
      <w:pPr>
        <w:spacing w:line="240" w:lineRule="auto"/>
        <w:rPr>
          <w:rFonts w:eastAsia="Times New Roman" w:cs="Arial"/>
          <w:color w:val="000000"/>
          <w:szCs w:val="44"/>
          <w:lang w:eastAsia="bg-BG"/>
        </w:rPr>
      </w:pPr>
      <w:r w:rsidRPr="007F5FA5">
        <w:rPr>
          <w:rFonts w:eastAsia="Times New Roman" w:cs="Arial"/>
          <w:color w:val="000000"/>
          <w:szCs w:val="44"/>
          <w:lang w:eastAsia="bg-BG"/>
        </w:rPr>
        <w:t>Клиндамицин капсули</w:t>
      </w:r>
    </w:p>
    <w:tbl>
      <w:tblPr>
        <w:tblStyle w:val="TableGrid"/>
        <w:tblW w:w="0" w:type="auto"/>
        <w:tblLook w:val="04A0" w:firstRow="1" w:lastRow="0" w:firstColumn="1" w:lastColumn="0" w:noHBand="0" w:noVBand="1"/>
      </w:tblPr>
      <w:tblGrid>
        <w:gridCol w:w="1939"/>
        <w:gridCol w:w="1892"/>
        <w:gridCol w:w="2045"/>
        <w:gridCol w:w="1402"/>
        <w:gridCol w:w="2072"/>
      </w:tblGrid>
      <w:tr w:rsidR="007F5FA5" w14:paraId="5DEDF6A6" w14:textId="77777777" w:rsidTr="007F5FA5">
        <w:tc>
          <w:tcPr>
            <w:tcW w:w="1939" w:type="dxa"/>
          </w:tcPr>
          <w:p w14:paraId="401C60D9" w14:textId="7167E4A7" w:rsidR="007F5FA5" w:rsidRPr="007F5FA5" w:rsidRDefault="007F5FA5" w:rsidP="007F5FA5">
            <w:pPr>
              <w:spacing w:line="240" w:lineRule="auto"/>
              <w:rPr>
                <w:rFonts w:eastAsia="Times New Roman" w:cs="Arial"/>
                <w:szCs w:val="24"/>
              </w:rPr>
            </w:pPr>
            <w:r w:rsidRPr="007F5FA5">
              <w:rPr>
                <w:szCs w:val="44"/>
              </w:rPr>
              <w:t>Системо- оргаини класове</w:t>
            </w:r>
          </w:p>
        </w:tc>
        <w:tc>
          <w:tcPr>
            <w:tcW w:w="1892" w:type="dxa"/>
          </w:tcPr>
          <w:p w14:paraId="39BBD002" w14:textId="77777777" w:rsidR="007F5FA5" w:rsidRPr="007F5FA5" w:rsidRDefault="007F5FA5" w:rsidP="007F5FA5">
            <w:r w:rsidRPr="007F5FA5">
              <w:rPr>
                <w:szCs w:val="44"/>
              </w:rPr>
              <w:t>Чести (</w:t>
            </w:r>
            <w:r w:rsidRPr="007F5FA5">
              <w:rPr>
                <w:szCs w:val="44"/>
                <w:lang w:val="en-US"/>
              </w:rPr>
              <w:t>≥</w:t>
            </w:r>
            <w:r w:rsidRPr="007F5FA5">
              <w:rPr>
                <w:szCs w:val="44"/>
              </w:rPr>
              <w:t>1/100</w:t>
            </w:r>
            <w:r w:rsidRPr="007F5FA5">
              <w:rPr>
                <w:szCs w:val="44"/>
              </w:rPr>
              <w:tab/>
              <w:t>до</w:t>
            </w:r>
          </w:p>
          <w:p w14:paraId="1BBC4617" w14:textId="7527A195" w:rsidR="007F5FA5" w:rsidRPr="007F5FA5" w:rsidRDefault="007F5FA5" w:rsidP="007F5FA5">
            <w:pPr>
              <w:spacing w:line="240" w:lineRule="auto"/>
              <w:rPr>
                <w:rFonts w:eastAsia="Times New Roman" w:cs="Arial"/>
                <w:szCs w:val="24"/>
              </w:rPr>
            </w:pPr>
            <w:r w:rsidRPr="007F5FA5">
              <w:rPr>
                <w:szCs w:val="44"/>
              </w:rPr>
              <w:t>&lt;1/10)</w:t>
            </w:r>
          </w:p>
        </w:tc>
        <w:tc>
          <w:tcPr>
            <w:tcW w:w="1855" w:type="dxa"/>
          </w:tcPr>
          <w:p w14:paraId="0C6ECE90" w14:textId="77777777" w:rsidR="007F5FA5" w:rsidRPr="007F5FA5" w:rsidRDefault="007F5FA5" w:rsidP="007F5FA5">
            <w:r w:rsidRPr="007F5FA5">
              <w:rPr>
                <w:szCs w:val="44"/>
              </w:rPr>
              <w:t>Нечести (</w:t>
            </w:r>
            <w:r w:rsidRPr="007F5FA5">
              <w:rPr>
                <w:szCs w:val="44"/>
                <w:lang w:val="en-US"/>
              </w:rPr>
              <w:t>≥</w:t>
            </w:r>
            <w:r w:rsidRPr="007F5FA5">
              <w:rPr>
                <w:szCs w:val="44"/>
              </w:rPr>
              <w:t>1/1 000</w:t>
            </w:r>
            <w:r w:rsidRPr="007F5FA5">
              <w:rPr>
                <w:szCs w:val="44"/>
              </w:rPr>
              <w:tab/>
              <w:t>до</w:t>
            </w:r>
          </w:p>
          <w:p w14:paraId="20D9B15B" w14:textId="11F7207D" w:rsidR="007F5FA5" w:rsidRPr="007F5FA5" w:rsidRDefault="007F5FA5" w:rsidP="007F5FA5">
            <w:pPr>
              <w:spacing w:line="240" w:lineRule="auto"/>
              <w:rPr>
                <w:rFonts w:eastAsia="Times New Roman" w:cs="Arial"/>
                <w:szCs w:val="24"/>
              </w:rPr>
            </w:pPr>
            <w:r w:rsidRPr="007F5FA5">
              <w:rPr>
                <w:szCs w:val="44"/>
              </w:rPr>
              <w:t>&lt;1/100)</w:t>
            </w:r>
          </w:p>
        </w:tc>
        <w:tc>
          <w:tcPr>
            <w:tcW w:w="1818" w:type="dxa"/>
          </w:tcPr>
          <w:p w14:paraId="5A75B118" w14:textId="50A61B66" w:rsidR="007F5FA5" w:rsidRPr="007F5FA5" w:rsidRDefault="007F5FA5" w:rsidP="007F5FA5">
            <w:pPr>
              <w:spacing w:line="240" w:lineRule="auto"/>
              <w:rPr>
                <w:rFonts w:eastAsia="Times New Roman" w:cs="Arial"/>
                <w:szCs w:val="24"/>
              </w:rPr>
            </w:pPr>
            <w:r w:rsidRPr="007F5FA5">
              <w:rPr>
                <w:szCs w:val="44"/>
              </w:rPr>
              <w:t>Редки (</w:t>
            </w:r>
            <w:r w:rsidRPr="007F5FA5">
              <w:rPr>
                <w:szCs w:val="44"/>
                <w:lang w:val="en-US"/>
              </w:rPr>
              <w:t>≥</w:t>
            </w:r>
            <w:r w:rsidRPr="007F5FA5">
              <w:rPr>
                <w:szCs w:val="44"/>
              </w:rPr>
              <w:t>1/10 000 до &lt;1/1 000)</w:t>
            </w:r>
          </w:p>
        </w:tc>
        <w:tc>
          <w:tcPr>
            <w:tcW w:w="2072" w:type="dxa"/>
          </w:tcPr>
          <w:p w14:paraId="0F75F68B" w14:textId="77777777" w:rsidR="007F5FA5" w:rsidRPr="007F5FA5" w:rsidRDefault="007F5FA5" w:rsidP="007F5FA5">
            <w:r w:rsidRPr="007F5FA5">
              <w:rPr>
                <w:szCs w:val="44"/>
              </w:rPr>
              <w:t>С</w:t>
            </w:r>
            <w:r w:rsidRPr="007F5FA5">
              <w:rPr>
                <w:szCs w:val="44"/>
              </w:rPr>
              <w:tab/>
              <w:t>неизвестна</w:t>
            </w:r>
          </w:p>
          <w:p w14:paraId="3B7FE7D8" w14:textId="77777777" w:rsidR="007F5FA5" w:rsidRPr="007F5FA5" w:rsidRDefault="007F5FA5" w:rsidP="007F5FA5">
            <w:r w:rsidRPr="007F5FA5">
              <w:rPr>
                <w:szCs w:val="44"/>
              </w:rPr>
              <w:t>честота</w:t>
            </w:r>
            <w:r w:rsidRPr="007F5FA5">
              <w:rPr>
                <w:szCs w:val="44"/>
              </w:rPr>
              <w:tab/>
              <w:t>(от</w:t>
            </w:r>
          </w:p>
          <w:p w14:paraId="7017D908" w14:textId="34EE2FE6" w:rsidR="007F5FA5" w:rsidRPr="007F5FA5" w:rsidRDefault="007F5FA5" w:rsidP="007F5FA5">
            <w:pPr>
              <w:spacing w:line="240" w:lineRule="auto"/>
              <w:rPr>
                <w:rFonts w:eastAsia="Times New Roman" w:cs="Arial"/>
                <w:szCs w:val="24"/>
              </w:rPr>
            </w:pPr>
            <w:r w:rsidRPr="007F5FA5">
              <w:rPr>
                <w:szCs w:val="44"/>
              </w:rPr>
              <w:t>наличните данни не може да бъде направена оценка)</w:t>
            </w:r>
          </w:p>
        </w:tc>
      </w:tr>
      <w:tr w:rsidR="007F5FA5" w14:paraId="501E34CE" w14:textId="77777777" w:rsidTr="007F5FA5">
        <w:tc>
          <w:tcPr>
            <w:tcW w:w="1939" w:type="dxa"/>
          </w:tcPr>
          <w:p w14:paraId="30B049A5" w14:textId="77777777" w:rsidR="007F5FA5" w:rsidRPr="007F5FA5" w:rsidRDefault="007F5FA5" w:rsidP="007F5FA5">
            <w:r w:rsidRPr="007F5FA5">
              <w:rPr>
                <w:szCs w:val="44"/>
              </w:rPr>
              <w:t>Инфекции</w:t>
            </w:r>
            <w:r w:rsidRPr="007F5FA5">
              <w:rPr>
                <w:szCs w:val="44"/>
              </w:rPr>
              <w:tab/>
              <w:t>и</w:t>
            </w:r>
          </w:p>
          <w:p w14:paraId="0D1C2A21" w14:textId="76061688" w:rsidR="007F5FA5" w:rsidRPr="007F5FA5" w:rsidRDefault="007F5FA5" w:rsidP="007F5FA5">
            <w:pPr>
              <w:spacing w:line="240" w:lineRule="auto"/>
              <w:rPr>
                <w:rFonts w:eastAsia="Times New Roman" w:cs="Arial"/>
                <w:szCs w:val="24"/>
              </w:rPr>
            </w:pPr>
            <w:r w:rsidRPr="007F5FA5">
              <w:rPr>
                <w:szCs w:val="44"/>
              </w:rPr>
              <w:t>инфестации</w:t>
            </w:r>
          </w:p>
        </w:tc>
        <w:tc>
          <w:tcPr>
            <w:tcW w:w="1892" w:type="dxa"/>
          </w:tcPr>
          <w:p w14:paraId="0C88F614" w14:textId="77777777" w:rsidR="007F5FA5" w:rsidRPr="007F5FA5" w:rsidRDefault="007F5FA5" w:rsidP="007F5FA5">
            <w:pPr>
              <w:spacing w:line="240" w:lineRule="auto"/>
              <w:rPr>
                <w:rFonts w:eastAsia="Times New Roman" w:cs="Arial"/>
                <w:szCs w:val="24"/>
              </w:rPr>
            </w:pPr>
          </w:p>
        </w:tc>
        <w:tc>
          <w:tcPr>
            <w:tcW w:w="1855" w:type="dxa"/>
          </w:tcPr>
          <w:p w14:paraId="7D5518AE" w14:textId="77777777" w:rsidR="007F5FA5" w:rsidRPr="007F5FA5" w:rsidRDefault="007F5FA5" w:rsidP="007F5FA5">
            <w:pPr>
              <w:spacing w:line="240" w:lineRule="auto"/>
              <w:rPr>
                <w:rFonts w:eastAsia="Times New Roman" w:cs="Arial"/>
                <w:szCs w:val="24"/>
              </w:rPr>
            </w:pPr>
          </w:p>
        </w:tc>
        <w:tc>
          <w:tcPr>
            <w:tcW w:w="1818" w:type="dxa"/>
          </w:tcPr>
          <w:p w14:paraId="44A0CCFD" w14:textId="77777777" w:rsidR="007F5FA5" w:rsidRPr="007F5FA5" w:rsidRDefault="007F5FA5" w:rsidP="007F5FA5">
            <w:pPr>
              <w:spacing w:line="240" w:lineRule="auto"/>
              <w:rPr>
                <w:rFonts w:eastAsia="Times New Roman" w:cs="Arial"/>
                <w:szCs w:val="24"/>
              </w:rPr>
            </w:pPr>
          </w:p>
        </w:tc>
        <w:tc>
          <w:tcPr>
            <w:tcW w:w="2072" w:type="dxa"/>
          </w:tcPr>
          <w:p w14:paraId="67E4D076" w14:textId="629B4635" w:rsidR="007F5FA5" w:rsidRPr="007F5FA5" w:rsidRDefault="007F5FA5" w:rsidP="007F5FA5">
            <w:pPr>
              <w:spacing w:line="240" w:lineRule="auto"/>
              <w:rPr>
                <w:rFonts w:eastAsia="Times New Roman" w:cs="Arial"/>
                <w:szCs w:val="24"/>
              </w:rPr>
            </w:pPr>
            <w:r w:rsidRPr="007F5FA5">
              <w:rPr>
                <w:szCs w:val="44"/>
              </w:rPr>
              <w:t>Вагинална инфекция</w:t>
            </w:r>
          </w:p>
        </w:tc>
      </w:tr>
      <w:tr w:rsidR="007F5FA5" w14:paraId="3E8B65BC" w14:textId="77777777" w:rsidTr="007F5FA5">
        <w:tc>
          <w:tcPr>
            <w:tcW w:w="1939" w:type="dxa"/>
          </w:tcPr>
          <w:p w14:paraId="79E1412F" w14:textId="77777777" w:rsidR="007F5FA5" w:rsidRPr="007F5FA5" w:rsidRDefault="007F5FA5" w:rsidP="007F5FA5">
            <w:r w:rsidRPr="007F5FA5">
              <w:rPr>
                <w:szCs w:val="44"/>
              </w:rPr>
              <w:t>Нарушения на кръвта</w:t>
            </w:r>
            <w:r w:rsidRPr="007F5FA5">
              <w:rPr>
                <w:szCs w:val="44"/>
              </w:rPr>
              <w:tab/>
              <w:t>и</w:t>
            </w:r>
          </w:p>
          <w:p w14:paraId="31DC98EE" w14:textId="518E916C" w:rsidR="007F5FA5" w:rsidRPr="007F5FA5" w:rsidRDefault="007F5FA5" w:rsidP="007F5FA5">
            <w:pPr>
              <w:spacing w:line="240" w:lineRule="auto"/>
              <w:rPr>
                <w:rFonts w:eastAsia="Times New Roman" w:cs="Arial"/>
                <w:szCs w:val="24"/>
              </w:rPr>
            </w:pPr>
            <w:r w:rsidRPr="007F5FA5">
              <w:rPr>
                <w:szCs w:val="44"/>
              </w:rPr>
              <w:t>лимфната система</w:t>
            </w:r>
          </w:p>
        </w:tc>
        <w:tc>
          <w:tcPr>
            <w:tcW w:w="1892" w:type="dxa"/>
          </w:tcPr>
          <w:p w14:paraId="76E3B0FC" w14:textId="77777777" w:rsidR="007F5FA5" w:rsidRPr="007F5FA5" w:rsidRDefault="007F5FA5" w:rsidP="007F5FA5">
            <w:pPr>
              <w:spacing w:line="240" w:lineRule="auto"/>
              <w:rPr>
                <w:rFonts w:eastAsia="Times New Roman" w:cs="Arial"/>
                <w:szCs w:val="24"/>
              </w:rPr>
            </w:pPr>
          </w:p>
        </w:tc>
        <w:tc>
          <w:tcPr>
            <w:tcW w:w="1855" w:type="dxa"/>
          </w:tcPr>
          <w:p w14:paraId="18099B2D" w14:textId="77777777" w:rsidR="007F5FA5" w:rsidRPr="007F5FA5" w:rsidRDefault="007F5FA5" w:rsidP="007F5FA5">
            <w:pPr>
              <w:spacing w:line="240" w:lineRule="auto"/>
              <w:rPr>
                <w:rFonts w:eastAsia="Times New Roman" w:cs="Arial"/>
                <w:szCs w:val="24"/>
              </w:rPr>
            </w:pPr>
          </w:p>
        </w:tc>
        <w:tc>
          <w:tcPr>
            <w:tcW w:w="1818" w:type="dxa"/>
          </w:tcPr>
          <w:p w14:paraId="4392C8EA" w14:textId="77777777" w:rsidR="007F5FA5" w:rsidRPr="007F5FA5" w:rsidRDefault="007F5FA5" w:rsidP="007F5FA5">
            <w:pPr>
              <w:spacing w:line="240" w:lineRule="auto"/>
              <w:rPr>
                <w:rFonts w:eastAsia="Times New Roman" w:cs="Arial"/>
                <w:szCs w:val="24"/>
              </w:rPr>
            </w:pPr>
          </w:p>
        </w:tc>
        <w:tc>
          <w:tcPr>
            <w:tcW w:w="2072" w:type="dxa"/>
          </w:tcPr>
          <w:p w14:paraId="7132A25B" w14:textId="656DC50F" w:rsidR="007F5FA5" w:rsidRPr="007F5FA5" w:rsidRDefault="007F5FA5" w:rsidP="007F5FA5">
            <w:pPr>
              <w:spacing w:line="240" w:lineRule="auto"/>
              <w:rPr>
                <w:rFonts w:eastAsia="Times New Roman" w:cs="Arial"/>
                <w:szCs w:val="24"/>
              </w:rPr>
            </w:pPr>
            <w:r w:rsidRPr="007F5FA5">
              <w:rPr>
                <w:szCs w:val="44"/>
              </w:rPr>
              <w:t>Агранулоцитоза Левкопения Неутропениа Тромбоцитопения Еозинофилия</w:t>
            </w:r>
          </w:p>
        </w:tc>
      </w:tr>
      <w:tr w:rsidR="007F5FA5" w14:paraId="5440B016" w14:textId="77777777" w:rsidTr="007F5FA5">
        <w:tc>
          <w:tcPr>
            <w:tcW w:w="1939" w:type="dxa"/>
          </w:tcPr>
          <w:p w14:paraId="04CAADB3" w14:textId="3F2DAEB6" w:rsidR="007F5FA5" w:rsidRPr="007F5FA5" w:rsidRDefault="007F5FA5" w:rsidP="007F5FA5">
            <w:pPr>
              <w:spacing w:line="240" w:lineRule="auto"/>
              <w:rPr>
                <w:rFonts w:eastAsia="Times New Roman" w:cs="Arial"/>
                <w:szCs w:val="24"/>
              </w:rPr>
            </w:pPr>
            <w:r w:rsidRPr="007F5FA5">
              <w:rPr>
                <w:szCs w:val="44"/>
              </w:rPr>
              <w:t>Нарушения на имунната система</w:t>
            </w:r>
          </w:p>
        </w:tc>
        <w:tc>
          <w:tcPr>
            <w:tcW w:w="1892" w:type="dxa"/>
          </w:tcPr>
          <w:p w14:paraId="6E765BAE" w14:textId="77777777" w:rsidR="007F5FA5" w:rsidRPr="007F5FA5" w:rsidRDefault="007F5FA5" w:rsidP="007F5FA5">
            <w:pPr>
              <w:spacing w:line="240" w:lineRule="auto"/>
              <w:rPr>
                <w:rFonts w:eastAsia="Times New Roman" w:cs="Arial"/>
                <w:szCs w:val="24"/>
              </w:rPr>
            </w:pPr>
          </w:p>
        </w:tc>
        <w:tc>
          <w:tcPr>
            <w:tcW w:w="1855" w:type="dxa"/>
          </w:tcPr>
          <w:p w14:paraId="4DA81021" w14:textId="77777777" w:rsidR="007F5FA5" w:rsidRPr="007F5FA5" w:rsidRDefault="007F5FA5" w:rsidP="007F5FA5">
            <w:pPr>
              <w:spacing w:line="240" w:lineRule="auto"/>
              <w:rPr>
                <w:rFonts w:eastAsia="Times New Roman" w:cs="Arial"/>
                <w:szCs w:val="24"/>
              </w:rPr>
            </w:pPr>
          </w:p>
        </w:tc>
        <w:tc>
          <w:tcPr>
            <w:tcW w:w="1818" w:type="dxa"/>
          </w:tcPr>
          <w:p w14:paraId="437FADCF" w14:textId="77777777" w:rsidR="007F5FA5" w:rsidRPr="007F5FA5" w:rsidRDefault="007F5FA5" w:rsidP="007F5FA5">
            <w:pPr>
              <w:spacing w:line="240" w:lineRule="auto"/>
              <w:rPr>
                <w:rFonts w:eastAsia="Times New Roman" w:cs="Arial"/>
                <w:szCs w:val="24"/>
              </w:rPr>
            </w:pPr>
          </w:p>
        </w:tc>
        <w:tc>
          <w:tcPr>
            <w:tcW w:w="2072" w:type="dxa"/>
          </w:tcPr>
          <w:p w14:paraId="569442EC" w14:textId="77777777" w:rsidR="007F5FA5" w:rsidRPr="007F5FA5" w:rsidRDefault="007F5FA5" w:rsidP="007F5FA5">
            <w:r w:rsidRPr="007F5FA5">
              <w:rPr>
                <w:szCs w:val="44"/>
              </w:rPr>
              <w:t>Анафилактоидна реакция Лекарствена реакция</w:t>
            </w:r>
            <w:r w:rsidRPr="007F5FA5">
              <w:rPr>
                <w:szCs w:val="44"/>
              </w:rPr>
              <w:tab/>
              <w:t>с</w:t>
            </w:r>
          </w:p>
          <w:p w14:paraId="143BC6A7" w14:textId="10D84A87" w:rsidR="007F5FA5" w:rsidRPr="007F5FA5" w:rsidRDefault="007F5FA5" w:rsidP="007F5FA5">
            <w:pPr>
              <w:spacing w:line="240" w:lineRule="auto"/>
              <w:rPr>
                <w:rFonts w:eastAsia="Times New Roman" w:cs="Arial"/>
                <w:szCs w:val="24"/>
              </w:rPr>
            </w:pPr>
            <w:r w:rsidRPr="007F5FA5">
              <w:rPr>
                <w:szCs w:val="44"/>
              </w:rPr>
              <w:t xml:space="preserve">еозинофилия и системни симптоми </w:t>
            </w:r>
            <w:r w:rsidRPr="007F5FA5">
              <w:rPr>
                <w:szCs w:val="44"/>
                <w:lang w:val="ru-RU"/>
              </w:rPr>
              <w:t>(</w:t>
            </w:r>
            <w:r w:rsidRPr="007F5FA5">
              <w:rPr>
                <w:szCs w:val="44"/>
                <w:lang w:val="en-US"/>
              </w:rPr>
              <w:t>DRESS</w:t>
            </w:r>
            <w:r w:rsidRPr="007F5FA5">
              <w:rPr>
                <w:szCs w:val="44"/>
                <w:lang w:val="ru-RU"/>
              </w:rPr>
              <w:t>)</w:t>
            </w:r>
          </w:p>
        </w:tc>
      </w:tr>
      <w:tr w:rsidR="007F5FA5" w14:paraId="3C92143B" w14:textId="77777777" w:rsidTr="007F5FA5">
        <w:tc>
          <w:tcPr>
            <w:tcW w:w="1939" w:type="dxa"/>
          </w:tcPr>
          <w:p w14:paraId="50B01767" w14:textId="57D75B7C" w:rsidR="007F5FA5" w:rsidRPr="007F5FA5" w:rsidRDefault="007F5FA5" w:rsidP="007F5FA5">
            <w:pPr>
              <w:spacing w:line="240" w:lineRule="auto"/>
              <w:rPr>
                <w:rFonts w:eastAsia="Times New Roman" w:cs="Arial"/>
                <w:szCs w:val="24"/>
              </w:rPr>
            </w:pPr>
            <w:r w:rsidRPr="007F5FA5">
              <w:rPr>
                <w:szCs w:val="44"/>
              </w:rPr>
              <w:t>Нарушения на нервната система</w:t>
            </w:r>
          </w:p>
        </w:tc>
        <w:tc>
          <w:tcPr>
            <w:tcW w:w="1892" w:type="dxa"/>
          </w:tcPr>
          <w:p w14:paraId="0E7EBB57" w14:textId="77777777" w:rsidR="007F5FA5" w:rsidRPr="007F5FA5" w:rsidRDefault="007F5FA5" w:rsidP="007F5FA5">
            <w:pPr>
              <w:spacing w:line="240" w:lineRule="auto"/>
              <w:rPr>
                <w:rFonts w:eastAsia="Times New Roman" w:cs="Arial"/>
                <w:szCs w:val="24"/>
              </w:rPr>
            </w:pPr>
          </w:p>
        </w:tc>
        <w:tc>
          <w:tcPr>
            <w:tcW w:w="1855" w:type="dxa"/>
          </w:tcPr>
          <w:p w14:paraId="2EE5A1D1" w14:textId="77777777" w:rsidR="007F5FA5" w:rsidRPr="007F5FA5" w:rsidRDefault="007F5FA5" w:rsidP="007F5FA5">
            <w:pPr>
              <w:spacing w:line="240" w:lineRule="auto"/>
              <w:rPr>
                <w:rFonts w:eastAsia="Times New Roman" w:cs="Arial"/>
                <w:szCs w:val="24"/>
              </w:rPr>
            </w:pPr>
          </w:p>
        </w:tc>
        <w:tc>
          <w:tcPr>
            <w:tcW w:w="1818" w:type="dxa"/>
          </w:tcPr>
          <w:p w14:paraId="3A7DA505" w14:textId="77777777" w:rsidR="007F5FA5" w:rsidRPr="007F5FA5" w:rsidRDefault="007F5FA5" w:rsidP="007F5FA5">
            <w:pPr>
              <w:spacing w:line="240" w:lineRule="auto"/>
              <w:rPr>
                <w:rFonts w:eastAsia="Times New Roman" w:cs="Arial"/>
                <w:szCs w:val="24"/>
              </w:rPr>
            </w:pPr>
          </w:p>
        </w:tc>
        <w:tc>
          <w:tcPr>
            <w:tcW w:w="2072" w:type="dxa"/>
          </w:tcPr>
          <w:p w14:paraId="01307F58" w14:textId="7BDD830D" w:rsidR="007F5FA5" w:rsidRPr="007F5FA5" w:rsidRDefault="007F5FA5" w:rsidP="007F5FA5">
            <w:pPr>
              <w:spacing w:line="240" w:lineRule="auto"/>
              <w:rPr>
                <w:rFonts w:eastAsia="Times New Roman" w:cs="Arial"/>
                <w:szCs w:val="24"/>
              </w:rPr>
            </w:pPr>
            <w:r w:rsidRPr="007F5FA5">
              <w:rPr>
                <w:szCs w:val="44"/>
              </w:rPr>
              <w:t>Дисгеузия</w:t>
            </w:r>
          </w:p>
        </w:tc>
      </w:tr>
      <w:tr w:rsidR="007F5FA5" w14:paraId="47DD8725" w14:textId="77777777" w:rsidTr="007F5FA5">
        <w:tc>
          <w:tcPr>
            <w:tcW w:w="1939" w:type="dxa"/>
          </w:tcPr>
          <w:p w14:paraId="4B1EFD4A" w14:textId="7BF99636" w:rsidR="007F5FA5" w:rsidRPr="007F5FA5" w:rsidRDefault="007F5FA5" w:rsidP="007F5FA5">
            <w:pPr>
              <w:spacing w:line="240" w:lineRule="auto"/>
              <w:rPr>
                <w:rFonts w:eastAsia="Times New Roman" w:cs="Arial"/>
                <w:szCs w:val="24"/>
              </w:rPr>
            </w:pPr>
            <w:r w:rsidRPr="007F5FA5">
              <w:rPr>
                <w:szCs w:val="44"/>
              </w:rPr>
              <w:t>Стомашно- чревни нарушения</w:t>
            </w:r>
          </w:p>
        </w:tc>
        <w:tc>
          <w:tcPr>
            <w:tcW w:w="1892" w:type="dxa"/>
          </w:tcPr>
          <w:p w14:paraId="310485A3" w14:textId="77777777" w:rsidR="007F5FA5" w:rsidRPr="007F5FA5" w:rsidRDefault="007F5FA5" w:rsidP="007F5FA5">
            <w:r w:rsidRPr="007F5FA5">
              <w:rPr>
                <w:szCs w:val="44"/>
              </w:rPr>
              <w:t>Болка</w:t>
            </w:r>
            <w:r w:rsidRPr="007F5FA5">
              <w:rPr>
                <w:szCs w:val="44"/>
              </w:rPr>
              <w:tab/>
              <w:t>в</w:t>
            </w:r>
          </w:p>
          <w:p w14:paraId="158786F9" w14:textId="77777777" w:rsidR="007F5FA5" w:rsidRPr="007F5FA5" w:rsidRDefault="007F5FA5" w:rsidP="007F5FA5">
            <w:r w:rsidRPr="007F5FA5">
              <w:rPr>
                <w:szCs w:val="44"/>
              </w:rPr>
              <w:t>областта</w:t>
            </w:r>
            <w:r w:rsidRPr="007F5FA5">
              <w:rPr>
                <w:szCs w:val="44"/>
              </w:rPr>
              <w:tab/>
              <w:t>на</w:t>
            </w:r>
          </w:p>
          <w:p w14:paraId="7EE7EDB9" w14:textId="0B51C03F" w:rsidR="007F5FA5" w:rsidRPr="007F5FA5" w:rsidRDefault="007F5FA5" w:rsidP="007F5FA5">
            <w:pPr>
              <w:spacing w:line="240" w:lineRule="auto"/>
              <w:rPr>
                <w:rFonts w:eastAsia="Times New Roman" w:cs="Arial"/>
                <w:szCs w:val="24"/>
              </w:rPr>
            </w:pPr>
            <w:r w:rsidRPr="007F5FA5">
              <w:rPr>
                <w:szCs w:val="44"/>
              </w:rPr>
              <w:t>корема Диария Псевдомембран озен колит (вж. точка 4.4)</w:t>
            </w:r>
          </w:p>
        </w:tc>
        <w:tc>
          <w:tcPr>
            <w:tcW w:w="1855" w:type="dxa"/>
          </w:tcPr>
          <w:p w14:paraId="5A48F6CB" w14:textId="77777777" w:rsidR="007F5FA5" w:rsidRPr="007F5FA5" w:rsidRDefault="007F5FA5" w:rsidP="007F5FA5">
            <w:r w:rsidRPr="007F5FA5">
              <w:rPr>
                <w:szCs w:val="44"/>
              </w:rPr>
              <w:t>Гадене</w:t>
            </w:r>
          </w:p>
          <w:p w14:paraId="2297DD5A" w14:textId="3C30B5A5" w:rsidR="007F5FA5" w:rsidRPr="007F5FA5" w:rsidRDefault="007F5FA5" w:rsidP="007F5FA5">
            <w:pPr>
              <w:spacing w:line="240" w:lineRule="auto"/>
              <w:rPr>
                <w:rFonts w:eastAsia="Times New Roman" w:cs="Arial"/>
                <w:szCs w:val="24"/>
              </w:rPr>
            </w:pPr>
            <w:r w:rsidRPr="007F5FA5">
              <w:rPr>
                <w:szCs w:val="44"/>
              </w:rPr>
              <w:t>Повръщане</w:t>
            </w:r>
          </w:p>
        </w:tc>
        <w:tc>
          <w:tcPr>
            <w:tcW w:w="1818" w:type="dxa"/>
          </w:tcPr>
          <w:p w14:paraId="37138503" w14:textId="77777777" w:rsidR="007F5FA5" w:rsidRPr="007F5FA5" w:rsidRDefault="007F5FA5" w:rsidP="007F5FA5">
            <w:pPr>
              <w:spacing w:line="240" w:lineRule="auto"/>
              <w:rPr>
                <w:rFonts w:eastAsia="Times New Roman" w:cs="Arial"/>
                <w:szCs w:val="24"/>
              </w:rPr>
            </w:pPr>
          </w:p>
        </w:tc>
        <w:tc>
          <w:tcPr>
            <w:tcW w:w="2072" w:type="dxa"/>
          </w:tcPr>
          <w:p w14:paraId="02E28A3A" w14:textId="33B543FF" w:rsidR="007F5FA5" w:rsidRPr="007F5FA5" w:rsidRDefault="007F5FA5" w:rsidP="007F5FA5">
            <w:pPr>
              <w:spacing w:line="240" w:lineRule="auto"/>
              <w:rPr>
                <w:rFonts w:eastAsia="Times New Roman" w:cs="Arial"/>
                <w:szCs w:val="24"/>
              </w:rPr>
            </w:pPr>
            <w:r w:rsidRPr="007F5FA5">
              <w:rPr>
                <w:szCs w:val="44"/>
              </w:rPr>
              <w:t>Езофагеални язви Езофагит</w:t>
            </w:r>
          </w:p>
        </w:tc>
      </w:tr>
      <w:tr w:rsidR="007F5FA5" w14:paraId="700B336F" w14:textId="77777777" w:rsidTr="007F5FA5">
        <w:tc>
          <w:tcPr>
            <w:tcW w:w="1939" w:type="dxa"/>
          </w:tcPr>
          <w:p w14:paraId="4BFE6B4C" w14:textId="77777777" w:rsidR="007F5FA5" w:rsidRPr="007F5FA5" w:rsidRDefault="007F5FA5" w:rsidP="007F5FA5">
            <w:r w:rsidRPr="007F5FA5">
              <w:rPr>
                <w:szCs w:val="44"/>
              </w:rPr>
              <w:t>Хепатобилиарни</w:t>
            </w:r>
          </w:p>
          <w:p w14:paraId="18967980" w14:textId="7A671E65" w:rsidR="007F5FA5" w:rsidRPr="007F5FA5" w:rsidRDefault="007F5FA5" w:rsidP="007F5FA5">
            <w:pPr>
              <w:spacing w:line="240" w:lineRule="auto"/>
              <w:rPr>
                <w:rFonts w:eastAsia="Times New Roman" w:cs="Arial"/>
                <w:szCs w:val="24"/>
              </w:rPr>
            </w:pPr>
            <w:r w:rsidRPr="007F5FA5">
              <w:rPr>
                <w:szCs w:val="44"/>
              </w:rPr>
              <w:t>нарушения</w:t>
            </w:r>
          </w:p>
        </w:tc>
        <w:tc>
          <w:tcPr>
            <w:tcW w:w="1892" w:type="dxa"/>
          </w:tcPr>
          <w:p w14:paraId="6105F616" w14:textId="77777777" w:rsidR="007F5FA5" w:rsidRPr="007F5FA5" w:rsidRDefault="007F5FA5" w:rsidP="007F5FA5">
            <w:r w:rsidRPr="007F5FA5">
              <w:rPr>
                <w:szCs w:val="44"/>
              </w:rPr>
              <w:t>Отклонения във функционалнит е чернодробни тестове</w:t>
            </w:r>
          </w:p>
          <w:p w14:paraId="5FBFF2EC" w14:textId="77777777" w:rsidR="007F5FA5" w:rsidRPr="007F5FA5" w:rsidRDefault="007F5FA5" w:rsidP="007F5FA5">
            <w:pPr>
              <w:spacing w:line="240" w:lineRule="auto"/>
              <w:rPr>
                <w:rFonts w:eastAsia="Times New Roman" w:cs="Arial"/>
                <w:szCs w:val="24"/>
              </w:rPr>
            </w:pPr>
          </w:p>
        </w:tc>
        <w:tc>
          <w:tcPr>
            <w:tcW w:w="1855" w:type="dxa"/>
          </w:tcPr>
          <w:p w14:paraId="61D73640" w14:textId="77777777" w:rsidR="007F5FA5" w:rsidRPr="007F5FA5" w:rsidRDefault="007F5FA5" w:rsidP="007F5FA5">
            <w:pPr>
              <w:spacing w:line="240" w:lineRule="auto"/>
              <w:rPr>
                <w:rFonts w:eastAsia="Times New Roman" w:cs="Arial"/>
                <w:szCs w:val="24"/>
              </w:rPr>
            </w:pPr>
          </w:p>
        </w:tc>
        <w:tc>
          <w:tcPr>
            <w:tcW w:w="1818" w:type="dxa"/>
          </w:tcPr>
          <w:p w14:paraId="18493262" w14:textId="77777777" w:rsidR="007F5FA5" w:rsidRPr="007F5FA5" w:rsidRDefault="007F5FA5" w:rsidP="007F5FA5">
            <w:pPr>
              <w:spacing w:line="240" w:lineRule="auto"/>
              <w:rPr>
                <w:rFonts w:eastAsia="Times New Roman" w:cs="Arial"/>
                <w:szCs w:val="24"/>
              </w:rPr>
            </w:pPr>
          </w:p>
        </w:tc>
        <w:tc>
          <w:tcPr>
            <w:tcW w:w="2072" w:type="dxa"/>
          </w:tcPr>
          <w:p w14:paraId="3CBE8B53" w14:textId="77777777" w:rsidR="007F5FA5" w:rsidRPr="007F5FA5" w:rsidRDefault="007F5FA5" w:rsidP="007F5FA5">
            <w:r w:rsidRPr="007F5FA5">
              <w:rPr>
                <w:szCs w:val="44"/>
              </w:rPr>
              <w:t>Жълтеница</w:t>
            </w:r>
          </w:p>
          <w:p w14:paraId="4B1E9A1D" w14:textId="77777777" w:rsidR="007F5FA5" w:rsidRPr="007F5FA5" w:rsidRDefault="007F5FA5" w:rsidP="007F5FA5">
            <w:pPr>
              <w:spacing w:line="240" w:lineRule="auto"/>
              <w:rPr>
                <w:rFonts w:eastAsia="Times New Roman" w:cs="Arial"/>
                <w:szCs w:val="24"/>
              </w:rPr>
            </w:pPr>
          </w:p>
        </w:tc>
      </w:tr>
      <w:tr w:rsidR="007F5FA5" w14:paraId="3D8F9C50" w14:textId="77777777" w:rsidTr="007F5FA5">
        <w:tc>
          <w:tcPr>
            <w:tcW w:w="1939" w:type="dxa"/>
          </w:tcPr>
          <w:p w14:paraId="78CE8B08" w14:textId="77777777" w:rsidR="007F5FA5" w:rsidRPr="007F5FA5" w:rsidRDefault="007F5FA5" w:rsidP="007F5FA5">
            <w:r w:rsidRPr="007F5FA5">
              <w:rPr>
                <w:szCs w:val="44"/>
              </w:rPr>
              <w:t>Нарушения на кожата</w:t>
            </w:r>
            <w:r w:rsidRPr="007F5FA5">
              <w:rPr>
                <w:szCs w:val="44"/>
              </w:rPr>
              <w:tab/>
              <w:t>и</w:t>
            </w:r>
          </w:p>
          <w:p w14:paraId="78C10E8D" w14:textId="26B8ACB7" w:rsidR="007F5FA5" w:rsidRPr="007F5FA5" w:rsidRDefault="007F5FA5" w:rsidP="007F5FA5">
            <w:pPr>
              <w:spacing w:line="240" w:lineRule="auto"/>
              <w:rPr>
                <w:rFonts w:eastAsia="Times New Roman" w:cs="Arial"/>
                <w:szCs w:val="24"/>
              </w:rPr>
            </w:pPr>
            <w:r w:rsidRPr="007F5FA5">
              <w:rPr>
                <w:szCs w:val="44"/>
              </w:rPr>
              <w:t>подкожната тъкан</w:t>
            </w:r>
          </w:p>
        </w:tc>
        <w:tc>
          <w:tcPr>
            <w:tcW w:w="1892" w:type="dxa"/>
          </w:tcPr>
          <w:p w14:paraId="21582059" w14:textId="77777777" w:rsidR="007F5FA5" w:rsidRPr="007F5FA5" w:rsidRDefault="007F5FA5" w:rsidP="007F5FA5">
            <w:pPr>
              <w:spacing w:line="240" w:lineRule="auto"/>
              <w:rPr>
                <w:rFonts w:eastAsia="Times New Roman" w:cs="Arial"/>
                <w:szCs w:val="24"/>
              </w:rPr>
            </w:pPr>
          </w:p>
        </w:tc>
        <w:tc>
          <w:tcPr>
            <w:tcW w:w="1855" w:type="dxa"/>
          </w:tcPr>
          <w:p w14:paraId="4CDDCA2D" w14:textId="15C6B73C" w:rsidR="007F5FA5" w:rsidRPr="007F5FA5" w:rsidRDefault="007F5FA5" w:rsidP="007F5FA5">
            <w:pPr>
              <w:spacing w:line="240" w:lineRule="auto"/>
              <w:rPr>
                <w:rFonts w:eastAsia="Times New Roman" w:cs="Arial"/>
                <w:szCs w:val="24"/>
              </w:rPr>
            </w:pPr>
            <w:r w:rsidRPr="007F5FA5">
              <w:rPr>
                <w:szCs w:val="44"/>
              </w:rPr>
              <w:t>Макулопапулозен обрив Уртикария</w:t>
            </w:r>
          </w:p>
        </w:tc>
        <w:tc>
          <w:tcPr>
            <w:tcW w:w="1818" w:type="dxa"/>
          </w:tcPr>
          <w:p w14:paraId="73A20400" w14:textId="77777777" w:rsidR="007F5FA5" w:rsidRPr="007F5FA5" w:rsidRDefault="007F5FA5" w:rsidP="007F5FA5">
            <w:pPr>
              <w:spacing w:line="240" w:lineRule="auto"/>
              <w:rPr>
                <w:rFonts w:eastAsia="Times New Roman" w:cs="Arial"/>
                <w:szCs w:val="24"/>
              </w:rPr>
            </w:pPr>
          </w:p>
        </w:tc>
        <w:tc>
          <w:tcPr>
            <w:tcW w:w="2072" w:type="dxa"/>
          </w:tcPr>
          <w:p w14:paraId="0370289B" w14:textId="77777777" w:rsidR="007F5FA5" w:rsidRPr="007F5FA5" w:rsidRDefault="007F5FA5" w:rsidP="007F5FA5">
            <w:r w:rsidRPr="007F5FA5">
              <w:rPr>
                <w:szCs w:val="44"/>
              </w:rPr>
              <w:t xml:space="preserve">Токсична епидермална некролиза Остра генерализирана екзантематозна пустулоза </w:t>
            </w:r>
            <w:r w:rsidRPr="007F5FA5">
              <w:rPr>
                <w:szCs w:val="44"/>
                <w:lang w:val="ru-RU"/>
              </w:rPr>
              <w:t>(</w:t>
            </w:r>
            <w:r w:rsidRPr="007F5FA5">
              <w:rPr>
                <w:szCs w:val="44"/>
                <w:lang w:val="en-US"/>
              </w:rPr>
              <w:t>AGEP</w:t>
            </w:r>
            <w:r w:rsidRPr="007F5FA5">
              <w:rPr>
                <w:szCs w:val="44"/>
                <w:lang w:val="ru-RU"/>
              </w:rPr>
              <w:t xml:space="preserve">) </w:t>
            </w:r>
            <w:r w:rsidRPr="007F5FA5">
              <w:rPr>
                <w:szCs w:val="44"/>
              </w:rPr>
              <w:t xml:space="preserve">Еритема мултиформе Ексфолиативен </w:t>
            </w:r>
            <w:r w:rsidRPr="007F5FA5">
              <w:rPr>
                <w:szCs w:val="44"/>
              </w:rPr>
              <w:lastRenderedPageBreak/>
              <w:t>дерматит Булозен дерматит Морбилиформен обрив</w:t>
            </w:r>
          </w:p>
          <w:p w14:paraId="2980642B" w14:textId="00D27171" w:rsidR="007F5FA5" w:rsidRPr="007F5FA5" w:rsidRDefault="007F5FA5" w:rsidP="007F5FA5">
            <w:pPr>
              <w:spacing w:line="240" w:lineRule="auto"/>
              <w:rPr>
                <w:rFonts w:eastAsia="Times New Roman" w:cs="Arial"/>
                <w:szCs w:val="24"/>
              </w:rPr>
            </w:pPr>
            <w:r w:rsidRPr="007F5FA5">
              <w:rPr>
                <w:szCs w:val="44"/>
              </w:rPr>
              <w:t>Пруритус</w:t>
            </w:r>
          </w:p>
        </w:tc>
      </w:tr>
    </w:tbl>
    <w:p w14:paraId="39C30B7E" w14:textId="77777777" w:rsidR="007F5FA5" w:rsidRPr="007F5FA5" w:rsidRDefault="007F5FA5" w:rsidP="007F5FA5">
      <w:pPr>
        <w:spacing w:line="240" w:lineRule="auto"/>
        <w:rPr>
          <w:rFonts w:eastAsia="Times New Roman" w:cs="Arial"/>
          <w:sz w:val="12"/>
          <w:szCs w:val="24"/>
        </w:rPr>
      </w:pPr>
    </w:p>
    <w:p w14:paraId="101178E8" w14:textId="77777777" w:rsidR="007F5FA5" w:rsidRPr="007F5FA5" w:rsidRDefault="007F5FA5" w:rsidP="007F5FA5">
      <w:pPr>
        <w:spacing w:line="240" w:lineRule="auto"/>
        <w:rPr>
          <w:rFonts w:eastAsia="Times New Roman" w:cs="Arial"/>
        </w:rPr>
      </w:pPr>
      <w:r w:rsidRPr="007F5FA5">
        <w:rPr>
          <w:rFonts w:eastAsia="Times New Roman" w:cs="Arial"/>
          <w:color w:val="000000"/>
          <w:u w:val="single"/>
          <w:lang w:eastAsia="bg-BG"/>
        </w:rPr>
        <w:t>Съобщаване на подозирани нежелани реакции</w:t>
      </w:r>
    </w:p>
    <w:p w14:paraId="0958178E" w14:textId="77777777" w:rsidR="007F5FA5" w:rsidRPr="007F5FA5" w:rsidRDefault="007F5FA5" w:rsidP="007F5FA5">
      <w:pPr>
        <w:spacing w:line="240" w:lineRule="auto"/>
        <w:rPr>
          <w:rFonts w:eastAsia="Times New Roman" w:cs="Arial"/>
        </w:rPr>
      </w:pPr>
      <w:r w:rsidRPr="007F5FA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r w:rsidRPr="007F5FA5">
        <w:rPr>
          <w:rFonts w:eastAsia="Times New Roman" w:cs="Arial"/>
        </w:rPr>
        <w:fldChar w:fldCharType="begin"/>
      </w:r>
      <w:r w:rsidRPr="007F5FA5">
        <w:rPr>
          <w:rFonts w:eastAsia="Times New Roman" w:cs="Arial"/>
        </w:rPr>
        <w:instrText xml:space="preserve"> HYPERLINK "http://www.bda.bg" </w:instrText>
      </w:r>
      <w:r w:rsidRPr="007F5FA5">
        <w:rPr>
          <w:rFonts w:eastAsia="Times New Roman" w:cs="Arial"/>
        </w:rPr>
      </w:r>
      <w:r w:rsidRPr="007F5FA5">
        <w:rPr>
          <w:rFonts w:eastAsia="Times New Roman" w:cs="Arial"/>
        </w:rPr>
        <w:fldChar w:fldCharType="separate"/>
      </w:r>
      <w:r w:rsidRPr="007F5FA5">
        <w:rPr>
          <w:rFonts w:eastAsia="Times New Roman" w:cs="Arial"/>
          <w:color w:val="000000"/>
          <w:u w:val="single"/>
          <w:lang w:val="en-US"/>
        </w:rPr>
        <w:t>www.bda.bg</w:t>
      </w:r>
      <w:r w:rsidRPr="007F5FA5">
        <w:rPr>
          <w:rFonts w:eastAsia="Times New Roman" w:cs="Arial"/>
        </w:rPr>
        <w:fldChar w:fldCharType="end"/>
      </w:r>
    </w:p>
    <w:p w14:paraId="4CB21864" w14:textId="77777777" w:rsidR="007F5FA5" w:rsidRPr="007F5FA5" w:rsidRDefault="007F5FA5" w:rsidP="007F5FA5"/>
    <w:p w14:paraId="4ED30546" w14:textId="3C649653" w:rsidR="007C605B" w:rsidRDefault="002C50EE" w:rsidP="009F1313">
      <w:pPr>
        <w:pStyle w:val="Heading2"/>
      </w:pPr>
      <w:r>
        <w:t>4.9. Предозиране</w:t>
      </w:r>
    </w:p>
    <w:p w14:paraId="79E7B867" w14:textId="499A47D8" w:rsidR="007F5FA5" w:rsidRDefault="007F5FA5" w:rsidP="007F5FA5"/>
    <w:p w14:paraId="0EA2B850"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При предозиране обикновено се появява гадене, повръщане, болки в областта на корема. Прилагат се обичайните мерки - стомашна промивка, активен въглен, симптоматично и поддържащо лечение.</w:t>
      </w:r>
    </w:p>
    <w:p w14:paraId="7F864194" w14:textId="77777777" w:rsidR="007F5FA5" w:rsidRPr="007F5FA5" w:rsidRDefault="007F5FA5" w:rsidP="007F5FA5">
      <w:pPr>
        <w:spacing w:line="240" w:lineRule="auto"/>
        <w:rPr>
          <w:rFonts w:eastAsia="Times New Roman" w:cs="Arial"/>
          <w:color w:val="000000"/>
          <w:szCs w:val="44"/>
          <w:lang w:eastAsia="bg-BG"/>
        </w:rPr>
      </w:pPr>
    </w:p>
    <w:p w14:paraId="13858A6A" w14:textId="6A093D6C" w:rsidR="007F5FA5" w:rsidRPr="007F5FA5" w:rsidRDefault="007F5FA5" w:rsidP="007F5FA5">
      <w:pPr>
        <w:spacing w:line="240" w:lineRule="auto"/>
        <w:rPr>
          <w:rFonts w:eastAsia="Times New Roman" w:cs="Arial"/>
          <w:color w:val="000000"/>
          <w:szCs w:val="44"/>
          <w:lang w:eastAsia="bg-BG"/>
        </w:rPr>
      </w:pPr>
      <w:r w:rsidRPr="007F5FA5">
        <w:rPr>
          <w:rFonts w:eastAsia="Times New Roman" w:cs="Arial"/>
          <w:color w:val="000000"/>
          <w:szCs w:val="44"/>
          <w:lang w:eastAsia="bg-BG"/>
        </w:rPr>
        <w:t>Клиндамицин не може да се изведе ефективно от организма чрез хемо- или перитонеална диализа.</w:t>
      </w:r>
    </w:p>
    <w:p w14:paraId="3EC31032" w14:textId="77777777" w:rsidR="007F5FA5" w:rsidRPr="007F5FA5" w:rsidRDefault="007F5FA5" w:rsidP="007F5FA5"/>
    <w:p w14:paraId="02081B24" w14:textId="1F46E296" w:rsidR="00395555" w:rsidRPr="00395555" w:rsidRDefault="002C50EE" w:rsidP="008A6AF2">
      <w:pPr>
        <w:pStyle w:val="Heading1"/>
      </w:pPr>
      <w:r>
        <w:t>5. ФАРМАКОЛОГИЧНИ СВОЙСТВА</w:t>
      </w:r>
    </w:p>
    <w:p w14:paraId="5350637D" w14:textId="7F4BC7D0" w:rsidR="00395555" w:rsidRDefault="002C50EE" w:rsidP="008A6AF2">
      <w:pPr>
        <w:pStyle w:val="Heading2"/>
      </w:pPr>
      <w:r>
        <w:t>5.1. Фармакодинамични свойства</w:t>
      </w:r>
    </w:p>
    <w:p w14:paraId="193D647C" w14:textId="6344AE81" w:rsidR="007F5FA5" w:rsidRDefault="007F5FA5" w:rsidP="007F5FA5"/>
    <w:p w14:paraId="6DC9B008"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Фармакотерапевтична група: Макролиди, линкозамиди и стрептограмини; Линкозамиди, АТС код: </w:t>
      </w:r>
      <w:r w:rsidRPr="007F5FA5">
        <w:rPr>
          <w:rFonts w:eastAsia="Times New Roman" w:cs="Arial"/>
          <w:color w:val="000000"/>
          <w:szCs w:val="44"/>
          <w:lang w:val="en-US"/>
        </w:rPr>
        <w:t>J</w:t>
      </w:r>
      <w:r w:rsidRPr="007F5FA5">
        <w:rPr>
          <w:rFonts w:eastAsia="Times New Roman" w:cs="Arial"/>
          <w:color w:val="000000"/>
          <w:szCs w:val="44"/>
          <w:lang w:val="ru-RU"/>
        </w:rPr>
        <w:t>01</w:t>
      </w:r>
      <w:r w:rsidRPr="007F5FA5">
        <w:rPr>
          <w:rFonts w:eastAsia="Times New Roman" w:cs="Arial"/>
          <w:color w:val="000000"/>
          <w:szCs w:val="44"/>
          <w:lang w:val="en-US"/>
        </w:rPr>
        <w:t>FF</w:t>
      </w:r>
      <w:r w:rsidRPr="007F5FA5">
        <w:rPr>
          <w:rFonts w:eastAsia="Times New Roman" w:cs="Arial"/>
          <w:color w:val="000000"/>
          <w:szCs w:val="44"/>
          <w:lang w:val="ru-RU"/>
        </w:rPr>
        <w:t>01</w:t>
      </w:r>
    </w:p>
    <w:p w14:paraId="5018DDD8" w14:textId="77777777" w:rsidR="007F5FA5" w:rsidRPr="007F5FA5" w:rsidRDefault="007F5FA5" w:rsidP="007F5FA5">
      <w:pPr>
        <w:spacing w:line="240" w:lineRule="auto"/>
        <w:rPr>
          <w:rFonts w:eastAsia="Times New Roman" w:cs="Arial"/>
          <w:color w:val="000000"/>
          <w:szCs w:val="44"/>
          <w:u w:val="single"/>
          <w:lang w:eastAsia="bg-BG"/>
        </w:rPr>
      </w:pPr>
    </w:p>
    <w:p w14:paraId="6D731120" w14:textId="1ABFEDF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u w:val="single"/>
          <w:lang w:eastAsia="bg-BG"/>
        </w:rPr>
        <w:t>Механизъм на действие</w:t>
      </w:r>
    </w:p>
    <w:p w14:paraId="7264D9F4"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 xml:space="preserve">Клиндамицин е бактериостатичен антибиотик от групата на линкозамидите (във високи концентрации или спрямо високо чувствителни микроорганизми може да е бактерициден). Той потиска белтъчната синтеза на бактериите на нивото на 50 </w:t>
      </w:r>
      <w:r w:rsidRPr="007F5FA5">
        <w:rPr>
          <w:rFonts w:eastAsia="Times New Roman" w:cs="Arial"/>
          <w:color w:val="000000"/>
          <w:szCs w:val="44"/>
          <w:lang w:val="en-US"/>
        </w:rPr>
        <w:t>S</w:t>
      </w:r>
      <w:r w:rsidRPr="007F5FA5">
        <w:rPr>
          <w:rFonts w:eastAsia="Times New Roman" w:cs="Arial"/>
          <w:color w:val="000000"/>
          <w:szCs w:val="44"/>
          <w:lang w:val="ru-RU"/>
        </w:rPr>
        <w:t xml:space="preserve"> </w:t>
      </w:r>
      <w:r w:rsidRPr="007F5FA5">
        <w:rPr>
          <w:rFonts w:eastAsia="Times New Roman" w:cs="Arial"/>
          <w:color w:val="000000"/>
          <w:szCs w:val="44"/>
          <w:lang w:eastAsia="bg-BG"/>
        </w:rPr>
        <w:t>субединицата на рибозомите.</w:t>
      </w:r>
    </w:p>
    <w:p w14:paraId="51A16F96" w14:textId="77777777" w:rsidR="007F5FA5" w:rsidRPr="007F5FA5" w:rsidRDefault="007F5FA5" w:rsidP="007F5FA5">
      <w:pPr>
        <w:spacing w:line="240" w:lineRule="auto"/>
        <w:rPr>
          <w:rFonts w:eastAsia="Times New Roman" w:cs="Arial"/>
          <w:color w:val="000000"/>
          <w:szCs w:val="44"/>
          <w:lang w:eastAsia="bg-BG"/>
        </w:rPr>
      </w:pPr>
    </w:p>
    <w:p w14:paraId="220A640C" w14:textId="65037B63"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Антибактериалният спектър на клиндамицин включва:</w:t>
      </w:r>
    </w:p>
    <w:p w14:paraId="440D4089" w14:textId="3C74CC52" w:rsidR="007F5FA5" w:rsidRPr="007F5FA5" w:rsidRDefault="007F5FA5" w:rsidP="007F5FA5">
      <w:pPr>
        <w:pStyle w:val="ListParagraph"/>
        <w:numPr>
          <w:ilvl w:val="0"/>
          <w:numId w:val="34"/>
        </w:numPr>
        <w:spacing w:line="240" w:lineRule="auto"/>
        <w:rPr>
          <w:rFonts w:eastAsia="Times New Roman" w:cs="Arial"/>
          <w:color w:val="000000"/>
          <w:szCs w:val="44"/>
          <w:lang w:eastAsia="bg-BG"/>
        </w:rPr>
      </w:pPr>
      <w:r w:rsidRPr="007F5FA5">
        <w:rPr>
          <w:rFonts w:eastAsia="Times New Roman" w:cs="Arial"/>
          <w:color w:val="000000"/>
          <w:szCs w:val="44"/>
          <w:lang w:eastAsia="bg-BG"/>
        </w:rPr>
        <w:t xml:space="preserve">Грам-положителни микроорганизми - </w:t>
      </w:r>
      <w:r w:rsidRPr="007F5FA5">
        <w:rPr>
          <w:rFonts w:eastAsia="Times New Roman" w:cs="Arial"/>
          <w:color w:val="000000"/>
          <w:szCs w:val="44"/>
          <w:lang w:val="en-US"/>
        </w:rPr>
        <w:t>Staphylococcus</w:t>
      </w:r>
      <w:r w:rsidRPr="007F5FA5">
        <w:rPr>
          <w:rFonts w:eastAsia="Times New Roman" w:cs="Arial"/>
          <w:color w:val="000000"/>
          <w:szCs w:val="44"/>
        </w:rPr>
        <w:t xml:space="preserve"> </w:t>
      </w:r>
      <w:r w:rsidRPr="007F5FA5">
        <w:rPr>
          <w:rFonts w:eastAsia="Times New Roman" w:cs="Arial"/>
          <w:color w:val="000000"/>
          <w:szCs w:val="44"/>
          <w:lang w:val="en-US"/>
        </w:rPr>
        <w:t>aureus</w:t>
      </w:r>
      <w:r w:rsidRPr="007F5FA5">
        <w:rPr>
          <w:rFonts w:eastAsia="Times New Roman" w:cs="Arial"/>
          <w:color w:val="000000"/>
          <w:szCs w:val="44"/>
        </w:rPr>
        <w:t xml:space="preserve">, </w:t>
      </w:r>
      <w:r w:rsidRPr="007F5FA5">
        <w:rPr>
          <w:rFonts w:eastAsia="Times New Roman" w:cs="Arial"/>
          <w:color w:val="000000"/>
          <w:szCs w:val="44"/>
          <w:lang w:val="en-US"/>
        </w:rPr>
        <w:t>S</w:t>
      </w:r>
      <w:r w:rsidRPr="007F5FA5">
        <w:rPr>
          <w:rFonts w:eastAsia="Times New Roman" w:cs="Arial"/>
          <w:color w:val="000000"/>
          <w:szCs w:val="44"/>
        </w:rPr>
        <w:t xml:space="preserve">. </w:t>
      </w:r>
      <w:proofErr w:type="gramStart"/>
      <w:r w:rsidRPr="007F5FA5">
        <w:rPr>
          <w:rFonts w:eastAsia="Times New Roman" w:cs="Arial"/>
          <w:color w:val="000000"/>
          <w:szCs w:val="44"/>
          <w:lang w:val="en-US"/>
        </w:rPr>
        <w:t>epidermidis</w:t>
      </w:r>
      <w:proofErr w:type="gramEnd"/>
      <w:r w:rsidRPr="007F5FA5">
        <w:rPr>
          <w:rFonts w:eastAsia="Times New Roman" w:cs="Arial"/>
          <w:color w:val="000000"/>
          <w:szCs w:val="44"/>
          <w:lang w:eastAsia="bg-BG"/>
        </w:rPr>
        <w:t xml:space="preserve"> (пеницилиназа- продуциращи и пеницилиназа-непродуциращи), </w:t>
      </w:r>
      <w:r w:rsidRPr="007F5FA5">
        <w:rPr>
          <w:rFonts w:eastAsia="Times New Roman" w:cs="Arial"/>
          <w:color w:val="000000"/>
          <w:szCs w:val="44"/>
          <w:lang w:val="en-US"/>
        </w:rPr>
        <w:t>Streptococcus</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r w:rsidRPr="007F5FA5">
        <w:rPr>
          <w:rFonts w:eastAsia="Times New Roman" w:cs="Arial"/>
          <w:color w:val="000000"/>
          <w:szCs w:val="44"/>
          <w:lang w:eastAsia="bg-BG"/>
        </w:rPr>
        <w:t xml:space="preserve">(с изключение на </w:t>
      </w:r>
      <w:proofErr w:type="spellStart"/>
      <w:r w:rsidRPr="007F5FA5">
        <w:rPr>
          <w:rFonts w:eastAsia="Times New Roman" w:cs="Arial"/>
          <w:color w:val="000000"/>
          <w:szCs w:val="44"/>
          <w:lang w:val="en-US"/>
        </w:rPr>
        <w:t>Emerococcus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faecalis</w:t>
      </w:r>
      <w:proofErr w:type="spellEnd"/>
      <w:r w:rsidRPr="007F5FA5">
        <w:rPr>
          <w:rFonts w:eastAsia="Times New Roman" w:cs="Arial"/>
          <w:color w:val="000000"/>
          <w:szCs w:val="44"/>
        </w:rPr>
        <w:t xml:space="preserve">), </w:t>
      </w:r>
      <w:r w:rsidRPr="007F5FA5">
        <w:rPr>
          <w:rFonts w:eastAsia="Times New Roman" w:cs="Arial"/>
          <w:color w:val="000000"/>
          <w:szCs w:val="44"/>
          <w:lang w:val="en-US"/>
        </w:rPr>
        <w:t>Bacillus</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anthracis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Corynebacterium</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diphtheriae</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Propionibacterium</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Eubacterium</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w:t>
      </w:r>
      <w:r>
        <w:rPr>
          <w:rFonts w:eastAsia="Times New Roman" w:cs="Arial"/>
          <w:color w:val="000000"/>
          <w:szCs w:val="44"/>
        </w:rPr>
        <w:t xml:space="preserve"> </w:t>
      </w:r>
      <w:proofErr w:type="spellStart"/>
      <w:r w:rsidRPr="007F5FA5">
        <w:rPr>
          <w:rFonts w:eastAsia="Times New Roman" w:cs="Arial"/>
          <w:color w:val="000000"/>
          <w:szCs w:val="44"/>
          <w:lang w:val="en-US"/>
        </w:rPr>
        <w:t>Actinomyces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Peptococcus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Peptostreptococcus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r w:rsidRPr="007F5FA5">
        <w:rPr>
          <w:rFonts w:eastAsia="Times New Roman" w:cs="Arial"/>
          <w:color w:val="000000"/>
          <w:szCs w:val="44"/>
          <w:lang w:eastAsia="bg-BG"/>
        </w:rPr>
        <w:t xml:space="preserve">микроаерофилни стрептококи, </w:t>
      </w:r>
      <w:r w:rsidRPr="007F5FA5">
        <w:rPr>
          <w:rFonts w:eastAsia="Times New Roman" w:cs="Arial"/>
          <w:color w:val="000000"/>
          <w:szCs w:val="44"/>
          <w:lang w:val="en-US"/>
        </w:rPr>
        <w:t>Clostridium</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perfringens</w:t>
      </w:r>
      <w:proofErr w:type="spellEnd"/>
      <w:r w:rsidRPr="007F5FA5">
        <w:rPr>
          <w:rFonts w:eastAsia="Times New Roman" w:cs="Arial"/>
          <w:color w:val="000000"/>
          <w:szCs w:val="44"/>
        </w:rPr>
        <w:t xml:space="preserve">, </w:t>
      </w:r>
      <w:r w:rsidRPr="007F5FA5">
        <w:rPr>
          <w:rFonts w:eastAsia="Times New Roman" w:cs="Arial"/>
          <w:color w:val="000000"/>
          <w:szCs w:val="44"/>
          <w:lang w:val="en-US"/>
        </w:rPr>
        <w:t>Clostridium</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tetani</w:t>
      </w:r>
      <w:proofErr w:type="spellEnd"/>
      <w:r w:rsidRPr="007F5FA5">
        <w:rPr>
          <w:rFonts w:eastAsia="Times New Roman" w:cs="Arial"/>
          <w:color w:val="000000"/>
          <w:szCs w:val="44"/>
        </w:rPr>
        <w:t>;</w:t>
      </w:r>
    </w:p>
    <w:p w14:paraId="4B7197A5" w14:textId="77777777" w:rsidR="007F5FA5" w:rsidRPr="007F5FA5" w:rsidRDefault="007F5FA5" w:rsidP="007F5FA5">
      <w:pPr>
        <w:pStyle w:val="ListParagraph"/>
        <w:numPr>
          <w:ilvl w:val="0"/>
          <w:numId w:val="34"/>
        </w:numPr>
        <w:spacing w:line="240" w:lineRule="auto"/>
        <w:rPr>
          <w:rFonts w:eastAsia="Times New Roman" w:cs="Arial"/>
          <w:color w:val="000000"/>
          <w:szCs w:val="44"/>
          <w:lang w:eastAsia="bg-BG"/>
        </w:rPr>
      </w:pPr>
      <w:r w:rsidRPr="007F5FA5">
        <w:rPr>
          <w:rFonts w:eastAsia="Times New Roman" w:cs="Arial"/>
          <w:color w:val="000000"/>
          <w:szCs w:val="44"/>
          <w:lang w:eastAsia="bg-BG"/>
        </w:rPr>
        <w:t xml:space="preserve">Грам-отрицателни микроорганизми </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Bacteroides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Bacteroides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fragilis</w:t>
      </w:r>
      <w:proofErr w:type="spellEnd"/>
      <w:r w:rsidRPr="007F5FA5">
        <w:rPr>
          <w:rFonts w:eastAsia="Times New Roman" w:cs="Arial"/>
          <w:color w:val="000000"/>
          <w:szCs w:val="44"/>
        </w:rPr>
        <w:t xml:space="preserve"> </w:t>
      </w:r>
      <w:r w:rsidRPr="007F5FA5">
        <w:rPr>
          <w:rFonts w:eastAsia="Times New Roman" w:cs="Arial"/>
          <w:color w:val="000000"/>
          <w:szCs w:val="44"/>
          <w:lang w:val="en-US"/>
        </w:rPr>
        <w:t>group</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Bacteroides</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melaninogenicus</w:t>
      </w:r>
      <w:proofErr w:type="spellEnd"/>
      <w:r w:rsidRPr="007F5FA5">
        <w:rPr>
          <w:rFonts w:eastAsia="Times New Roman" w:cs="Arial"/>
          <w:color w:val="000000"/>
          <w:szCs w:val="44"/>
        </w:rPr>
        <w:t xml:space="preserve"> </w:t>
      </w:r>
      <w:r w:rsidRPr="007F5FA5">
        <w:rPr>
          <w:rFonts w:eastAsia="Times New Roman" w:cs="Arial"/>
          <w:color w:val="000000"/>
          <w:szCs w:val="44"/>
          <w:lang w:val="en-US"/>
        </w:rPr>
        <w:t>group</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Fusobacterium</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spp</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Veillonella</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Gardnerella</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vaginalis</w:t>
      </w:r>
      <w:proofErr w:type="spellEnd"/>
      <w:r w:rsidRPr="007F5FA5">
        <w:rPr>
          <w:rFonts w:eastAsia="Times New Roman" w:cs="Arial"/>
          <w:color w:val="000000"/>
          <w:szCs w:val="44"/>
        </w:rPr>
        <w:t xml:space="preserve">, </w:t>
      </w:r>
      <w:r w:rsidRPr="007F5FA5">
        <w:rPr>
          <w:rFonts w:eastAsia="Times New Roman" w:cs="Arial"/>
          <w:color w:val="000000"/>
          <w:szCs w:val="44"/>
          <w:lang w:val="en-US"/>
        </w:rPr>
        <w:t>Mycoplasma</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hominis</w:t>
      </w:r>
      <w:proofErr w:type="spellEnd"/>
      <w:r w:rsidRPr="007F5FA5">
        <w:rPr>
          <w:rFonts w:eastAsia="Times New Roman" w:cs="Arial"/>
          <w:color w:val="000000"/>
          <w:szCs w:val="44"/>
        </w:rPr>
        <w:t xml:space="preserve">, </w:t>
      </w:r>
      <w:r w:rsidRPr="007F5FA5">
        <w:rPr>
          <w:rFonts w:eastAsia="Times New Roman" w:cs="Arial"/>
          <w:color w:val="000000"/>
          <w:szCs w:val="44"/>
          <w:lang w:val="en-US"/>
        </w:rPr>
        <w:t>Mycoplasma</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pneumoniae</w:t>
      </w:r>
      <w:proofErr w:type="spellEnd"/>
      <w:r w:rsidRPr="007F5FA5">
        <w:rPr>
          <w:rFonts w:eastAsia="Times New Roman" w:cs="Arial"/>
          <w:color w:val="000000"/>
          <w:szCs w:val="44"/>
        </w:rPr>
        <w:t xml:space="preserve">, </w:t>
      </w:r>
      <w:proofErr w:type="spellStart"/>
      <w:r w:rsidRPr="007F5FA5">
        <w:rPr>
          <w:rFonts w:eastAsia="Times New Roman" w:cs="Arial"/>
          <w:color w:val="000000"/>
          <w:szCs w:val="44"/>
          <w:lang w:val="en-US"/>
        </w:rPr>
        <w:t>Chlamidia</w:t>
      </w:r>
      <w:proofErr w:type="spellEnd"/>
      <w:r w:rsidRPr="007F5FA5">
        <w:rPr>
          <w:rFonts w:eastAsia="Times New Roman" w:cs="Arial"/>
          <w:color w:val="000000"/>
          <w:szCs w:val="44"/>
        </w:rPr>
        <w:t xml:space="preserve"> </w:t>
      </w:r>
      <w:r w:rsidRPr="007F5FA5">
        <w:rPr>
          <w:rFonts w:eastAsia="Times New Roman" w:cs="Arial"/>
          <w:color w:val="000000"/>
          <w:szCs w:val="44"/>
          <w:lang w:val="en-US"/>
        </w:rPr>
        <w:t>trachomatis</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Prevotella</w:t>
      </w:r>
      <w:proofErr w:type="spellEnd"/>
      <w:r w:rsidRPr="007F5FA5">
        <w:rPr>
          <w:rFonts w:eastAsia="Times New Roman" w:cs="Arial"/>
          <w:color w:val="000000"/>
          <w:szCs w:val="44"/>
        </w:rPr>
        <w:t>;</w:t>
      </w:r>
    </w:p>
    <w:p w14:paraId="09612911" w14:textId="77777777" w:rsidR="007F5FA5" w:rsidRPr="007F5FA5" w:rsidRDefault="007F5FA5" w:rsidP="007F5FA5">
      <w:pPr>
        <w:pStyle w:val="ListParagraph"/>
        <w:numPr>
          <w:ilvl w:val="0"/>
          <w:numId w:val="34"/>
        </w:numPr>
        <w:spacing w:line="240" w:lineRule="auto"/>
        <w:rPr>
          <w:rFonts w:eastAsia="Times New Roman" w:cs="Arial"/>
          <w:color w:val="000000"/>
          <w:szCs w:val="44"/>
          <w:lang w:eastAsia="bg-BG"/>
        </w:rPr>
      </w:pPr>
      <w:r w:rsidRPr="007F5FA5">
        <w:rPr>
          <w:rFonts w:eastAsia="Times New Roman" w:cs="Arial"/>
          <w:color w:val="000000"/>
          <w:szCs w:val="44"/>
          <w:lang w:eastAsia="bg-BG"/>
        </w:rPr>
        <w:t xml:space="preserve">Грам-вариабилни </w:t>
      </w:r>
      <w:r w:rsidRPr="007F5FA5">
        <w:rPr>
          <w:rFonts w:eastAsia="Times New Roman" w:cs="Arial"/>
          <w:color w:val="000000"/>
          <w:szCs w:val="44"/>
          <w:lang w:val="en-US"/>
        </w:rPr>
        <w:t xml:space="preserve">- </w:t>
      </w:r>
      <w:proofErr w:type="spellStart"/>
      <w:r w:rsidRPr="007F5FA5">
        <w:rPr>
          <w:rFonts w:eastAsia="Times New Roman" w:cs="Arial"/>
          <w:color w:val="000000"/>
          <w:szCs w:val="44"/>
          <w:lang w:val="en-US"/>
        </w:rPr>
        <w:t>Mobilunculus</w:t>
      </w:r>
      <w:proofErr w:type="spellEnd"/>
      <w:r w:rsidRPr="007F5FA5">
        <w:rPr>
          <w:rFonts w:eastAsia="Times New Roman" w:cs="Arial"/>
          <w:color w:val="000000"/>
          <w:szCs w:val="44"/>
          <w:lang w:val="en-US"/>
        </w:rPr>
        <w:t xml:space="preserve"> spp.</w:t>
      </w:r>
    </w:p>
    <w:p w14:paraId="4FD4BA20" w14:textId="298C608F" w:rsidR="007F5FA5" w:rsidRPr="007F5FA5" w:rsidRDefault="007F5FA5" w:rsidP="007F5FA5">
      <w:pPr>
        <w:spacing w:line="240" w:lineRule="auto"/>
        <w:rPr>
          <w:rFonts w:eastAsia="Times New Roman" w:cs="Arial"/>
          <w:color w:val="000000"/>
          <w:szCs w:val="44"/>
          <w:lang w:eastAsia="bg-BG"/>
        </w:rPr>
      </w:pPr>
      <w:r w:rsidRPr="007F5FA5">
        <w:rPr>
          <w:rFonts w:eastAsia="Times New Roman" w:cs="Arial"/>
          <w:color w:val="000000"/>
          <w:szCs w:val="44"/>
          <w:lang w:eastAsia="bg-BG"/>
        </w:rPr>
        <w:lastRenderedPageBreak/>
        <w:t xml:space="preserve">Клиндамицин притежава антипротозойна активност спрямо </w:t>
      </w:r>
      <w:r w:rsidRPr="007F5FA5">
        <w:rPr>
          <w:rFonts w:eastAsia="Times New Roman" w:cs="Arial"/>
          <w:color w:val="000000"/>
          <w:szCs w:val="44"/>
          <w:lang w:val="en-US"/>
        </w:rPr>
        <w:t>Toxoplasma</w:t>
      </w:r>
      <w:r w:rsidRPr="007F5FA5">
        <w:rPr>
          <w:rFonts w:eastAsia="Times New Roman" w:cs="Arial"/>
          <w:color w:val="000000"/>
          <w:szCs w:val="44"/>
        </w:rPr>
        <w:t xml:space="preserve"> </w:t>
      </w:r>
      <w:proofErr w:type="spellStart"/>
      <w:r w:rsidRPr="007F5FA5">
        <w:rPr>
          <w:rFonts w:eastAsia="Times New Roman" w:cs="Arial"/>
          <w:color w:val="000000"/>
          <w:szCs w:val="44"/>
          <w:lang w:val="en-US"/>
        </w:rPr>
        <w:t>gondii</w:t>
      </w:r>
      <w:proofErr w:type="spellEnd"/>
      <w:r w:rsidRPr="007F5FA5">
        <w:rPr>
          <w:rFonts w:eastAsia="Times New Roman" w:cs="Arial"/>
          <w:color w:val="000000"/>
          <w:szCs w:val="44"/>
        </w:rPr>
        <w:t xml:space="preserve"> </w:t>
      </w:r>
      <w:r w:rsidRPr="007F5FA5">
        <w:rPr>
          <w:rFonts w:eastAsia="Times New Roman" w:cs="Arial"/>
          <w:color w:val="000000"/>
          <w:szCs w:val="44"/>
          <w:lang w:eastAsia="bg-BG"/>
        </w:rPr>
        <w:t xml:space="preserve">и </w:t>
      </w:r>
      <w:r w:rsidRPr="007F5FA5">
        <w:rPr>
          <w:rFonts w:eastAsia="Times New Roman" w:cs="Arial"/>
          <w:color w:val="000000"/>
          <w:szCs w:val="44"/>
          <w:lang w:val="en-US"/>
        </w:rPr>
        <w:t>Plasmodium</w:t>
      </w:r>
      <w:r w:rsidRPr="007F5FA5">
        <w:rPr>
          <w:rFonts w:eastAsia="Times New Roman" w:cs="Arial"/>
          <w:color w:val="000000"/>
          <w:szCs w:val="44"/>
        </w:rPr>
        <w:t xml:space="preserve"> </w:t>
      </w:r>
      <w:r w:rsidRPr="007F5FA5">
        <w:rPr>
          <w:rFonts w:eastAsia="Times New Roman" w:cs="Arial"/>
          <w:color w:val="000000"/>
          <w:szCs w:val="44"/>
          <w:lang w:val="en-US"/>
        </w:rPr>
        <w:t>falciparum</w:t>
      </w:r>
      <w:r w:rsidRPr="007F5FA5">
        <w:rPr>
          <w:rFonts w:eastAsia="Times New Roman" w:cs="Arial"/>
          <w:color w:val="000000"/>
          <w:szCs w:val="44"/>
        </w:rPr>
        <w:t xml:space="preserve">. </w:t>
      </w:r>
      <w:r w:rsidRPr="007F5FA5">
        <w:rPr>
          <w:rFonts w:eastAsia="Times New Roman" w:cs="Arial"/>
          <w:color w:val="000000"/>
          <w:szCs w:val="44"/>
          <w:lang w:val="en-US"/>
        </w:rPr>
        <w:t>He</w:t>
      </w:r>
      <w:r w:rsidRPr="007F5FA5">
        <w:rPr>
          <w:rFonts w:eastAsia="Times New Roman" w:cs="Arial"/>
          <w:color w:val="000000"/>
          <w:szCs w:val="44"/>
          <w:lang w:val="ru-RU"/>
        </w:rPr>
        <w:t xml:space="preserve"> </w:t>
      </w:r>
      <w:r w:rsidRPr="007F5FA5">
        <w:rPr>
          <w:rFonts w:eastAsia="Times New Roman" w:cs="Arial"/>
          <w:color w:val="000000"/>
          <w:szCs w:val="44"/>
          <w:lang w:eastAsia="bg-BG"/>
        </w:rPr>
        <w:t>всички щамове на изброените микроорганизми са чувствителни към клиндамицин. Затова е необходимо предварително определяне на чувствителността.</w:t>
      </w:r>
    </w:p>
    <w:p w14:paraId="5CE77350" w14:textId="77777777" w:rsidR="007F5FA5" w:rsidRPr="007F5FA5" w:rsidRDefault="007F5FA5" w:rsidP="007F5FA5"/>
    <w:p w14:paraId="26535098" w14:textId="5D8F6E00" w:rsidR="00395555" w:rsidRDefault="002C50EE" w:rsidP="008A6AF2">
      <w:pPr>
        <w:pStyle w:val="Heading2"/>
      </w:pPr>
      <w:r>
        <w:t>5.2. Фармакокинетични свойства</w:t>
      </w:r>
    </w:p>
    <w:p w14:paraId="627BF168" w14:textId="47E902D7" w:rsidR="007F5FA5" w:rsidRDefault="007F5FA5" w:rsidP="007F5FA5"/>
    <w:p w14:paraId="47D20638" w14:textId="77777777" w:rsidR="007F5FA5" w:rsidRPr="007F5FA5" w:rsidRDefault="007F5FA5" w:rsidP="007F5FA5">
      <w:pPr>
        <w:pStyle w:val="Heading3"/>
        <w:rPr>
          <w:rFonts w:eastAsia="Times New Roman"/>
          <w:sz w:val="12"/>
          <w:u w:val="single"/>
        </w:rPr>
      </w:pPr>
      <w:r w:rsidRPr="007F5FA5">
        <w:rPr>
          <w:rFonts w:eastAsia="Times New Roman"/>
          <w:u w:val="single"/>
          <w:lang w:eastAsia="bg-BG"/>
        </w:rPr>
        <w:t>Абсорбция</w:t>
      </w:r>
    </w:p>
    <w:p w14:paraId="5F457ACB"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Клиндамицин се резорбира бързо и почти напълно (до 90% от приетата доза) в стомашно-чревния тракт. Храната не оказва съществено влияние върху резорбцията в стомаха, но може да я забави. Максималните плазмени концентрации при перорално приложение се достигат през 1</w:t>
      </w:r>
      <w:r w:rsidRPr="007F5FA5">
        <w:rPr>
          <w:rFonts w:eastAsia="Times New Roman" w:cs="Arial"/>
          <w:color w:val="000000"/>
          <w:szCs w:val="44"/>
          <w:vertAlign w:val="superscript"/>
          <w:lang w:eastAsia="bg-BG"/>
        </w:rPr>
        <w:t xml:space="preserve">-ия </w:t>
      </w:r>
      <w:r w:rsidRPr="007F5FA5">
        <w:rPr>
          <w:rFonts w:eastAsia="Times New Roman" w:cs="Arial"/>
          <w:color w:val="000000"/>
          <w:szCs w:val="44"/>
          <w:lang w:eastAsia="bg-BG"/>
        </w:rPr>
        <w:t>- 3</w:t>
      </w:r>
      <w:r w:rsidRPr="007F5FA5">
        <w:rPr>
          <w:rFonts w:eastAsia="Times New Roman" w:cs="Arial"/>
          <w:color w:val="000000"/>
          <w:szCs w:val="44"/>
          <w:vertAlign w:val="superscript"/>
          <w:lang w:eastAsia="bg-BG"/>
        </w:rPr>
        <w:t>-ия</w:t>
      </w:r>
      <w:r w:rsidRPr="007F5FA5">
        <w:rPr>
          <w:rFonts w:eastAsia="Times New Roman" w:cs="Arial"/>
          <w:color w:val="000000"/>
          <w:szCs w:val="44"/>
          <w:lang w:eastAsia="bg-BG"/>
        </w:rPr>
        <w:t xml:space="preserve"> час след приема. Повишаването на дозата води до повишаване на плазмените концентрации.</w:t>
      </w:r>
    </w:p>
    <w:p w14:paraId="4175A9A9" w14:textId="77777777" w:rsidR="007F5FA5" w:rsidRPr="007F5FA5" w:rsidRDefault="007F5FA5" w:rsidP="007F5FA5">
      <w:pPr>
        <w:spacing w:line="240" w:lineRule="auto"/>
        <w:rPr>
          <w:rFonts w:eastAsia="Times New Roman" w:cs="Arial"/>
          <w:color w:val="000000"/>
          <w:szCs w:val="44"/>
          <w:u w:val="single"/>
          <w:lang w:eastAsia="bg-BG"/>
        </w:rPr>
      </w:pPr>
    </w:p>
    <w:p w14:paraId="07849F88" w14:textId="443BB403" w:rsidR="007F5FA5" w:rsidRPr="007F5FA5" w:rsidRDefault="007F5FA5" w:rsidP="007F5FA5">
      <w:pPr>
        <w:pStyle w:val="Heading3"/>
        <w:rPr>
          <w:rFonts w:eastAsia="Times New Roman"/>
          <w:sz w:val="12"/>
          <w:u w:val="single"/>
        </w:rPr>
      </w:pPr>
      <w:r w:rsidRPr="007F5FA5">
        <w:rPr>
          <w:rFonts w:eastAsia="Times New Roman"/>
          <w:u w:val="single"/>
          <w:lang w:eastAsia="bg-BG"/>
        </w:rPr>
        <w:t>Разпределение</w:t>
      </w:r>
    </w:p>
    <w:p w14:paraId="05E8D976"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Клиндамицин прониква добре в повечето тъкани и течности на организма, като високи концентрации се достигат в костите и жлъчката. Съвсем слабо прониква в цереброспиналната течност, дори и при възпалени менинги. Преминава през плацентата и достига феталното кръвообращение. Екскретира се с кърмата. Кумулира в левкоцитите и макрофагите. Значителен процент от приетата доза (около 95%) се свързва с плазмените протеини.</w:t>
      </w:r>
    </w:p>
    <w:p w14:paraId="06D21351" w14:textId="77777777" w:rsidR="007F5FA5" w:rsidRPr="007F5FA5" w:rsidRDefault="007F5FA5" w:rsidP="007F5FA5">
      <w:pPr>
        <w:spacing w:line="240" w:lineRule="auto"/>
        <w:rPr>
          <w:rFonts w:eastAsia="Times New Roman" w:cs="Arial"/>
          <w:color w:val="000000"/>
          <w:szCs w:val="44"/>
          <w:u w:val="single"/>
          <w:lang w:eastAsia="bg-BG"/>
        </w:rPr>
      </w:pPr>
    </w:p>
    <w:p w14:paraId="50EB280F" w14:textId="7BF1D054" w:rsidR="007F5FA5" w:rsidRPr="007F5FA5" w:rsidRDefault="007F5FA5" w:rsidP="007F5FA5">
      <w:pPr>
        <w:pStyle w:val="Heading3"/>
        <w:rPr>
          <w:rFonts w:eastAsia="Times New Roman"/>
          <w:sz w:val="12"/>
          <w:u w:val="single"/>
        </w:rPr>
      </w:pPr>
      <w:r w:rsidRPr="007F5FA5">
        <w:rPr>
          <w:rFonts w:eastAsia="Times New Roman"/>
          <w:u w:val="single"/>
          <w:lang w:eastAsia="bg-BG"/>
        </w:rPr>
        <w:t>Биотрансформация</w:t>
      </w:r>
    </w:p>
    <w:p w14:paraId="686C9705"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Клиндамицин се метаболизира в черния дроб, като част от метаболитите притежават антибактериална активност.</w:t>
      </w:r>
    </w:p>
    <w:p w14:paraId="4815808F" w14:textId="77777777" w:rsidR="007F5FA5" w:rsidRPr="007F5FA5" w:rsidRDefault="007F5FA5" w:rsidP="007F5FA5">
      <w:pPr>
        <w:spacing w:line="240" w:lineRule="auto"/>
        <w:rPr>
          <w:rFonts w:eastAsia="Times New Roman" w:cs="Arial"/>
          <w:color w:val="000000"/>
          <w:szCs w:val="44"/>
          <w:u w:val="single"/>
          <w:lang w:eastAsia="bg-BG"/>
        </w:rPr>
      </w:pPr>
    </w:p>
    <w:p w14:paraId="28EA9746" w14:textId="62754644" w:rsidR="007F5FA5" w:rsidRPr="007F5FA5" w:rsidRDefault="007F5FA5" w:rsidP="007F5FA5">
      <w:pPr>
        <w:pStyle w:val="Heading3"/>
        <w:rPr>
          <w:rFonts w:eastAsia="Times New Roman"/>
          <w:sz w:val="12"/>
          <w:u w:val="single"/>
        </w:rPr>
      </w:pPr>
      <w:r w:rsidRPr="007F5FA5">
        <w:rPr>
          <w:rFonts w:eastAsia="Times New Roman"/>
          <w:u w:val="single"/>
          <w:lang w:eastAsia="bg-BG"/>
        </w:rPr>
        <w:t>Елиминиране</w:t>
      </w:r>
    </w:p>
    <w:p w14:paraId="4ABA26F4" w14:textId="77777777" w:rsidR="007F5FA5" w:rsidRPr="007F5FA5" w:rsidRDefault="007F5FA5" w:rsidP="007F5FA5">
      <w:pPr>
        <w:spacing w:line="240" w:lineRule="auto"/>
        <w:rPr>
          <w:rFonts w:eastAsia="Times New Roman" w:cs="Arial"/>
          <w:sz w:val="12"/>
          <w:szCs w:val="24"/>
        </w:rPr>
      </w:pPr>
      <w:r w:rsidRPr="007F5FA5">
        <w:rPr>
          <w:rFonts w:eastAsia="Times New Roman" w:cs="Arial"/>
          <w:color w:val="000000"/>
          <w:szCs w:val="44"/>
          <w:lang w:eastAsia="bg-BG"/>
        </w:rPr>
        <w:t>Времето на полуживот на клиндамицин е около 2-3 часа. То може да бъде леко удължено при пациенти с тежка бъбречна или чернодробна недостатъчност. Приблизително 10% от приетата доза се елиминира в активна форма чрез урината и до 4 % - с фекалиите. Останалото количество се елиминира като неактивни метаболити.</w:t>
      </w:r>
    </w:p>
    <w:p w14:paraId="511EC6B3" w14:textId="77777777" w:rsidR="007F5FA5" w:rsidRPr="007F5FA5" w:rsidRDefault="007F5FA5" w:rsidP="007F5FA5"/>
    <w:p w14:paraId="028E658A" w14:textId="4BF33C94" w:rsidR="00395555" w:rsidRDefault="002C50EE" w:rsidP="008A6AF2">
      <w:pPr>
        <w:pStyle w:val="Heading2"/>
      </w:pPr>
      <w:r>
        <w:t>5.3. Предклинични данни за безопасност</w:t>
      </w:r>
    </w:p>
    <w:p w14:paraId="43807150" w14:textId="77777777" w:rsidR="007F5FA5" w:rsidRDefault="007F5FA5" w:rsidP="007F5FA5"/>
    <w:p w14:paraId="4D67E849" w14:textId="463A3E9A" w:rsidR="007F5FA5" w:rsidRPr="007F5FA5" w:rsidRDefault="007F5FA5" w:rsidP="007F5FA5">
      <w: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карциногенен потенциал, репродуктивна токсичност и токсичност за развитието.</w:t>
      </w:r>
    </w:p>
    <w:p w14:paraId="6A7820AB" w14:textId="3187DBF6" w:rsidR="008A6AF2" w:rsidRDefault="002C50EE" w:rsidP="00395555">
      <w:pPr>
        <w:pStyle w:val="Heading1"/>
      </w:pPr>
      <w:r>
        <w:t>7. ПРИТЕЖАТЕЛ НА РАЗРЕШЕНИЕТО ЗА УПОТРЕБА</w:t>
      </w:r>
    </w:p>
    <w:p w14:paraId="5A041D0E" w14:textId="77777777" w:rsidR="007F5FA5" w:rsidRPr="007F5FA5" w:rsidRDefault="007F5FA5" w:rsidP="007F5FA5">
      <w:pPr>
        <w:rPr>
          <w:sz w:val="24"/>
          <w:szCs w:val="24"/>
        </w:rPr>
      </w:pPr>
      <w:r w:rsidRPr="007F5FA5">
        <w:rPr>
          <w:lang w:eastAsia="bg-BG"/>
        </w:rPr>
        <w:t>Актавис ЕАД</w:t>
      </w:r>
    </w:p>
    <w:p w14:paraId="6ADB7A46" w14:textId="77777777" w:rsidR="007F5FA5" w:rsidRPr="007F5FA5" w:rsidRDefault="007F5FA5" w:rsidP="007F5FA5">
      <w:pPr>
        <w:rPr>
          <w:sz w:val="24"/>
          <w:szCs w:val="24"/>
        </w:rPr>
      </w:pPr>
      <w:r w:rsidRPr="007F5FA5">
        <w:rPr>
          <w:lang w:eastAsia="bg-BG"/>
        </w:rPr>
        <w:t>ул."Атанас Дуков" 29</w:t>
      </w:r>
    </w:p>
    <w:p w14:paraId="00EEC79E" w14:textId="77777777" w:rsidR="007F5FA5" w:rsidRPr="007F5FA5" w:rsidRDefault="007F5FA5" w:rsidP="007F5FA5">
      <w:pPr>
        <w:rPr>
          <w:sz w:val="24"/>
          <w:szCs w:val="24"/>
        </w:rPr>
      </w:pPr>
      <w:r w:rsidRPr="007F5FA5">
        <w:rPr>
          <w:lang w:eastAsia="bg-BG"/>
        </w:rPr>
        <w:t>1407, София</w:t>
      </w:r>
    </w:p>
    <w:p w14:paraId="440E344C" w14:textId="636CB95C" w:rsidR="007F5FA5" w:rsidRPr="007F5FA5" w:rsidRDefault="007F5FA5" w:rsidP="007F5FA5">
      <w:r w:rsidRPr="007F5FA5">
        <w:rPr>
          <w:lang w:eastAsia="bg-BG"/>
        </w:rPr>
        <w:t>България</w:t>
      </w:r>
    </w:p>
    <w:p w14:paraId="04840D59" w14:textId="5D0FEAC5" w:rsidR="002C50EE" w:rsidRDefault="002C50EE" w:rsidP="00395555">
      <w:pPr>
        <w:pStyle w:val="Heading1"/>
      </w:pPr>
      <w:r>
        <w:t>8. НОМЕР НА РАЗРЕШЕНИЕТО ЗА УПОТРЕБА</w:t>
      </w:r>
    </w:p>
    <w:p w14:paraId="46AE5F88" w14:textId="2A93C7B0" w:rsidR="007F5FA5" w:rsidRDefault="007F5FA5" w:rsidP="007F5FA5"/>
    <w:p w14:paraId="0C18AC03" w14:textId="77777777" w:rsidR="007F5FA5" w:rsidRPr="007F5FA5" w:rsidRDefault="007F5FA5" w:rsidP="007F5FA5">
      <w:pPr>
        <w:rPr>
          <w:sz w:val="24"/>
          <w:szCs w:val="24"/>
        </w:rPr>
      </w:pPr>
      <w:r w:rsidRPr="007F5FA5">
        <w:rPr>
          <w:lang w:val="en-US"/>
        </w:rPr>
        <w:t>Per</w:t>
      </w:r>
      <w:r w:rsidRPr="007F5FA5">
        <w:rPr>
          <w:lang w:val="ru-RU"/>
        </w:rPr>
        <w:t xml:space="preserve">. </w:t>
      </w:r>
      <w:r w:rsidRPr="007F5FA5">
        <w:rPr>
          <w:lang w:eastAsia="bg-BG"/>
        </w:rPr>
        <w:t>№20011028</w:t>
      </w:r>
    </w:p>
    <w:p w14:paraId="02607845" w14:textId="77777777" w:rsidR="007F5FA5" w:rsidRPr="007F5FA5" w:rsidRDefault="007F5FA5" w:rsidP="007F5FA5"/>
    <w:p w14:paraId="2CCB5832" w14:textId="298BB47A" w:rsidR="007C605B" w:rsidRDefault="002C50EE" w:rsidP="007C605B">
      <w:pPr>
        <w:pStyle w:val="Heading1"/>
      </w:pPr>
      <w:r>
        <w:t>9. ДАТА НА ПЪРВО РАЗРЕШАВАНЕ/ПОДНОВЯВАНЕ НА РАЗРЕШЕНИЕТО ЗА УПОТРЕБА</w:t>
      </w:r>
    </w:p>
    <w:p w14:paraId="6F976770" w14:textId="1E681998" w:rsidR="007F5FA5" w:rsidRDefault="007F5FA5" w:rsidP="007F5FA5"/>
    <w:p w14:paraId="76E24AD3" w14:textId="77777777" w:rsidR="007F5FA5" w:rsidRPr="007F5FA5" w:rsidRDefault="007F5FA5" w:rsidP="007F5FA5">
      <w:pPr>
        <w:rPr>
          <w:sz w:val="24"/>
          <w:szCs w:val="24"/>
        </w:rPr>
      </w:pPr>
      <w:r w:rsidRPr="007F5FA5">
        <w:rPr>
          <w:lang w:eastAsia="bg-BG"/>
        </w:rPr>
        <w:t>Дата на първо разрешаване: 18.10.2001 г.</w:t>
      </w:r>
    </w:p>
    <w:p w14:paraId="625D82BA" w14:textId="77777777" w:rsidR="007F5FA5" w:rsidRPr="007F5FA5" w:rsidRDefault="007F5FA5" w:rsidP="007F5FA5">
      <w:pPr>
        <w:rPr>
          <w:sz w:val="24"/>
          <w:szCs w:val="24"/>
        </w:rPr>
      </w:pPr>
      <w:r w:rsidRPr="007F5FA5">
        <w:rPr>
          <w:lang w:eastAsia="bg-BG"/>
        </w:rPr>
        <w:t>Дата на последно подновяване: 10.04.2007 г.</w:t>
      </w:r>
    </w:p>
    <w:p w14:paraId="1AAA90E5" w14:textId="77777777" w:rsidR="007F5FA5" w:rsidRPr="007F5FA5" w:rsidRDefault="007F5FA5" w:rsidP="007F5FA5"/>
    <w:p w14:paraId="0E9D0119" w14:textId="0245C6D7" w:rsidR="002C50EE" w:rsidRDefault="002C50EE" w:rsidP="002C50EE">
      <w:pPr>
        <w:pStyle w:val="Heading1"/>
      </w:pPr>
      <w:r>
        <w:t>10. ДАТА НА АКТУАЛИЗИРАНЕ НА ТЕКСТА</w:t>
      </w:r>
    </w:p>
    <w:p w14:paraId="43FB38A2" w14:textId="6CE76095" w:rsidR="007C605B" w:rsidRPr="003E3126" w:rsidRDefault="007F5FA5" w:rsidP="007F5FA5">
      <w:bookmarkStart w:id="1" w:name="_GoBack"/>
      <w:bookmarkEnd w:id="0"/>
      <w:r>
        <w:t>Юни 2014 г.</w:t>
      </w:r>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37709"/>
    <w:multiLevelType w:val="hybridMultilevel"/>
    <w:tmpl w:val="2B12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3E114597"/>
    <w:multiLevelType w:val="hybridMultilevel"/>
    <w:tmpl w:val="FBE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A1F9A"/>
    <w:multiLevelType w:val="hybridMultilevel"/>
    <w:tmpl w:val="93BE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3"/>
  </w:num>
  <w:num w:numId="4">
    <w:abstractNumId w:val="3"/>
  </w:num>
  <w:num w:numId="5">
    <w:abstractNumId w:val="1"/>
  </w:num>
  <w:num w:numId="6">
    <w:abstractNumId w:val="17"/>
  </w:num>
  <w:num w:numId="7">
    <w:abstractNumId w:val="11"/>
  </w:num>
  <w:num w:numId="8">
    <w:abstractNumId w:val="15"/>
  </w:num>
  <w:num w:numId="9">
    <w:abstractNumId w:val="2"/>
  </w:num>
  <w:num w:numId="10">
    <w:abstractNumId w:val="4"/>
  </w:num>
  <w:num w:numId="11">
    <w:abstractNumId w:val="31"/>
  </w:num>
  <w:num w:numId="12">
    <w:abstractNumId w:val="14"/>
  </w:num>
  <w:num w:numId="13">
    <w:abstractNumId w:val="20"/>
  </w:num>
  <w:num w:numId="14">
    <w:abstractNumId w:val="12"/>
  </w:num>
  <w:num w:numId="15">
    <w:abstractNumId w:val="30"/>
  </w:num>
  <w:num w:numId="16">
    <w:abstractNumId w:val="10"/>
  </w:num>
  <w:num w:numId="17">
    <w:abstractNumId w:val="26"/>
  </w:num>
  <w:num w:numId="18">
    <w:abstractNumId w:val="7"/>
  </w:num>
  <w:num w:numId="19">
    <w:abstractNumId w:val="28"/>
  </w:num>
  <w:num w:numId="20">
    <w:abstractNumId w:val="25"/>
  </w:num>
  <w:num w:numId="21">
    <w:abstractNumId w:val="18"/>
  </w:num>
  <w:num w:numId="22">
    <w:abstractNumId w:val="27"/>
  </w:num>
  <w:num w:numId="23">
    <w:abstractNumId w:val="19"/>
  </w:num>
  <w:num w:numId="24">
    <w:abstractNumId w:val="8"/>
  </w:num>
  <w:num w:numId="25">
    <w:abstractNumId w:val="24"/>
  </w:num>
  <w:num w:numId="26">
    <w:abstractNumId w:val="22"/>
  </w:num>
  <w:num w:numId="27">
    <w:abstractNumId w:val="32"/>
  </w:num>
  <w:num w:numId="28">
    <w:abstractNumId w:val="6"/>
  </w:num>
  <w:num w:numId="29">
    <w:abstractNumId w:val="21"/>
  </w:num>
  <w:num w:numId="30">
    <w:abstractNumId w:val="33"/>
  </w:num>
  <w:num w:numId="31">
    <w:abstractNumId w:val="5"/>
  </w:num>
  <w:num w:numId="32">
    <w:abstractNumId w:val="9"/>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7F5FA5"/>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2516</Words>
  <Characters>14343</Characters>
  <Application>Microsoft Office Word</Application>
  <DocSecurity>0</DocSecurity>
  <Lines>119</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2021-11-26T19:31:00Z</dcterms:created>
  <dcterms:modified xsi:type="dcterms:W3CDTF">2021-11-26T19:31:00Z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