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3B12E7D5" w:rsidR="007122AD" w:rsidRDefault="00DD466D" w:rsidP="00936AD0">
      <w:pPr>
        <w:pStyle w:val="Heading1"/>
      </w:pPr>
      <w:r>
        <w:t>1.ИМЕ НА ЛЕКАРСТВЕНИЯ ПРОДУКТ</w:t>
      </w:r>
    </w:p>
    <w:p w14:paraId="5F54AB59" w14:textId="4E3E4E6C" w:rsidR="00A37BC8" w:rsidRDefault="00A37BC8" w:rsidP="00A37BC8"/>
    <w:p w14:paraId="0830E6A0" w14:textId="77777777" w:rsidR="00A37BC8" w:rsidRPr="00A37BC8" w:rsidRDefault="00A37BC8" w:rsidP="00A37BC8">
      <w:pPr>
        <w:rPr>
          <w:sz w:val="24"/>
          <w:szCs w:val="24"/>
          <w:lang w:val="ru-RU"/>
        </w:rPr>
      </w:pPr>
      <w:r w:rsidRPr="00A37BC8">
        <w:rPr>
          <w:lang w:eastAsia="bg-BG"/>
        </w:rPr>
        <w:t xml:space="preserve">Клофарабин Зентива 1 </w:t>
      </w:r>
      <w:r w:rsidRPr="00A37BC8">
        <w:rPr>
          <w:lang w:val="en-US"/>
        </w:rPr>
        <w:t>mg</w:t>
      </w:r>
      <w:r w:rsidRPr="00A37BC8">
        <w:rPr>
          <w:lang w:val="ru-RU"/>
        </w:rPr>
        <w:t>/</w:t>
      </w:r>
      <w:r w:rsidRPr="00A37BC8">
        <w:rPr>
          <w:lang w:val="en-US"/>
        </w:rPr>
        <w:t>ml</w:t>
      </w:r>
      <w:r w:rsidRPr="00A37BC8">
        <w:rPr>
          <w:lang w:val="ru-RU"/>
        </w:rPr>
        <w:t xml:space="preserve"> </w:t>
      </w:r>
      <w:r w:rsidRPr="00A37BC8">
        <w:rPr>
          <w:lang w:eastAsia="bg-BG"/>
        </w:rPr>
        <w:t>концентрат за инфузионен разтвор</w:t>
      </w:r>
    </w:p>
    <w:p w14:paraId="47535DF3" w14:textId="570C4963" w:rsidR="00A37BC8" w:rsidRPr="00A37BC8" w:rsidRDefault="00A37BC8" w:rsidP="00A37BC8">
      <w:proofErr w:type="spellStart"/>
      <w:r w:rsidRPr="00A37BC8">
        <w:rPr>
          <w:lang w:val="en-US"/>
        </w:rPr>
        <w:t>Clofarabin</w:t>
      </w:r>
      <w:proofErr w:type="spellEnd"/>
      <w:r w:rsidRPr="00A37BC8">
        <w:rPr>
          <w:lang w:val="en-US"/>
        </w:rPr>
        <w:t xml:space="preserve"> </w:t>
      </w:r>
      <w:proofErr w:type="spellStart"/>
      <w:r w:rsidRPr="00A37BC8">
        <w:rPr>
          <w:lang w:val="en-US"/>
        </w:rPr>
        <w:t>Zentiva</w:t>
      </w:r>
      <w:proofErr w:type="spellEnd"/>
      <w:r w:rsidRPr="00A37BC8">
        <w:rPr>
          <w:lang w:val="en-US"/>
        </w:rPr>
        <w:t xml:space="preserve"> </w:t>
      </w:r>
      <w:r w:rsidRPr="00A37BC8">
        <w:rPr>
          <w:lang w:eastAsia="bg-BG"/>
        </w:rPr>
        <w:t xml:space="preserve">1 </w:t>
      </w:r>
      <w:r w:rsidRPr="00A37BC8">
        <w:rPr>
          <w:lang w:val="en-US"/>
        </w:rPr>
        <w:t>mg/ml concentrate for solution for infusion</w:t>
      </w:r>
    </w:p>
    <w:p w14:paraId="6920A680" w14:textId="0D683CD3" w:rsidR="00C40420" w:rsidRDefault="00DD466D" w:rsidP="004A448E">
      <w:pPr>
        <w:pStyle w:val="Heading1"/>
      </w:pPr>
      <w:r>
        <w:t>2. КАЧЕСТВЕН И КОЛИЧЕСТВЕН СЪСТАВ</w:t>
      </w:r>
    </w:p>
    <w:p w14:paraId="72F226AB" w14:textId="4EC25AEB" w:rsidR="00A37BC8" w:rsidRDefault="00A37BC8" w:rsidP="00A37BC8"/>
    <w:p w14:paraId="6B9E5DA7" w14:textId="77777777" w:rsidR="00A37BC8" w:rsidRPr="00A37BC8" w:rsidRDefault="00A37BC8" w:rsidP="00A37BC8">
      <w:pPr>
        <w:rPr>
          <w:sz w:val="24"/>
          <w:szCs w:val="24"/>
        </w:rPr>
      </w:pPr>
      <w:r w:rsidRPr="00A37BC8">
        <w:rPr>
          <w:lang w:eastAsia="bg-BG"/>
        </w:rPr>
        <w:t xml:space="preserve">Един </w:t>
      </w:r>
      <w:r w:rsidRPr="00A37BC8">
        <w:rPr>
          <w:lang w:val="en-US"/>
        </w:rPr>
        <w:t>ml</w:t>
      </w:r>
      <w:r w:rsidRPr="00A37BC8">
        <w:t xml:space="preserve"> </w:t>
      </w:r>
      <w:r w:rsidRPr="00A37BC8">
        <w:rPr>
          <w:lang w:eastAsia="bg-BG"/>
        </w:rPr>
        <w:t xml:space="preserve">концентрат съдържа 1 </w:t>
      </w:r>
      <w:r w:rsidRPr="00A37BC8">
        <w:rPr>
          <w:lang w:val="en-US"/>
        </w:rPr>
        <w:t>mg</w:t>
      </w:r>
      <w:r w:rsidRPr="00A37BC8">
        <w:t xml:space="preserve"> </w:t>
      </w:r>
      <w:r w:rsidRPr="00A37BC8">
        <w:rPr>
          <w:lang w:eastAsia="bg-BG"/>
        </w:rPr>
        <w:t xml:space="preserve">клофарабин </w:t>
      </w:r>
      <w:r w:rsidRPr="00A37BC8">
        <w:t>(</w:t>
      </w:r>
      <w:proofErr w:type="spellStart"/>
      <w:r w:rsidRPr="00A37BC8">
        <w:rPr>
          <w:lang w:val="en-US"/>
        </w:rPr>
        <w:t>clofarabine</w:t>
      </w:r>
      <w:proofErr w:type="spellEnd"/>
      <w:r w:rsidRPr="00A37BC8">
        <w:t xml:space="preserve">). </w:t>
      </w:r>
      <w:r w:rsidRPr="00A37BC8">
        <w:rPr>
          <w:lang w:eastAsia="bg-BG"/>
        </w:rPr>
        <w:t xml:space="preserve">Всеки флакон от 20 </w:t>
      </w:r>
      <w:r w:rsidRPr="00A37BC8">
        <w:rPr>
          <w:lang w:val="en-US"/>
        </w:rPr>
        <w:t>ml</w:t>
      </w:r>
      <w:r w:rsidRPr="00A37BC8">
        <w:rPr>
          <w:lang w:val="ru-RU"/>
        </w:rPr>
        <w:t xml:space="preserve"> </w:t>
      </w:r>
      <w:r w:rsidRPr="00A37BC8">
        <w:rPr>
          <w:lang w:eastAsia="bg-BG"/>
        </w:rPr>
        <w:t xml:space="preserve">съдържа 20 </w:t>
      </w:r>
      <w:r w:rsidRPr="00A37BC8">
        <w:rPr>
          <w:lang w:val="en-US"/>
        </w:rPr>
        <w:t>mg</w:t>
      </w:r>
      <w:r w:rsidRPr="00A37BC8">
        <w:rPr>
          <w:lang w:val="ru-RU"/>
        </w:rPr>
        <w:t xml:space="preserve"> </w:t>
      </w:r>
      <w:r w:rsidRPr="00A37BC8">
        <w:rPr>
          <w:lang w:eastAsia="bg-BG"/>
        </w:rPr>
        <w:t>клофарабин.</w:t>
      </w:r>
    </w:p>
    <w:p w14:paraId="55540D21" w14:textId="77777777" w:rsidR="00A37BC8" w:rsidRDefault="00A37BC8" w:rsidP="00A37BC8">
      <w:pPr>
        <w:rPr>
          <w:lang w:eastAsia="bg-BG"/>
        </w:rPr>
      </w:pPr>
    </w:p>
    <w:p w14:paraId="3C544233" w14:textId="4C78E773" w:rsidR="00A37BC8" w:rsidRPr="00A37BC8" w:rsidRDefault="00A37BC8" w:rsidP="00A37BC8">
      <w:pPr>
        <w:rPr>
          <w:sz w:val="24"/>
          <w:szCs w:val="24"/>
        </w:rPr>
      </w:pPr>
      <w:r w:rsidRPr="00A37BC8">
        <w:rPr>
          <w:lang w:eastAsia="bg-BG"/>
        </w:rPr>
        <w:t>Помощно вещество с известно действие</w:t>
      </w:r>
    </w:p>
    <w:p w14:paraId="077C73F3" w14:textId="77777777" w:rsidR="00A37BC8" w:rsidRPr="00A37BC8" w:rsidRDefault="00A37BC8" w:rsidP="00A37BC8">
      <w:pPr>
        <w:rPr>
          <w:sz w:val="24"/>
          <w:szCs w:val="24"/>
        </w:rPr>
      </w:pPr>
      <w:r w:rsidRPr="00A37BC8">
        <w:rPr>
          <w:lang w:eastAsia="bg-BG"/>
        </w:rPr>
        <w:t xml:space="preserve">Този лекарствен продукт съдържа 71 </w:t>
      </w:r>
      <w:r w:rsidRPr="00A37BC8">
        <w:rPr>
          <w:lang w:val="en-US"/>
        </w:rPr>
        <w:t>mg</w:t>
      </w:r>
      <w:r w:rsidRPr="00A37BC8">
        <w:rPr>
          <w:lang w:val="ru-RU"/>
        </w:rPr>
        <w:t xml:space="preserve"> </w:t>
      </w:r>
      <w:r w:rsidRPr="00A37BC8">
        <w:rPr>
          <w:lang w:eastAsia="bg-BG"/>
        </w:rPr>
        <w:t>натрий на флакон.</w:t>
      </w:r>
    </w:p>
    <w:p w14:paraId="1126B953" w14:textId="77777777" w:rsidR="00A37BC8" w:rsidRPr="00A37BC8" w:rsidRDefault="00A37BC8" w:rsidP="00A37BC8"/>
    <w:p w14:paraId="614984C4" w14:textId="1488897A" w:rsidR="008A6AF2" w:rsidRDefault="00DD466D" w:rsidP="002C50EE">
      <w:pPr>
        <w:pStyle w:val="Heading1"/>
      </w:pPr>
      <w:r>
        <w:t>3. ЛЕКАРСТВЕНА ФОРМА</w:t>
      </w:r>
    </w:p>
    <w:p w14:paraId="550EC2AB" w14:textId="324F008D" w:rsidR="00A37BC8" w:rsidRDefault="00A37BC8" w:rsidP="00A37BC8"/>
    <w:p w14:paraId="4CFEB9E4" w14:textId="77777777" w:rsidR="00A37BC8" w:rsidRPr="00A37BC8" w:rsidRDefault="00A37BC8" w:rsidP="00A37BC8">
      <w:pPr>
        <w:rPr>
          <w:sz w:val="24"/>
          <w:szCs w:val="24"/>
        </w:rPr>
      </w:pPr>
      <w:r w:rsidRPr="00A37BC8">
        <w:rPr>
          <w:lang w:eastAsia="bg-BG"/>
        </w:rPr>
        <w:t>Концентрат за инфузионен разтвор</w:t>
      </w:r>
    </w:p>
    <w:p w14:paraId="6BE54645" w14:textId="77777777" w:rsidR="00A37BC8" w:rsidRDefault="00A37BC8" w:rsidP="00A37BC8">
      <w:pPr>
        <w:rPr>
          <w:lang w:eastAsia="bg-BG"/>
        </w:rPr>
      </w:pPr>
    </w:p>
    <w:p w14:paraId="632E4D72" w14:textId="025E04A8" w:rsidR="00A37BC8" w:rsidRPr="00A37BC8" w:rsidRDefault="00A37BC8" w:rsidP="00A37BC8">
      <w:pPr>
        <w:rPr>
          <w:sz w:val="24"/>
          <w:szCs w:val="24"/>
        </w:rPr>
      </w:pPr>
      <w:r w:rsidRPr="00A37BC8">
        <w:rPr>
          <w:lang w:eastAsia="bg-BG"/>
        </w:rPr>
        <w:t xml:space="preserve">Бистър, почти безцветен разтвор, практически свободен от частици, с </w:t>
      </w:r>
      <w:r w:rsidRPr="00A37BC8">
        <w:rPr>
          <w:lang w:val="en-US"/>
        </w:rPr>
        <w:t>pH</w:t>
      </w:r>
      <w:r w:rsidRPr="00A37BC8">
        <w:rPr>
          <w:lang w:val="ru-RU"/>
        </w:rPr>
        <w:t xml:space="preserve"> </w:t>
      </w:r>
      <w:r w:rsidRPr="00A37BC8">
        <w:rPr>
          <w:lang w:eastAsia="bg-BG"/>
        </w:rPr>
        <w:t xml:space="preserve">от 4,5 до 7,5 и осмоларитет от 270 до 310 </w:t>
      </w:r>
      <w:proofErr w:type="spellStart"/>
      <w:r w:rsidRPr="00A37BC8">
        <w:rPr>
          <w:lang w:val="en-US"/>
        </w:rPr>
        <w:t>mOsm</w:t>
      </w:r>
      <w:proofErr w:type="spellEnd"/>
      <w:r w:rsidRPr="00A37BC8">
        <w:rPr>
          <w:lang w:val="ru-RU"/>
        </w:rPr>
        <w:t>/1.</w:t>
      </w:r>
    </w:p>
    <w:p w14:paraId="1BD4E051" w14:textId="77777777" w:rsidR="00A37BC8" w:rsidRPr="00A37BC8" w:rsidRDefault="00A37BC8" w:rsidP="00A37BC8"/>
    <w:p w14:paraId="490FC2C4" w14:textId="0F4A4A75" w:rsidR="002C50EE" w:rsidRDefault="002C50EE" w:rsidP="002C50EE">
      <w:pPr>
        <w:pStyle w:val="Heading1"/>
      </w:pPr>
      <w:r>
        <w:t>4. КЛИНИЧНИ ДАННИ</w:t>
      </w:r>
    </w:p>
    <w:p w14:paraId="74330405" w14:textId="55C5A979" w:rsidR="007122AD" w:rsidRDefault="002C50EE" w:rsidP="00936AD0">
      <w:pPr>
        <w:pStyle w:val="Heading2"/>
      </w:pPr>
      <w:r>
        <w:t>4.1. Терапевтични показания</w:t>
      </w:r>
    </w:p>
    <w:p w14:paraId="1B0360CC" w14:textId="6BA543C7" w:rsidR="00A37BC8" w:rsidRDefault="00A37BC8" w:rsidP="00A37BC8"/>
    <w:p w14:paraId="0420D918" w14:textId="77777777" w:rsidR="00A37BC8" w:rsidRPr="00A37BC8" w:rsidRDefault="00A37BC8" w:rsidP="00A37BC8">
      <w:pPr>
        <w:rPr>
          <w:sz w:val="24"/>
          <w:szCs w:val="24"/>
        </w:rPr>
      </w:pPr>
      <w:r w:rsidRPr="00A37BC8">
        <w:rPr>
          <w:lang w:eastAsia="bg-BG"/>
        </w:rPr>
        <w:t>Лечение на остра лимфобластна левкемия (ОЛЛ) при педиатрични пациенти, които са получили рецидив или са рефрактерни на лечение след най-малко две предшестващи схеми и когато няма друг вариант за лечение, за който се очаква да доведе до трайно повлияване. Безопасността и ефикасността са оценени в проучвания върху пациенти на възраст ≤21 години към момента на първоначално поставяне на диагнозата (вж. точка 5.1).</w:t>
      </w:r>
    </w:p>
    <w:p w14:paraId="3E26290C" w14:textId="77777777" w:rsidR="00A37BC8" w:rsidRPr="00A37BC8" w:rsidRDefault="00A37BC8" w:rsidP="00A37BC8"/>
    <w:p w14:paraId="53F5B866" w14:textId="7B3525FD" w:rsidR="007122AD" w:rsidRDefault="002C50EE" w:rsidP="00936AD0">
      <w:pPr>
        <w:pStyle w:val="Heading2"/>
      </w:pPr>
      <w:r>
        <w:t>4.2. Дозировка и начин на приложение</w:t>
      </w:r>
    </w:p>
    <w:p w14:paraId="40FF448F" w14:textId="1BF60049" w:rsidR="00A37BC8" w:rsidRDefault="00A37BC8" w:rsidP="00A37BC8"/>
    <w:p w14:paraId="626DAD4C"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Терапията трябва да започне и да се провежда под контрола на лекар с опит в лечението на пациенти, страдащи от остри левкемия.</w:t>
      </w:r>
    </w:p>
    <w:p w14:paraId="7A34CE82" w14:textId="77777777" w:rsidR="00A37BC8" w:rsidRDefault="00A37BC8" w:rsidP="00A37BC8">
      <w:pPr>
        <w:spacing w:line="240" w:lineRule="auto"/>
        <w:rPr>
          <w:rFonts w:eastAsia="Times New Roman" w:cs="Arial"/>
          <w:color w:val="000000"/>
          <w:szCs w:val="20"/>
          <w:u w:val="single"/>
          <w:lang w:eastAsia="bg-BG"/>
        </w:rPr>
      </w:pPr>
    </w:p>
    <w:p w14:paraId="249E3519" w14:textId="0EA20F62" w:rsidR="00A37BC8" w:rsidRPr="00A37BC8" w:rsidRDefault="00A37BC8" w:rsidP="00A37BC8">
      <w:pPr>
        <w:pStyle w:val="Heading3"/>
        <w:rPr>
          <w:rFonts w:eastAsia="Times New Roman"/>
          <w:u w:val="single"/>
          <w:lang w:eastAsia="bg-BG"/>
        </w:rPr>
      </w:pPr>
      <w:r w:rsidRPr="00A37BC8">
        <w:rPr>
          <w:rFonts w:eastAsia="Times New Roman"/>
          <w:u w:val="single"/>
          <w:lang w:eastAsia="bg-BG"/>
        </w:rPr>
        <w:t>Дозировка</w:t>
      </w:r>
    </w:p>
    <w:p w14:paraId="423B1A07" w14:textId="77777777" w:rsidR="00A37BC8" w:rsidRPr="00A37BC8" w:rsidRDefault="00A37BC8" w:rsidP="00A37BC8">
      <w:pPr>
        <w:spacing w:line="240" w:lineRule="auto"/>
        <w:rPr>
          <w:rFonts w:eastAsia="Times New Roman" w:cs="Arial"/>
          <w:i/>
          <w:iCs/>
          <w:color w:val="000000"/>
          <w:szCs w:val="20"/>
          <w:u w:val="single"/>
          <w:lang w:eastAsia="bg-BG"/>
        </w:rPr>
      </w:pPr>
    </w:p>
    <w:p w14:paraId="6467B68E" w14:textId="197BECE0"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u w:val="single"/>
          <w:lang w:eastAsia="bg-BG"/>
        </w:rPr>
        <w:t>Популация възрастни (включително старческа възраст)</w:t>
      </w:r>
    </w:p>
    <w:p w14:paraId="79D34172"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Понастоящем няма достатъчно данни за установяване на безопасността и ефикасността на клофарабин при възрастни пациенти (вж. точка 5.2).</w:t>
      </w:r>
    </w:p>
    <w:p w14:paraId="06DA254E" w14:textId="77777777" w:rsidR="00A37BC8" w:rsidRPr="00A37BC8" w:rsidRDefault="00A37BC8" w:rsidP="00A37BC8">
      <w:pPr>
        <w:spacing w:line="240" w:lineRule="auto"/>
        <w:rPr>
          <w:rFonts w:eastAsia="Times New Roman" w:cs="Arial"/>
          <w:i/>
          <w:iCs/>
          <w:color w:val="000000"/>
          <w:szCs w:val="20"/>
          <w:u w:val="single"/>
          <w:lang w:eastAsia="bg-BG"/>
        </w:rPr>
      </w:pPr>
    </w:p>
    <w:p w14:paraId="3882A6C7" w14:textId="70625169"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u w:val="single"/>
          <w:lang w:eastAsia="bg-BG"/>
        </w:rPr>
        <w:t>Педиатрична популация</w:t>
      </w:r>
    </w:p>
    <w:p w14:paraId="1B354288" w14:textId="77777777" w:rsidR="00A37BC8" w:rsidRPr="00A37BC8" w:rsidRDefault="00A37BC8" w:rsidP="00A37BC8">
      <w:pPr>
        <w:spacing w:line="240" w:lineRule="auto"/>
        <w:rPr>
          <w:rFonts w:eastAsia="Times New Roman" w:cs="Arial"/>
          <w:i/>
          <w:iCs/>
          <w:color w:val="000000"/>
          <w:szCs w:val="20"/>
          <w:lang w:eastAsia="bg-BG"/>
        </w:rPr>
      </w:pPr>
    </w:p>
    <w:p w14:paraId="0744FD95" w14:textId="79D5D40F"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lang w:eastAsia="bg-BG"/>
        </w:rPr>
        <w:t>Деца и юноши (възраст ≥1 година)</w:t>
      </w:r>
    </w:p>
    <w:p w14:paraId="316257DB" w14:textId="77777777" w:rsidR="00A37BC8" w:rsidRPr="00A37BC8" w:rsidRDefault="00A37BC8" w:rsidP="00A37BC8">
      <w:pPr>
        <w:rPr>
          <w:rFonts w:eastAsia="Times New Roman" w:cs="Arial"/>
          <w:sz w:val="28"/>
          <w:szCs w:val="24"/>
        </w:rPr>
      </w:pPr>
      <w:r w:rsidRPr="00A37BC8">
        <w:rPr>
          <w:rFonts w:eastAsia="Times New Roman" w:cs="Arial"/>
          <w:color w:val="000000"/>
          <w:szCs w:val="20"/>
          <w:lang w:eastAsia="bg-BG"/>
        </w:rPr>
        <w:t xml:space="preserve">Препоръчителната доза при монотерапия е 52 </w:t>
      </w:r>
      <w:r w:rsidRPr="00A37BC8">
        <w:rPr>
          <w:rFonts w:eastAsia="Times New Roman" w:cs="Arial"/>
          <w:color w:val="000000"/>
          <w:szCs w:val="20"/>
          <w:lang w:val="en-US"/>
        </w:rPr>
        <w:t>mg</w:t>
      </w:r>
      <w:r w:rsidRPr="00A37BC8">
        <w:rPr>
          <w:rFonts w:eastAsia="Times New Roman" w:cs="Arial"/>
          <w:color w:val="000000"/>
          <w:szCs w:val="20"/>
          <w:lang w:val="ru-RU"/>
        </w:rPr>
        <w:t>/</w:t>
      </w:r>
      <w:r w:rsidRPr="00A37BC8">
        <w:rPr>
          <w:rFonts w:eastAsia="Times New Roman" w:cs="Arial"/>
          <w:color w:val="000000"/>
          <w:szCs w:val="20"/>
          <w:lang w:val="en-US"/>
        </w:rPr>
        <w:t>m</w:t>
      </w:r>
      <w:r w:rsidRPr="00A37BC8">
        <w:rPr>
          <w:rFonts w:eastAsia="Times New Roman" w:cs="Arial"/>
          <w:color w:val="000000"/>
          <w:szCs w:val="20"/>
          <w:vertAlign w:val="superscript"/>
          <w:lang w:val="ru-RU"/>
        </w:rPr>
        <w:t>2</w:t>
      </w:r>
      <w:r w:rsidRPr="00A37BC8">
        <w:rPr>
          <w:rFonts w:eastAsia="Times New Roman" w:cs="Arial"/>
          <w:color w:val="000000"/>
          <w:szCs w:val="20"/>
          <w:lang w:val="ru-RU"/>
        </w:rPr>
        <w:t xml:space="preserve"> </w:t>
      </w:r>
      <w:r w:rsidRPr="00A37BC8">
        <w:rPr>
          <w:rFonts w:eastAsia="Times New Roman" w:cs="Arial"/>
          <w:color w:val="000000"/>
          <w:szCs w:val="20"/>
          <w:lang w:eastAsia="bg-BG"/>
        </w:rPr>
        <w:t>телесна повърхност, прилагани</w:t>
      </w:r>
      <w:r w:rsidRPr="00A37BC8">
        <w:rPr>
          <w:rFonts w:eastAsia="Times New Roman" w:cs="Arial"/>
          <w:color w:val="000000"/>
          <w:szCs w:val="20"/>
          <w:lang w:val="ru-RU"/>
        </w:rPr>
        <w:t xml:space="preserve"> </w:t>
      </w:r>
      <w:r w:rsidRPr="00A37BC8">
        <w:rPr>
          <w:rFonts w:eastAsia="Times New Roman" w:cs="Arial"/>
          <w:color w:val="000000"/>
          <w:szCs w:val="20"/>
          <w:lang w:eastAsia="bg-BG"/>
        </w:rPr>
        <w:t>ежедневно чрез интравенозна инфузия в течение на 2 часа за 5 последователни дни. Телесната повърхност</w:t>
      </w:r>
      <w:r w:rsidRPr="00A37BC8">
        <w:rPr>
          <w:rFonts w:eastAsia="Times New Roman" w:cs="Arial"/>
          <w:color w:val="000000"/>
          <w:szCs w:val="20"/>
          <w:lang w:val="ru-RU" w:eastAsia="bg-BG"/>
        </w:rPr>
        <w:t xml:space="preserve"> </w:t>
      </w:r>
      <w:r w:rsidRPr="00A37BC8">
        <w:rPr>
          <w:rFonts w:eastAsia="Times New Roman" w:cs="Arial"/>
          <w:color w:val="000000"/>
          <w:szCs w:val="20"/>
          <w:lang w:eastAsia="bg-BG"/>
        </w:rPr>
        <w:t>трябва да се изчислява, като се използва действителния ръст и тегло на пациента преди началото на всеки цикъл. Циклите на лечение трябва да се повтарят на всеки 2 до 6 седмици (от деня на започване на предишния цикъл) след възстановяване на нормалната хемопоеза (т.е. АБН ≥ 0,75 * 10</w:t>
      </w:r>
      <w:r w:rsidRPr="00A37BC8">
        <w:rPr>
          <w:rFonts w:eastAsia="Times New Roman" w:cs="Arial"/>
          <w:color w:val="000000"/>
          <w:szCs w:val="20"/>
          <w:vertAlign w:val="superscript"/>
          <w:lang w:eastAsia="bg-BG"/>
        </w:rPr>
        <w:t>9</w:t>
      </w:r>
      <w:r w:rsidRPr="00A37BC8">
        <w:rPr>
          <w:rFonts w:eastAsia="Times New Roman" w:cs="Arial"/>
          <w:color w:val="000000"/>
          <w:szCs w:val="20"/>
          <w:lang w:eastAsia="bg-BG"/>
        </w:rPr>
        <w:t>/1) и възвръщане към изходната органна функция. Намаляване на дозата с 25% може да бъде оправдано при пациенти, изпитали значителна токсичност (вж. по-долу). Засега има ограничен опит с пациенти, подложени на повече от 3 цикъла на лечение (вж. точка 4.4).</w:t>
      </w:r>
    </w:p>
    <w:p w14:paraId="5126A389" w14:textId="77777777" w:rsidR="00A37BC8" w:rsidRPr="00A37BC8" w:rsidRDefault="00A37BC8" w:rsidP="00A37BC8">
      <w:pPr>
        <w:spacing w:line="240" w:lineRule="auto"/>
        <w:rPr>
          <w:rFonts w:eastAsia="Times New Roman" w:cs="Arial"/>
          <w:color w:val="000000"/>
          <w:szCs w:val="20"/>
          <w:lang w:eastAsia="bg-BG"/>
        </w:rPr>
      </w:pPr>
    </w:p>
    <w:p w14:paraId="24D12B93" w14:textId="53FAA206"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Повечето пациенти, повлияващи се от клофарабин, достигат отговор след 1 или 2 цикъла на лечение (вж. точка 5.1). Затова потенциалната полза и рисковете, свързани с продължаване на терапията при пациенти, които не показват хематологично и/или клинично подобрение след 2 цикъла на лечение, трябва да бъдат оценени от лекуващия лекар (вж. точка 4.4).</w:t>
      </w:r>
    </w:p>
    <w:p w14:paraId="4482B3EA" w14:textId="77777777" w:rsidR="00A37BC8" w:rsidRPr="00A37BC8" w:rsidRDefault="00A37BC8" w:rsidP="00A37BC8">
      <w:pPr>
        <w:spacing w:line="240" w:lineRule="auto"/>
        <w:rPr>
          <w:rFonts w:eastAsia="Times New Roman" w:cs="Arial"/>
          <w:i/>
          <w:iCs/>
          <w:color w:val="000000"/>
          <w:szCs w:val="20"/>
          <w:lang w:eastAsia="bg-BG"/>
        </w:rPr>
      </w:pPr>
    </w:p>
    <w:p w14:paraId="07817707" w14:textId="525C9310"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lang w:eastAsia="bg-BG"/>
        </w:rPr>
        <w:t xml:space="preserve">Деца с тегло &lt; 20 </w:t>
      </w:r>
      <w:r w:rsidRPr="00A37BC8">
        <w:rPr>
          <w:rFonts w:eastAsia="Times New Roman" w:cs="Arial"/>
          <w:i/>
          <w:iCs/>
          <w:color w:val="000000"/>
          <w:szCs w:val="20"/>
          <w:lang w:val="en-US"/>
        </w:rPr>
        <w:t>kg</w:t>
      </w:r>
    </w:p>
    <w:p w14:paraId="0CC00C1B"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Трябва да се обмисли време на инфузията &gt; 2 часа, за да се улесни намаляването на симптоми като тревожност и раздразнителност и за избягване на неоправдано високи максимални концентрации на клофарабин (вж. точка 5.2).</w:t>
      </w:r>
    </w:p>
    <w:p w14:paraId="6DBAE7A4" w14:textId="77777777" w:rsidR="00A37BC8" w:rsidRPr="00A37BC8" w:rsidRDefault="00A37BC8" w:rsidP="00A37BC8">
      <w:pPr>
        <w:spacing w:line="240" w:lineRule="auto"/>
        <w:rPr>
          <w:rFonts w:eastAsia="Times New Roman" w:cs="Arial"/>
          <w:i/>
          <w:iCs/>
          <w:color w:val="000000"/>
          <w:szCs w:val="20"/>
          <w:lang w:eastAsia="bg-BG"/>
        </w:rPr>
      </w:pPr>
    </w:p>
    <w:p w14:paraId="3E9D2301" w14:textId="653CEF72"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lang w:eastAsia="bg-BG"/>
        </w:rPr>
        <w:t>Деца на възраст &lt; 1 година</w:t>
      </w:r>
    </w:p>
    <w:p w14:paraId="2D54A3DF"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Няма данни за фармакокинетиката, безопасността или ефикасността на клофарабин при кърмачета. По тази причина, препоръка за безопасна и ефективна дозировка при пациенти на възраст &lt; 1 година все още не може да бъде дадена.</w:t>
      </w:r>
    </w:p>
    <w:p w14:paraId="05A0766E" w14:textId="77777777" w:rsidR="00A37BC8" w:rsidRPr="00A37BC8" w:rsidRDefault="00A37BC8" w:rsidP="00A37BC8">
      <w:pPr>
        <w:spacing w:line="240" w:lineRule="auto"/>
        <w:rPr>
          <w:rFonts w:eastAsia="Times New Roman" w:cs="Arial"/>
          <w:i/>
          <w:iCs/>
          <w:color w:val="000000"/>
          <w:szCs w:val="20"/>
          <w:u w:val="single"/>
          <w:lang w:eastAsia="bg-BG"/>
        </w:rPr>
      </w:pPr>
    </w:p>
    <w:p w14:paraId="231F78EE" w14:textId="365568C1"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u w:val="single"/>
          <w:lang w:eastAsia="bg-BG"/>
        </w:rPr>
        <w:t>Намаляване на дозата при пациенти с хематопогична токсичност</w:t>
      </w:r>
    </w:p>
    <w:p w14:paraId="345F43C9" w14:textId="77777777" w:rsidR="00A37BC8" w:rsidRPr="00A37BC8" w:rsidRDefault="00A37BC8" w:rsidP="00A37BC8">
      <w:pPr>
        <w:spacing w:line="240" w:lineRule="auto"/>
        <w:rPr>
          <w:rFonts w:eastAsia="Times New Roman" w:cs="Arial"/>
          <w:color w:val="000000"/>
          <w:szCs w:val="20"/>
          <w:lang w:eastAsia="bg-BG"/>
        </w:rPr>
      </w:pPr>
    </w:p>
    <w:p w14:paraId="096F10EA" w14:textId="77EC03EB"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Ако АБН не се възстанови в рамките на 6 седмици след началото на цикъла на лечение, трябва да се направи костномозъчен аспират/биопсия за определяне на възможно рефрактерно заболяване. При липса на данни за персистираща левкемия се препоръчва дозата за следващия цикъл да бъде редуцирана с 25% от предишната доза след възстановяване на АБН до &gt; 0,75 * 10</w:t>
      </w:r>
      <w:r w:rsidRPr="00A37BC8">
        <w:rPr>
          <w:rFonts w:eastAsia="Times New Roman" w:cs="Arial"/>
          <w:color w:val="000000"/>
          <w:szCs w:val="20"/>
          <w:vertAlign w:val="superscript"/>
          <w:lang w:eastAsia="bg-BG"/>
        </w:rPr>
        <w:t>9</w:t>
      </w:r>
      <w:r w:rsidRPr="00A37BC8">
        <w:rPr>
          <w:rFonts w:eastAsia="Times New Roman" w:cs="Arial"/>
          <w:color w:val="000000"/>
          <w:szCs w:val="20"/>
          <w:lang w:eastAsia="bg-BG"/>
        </w:rPr>
        <w:t>/1. Ако стойностите на АБН се задържат &lt; 0,5 * 10</w:t>
      </w:r>
      <w:r w:rsidRPr="00A37BC8">
        <w:rPr>
          <w:rFonts w:eastAsia="Times New Roman" w:cs="Arial"/>
          <w:color w:val="000000"/>
          <w:szCs w:val="20"/>
          <w:vertAlign w:val="superscript"/>
          <w:lang w:eastAsia="bg-BG"/>
        </w:rPr>
        <w:t>9</w:t>
      </w:r>
      <w:r w:rsidRPr="00A37BC8">
        <w:rPr>
          <w:rFonts w:eastAsia="Times New Roman" w:cs="Arial"/>
          <w:color w:val="000000"/>
          <w:szCs w:val="20"/>
          <w:lang w:eastAsia="bg-BG"/>
        </w:rPr>
        <w:t>/1 за по-дълго от 4 седмици след началото на последния цикъл, се препоръчва дозата за следващия цикъл да се намали с 25%.</w:t>
      </w:r>
    </w:p>
    <w:p w14:paraId="48C014E8" w14:textId="77777777" w:rsidR="00A37BC8" w:rsidRPr="00A37BC8" w:rsidRDefault="00A37BC8" w:rsidP="00A37BC8">
      <w:pPr>
        <w:spacing w:line="240" w:lineRule="auto"/>
        <w:rPr>
          <w:rFonts w:eastAsia="Times New Roman" w:cs="Arial"/>
          <w:i/>
          <w:iCs/>
          <w:color w:val="000000"/>
          <w:szCs w:val="20"/>
          <w:lang w:eastAsia="bg-BG"/>
        </w:rPr>
      </w:pPr>
    </w:p>
    <w:p w14:paraId="04E89B4E" w14:textId="45B841C6"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lang w:eastAsia="bg-BG"/>
        </w:rPr>
        <w:t>Намаляване на дозата при пациенти с нехематологична токсичност</w:t>
      </w:r>
    </w:p>
    <w:p w14:paraId="6773C4C6" w14:textId="77777777" w:rsidR="00A37BC8" w:rsidRPr="00A37BC8" w:rsidRDefault="00A37BC8" w:rsidP="00A37BC8">
      <w:pPr>
        <w:spacing w:line="240" w:lineRule="auto"/>
        <w:rPr>
          <w:rFonts w:eastAsia="Times New Roman" w:cs="Arial"/>
          <w:i/>
          <w:iCs/>
          <w:color w:val="000000"/>
          <w:szCs w:val="20"/>
          <w:lang w:eastAsia="bg-BG"/>
        </w:rPr>
      </w:pPr>
    </w:p>
    <w:p w14:paraId="6A9ABEF3" w14:textId="0BEEE92B"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lang w:eastAsia="bg-BG"/>
        </w:rPr>
        <w:t>Инфекциозни събития</w:t>
      </w:r>
    </w:p>
    <w:p w14:paraId="4D9C5248"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Ако пациентът развие клинично значима инфекция, лечението с клофарабин може да се прекъсне до клиничното й овладяване. От този момент нататък лечението може да се възобнови при пълна доза. В случай на възникване на втора, клинично значима, инфекция лечението с клофарабин трябва да се прекрати до клиничното й овладяване, като след това може да се възобнови при намалена с 25% доза.</w:t>
      </w:r>
    </w:p>
    <w:p w14:paraId="3C125144" w14:textId="77777777" w:rsidR="00A37BC8" w:rsidRPr="00A37BC8" w:rsidRDefault="00A37BC8" w:rsidP="00A37BC8">
      <w:pPr>
        <w:spacing w:line="240" w:lineRule="auto"/>
        <w:rPr>
          <w:rFonts w:eastAsia="Times New Roman" w:cs="Arial"/>
          <w:i/>
          <w:iCs/>
          <w:color w:val="000000"/>
          <w:szCs w:val="20"/>
          <w:lang w:eastAsia="bg-BG"/>
        </w:rPr>
      </w:pPr>
    </w:p>
    <w:p w14:paraId="010D847A" w14:textId="5F50DBEF"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lang w:eastAsia="bg-BG"/>
        </w:rPr>
        <w:t>Неинфекциозни събития</w:t>
      </w:r>
    </w:p>
    <w:p w14:paraId="7E9FFA82"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lastRenderedPageBreak/>
        <w:t xml:space="preserve">Ако при даден пациент възникнат една или повече тежки токсични реакции (токсични реакции от 3-та степен с изключение на гадене и повръщане, съгласно общите критерии за токсичност (ОКТ) на Националния онкологичен институт </w:t>
      </w:r>
      <w:r w:rsidRPr="00A37BC8">
        <w:rPr>
          <w:rFonts w:eastAsia="Times New Roman" w:cs="Arial"/>
          <w:color w:val="000000"/>
          <w:szCs w:val="20"/>
          <w:lang w:val="ru-RU"/>
        </w:rPr>
        <w:t>(</w:t>
      </w:r>
      <w:r w:rsidRPr="00A37BC8">
        <w:rPr>
          <w:rFonts w:eastAsia="Times New Roman" w:cs="Arial"/>
          <w:color w:val="000000"/>
          <w:szCs w:val="20"/>
          <w:lang w:val="en-US"/>
        </w:rPr>
        <w:t>National</w:t>
      </w:r>
      <w:r w:rsidRPr="00A37BC8">
        <w:rPr>
          <w:rFonts w:eastAsia="Times New Roman" w:cs="Arial"/>
          <w:color w:val="000000"/>
          <w:szCs w:val="20"/>
          <w:lang w:val="ru-RU"/>
        </w:rPr>
        <w:t xml:space="preserve"> </w:t>
      </w:r>
      <w:r w:rsidRPr="00A37BC8">
        <w:rPr>
          <w:rFonts w:eastAsia="Times New Roman" w:cs="Arial"/>
          <w:color w:val="000000"/>
          <w:szCs w:val="20"/>
          <w:lang w:val="en-US"/>
        </w:rPr>
        <w:t>Cancer</w:t>
      </w:r>
      <w:r w:rsidRPr="00A37BC8">
        <w:rPr>
          <w:rFonts w:eastAsia="Times New Roman" w:cs="Arial"/>
          <w:color w:val="000000"/>
          <w:szCs w:val="20"/>
          <w:lang w:val="ru-RU"/>
        </w:rPr>
        <w:t xml:space="preserve"> </w:t>
      </w:r>
      <w:r w:rsidRPr="00A37BC8">
        <w:rPr>
          <w:rFonts w:eastAsia="Times New Roman" w:cs="Arial"/>
          <w:color w:val="000000"/>
          <w:szCs w:val="20"/>
          <w:lang w:val="en-US"/>
        </w:rPr>
        <w:t>Institute</w:t>
      </w:r>
      <w:r w:rsidRPr="00A37BC8">
        <w:rPr>
          <w:rFonts w:eastAsia="Times New Roman" w:cs="Arial"/>
          <w:color w:val="000000"/>
          <w:szCs w:val="20"/>
          <w:lang w:val="ru-RU"/>
        </w:rPr>
        <w:t xml:space="preserve">, </w:t>
      </w:r>
      <w:r w:rsidRPr="00A37BC8">
        <w:rPr>
          <w:rFonts w:eastAsia="Times New Roman" w:cs="Arial"/>
          <w:color w:val="000000"/>
          <w:szCs w:val="20"/>
          <w:lang w:val="en-US"/>
        </w:rPr>
        <w:t>NCI</w:t>
      </w:r>
      <w:r w:rsidRPr="00A37BC8">
        <w:rPr>
          <w:rFonts w:eastAsia="Times New Roman" w:cs="Arial"/>
          <w:color w:val="000000"/>
          <w:szCs w:val="20"/>
          <w:lang w:val="ru-RU"/>
        </w:rPr>
        <w:t xml:space="preserve">) </w:t>
      </w:r>
      <w:r w:rsidRPr="00A37BC8">
        <w:rPr>
          <w:rFonts w:eastAsia="Times New Roman" w:cs="Arial"/>
          <w:color w:val="000000"/>
          <w:szCs w:val="20"/>
          <w:lang w:eastAsia="bg-BG"/>
        </w:rPr>
        <w:t>на САЩ), лечението трябва да се отложи до тяхното отзвучаване с достигане до изходните параметри или до момента, когато те вече не са тежки и потенциалната полза от продължаване на лечението с клофарабин надвишава риска, свързан с това продължаване. В този случай се препоръчва клофарабин да се прилага при намалена с 25% доза.</w:t>
      </w:r>
    </w:p>
    <w:p w14:paraId="7D30A0E8" w14:textId="77777777" w:rsidR="00A37BC8" w:rsidRPr="00A37BC8" w:rsidRDefault="00A37BC8" w:rsidP="00A37BC8">
      <w:pPr>
        <w:spacing w:line="240" w:lineRule="auto"/>
        <w:rPr>
          <w:rFonts w:eastAsia="Times New Roman" w:cs="Arial"/>
          <w:color w:val="000000"/>
          <w:szCs w:val="20"/>
          <w:lang w:eastAsia="bg-BG"/>
        </w:rPr>
      </w:pPr>
    </w:p>
    <w:p w14:paraId="7CC0F612" w14:textId="4D99DBCB" w:rsidR="00A37BC8" w:rsidRPr="00A37BC8" w:rsidRDefault="00A37BC8" w:rsidP="00A37BC8">
      <w:pPr>
        <w:spacing w:line="240" w:lineRule="auto"/>
        <w:rPr>
          <w:rFonts w:eastAsia="Times New Roman" w:cs="Arial"/>
          <w:color w:val="000000"/>
          <w:szCs w:val="20"/>
          <w:lang w:eastAsia="bg-BG"/>
        </w:rPr>
      </w:pPr>
      <w:r w:rsidRPr="00A37BC8">
        <w:rPr>
          <w:rFonts w:eastAsia="Times New Roman" w:cs="Arial"/>
          <w:color w:val="000000"/>
          <w:szCs w:val="20"/>
          <w:lang w:eastAsia="bg-BG"/>
        </w:rPr>
        <w:t>Ако даден пациент получи същата тежка токсична реакция за втори път, лечението трябва да се отложи до нейното отзвучаване с достигане до изходните параметри или до момента, когато тя вече не е тежка и потенциалната полза от продължаване на лечението с клофарабин надвишава риска, свързан с това продължаване. В този случай се препоръчва клофарабин да се прилага при намалена с още 25% доза.</w:t>
      </w:r>
    </w:p>
    <w:p w14:paraId="2291C9CC" w14:textId="4DF762C9" w:rsidR="00A37BC8" w:rsidRPr="00A37BC8" w:rsidRDefault="00A37BC8" w:rsidP="00A37BC8">
      <w:pPr>
        <w:spacing w:line="240" w:lineRule="auto"/>
        <w:rPr>
          <w:rFonts w:eastAsia="Times New Roman" w:cs="Arial"/>
          <w:color w:val="000000"/>
          <w:szCs w:val="20"/>
          <w:lang w:eastAsia="bg-BG"/>
        </w:rPr>
      </w:pPr>
    </w:p>
    <w:p w14:paraId="08864D87"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При всеки пациент, получил тежка токсична реакция за трети път, тежка токсична реакция, която не отзвучава в рамките на 14 дни (вж. по-горе за изключенията) или животозастрашаваша, или инвалидизираща токсична реакция (токсичност от 4-та степен според </w:t>
      </w:r>
      <w:r w:rsidRPr="00A37BC8">
        <w:rPr>
          <w:rFonts w:eastAsia="Times New Roman" w:cs="Arial"/>
          <w:color w:val="000000"/>
          <w:szCs w:val="20"/>
          <w:lang w:val="en-US"/>
        </w:rPr>
        <w:t>NCI</w:t>
      </w:r>
      <w:r w:rsidRPr="00A37BC8">
        <w:rPr>
          <w:rFonts w:eastAsia="Times New Roman" w:cs="Arial"/>
          <w:color w:val="000000"/>
          <w:szCs w:val="20"/>
          <w:lang w:val="ru-RU"/>
        </w:rPr>
        <w:t xml:space="preserve"> </w:t>
      </w:r>
      <w:r w:rsidRPr="00A37BC8">
        <w:rPr>
          <w:rFonts w:eastAsia="Times New Roman" w:cs="Arial"/>
          <w:color w:val="000000"/>
          <w:szCs w:val="20"/>
          <w:lang w:eastAsia="bg-BG"/>
        </w:rPr>
        <w:t>ОКТ), лечението с клофарабин трябва да се прекрати (вж, точка 4.4).</w:t>
      </w:r>
    </w:p>
    <w:p w14:paraId="25DCFDBC" w14:textId="77777777" w:rsidR="00A37BC8" w:rsidRPr="00A37BC8" w:rsidRDefault="00A37BC8" w:rsidP="00A37BC8">
      <w:pPr>
        <w:spacing w:line="240" w:lineRule="auto"/>
        <w:rPr>
          <w:rFonts w:eastAsia="Times New Roman" w:cs="Arial"/>
          <w:i/>
          <w:iCs/>
          <w:color w:val="000000"/>
          <w:szCs w:val="20"/>
          <w:u w:val="single"/>
          <w:lang w:eastAsia="bg-BG"/>
        </w:rPr>
      </w:pPr>
    </w:p>
    <w:p w14:paraId="2358FC80" w14:textId="6A24EE75"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u w:val="single"/>
          <w:lang w:eastAsia="bg-BG"/>
        </w:rPr>
        <w:t>Специални популации</w:t>
      </w:r>
    </w:p>
    <w:p w14:paraId="1CD548F1" w14:textId="77777777" w:rsidR="00A37BC8" w:rsidRPr="00A37BC8" w:rsidRDefault="00A37BC8" w:rsidP="00A37BC8">
      <w:pPr>
        <w:spacing w:line="240" w:lineRule="auto"/>
        <w:rPr>
          <w:rFonts w:eastAsia="Times New Roman" w:cs="Arial"/>
          <w:i/>
          <w:iCs/>
          <w:color w:val="000000"/>
          <w:szCs w:val="20"/>
          <w:lang w:eastAsia="bg-BG"/>
        </w:rPr>
      </w:pPr>
    </w:p>
    <w:p w14:paraId="27DB86C7" w14:textId="473023AC"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lang w:eastAsia="bg-BG"/>
        </w:rPr>
        <w:t>Бъбречно увреждане</w:t>
      </w:r>
    </w:p>
    <w:p w14:paraId="2BCE56B0" w14:textId="7ACA8A7F"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lang w:eastAsia="bg-BG"/>
        </w:rPr>
        <w:t>Ограничените</w:t>
      </w:r>
      <w:r w:rsidRPr="00A37BC8">
        <w:rPr>
          <w:rFonts w:eastAsia="Times New Roman" w:cs="Arial"/>
          <w:color w:val="000000"/>
          <w:szCs w:val="20"/>
          <w:lang w:eastAsia="bg-BG"/>
        </w:rPr>
        <w:t xml:space="preserve"> налични данни показват, че клофарабин може да кумулира при пациенти с намален креатининов клирънс (вж. точки 4.4 и 5.2). Клофарабин е противопоказан при пациенти с тежка бъбречна недостатъчност (вж. точка 4.3) и трябва да се прилага с повишено внимание при пациенти с лека до умерена бъбречна недостатъчност (вж. точка 4.4).</w:t>
      </w:r>
    </w:p>
    <w:p w14:paraId="0BEBF90A" w14:textId="77777777" w:rsidR="00A37BC8" w:rsidRPr="00A37BC8" w:rsidRDefault="00A37BC8" w:rsidP="00A37BC8">
      <w:pPr>
        <w:spacing w:line="240" w:lineRule="auto"/>
        <w:rPr>
          <w:rFonts w:eastAsia="Times New Roman" w:cs="Arial"/>
          <w:color w:val="000000"/>
          <w:szCs w:val="20"/>
          <w:lang w:eastAsia="bg-BG"/>
        </w:rPr>
      </w:pPr>
    </w:p>
    <w:p w14:paraId="25E061F9" w14:textId="3D5BF5A8"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При пациенти с умерено бъбречно увреждане (креатининов клирънс 30 - &lt; 60 </w:t>
      </w:r>
      <w:r w:rsidRPr="00A37BC8">
        <w:rPr>
          <w:rFonts w:eastAsia="Times New Roman" w:cs="Arial"/>
          <w:color w:val="000000"/>
          <w:szCs w:val="20"/>
          <w:lang w:val="en-US"/>
        </w:rPr>
        <w:t>ml</w:t>
      </w:r>
      <w:r w:rsidRPr="00A37BC8">
        <w:rPr>
          <w:rFonts w:eastAsia="Times New Roman" w:cs="Arial"/>
          <w:color w:val="000000"/>
          <w:szCs w:val="20"/>
          <w:lang w:val="ru-RU"/>
        </w:rPr>
        <w:t>/</w:t>
      </w:r>
      <w:r w:rsidRPr="00A37BC8">
        <w:rPr>
          <w:rFonts w:eastAsia="Times New Roman" w:cs="Arial"/>
          <w:color w:val="000000"/>
          <w:szCs w:val="20"/>
          <w:lang w:val="en-US"/>
        </w:rPr>
        <w:t>min</w:t>
      </w:r>
      <w:r w:rsidRPr="00A37BC8">
        <w:rPr>
          <w:rFonts w:eastAsia="Times New Roman" w:cs="Arial"/>
          <w:color w:val="000000"/>
          <w:szCs w:val="20"/>
          <w:lang w:val="ru-RU"/>
        </w:rPr>
        <w:t xml:space="preserve">) </w:t>
      </w:r>
      <w:r w:rsidRPr="00A37BC8">
        <w:rPr>
          <w:rFonts w:eastAsia="Times New Roman" w:cs="Arial"/>
          <w:color w:val="000000"/>
          <w:szCs w:val="20"/>
          <w:lang w:eastAsia="bg-BG"/>
        </w:rPr>
        <w:t>се налага намаляване на дозата с 50% (вж. точка 5.2).</w:t>
      </w:r>
    </w:p>
    <w:p w14:paraId="63E1779C" w14:textId="77777777" w:rsidR="00A37BC8" w:rsidRPr="00A37BC8" w:rsidRDefault="00A37BC8" w:rsidP="00A37BC8">
      <w:pPr>
        <w:spacing w:line="240" w:lineRule="auto"/>
        <w:rPr>
          <w:rFonts w:eastAsia="Times New Roman" w:cs="Arial"/>
          <w:i/>
          <w:iCs/>
          <w:color w:val="000000"/>
          <w:szCs w:val="20"/>
          <w:lang w:eastAsia="bg-BG"/>
        </w:rPr>
      </w:pPr>
    </w:p>
    <w:p w14:paraId="2C1B649A" w14:textId="76BDA149"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lang w:eastAsia="bg-BG"/>
        </w:rPr>
        <w:t>Чернодробно увреждане</w:t>
      </w:r>
    </w:p>
    <w:p w14:paraId="31EF24F0"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Липсва опит при пациенти с чернодробно увреждане (серумен билирубин &gt; 1,5 х горната граница на нормата плюс </w:t>
      </w:r>
      <w:r w:rsidRPr="00A37BC8">
        <w:rPr>
          <w:rFonts w:eastAsia="Times New Roman" w:cs="Arial"/>
          <w:color w:val="000000"/>
          <w:szCs w:val="20"/>
          <w:lang w:val="en-US"/>
        </w:rPr>
        <w:t>ASAT</w:t>
      </w:r>
      <w:r w:rsidRPr="00A37BC8">
        <w:rPr>
          <w:rFonts w:eastAsia="Times New Roman" w:cs="Arial"/>
          <w:color w:val="000000"/>
          <w:szCs w:val="20"/>
          <w:lang w:val="ru-RU"/>
        </w:rPr>
        <w:t xml:space="preserve"> </w:t>
      </w:r>
      <w:r w:rsidRPr="00A37BC8">
        <w:rPr>
          <w:rFonts w:eastAsia="Times New Roman" w:cs="Arial"/>
          <w:color w:val="000000"/>
          <w:szCs w:val="20"/>
          <w:lang w:eastAsia="bg-BG"/>
        </w:rPr>
        <w:t xml:space="preserve">и </w:t>
      </w:r>
      <w:r w:rsidRPr="00A37BC8">
        <w:rPr>
          <w:rFonts w:eastAsia="Times New Roman" w:cs="Arial"/>
          <w:color w:val="000000"/>
          <w:szCs w:val="20"/>
          <w:lang w:val="en-US"/>
        </w:rPr>
        <w:t>ALAT</w:t>
      </w:r>
      <w:r w:rsidRPr="00A37BC8">
        <w:rPr>
          <w:rFonts w:eastAsia="Times New Roman" w:cs="Arial"/>
          <w:color w:val="000000"/>
          <w:szCs w:val="20"/>
          <w:lang w:val="ru-RU"/>
        </w:rPr>
        <w:t xml:space="preserve"> </w:t>
      </w:r>
      <w:r w:rsidRPr="00A37BC8">
        <w:rPr>
          <w:rFonts w:eastAsia="Times New Roman" w:cs="Arial"/>
          <w:color w:val="000000"/>
          <w:szCs w:val="20"/>
          <w:lang w:eastAsia="bg-BG"/>
        </w:rPr>
        <w:t>&gt; 5 х горната граница на нормата), а черният дроб е потенциален прицелен орган за токсичност. Следователно, клофарабин е противопоказан при пациенти с тежко чернодробно увреждане (вж. точка 4.3) и трябва да се прилага с повишено внимание при пациенти с леко до умерено чернодробно увреждане (вж. точка 4.4).</w:t>
      </w:r>
    </w:p>
    <w:p w14:paraId="062DC192" w14:textId="77777777" w:rsidR="00A37BC8" w:rsidRPr="00A37BC8" w:rsidRDefault="00A37BC8" w:rsidP="00A37BC8">
      <w:pPr>
        <w:spacing w:line="240" w:lineRule="auto"/>
        <w:rPr>
          <w:rFonts w:eastAsia="Times New Roman" w:cs="Arial"/>
          <w:color w:val="000000"/>
          <w:szCs w:val="20"/>
          <w:u w:val="single"/>
          <w:lang w:eastAsia="bg-BG"/>
        </w:rPr>
      </w:pPr>
    </w:p>
    <w:p w14:paraId="3E68DF7B" w14:textId="5BB692E2" w:rsidR="00A37BC8" w:rsidRPr="00A37BC8" w:rsidRDefault="00A37BC8" w:rsidP="00A37BC8">
      <w:pPr>
        <w:pStyle w:val="Heading3"/>
        <w:rPr>
          <w:rFonts w:eastAsia="Times New Roman"/>
          <w:sz w:val="28"/>
          <w:u w:val="single"/>
        </w:rPr>
      </w:pPr>
      <w:r w:rsidRPr="00A37BC8">
        <w:rPr>
          <w:rFonts w:eastAsia="Times New Roman"/>
          <w:u w:val="single"/>
          <w:lang w:eastAsia="bg-BG"/>
        </w:rPr>
        <w:t>Начин на приложение</w:t>
      </w:r>
    </w:p>
    <w:p w14:paraId="385FAEA5" w14:textId="77777777" w:rsidR="00A37BC8" w:rsidRPr="00A37BC8" w:rsidRDefault="00A37BC8" w:rsidP="00A37BC8">
      <w:pPr>
        <w:spacing w:line="240" w:lineRule="auto"/>
        <w:rPr>
          <w:rFonts w:eastAsia="Times New Roman" w:cs="Arial"/>
          <w:color w:val="000000"/>
          <w:szCs w:val="20"/>
          <w:lang w:eastAsia="bg-BG"/>
        </w:rPr>
      </w:pPr>
    </w:p>
    <w:p w14:paraId="585258C9" w14:textId="7C9BD798" w:rsidR="00A37BC8" w:rsidRPr="00A37BC8" w:rsidRDefault="00A37BC8" w:rsidP="00A37BC8">
      <w:pPr>
        <w:spacing w:line="240" w:lineRule="auto"/>
        <w:rPr>
          <w:rFonts w:eastAsia="Times New Roman" w:cs="Arial"/>
          <w:sz w:val="28"/>
          <w:szCs w:val="24"/>
          <w:lang w:val="ru-RU"/>
        </w:rPr>
      </w:pPr>
      <w:r w:rsidRPr="00A37BC8">
        <w:rPr>
          <w:rFonts w:eastAsia="Times New Roman" w:cs="Arial"/>
          <w:color w:val="000000"/>
          <w:szCs w:val="20"/>
          <w:lang w:eastAsia="bg-BG"/>
        </w:rPr>
        <w:t>Препоръчителната доза трябва да се приложи чрез интравеяозна инфузия, въпреки че в клинични изпитвания е прилагана през централен венозен катетър. Клофарабин не трябва да се смесва или да се прилага едновременно с други лекарствени продукти през един и същ интравенозен път (вж. точка 6.2). За указания относно филтрирането и разреждането на лекарствения продукт преди приложение вижте точка 6.6</w:t>
      </w:r>
      <w:r w:rsidRPr="00A37BC8">
        <w:rPr>
          <w:rFonts w:eastAsia="Times New Roman" w:cs="Arial"/>
          <w:color w:val="000000"/>
          <w:szCs w:val="20"/>
          <w:lang w:val="ru-RU" w:eastAsia="bg-BG"/>
        </w:rPr>
        <w:t>.</w:t>
      </w:r>
    </w:p>
    <w:p w14:paraId="2695A465" w14:textId="77777777" w:rsidR="00A37BC8" w:rsidRPr="00A37BC8" w:rsidRDefault="00A37BC8" w:rsidP="00A37BC8">
      <w:pPr>
        <w:spacing w:line="240" w:lineRule="auto"/>
        <w:rPr>
          <w:rFonts w:ascii="Times New Roman" w:eastAsia="Times New Roman" w:hAnsi="Times New Roman" w:cs="Times New Roman"/>
          <w:sz w:val="24"/>
          <w:szCs w:val="24"/>
        </w:rPr>
      </w:pPr>
    </w:p>
    <w:p w14:paraId="4775BE4C" w14:textId="77777777" w:rsidR="00A37BC8" w:rsidRPr="00A37BC8" w:rsidRDefault="00A37BC8" w:rsidP="00A37BC8"/>
    <w:p w14:paraId="0F253247" w14:textId="56E33C00" w:rsidR="007122AD" w:rsidRDefault="002C50EE" w:rsidP="00936AD0">
      <w:pPr>
        <w:pStyle w:val="Heading2"/>
      </w:pPr>
      <w:r>
        <w:lastRenderedPageBreak/>
        <w:t>4.3. Противопоказания</w:t>
      </w:r>
    </w:p>
    <w:p w14:paraId="66819FB1" w14:textId="15D84563" w:rsidR="00A37BC8" w:rsidRDefault="00A37BC8" w:rsidP="00A37BC8"/>
    <w:p w14:paraId="6A46BE3D" w14:textId="77777777" w:rsidR="00A37BC8" w:rsidRPr="00A37BC8" w:rsidRDefault="00A37BC8" w:rsidP="00A37BC8">
      <w:pPr>
        <w:rPr>
          <w:sz w:val="24"/>
          <w:szCs w:val="24"/>
        </w:rPr>
      </w:pPr>
      <w:r w:rsidRPr="00A37BC8">
        <w:rPr>
          <w:lang w:eastAsia="bg-BG"/>
        </w:rPr>
        <w:t>Свръхчувствителност към активното вещество или към някое от помощните вещества, изброени в точка 6.1.</w:t>
      </w:r>
    </w:p>
    <w:p w14:paraId="6D0D162A" w14:textId="77777777" w:rsidR="00A37BC8" w:rsidRDefault="00A37BC8" w:rsidP="00A37BC8">
      <w:pPr>
        <w:rPr>
          <w:lang w:eastAsia="bg-BG"/>
        </w:rPr>
      </w:pPr>
    </w:p>
    <w:p w14:paraId="36FD2B1D" w14:textId="5577B950" w:rsidR="00A37BC8" w:rsidRPr="00A37BC8" w:rsidRDefault="00A37BC8" w:rsidP="00A37BC8">
      <w:pPr>
        <w:rPr>
          <w:sz w:val="24"/>
          <w:szCs w:val="24"/>
        </w:rPr>
      </w:pPr>
      <w:r w:rsidRPr="00A37BC8">
        <w:rPr>
          <w:lang w:eastAsia="bg-BG"/>
        </w:rPr>
        <w:t>Употреба при пациенти с тежка бъбречна недостатъчност или тежко чернодробно увреждане.</w:t>
      </w:r>
    </w:p>
    <w:p w14:paraId="19D9D972" w14:textId="77777777" w:rsidR="00A37BC8" w:rsidRDefault="00A37BC8" w:rsidP="00A37BC8">
      <w:pPr>
        <w:rPr>
          <w:lang w:eastAsia="bg-BG"/>
        </w:rPr>
      </w:pPr>
    </w:p>
    <w:p w14:paraId="296BC22A" w14:textId="26049BCD" w:rsidR="00A37BC8" w:rsidRPr="00A37BC8" w:rsidRDefault="00A37BC8" w:rsidP="00A37BC8">
      <w:pPr>
        <w:rPr>
          <w:sz w:val="24"/>
          <w:szCs w:val="24"/>
        </w:rPr>
      </w:pPr>
      <w:r w:rsidRPr="00A37BC8">
        <w:rPr>
          <w:lang w:eastAsia="bg-BG"/>
        </w:rPr>
        <w:t>Кърмене (вж. точка 4.6).</w:t>
      </w:r>
    </w:p>
    <w:p w14:paraId="24EA92A6" w14:textId="77777777" w:rsidR="00A37BC8" w:rsidRPr="00A37BC8" w:rsidRDefault="00A37BC8" w:rsidP="00A37BC8"/>
    <w:p w14:paraId="0E0BDCC7" w14:textId="2A183CE0" w:rsidR="007122AD" w:rsidRDefault="002C50EE" w:rsidP="00936AD0">
      <w:pPr>
        <w:pStyle w:val="Heading2"/>
      </w:pPr>
      <w:r>
        <w:t>4.4. Специални предупреждения и предпазни мерки при употреба</w:t>
      </w:r>
    </w:p>
    <w:p w14:paraId="7EE41B56" w14:textId="0FF9BAC4" w:rsidR="00A37BC8" w:rsidRDefault="00A37BC8" w:rsidP="00A37BC8"/>
    <w:p w14:paraId="53ED5C92" w14:textId="77777777" w:rsidR="00A37BC8" w:rsidRPr="00A37BC8" w:rsidRDefault="00A37BC8" w:rsidP="00A37BC8">
      <w:pPr>
        <w:spacing w:line="240" w:lineRule="auto"/>
        <w:rPr>
          <w:rFonts w:eastAsia="Times New Roman" w:cs="Arial"/>
        </w:rPr>
      </w:pPr>
      <w:r w:rsidRPr="00A37BC8">
        <w:rPr>
          <w:rFonts w:eastAsia="Times New Roman" w:cs="Arial"/>
          <w:color w:val="000000"/>
          <w:lang w:eastAsia="bg-BG"/>
        </w:rPr>
        <w:t>Клофарабин Зентива представлява мощен антинеопластичен агент с потенциално значими хематологични и нехематологични нежелани реакции (вж. точка 4.8).</w:t>
      </w:r>
    </w:p>
    <w:p w14:paraId="07BBB0CC" w14:textId="77777777" w:rsidR="00A37BC8" w:rsidRPr="00A37BC8" w:rsidRDefault="00A37BC8" w:rsidP="00A37BC8">
      <w:pPr>
        <w:spacing w:line="240" w:lineRule="auto"/>
        <w:rPr>
          <w:rFonts w:eastAsia="Times New Roman" w:cs="Arial"/>
          <w:color w:val="000000"/>
          <w:lang w:eastAsia="bg-BG"/>
        </w:rPr>
      </w:pPr>
    </w:p>
    <w:p w14:paraId="5405393C" w14:textId="402287AC" w:rsidR="00A37BC8" w:rsidRPr="00A37BC8" w:rsidRDefault="00A37BC8" w:rsidP="00A37BC8">
      <w:pPr>
        <w:spacing w:line="240" w:lineRule="auto"/>
        <w:rPr>
          <w:rFonts w:eastAsia="Times New Roman" w:cs="Arial"/>
        </w:rPr>
      </w:pPr>
      <w:r w:rsidRPr="00A37BC8">
        <w:rPr>
          <w:rFonts w:eastAsia="Times New Roman" w:cs="Arial"/>
          <w:color w:val="000000"/>
          <w:lang w:eastAsia="bg-BG"/>
        </w:rPr>
        <w:t>При пациенти на лечение с клофарабин трябва да се проследяват внимателно следните показатели:</w:t>
      </w:r>
    </w:p>
    <w:p w14:paraId="4C86362F" w14:textId="77777777" w:rsidR="00A37BC8" w:rsidRPr="00A37BC8" w:rsidRDefault="00A37BC8" w:rsidP="00A37BC8">
      <w:pPr>
        <w:pStyle w:val="ListParagraph"/>
        <w:numPr>
          <w:ilvl w:val="0"/>
          <w:numId w:val="37"/>
        </w:numPr>
        <w:spacing w:line="240" w:lineRule="auto"/>
        <w:rPr>
          <w:rFonts w:eastAsia="Times New Roman" w:cs="Arial"/>
        </w:rPr>
      </w:pPr>
      <w:r w:rsidRPr="00A37BC8">
        <w:rPr>
          <w:rFonts w:eastAsia="Times New Roman" w:cs="Arial"/>
          <w:color w:val="000000"/>
          <w:lang w:eastAsia="bg-BG"/>
        </w:rPr>
        <w:t>Пълна кръвна картина с определяне броя на тромбоцитите трябва да се изследва на редовни интервали от време, по-често при пациенти, развиващи цитопении;</w:t>
      </w:r>
    </w:p>
    <w:p w14:paraId="494FDFDF" w14:textId="77777777" w:rsidR="00A37BC8" w:rsidRPr="00A37BC8" w:rsidRDefault="00A37BC8" w:rsidP="00A37BC8">
      <w:pPr>
        <w:pStyle w:val="ListParagraph"/>
        <w:numPr>
          <w:ilvl w:val="0"/>
          <w:numId w:val="37"/>
        </w:numPr>
        <w:spacing w:line="240" w:lineRule="auto"/>
        <w:rPr>
          <w:rFonts w:eastAsia="Times New Roman" w:cs="Arial"/>
        </w:rPr>
      </w:pPr>
      <w:r w:rsidRPr="00A37BC8">
        <w:rPr>
          <w:rFonts w:eastAsia="Times New Roman" w:cs="Arial"/>
          <w:color w:val="000000"/>
          <w:lang w:eastAsia="bg-BG"/>
        </w:rPr>
        <w:t>Бъбречна и чернодробна функция преди, по време на активното лечение и след терапията. Клофарабин трябва да се преустанови незабавно, ако се наблюдава значително увеличение на стойностите на креатинина, чернодробните ензими и/или</w:t>
      </w:r>
      <w:r w:rsidRPr="00A37BC8">
        <w:rPr>
          <w:rFonts w:eastAsia="Times New Roman" w:cs="Arial"/>
          <w:i/>
          <w:iCs/>
          <w:color w:val="000000"/>
          <w:lang w:eastAsia="bg-BG"/>
        </w:rPr>
        <w:t xml:space="preserve"> </w:t>
      </w:r>
      <w:r w:rsidRPr="00A37BC8">
        <w:rPr>
          <w:rFonts w:eastAsia="Times New Roman" w:cs="Arial"/>
          <w:color w:val="000000"/>
          <w:lang w:eastAsia="bg-BG"/>
        </w:rPr>
        <w:t>билирубина;</w:t>
      </w:r>
    </w:p>
    <w:p w14:paraId="32A8BA69" w14:textId="795EEA4F" w:rsidR="00A37BC8" w:rsidRPr="00A37BC8" w:rsidRDefault="00A37BC8" w:rsidP="00A37BC8">
      <w:pPr>
        <w:pStyle w:val="ListParagraph"/>
        <w:numPr>
          <w:ilvl w:val="0"/>
          <w:numId w:val="37"/>
        </w:numPr>
        <w:spacing w:line="240" w:lineRule="auto"/>
        <w:rPr>
          <w:rFonts w:eastAsia="Times New Roman" w:cs="Arial"/>
        </w:rPr>
      </w:pPr>
      <w:r w:rsidRPr="00A37BC8">
        <w:rPr>
          <w:rFonts w:eastAsia="Times New Roman" w:cs="Arial"/>
          <w:color w:val="000000"/>
          <w:lang w:eastAsia="bg-BG"/>
        </w:rPr>
        <w:t>Респираторен статус, кръвно налягане, баланс на течностите и телесно тегло по време на и непосредствено след края на 5-дневния период на приложение на клофарабин.</w:t>
      </w:r>
    </w:p>
    <w:p w14:paraId="3F95DD14" w14:textId="77777777" w:rsidR="00A37BC8" w:rsidRPr="00A37BC8" w:rsidRDefault="00A37BC8" w:rsidP="00A37BC8">
      <w:pPr>
        <w:spacing w:line="240" w:lineRule="auto"/>
        <w:rPr>
          <w:rFonts w:eastAsia="Times New Roman" w:cs="Arial"/>
          <w:color w:val="000000"/>
          <w:lang w:eastAsia="bg-BG"/>
        </w:rPr>
      </w:pPr>
    </w:p>
    <w:p w14:paraId="0E041029" w14:textId="184C3B91" w:rsidR="00A37BC8" w:rsidRPr="00A37BC8" w:rsidRDefault="00A37BC8" w:rsidP="00A37BC8">
      <w:pPr>
        <w:spacing w:line="240" w:lineRule="auto"/>
        <w:rPr>
          <w:rFonts w:eastAsia="Times New Roman" w:cs="Arial"/>
        </w:rPr>
      </w:pPr>
      <w:r w:rsidRPr="00A37BC8">
        <w:rPr>
          <w:rFonts w:eastAsia="Times New Roman" w:cs="Arial"/>
          <w:color w:val="000000"/>
          <w:lang w:eastAsia="bg-BG"/>
        </w:rPr>
        <w:t>Трябва да се очаква потискане на костния мозък. То обикновено е обратимо и зависимо от дозата. При пациенти, лекувани с клофарабин, е наблюдавано тежко потискане на костния мозък, включително неутропения, анемия и тромбоцитопения. Съобщава се за хеморагия, включително церебрална, гастроинтестинална и пулмонална хеморагия, която може да е фатална. Повечето от случаите са свързани с тромбоцитопения (вж. точка 4.8).</w:t>
      </w:r>
    </w:p>
    <w:p w14:paraId="4CECA958" w14:textId="77777777" w:rsidR="00A37BC8" w:rsidRPr="00A37BC8" w:rsidRDefault="00A37BC8" w:rsidP="00A37BC8">
      <w:pPr>
        <w:spacing w:line="240" w:lineRule="auto"/>
        <w:rPr>
          <w:rFonts w:eastAsia="Times New Roman" w:cs="Arial"/>
        </w:rPr>
      </w:pPr>
      <w:r w:rsidRPr="00A37BC8">
        <w:rPr>
          <w:rFonts w:eastAsia="Times New Roman" w:cs="Arial"/>
          <w:color w:val="000000"/>
          <w:lang w:eastAsia="bg-BG"/>
        </w:rPr>
        <w:t>Освен това, в началото на лечението повечето пациенти в клиничните изпитвания са имали хематологично нарушение като проява на левкемия. Поради предшестващото имунокомпрометирано състояние на тези пациенти и продължителната неутропения, която може да се появи в резултат на лечение с клофарабин, тези пациенти са изложени на повишен риск от тежки опортюнистични инфекции, включително тежък сепсис с потенциален фатален изход. Пациентите трябва да бъдат наблюдавани за признаци и симптоми на инфекции и своевременно лекувани.</w:t>
      </w:r>
    </w:p>
    <w:p w14:paraId="3B97919B" w14:textId="77777777" w:rsidR="00A37BC8" w:rsidRPr="00A37BC8" w:rsidRDefault="00A37BC8" w:rsidP="00A37BC8">
      <w:pPr>
        <w:spacing w:line="240" w:lineRule="auto"/>
        <w:rPr>
          <w:rFonts w:eastAsia="Times New Roman" w:cs="Arial"/>
          <w:color w:val="000000"/>
          <w:lang w:eastAsia="bg-BG"/>
        </w:rPr>
      </w:pPr>
    </w:p>
    <w:p w14:paraId="2E297481" w14:textId="734F12F7" w:rsidR="00A37BC8" w:rsidRPr="00A37BC8" w:rsidRDefault="00A37BC8" w:rsidP="00A37BC8">
      <w:pPr>
        <w:spacing w:line="240" w:lineRule="auto"/>
        <w:rPr>
          <w:rFonts w:eastAsia="Times New Roman" w:cs="Arial"/>
        </w:rPr>
      </w:pPr>
      <w:r w:rsidRPr="00A37BC8">
        <w:rPr>
          <w:rFonts w:eastAsia="Times New Roman" w:cs="Arial"/>
          <w:color w:val="000000"/>
          <w:lang w:eastAsia="bg-BG"/>
        </w:rPr>
        <w:t xml:space="preserve">При лечение с клофарабин са съобщени случаи на ентероколит, включително неутропеничен колит, тифлит и колит, причинен от </w:t>
      </w:r>
      <w:r w:rsidRPr="00A37BC8">
        <w:rPr>
          <w:rFonts w:eastAsia="Times New Roman" w:cs="Arial"/>
          <w:i/>
          <w:iCs/>
          <w:color w:val="000000"/>
          <w:lang w:eastAsia="bg-BG"/>
        </w:rPr>
        <w:t xml:space="preserve">С. </w:t>
      </w:r>
      <w:proofErr w:type="gramStart"/>
      <w:r w:rsidRPr="00A37BC8">
        <w:rPr>
          <w:rFonts w:eastAsia="Times New Roman" w:cs="Arial"/>
          <w:i/>
          <w:iCs/>
          <w:color w:val="000000"/>
          <w:lang w:val="en-US"/>
        </w:rPr>
        <w:t>difficile</w:t>
      </w:r>
      <w:proofErr w:type="gramEnd"/>
      <w:r w:rsidRPr="00A37BC8">
        <w:rPr>
          <w:rFonts w:eastAsia="Times New Roman" w:cs="Arial"/>
          <w:i/>
          <w:iCs/>
          <w:color w:val="000000"/>
          <w:lang w:val="ru-RU"/>
        </w:rPr>
        <w:t>.</w:t>
      </w:r>
      <w:r w:rsidRPr="00A37BC8">
        <w:rPr>
          <w:rFonts w:eastAsia="Times New Roman" w:cs="Arial"/>
          <w:color w:val="000000"/>
          <w:lang w:val="ru-RU"/>
        </w:rPr>
        <w:t xml:space="preserve"> </w:t>
      </w:r>
      <w:r w:rsidRPr="00A37BC8">
        <w:rPr>
          <w:rFonts w:eastAsia="Times New Roman" w:cs="Arial"/>
          <w:color w:val="000000"/>
          <w:lang w:eastAsia="bg-BG"/>
        </w:rPr>
        <w:t>Това се наблюдава по-често в рамките на 30 дни след началото на лечението и при комбинирана химиотерапия. Ентероколитьт може да доведе до некроза, перфорация или септични усложнения и може да се свързва с фатален изход (вж. точка 4.8). Пациентите трябва да бъдат наблюдавани за прояви и симптоми на ентероколит.</w:t>
      </w:r>
    </w:p>
    <w:p w14:paraId="2F67B52C" w14:textId="77777777" w:rsidR="00A37BC8" w:rsidRPr="00A37BC8" w:rsidRDefault="00A37BC8" w:rsidP="00A37BC8">
      <w:pPr>
        <w:spacing w:line="240" w:lineRule="auto"/>
        <w:rPr>
          <w:rFonts w:eastAsia="Times New Roman" w:cs="Arial"/>
          <w:color w:val="000000"/>
          <w:lang w:eastAsia="bg-BG"/>
        </w:rPr>
      </w:pPr>
    </w:p>
    <w:p w14:paraId="0767430C" w14:textId="40B9B529" w:rsidR="00A37BC8" w:rsidRPr="00A37BC8" w:rsidRDefault="00A37BC8" w:rsidP="00A37BC8">
      <w:pPr>
        <w:spacing w:line="240" w:lineRule="auto"/>
        <w:rPr>
          <w:rFonts w:eastAsia="Times New Roman" w:cs="Arial"/>
        </w:rPr>
      </w:pPr>
      <w:r w:rsidRPr="00A37BC8">
        <w:rPr>
          <w:rFonts w:eastAsia="Times New Roman" w:cs="Arial"/>
          <w:color w:val="000000"/>
          <w:lang w:eastAsia="bg-BG"/>
        </w:rPr>
        <w:t xml:space="preserve">Има съобщения за синдром на </w:t>
      </w:r>
      <w:r w:rsidRPr="00A37BC8">
        <w:rPr>
          <w:rFonts w:eastAsia="Times New Roman" w:cs="Arial"/>
          <w:color w:val="000000"/>
          <w:lang w:val="en-US"/>
        </w:rPr>
        <w:t>Stevens</w:t>
      </w:r>
      <w:r w:rsidRPr="00A37BC8">
        <w:rPr>
          <w:rFonts w:eastAsia="Times New Roman" w:cs="Arial"/>
          <w:color w:val="000000"/>
        </w:rPr>
        <w:t>-</w:t>
      </w:r>
      <w:r w:rsidRPr="00A37BC8">
        <w:rPr>
          <w:rFonts w:eastAsia="Times New Roman" w:cs="Arial"/>
          <w:color w:val="000000"/>
          <w:lang w:val="en-US"/>
        </w:rPr>
        <w:t>Johnson</w:t>
      </w:r>
      <w:r w:rsidRPr="00A37BC8">
        <w:rPr>
          <w:rFonts w:eastAsia="Times New Roman" w:cs="Arial"/>
          <w:color w:val="000000"/>
        </w:rPr>
        <w:t xml:space="preserve"> (</w:t>
      </w:r>
      <w:r w:rsidRPr="00A37BC8">
        <w:rPr>
          <w:rFonts w:eastAsia="Times New Roman" w:cs="Arial"/>
          <w:color w:val="000000"/>
          <w:lang w:val="en-US"/>
        </w:rPr>
        <w:t>Stevens</w:t>
      </w:r>
      <w:r w:rsidRPr="00A37BC8">
        <w:rPr>
          <w:rFonts w:eastAsia="Times New Roman" w:cs="Arial"/>
          <w:color w:val="000000"/>
        </w:rPr>
        <w:t>-</w:t>
      </w:r>
      <w:r w:rsidRPr="00A37BC8">
        <w:rPr>
          <w:rFonts w:eastAsia="Times New Roman" w:cs="Arial"/>
          <w:color w:val="000000"/>
          <w:lang w:val="en-US"/>
        </w:rPr>
        <w:t>Johnson</w:t>
      </w:r>
      <w:r w:rsidRPr="00A37BC8">
        <w:rPr>
          <w:rFonts w:eastAsia="Times New Roman" w:cs="Arial"/>
          <w:color w:val="000000"/>
        </w:rPr>
        <w:t xml:space="preserve"> </w:t>
      </w:r>
      <w:r w:rsidRPr="00A37BC8">
        <w:rPr>
          <w:rFonts w:eastAsia="Times New Roman" w:cs="Arial"/>
          <w:color w:val="000000"/>
          <w:lang w:val="en-US"/>
        </w:rPr>
        <w:t>Syndrome</w:t>
      </w:r>
      <w:r w:rsidRPr="00A37BC8">
        <w:rPr>
          <w:rFonts w:eastAsia="Times New Roman" w:cs="Arial"/>
          <w:color w:val="000000"/>
        </w:rPr>
        <w:t xml:space="preserve">, </w:t>
      </w:r>
      <w:r w:rsidRPr="00A37BC8">
        <w:rPr>
          <w:rFonts w:eastAsia="Times New Roman" w:cs="Arial"/>
          <w:color w:val="000000"/>
          <w:lang w:val="en-US"/>
        </w:rPr>
        <w:t>SJS</w:t>
      </w:r>
      <w:r w:rsidRPr="00A37BC8">
        <w:rPr>
          <w:rFonts w:eastAsia="Times New Roman" w:cs="Arial"/>
          <w:color w:val="000000"/>
        </w:rPr>
        <w:t xml:space="preserve">) </w:t>
      </w:r>
      <w:r w:rsidRPr="00A37BC8">
        <w:rPr>
          <w:rFonts w:eastAsia="Times New Roman" w:cs="Arial"/>
          <w:b/>
          <w:bCs/>
          <w:i/>
          <w:iCs/>
          <w:color w:val="000000"/>
          <w:lang w:eastAsia="bg-BG"/>
        </w:rPr>
        <w:t>и</w:t>
      </w:r>
      <w:r w:rsidRPr="00A37BC8">
        <w:rPr>
          <w:rFonts w:eastAsia="Times New Roman" w:cs="Arial"/>
          <w:color w:val="000000"/>
          <w:lang w:eastAsia="bg-BG"/>
        </w:rPr>
        <w:t xml:space="preserve"> токсична епидермална некролиза </w:t>
      </w:r>
      <w:r w:rsidRPr="00A37BC8">
        <w:rPr>
          <w:rFonts w:eastAsia="Times New Roman" w:cs="Arial"/>
          <w:color w:val="000000"/>
        </w:rPr>
        <w:t>(</w:t>
      </w:r>
      <w:r w:rsidRPr="00A37BC8">
        <w:rPr>
          <w:rFonts w:eastAsia="Times New Roman" w:cs="Arial"/>
          <w:color w:val="000000"/>
          <w:lang w:val="en-US"/>
        </w:rPr>
        <w:t>Toxic</w:t>
      </w:r>
      <w:r w:rsidRPr="00A37BC8">
        <w:rPr>
          <w:rFonts w:eastAsia="Times New Roman" w:cs="Arial"/>
          <w:color w:val="000000"/>
        </w:rPr>
        <w:t xml:space="preserve"> </w:t>
      </w:r>
      <w:r w:rsidRPr="00A37BC8">
        <w:rPr>
          <w:rFonts w:eastAsia="Times New Roman" w:cs="Arial"/>
          <w:color w:val="000000"/>
          <w:lang w:val="en-US"/>
        </w:rPr>
        <w:t>Epidermal</w:t>
      </w:r>
      <w:r w:rsidRPr="00A37BC8">
        <w:rPr>
          <w:rFonts w:eastAsia="Times New Roman" w:cs="Arial"/>
          <w:color w:val="000000"/>
        </w:rPr>
        <w:t xml:space="preserve"> </w:t>
      </w:r>
      <w:r w:rsidRPr="00A37BC8">
        <w:rPr>
          <w:rFonts w:eastAsia="Times New Roman" w:cs="Arial"/>
          <w:color w:val="000000"/>
          <w:lang w:val="en-US"/>
        </w:rPr>
        <w:t>Necrolysis</w:t>
      </w:r>
      <w:r w:rsidRPr="00A37BC8">
        <w:rPr>
          <w:rFonts w:eastAsia="Times New Roman" w:cs="Arial"/>
          <w:color w:val="000000"/>
        </w:rPr>
        <w:t xml:space="preserve">, </w:t>
      </w:r>
      <w:r w:rsidRPr="00A37BC8">
        <w:rPr>
          <w:rFonts w:eastAsia="Times New Roman" w:cs="Arial"/>
          <w:color w:val="000000"/>
          <w:lang w:val="en-US"/>
        </w:rPr>
        <w:t>TEN</w:t>
      </w:r>
      <w:r w:rsidRPr="00A37BC8">
        <w:rPr>
          <w:rFonts w:eastAsia="Times New Roman" w:cs="Arial"/>
          <w:color w:val="000000"/>
        </w:rPr>
        <w:t xml:space="preserve">), </w:t>
      </w:r>
      <w:r w:rsidRPr="00A37BC8">
        <w:rPr>
          <w:rFonts w:eastAsia="Times New Roman" w:cs="Arial"/>
          <w:color w:val="000000"/>
          <w:lang w:eastAsia="bg-BG"/>
        </w:rPr>
        <w:t xml:space="preserve">включително фатални </w:t>
      </w:r>
      <w:r w:rsidRPr="00A37BC8">
        <w:rPr>
          <w:rFonts w:eastAsia="Times New Roman" w:cs="Arial"/>
          <w:color w:val="000000"/>
          <w:lang w:eastAsia="bg-BG"/>
        </w:rPr>
        <w:lastRenderedPageBreak/>
        <w:t xml:space="preserve">случаи (вж. точка 4.8). Клофарабин трябва да се преустанови при ексфолиативен или булозен обрив, или при съмнения за </w:t>
      </w:r>
      <w:r w:rsidRPr="00A37BC8">
        <w:rPr>
          <w:rFonts w:eastAsia="Times New Roman" w:cs="Arial"/>
          <w:color w:val="000000"/>
          <w:lang w:val="en-US"/>
        </w:rPr>
        <w:t>SJS</w:t>
      </w:r>
      <w:r w:rsidRPr="00A37BC8">
        <w:rPr>
          <w:rFonts w:eastAsia="Times New Roman" w:cs="Arial"/>
          <w:color w:val="000000"/>
          <w:lang w:val="ru-RU"/>
        </w:rPr>
        <w:t xml:space="preserve"> </w:t>
      </w:r>
      <w:r w:rsidRPr="00A37BC8">
        <w:rPr>
          <w:rFonts w:eastAsia="Times New Roman" w:cs="Arial"/>
          <w:color w:val="000000"/>
          <w:lang w:eastAsia="bg-BG"/>
        </w:rPr>
        <w:t xml:space="preserve">или </w:t>
      </w:r>
      <w:r w:rsidRPr="00A37BC8">
        <w:rPr>
          <w:rFonts w:eastAsia="Times New Roman" w:cs="Arial"/>
          <w:color w:val="000000"/>
          <w:lang w:val="en-US"/>
        </w:rPr>
        <w:t>TEN</w:t>
      </w:r>
      <w:r w:rsidRPr="00A37BC8">
        <w:rPr>
          <w:rFonts w:eastAsia="Times New Roman" w:cs="Arial"/>
          <w:color w:val="000000"/>
          <w:lang w:val="ru-RU"/>
        </w:rPr>
        <w:t>.</w:t>
      </w:r>
    </w:p>
    <w:p w14:paraId="235390E7" w14:textId="77777777" w:rsidR="00A37BC8" w:rsidRPr="00A37BC8" w:rsidRDefault="00A37BC8" w:rsidP="00A37BC8">
      <w:pPr>
        <w:spacing w:line="240" w:lineRule="auto"/>
        <w:rPr>
          <w:rFonts w:eastAsia="Times New Roman" w:cs="Arial"/>
          <w:color w:val="000000"/>
          <w:lang w:eastAsia="bg-BG"/>
        </w:rPr>
      </w:pPr>
    </w:p>
    <w:p w14:paraId="1F83D018" w14:textId="389E1334" w:rsidR="00A37BC8" w:rsidRPr="00A37BC8" w:rsidRDefault="00A37BC8" w:rsidP="00A37BC8">
      <w:pPr>
        <w:spacing w:line="240" w:lineRule="auto"/>
        <w:rPr>
          <w:rFonts w:eastAsia="Times New Roman" w:cs="Arial"/>
        </w:rPr>
      </w:pPr>
      <w:r w:rsidRPr="00A37BC8">
        <w:rPr>
          <w:rFonts w:eastAsia="Times New Roman" w:cs="Arial"/>
          <w:color w:val="000000"/>
          <w:lang w:eastAsia="bg-BG"/>
        </w:rPr>
        <w:t>Приложението на клофарабин води до бързо намаляване на левкемичните клетки в периферната кръв. Подлаганите на лечение с клофарабин пациенти трябва да бъдат оценявани и проследявани за признаци и симптоми на синдром на ту морен разпад и освобождаване на цитокини (напр. тахипнея, тахикардия, хипотония, белодробен), които могат да прераснат в синдром на системен възпалителен отговор (ССВО)/синдром на нарушена капилярна пропускливост (СНКП) и/или органна дисфункция (вж. точка 4.8).</w:t>
      </w:r>
    </w:p>
    <w:p w14:paraId="261DFD5F" w14:textId="77777777" w:rsidR="00A37BC8" w:rsidRPr="00A37BC8" w:rsidRDefault="00A37BC8" w:rsidP="00A37BC8">
      <w:pPr>
        <w:pStyle w:val="ListParagraph"/>
        <w:numPr>
          <w:ilvl w:val="0"/>
          <w:numId w:val="38"/>
        </w:numPr>
        <w:spacing w:line="240" w:lineRule="auto"/>
        <w:rPr>
          <w:rFonts w:eastAsia="Times New Roman" w:cs="Arial"/>
        </w:rPr>
      </w:pPr>
      <w:r w:rsidRPr="00A37BC8">
        <w:rPr>
          <w:rFonts w:eastAsia="Times New Roman" w:cs="Arial"/>
          <w:color w:val="000000"/>
          <w:lang w:eastAsia="bg-BG"/>
        </w:rPr>
        <w:t>Трябва да се обмисли профилактично приложение на алопуринол, ако се очаква хиперурикемия (туморен лизис).</w:t>
      </w:r>
    </w:p>
    <w:p w14:paraId="4EB14D12" w14:textId="77777777" w:rsidR="00A37BC8" w:rsidRPr="00A37BC8" w:rsidRDefault="00A37BC8" w:rsidP="00A37BC8">
      <w:pPr>
        <w:pStyle w:val="ListParagraph"/>
        <w:numPr>
          <w:ilvl w:val="0"/>
          <w:numId w:val="38"/>
        </w:numPr>
        <w:spacing w:line="240" w:lineRule="auto"/>
        <w:rPr>
          <w:rFonts w:eastAsia="Times New Roman" w:cs="Arial"/>
        </w:rPr>
      </w:pPr>
      <w:r w:rsidRPr="00A37BC8">
        <w:rPr>
          <w:rFonts w:eastAsia="Times New Roman" w:cs="Arial"/>
          <w:color w:val="000000"/>
          <w:lang w:eastAsia="bg-BG"/>
        </w:rPr>
        <w:t>Пациентите трябва да получават течности интравенозно по време на 5-дневния период на приложение на клофарабин, за да се намалят ефектите на туморен лизис и други събития.</w:t>
      </w:r>
    </w:p>
    <w:p w14:paraId="65256B87" w14:textId="4196BBD9" w:rsidR="00A37BC8" w:rsidRPr="00A37BC8" w:rsidRDefault="00A37BC8" w:rsidP="00A37BC8">
      <w:pPr>
        <w:pStyle w:val="ListParagraph"/>
        <w:numPr>
          <w:ilvl w:val="0"/>
          <w:numId w:val="38"/>
        </w:numPr>
        <w:spacing w:line="240" w:lineRule="auto"/>
        <w:rPr>
          <w:rFonts w:eastAsia="Times New Roman" w:cs="Arial"/>
        </w:rPr>
      </w:pPr>
      <w:r w:rsidRPr="00A37BC8">
        <w:rPr>
          <w:rFonts w:eastAsia="Times New Roman" w:cs="Arial"/>
          <w:color w:val="000000"/>
          <w:lang w:eastAsia="bg-BG"/>
        </w:rPr>
        <w:t xml:space="preserve">Използването на стероиди профилактично (напр. 100 </w:t>
      </w:r>
      <w:proofErr w:type="spellStart"/>
      <w:r w:rsidRPr="00A37BC8">
        <w:rPr>
          <w:rFonts w:eastAsia="Times New Roman" w:cs="Arial"/>
          <w:color w:val="000000"/>
          <w:lang w:val="en-US"/>
        </w:rPr>
        <w:t>rng</w:t>
      </w:r>
      <w:proofErr w:type="spellEnd"/>
      <w:r w:rsidRPr="00A37BC8">
        <w:rPr>
          <w:rFonts w:eastAsia="Times New Roman" w:cs="Arial"/>
          <w:color w:val="000000"/>
          <w:lang w:val="ru-RU"/>
        </w:rPr>
        <w:t>/</w:t>
      </w:r>
      <w:proofErr w:type="spellStart"/>
      <w:r w:rsidRPr="00A37BC8">
        <w:rPr>
          <w:rFonts w:eastAsia="Times New Roman" w:cs="Arial"/>
          <w:color w:val="000000"/>
          <w:lang w:val="en-US"/>
        </w:rPr>
        <w:t>rn</w:t>
      </w:r>
      <w:proofErr w:type="spellEnd"/>
      <w:r w:rsidRPr="00A37BC8">
        <w:rPr>
          <w:rFonts w:eastAsia="Times New Roman" w:cs="Arial"/>
          <w:color w:val="000000"/>
          <w:vertAlign w:val="superscript"/>
          <w:lang w:val="ru-RU"/>
        </w:rPr>
        <w:t>2</w:t>
      </w:r>
      <w:r w:rsidRPr="00A37BC8">
        <w:rPr>
          <w:rFonts w:eastAsia="Times New Roman" w:cs="Arial"/>
          <w:color w:val="000000"/>
          <w:lang w:val="ru-RU"/>
        </w:rPr>
        <w:t xml:space="preserve"> </w:t>
      </w:r>
      <w:r w:rsidRPr="00A37BC8">
        <w:rPr>
          <w:rFonts w:eastAsia="Times New Roman" w:cs="Arial"/>
          <w:color w:val="000000"/>
          <w:lang w:eastAsia="bg-BG"/>
        </w:rPr>
        <w:t>хидрокортизон в дните от 1 до 3) може да бъде от полза за предотвратяване на признаци или симптоми на ССВО или нарушена капилярна пропускливост.</w:t>
      </w:r>
    </w:p>
    <w:p w14:paraId="628335CB" w14:textId="77777777" w:rsidR="00A37BC8" w:rsidRPr="00A37BC8" w:rsidRDefault="00A37BC8" w:rsidP="00A37BC8">
      <w:pPr>
        <w:spacing w:line="240" w:lineRule="auto"/>
        <w:rPr>
          <w:rFonts w:eastAsia="Times New Roman" w:cs="Arial"/>
          <w:color w:val="000000"/>
          <w:lang w:eastAsia="bg-BG"/>
        </w:rPr>
      </w:pPr>
    </w:p>
    <w:p w14:paraId="679B1632" w14:textId="02E69232" w:rsidR="00A37BC8" w:rsidRPr="00A37BC8" w:rsidRDefault="00A37BC8" w:rsidP="00A37BC8">
      <w:pPr>
        <w:spacing w:line="240" w:lineRule="auto"/>
        <w:rPr>
          <w:rFonts w:eastAsia="Times New Roman" w:cs="Arial"/>
        </w:rPr>
      </w:pPr>
      <w:r w:rsidRPr="00A37BC8">
        <w:rPr>
          <w:rFonts w:eastAsia="Times New Roman" w:cs="Arial"/>
          <w:color w:val="000000"/>
          <w:lang w:eastAsia="bg-BG"/>
        </w:rPr>
        <w:t>Клофарабин трябва да се прекрати незабавно, ако пациентите покажат ранни признаци или симптоми на ССВО, синдром на нарушена капилярна пропускливост или значителна органна дисфункция и трябва да се предприемат подходящи поддържащи мерки. Освен това, лечението с клофарабин трябва да се преустанови, ако по някаква причина пациентът развие хипотония през 5-те дни от прилагането на лекарството. По-нататъшно лечение с клофарабин, по принцип при по-ниски дози, може да се обмисли, когато пациентите са стабилизирани и органната функция се е възстановила до изходно ниво.</w:t>
      </w:r>
    </w:p>
    <w:p w14:paraId="2BCE482C" w14:textId="77777777" w:rsidR="00A37BC8" w:rsidRPr="00A37BC8" w:rsidRDefault="00A37BC8" w:rsidP="00A37BC8">
      <w:pPr>
        <w:spacing w:line="240" w:lineRule="auto"/>
        <w:rPr>
          <w:rFonts w:eastAsia="Times New Roman" w:cs="Arial"/>
          <w:color w:val="000000"/>
          <w:lang w:eastAsia="bg-BG"/>
        </w:rPr>
      </w:pPr>
    </w:p>
    <w:p w14:paraId="4E7E7B0D" w14:textId="23B38E49" w:rsidR="00A37BC8" w:rsidRPr="00A37BC8" w:rsidRDefault="00A37BC8" w:rsidP="00A37BC8">
      <w:pPr>
        <w:spacing w:line="240" w:lineRule="auto"/>
        <w:rPr>
          <w:rFonts w:eastAsia="Times New Roman" w:cs="Arial"/>
          <w:color w:val="000000"/>
          <w:lang w:eastAsia="bg-BG"/>
        </w:rPr>
      </w:pPr>
      <w:r w:rsidRPr="00A37BC8">
        <w:rPr>
          <w:rFonts w:eastAsia="Times New Roman" w:cs="Arial"/>
          <w:color w:val="000000"/>
          <w:lang w:eastAsia="bg-BG"/>
        </w:rPr>
        <w:t>Повечето пациенти, които се повлияват от клофарабин, показват отговор след 1 или 2 цикъла на лечение (вж. точка 5.1). Затова лекуващият лекар трябва да оцени потенциалната полза и рискове, свързани с продължаване на терапията при пациенти, които не показват хематологично и/или клинично подобрение след 2 цикъла на лечение.</w:t>
      </w:r>
    </w:p>
    <w:p w14:paraId="3A66593E" w14:textId="037A6762" w:rsidR="00A37BC8" w:rsidRPr="00A37BC8" w:rsidRDefault="00A37BC8" w:rsidP="00A37BC8">
      <w:pPr>
        <w:spacing w:line="240" w:lineRule="auto"/>
        <w:rPr>
          <w:rFonts w:eastAsia="Times New Roman" w:cs="Arial"/>
          <w:color w:val="000000"/>
          <w:lang w:eastAsia="bg-BG"/>
        </w:rPr>
      </w:pPr>
    </w:p>
    <w:p w14:paraId="0D61F4E6" w14:textId="77777777" w:rsidR="00A37BC8" w:rsidRPr="00A37BC8" w:rsidRDefault="00A37BC8" w:rsidP="00A37BC8">
      <w:pPr>
        <w:spacing w:line="240" w:lineRule="auto"/>
        <w:rPr>
          <w:rFonts w:eastAsia="Times New Roman" w:cs="Arial"/>
        </w:rPr>
      </w:pPr>
      <w:r w:rsidRPr="00A37BC8">
        <w:rPr>
          <w:rFonts w:eastAsia="Times New Roman" w:cs="Arial"/>
          <w:color w:val="000000"/>
          <w:lang w:eastAsia="bg-BG"/>
        </w:rPr>
        <w:t>Пациенти със сърдечно заболяване и такива, които приемат лекарствени продукти, за които е известно, че влияят върху кръвното налягане или сърдечната функция, трябва да се проследяват внимателно по време на лечението с клофарабин (вж. точки 4.5 и 4.8).</w:t>
      </w:r>
    </w:p>
    <w:p w14:paraId="043C565A" w14:textId="77777777" w:rsidR="00A37BC8" w:rsidRPr="00A37BC8" w:rsidRDefault="00A37BC8" w:rsidP="00A37BC8">
      <w:pPr>
        <w:spacing w:line="240" w:lineRule="auto"/>
        <w:rPr>
          <w:rFonts w:eastAsia="Times New Roman" w:cs="Arial"/>
          <w:color w:val="000000"/>
          <w:lang w:eastAsia="bg-BG"/>
        </w:rPr>
      </w:pPr>
    </w:p>
    <w:p w14:paraId="01FCD5EE" w14:textId="401517BC" w:rsidR="00A37BC8" w:rsidRPr="00A37BC8" w:rsidRDefault="00A37BC8" w:rsidP="00A37BC8">
      <w:pPr>
        <w:spacing w:line="240" w:lineRule="auto"/>
        <w:rPr>
          <w:rFonts w:eastAsia="Times New Roman" w:cs="Arial"/>
        </w:rPr>
      </w:pPr>
      <w:r w:rsidRPr="00A37BC8">
        <w:rPr>
          <w:rFonts w:eastAsia="Times New Roman" w:cs="Arial"/>
          <w:color w:val="000000"/>
          <w:lang w:eastAsia="bg-BG"/>
        </w:rPr>
        <w:t xml:space="preserve">Липсва опит от клинични изпитвания при педиатрични пациенти с бъбречна недостатъчност (определена при клиничните изпитвания като серумен креатинин ≥ 2 х горната граница на нормата за възрастта), а клофарабин се излъчва главно през бъбреците. Фармакокинетичиите данни показват, че клофарабин може да кумулира при пациенти с намален креатининов клирънс (вж. точка 5.2). Затова клофарабин трябва да се прилага с повишено внимание при пациенти с лека до умерена бъбречна недостатъчност (вж. точка 4.2 за коригиране на дозата). Профилът на безопасност на клофарабин не е установен при пациенти с тежко бъбречно увреждане или пациенти, получаващи бъбречно заместителна терапия (вж. точка 4.3). Едновременната употреба на лекарствени продукти, свързани с бъбречна токсичност и такива, елиминирани чрез тубулна секреция, като НСПВС, амфотерицин В, метотрексат, аминозиди, съединения на платината, фоскарнет, пентамидин, циклоспорин, такролимус, ацикловир и валганцикловир, трябва да се избягва, особено по време на 5-дневния период на приложение на клофарабин; трябва да се предпочитат такива лекарствени продукти, за които няма данни, че са нефротоксични (вж. точки 4.5 и 4.8). Наблюдавана е бъбречна недостатъчност или остра бъбречна недостатъчност в резултат на инфекции, сепсис и </w:t>
      </w:r>
      <w:r w:rsidRPr="00A37BC8">
        <w:rPr>
          <w:rFonts w:eastAsia="Times New Roman" w:cs="Arial"/>
          <w:color w:val="000000"/>
          <w:lang w:eastAsia="bg-BG"/>
        </w:rPr>
        <w:lastRenderedPageBreak/>
        <w:t>синдром на туморен разпад (вж. точка 4.8). Пациентите трябва да се наблюдават за бъбречна токсичност и клофарабин трябва да се прекрати, ако е необходимо.</w:t>
      </w:r>
    </w:p>
    <w:p w14:paraId="5D751819" w14:textId="77777777" w:rsidR="00A37BC8" w:rsidRPr="00A37BC8" w:rsidRDefault="00A37BC8" w:rsidP="00A37BC8">
      <w:pPr>
        <w:spacing w:line="240" w:lineRule="auto"/>
        <w:rPr>
          <w:rFonts w:eastAsia="Times New Roman" w:cs="Arial"/>
          <w:color w:val="000000"/>
          <w:lang w:eastAsia="bg-BG"/>
        </w:rPr>
      </w:pPr>
    </w:p>
    <w:p w14:paraId="5BA7ABAE" w14:textId="19C96003" w:rsidR="00A37BC8" w:rsidRPr="00A37BC8" w:rsidRDefault="00A37BC8" w:rsidP="00A37BC8">
      <w:pPr>
        <w:spacing w:line="240" w:lineRule="auto"/>
        <w:rPr>
          <w:rFonts w:eastAsia="Times New Roman" w:cs="Arial"/>
        </w:rPr>
      </w:pPr>
      <w:r w:rsidRPr="00A37BC8">
        <w:rPr>
          <w:rFonts w:eastAsia="Times New Roman" w:cs="Arial"/>
          <w:color w:val="000000"/>
          <w:lang w:eastAsia="bg-BG"/>
        </w:rPr>
        <w:t>Наблюдавано е, че честотата и тежестта на нежеланите реакции, по-специално инфекция, миелосупресия (неутропения) и хепатотоксичност, са повишени, когато клофарабин се използва в комбинация. Във връзка с това, пациентите трябва да бъдат проследявани внимателно, когато клофарабин се използва в комбинирани схеми.</w:t>
      </w:r>
    </w:p>
    <w:p w14:paraId="241B8C24" w14:textId="77777777" w:rsidR="00A37BC8" w:rsidRPr="00A37BC8" w:rsidRDefault="00A37BC8" w:rsidP="00A37BC8">
      <w:pPr>
        <w:spacing w:line="240" w:lineRule="auto"/>
        <w:rPr>
          <w:rFonts w:eastAsia="Times New Roman" w:cs="Arial"/>
          <w:color w:val="000000"/>
          <w:lang w:eastAsia="bg-BG"/>
        </w:rPr>
      </w:pPr>
    </w:p>
    <w:p w14:paraId="4A721019" w14:textId="702A5C15" w:rsidR="00A37BC8" w:rsidRPr="00A37BC8" w:rsidRDefault="00A37BC8" w:rsidP="00A37BC8">
      <w:pPr>
        <w:spacing w:line="240" w:lineRule="auto"/>
        <w:rPr>
          <w:rFonts w:eastAsia="Times New Roman" w:cs="Arial"/>
        </w:rPr>
      </w:pPr>
      <w:r w:rsidRPr="00A37BC8">
        <w:rPr>
          <w:rFonts w:eastAsia="Times New Roman" w:cs="Arial"/>
          <w:color w:val="000000"/>
          <w:lang w:eastAsia="bg-BG"/>
        </w:rPr>
        <w:t>Пациенти, лекувани с клофарабин, могат да получат повръщане и диария; по тази причина те трябва да бъдат посъветвани за съответните подходящи мерки за избягване на дехиратация. Пациентите трябва да бъдат посъветвани да потърсят медицинска помощ, ако се появят симптоми на замайване, прималяване или намалено отделяне на урина. Трябва да се обмисли профилактичното прилагане на лекарствени продукти против повръщане.</w:t>
      </w:r>
    </w:p>
    <w:p w14:paraId="442ABE4B" w14:textId="77777777" w:rsidR="00A37BC8" w:rsidRPr="00A37BC8" w:rsidRDefault="00A37BC8" w:rsidP="00A37BC8">
      <w:pPr>
        <w:spacing w:line="240" w:lineRule="auto"/>
        <w:rPr>
          <w:rFonts w:eastAsia="Times New Roman" w:cs="Arial"/>
          <w:color w:val="000000"/>
          <w:lang w:eastAsia="bg-BG"/>
        </w:rPr>
      </w:pPr>
    </w:p>
    <w:p w14:paraId="14E0706B" w14:textId="4FDBF3F4" w:rsidR="00A37BC8" w:rsidRPr="00A37BC8" w:rsidRDefault="00A37BC8" w:rsidP="00A37BC8">
      <w:pPr>
        <w:spacing w:line="240" w:lineRule="auto"/>
        <w:rPr>
          <w:rFonts w:eastAsia="Times New Roman" w:cs="Arial"/>
        </w:rPr>
      </w:pPr>
      <w:r w:rsidRPr="00A37BC8">
        <w:rPr>
          <w:rFonts w:eastAsia="Times New Roman" w:cs="Arial"/>
          <w:color w:val="000000"/>
          <w:lang w:eastAsia="bg-BG"/>
        </w:rPr>
        <w:t xml:space="preserve">Липсва опит при пациенти с чернодробно увреждане (серумен билирубин &gt; 1,5 х горната граница на нормата плюс </w:t>
      </w:r>
      <w:r w:rsidRPr="00A37BC8">
        <w:rPr>
          <w:rFonts w:eastAsia="Times New Roman" w:cs="Arial"/>
          <w:color w:val="000000"/>
          <w:lang w:val="en-US"/>
        </w:rPr>
        <w:t>ASAT</w:t>
      </w:r>
      <w:r w:rsidRPr="00A37BC8">
        <w:rPr>
          <w:rFonts w:eastAsia="Times New Roman" w:cs="Arial"/>
          <w:color w:val="000000"/>
          <w:lang w:val="ru-RU"/>
        </w:rPr>
        <w:t xml:space="preserve"> </w:t>
      </w:r>
      <w:r w:rsidRPr="00A37BC8">
        <w:rPr>
          <w:rFonts w:eastAsia="Times New Roman" w:cs="Arial"/>
          <w:color w:val="000000"/>
          <w:lang w:eastAsia="bg-BG"/>
        </w:rPr>
        <w:t xml:space="preserve">и </w:t>
      </w:r>
      <w:r w:rsidRPr="00A37BC8">
        <w:rPr>
          <w:rFonts w:eastAsia="Times New Roman" w:cs="Arial"/>
          <w:color w:val="000000"/>
          <w:lang w:val="en-US"/>
        </w:rPr>
        <w:t>ALAT</w:t>
      </w:r>
      <w:r w:rsidRPr="00A37BC8">
        <w:rPr>
          <w:rFonts w:eastAsia="Times New Roman" w:cs="Arial"/>
          <w:color w:val="000000"/>
          <w:lang w:val="ru-RU"/>
        </w:rPr>
        <w:t xml:space="preserve"> </w:t>
      </w:r>
      <w:r w:rsidRPr="00A37BC8">
        <w:rPr>
          <w:rFonts w:eastAsia="Times New Roman" w:cs="Arial"/>
          <w:color w:val="000000"/>
          <w:lang w:eastAsia="bg-BG"/>
        </w:rPr>
        <w:t>&gt; 5 х горната граница на нормата), а черният дроб е потенциален прицелен орган за токсичност. Следователно, клофарабин трябва да се прилага с повишено внимание при пациенти с леко до умерено чернодробно увреждане (вж. точки 4.2 и 4.3). Едновременната употреба на лекарствени продукти, свързани с чернодробна токсичност, трябва да се избягва винаги, когато е възможно (вж. точки 4.5 и 4.8).</w:t>
      </w:r>
    </w:p>
    <w:p w14:paraId="01456A7A" w14:textId="77777777" w:rsidR="00A37BC8" w:rsidRPr="00A37BC8" w:rsidRDefault="00A37BC8" w:rsidP="00A37BC8">
      <w:pPr>
        <w:spacing w:line="240" w:lineRule="auto"/>
        <w:rPr>
          <w:rFonts w:eastAsia="Times New Roman" w:cs="Arial"/>
        </w:rPr>
      </w:pPr>
      <w:r w:rsidRPr="00A37BC8">
        <w:rPr>
          <w:rFonts w:eastAsia="Times New Roman" w:cs="Arial"/>
          <w:color w:val="000000"/>
          <w:lang w:eastAsia="bg-BG"/>
        </w:rPr>
        <w:t>Ако пациентът получи хематологична токсичност при неутропения от 4-та степен (АБН &lt;0,5 х 10</w:t>
      </w:r>
      <w:r w:rsidRPr="00A37BC8">
        <w:rPr>
          <w:rFonts w:eastAsia="Times New Roman" w:cs="Arial"/>
          <w:color w:val="000000"/>
          <w:vertAlign w:val="superscript"/>
          <w:lang w:eastAsia="bg-BG"/>
        </w:rPr>
        <w:t>9</w:t>
      </w:r>
      <w:r w:rsidRPr="00A37BC8">
        <w:rPr>
          <w:rFonts w:eastAsia="Times New Roman" w:cs="Arial"/>
          <w:color w:val="000000"/>
          <w:lang w:eastAsia="bg-BG"/>
        </w:rPr>
        <w:t>/1) с продължителност ≥ 4 седмици, след това дозата трябва да се намали с 25% за следващия цикъл.</w:t>
      </w:r>
    </w:p>
    <w:p w14:paraId="5B2F70C0" w14:textId="77777777" w:rsidR="00A37BC8" w:rsidRPr="00A37BC8" w:rsidRDefault="00A37BC8" w:rsidP="00A37BC8">
      <w:pPr>
        <w:spacing w:line="240" w:lineRule="auto"/>
        <w:rPr>
          <w:rFonts w:eastAsia="Times New Roman" w:cs="Arial"/>
          <w:color w:val="000000"/>
          <w:lang w:eastAsia="bg-BG"/>
        </w:rPr>
      </w:pPr>
    </w:p>
    <w:p w14:paraId="5F12873C" w14:textId="36D3173E" w:rsidR="00A37BC8" w:rsidRPr="00A37BC8" w:rsidRDefault="00A37BC8" w:rsidP="00A37BC8">
      <w:pPr>
        <w:spacing w:line="240" w:lineRule="auto"/>
        <w:rPr>
          <w:rFonts w:eastAsia="Times New Roman" w:cs="Arial"/>
        </w:rPr>
      </w:pPr>
      <w:r w:rsidRPr="00A37BC8">
        <w:rPr>
          <w:rFonts w:eastAsia="Times New Roman" w:cs="Arial"/>
          <w:color w:val="000000"/>
          <w:lang w:eastAsia="bg-BG"/>
        </w:rPr>
        <w:t xml:space="preserve">При всеки пациент, получил тежка нехематологична токсична реакция (токсична реакция от 3-та степен, според </w:t>
      </w:r>
      <w:r w:rsidRPr="00A37BC8">
        <w:rPr>
          <w:rFonts w:eastAsia="Times New Roman" w:cs="Arial"/>
          <w:color w:val="000000"/>
          <w:lang w:val="en-US"/>
        </w:rPr>
        <w:t>NCI</w:t>
      </w:r>
      <w:r w:rsidRPr="00A37BC8">
        <w:rPr>
          <w:rFonts w:eastAsia="Times New Roman" w:cs="Arial"/>
          <w:color w:val="000000"/>
          <w:lang w:val="ru-RU"/>
        </w:rPr>
        <w:t xml:space="preserve"> </w:t>
      </w:r>
      <w:r w:rsidRPr="00A37BC8">
        <w:rPr>
          <w:rFonts w:eastAsia="Times New Roman" w:cs="Arial"/>
          <w:color w:val="000000"/>
          <w:lang w:eastAsia="bg-BG"/>
        </w:rPr>
        <w:t xml:space="preserve">ОКТ) за трети път, тежка токсична реакция, която не отзвучава в рамките на 14 дни (с изключение на гадене/повръщане), или животозастрашаваща, или инвалидизираща неинфекциозна нехематологична токсична реакция (токсична реакция от 4-та степен, според </w:t>
      </w:r>
      <w:r w:rsidRPr="00A37BC8">
        <w:rPr>
          <w:rFonts w:eastAsia="Times New Roman" w:cs="Arial"/>
          <w:color w:val="000000"/>
          <w:lang w:val="en-US"/>
        </w:rPr>
        <w:t>NCI</w:t>
      </w:r>
      <w:r w:rsidRPr="00A37BC8">
        <w:rPr>
          <w:rFonts w:eastAsia="Times New Roman" w:cs="Arial"/>
          <w:color w:val="000000"/>
          <w:lang w:val="ru-RU"/>
        </w:rPr>
        <w:t xml:space="preserve"> </w:t>
      </w:r>
      <w:r w:rsidRPr="00A37BC8">
        <w:rPr>
          <w:rFonts w:eastAsia="Times New Roman" w:cs="Arial"/>
          <w:color w:val="000000"/>
          <w:lang w:eastAsia="bg-BG"/>
        </w:rPr>
        <w:t>ОКТ) лечението с клофарабин трябва да се прекрати (вж. точка 4.2).</w:t>
      </w:r>
    </w:p>
    <w:p w14:paraId="56E78D37" w14:textId="77777777" w:rsidR="00A37BC8" w:rsidRPr="00A37BC8" w:rsidRDefault="00A37BC8" w:rsidP="00A37BC8">
      <w:pPr>
        <w:spacing w:line="240" w:lineRule="auto"/>
        <w:rPr>
          <w:rFonts w:eastAsia="Times New Roman" w:cs="Arial"/>
          <w:color w:val="000000"/>
          <w:lang w:eastAsia="bg-BG"/>
        </w:rPr>
      </w:pPr>
    </w:p>
    <w:p w14:paraId="2E7FF4CB" w14:textId="77777777" w:rsidR="00A37BC8" w:rsidRPr="00A37BC8" w:rsidRDefault="00A37BC8" w:rsidP="00A37BC8">
      <w:pPr>
        <w:rPr>
          <w:rFonts w:eastAsia="Times New Roman" w:cs="Arial"/>
        </w:rPr>
      </w:pPr>
      <w:r w:rsidRPr="00A37BC8">
        <w:rPr>
          <w:rFonts w:eastAsia="Times New Roman" w:cs="Arial"/>
          <w:color w:val="000000"/>
          <w:lang w:eastAsia="bg-BG"/>
        </w:rPr>
        <w:t xml:space="preserve">Пациенти, които са били подложени на трансплантация на хемопоетични стволови клетки (ТХСК) може да са с по-висок риск за хепатотоксичност, насочващ за венооклузивна болест (ВОБ) след лечение с клофарабин (40 </w:t>
      </w:r>
      <w:r w:rsidRPr="00A37BC8">
        <w:rPr>
          <w:rFonts w:eastAsia="Times New Roman" w:cs="Arial"/>
          <w:color w:val="000000"/>
          <w:lang w:val="en-US"/>
        </w:rPr>
        <w:t>mg</w:t>
      </w:r>
      <w:r w:rsidRPr="00A37BC8">
        <w:rPr>
          <w:rFonts w:eastAsia="Times New Roman" w:cs="Arial"/>
          <w:color w:val="000000"/>
          <w:lang w:val="ru-RU"/>
        </w:rPr>
        <w:t>/</w:t>
      </w:r>
      <w:r w:rsidRPr="00A37BC8">
        <w:rPr>
          <w:rFonts w:eastAsia="Times New Roman" w:cs="Arial"/>
          <w:color w:val="000000"/>
          <w:lang w:val="en-US"/>
        </w:rPr>
        <w:t>m</w:t>
      </w:r>
      <w:r w:rsidRPr="00A37BC8">
        <w:rPr>
          <w:rFonts w:eastAsia="Times New Roman" w:cs="Arial"/>
          <w:color w:val="000000"/>
          <w:vertAlign w:val="superscript"/>
          <w:lang w:val="ru-RU"/>
        </w:rPr>
        <w:t>2</w:t>
      </w:r>
      <w:r w:rsidRPr="00A37BC8">
        <w:rPr>
          <w:rFonts w:eastAsia="Times New Roman" w:cs="Arial"/>
          <w:color w:val="000000"/>
          <w:lang w:val="ru-RU"/>
        </w:rPr>
        <w:t xml:space="preserve">), </w:t>
      </w:r>
      <w:r w:rsidRPr="00A37BC8">
        <w:rPr>
          <w:rFonts w:eastAsia="Times New Roman" w:cs="Arial"/>
          <w:color w:val="000000"/>
          <w:lang w:eastAsia="bg-BG"/>
        </w:rPr>
        <w:t xml:space="preserve">когато се използва в комбинация с етопозид (100 </w:t>
      </w:r>
      <w:r w:rsidRPr="00A37BC8">
        <w:rPr>
          <w:rFonts w:eastAsia="Times New Roman" w:cs="Arial"/>
          <w:color w:val="000000"/>
          <w:lang w:val="en-US"/>
        </w:rPr>
        <w:t>mg</w:t>
      </w:r>
      <w:r w:rsidRPr="00A37BC8">
        <w:rPr>
          <w:rFonts w:eastAsia="Times New Roman" w:cs="Arial"/>
          <w:color w:val="000000"/>
          <w:lang w:val="ru-RU"/>
        </w:rPr>
        <w:t>/</w:t>
      </w:r>
      <w:r w:rsidRPr="00A37BC8">
        <w:rPr>
          <w:rFonts w:eastAsia="Times New Roman" w:cs="Arial"/>
          <w:color w:val="000000"/>
          <w:lang w:val="en-US"/>
        </w:rPr>
        <w:t>m</w:t>
      </w:r>
      <w:r w:rsidRPr="00A37BC8">
        <w:rPr>
          <w:rFonts w:eastAsia="Times New Roman" w:cs="Arial"/>
          <w:color w:val="000000"/>
          <w:vertAlign w:val="superscript"/>
          <w:lang w:val="ru-RU"/>
        </w:rPr>
        <w:t>2</w:t>
      </w:r>
      <w:r w:rsidRPr="00A37BC8">
        <w:rPr>
          <w:rFonts w:eastAsia="Times New Roman" w:cs="Arial"/>
          <w:color w:val="000000"/>
          <w:lang w:val="ru-RU"/>
        </w:rPr>
        <w:t xml:space="preserve">) </w:t>
      </w:r>
      <w:r w:rsidRPr="00A37BC8">
        <w:rPr>
          <w:rFonts w:eastAsia="Times New Roman" w:cs="Arial"/>
          <w:color w:val="000000"/>
          <w:lang w:eastAsia="bg-BG"/>
        </w:rPr>
        <w:t xml:space="preserve">и циклофосфамид (440 </w:t>
      </w:r>
      <w:r w:rsidRPr="00A37BC8">
        <w:rPr>
          <w:rFonts w:eastAsia="Times New Roman" w:cs="Arial"/>
          <w:color w:val="000000"/>
          <w:lang w:val="en-US"/>
        </w:rPr>
        <w:t>mg</w:t>
      </w:r>
      <w:r w:rsidRPr="00A37BC8">
        <w:rPr>
          <w:rFonts w:eastAsia="Times New Roman" w:cs="Arial"/>
          <w:color w:val="000000"/>
          <w:lang w:val="ru-RU"/>
        </w:rPr>
        <w:t>/</w:t>
      </w:r>
      <w:r w:rsidRPr="00A37BC8">
        <w:rPr>
          <w:rFonts w:eastAsia="Times New Roman" w:cs="Arial"/>
          <w:color w:val="000000"/>
          <w:lang w:val="en-US"/>
        </w:rPr>
        <w:t>m</w:t>
      </w:r>
      <w:r w:rsidRPr="00A37BC8">
        <w:rPr>
          <w:rFonts w:eastAsia="Times New Roman" w:cs="Arial"/>
          <w:color w:val="000000"/>
          <w:vertAlign w:val="superscript"/>
          <w:lang w:val="ru-RU"/>
        </w:rPr>
        <w:t>2</w:t>
      </w:r>
      <w:r w:rsidRPr="00A37BC8">
        <w:rPr>
          <w:rFonts w:eastAsia="Times New Roman" w:cs="Arial"/>
          <w:color w:val="000000"/>
          <w:lang w:val="ru-RU"/>
        </w:rPr>
        <w:t xml:space="preserve">). </w:t>
      </w:r>
      <w:r w:rsidRPr="00A37BC8">
        <w:rPr>
          <w:rFonts w:eastAsia="Times New Roman" w:cs="Arial"/>
          <w:color w:val="000000"/>
          <w:lang w:eastAsia="bg-BG"/>
        </w:rPr>
        <w:t>По време на постмаркетинговия период, сериозни хепатотоксични нежелани реакции на ВОБ при педиатрични и възрастни пациенти след</w:t>
      </w:r>
      <w:r w:rsidRPr="00A37BC8">
        <w:rPr>
          <w:rFonts w:eastAsia="Times New Roman" w:cs="Arial"/>
          <w:color w:val="000000"/>
          <w:lang w:val="ru-RU" w:eastAsia="bg-BG"/>
        </w:rPr>
        <w:t xml:space="preserve"> </w:t>
      </w:r>
      <w:r w:rsidRPr="00A37BC8">
        <w:rPr>
          <w:rFonts w:eastAsia="Times New Roman" w:cs="Arial"/>
          <w:color w:val="000000"/>
          <w:lang w:eastAsia="bg-BG"/>
        </w:rPr>
        <w:t>лечение с клорафабин, са свързани с фатален изход. Съобщени са случаи на хепатит и чернодробна недостатъчност, включително с летален изход при лечение с клофарабин (вж. точка 4.8).</w:t>
      </w:r>
    </w:p>
    <w:p w14:paraId="743AA826" w14:textId="77777777" w:rsidR="00A37BC8" w:rsidRPr="00A37BC8" w:rsidRDefault="00A37BC8" w:rsidP="00A37BC8">
      <w:pPr>
        <w:spacing w:line="240" w:lineRule="auto"/>
        <w:rPr>
          <w:rFonts w:eastAsia="Times New Roman" w:cs="Arial"/>
          <w:color w:val="000000"/>
          <w:lang w:eastAsia="bg-BG"/>
        </w:rPr>
      </w:pPr>
    </w:p>
    <w:p w14:paraId="7DDECDC9" w14:textId="3911A02D" w:rsidR="00A37BC8" w:rsidRPr="00A37BC8" w:rsidRDefault="00A37BC8" w:rsidP="00A37BC8">
      <w:pPr>
        <w:spacing w:line="240" w:lineRule="auto"/>
        <w:rPr>
          <w:rFonts w:eastAsia="Times New Roman" w:cs="Arial"/>
        </w:rPr>
      </w:pPr>
      <w:r w:rsidRPr="00A37BC8">
        <w:rPr>
          <w:rFonts w:eastAsia="Times New Roman" w:cs="Arial"/>
          <w:color w:val="000000"/>
          <w:lang w:eastAsia="bg-BG"/>
        </w:rPr>
        <w:t>Повечето пациенти са получавали определени терапевтични лечения, които включват бусулфан, мелфалан и/или комбинация от циклофосфамид и лъчетерапия на цялото тяло. В едно комбинирано проучване фаза 1/2 на клофарабин при педиатрични пациенти с рецидивираща или рефрактерна остра левкемия са съобщени тежки хепатотоксични събития.</w:t>
      </w:r>
    </w:p>
    <w:p w14:paraId="1EDE15F6" w14:textId="77777777" w:rsidR="00A37BC8" w:rsidRPr="00A37BC8" w:rsidRDefault="00A37BC8" w:rsidP="00A37BC8">
      <w:pPr>
        <w:spacing w:line="240" w:lineRule="auto"/>
        <w:rPr>
          <w:rFonts w:eastAsia="Times New Roman" w:cs="Arial"/>
          <w:color w:val="000000"/>
          <w:lang w:eastAsia="bg-BG"/>
        </w:rPr>
      </w:pPr>
    </w:p>
    <w:p w14:paraId="67898124" w14:textId="0951B6CA" w:rsidR="00A37BC8" w:rsidRPr="00A37BC8" w:rsidRDefault="00A37BC8" w:rsidP="00A37BC8">
      <w:pPr>
        <w:spacing w:line="240" w:lineRule="auto"/>
        <w:rPr>
          <w:rFonts w:eastAsia="Times New Roman" w:cs="Arial"/>
        </w:rPr>
      </w:pPr>
      <w:r w:rsidRPr="00A37BC8">
        <w:rPr>
          <w:rFonts w:eastAsia="Times New Roman" w:cs="Arial"/>
          <w:color w:val="000000"/>
          <w:lang w:eastAsia="bg-BG"/>
        </w:rPr>
        <w:t>Понастоящем има ограничени данни за безопасността и ефикасността на клофарабин при приложението му за повече от 3 цикъла на лечение.</w:t>
      </w:r>
    </w:p>
    <w:p w14:paraId="37EBF4EC" w14:textId="77777777" w:rsidR="00A37BC8" w:rsidRPr="00A37BC8" w:rsidRDefault="00A37BC8" w:rsidP="00A37BC8">
      <w:pPr>
        <w:spacing w:line="240" w:lineRule="auto"/>
        <w:rPr>
          <w:rFonts w:eastAsia="Times New Roman" w:cs="Arial"/>
          <w:color w:val="000000"/>
          <w:lang w:eastAsia="bg-BG"/>
        </w:rPr>
      </w:pPr>
    </w:p>
    <w:p w14:paraId="212C3C4A" w14:textId="48FD4925" w:rsidR="00A37BC8" w:rsidRPr="00A37BC8" w:rsidRDefault="00A37BC8" w:rsidP="00A37BC8">
      <w:pPr>
        <w:spacing w:line="240" w:lineRule="auto"/>
        <w:rPr>
          <w:rFonts w:eastAsia="Times New Roman" w:cs="Arial"/>
        </w:rPr>
      </w:pPr>
      <w:r w:rsidRPr="00A37BC8">
        <w:rPr>
          <w:rFonts w:eastAsia="Times New Roman" w:cs="Arial"/>
          <w:color w:val="000000"/>
          <w:lang w:eastAsia="bg-BG"/>
        </w:rPr>
        <w:t xml:space="preserve">Този лекарствен продукт съдържа 71 </w:t>
      </w:r>
      <w:r w:rsidRPr="00A37BC8">
        <w:rPr>
          <w:rFonts w:eastAsia="Times New Roman" w:cs="Arial"/>
          <w:color w:val="000000"/>
          <w:lang w:val="en-US"/>
        </w:rPr>
        <w:t>mg</w:t>
      </w:r>
      <w:r w:rsidRPr="00A37BC8">
        <w:rPr>
          <w:rFonts w:eastAsia="Times New Roman" w:cs="Arial"/>
          <w:color w:val="000000"/>
          <w:lang w:val="ru-RU"/>
        </w:rPr>
        <w:t xml:space="preserve"> </w:t>
      </w:r>
      <w:r w:rsidRPr="00A37BC8">
        <w:rPr>
          <w:rFonts w:eastAsia="Times New Roman" w:cs="Arial"/>
          <w:color w:val="000000"/>
          <w:lang w:eastAsia="bg-BG"/>
        </w:rPr>
        <w:t xml:space="preserve">натрий на флакон, еквивалентни на 4% от препоръчания от СЗО максимален дневен прием от 2 </w:t>
      </w:r>
      <w:r w:rsidRPr="00A37BC8">
        <w:rPr>
          <w:rFonts w:eastAsia="Times New Roman" w:cs="Arial"/>
          <w:color w:val="000000"/>
          <w:lang w:val="en-US"/>
        </w:rPr>
        <w:t>g</w:t>
      </w:r>
      <w:r w:rsidRPr="00A37BC8">
        <w:rPr>
          <w:rFonts w:eastAsia="Times New Roman" w:cs="Arial"/>
          <w:color w:val="000000"/>
          <w:lang w:val="ru-RU"/>
        </w:rPr>
        <w:t xml:space="preserve"> </w:t>
      </w:r>
      <w:r w:rsidRPr="00A37BC8">
        <w:rPr>
          <w:rFonts w:eastAsia="Times New Roman" w:cs="Arial"/>
          <w:color w:val="000000"/>
          <w:lang w:eastAsia="bg-BG"/>
        </w:rPr>
        <w:t>натрий за възрастен.</w:t>
      </w:r>
    </w:p>
    <w:p w14:paraId="09DCD580" w14:textId="7EC04043" w:rsidR="00A37BC8" w:rsidRPr="00A37BC8" w:rsidRDefault="00A37BC8" w:rsidP="00A37BC8">
      <w:pPr>
        <w:spacing w:line="240" w:lineRule="auto"/>
        <w:rPr>
          <w:rFonts w:ascii="Times New Roman" w:eastAsia="Times New Roman" w:hAnsi="Times New Roman" w:cs="Times New Roman"/>
          <w:sz w:val="24"/>
          <w:szCs w:val="24"/>
        </w:rPr>
      </w:pPr>
    </w:p>
    <w:p w14:paraId="0734264C" w14:textId="306E4F6A"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2E95FC4" w14:textId="1E0B95E8" w:rsidR="00A37BC8" w:rsidRDefault="00A37BC8" w:rsidP="00A37BC8"/>
    <w:p w14:paraId="7A16F1CC"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Досега не са провеждани специални проучвания за взаимодействията на клофарабин. Не са известни, обаче, клинично значими взаимодйствия с други лекарствени продукти или тестове за лабораторни изследвания.</w:t>
      </w:r>
    </w:p>
    <w:p w14:paraId="59A3B90E" w14:textId="77777777" w:rsidR="00A37BC8" w:rsidRPr="00A37BC8" w:rsidRDefault="00A37BC8" w:rsidP="00A37BC8">
      <w:pPr>
        <w:spacing w:line="240" w:lineRule="auto"/>
        <w:rPr>
          <w:rFonts w:eastAsia="Times New Roman" w:cs="Arial"/>
          <w:color w:val="000000"/>
          <w:szCs w:val="20"/>
          <w:lang w:eastAsia="bg-BG"/>
        </w:rPr>
      </w:pPr>
    </w:p>
    <w:p w14:paraId="64D2DD33" w14:textId="07B5845E" w:rsidR="00A37BC8" w:rsidRPr="00A37BC8" w:rsidRDefault="00A37BC8" w:rsidP="00A37BC8">
      <w:pPr>
        <w:spacing w:line="240" w:lineRule="auto"/>
        <w:rPr>
          <w:rFonts w:eastAsia="Times New Roman" w:cs="Arial"/>
          <w:color w:val="000000"/>
          <w:szCs w:val="20"/>
          <w:lang w:eastAsia="bg-BG"/>
        </w:rPr>
      </w:pPr>
      <w:r w:rsidRPr="00A37BC8">
        <w:rPr>
          <w:rFonts w:eastAsia="Times New Roman" w:cs="Arial"/>
          <w:color w:val="000000"/>
          <w:szCs w:val="20"/>
          <w:lang w:eastAsia="bg-BG"/>
        </w:rPr>
        <w:t xml:space="preserve">Клофарабин не се метаболизира в откриваеми количества от цитохром Р450 </w:t>
      </w:r>
      <w:r w:rsidRPr="00A37BC8">
        <w:rPr>
          <w:rFonts w:eastAsia="Times New Roman" w:cs="Arial"/>
          <w:color w:val="000000"/>
          <w:szCs w:val="20"/>
          <w:lang w:val="ru-RU"/>
        </w:rPr>
        <w:t>(</w:t>
      </w:r>
      <w:r w:rsidRPr="00A37BC8">
        <w:rPr>
          <w:rFonts w:eastAsia="Times New Roman" w:cs="Arial"/>
          <w:color w:val="000000"/>
          <w:szCs w:val="20"/>
          <w:lang w:val="en-US"/>
        </w:rPr>
        <w:t>CYP</w:t>
      </w:r>
      <w:r w:rsidRPr="00A37BC8">
        <w:rPr>
          <w:rFonts w:eastAsia="Times New Roman" w:cs="Arial"/>
          <w:color w:val="000000"/>
          <w:szCs w:val="20"/>
          <w:lang w:val="ru-RU"/>
        </w:rPr>
        <w:t xml:space="preserve">) </w:t>
      </w:r>
      <w:r w:rsidRPr="00A37BC8">
        <w:rPr>
          <w:rFonts w:eastAsia="Times New Roman" w:cs="Arial"/>
          <w:color w:val="000000"/>
          <w:szCs w:val="20"/>
          <w:lang w:eastAsia="bg-BG"/>
        </w:rPr>
        <w:t xml:space="preserve">ензимната система. </w:t>
      </w:r>
    </w:p>
    <w:p w14:paraId="5D470D41" w14:textId="02440D0E"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Затова е малко вероятно да взаимодейства с активни вещества, които потискат или стимулират цитохром </w:t>
      </w:r>
      <w:r w:rsidRPr="00A37BC8">
        <w:rPr>
          <w:rFonts w:eastAsia="Times New Roman" w:cs="Arial"/>
          <w:i/>
          <w:iCs/>
          <w:color w:val="000000"/>
          <w:szCs w:val="20"/>
          <w:lang w:eastAsia="bg-BG"/>
        </w:rPr>
        <w:t>Р450</w:t>
      </w:r>
      <w:r w:rsidRPr="00A37BC8">
        <w:rPr>
          <w:rFonts w:eastAsia="Times New Roman" w:cs="Arial"/>
          <w:color w:val="000000"/>
          <w:szCs w:val="20"/>
          <w:lang w:eastAsia="bg-BG"/>
        </w:rPr>
        <w:t xml:space="preserve"> ензимите. В допълнение, клофарабин е малко вероятно да потиска която и да е от 5-те главни изоформи на </w:t>
      </w:r>
      <w:r w:rsidRPr="00A37BC8">
        <w:rPr>
          <w:rFonts w:eastAsia="Times New Roman" w:cs="Arial"/>
          <w:color w:val="000000"/>
          <w:szCs w:val="20"/>
          <w:lang w:val="en-US"/>
        </w:rPr>
        <w:t>CYP</w:t>
      </w:r>
      <w:r w:rsidRPr="00A37BC8">
        <w:rPr>
          <w:rFonts w:eastAsia="Times New Roman" w:cs="Arial"/>
          <w:color w:val="000000"/>
          <w:szCs w:val="20"/>
          <w:lang w:val="ru-RU"/>
        </w:rPr>
        <w:t xml:space="preserve"> </w:t>
      </w:r>
      <w:r w:rsidRPr="00A37BC8">
        <w:rPr>
          <w:rFonts w:eastAsia="Times New Roman" w:cs="Arial"/>
          <w:color w:val="000000"/>
          <w:szCs w:val="20"/>
          <w:lang w:eastAsia="bg-BG"/>
        </w:rPr>
        <w:t xml:space="preserve">при човека (1А2, 2С9, 2С19, </w:t>
      </w:r>
      <w:r w:rsidRPr="00A37BC8">
        <w:rPr>
          <w:rFonts w:eastAsia="Times New Roman" w:cs="Arial"/>
          <w:color w:val="000000"/>
          <w:szCs w:val="20"/>
          <w:lang w:val="ru-RU"/>
        </w:rPr>
        <w:t>2</w:t>
      </w:r>
      <w:r w:rsidRPr="00A37BC8">
        <w:rPr>
          <w:rFonts w:eastAsia="Times New Roman" w:cs="Arial"/>
          <w:color w:val="000000"/>
          <w:szCs w:val="20"/>
          <w:lang w:val="en-US"/>
        </w:rPr>
        <w:t>D</w:t>
      </w:r>
      <w:r w:rsidRPr="00A37BC8">
        <w:rPr>
          <w:rFonts w:eastAsia="Times New Roman" w:cs="Arial"/>
          <w:color w:val="000000"/>
          <w:szCs w:val="20"/>
          <w:lang w:val="ru-RU"/>
        </w:rPr>
        <w:t xml:space="preserve">6 </w:t>
      </w:r>
      <w:r w:rsidRPr="00A37BC8">
        <w:rPr>
          <w:rFonts w:eastAsia="Times New Roman" w:cs="Arial"/>
          <w:color w:val="000000"/>
          <w:szCs w:val="20"/>
          <w:lang w:eastAsia="bg-BG"/>
        </w:rPr>
        <w:t xml:space="preserve">и ЗА4), или да стимулира 2 от тези изоформи (1А2 и ЗА4) при плазмените концентрации, достигани след интравенозна инфузия на 52 </w:t>
      </w:r>
      <w:r w:rsidRPr="00A37BC8">
        <w:rPr>
          <w:rFonts w:eastAsia="Times New Roman" w:cs="Arial"/>
          <w:color w:val="000000"/>
          <w:szCs w:val="20"/>
          <w:lang w:val="en-US"/>
        </w:rPr>
        <w:t>mg</w:t>
      </w:r>
      <w:r w:rsidRPr="00A37BC8">
        <w:rPr>
          <w:rFonts w:eastAsia="Times New Roman" w:cs="Arial"/>
          <w:color w:val="000000"/>
          <w:szCs w:val="20"/>
          <w:lang w:val="ru-RU"/>
        </w:rPr>
        <w:t>/</w:t>
      </w:r>
      <w:r w:rsidRPr="00A37BC8">
        <w:rPr>
          <w:rFonts w:eastAsia="Times New Roman" w:cs="Arial"/>
          <w:color w:val="000000"/>
          <w:szCs w:val="20"/>
          <w:lang w:val="en-US"/>
        </w:rPr>
        <w:t>m</w:t>
      </w:r>
      <w:r w:rsidRPr="00A37BC8">
        <w:rPr>
          <w:rFonts w:eastAsia="Times New Roman" w:cs="Arial"/>
          <w:color w:val="000000"/>
          <w:szCs w:val="20"/>
          <w:vertAlign w:val="superscript"/>
          <w:lang w:val="ru-RU"/>
        </w:rPr>
        <w:t>2</w:t>
      </w:r>
      <w:r w:rsidRPr="00A37BC8">
        <w:rPr>
          <w:rFonts w:eastAsia="Times New Roman" w:cs="Arial"/>
          <w:color w:val="000000"/>
          <w:szCs w:val="20"/>
          <w:lang w:val="ru-RU"/>
        </w:rPr>
        <w:t>/</w:t>
      </w:r>
      <w:r w:rsidRPr="00A37BC8">
        <w:rPr>
          <w:rFonts w:eastAsia="Times New Roman" w:cs="Arial"/>
          <w:color w:val="000000"/>
          <w:szCs w:val="20"/>
          <w:lang w:eastAsia="bg-BG"/>
        </w:rPr>
        <w:t>ден</w:t>
      </w:r>
      <w:r w:rsidRPr="00A37BC8">
        <w:rPr>
          <w:rFonts w:eastAsia="Times New Roman" w:cs="Arial"/>
          <w:color w:val="000000"/>
          <w:szCs w:val="20"/>
          <w:lang w:val="ru-RU"/>
        </w:rPr>
        <w:t xml:space="preserve">, </w:t>
      </w:r>
      <w:r w:rsidRPr="00A37BC8">
        <w:rPr>
          <w:rFonts w:eastAsia="Times New Roman" w:cs="Arial"/>
          <w:color w:val="000000"/>
          <w:szCs w:val="20"/>
          <w:lang w:eastAsia="bg-BG"/>
        </w:rPr>
        <w:t>В резултат на това, не се очаква да повлиява метаболизма на активни вещества, известни като субстрати на тези ензими.</w:t>
      </w:r>
    </w:p>
    <w:p w14:paraId="643B3F8A" w14:textId="77777777" w:rsidR="00A37BC8" w:rsidRPr="00A37BC8" w:rsidRDefault="00A37BC8" w:rsidP="00A37BC8">
      <w:pPr>
        <w:spacing w:line="240" w:lineRule="auto"/>
        <w:rPr>
          <w:rFonts w:eastAsia="Times New Roman" w:cs="Arial"/>
          <w:color w:val="000000"/>
          <w:szCs w:val="20"/>
          <w:lang w:eastAsia="bg-BG"/>
        </w:rPr>
      </w:pPr>
    </w:p>
    <w:p w14:paraId="09D4510E" w14:textId="53B1BA0C"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Клофарабин се екскретира главно през бъбреците. Поради това, съпътстващата употреба на лекарствени продукти, които се свързват с бъбречна токсичност и такива, които се елиминират чрез тубулна секреция, като НСПВС, амфотерицин В, метотрексат, аминозиди, съединения на платината, фоскарнет, пентамидин, циклоспорин, такролимус, ацикловир и валганцикловир, трябва да се избягва, особено по време на 5-дневния период на приложение на клофарабин (вж. точки 4.4, 4.8 и 5.2).</w:t>
      </w:r>
    </w:p>
    <w:p w14:paraId="37D724F6" w14:textId="77777777" w:rsidR="00A37BC8" w:rsidRPr="00A37BC8" w:rsidRDefault="00A37BC8" w:rsidP="00A37BC8">
      <w:pPr>
        <w:spacing w:line="240" w:lineRule="auto"/>
        <w:rPr>
          <w:rFonts w:eastAsia="Times New Roman" w:cs="Arial"/>
          <w:color w:val="000000"/>
          <w:szCs w:val="20"/>
          <w:lang w:eastAsia="bg-BG"/>
        </w:rPr>
      </w:pPr>
    </w:p>
    <w:p w14:paraId="313642C7" w14:textId="4809B7A6"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Черният дроб е потенциален прицелен орган за токсичност. Поради това, едновременното използване с лекарствени продукти, които се свързват с чернодробна токсичност, трябва да се избягва винаги, когато е възможно (вж. точки 4.4 и 4.8).</w:t>
      </w:r>
    </w:p>
    <w:p w14:paraId="708F645A" w14:textId="77777777" w:rsidR="00A37BC8" w:rsidRPr="00A37BC8" w:rsidRDefault="00A37BC8" w:rsidP="00A37BC8">
      <w:pPr>
        <w:spacing w:line="240" w:lineRule="auto"/>
        <w:rPr>
          <w:rFonts w:eastAsia="Times New Roman" w:cs="Arial"/>
          <w:color w:val="000000"/>
          <w:szCs w:val="20"/>
          <w:lang w:eastAsia="bg-BG"/>
        </w:rPr>
      </w:pPr>
    </w:p>
    <w:p w14:paraId="09ACAB15" w14:textId="402BEF7D"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Пациенти, приемащи лекарствени продукти, за които е известно, че повлияват кръвното налягане или сърдечната функция, трябва да се проследяват внимателно по време на лечение с клофарабин (вж. точки 4.4 и 4.8)</w:t>
      </w:r>
    </w:p>
    <w:p w14:paraId="3D82A57F" w14:textId="77777777" w:rsidR="00A37BC8" w:rsidRPr="00A37BC8" w:rsidRDefault="00A37BC8" w:rsidP="00A37BC8"/>
    <w:p w14:paraId="5D9F40EA" w14:textId="6AB0E7E1" w:rsidR="007122AD" w:rsidRDefault="002C50EE" w:rsidP="00936AD0">
      <w:pPr>
        <w:pStyle w:val="Heading2"/>
      </w:pPr>
      <w:r>
        <w:t>4.6. Фертилитет, бременност и кърмене</w:t>
      </w:r>
    </w:p>
    <w:p w14:paraId="1FBCA0B2" w14:textId="226D8D1B" w:rsidR="00A37BC8" w:rsidRDefault="00A37BC8" w:rsidP="00A37BC8"/>
    <w:p w14:paraId="4CAF337B"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u w:val="single"/>
          <w:lang w:eastAsia="bg-BG"/>
        </w:rPr>
        <w:t>Контрацепция при мъже и жени</w:t>
      </w:r>
    </w:p>
    <w:p w14:paraId="18EF9615" w14:textId="77777777" w:rsidR="00A37BC8" w:rsidRPr="00A37BC8" w:rsidRDefault="00A37BC8" w:rsidP="00A37BC8">
      <w:pPr>
        <w:spacing w:line="240" w:lineRule="auto"/>
        <w:rPr>
          <w:rFonts w:eastAsia="Times New Roman" w:cs="Arial"/>
          <w:color w:val="000000"/>
          <w:szCs w:val="20"/>
          <w:lang w:eastAsia="bg-BG"/>
        </w:rPr>
      </w:pPr>
    </w:p>
    <w:p w14:paraId="7856E2A0" w14:textId="1E78BCCC"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Жени с детероден потенциал и сексуално активни мъже трябва да използват ефективни методи за контрацепция по време на лечението.</w:t>
      </w:r>
    </w:p>
    <w:p w14:paraId="2DD46B17" w14:textId="77777777" w:rsidR="00A37BC8" w:rsidRPr="00A37BC8" w:rsidRDefault="00A37BC8" w:rsidP="00A37BC8">
      <w:pPr>
        <w:spacing w:line="240" w:lineRule="auto"/>
        <w:rPr>
          <w:rFonts w:eastAsia="Times New Roman" w:cs="Arial"/>
          <w:color w:val="000000"/>
          <w:szCs w:val="20"/>
          <w:u w:val="single"/>
          <w:lang w:eastAsia="bg-BG"/>
        </w:rPr>
      </w:pPr>
    </w:p>
    <w:p w14:paraId="38411860" w14:textId="3A5D7168" w:rsidR="00A37BC8" w:rsidRPr="00A37BC8" w:rsidRDefault="00A37BC8" w:rsidP="00A37BC8">
      <w:pPr>
        <w:pStyle w:val="Heading3"/>
        <w:rPr>
          <w:rFonts w:eastAsia="Times New Roman"/>
          <w:sz w:val="28"/>
          <w:u w:val="single"/>
        </w:rPr>
      </w:pPr>
      <w:r w:rsidRPr="00A37BC8">
        <w:rPr>
          <w:rFonts w:eastAsia="Times New Roman"/>
          <w:u w:val="single"/>
          <w:lang w:eastAsia="bg-BG"/>
        </w:rPr>
        <w:t>Бременност</w:t>
      </w:r>
    </w:p>
    <w:p w14:paraId="7AEFFE4C" w14:textId="77777777" w:rsidR="00A37BC8" w:rsidRPr="00A37BC8" w:rsidRDefault="00A37BC8" w:rsidP="00A37BC8">
      <w:pPr>
        <w:spacing w:line="240" w:lineRule="auto"/>
        <w:rPr>
          <w:rFonts w:eastAsia="Times New Roman" w:cs="Arial"/>
          <w:color w:val="000000"/>
          <w:szCs w:val="20"/>
          <w:lang w:eastAsia="bg-BG"/>
        </w:rPr>
      </w:pPr>
    </w:p>
    <w:p w14:paraId="3450E548" w14:textId="491D0FB2"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Няма данни за употребата на клофарабин при бременни жени. Експерименталните проучвания при животни показват репродуктивна токсичност, вкл. тератогенност (вж. точка 5.3)</w:t>
      </w:r>
    </w:p>
    <w:p w14:paraId="5FCB0060" w14:textId="63FB9342" w:rsidR="00A37BC8" w:rsidRPr="00A37BC8" w:rsidRDefault="00A37BC8" w:rsidP="00A37BC8">
      <w:pPr>
        <w:rPr>
          <w:rFonts w:cs="Arial"/>
          <w:sz w:val="24"/>
        </w:rPr>
      </w:pPr>
    </w:p>
    <w:p w14:paraId="51E80947"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lastRenderedPageBreak/>
        <w:t>Клофарабин може да причини сериозни вродени аномалии, когато се прилага по време на бременност. Затова Клофарабин Зентива не трябва да се използва по време на бременност, особено през първия триместър, освен в случай на категорична необходимост (т.е. само, ако потенциалната полза за майката е по-голяма от риска за плода). Ако пациентката забременее по време на лечение с клофарабин, тя трябва да бъде информирана за възможните рискове за плода.</w:t>
      </w:r>
    </w:p>
    <w:p w14:paraId="46D5E88C" w14:textId="77777777" w:rsidR="00A37BC8" w:rsidRPr="00A37BC8" w:rsidRDefault="00A37BC8" w:rsidP="00A37BC8">
      <w:pPr>
        <w:spacing w:line="240" w:lineRule="auto"/>
        <w:rPr>
          <w:rFonts w:eastAsia="Times New Roman" w:cs="Arial"/>
          <w:color w:val="000000"/>
          <w:szCs w:val="20"/>
          <w:u w:val="single"/>
          <w:lang w:eastAsia="bg-BG"/>
        </w:rPr>
      </w:pPr>
    </w:p>
    <w:p w14:paraId="4DB8C494" w14:textId="6C10428C" w:rsidR="00A37BC8" w:rsidRPr="00A37BC8" w:rsidRDefault="00A37BC8" w:rsidP="00A37BC8">
      <w:pPr>
        <w:pStyle w:val="Heading3"/>
        <w:rPr>
          <w:rFonts w:eastAsia="Times New Roman"/>
          <w:sz w:val="28"/>
          <w:u w:val="single"/>
        </w:rPr>
      </w:pPr>
      <w:r w:rsidRPr="00A37BC8">
        <w:rPr>
          <w:rFonts w:eastAsia="Times New Roman"/>
          <w:u w:val="single"/>
          <w:lang w:eastAsia="bg-BG"/>
        </w:rPr>
        <w:t>Кърмене</w:t>
      </w:r>
    </w:p>
    <w:p w14:paraId="20BFB2B3" w14:textId="77777777" w:rsidR="00A37BC8" w:rsidRPr="00A37BC8" w:rsidRDefault="00A37BC8" w:rsidP="00A37BC8">
      <w:pPr>
        <w:spacing w:line="240" w:lineRule="auto"/>
        <w:rPr>
          <w:rFonts w:eastAsia="Times New Roman" w:cs="Arial"/>
          <w:color w:val="000000"/>
          <w:szCs w:val="20"/>
          <w:lang w:eastAsia="bg-BG"/>
        </w:rPr>
      </w:pPr>
    </w:p>
    <w:p w14:paraId="445A4F29" w14:textId="17472E16"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Не е известно дали клофарабин или неговите метаболити се екскретират в кърмата. Екскрецията на клофарабин в млякото на животни не е била проучвана. Поради наличния потенциал за сериозни нежелани реакции при кьрмчета обаче, кърменето трябва да се преустанови преди, по време на и след лечение с Клофарабин Зентива (вж. точка 4.3).</w:t>
      </w:r>
    </w:p>
    <w:p w14:paraId="61AE5223" w14:textId="77777777" w:rsidR="00A37BC8" w:rsidRPr="00A37BC8" w:rsidRDefault="00A37BC8" w:rsidP="00A37BC8">
      <w:pPr>
        <w:spacing w:line="240" w:lineRule="auto"/>
        <w:rPr>
          <w:rFonts w:eastAsia="Times New Roman" w:cs="Arial"/>
          <w:color w:val="000000"/>
          <w:szCs w:val="20"/>
          <w:u w:val="single"/>
          <w:lang w:eastAsia="bg-BG"/>
        </w:rPr>
      </w:pPr>
    </w:p>
    <w:p w14:paraId="579BB93A" w14:textId="7537330C" w:rsidR="00A37BC8" w:rsidRPr="00A37BC8" w:rsidRDefault="00A37BC8" w:rsidP="00A37BC8">
      <w:pPr>
        <w:pStyle w:val="Heading3"/>
        <w:rPr>
          <w:rFonts w:eastAsia="Times New Roman"/>
          <w:sz w:val="28"/>
          <w:u w:val="single"/>
        </w:rPr>
      </w:pPr>
      <w:r w:rsidRPr="00A37BC8">
        <w:rPr>
          <w:rFonts w:eastAsia="Times New Roman"/>
          <w:u w:val="single"/>
          <w:lang w:eastAsia="bg-BG"/>
        </w:rPr>
        <w:t>Фертилитет</w:t>
      </w:r>
    </w:p>
    <w:p w14:paraId="349B9D04" w14:textId="77777777" w:rsidR="00A37BC8" w:rsidRPr="00A37BC8" w:rsidRDefault="00A37BC8" w:rsidP="00A37BC8">
      <w:pPr>
        <w:rPr>
          <w:rFonts w:eastAsia="Times New Roman" w:cs="Arial"/>
          <w:color w:val="000000"/>
          <w:szCs w:val="20"/>
          <w:lang w:eastAsia="bg-BG"/>
        </w:rPr>
      </w:pPr>
    </w:p>
    <w:p w14:paraId="454D2950" w14:textId="50E369B6" w:rsidR="00A37BC8" w:rsidRDefault="00A37BC8" w:rsidP="00A37BC8">
      <w:pPr>
        <w:rPr>
          <w:rFonts w:ascii="Times New Roman" w:eastAsia="Times New Roman" w:hAnsi="Times New Roman" w:cs="Times New Roman"/>
          <w:color w:val="000000"/>
          <w:sz w:val="20"/>
          <w:szCs w:val="20"/>
          <w:lang w:eastAsia="bg-BG"/>
        </w:rPr>
      </w:pPr>
      <w:r w:rsidRPr="00A37BC8">
        <w:rPr>
          <w:rFonts w:eastAsia="Times New Roman" w:cs="Arial"/>
          <w:color w:val="000000"/>
          <w:szCs w:val="20"/>
          <w:lang w:eastAsia="bg-BG"/>
        </w:rPr>
        <w:t>Наблюдавани са свързани с дозата токсични ефекти върху мъжките репродуктивни органи при мишки, плъхове и кучета и токсични ефекти върху женските репродуктивни органи при мишки (вж. точка 5.3). Тъй като ефектът от лечението с клофарабин върху фертилитета при хора не е известен, трябва да се обсъди репродуктивно планиране с пациентите, както е уместно.</w:t>
      </w:r>
    </w:p>
    <w:p w14:paraId="3F5B3AFE" w14:textId="77777777" w:rsidR="00A37BC8" w:rsidRPr="00A37BC8" w:rsidRDefault="00A37BC8" w:rsidP="00A37BC8"/>
    <w:p w14:paraId="5DD7A76D" w14:textId="01E3F56B" w:rsidR="007122AD" w:rsidRDefault="002C50EE" w:rsidP="00936AD0">
      <w:pPr>
        <w:pStyle w:val="Heading2"/>
      </w:pPr>
      <w:r>
        <w:t>4.7. Ефекти върху способността за шофиране и работа с машини</w:t>
      </w:r>
    </w:p>
    <w:p w14:paraId="214ABF5F" w14:textId="4B9C6D84" w:rsidR="00A37BC8" w:rsidRDefault="00A37BC8" w:rsidP="00A37BC8"/>
    <w:p w14:paraId="287D76BC" w14:textId="77777777" w:rsidR="00A37BC8" w:rsidRPr="00A37BC8" w:rsidRDefault="00A37BC8" w:rsidP="00A37BC8">
      <w:pPr>
        <w:rPr>
          <w:sz w:val="24"/>
          <w:szCs w:val="24"/>
        </w:rPr>
      </w:pPr>
      <w:r w:rsidRPr="00A37BC8">
        <w:rPr>
          <w:lang w:eastAsia="bg-BG"/>
        </w:rPr>
        <w:t>Не са провеждани проучвания за ефектите на клофарабин върху способността за шофиране и работа с машини. Въпреки това, пациентите трябва да бъдат информирани, че може да получат нежелани реакции като замаяност, прималяване или пристъпи на прилошаваме по време на лечението и да бъдат предупредени да не шофират или работят с машини в такива случаи.</w:t>
      </w:r>
    </w:p>
    <w:p w14:paraId="4B222ECE" w14:textId="77777777" w:rsidR="00A37BC8" w:rsidRPr="00A37BC8" w:rsidRDefault="00A37BC8" w:rsidP="00A37BC8"/>
    <w:p w14:paraId="44CE30A3" w14:textId="7040CC62" w:rsidR="007122AD" w:rsidRDefault="002C50EE" w:rsidP="00936AD0">
      <w:pPr>
        <w:pStyle w:val="Heading2"/>
      </w:pPr>
      <w:r>
        <w:t>4.8. Нежелани лекарствени реакции</w:t>
      </w:r>
    </w:p>
    <w:p w14:paraId="00EDAD63" w14:textId="39216417" w:rsidR="00A37BC8" w:rsidRDefault="00A37BC8" w:rsidP="00A37BC8"/>
    <w:p w14:paraId="40EF5290"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u w:val="single"/>
          <w:lang w:eastAsia="bg-BG"/>
        </w:rPr>
        <w:t>Обобщение на профила на безопасност</w:t>
      </w:r>
    </w:p>
    <w:p w14:paraId="41702F54" w14:textId="77777777" w:rsidR="00A37BC8" w:rsidRPr="00A37BC8" w:rsidRDefault="00A37BC8" w:rsidP="00A37BC8">
      <w:pPr>
        <w:spacing w:line="240" w:lineRule="auto"/>
        <w:rPr>
          <w:rFonts w:eastAsia="Times New Roman" w:cs="Arial"/>
          <w:color w:val="000000"/>
          <w:szCs w:val="20"/>
          <w:lang w:eastAsia="bg-BG"/>
        </w:rPr>
      </w:pPr>
    </w:p>
    <w:p w14:paraId="383F372E" w14:textId="65BDE7BD"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Почти всички пациенти (98%) са получили поне една нежелана реакция, счетена от изследователя за свързана с клофарабин. Най-често съобщаваните са гадене (61% от пациентите), повръщане (59%), фебрилна неутропения (35%), главоболие (24%), обрив (21%), диария (20%), пруритус (20%), пирексия (19%), синдром на палмарно-плантарна еритродизестезия (15%), умора (14%), тревожност (12%), възпаление на лигавиците (11%) и зачервяване (11%). Шестдесет и осем пациенти (59%) са получили поне една сериозна, свързана с клофарабин нежелана реакция. Един пациент е прекъснал лечението поради хипербилирубинемия от 4-та степен след прием на 52 </w:t>
      </w:r>
      <w:r w:rsidRPr="00A37BC8">
        <w:rPr>
          <w:rFonts w:eastAsia="Times New Roman" w:cs="Arial"/>
          <w:color w:val="000000"/>
          <w:szCs w:val="20"/>
          <w:lang w:val="en-US"/>
        </w:rPr>
        <w:t>mg</w:t>
      </w:r>
      <w:r w:rsidRPr="00A37BC8">
        <w:rPr>
          <w:rFonts w:eastAsia="Times New Roman" w:cs="Arial"/>
          <w:color w:val="000000"/>
          <w:szCs w:val="20"/>
          <w:lang w:val="ru-RU"/>
        </w:rPr>
        <w:t>/</w:t>
      </w:r>
      <w:r w:rsidRPr="00A37BC8">
        <w:rPr>
          <w:rFonts w:eastAsia="Times New Roman" w:cs="Arial"/>
          <w:color w:val="000000"/>
          <w:szCs w:val="20"/>
          <w:lang w:val="en-US"/>
        </w:rPr>
        <w:t>m</w:t>
      </w:r>
      <w:r w:rsidRPr="00A37BC8">
        <w:rPr>
          <w:rFonts w:eastAsia="Times New Roman" w:cs="Arial"/>
          <w:color w:val="000000"/>
          <w:szCs w:val="20"/>
          <w:vertAlign w:val="superscript"/>
          <w:lang w:val="ru-RU"/>
        </w:rPr>
        <w:t>2</w:t>
      </w:r>
      <w:r w:rsidRPr="00A37BC8">
        <w:rPr>
          <w:rFonts w:eastAsia="Times New Roman" w:cs="Arial"/>
          <w:color w:val="000000"/>
          <w:szCs w:val="20"/>
          <w:lang w:val="ru-RU"/>
        </w:rPr>
        <w:t>/</w:t>
      </w:r>
      <w:r w:rsidRPr="00A37BC8">
        <w:rPr>
          <w:rFonts w:eastAsia="Times New Roman" w:cs="Arial"/>
          <w:color w:val="000000"/>
          <w:szCs w:val="20"/>
          <w:lang w:eastAsia="bg-BG"/>
        </w:rPr>
        <w:t xml:space="preserve">ден, която се счита за свързана с лечението с клофарабин. Трима пациенти са починали от нежелани събития, преценени от изследователя като свързани с лечението с клофарабин; един пациент е починал от респираторен дистрес, хепатоцелуларно увреждане и синдром на нарушена капилярна пропускливост; един пациент от </w:t>
      </w:r>
      <w:r w:rsidRPr="00A37BC8">
        <w:rPr>
          <w:rFonts w:eastAsia="Times New Roman" w:cs="Arial"/>
          <w:color w:val="000000"/>
          <w:szCs w:val="20"/>
          <w:lang w:val="en-US"/>
        </w:rPr>
        <w:t>VRE</w:t>
      </w:r>
      <w:r w:rsidRPr="00A37BC8">
        <w:rPr>
          <w:rFonts w:eastAsia="Times New Roman" w:cs="Arial"/>
          <w:color w:val="000000"/>
          <w:szCs w:val="20"/>
          <w:lang w:val="ru-RU"/>
        </w:rPr>
        <w:t xml:space="preserve"> </w:t>
      </w:r>
      <w:r w:rsidRPr="00A37BC8">
        <w:rPr>
          <w:rFonts w:eastAsia="Times New Roman" w:cs="Arial"/>
          <w:color w:val="000000"/>
          <w:szCs w:val="20"/>
          <w:lang w:eastAsia="bg-BG"/>
        </w:rPr>
        <w:t>сепсис и мултиорганна недостатъчност; и един пациент от септичен шок и мултиорганна недостатъчност.</w:t>
      </w:r>
    </w:p>
    <w:p w14:paraId="7C28099A" w14:textId="77777777" w:rsidR="00A37BC8" w:rsidRPr="00A37BC8" w:rsidRDefault="00A37BC8" w:rsidP="00A37BC8">
      <w:pPr>
        <w:spacing w:line="240" w:lineRule="auto"/>
        <w:rPr>
          <w:rFonts w:eastAsia="Times New Roman" w:cs="Arial"/>
          <w:color w:val="000000"/>
          <w:szCs w:val="20"/>
          <w:u w:val="single"/>
          <w:lang w:eastAsia="bg-BG"/>
        </w:rPr>
      </w:pPr>
    </w:p>
    <w:p w14:paraId="6C34A385" w14:textId="07D4720D"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u w:val="single"/>
          <w:lang w:eastAsia="bg-BG"/>
        </w:rPr>
        <w:t>Табличен списък на нежеланите реакции</w:t>
      </w:r>
    </w:p>
    <w:p w14:paraId="121785B1" w14:textId="77777777" w:rsidR="00A37BC8" w:rsidRPr="00A37BC8" w:rsidRDefault="00A37BC8" w:rsidP="00A37BC8">
      <w:pPr>
        <w:spacing w:line="240" w:lineRule="auto"/>
        <w:rPr>
          <w:rFonts w:eastAsia="Times New Roman" w:cs="Arial"/>
          <w:color w:val="000000"/>
          <w:szCs w:val="20"/>
          <w:lang w:eastAsia="bg-BG"/>
        </w:rPr>
      </w:pPr>
    </w:p>
    <w:p w14:paraId="3A720DEB" w14:textId="27055195"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Предоставената информация се основава на данни, получени от клинични изпитвания, в които 115 пациенти (на възраст &gt; 1 и ≤ 21 години) с </w:t>
      </w:r>
      <w:r w:rsidRPr="00A37BC8">
        <w:rPr>
          <w:rFonts w:eastAsia="Times New Roman" w:cs="Arial"/>
          <w:i/>
          <w:iCs/>
          <w:color w:val="000000"/>
          <w:szCs w:val="20"/>
          <w:lang w:eastAsia="bg-BG"/>
        </w:rPr>
        <w:t>ОЛЛ,</w:t>
      </w:r>
      <w:r w:rsidRPr="00A37BC8">
        <w:rPr>
          <w:rFonts w:eastAsia="Times New Roman" w:cs="Arial"/>
          <w:color w:val="000000"/>
          <w:szCs w:val="20"/>
          <w:lang w:eastAsia="bg-BG"/>
        </w:rPr>
        <w:t xml:space="preserve"> или с остра миелоидна левкемия (ОМЛ) са получили поне една доза клофарабин в препоръчителната доза от 52 </w:t>
      </w:r>
      <w:r w:rsidRPr="00A37BC8">
        <w:rPr>
          <w:rFonts w:eastAsia="Times New Roman" w:cs="Arial"/>
          <w:color w:val="000000"/>
          <w:szCs w:val="20"/>
          <w:lang w:val="en-US"/>
        </w:rPr>
        <w:t>mg</w:t>
      </w:r>
      <w:r w:rsidRPr="00A37BC8">
        <w:rPr>
          <w:rFonts w:eastAsia="Times New Roman" w:cs="Arial"/>
          <w:color w:val="000000"/>
          <w:szCs w:val="20"/>
          <w:lang w:val="ru-RU"/>
        </w:rPr>
        <w:t>/</w:t>
      </w:r>
      <w:r w:rsidRPr="00A37BC8">
        <w:rPr>
          <w:rFonts w:eastAsia="Times New Roman" w:cs="Arial"/>
          <w:color w:val="000000"/>
          <w:szCs w:val="20"/>
          <w:lang w:val="en-US"/>
        </w:rPr>
        <w:t>m</w:t>
      </w:r>
      <w:r w:rsidRPr="00A37BC8">
        <w:rPr>
          <w:rFonts w:eastAsia="Times New Roman" w:cs="Arial"/>
          <w:color w:val="000000"/>
          <w:szCs w:val="20"/>
          <w:vertAlign w:val="superscript"/>
          <w:lang w:val="ru-RU"/>
        </w:rPr>
        <w:t>2</w:t>
      </w:r>
      <w:r w:rsidRPr="00A37BC8">
        <w:rPr>
          <w:rFonts w:eastAsia="Times New Roman" w:cs="Arial"/>
          <w:color w:val="000000"/>
          <w:szCs w:val="20"/>
          <w:lang w:val="ru-RU"/>
        </w:rPr>
        <w:t xml:space="preserve"> </w:t>
      </w:r>
      <w:r w:rsidRPr="00A37BC8">
        <w:rPr>
          <w:rFonts w:eastAsia="Times New Roman" w:cs="Arial"/>
          <w:color w:val="000000"/>
          <w:szCs w:val="20"/>
          <w:lang w:eastAsia="bg-BG"/>
        </w:rPr>
        <w:t>дневно за 5 дни.</w:t>
      </w:r>
    </w:p>
    <w:p w14:paraId="18B0D8A6" w14:textId="77777777" w:rsidR="00A37BC8" w:rsidRPr="00A37BC8" w:rsidRDefault="00A37BC8" w:rsidP="00A37BC8">
      <w:pPr>
        <w:rPr>
          <w:rFonts w:eastAsia="Times New Roman" w:cs="Arial"/>
          <w:color w:val="000000"/>
          <w:szCs w:val="20"/>
          <w:lang w:eastAsia="bg-BG"/>
        </w:rPr>
      </w:pPr>
    </w:p>
    <w:p w14:paraId="52328708" w14:textId="77777777" w:rsidR="00A37BC8" w:rsidRPr="00A37BC8" w:rsidRDefault="00A37BC8" w:rsidP="00A37BC8">
      <w:pPr>
        <w:rPr>
          <w:rFonts w:eastAsia="Times New Roman" w:cs="Arial"/>
          <w:sz w:val="28"/>
          <w:szCs w:val="24"/>
        </w:rPr>
      </w:pPr>
      <w:r w:rsidRPr="00A37BC8">
        <w:rPr>
          <w:rFonts w:eastAsia="Times New Roman" w:cs="Arial"/>
          <w:color w:val="000000"/>
          <w:szCs w:val="20"/>
          <w:lang w:eastAsia="bg-BG"/>
        </w:rPr>
        <w:t xml:space="preserve">В таблицата по-долу са изброени нежеланите реакции по системо-органна класификация и честота (много чести (≥ 1/10); чести (≥ 1/100 до &lt; 1/10); нечести (≥ 1/1 </w:t>
      </w:r>
      <w:r w:rsidRPr="00A37BC8">
        <w:rPr>
          <w:rFonts w:eastAsia="Times New Roman" w:cs="Arial"/>
          <w:i/>
          <w:iCs/>
          <w:color w:val="000000"/>
          <w:szCs w:val="20"/>
          <w:lang w:eastAsia="bg-BG"/>
        </w:rPr>
        <w:t>000 до &lt; 1/100), редки (</w:t>
      </w:r>
      <w:r w:rsidRPr="00A37BC8">
        <w:rPr>
          <w:rFonts w:eastAsia="Times New Roman" w:cs="Arial"/>
          <w:color w:val="000000"/>
          <w:szCs w:val="20"/>
          <w:lang w:eastAsia="bg-BG"/>
        </w:rPr>
        <w:t>≥</w:t>
      </w:r>
      <w:r w:rsidRPr="00A37BC8">
        <w:rPr>
          <w:rFonts w:eastAsia="Times New Roman" w:cs="Arial"/>
          <w:i/>
          <w:iCs/>
          <w:color w:val="000000"/>
          <w:szCs w:val="20"/>
          <w:lang w:eastAsia="bg-BG"/>
        </w:rPr>
        <w:t xml:space="preserve"> </w:t>
      </w:r>
      <w:r w:rsidRPr="00A37BC8">
        <w:rPr>
          <w:rFonts w:eastAsia="Times New Roman" w:cs="Arial"/>
          <w:color w:val="000000"/>
          <w:szCs w:val="20"/>
          <w:lang w:eastAsia="bg-BG"/>
        </w:rPr>
        <w:t>1/10 000 до &lt; 1/1 000) и много редки (&lt; 1/10 000)). Нежеланите реакции, съобщени по време на</w:t>
      </w:r>
      <w:r w:rsidRPr="00A37BC8">
        <w:rPr>
          <w:rFonts w:eastAsia="Times New Roman" w:cs="Arial"/>
          <w:color w:val="000000"/>
          <w:szCs w:val="20"/>
          <w:lang w:val="ru-RU" w:eastAsia="bg-BG"/>
        </w:rPr>
        <w:t xml:space="preserve"> </w:t>
      </w:r>
      <w:r w:rsidRPr="00A37BC8">
        <w:rPr>
          <w:rFonts w:eastAsia="Times New Roman" w:cs="Arial"/>
          <w:color w:val="000000"/>
          <w:szCs w:val="20"/>
          <w:lang w:eastAsia="bg-BG"/>
        </w:rPr>
        <w:t>постмаркетинговия период, също са включени в таблицата по-долу в категорията „с неизвестна честота (от наличните данни не може да бъде направена оценка)”. При всяко групиране в зависимост от честотата, нежеланите лекарствени реакции са представени в низходящ ред по отношение на тяхната сериозност.</w:t>
      </w:r>
    </w:p>
    <w:p w14:paraId="662C7729" w14:textId="77777777" w:rsidR="00A37BC8" w:rsidRPr="00A37BC8" w:rsidRDefault="00A37BC8" w:rsidP="00A37BC8">
      <w:pPr>
        <w:rPr>
          <w:rFonts w:eastAsia="Times New Roman" w:cs="Arial"/>
          <w:color w:val="000000"/>
          <w:szCs w:val="20"/>
          <w:lang w:eastAsia="bg-BG"/>
        </w:rPr>
      </w:pPr>
    </w:p>
    <w:p w14:paraId="510997E1" w14:textId="52E43C81" w:rsidR="00A37BC8" w:rsidRPr="00A37BC8" w:rsidRDefault="00A37BC8" w:rsidP="00A37BC8">
      <w:pPr>
        <w:rPr>
          <w:rFonts w:eastAsia="Times New Roman" w:cs="Arial"/>
          <w:color w:val="000000"/>
          <w:szCs w:val="20"/>
          <w:lang w:eastAsia="bg-BG"/>
        </w:rPr>
      </w:pPr>
      <w:r w:rsidRPr="00A37BC8">
        <w:rPr>
          <w:rFonts w:eastAsia="Times New Roman" w:cs="Arial"/>
          <w:color w:val="000000"/>
          <w:szCs w:val="20"/>
          <w:lang w:eastAsia="bg-BG"/>
        </w:rPr>
        <w:t>Пациентите в напреднали стадии на ОЛЛ или ОМЛ могат да имат съпътстващи състояния, които правят причинно-следствената връзка на нежеланите реакции трудна за оценка поради разнообразието от симптоми, свързани с основното заболяване, неговото прогресиране и едновременното приложение на много на брой лекарствени продукти.</w:t>
      </w:r>
    </w:p>
    <w:p w14:paraId="18F20E30" w14:textId="1916FB71" w:rsidR="00A37BC8" w:rsidRDefault="00A37BC8" w:rsidP="00A37BC8">
      <w:pPr>
        <w:rPr>
          <w:rFonts w:ascii="Times New Roman" w:eastAsia="Times New Roman" w:hAnsi="Times New Roman" w:cs="Times New Roman"/>
          <w:color w:val="000000"/>
          <w:sz w:val="20"/>
          <w:szCs w:val="20"/>
          <w:lang w:eastAsia="bg-BG"/>
        </w:rPr>
      </w:pPr>
    </w:p>
    <w:tbl>
      <w:tblPr>
        <w:tblStyle w:val="TableGrid"/>
        <w:tblW w:w="0" w:type="auto"/>
        <w:tblLook w:val="04A0" w:firstRow="1" w:lastRow="0" w:firstColumn="1" w:lastColumn="0" w:noHBand="0" w:noVBand="1"/>
      </w:tblPr>
      <w:tblGrid>
        <w:gridCol w:w="4647"/>
        <w:gridCol w:w="4703"/>
      </w:tblGrid>
      <w:tr w:rsidR="00A37BC8" w14:paraId="7B419BC7" w14:textId="77777777" w:rsidTr="00C66F4C">
        <w:tc>
          <w:tcPr>
            <w:tcW w:w="9576" w:type="dxa"/>
            <w:gridSpan w:val="2"/>
          </w:tcPr>
          <w:p w14:paraId="4CDCA4C1" w14:textId="77777777" w:rsidR="00A37BC8" w:rsidRPr="00A37BC8" w:rsidRDefault="00A37BC8" w:rsidP="00A37BC8">
            <w:pPr>
              <w:spacing w:line="240" w:lineRule="auto"/>
              <w:rPr>
                <w:rFonts w:eastAsia="Times New Roman" w:cs="Arial"/>
                <w:szCs w:val="24"/>
              </w:rPr>
            </w:pPr>
            <w:r w:rsidRPr="00A37BC8">
              <w:rPr>
                <w:rFonts w:eastAsia="Times New Roman" w:cs="Arial"/>
                <w:color w:val="000000"/>
                <w:szCs w:val="20"/>
                <w:lang w:eastAsia="bg-BG"/>
              </w:rPr>
              <w:t>Нежелани реакции, считани за свързани с клофарабин</w:t>
            </w:r>
          </w:p>
          <w:p w14:paraId="2A402E6C" w14:textId="47A96198" w:rsidR="00A37BC8" w:rsidRPr="00A37BC8" w:rsidRDefault="00A37BC8" w:rsidP="00A37BC8">
            <w:pPr>
              <w:rPr>
                <w:rFonts w:cs="Arial"/>
                <w:lang w:val="ru-RU"/>
              </w:rPr>
            </w:pPr>
            <w:r w:rsidRPr="00A37BC8">
              <w:rPr>
                <w:rFonts w:eastAsia="Times New Roman" w:cs="Arial"/>
                <w:color w:val="000000"/>
                <w:szCs w:val="20"/>
                <w:lang w:eastAsia="bg-BG"/>
              </w:rPr>
              <w:t>и съобщени с честота ≥ 1/1 000 (т.е. при &gt; 1/115 пациенти) в клинични изпитвания и постмаркетингов период</w:t>
            </w:r>
          </w:p>
        </w:tc>
      </w:tr>
      <w:tr w:rsidR="00A37BC8" w14:paraId="6B011F56" w14:textId="77777777" w:rsidTr="00A37BC8">
        <w:tc>
          <w:tcPr>
            <w:tcW w:w="4788" w:type="dxa"/>
          </w:tcPr>
          <w:p w14:paraId="1F022A7D" w14:textId="13A87369" w:rsidR="00A37BC8" w:rsidRPr="00A37BC8" w:rsidRDefault="00A37BC8" w:rsidP="00A37BC8">
            <w:pPr>
              <w:rPr>
                <w:lang w:val="ru-RU"/>
              </w:rPr>
            </w:pPr>
            <w:r w:rsidRPr="00A37BC8">
              <w:rPr>
                <w:szCs w:val="20"/>
              </w:rPr>
              <w:t>Инфекции и инфестации</w:t>
            </w:r>
          </w:p>
        </w:tc>
        <w:tc>
          <w:tcPr>
            <w:tcW w:w="4788" w:type="dxa"/>
          </w:tcPr>
          <w:p w14:paraId="3124C75E" w14:textId="40604E00" w:rsidR="00A37BC8" w:rsidRPr="00A37BC8" w:rsidRDefault="00A37BC8" w:rsidP="00A37BC8">
            <w:pPr>
              <w:rPr>
                <w:lang w:val="ru-RU"/>
              </w:rPr>
            </w:pPr>
            <w:r w:rsidRPr="00A37BC8">
              <w:rPr>
                <w:i/>
                <w:iCs/>
                <w:szCs w:val="20"/>
              </w:rPr>
              <w:t>Чести:</w:t>
            </w:r>
            <w:r w:rsidRPr="00A37BC8">
              <w:rPr>
                <w:szCs w:val="20"/>
              </w:rPr>
              <w:t xml:space="preserve"> Септичен шок*, сепсис, бактериемия, пневмония, херпес зостер, херпес симплекс, орална кандидоза </w:t>
            </w:r>
            <w:r w:rsidRPr="00A37BC8">
              <w:rPr>
                <w:i/>
                <w:iCs/>
                <w:szCs w:val="20"/>
              </w:rPr>
              <w:t>С неизвестна честота:</w:t>
            </w:r>
            <w:r w:rsidRPr="00A37BC8">
              <w:rPr>
                <w:szCs w:val="20"/>
              </w:rPr>
              <w:t xml:space="preserve"> Колит, причинен от </w:t>
            </w:r>
            <w:r w:rsidRPr="00A37BC8">
              <w:rPr>
                <w:i/>
                <w:iCs/>
                <w:szCs w:val="20"/>
              </w:rPr>
              <w:t xml:space="preserve">С. </w:t>
            </w:r>
            <w:r w:rsidRPr="00A37BC8">
              <w:rPr>
                <w:i/>
                <w:iCs/>
                <w:szCs w:val="20"/>
                <w:lang w:val="en-US"/>
              </w:rPr>
              <w:t>difficile</w:t>
            </w:r>
          </w:p>
        </w:tc>
      </w:tr>
      <w:tr w:rsidR="00A37BC8" w14:paraId="1CD34F98" w14:textId="77777777" w:rsidTr="00A37BC8">
        <w:tc>
          <w:tcPr>
            <w:tcW w:w="4788" w:type="dxa"/>
          </w:tcPr>
          <w:p w14:paraId="251C1D4E" w14:textId="499D1B15" w:rsidR="00A37BC8" w:rsidRPr="00A37BC8" w:rsidRDefault="00A37BC8" w:rsidP="00A37BC8">
            <w:pPr>
              <w:rPr>
                <w:lang w:val="ru-RU"/>
              </w:rPr>
            </w:pPr>
            <w:r w:rsidRPr="00A37BC8">
              <w:rPr>
                <w:szCs w:val="20"/>
              </w:rPr>
              <w:t>Неоплазми - доброкачествени, злокачествени и неопределени (вкл. кисти и полипи)</w:t>
            </w:r>
          </w:p>
        </w:tc>
        <w:tc>
          <w:tcPr>
            <w:tcW w:w="4788" w:type="dxa"/>
          </w:tcPr>
          <w:p w14:paraId="429D04F0" w14:textId="2B24E09A" w:rsidR="00A37BC8" w:rsidRPr="00A37BC8" w:rsidRDefault="00A37BC8" w:rsidP="00A37BC8">
            <w:pPr>
              <w:rPr>
                <w:lang w:val="ru-RU"/>
              </w:rPr>
            </w:pPr>
            <w:r w:rsidRPr="00A37BC8">
              <w:rPr>
                <w:i/>
                <w:iCs/>
                <w:szCs w:val="20"/>
              </w:rPr>
              <w:t>Чести:</w:t>
            </w:r>
            <w:r w:rsidRPr="00A37BC8">
              <w:rPr>
                <w:szCs w:val="20"/>
              </w:rPr>
              <w:t xml:space="preserve"> Синдром на туморен разпад*</w:t>
            </w:r>
          </w:p>
        </w:tc>
      </w:tr>
      <w:tr w:rsidR="00A37BC8" w14:paraId="7E083979" w14:textId="77777777" w:rsidTr="00A37BC8">
        <w:tc>
          <w:tcPr>
            <w:tcW w:w="4788" w:type="dxa"/>
          </w:tcPr>
          <w:p w14:paraId="71A13CFA" w14:textId="40C943F8" w:rsidR="00A37BC8" w:rsidRPr="00A37BC8" w:rsidRDefault="00A37BC8" w:rsidP="00A37BC8">
            <w:pPr>
              <w:rPr>
                <w:lang w:val="ru-RU"/>
              </w:rPr>
            </w:pPr>
            <w:r w:rsidRPr="00A37BC8">
              <w:rPr>
                <w:szCs w:val="20"/>
              </w:rPr>
              <w:t>Нарушения на кръвта и лимфната система</w:t>
            </w:r>
          </w:p>
        </w:tc>
        <w:tc>
          <w:tcPr>
            <w:tcW w:w="4788" w:type="dxa"/>
          </w:tcPr>
          <w:p w14:paraId="51AD3CF4" w14:textId="04415AA3" w:rsidR="00A37BC8" w:rsidRPr="00A37BC8" w:rsidRDefault="00A37BC8" w:rsidP="00A37BC8">
            <w:pPr>
              <w:rPr>
                <w:lang w:val="ru-RU"/>
              </w:rPr>
            </w:pPr>
            <w:r w:rsidRPr="00A37BC8">
              <w:rPr>
                <w:i/>
                <w:iCs/>
                <w:szCs w:val="20"/>
              </w:rPr>
              <w:t>Много чести:</w:t>
            </w:r>
            <w:r w:rsidRPr="00A37BC8">
              <w:rPr>
                <w:szCs w:val="20"/>
              </w:rPr>
              <w:t xml:space="preserve"> Фебрилна неутропения </w:t>
            </w:r>
            <w:r w:rsidRPr="00A37BC8">
              <w:rPr>
                <w:i/>
                <w:iCs/>
                <w:szCs w:val="20"/>
              </w:rPr>
              <w:t>Чести:</w:t>
            </w:r>
            <w:r w:rsidRPr="00A37BC8">
              <w:rPr>
                <w:szCs w:val="20"/>
              </w:rPr>
              <w:t xml:space="preserve"> Неутропения</w:t>
            </w:r>
          </w:p>
        </w:tc>
      </w:tr>
      <w:tr w:rsidR="00A37BC8" w14:paraId="6639ABDA" w14:textId="77777777" w:rsidTr="00A37BC8">
        <w:tc>
          <w:tcPr>
            <w:tcW w:w="4788" w:type="dxa"/>
          </w:tcPr>
          <w:p w14:paraId="1C91D92F" w14:textId="5A3ED503" w:rsidR="00A37BC8" w:rsidRPr="00A37BC8" w:rsidRDefault="00A37BC8" w:rsidP="00A37BC8">
            <w:pPr>
              <w:rPr>
                <w:lang w:val="ru-RU"/>
              </w:rPr>
            </w:pPr>
            <w:r w:rsidRPr="00A37BC8">
              <w:rPr>
                <w:szCs w:val="20"/>
              </w:rPr>
              <w:t>Нарушения на имунната система</w:t>
            </w:r>
          </w:p>
        </w:tc>
        <w:tc>
          <w:tcPr>
            <w:tcW w:w="4788" w:type="dxa"/>
          </w:tcPr>
          <w:p w14:paraId="2245AE3A" w14:textId="377EBDF7" w:rsidR="00A37BC8" w:rsidRPr="00A37BC8" w:rsidRDefault="00A37BC8" w:rsidP="00A37BC8">
            <w:pPr>
              <w:rPr>
                <w:lang w:val="ru-RU"/>
              </w:rPr>
            </w:pPr>
            <w:r w:rsidRPr="00A37BC8">
              <w:rPr>
                <w:i/>
                <w:iCs/>
                <w:szCs w:val="20"/>
              </w:rPr>
              <w:t>Чести:</w:t>
            </w:r>
            <w:r w:rsidRPr="00A37BC8">
              <w:rPr>
                <w:szCs w:val="20"/>
              </w:rPr>
              <w:t xml:space="preserve"> Свръхчувствителност</w:t>
            </w:r>
          </w:p>
        </w:tc>
      </w:tr>
      <w:tr w:rsidR="00A37BC8" w14:paraId="414AFF2C" w14:textId="77777777" w:rsidTr="00A37BC8">
        <w:tc>
          <w:tcPr>
            <w:tcW w:w="4788" w:type="dxa"/>
          </w:tcPr>
          <w:p w14:paraId="4D82C0A8" w14:textId="144A7976" w:rsidR="00A37BC8" w:rsidRPr="00A37BC8" w:rsidRDefault="00A37BC8" w:rsidP="00A37BC8">
            <w:pPr>
              <w:rPr>
                <w:lang w:val="ru-RU"/>
              </w:rPr>
            </w:pPr>
            <w:r w:rsidRPr="00A37BC8">
              <w:rPr>
                <w:szCs w:val="20"/>
              </w:rPr>
              <w:t>Нарушения на метаболизма и храненето</w:t>
            </w:r>
          </w:p>
        </w:tc>
        <w:tc>
          <w:tcPr>
            <w:tcW w:w="4788" w:type="dxa"/>
          </w:tcPr>
          <w:p w14:paraId="08225759" w14:textId="77777777" w:rsidR="00A37BC8" w:rsidRPr="00A37BC8" w:rsidRDefault="00A37BC8" w:rsidP="00A37BC8">
            <w:r w:rsidRPr="00A37BC8">
              <w:rPr>
                <w:i/>
                <w:iCs/>
                <w:szCs w:val="20"/>
              </w:rPr>
              <w:t>Чести:</w:t>
            </w:r>
            <w:r w:rsidRPr="00A37BC8">
              <w:rPr>
                <w:szCs w:val="20"/>
              </w:rPr>
              <w:t xml:space="preserve"> Анорексия, намален апетит, дехидратация</w:t>
            </w:r>
          </w:p>
          <w:p w14:paraId="2C25CD8A" w14:textId="287D9CA4" w:rsidR="00A37BC8" w:rsidRPr="00A37BC8" w:rsidRDefault="00A37BC8" w:rsidP="00A37BC8">
            <w:pPr>
              <w:rPr>
                <w:lang w:val="ru-RU"/>
              </w:rPr>
            </w:pPr>
            <w:r w:rsidRPr="00A37BC8">
              <w:rPr>
                <w:szCs w:val="20"/>
              </w:rPr>
              <w:t xml:space="preserve">С </w:t>
            </w:r>
            <w:r w:rsidRPr="00A37BC8">
              <w:rPr>
                <w:i/>
                <w:iCs/>
                <w:szCs w:val="20"/>
              </w:rPr>
              <w:t>неизвестна честота:</w:t>
            </w:r>
            <w:r w:rsidRPr="00A37BC8">
              <w:rPr>
                <w:szCs w:val="20"/>
              </w:rPr>
              <w:t xml:space="preserve"> хипонатриемия</w:t>
            </w:r>
          </w:p>
        </w:tc>
      </w:tr>
      <w:tr w:rsidR="00A37BC8" w14:paraId="5F7A43AC" w14:textId="77777777" w:rsidTr="00A37BC8">
        <w:tc>
          <w:tcPr>
            <w:tcW w:w="4788" w:type="dxa"/>
          </w:tcPr>
          <w:p w14:paraId="752C253B" w14:textId="75EF18F7" w:rsidR="00A37BC8" w:rsidRPr="00A37BC8" w:rsidRDefault="00A37BC8" w:rsidP="00A37BC8">
            <w:pPr>
              <w:rPr>
                <w:lang w:val="ru-RU"/>
              </w:rPr>
            </w:pPr>
            <w:r w:rsidRPr="00A37BC8">
              <w:rPr>
                <w:szCs w:val="20"/>
              </w:rPr>
              <w:t>Психични нарушения</w:t>
            </w:r>
          </w:p>
        </w:tc>
        <w:tc>
          <w:tcPr>
            <w:tcW w:w="4788" w:type="dxa"/>
          </w:tcPr>
          <w:p w14:paraId="399D3801" w14:textId="709DB051" w:rsidR="00A37BC8" w:rsidRPr="00A37BC8" w:rsidRDefault="00A37BC8" w:rsidP="00A37BC8">
            <w:pPr>
              <w:rPr>
                <w:lang w:val="ru-RU"/>
              </w:rPr>
            </w:pPr>
            <w:r w:rsidRPr="00A37BC8">
              <w:rPr>
                <w:i/>
                <w:iCs/>
                <w:szCs w:val="20"/>
              </w:rPr>
              <w:t>Много чести:</w:t>
            </w:r>
            <w:r w:rsidRPr="00A37BC8">
              <w:rPr>
                <w:szCs w:val="20"/>
              </w:rPr>
              <w:t xml:space="preserve"> Тревожност </w:t>
            </w:r>
            <w:r w:rsidRPr="00A37BC8">
              <w:rPr>
                <w:i/>
                <w:iCs/>
                <w:szCs w:val="20"/>
              </w:rPr>
              <w:t>Чести:</w:t>
            </w:r>
            <w:r w:rsidRPr="00A37BC8">
              <w:rPr>
                <w:szCs w:val="20"/>
              </w:rPr>
              <w:t xml:space="preserve"> Възбуда, безпокойство, промяна в психичното състояние</w:t>
            </w:r>
          </w:p>
        </w:tc>
      </w:tr>
      <w:tr w:rsidR="00A37BC8" w14:paraId="63A7BD21" w14:textId="77777777" w:rsidTr="00A37BC8">
        <w:tc>
          <w:tcPr>
            <w:tcW w:w="4788" w:type="dxa"/>
          </w:tcPr>
          <w:p w14:paraId="7082F7FF" w14:textId="6C82058A" w:rsidR="00A37BC8" w:rsidRPr="00A37BC8" w:rsidRDefault="00A37BC8" w:rsidP="00A37BC8">
            <w:pPr>
              <w:rPr>
                <w:lang w:val="ru-RU"/>
              </w:rPr>
            </w:pPr>
            <w:r w:rsidRPr="00A37BC8">
              <w:rPr>
                <w:szCs w:val="20"/>
              </w:rPr>
              <w:t>Нарушения на нервната система</w:t>
            </w:r>
          </w:p>
        </w:tc>
        <w:tc>
          <w:tcPr>
            <w:tcW w:w="4788" w:type="dxa"/>
          </w:tcPr>
          <w:p w14:paraId="6B70DBA8" w14:textId="531B718C" w:rsidR="00A37BC8" w:rsidRPr="00A37BC8" w:rsidRDefault="00A37BC8" w:rsidP="00A37BC8">
            <w:pPr>
              <w:rPr>
                <w:lang w:val="ru-RU"/>
              </w:rPr>
            </w:pPr>
            <w:r w:rsidRPr="00A37BC8">
              <w:rPr>
                <w:i/>
                <w:iCs/>
                <w:szCs w:val="20"/>
              </w:rPr>
              <w:t>Много чести:</w:t>
            </w:r>
            <w:r w:rsidRPr="00A37BC8">
              <w:rPr>
                <w:szCs w:val="20"/>
              </w:rPr>
              <w:t xml:space="preserve"> Главоболие </w:t>
            </w:r>
            <w:r w:rsidRPr="00A37BC8">
              <w:rPr>
                <w:i/>
                <w:iCs/>
                <w:szCs w:val="20"/>
              </w:rPr>
              <w:t>Чести:</w:t>
            </w:r>
            <w:r w:rsidRPr="00A37BC8">
              <w:rPr>
                <w:szCs w:val="20"/>
              </w:rPr>
              <w:t xml:space="preserve"> Сънливост, периферна невропатия, парестезии, замаяност, тремор</w:t>
            </w:r>
          </w:p>
        </w:tc>
      </w:tr>
      <w:tr w:rsidR="00A37BC8" w14:paraId="5ED0F518" w14:textId="77777777" w:rsidTr="00A37BC8">
        <w:tc>
          <w:tcPr>
            <w:tcW w:w="4788" w:type="dxa"/>
          </w:tcPr>
          <w:p w14:paraId="350F99FE" w14:textId="33BAAD07" w:rsidR="00A37BC8" w:rsidRPr="00A37BC8" w:rsidRDefault="00A37BC8" w:rsidP="00A37BC8">
            <w:pPr>
              <w:rPr>
                <w:lang w:val="ru-RU"/>
              </w:rPr>
            </w:pPr>
            <w:r w:rsidRPr="00A37BC8">
              <w:rPr>
                <w:szCs w:val="20"/>
              </w:rPr>
              <w:t>Нарушения на ухото и лабиринта</w:t>
            </w:r>
          </w:p>
        </w:tc>
        <w:tc>
          <w:tcPr>
            <w:tcW w:w="4788" w:type="dxa"/>
          </w:tcPr>
          <w:p w14:paraId="32937A8B" w14:textId="1B8CA6F5" w:rsidR="00A37BC8" w:rsidRPr="00A37BC8" w:rsidRDefault="00A37BC8" w:rsidP="00A37BC8">
            <w:pPr>
              <w:rPr>
                <w:lang w:val="ru-RU"/>
              </w:rPr>
            </w:pPr>
            <w:r w:rsidRPr="00A37BC8">
              <w:rPr>
                <w:i/>
                <w:iCs/>
                <w:szCs w:val="20"/>
              </w:rPr>
              <w:t>Чести:</w:t>
            </w:r>
            <w:r w:rsidRPr="00A37BC8">
              <w:rPr>
                <w:szCs w:val="20"/>
              </w:rPr>
              <w:t xml:space="preserve"> Хипоакузис</w:t>
            </w:r>
          </w:p>
        </w:tc>
      </w:tr>
      <w:tr w:rsidR="00A37BC8" w14:paraId="58B06EDD" w14:textId="77777777" w:rsidTr="00A37BC8">
        <w:tc>
          <w:tcPr>
            <w:tcW w:w="4788" w:type="dxa"/>
          </w:tcPr>
          <w:p w14:paraId="11578851" w14:textId="7DEDCE6E" w:rsidR="00A37BC8" w:rsidRPr="00A37BC8" w:rsidRDefault="00A37BC8" w:rsidP="00A37BC8">
            <w:pPr>
              <w:rPr>
                <w:lang w:val="ru-RU"/>
              </w:rPr>
            </w:pPr>
            <w:r w:rsidRPr="00A37BC8">
              <w:rPr>
                <w:szCs w:val="20"/>
              </w:rPr>
              <w:t>Сърдечни нарушения</w:t>
            </w:r>
          </w:p>
        </w:tc>
        <w:tc>
          <w:tcPr>
            <w:tcW w:w="4788" w:type="dxa"/>
          </w:tcPr>
          <w:p w14:paraId="661542CC" w14:textId="27155277" w:rsidR="00A37BC8" w:rsidRPr="00A37BC8" w:rsidRDefault="00A37BC8" w:rsidP="00A37BC8">
            <w:pPr>
              <w:rPr>
                <w:lang w:val="ru-RU"/>
              </w:rPr>
            </w:pPr>
            <w:r w:rsidRPr="00A37BC8">
              <w:rPr>
                <w:i/>
                <w:iCs/>
                <w:szCs w:val="20"/>
              </w:rPr>
              <w:t>Чести:</w:t>
            </w:r>
            <w:r w:rsidRPr="00A37BC8">
              <w:rPr>
                <w:szCs w:val="20"/>
              </w:rPr>
              <w:t xml:space="preserve"> Перикарден излив*, тахикардия*</w:t>
            </w:r>
          </w:p>
        </w:tc>
      </w:tr>
      <w:tr w:rsidR="00A37BC8" w14:paraId="55075979" w14:textId="77777777" w:rsidTr="00A37BC8">
        <w:tc>
          <w:tcPr>
            <w:tcW w:w="4788" w:type="dxa"/>
          </w:tcPr>
          <w:p w14:paraId="0399FD90" w14:textId="7809667C" w:rsidR="00A37BC8" w:rsidRPr="00A37BC8" w:rsidRDefault="00A37BC8" w:rsidP="00A37BC8">
            <w:pPr>
              <w:rPr>
                <w:lang w:val="ru-RU"/>
              </w:rPr>
            </w:pPr>
            <w:r w:rsidRPr="00A37BC8">
              <w:rPr>
                <w:szCs w:val="20"/>
              </w:rPr>
              <w:lastRenderedPageBreak/>
              <w:t>Съдови нарушения</w:t>
            </w:r>
          </w:p>
        </w:tc>
        <w:tc>
          <w:tcPr>
            <w:tcW w:w="4788" w:type="dxa"/>
          </w:tcPr>
          <w:p w14:paraId="45A138A8" w14:textId="1BAD9949" w:rsidR="00A37BC8" w:rsidRPr="00A37BC8" w:rsidRDefault="00A37BC8" w:rsidP="00A37BC8">
            <w:pPr>
              <w:rPr>
                <w:lang w:val="ru-RU"/>
              </w:rPr>
            </w:pPr>
            <w:r w:rsidRPr="00A37BC8">
              <w:rPr>
                <w:i/>
                <w:iCs/>
                <w:szCs w:val="20"/>
              </w:rPr>
              <w:t>Много чести:</w:t>
            </w:r>
            <w:r w:rsidRPr="00A37BC8">
              <w:rPr>
                <w:szCs w:val="20"/>
              </w:rPr>
              <w:t xml:space="preserve"> Зачервяване* </w:t>
            </w:r>
            <w:r w:rsidRPr="00A37BC8">
              <w:rPr>
                <w:i/>
                <w:iCs/>
                <w:szCs w:val="20"/>
              </w:rPr>
              <w:t>Чести:</w:t>
            </w:r>
            <w:r w:rsidRPr="00A37BC8">
              <w:rPr>
                <w:szCs w:val="20"/>
              </w:rPr>
              <w:t xml:space="preserve"> Хипотония*, синдром на нарушена капилярна пропускливост, хематом,</w:t>
            </w:r>
          </w:p>
        </w:tc>
      </w:tr>
      <w:tr w:rsidR="00A37BC8" w14:paraId="79C6BF5A" w14:textId="77777777" w:rsidTr="00A37BC8">
        <w:tc>
          <w:tcPr>
            <w:tcW w:w="4788" w:type="dxa"/>
          </w:tcPr>
          <w:p w14:paraId="16006BFF" w14:textId="6DDE5145" w:rsidR="00A37BC8" w:rsidRPr="00A37BC8" w:rsidRDefault="00A37BC8" w:rsidP="00A37BC8">
            <w:pPr>
              <w:rPr>
                <w:lang w:val="ru-RU"/>
              </w:rPr>
            </w:pPr>
            <w:r w:rsidRPr="00A37BC8">
              <w:rPr>
                <w:szCs w:val="20"/>
              </w:rPr>
              <w:t>Респираторни, гръдни и медиастинални нарушения</w:t>
            </w:r>
          </w:p>
        </w:tc>
        <w:tc>
          <w:tcPr>
            <w:tcW w:w="4788" w:type="dxa"/>
          </w:tcPr>
          <w:p w14:paraId="293BE4D6" w14:textId="04E0B669" w:rsidR="00A37BC8" w:rsidRPr="00A37BC8" w:rsidRDefault="00A37BC8" w:rsidP="00A37BC8">
            <w:pPr>
              <w:rPr>
                <w:lang w:val="ru-RU"/>
              </w:rPr>
            </w:pPr>
            <w:r w:rsidRPr="00A37BC8">
              <w:rPr>
                <w:i/>
                <w:iCs/>
                <w:szCs w:val="20"/>
              </w:rPr>
              <w:t>Чести:</w:t>
            </w:r>
            <w:r w:rsidRPr="00A37BC8">
              <w:rPr>
                <w:szCs w:val="20"/>
              </w:rPr>
              <w:t xml:space="preserve"> Респираторен дистрес, епистаксис, диспнея, тахипнея, кашлица</w:t>
            </w:r>
          </w:p>
        </w:tc>
      </w:tr>
      <w:tr w:rsidR="00A37BC8" w14:paraId="56A850C6" w14:textId="77777777" w:rsidTr="00A37BC8">
        <w:trPr>
          <w:trHeight w:val="2572"/>
        </w:trPr>
        <w:tc>
          <w:tcPr>
            <w:tcW w:w="4788" w:type="dxa"/>
          </w:tcPr>
          <w:p w14:paraId="58A7E930" w14:textId="3BC294D0" w:rsidR="00A37BC8" w:rsidRPr="00A37BC8" w:rsidRDefault="00A37BC8" w:rsidP="00A37BC8">
            <w:pPr>
              <w:rPr>
                <w:lang w:val="ru-RU"/>
              </w:rPr>
            </w:pPr>
            <w:r w:rsidRPr="00A37BC8">
              <w:rPr>
                <w:szCs w:val="20"/>
              </w:rPr>
              <w:t>Стомашно-чревни нарушения</w:t>
            </w:r>
          </w:p>
        </w:tc>
        <w:tc>
          <w:tcPr>
            <w:tcW w:w="4788" w:type="dxa"/>
          </w:tcPr>
          <w:p w14:paraId="32D3D205" w14:textId="77777777" w:rsidR="00A37BC8" w:rsidRPr="00A37BC8" w:rsidRDefault="00A37BC8" w:rsidP="00A37BC8">
            <w:r w:rsidRPr="00A37BC8">
              <w:rPr>
                <w:i/>
                <w:iCs/>
                <w:szCs w:val="20"/>
              </w:rPr>
              <w:t>Много чести:</w:t>
            </w:r>
            <w:r w:rsidRPr="00A37BC8">
              <w:rPr>
                <w:szCs w:val="20"/>
              </w:rPr>
              <w:t xml:space="preserve"> Повръщане, гадене, диария</w:t>
            </w:r>
          </w:p>
          <w:p w14:paraId="493DCBE3" w14:textId="77777777" w:rsidR="00A37BC8" w:rsidRPr="00A37BC8" w:rsidRDefault="00A37BC8" w:rsidP="00A37BC8">
            <w:pPr>
              <w:rPr>
                <w:rFonts w:eastAsia="Times New Roman" w:cs="Arial"/>
              </w:rPr>
            </w:pPr>
            <w:r w:rsidRPr="00A37BC8">
              <w:rPr>
                <w:i/>
                <w:iCs/>
                <w:szCs w:val="20"/>
              </w:rPr>
              <w:t>Чести:</w:t>
            </w:r>
            <w:r w:rsidRPr="00A37BC8">
              <w:rPr>
                <w:szCs w:val="20"/>
              </w:rPr>
              <w:t xml:space="preserve"> Хеморагия в устната кухина, кървене от венците, хематемеза, коремна болка, стоматит, болка в горната абдоминална област</w:t>
            </w:r>
            <w:r w:rsidRPr="00A37BC8">
              <w:rPr>
                <w:rFonts w:cs="Arial"/>
              </w:rPr>
              <w:t>,</w:t>
            </w:r>
            <w:r w:rsidRPr="00A37BC8">
              <w:rPr>
                <w:rFonts w:cs="Arial"/>
                <w:lang w:val="ru-RU"/>
              </w:rPr>
              <w:t xml:space="preserve"> </w:t>
            </w:r>
            <w:r w:rsidRPr="00A37BC8">
              <w:rPr>
                <w:rFonts w:eastAsia="Times New Roman" w:cs="Arial"/>
                <w:color w:val="000000"/>
                <w:lang w:eastAsia="bg-BG"/>
              </w:rPr>
              <w:t>прокталгия, улцерации в устната кухина</w:t>
            </w:r>
          </w:p>
          <w:p w14:paraId="3CA9BC44" w14:textId="6324A07C" w:rsidR="00A37BC8" w:rsidRPr="00A37BC8" w:rsidRDefault="00A37BC8" w:rsidP="00A37BC8">
            <w:pPr>
              <w:spacing w:line="240" w:lineRule="auto"/>
              <w:rPr>
                <w:rFonts w:ascii="Times New Roman" w:eastAsia="Times New Roman" w:hAnsi="Times New Roman" w:cs="Times New Roman"/>
                <w:sz w:val="24"/>
                <w:szCs w:val="24"/>
              </w:rPr>
            </w:pPr>
            <w:r w:rsidRPr="00A37BC8">
              <w:rPr>
                <w:rFonts w:eastAsia="Times New Roman" w:cs="Arial"/>
                <w:i/>
                <w:iCs/>
                <w:color w:val="000000"/>
                <w:lang w:eastAsia="bg-BG"/>
              </w:rPr>
              <w:t>С неизвестна честота:</w:t>
            </w:r>
            <w:r w:rsidRPr="00A37BC8">
              <w:rPr>
                <w:rFonts w:eastAsia="Times New Roman" w:cs="Arial"/>
                <w:color w:val="000000"/>
                <w:lang w:eastAsia="bg-BG"/>
              </w:rPr>
              <w:t xml:space="preserve"> Повишение на панкреатичните ензими амилаза и липаза в серума, ентероколит, неутропеничен колит, тифлит</w:t>
            </w:r>
          </w:p>
        </w:tc>
      </w:tr>
      <w:tr w:rsidR="00A37BC8" w14:paraId="65B064B3" w14:textId="77777777" w:rsidTr="00A37BC8">
        <w:tc>
          <w:tcPr>
            <w:tcW w:w="4788" w:type="dxa"/>
          </w:tcPr>
          <w:p w14:paraId="122F8E21" w14:textId="724B5522" w:rsidR="00A37BC8" w:rsidRPr="00A37BC8" w:rsidRDefault="00A37BC8" w:rsidP="00A37BC8">
            <w:pPr>
              <w:rPr>
                <w:lang w:val="ru-RU"/>
              </w:rPr>
            </w:pPr>
            <w:r w:rsidRPr="00A37BC8">
              <w:rPr>
                <w:szCs w:val="20"/>
              </w:rPr>
              <w:t>Хепатобилиарни нарушения</w:t>
            </w:r>
          </w:p>
        </w:tc>
        <w:tc>
          <w:tcPr>
            <w:tcW w:w="4788" w:type="dxa"/>
          </w:tcPr>
          <w:p w14:paraId="456C456E" w14:textId="3977586A" w:rsidR="00A37BC8" w:rsidRPr="00A37BC8" w:rsidRDefault="00A37BC8" w:rsidP="00A37BC8">
            <w:pPr>
              <w:rPr>
                <w:lang w:val="ru-RU"/>
              </w:rPr>
            </w:pPr>
            <w:r>
              <w:rPr>
                <w:i/>
                <w:iCs/>
                <w:szCs w:val="20"/>
              </w:rPr>
              <w:t>Чести</w:t>
            </w:r>
            <w:r w:rsidRPr="00A37BC8">
              <w:rPr>
                <w:i/>
                <w:iCs/>
                <w:szCs w:val="20"/>
                <w:lang w:val="ru-RU"/>
              </w:rPr>
              <w:t>:</w:t>
            </w:r>
            <w:r w:rsidRPr="00A37BC8">
              <w:rPr>
                <w:szCs w:val="20"/>
              </w:rPr>
              <w:t xml:space="preserve"> Хипербилирубинемия, жълтеница, венооклузивна болест, повишени стойности на аланинаминотрансфераза </w:t>
            </w:r>
            <w:r w:rsidRPr="00A37BC8">
              <w:rPr>
                <w:szCs w:val="20"/>
                <w:lang w:val="ru-RU"/>
              </w:rPr>
              <w:t>(</w:t>
            </w:r>
            <w:r w:rsidRPr="00A37BC8">
              <w:rPr>
                <w:szCs w:val="20"/>
                <w:lang w:val="en-US"/>
              </w:rPr>
              <w:t>ALAT</w:t>
            </w:r>
            <w:r w:rsidRPr="00A37BC8">
              <w:rPr>
                <w:szCs w:val="20"/>
                <w:lang w:val="ru-RU"/>
              </w:rPr>
              <w:t xml:space="preserve">)* </w:t>
            </w:r>
            <w:r w:rsidRPr="00A37BC8">
              <w:rPr>
                <w:szCs w:val="20"/>
                <w:vertAlign w:val="superscript"/>
                <w:lang w:val="ru-RU"/>
              </w:rPr>
              <w:t>**</w:t>
            </w:r>
            <w:r w:rsidRPr="00A37BC8">
              <w:rPr>
                <w:szCs w:val="20"/>
                <w:lang w:val="ru-RU"/>
              </w:rPr>
              <w:t xml:space="preserve"> </w:t>
            </w:r>
            <w:r w:rsidRPr="00A37BC8">
              <w:rPr>
                <w:szCs w:val="20"/>
              </w:rPr>
              <w:t xml:space="preserve">и аспартатаминотрансфераза </w:t>
            </w:r>
            <w:r w:rsidRPr="00A37BC8">
              <w:rPr>
                <w:szCs w:val="20"/>
                <w:lang w:val="ru-RU"/>
              </w:rPr>
              <w:t>(</w:t>
            </w:r>
            <w:r w:rsidRPr="00A37BC8">
              <w:rPr>
                <w:szCs w:val="20"/>
                <w:lang w:val="en-US"/>
              </w:rPr>
              <w:t>ASAT</w:t>
            </w:r>
            <w:r w:rsidRPr="00A37BC8">
              <w:rPr>
                <w:szCs w:val="20"/>
                <w:lang w:val="ru-RU"/>
              </w:rPr>
              <w:t xml:space="preserve">)*, </w:t>
            </w:r>
            <w:r w:rsidRPr="00A37BC8">
              <w:rPr>
                <w:szCs w:val="20"/>
              </w:rPr>
              <w:t xml:space="preserve">чернодробна недостатъчност </w:t>
            </w:r>
            <w:r w:rsidRPr="00A37BC8">
              <w:rPr>
                <w:i/>
                <w:iCs/>
                <w:szCs w:val="20"/>
              </w:rPr>
              <w:t>Нечести:</w:t>
            </w:r>
            <w:r w:rsidRPr="00A37BC8">
              <w:rPr>
                <w:szCs w:val="20"/>
              </w:rPr>
              <w:t xml:space="preserve"> Хепатит</w:t>
            </w:r>
          </w:p>
        </w:tc>
      </w:tr>
      <w:tr w:rsidR="00A37BC8" w14:paraId="1D8D9FEE" w14:textId="77777777" w:rsidTr="00A37BC8">
        <w:tc>
          <w:tcPr>
            <w:tcW w:w="4788" w:type="dxa"/>
          </w:tcPr>
          <w:p w14:paraId="3B141BC4" w14:textId="63F267F0" w:rsidR="00A37BC8" w:rsidRPr="00A37BC8" w:rsidRDefault="00A37BC8" w:rsidP="00A37BC8">
            <w:pPr>
              <w:rPr>
                <w:lang w:val="ru-RU"/>
              </w:rPr>
            </w:pPr>
            <w:r w:rsidRPr="00A37BC8">
              <w:rPr>
                <w:szCs w:val="20"/>
              </w:rPr>
              <w:t>Общи нарушения и ефекти на мястото на приложение</w:t>
            </w:r>
          </w:p>
        </w:tc>
        <w:tc>
          <w:tcPr>
            <w:tcW w:w="4788" w:type="dxa"/>
          </w:tcPr>
          <w:p w14:paraId="658A4CE2" w14:textId="77777777" w:rsidR="00A37BC8" w:rsidRPr="00A37BC8" w:rsidRDefault="00A37BC8" w:rsidP="00A37BC8">
            <w:r w:rsidRPr="00A37BC8">
              <w:rPr>
                <w:i/>
                <w:iCs/>
                <w:szCs w:val="20"/>
              </w:rPr>
              <w:t>Много чести:</w:t>
            </w:r>
            <w:r w:rsidRPr="00A37BC8">
              <w:rPr>
                <w:szCs w:val="20"/>
              </w:rPr>
              <w:t xml:space="preserve"> Умора, пирексия, възпаление на лигавиците</w:t>
            </w:r>
          </w:p>
          <w:p w14:paraId="0D7A07E5" w14:textId="05B46D1F" w:rsidR="00A37BC8" w:rsidRPr="00A37BC8" w:rsidRDefault="00A37BC8" w:rsidP="00A37BC8">
            <w:pPr>
              <w:rPr>
                <w:lang w:val="ru-RU"/>
              </w:rPr>
            </w:pPr>
            <w:r w:rsidRPr="00A37BC8">
              <w:rPr>
                <w:i/>
                <w:iCs/>
                <w:szCs w:val="20"/>
              </w:rPr>
              <w:t>Чести:</w:t>
            </w:r>
            <w:r w:rsidRPr="00A37BC8">
              <w:rPr>
                <w:szCs w:val="20"/>
              </w:rPr>
              <w:t xml:space="preserve"> Мултиорганна недостатъчност, синдром на системен възпалителен отговор*, болка, втрисане, раздразнителност, оток, периферен оток, горещи вълни, необичайни усещания</w:t>
            </w:r>
          </w:p>
        </w:tc>
      </w:tr>
      <w:tr w:rsidR="00A37BC8" w14:paraId="3BCF9DF1" w14:textId="77777777" w:rsidTr="00A37BC8">
        <w:tc>
          <w:tcPr>
            <w:tcW w:w="4788" w:type="dxa"/>
          </w:tcPr>
          <w:p w14:paraId="5D3D28BA" w14:textId="75CAEAC4" w:rsidR="00A37BC8" w:rsidRPr="00A37BC8" w:rsidRDefault="00A37BC8" w:rsidP="00A37BC8">
            <w:pPr>
              <w:rPr>
                <w:lang w:val="ru-RU"/>
              </w:rPr>
            </w:pPr>
            <w:r w:rsidRPr="00A37BC8">
              <w:rPr>
                <w:szCs w:val="20"/>
              </w:rPr>
              <w:t>Нарушения на кожата и подкожната тъкан</w:t>
            </w:r>
          </w:p>
        </w:tc>
        <w:tc>
          <w:tcPr>
            <w:tcW w:w="4788" w:type="dxa"/>
          </w:tcPr>
          <w:p w14:paraId="049D5D5D" w14:textId="77777777" w:rsidR="00A37BC8" w:rsidRPr="00A37BC8" w:rsidRDefault="00A37BC8" w:rsidP="00A37BC8">
            <w:r w:rsidRPr="00A37BC8">
              <w:rPr>
                <w:i/>
                <w:iCs/>
                <w:szCs w:val="20"/>
              </w:rPr>
              <w:t>Много чести:</w:t>
            </w:r>
            <w:r w:rsidRPr="00A37BC8">
              <w:rPr>
                <w:szCs w:val="20"/>
              </w:rPr>
              <w:t xml:space="preserve"> Синдром на палмарно- плантарна еритродизестезия, пруритус, </w:t>
            </w:r>
            <w:r w:rsidRPr="00A37BC8">
              <w:rPr>
                <w:i/>
                <w:iCs/>
                <w:szCs w:val="20"/>
              </w:rPr>
              <w:t>Чести:</w:t>
            </w:r>
            <w:r w:rsidRPr="00A37BC8">
              <w:rPr>
                <w:szCs w:val="20"/>
              </w:rPr>
              <w:t xml:space="preserve"> Макуло-папулозен обрив, петехии, еритем, сърбящ обрив, ексфолиация на кожата, генерализиран обрив, алопеция, кожна хиперпигментация, генерализиран еритем, еритематозен обрив, суха кожа, хиперхидроза</w:t>
            </w:r>
          </w:p>
          <w:p w14:paraId="0E505B6A" w14:textId="24136B83" w:rsidR="00A37BC8" w:rsidRPr="00A37BC8" w:rsidRDefault="00A37BC8" w:rsidP="00A37BC8">
            <w:pPr>
              <w:rPr>
                <w:lang w:val="ru-RU"/>
              </w:rPr>
            </w:pPr>
            <w:r w:rsidRPr="00A37BC8">
              <w:rPr>
                <w:i/>
                <w:iCs/>
                <w:szCs w:val="20"/>
              </w:rPr>
              <w:t>С неизвестна честота:</w:t>
            </w:r>
            <w:r w:rsidRPr="00A37BC8">
              <w:rPr>
                <w:szCs w:val="20"/>
              </w:rPr>
              <w:t xml:space="preserve"> Синдром на </w:t>
            </w:r>
            <w:r w:rsidRPr="00A37BC8">
              <w:rPr>
                <w:szCs w:val="20"/>
                <w:lang w:val="en-US"/>
              </w:rPr>
              <w:t>Stevens</w:t>
            </w:r>
            <w:r w:rsidRPr="00A37BC8">
              <w:rPr>
                <w:szCs w:val="20"/>
                <w:lang w:val="ru-RU"/>
              </w:rPr>
              <w:t xml:space="preserve">- </w:t>
            </w:r>
            <w:r w:rsidRPr="00A37BC8">
              <w:rPr>
                <w:szCs w:val="20"/>
                <w:lang w:val="en-US"/>
              </w:rPr>
              <w:t>Johnson</w:t>
            </w:r>
            <w:r w:rsidRPr="00A37BC8">
              <w:rPr>
                <w:szCs w:val="20"/>
                <w:lang w:val="ru-RU"/>
              </w:rPr>
              <w:t xml:space="preserve">, </w:t>
            </w:r>
            <w:r w:rsidRPr="00A37BC8">
              <w:rPr>
                <w:szCs w:val="20"/>
              </w:rPr>
              <w:t>токсична епидермална некролиза</w:t>
            </w:r>
          </w:p>
        </w:tc>
      </w:tr>
      <w:tr w:rsidR="00A37BC8" w14:paraId="4FCEE176" w14:textId="77777777" w:rsidTr="00A37BC8">
        <w:tc>
          <w:tcPr>
            <w:tcW w:w="4788" w:type="dxa"/>
          </w:tcPr>
          <w:p w14:paraId="26EAF561" w14:textId="1810594F" w:rsidR="00A37BC8" w:rsidRPr="00A37BC8" w:rsidRDefault="00A37BC8" w:rsidP="00A37BC8">
            <w:pPr>
              <w:rPr>
                <w:lang w:val="ru-RU"/>
              </w:rPr>
            </w:pPr>
            <w:r w:rsidRPr="00A37BC8">
              <w:rPr>
                <w:szCs w:val="20"/>
              </w:rPr>
              <w:t>Нарушения на мускулно-скелетната система и съединителната тъкан</w:t>
            </w:r>
          </w:p>
        </w:tc>
        <w:tc>
          <w:tcPr>
            <w:tcW w:w="4788" w:type="dxa"/>
          </w:tcPr>
          <w:p w14:paraId="1ED44103" w14:textId="463EE193" w:rsidR="00A37BC8" w:rsidRPr="00A37BC8" w:rsidRDefault="00A37BC8" w:rsidP="00A37BC8">
            <w:pPr>
              <w:rPr>
                <w:lang w:val="ru-RU"/>
              </w:rPr>
            </w:pPr>
            <w:r w:rsidRPr="00A37BC8">
              <w:rPr>
                <w:i/>
                <w:iCs/>
                <w:szCs w:val="20"/>
              </w:rPr>
              <w:t>Чести:</w:t>
            </w:r>
            <w:r w:rsidRPr="00A37BC8">
              <w:rPr>
                <w:szCs w:val="20"/>
              </w:rPr>
              <w:t xml:space="preserve"> Болки в крайниците, миалгия, болки в костите, болки в гръдната стена, артралгия, болки във врата и гърба</w:t>
            </w:r>
          </w:p>
        </w:tc>
      </w:tr>
      <w:tr w:rsidR="00A37BC8" w14:paraId="0E745657" w14:textId="77777777" w:rsidTr="00A37BC8">
        <w:tc>
          <w:tcPr>
            <w:tcW w:w="4788" w:type="dxa"/>
          </w:tcPr>
          <w:p w14:paraId="4EAC4FBF" w14:textId="75608EE1" w:rsidR="00A37BC8" w:rsidRPr="00A37BC8" w:rsidRDefault="00A37BC8" w:rsidP="00A37BC8">
            <w:pPr>
              <w:rPr>
                <w:lang w:val="ru-RU"/>
              </w:rPr>
            </w:pPr>
            <w:r w:rsidRPr="00A37BC8">
              <w:rPr>
                <w:szCs w:val="20"/>
              </w:rPr>
              <w:t>Нарушения на бъбреците и пикочните пътища</w:t>
            </w:r>
          </w:p>
        </w:tc>
        <w:tc>
          <w:tcPr>
            <w:tcW w:w="4788" w:type="dxa"/>
          </w:tcPr>
          <w:p w14:paraId="14563CB6" w14:textId="77777777" w:rsidR="00A37BC8" w:rsidRPr="00A37BC8" w:rsidRDefault="00A37BC8" w:rsidP="00A37BC8">
            <w:r w:rsidRPr="00A37BC8">
              <w:rPr>
                <w:i/>
                <w:iCs/>
                <w:szCs w:val="20"/>
              </w:rPr>
              <w:t>Чести:</w:t>
            </w:r>
            <w:r w:rsidRPr="00A37BC8">
              <w:rPr>
                <w:szCs w:val="20"/>
              </w:rPr>
              <w:t xml:space="preserve"> Хематурия*</w:t>
            </w:r>
          </w:p>
          <w:p w14:paraId="437C3119" w14:textId="4B63C60B" w:rsidR="00A37BC8" w:rsidRPr="00A37BC8" w:rsidRDefault="00A37BC8" w:rsidP="00A37BC8">
            <w:pPr>
              <w:rPr>
                <w:lang w:val="ru-RU"/>
              </w:rPr>
            </w:pPr>
            <w:r w:rsidRPr="00A37BC8">
              <w:rPr>
                <w:i/>
                <w:iCs/>
                <w:szCs w:val="20"/>
              </w:rPr>
              <w:t>Чести:</w:t>
            </w:r>
            <w:r w:rsidRPr="00A37BC8">
              <w:rPr>
                <w:szCs w:val="20"/>
              </w:rPr>
              <w:t xml:space="preserve"> Бъбречна недостатъчност, остра бъбречна недостатъчност</w:t>
            </w:r>
          </w:p>
        </w:tc>
      </w:tr>
      <w:tr w:rsidR="00A37BC8" w14:paraId="71966F08" w14:textId="77777777" w:rsidTr="00A37BC8">
        <w:tc>
          <w:tcPr>
            <w:tcW w:w="4788" w:type="dxa"/>
          </w:tcPr>
          <w:p w14:paraId="2020FB4F" w14:textId="4DB1691D" w:rsidR="00A37BC8" w:rsidRPr="00A37BC8" w:rsidRDefault="00A37BC8" w:rsidP="00A37BC8">
            <w:pPr>
              <w:rPr>
                <w:lang w:val="ru-RU"/>
              </w:rPr>
            </w:pPr>
            <w:r w:rsidRPr="00A37BC8">
              <w:rPr>
                <w:szCs w:val="20"/>
              </w:rPr>
              <w:t>Изследвания</w:t>
            </w:r>
          </w:p>
        </w:tc>
        <w:tc>
          <w:tcPr>
            <w:tcW w:w="4788" w:type="dxa"/>
          </w:tcPr>
          <w:p w14:paraId="2C55C5EA" w14:textId="2A1A6490" w:rsidR="00A37BC8" w:rsidRPr="00A37BC8" w:rsidRDefault="00A37BC8" w:rsidP="00A37BC8">
            <w:pPr>
              <w:rPr>
                <w:lang w:val="ru-RU"/>
              </w:rPr>
            </w:pPr>
            <w:r w:rsidRPr="00A37BC8">
              <w:rPr>
                <w:i/>
                <w:iCs/>
                <w:szCs w:val="20"/>
              </w:rPr>
              <w:t>Чести:</w:t>
            </w:r>
            <w:r w:rsidRPr="00A37BC8">
              <w:rPr>
                <w:szCs w:val="20"/>
              </w:rPr>
              <w:t xml:space="preserve"> Намаляване на теглото</w:t>
            </w:r>
          </w:p>
        </w:tc>
      </w:tr>
      <w:tr w:rsidR="00A37BC8" w14:paraId="2AC37C0A" w14:textId="77777777" w:rsidTr="00A37BC8">
        <w:tc>
          <w:tcPr>
            <w:tcW w:w="4788" w:type="dxa"/>
          </w:tcPr>
          <w:p w14:paraId="332E7B9F" w14:textId="5190B8C9" w:rsidR="00A37BC8" w:rsidRPr="00A37BC8" w:rsidRDefault="00A37BC8" w:rsidP="00A37BC8">
            <w:pPr>
              <w:rPr>
                <w:lang w:val="ru-RU"/>
              </w:rPr>
            </w:pPr>
            <w:r w:rsidRPr="00A37BC8">
              <w:rPr>
                <w:szCs w:val="20"/>
              </w:rPr>
              <w:lastRenderedPageBreak/>
              <w:t>Наранявания, отравяния и усложнения, възникнали в резултат на интервенции</w:t>
            </w:r>
          </w:p>
        </w:tc>
        <w:tc>
          <w:tcPr>
            <w:tcW w:w="4788" w:type="dxa"/>
          </w:tcPr>
          <w:p w14:paraId="19494407" w14:textId="380DD402" w:rsidR="00A37BC8" w:rsidRPr="00A37BC8" w:rsidRDefault="00A37BC8" w:rsidP="00A37BC8">
            <w:pPr>
              <w:rPr>
                <w:lang w:val="ru-RU"/>
              </w:rPr>
            </w:pPr>
            <w:r w:rsidRPr="00A37BC8">
              <w:rPr>
                <w:i/>
                <w:iCs/>
                <w:szCs w:val="20"/>
              </w:rPr>
              <w:t>Чести:</w:t>
            </w:r>
            <w:r w:rsidRPr="00A37BC8">
              <w:rPr>
                <w:szCs w:val="20"/>
              </w:rPr>
              <w:t xml:space="preserve"> Контузии</w:t>
            </w:r>
          </w:p>
        </w:tc>
      </w:tr>
    </w:tbl>
    <w:p w14:paraId="2F836EFC" w14:textId="2E34CB63" w:rsidR="00A37BC8" w:rsidRPr="00A37BC8" w:rsidRDefault="00A37BC8" w:rsidP="00A37BC8">
      <w:pPr>
        <w:spacing w:line="240" w:lineRule="auto"/>
        <w:rPr>
          <w:rFonts w:eastAsia="Times New Roman" w:cs="Arial"/>
        </w:rPr>
      </w:pPr>
      <w:r w:rsidRPr="00A37BC8">
        <w:rPr>
          <w:rFonts w:eastAsia="Times New Roman" w:cs="Arial"/>
          <w:color w:val="000000"/>
          <w:lang w:val="en-US" w:eastAsia="bg-BG"/>
        </w:rPr>
        <w:t>*</w:t>
      </w:r>
      <w:r w:rsidRPr="00A37BC8">
        <w:rPr>
          <w:rFonts w:eastAsia="Times New Roman" w:cs="Arial"/>
          <w:color w:val="000000"/>
          <w:lang w:eastAsia="bg-BG"/>
        </w:rPr>
        <w:t>вж. по-долу</w:t>
      </w:r>
    </w:p>
    <w:p w14:paraId="604598DB" w14:textId="3A6B6032" w:rsidR="00A37BC8" w:rsidRPr="00A37BC8" w:rsidRDefault="00A37BC8" w:rsidP="00A37BC8">
      <w:pPr>
        <w:spacing w:line="240" w:lineRule="auto"/>
        <w:rPr>
          <w:rFonts w:eastAsia="Times New Roman" w:cs="Arial"/>
        </w:rPr>
      </w:pPr>
      <w:r w:rsidRPr="00A37BC8">
        <w:rPr>
          <w:rFonts w:eastAsia="Times New Roman" w:cs="Arial"/>
          <w:color w:val="000000"/>
          <w:lang w:val="ru-RU" w:eastAsia="bg-BG"/>
        </w:rPr>
        <w:t>**</w:t>
      </w:r>
      <w:r w:rsidRPr="00A37BC8">
        <w:rPr>
          <w:rFonts w:eastAsia="Times New Roman" w:cs="Arial"/>
          <w:color w:val="000000"/>
          <w:lang w:eastAsia="bg-BG"/>
        </w:rPr>
        <w:t>Всички нежелани реакции, които са настъпили най-малко два пъти (т.е, 2 или повече реакции (1,7%)) са включени в тази таблица</w:t>
      </w:r>
    </w:p>
    <w:p w14:paraId="13C2300E" w14:textId="77777777" w:rsidR="00A37BC8" w:rsidRPr="00A37BC8" w:rsidRDefault="00A37BC8" w:rsidP="00A37BC8">
      <w:pPr>
        <w:spacing w:line="240" w:lineRule="auto"/>
        <w:rPr>
          <w:rFonts w:eastAsia="Times New Roman" w:cs="Arial"/>
          <w:color w:val="000000"/>
          <w:u w:val="single"/>
          <w:lang w:eastAsia="bg-BG"/>
        </w:rPr>
      </w:pPr>
    </w:p>
    <w:p w14:paraId="6905E532" w14:textId="4300E0F0" w:rsidR="00A37BC8" w:rsidRPr="00A37BC8" w:rsidRDefault="00A37BC8" w:rsidP="00A37BC8">
      <w:pPr>
        <w:spacing w:line="240" w:lineRule="auto"/>
        <w:rPr>
          <w:rFonts w:eastAsia="Times New Roman" w:cs="Arial"/>
        </w:rPr>
      </w:pPr>
      <w:r w:rsidRPr="00A37BC8">
        <w:rPr>
          <w:rFonts w:eastAsia="Times New Roman" w:cs="Arial"/>
          <w:color w:val="000000"/>
          <w:u w:val="single"/>
          <w:lang w:eastAsia="bg-BG"/>
        </w:rPr>
        <w:t>Описание на избрани нежелани реакции</w:t>
      </w:r>
    </w:p>
    <w:p w14:paraId="2C192C6B" w14:textId="5CC9C113" w:rsidR="00A37BC8" w:rsidRPr="00A37BC8" w:rsidRDefault="00A37BC8" w:rsidP="00A37BC8">
      <w:pPr>
        <w:spacing w:line="240" w:lineRule="auto"/>
        <w:rPr>
          <w:rFonts w:eastAsia="Times New Roman" w:cs="Arial"/>
          <w:i/>
          <w:iCs/>
          <w:color w:val="000000"/>
          <w:u w:val="single"/>
          <w:lang w:eastAsia="bg-BG"/>
        </w:rPr>
      </w:pPr>
    </w:p>
    <w:p w14:paraId="22368EA0" w14:textId="012BE176" w:rsidR="00A37BC8" w:rsidRPr="00A37BC8" w:rsidRDefault="00A37BC8" w:rsidP="00A37BC8">
      <w:pPr>
        <w:spacing w:line="240" w:lineRule="auto"/>
        <w:rPr>
          <w:rFonts w:eastAsia="Times New Roman" w:cs="Arial"/>
        </w:rPr>
      </w:pPr>
      <w:r w:rsidRPr="00A37BC8">
        <w:rPr>
          <w:rFonts w:eastAsia="Times New Roman" w:cs="Arial"/>
          <w:i/>
          <w:iCs/>
          <w:color w:val="000000"/>
          <w:u w:val="single"/>
          <w:lang w:eastAsia="bg-BG"/>
        </w:rPr>
        <w:t>Нарушения на кръвта и лимфната система</w:t>
      </w:r>
    </w:p>
    <w:p w14:paraId="1C3BA39B" w14:textId="77777777" w:rsidR="00A37BC8" w:rsidRPr="00A37BC8" w:rsidRDefault="00A37BC8" w:rsidP="00A37BC8">
      <w:pPr>
        <w:rPr>
          <w:rFonts w:eastAsia="Times New Roman" w:cs="Arial"/>
        </w:rPr>
      </w:pPr>
      <w:r w:rsidRPr="00A37BC8">
        <w:rPr>
          <w:rFonts w:eastAsia="Times New Roman" w:cs="Arial"/>
          <w:color w:val="000000"/>
          <w:lang w:eastAsia="bg-BG"/>
        </w:rPr>
        <w:t>Най-честите отклонения в хематологичните лабораторни показатели, наблюдавани при пациенти лекувани с клофарабин, са анемия (83,3%; 95/114); левкопения (87,7%; 100/114),</w:t>
      </w:r>
      <w:r w:rsidRPr="00A37BC8">
        <w:rPr>
          <w:rFonts w:eastAsia="Times New Roman" w:cs="Arial"/>
          <w:color w:val="000000"/>
          <w:lang w:val="ru-RU" w:eastAsia="bg-BG"/>
        </w:rPr>
        <w:t xml:space="preserve"> </w:t>
      </w:r>
      <w:r w:rsidRPr="00A37BC8">
        <w:rPr>
          <w:rFonts w:eastAsia="Times New Roman" w:cs="Arial"/>
          <w:color w:val="000000"/>
          <w:lang w:eastAsia="bg-BG"/>
        </w:rPr>
        <w:t>лимфопения (82,3%; 93/113), неутропения (63,7%; 72/113) и тромбоцитопения (80,7%; 92/114). По-голямата част от тези събития са били от степен ≥3.</w:t>
      </w:r>
    </w:p>
    <w:p w14:paraId="335F0BA9" w14:textId="77777777" w:rsidR="00A37BC8" w:rsidRPr="00A37BC8" w:rsidRDefault="00A37BC8" w:rsidP="00A37BC8">
      <w:pPr>
        <w:spacing w:line="240" w:lineRule="auto"/>
        <w:rPr>
          <w:rFonts w:eastAsia="Times New Roman" w:cs="Arial"/>
          <w:color w:val="000000"/>
          <w:lang w:eastAsia="bg-BG"/>
        </w:rPr>
      </w:pPr>
    </w:p>
    <w:p w14:paraId="3700223D" w14:textId="3CDE3333" w:rsidR="00A37BC8" w:rsidRPr="00A37BC8" w:rsidRDefault="00A37BC8" w:rsidP="00A37BC8">
      <w:pPr>
        <w:spacing w:line="240" w:lineRule="auto"/>
        <w:rPr>
          <w:rFonts w:eastAsia="Times New Roman" w:cs="Arial"/>
        </w:rPr>
      </w:pPr>
      <w:r w:rsidRPr="00A37BC8">
        <w:rPr>
          <w:rFonts w:eastAsia="Times New Roman" w:cs="Arial"/>
          <w:color w:val="000000"/>
          <w:lang w:eastAsia="bg-BG"/>
        </w:rPr>
        <w:t>По време на постмаркетинговия период има съобщения за продължителни цитопении (тромбоцитопения, анемия, неутропения и левкопения) и костно-мозъчна недостатъчност. Наблюдавани са събития на кървене при наличие на тромбоцитопения. Съобщава се за хеморагия, включително церебрална, гастроинтестинална и пулмонална хеморагия, която може да е свързана с фатален изход (вж. точка 4,4).</w:t>
      </w:r>
    </w:p>
    <w:p w14:paraId="77F99536" w14:textId="77777777" w:rsidR="00A37BC8" w:rsidRPr="00A37BC8" w:rsidRDefault="00A37BC8" w:rsidP="00A37BC8">
      <w:pPr>
        <w:spacing w:line="240" w:lineRule="auto"/>
        <w:rPr>
          <w:rFonts w:eastAsia="Times New Roman" w:cs="Arial"/>
          <w:i/>
          <w:iCs/>
          <w:color w:val="000000"/>
          <w:u w:val="single"/>
          <w:lang w:eastAsia="bg-BG"/>
        </w:rPr>
      </w:pPr>
    </w:p>
    <w:p w14:paraId="1B2E4917" w14:textId="4743329D" w:rsidR="00A37BC8" w:rsidRPr="00A37BC8" w:rsidRDefault="00A37BC8" w:rsidP="00A37BC8">
      <w:pPr>
        <w:spacing w:line="240" w:lineRule="auto"/>
        <w:rPr>
          <w:rFonts w:eastAsia="Times New Roman" w:cs="Arial"/>
        </w:rPr>
      </w:pPr>
      <w:r w:rsidRPr="00A37BC8">
        <w:rPr>
          <w:rFonts w:eastAsia="Times New Roman" w:cs="Arial"/>
          <w:i/>
          <w:iCs/>
          <w:color w:val="000000"/>
          <w:u w:val="single"/>
          <w:lang w:eastAsia="bg-BG"/>
        </w:rPr>
        <w:t>Съдови нарушения</w:t>
      </w:r>
    </w:p>
    <w:p w14:paraId="59B6C368" w14:textId="77777777" w:rsidR="00A37BC8" w:rsidRPr="00A37BC8" w:rsidRDefault="00A37BC8" w:rsidP="00A37BC8">
      <w:pPr>
        <w:spacing w:line="240" w:lineRule="auto"/>
        <w:rPr>
          <w:rFonts w:eastAsia="Times New Roman" w:cs="Arial"/>
        </w:rPr>
      </w:pPr>
      <w:r w:rsidRPr="00A37BC8">
        <w:rPr>
          <w:rFonts w:eastAsia="Times New Roman" w:cs="Arial"/>
          <w:color w:val="000000"/>
          <w:lang w:eastAsia="bg-BG"/>
        </w:rPr>
        <w:t>Шестдесет и четирима пациенти от 115 (55,7%) са получили поне една нежелана реакция, проявила се като съдово нарушение. Двадесет и трима пациенти от 115 са получили съдово нарушение, счетено като свързано с клофарабин, като най-често съобщаваните са зачервяване (13 събития; не са сериозни) и хипотония (5 събития; всички счетени за сериозни; вж. точка 4.4). По-голямата част от тези събития на хипотония обаче са наблюдавани при пациенти, които са имали придружаващи тежки инфекции.</w:t>
      </w:r>
    </w:p>
    <w:p w14:paraId="58A2E87E" w14:textId="77777777" w:rsidR="00A37BC8" w:rsidRPr="00A37BC8" w:rsidRDefault="00A37BC8" w:rsidP="00A37BC8">
      <w:pPr>
        <w:spacing w:line="240" w:lineRule="auto"/>
        <w:rPr>
          <w:rFonts w:eastAsia="Times New Roman" w:cs="Arial"/>
          <w:i/>
          <w:iCs/>
          <w:color w:val="000000"/>
          <w:lang w:eastAsia="bg-BG"/>
        </w:rPr>
      </w:pPr>
    </w:p>
    <w:p w14:paraId="537354A2" w14:textId="604F2DF5" w:rsidR="00A37BC8" w:rsidRPr="00A37BC8" w:rsidRDefault="00A37BC8" w:rsidP="00A37BC8">
      <w:pPr>
        <w:spacing w:line="240" w:lineRule="auto"/>
        <w:rPr>
          <w:rFonts w:eastAsia="Times New Roman" w:cs="Arial"/>
        </w:rPr>
      </w:pPr>
      <w:r w:rsidRPr="00A37BC8">
        <w:rPr>
          <w:rFonts w:eastAsia="Times New Roman" w:cs="Arial"/>
          <w:i/>
          <w:iCs/>
          <w:color w:val="000000"/>
          <w:lang w:eastAsia="bg-BG"/>
        </w:rPr>
        <w:t>Сърдечни нарушения</w:t>
      </w:r>
    </w:p>
    <w:p w14:paraId="0A829B41" w14:textId="77777777" w:rsidR="00A37BC8" w:rsidRPr="00A37BC8" w:rsidRDefault="00A37BC8" w:rsidP="00A37BC8">
      <w:pPr>
        <w:spacing w:line="240" w:lineRule="auto"/>
        <w:rPr>
          <w:rFonts w:eastAsia="Times New Roman" w:cs="Arial"/>
        </w:rPr>
      </w:pPr>
      <w:r w:rsidRPr="00A37BC8">
        <w:rPr>
          <w:rFonts w:eastAsia="Times New Roman" w:cs="Arial"/>
          <w:color w:val="000000"/>
          <w:lang w:eastAsia="bg-BG"/>
        </w:rPr>
        <w:t>Петдесет процента от пациентите са получили поне една нежелана реакция, проявила се като сърдечно нарушение. Единадесет реакции при 115 пациенти са счетени като свързани с клофарабин, като нито една не е била сериозна, а най-често съобщаваното сърдечно нарушение е тахикардия (35%) (вж. точка 4.4); при 6,1% (7/115) пациенти тахикадията е счетена за свързана с клофарабин. По-голямата част от сърдечните нежелани реакции са съобщени през първите 2 цикъла.</w:t>
      </w:r>
    </w:p>
    <w:p w14:paraId="23972D70" w14:textId="77777777" w:rsidR="00A37BC8" w:rsidRPr="00A37BC8" w:rsidRDefault="00A37BC8" w:rsidP="00A37BC8">
      <w:pPr>
        <w:spacing w:line="240" w:lineRule="auto"/>
        <w:rPr>
          <w:rFonts w:eastAsia="Times New Roman" w:cs="Arial"/>
          <w:color w:val="000000"/>
          <w:lang w:eastAsia="bg-BG"/>
        </w:rPr>
      </w:pPr>
    </w:p>
    <w:p w14:paraId="4F8ABC44" w14:textId="7CBE1777" w:rsidR="00A37BC8" w:rsidRPr="00A37BC8" w:rsidRDefault="00A37BC8" w:rsidP="00A37BC8">
      <w:pPr>
        <w:spacing w:line="240" w:lineRule="auto"/>
        <w:rPr>
          <w:rFonts w:eastAsia="Times New Roman" w:cs="Arial"/>
        </w:rPr>
      </w:pPr>
      <w:r w:rsidRPr="00A37BC8">
        <w:rPr>
          <w:rFonts w:eastAsia="Times New Roman" w:cs="Arial"/>
          <w:color w:val="000000"/>
          <w:lang w:eastAsia="bg-BG"/>
        </w:rPr>
        <w:t>Перикарден излив и перикардит са наблюдавани като нежелани реакции при 9% (10/115) от пациентите. Три от тези събития са оценени като свързани с клофарабин: перикарден излив (2 събития; 1 от които сериозно) и перикардит (1 събитие; несериозно). При по-голямата част от пациентите (8/10) перикардният излив и перикардитът са определени като асимптомни и с малко или без клинично значение при ехокардиографско изследване. Перикардният излив обаче е бил клинично значим при 2 пациенти със свързано с излива хемодинамично нарушение.</w:t>
      </w:r>
    </w:p>
    <w:p w14:paraId="791EDB44" w14:textId="77777777" w:rsidR="00A37BC8" w:rsidRPr="00A37BC8" w:rsidRDefault="00A37BC8" w:rsidP="00A37BC8">
      <w:pPr>
        <w:spacing w:line="240" w:lineRule="auto"/>
        <w:rPr>
          <w:rFonts w:eastAsia="Times New Roman" w:cs="Arial"/>
          <w:i/>
          <w:iCs/>
          <w:color w:val="000000"/>
          <w:u w:val="single"/>
          <w:lang w:eastAsia="bg-BG"/>
        </w:rPr>
      </w:pPr>
    </w:p>
    <w:p w14:paraId="18656AA0" w14:textId="79B6E93E" w:rsidR="00A37BC8" w:rsidRPr="00A37BC8" w:rsidRDefault="00A37BC8" w:rsidP="00A37BC8">
      <w:pPr>
        <w:spacing w:line="240" w:lineRule="auto"/>
        <w:rPr>
          <w:rFonts w:eastAsia="Times New Roman" w:cs="Arial"/>
        </w:rPr>
      </w:pPr>
      <w:r w:rsidRPr="00A37BC8">
        <w:rPr>
          <w:rFonts w:eastAsia="Times New Roman" w:cs="Arial"/>
          <w:i/>
          <w:iCs/>
          <w:color w:val="000000"/>
          <w:u w:val="single"/>
          <w:lang w:eastAsia="bg-BG"/>
        </w:rPr>
        <w:t>Инфекции и инфестаиии</w:t>
      </w:r>
    </w:p>
    <w:p w14:paraId="05B84183" w14:textId="77777777" w:rsidR="00A37BC8" w:rsidRPr="00A37BC8" w:rsidRDefault="00A37BC8" w:rsidP="00A37BC8">
      <w:pPr>
        <w:spacing w:line="240" w:lineRule="auto"/>
        <w:rPr>
          <w:rFonts w:eastAsia="Times New Roman" w:cs="Arial"/>
        </w:rPr>
      </w:pPr>
      <w:r w:rsidRPr="00A37BC8">
        <w:rPr>
          <w:rFonts w:eastAsia="Times New Roman" w:cs="Arial"/>
          <w:color w:val="000000"/>
          <w:lang w:eastAsia="bg-BG"/>
        </w:rPr>
        <w:t xml:space="preserve">Четиридесет и осем процента от пациентите са имали една или повече продължаващи инфекции преди лечението с клофарабин. Общо 83% от пациентите са получили поне 1 инфекция като нежелана реакция след лечение с клофарабин, включително гьбична, вирусна и бактериална инфекция (вж. точка 4,4). Двадесет и едно (18,3%) събития са счетени за свързани с клофарабин, от които за сериозни са приети инфекция свързана с </w:t>
      </w:r>
      <w:r w:rsidRPr="00A37BC8">
        <w:rPr>
          <w:rFonts w:eastAsia="Times New Roman" w:cs="Arial"/>
          <w:color w:val="000000"/>
          <w:lang w:eastAsia="bg-BG"/>
        </w:rPr>
        <w:lastRenderedPageBreak/>
        <w:t>катетъра (1 събитие), сепсис (2 събития) и септичен шок (2 събития; 1 пациент е починал (вж. по-горе)).</w:t>
      </w:r>
    </w:p>
    <w:p w14:paraId="2ACFEB94" w14:textId="77777777" w:rsidR="00A37BC8" w:rsidRPr="00A37BC8" w:rsidRDefault="00A37BC8" w:rsidP="00A37BC8">
      <w:pPr>
        <w:spacing w:line="240" w:lineRule="auto"/>
        <w:rPr>
          <w:rFonts w:eastAsia="Times New Roman" w:cs="Arial"/>
          <w:color w:val="000000"/>
          <w:lang w:eastAsia="bg-BG"/>
        </w:rPr>
      </w:pPr>
    </w:p>
    <w:p w14:paraId="08B5F9B6" w14:textId="2FCEC7B3" w:rsidR="00A37BC8" w:rsidRPr="00A37BC8" w:rsidRDefault="00A37BC8" w:rsidP="00A37BC8">
      <w:pPr>
        <w:spacing w:line="240" w:lineRule="auto"/>
        <w:rPr>
          <w:rFonts w:eastAsia="Times New Roman" w:cs="Arial"/>
        </w:rPr>
      </w:pPr>
      <w:r w:rsidRPr="00A37BC8">
        <w:rPr>
          <w:rFonts w:eastAsia="Times New Roman" w:cs="Arial"/>
          <w:color w:val="000000"/>
          <w:lang w:eastAsia="bg-BG"/>
        </w:rPr>
        <w:t>По време на постмаркетинговия период има съобщения за бактериални, гъбични и вирусни инфекции, които може да бъдат фатални. Тези инфекции може да доведат до септичен шок, дихателна недостатъчност, бъбречна недостатъчност и/или полиорганна недостатъчност.</w:t>
      </w:r>
    </w:p>
    <w:p w14:paraId="1CA33A1D" w14:textId="77777777" w:rsidR="00A37BC8" w:rsidRPr="00A37BC8" w:rsidRDefault="00A37BC8" w:rsidP="00A37BC8">
      <w:pPr>
        <w:spacing w:line="240" w:lineRule="auto"/>
        <w:rPr>
          <w:rFonts w:eastAsia="Times New Roman" w:cs="Arial"/>
          <w:i/>
          <w:iCs/>
          <w:color w:val="000000"/>
          <w:u w:val="single"/>
          <w:lang w:eastAsia="bg-BG"/>
        </w:rPr>
      </w:pPr>
    </w:p>
    <w:p w14:paraId="48397AA8" w14:textId="058D6689" w:rsidR="00A37BC8" w:rsidRPr="00A37BC8" w:rsidRDefault="00A37BC8" w:rsidP="00A37BC8">
      <w:pPr>
        <w:spacing w:line="240" w:lineRule="auto"/>
        <w:rPr>
          <w:rFonts w:eastAsia="Times New Roman" w:cs="Arial"/>
        </w:rPr>
      </w:pPr>
      <w:r w:rsidRPr="00A37BC8">
        <w:rPr>
          <w:rFonts w:eastAsia="Times New Roman" w:cs="Arial"/>
          <w:i/>
          <w:iCs/>
          <w:color w:val="000000"/>
          <w:u w:val="single"/>
          <w:lang w:eastAsia="bg-BG"/>
        </w:rPr>
        <w:t>Нарушения на бъбреците и пикочните пътища</w:t>
      </w:r>
    </w:p>
    <w:p w14:paraId="60235A11" w14:textId="3CF921AF" w:rsidR="00A37BC8" w:rsidRPr="00A37BC8" w:rsidRDefault="00A37BC8" w:rsidP="00A37BC8">
      <w:pPr>
        <w:spacing w:line="240" w:lineRule="auto"/>
        <w:rPr>
          <w:rFonts w:eastAsia="Times New Roman" w:cs="Arial"/>
          <w:color w:val="000000"/>
          <w:lang w:eastAsia="bg-BG"/>
        </w:rPr>
      </w:pPr>
      <w:r w:rsidRPr="00A37BC8">
        <w:rPr>
          <w:rFonts w:eastAsia="Times New Roman" w:cs="Arial"/>
          <w:color w:val="000000"/>
          <w:lang w:eastAsia="bg-BG"/>
        </w:rPr>
        <w:t>Четиридесет и един пациенти от 115 (35,7%) са получили поне една нежелана реакция, проявила се като нарушение на бъбреците и пикочните пътища. Най-често срещаната бъбречна токсичност при педиатрични пациенти е повишен креатинин. Повишен креатинин от 3-та или 4-та степен се наблюдава при 8% от пациентите. Нефротоксични лекарствени продукти, туморен разпад и туморен разпад с хиперурикемия могат да допринесат за бъбречна токсичност (вж. точки 4.3 и 4.4). Като цяло хематурия е наблюдавана при 13% от пациентите. Четири нежелани реакции, свързани с бъбречни нарушения при 115 пациенти са счетени за свързани с клофарабин, като нито една не е била сериозна; хематурия (3 събития) и остра бъбречна недостатъчност (1 събитие) (вж. точки 4.3 и 4.4).</w:t>
      </w:r>
    </w:p>
    <w:p w14:paraId="3C8E046D" w14:textId="2F4C98E0" w:rsidR="00A37BC8" w:rsidRPr="00A37BC8" w:rsidRDefault="00A37BC8" w:rsidP="00A37BC8">
      <w:pPr>
        <w:spacing w:line="240" w:lineRule="auto"/>
        <w:rPr>
          <w:rFonts w:eastAsia="Times New Roman" w:cs="Arial"/>
          <w:color w:val="000000"/>
          <w:lang w:eastAsia="bg-BG"/>
        </w:rPr>
      </w:pPr>
    </w:p>
    <w:p w14:paraId="34584A3A" w14:textId="77777777" w:rsidR="00A37BC8" w:rsidRPr="00A37BC8" w:rsidRDefault="00A37BC8" w:rsidP="00A37BC8">
      <w:pPr>
        <w:spacing w:line="240" w:lineRule="auto"/>
        <w:rPr>
          <w:rFonts w:eastAsia="Times New Roman" w:cs="Arial"/>
        </w:rPr>
      </w:pPr>
      <w:r w:rsidRPr="00A37BC8">
        <w:rPr>
          <w:rFonts w:eastAsia="Times New Roman" w:cs="Arial"/>
          <w:i/>
          <w:iCs/>
          <w:color w:val="000000"/>
          <w:u w:val="single"/>
          <w:lang w:eastAsia="bg-BG"/>
        </w:rPr>
        <w:t>Хепатобилиарни нарушения</w:t>
      </w:r>
    </w:p>
    <w:p w14:paraId="3A246677" w14:textId="77777777" w:rsidR="00A37BC8" w:rsidRPr="00A37BC8" w:rsidRDefault="00A37BC8" w:rsidP="00A37BC8">
      <w:pPr>
        <w:spacing w:line="240" w:lineRule="auto"/>
        <w:rPr>
          <w:rFonts w:eastAsia="Times New Roman" w:cs="Arial"/>
        </w:rPr>
      </w:pPr>
      <w:r w:rsidRPr="00A37BC8">
        <w:rPr>
          <w:rFonts w:eastAsia="Times New Roman" w:cs="Arial"/>
          <w:color w:val="000000"/>
          <w:lang w:eastAsia="bg-BG"/>
        </w:rPr>
        <w:t xml:space="preserve">Черният дроб е потенциален прицелен орган за токсичност на клофарабин и 25/2% от пациентите са получили поне една нежелана реакция, проявила се като хепатобилиарно нарушение (вж. точки 4.3 и 4.4). Шест събития са счетени за свързани с клофарабин, от които остър холецистит (1 събитие), холелитиаза (1 събитие), хепатоцелуларно увреждане (1 събитие; пациентът е починал (вж. по-горе)) и хипербилирубинемия (1 събитие; пациентът е </w:t>
      </w:r>
      <w:r w:rsidRPr="00A37BC8">
        <w:rPr>
          <w:rFonts w:eastAsia="Times New Roman" w:cs="Arial"/>
          <w:i/>
          <w:iCs/>
          <w:color w:val="000000"/>
          <w:lang w:eastAsia="bg-BG"/>
        </w:rPr>
        <w:t xml:space="preserve">спрял </w:t>
      </w:r>
      <w:r w:rsidRPr="00A37BC8">
        <w:rPr>
          <w:rFonts w:eastAsia="Times New Roman" w:cs="Arial"/>
          <w:color w:val="000000"/>
          <w:lang w:eastAsia="bg-BG"/>
        </w:rPr>
        <w:t>терапията (вж. по-горе)) са оценени като сериозни. Две съобщения при педиатрични пациенти (1,7%) за венооклузивна болест (ВОБ) са счетени за свързани с изпитваното лекарство.</w:t>
      </w:r>
    </w:p>
    <w:p w14:paraId="7872B559" w14:textId="77777777" w:rsidR="00A37BC8" w:rsidRPr="00A37BC8" w:rsidRDefault="00A37BC8" w:rsidP="00A37BC8">
      <w:pPr>
        <w:spacing w:line="240" w:lineRule="auto"/>
        <w:rPr>
          <w:rFonts w:eastAsia="Times New Roman" w:cs="Arial"/>
          <w:color w:val="000000"/>
          <w:lang w:eastAsia="bg-BG"/>
        </w:rPr>
      </w:pPr>
    </w:p>
    <w:p w14:paraId="217BC371" w14:textId="59ED1CB2" w:rsidR="00A37BC8" w:rsidRPr="00A37BC8" w:rsidRDefault="00A37BC8" w:rsidP="00A37BC8">
      <w:pPr>
        <w:spacing w:line="240" w:lineRule="auto"/>
        <w:rPr>
          <w:rFonts w:eastAsia="Times New Roman" w:cs="Arial"/>
        </w:rPr>
      </w:pPr>
      <w:r w:rsidRPr="00A37BC8">
        <w:rPr>
          <w:rFonts w:eastAsia="Times New Roman" w:cs="Arial"/>
          <w:color w:val="000000"/>
          <w:lang w:eastAsia="bg-BG"/>
        </w:rPr>
        <w:t>Случаите на ВОБ по време на постмаркетинговия период при педиатрични и възрастни пациенти са били свързвани с фатален изход (вж. точка 4.4),</w:t>
      </w:r>
    </w:p>
    <w:p w14:paraId="275EA902" w14:textId="77777777" w:rsidR="00A37BC8" w:rsidRPr="00A37BC8" w:rsidRDefault="00A37BC8" w:rsidP="00A37BC8">
      <w:pPr>
        <w:spacing w:line="240" w:lineRule="auto"/>
        <w:rPr>
          <w:rFonts w:eastAsia="Times New Roman" w:cs="Arial"/>
          <w:color w:val="000000"/>
          <w:lang w:eastAsia="bg-BG"/>
        </w:rPr>
      </w:pPr>
    </w:p>
    <w:p w14:paraId="24058238" w14:textId="63A40B9E" w:rsidR="00A37BC8" w:rsidRPr="00A37BC8" w:rsidRDefault="00A37BC8" w:rsidP="00A37BC8">
      <w:pPr>
        <w:spacing w:line="240" w:lineRule="auto"/>
        <w:rPr>
          <w:rFonts w:eastAsia="Times New Roman" w:cs="Arial"/>
        </w:rPr>
      </w:pPr>
      <w:r w:rsidRPr="00A37BC8">
        <w:rPr>
          <w:rFonts w:eastAsia="Times New Roman" w:cs="Arial"/>
          <w:color w:val="000000"/>
          <w:lang w:eastAsia="bg-BG"/>
        </w:rPr>
        <w:t xml:space="preserve">В допълнение, 50/113 пациенти, получаващи клофарабин, са имали силно (поне 3-та степен по </w:t>
      </w:r>
      <w:r w:rsidRPr="00A37BC8">
        <w:rPr>
          <w:rFonts w:eastAsia="Times New Roman" w:cs="Arial"/>
          <w:color w:val="000000"/>
          <w:lang w:val="en-US"/>
        </w:rPr>
        <w:t>NCI</w:t>
      </w:r>
      <w:r w:rsidRPr="00A37BC8">
        <w:rPr>
          <w:rFonts w:eastAsia="Times New Roman" w:cs="Arial"/>
          <w:color w:val="000000"/>
          <w:lang w:val="ru-RU"/>
        </w:rPr>
        <w:t xml:space="preserve"> </w:t>
      </w:r>
      <w:r w:rsidRPr="00A37BC8">
        <w:rPr>
          <w:rFonts w:eastAsia="Times New Roman" w:cs="Arial"/>
          <w:color w:val="000000"/>
          <w:lang w:eastAsia="bg-BG"/>
        </w:rPr>
        <w:t xml:space="preserve">ОКТ) повишени стойности на </w:t>
      </w:r>
      <w:r w:rsidRPr="00A37BC8">
        <w:rPr>
          <w:rFonts w:eastAsia="Times New Roman" w:cs="Arial"/>
          <w:color w:val="000000"/>
          <w:lang w:val="en-US"/>
        </w:rPr>
        <w:t>ALAT</w:t>
      </w:r>
      <w:r w:rsidRPr="00A37BC8">
        <w:rPr>
          <w:rFonts w:eastAsia="Times New Roman" w:cs="Arial"/>
          <w:color w:val="000000"/>
          <w:lang w:val="ru-RU"/>
        </w:rPr>
        <w:t xml:space="preserve">, </w:t>
      </w:r>
      <w:r w:rsidRPr="00A37BC8">
        <w:rPr>
          <w:rFonts w:eastAsia="Times New Roman" w:cs="Arial"/>
          <w:color w:val="000000"/>
          <w:lang w:eastAsia="bg-BG"/>
        </w:rPr>
        <w:t xml:space="preserve">36/100 повишени стойности на </w:t>
      </w:r>
      <w:r w:rsidRPr="00A37BC8">
        <w:rPr>
          <w:rFonts w:eastAsia="Times New Roman" w:cs="Arial"/>
          <w:color w:val="000000"/>
          <w:lang w:val="en-US"/>
        </w:rPr>
        <w:t>ASAT</w:t>
      </w:r>
      <w:r w:rsidRPr="00A37BC8">
        <w:rPr>
          <w:rFonts w:eastAsia="Times New Roman" w:cs="Arial"/>
          <w:color w:val="000000"/>
          <w:lang w:val="ru-RU"/>
        </w:rPr>
        <w:t xml:space="preserve"> </w:t>
      </w:r>
      <w:r w:rsidRPr="00A37BC8">
        <w:rPr>
          <w:rFonts w:eastAsia="Times New Roman" w:cs="Arial"/>
          <w:color w:val="000000"/>
          <w:lang w:eastAsia="bg-BG"/>
        </w:rPr>
        <w:t xml:space="preserve">и 15/114 повишени стойности на билирубина. По-голямата част от повишените стойности на </w:t>
      </w:r>
      <w:r w:rsidRPr="00A37BC8">
        <w:rPr>
          <w:rFonts w:eastAsia="Times New Roman" w:cs="Arial"/>
          <w:color w:val="000000"/>
          <w:lang w:val="en-US"/>
        </w:rPr>
        <w:t>ALAT</w:t>
      </w:r>
      <w:r w:rsidRPr="00A37BC8">
        <w:rPr>
          <w:rFonts w:eastAsia="Times New Roman" w:cs="Arial"/>
          <w:color w:val="000000"/>
          <w:lang w:val="ru-RU"/>
        </w:rPr>
        <w:t xml:space="preserve"> </w:t>
      </w:r>
      <w:r w:rsidRPr="00A37BC8">
        <w:rPr>
          <w:rFonts w:eastAsia="Times New Roman" w:cs="Arial"/>
          <w:color w:val="000000"/>
          <w:lang w:eastAsia="bg-BG"/>
        </w:rPr>
        <w:t xml:space="preserve">и </w:t>
      </w:r>
      <w:r w:rsidRPr="00A37BC8">
        <w:rPr>
          <w:rFonts w:eastAsia="Times New Roman" w:cs="Arial"/>
          <w:color w:val="000000"/>
          <w:lang w:val="en-US"/>
        </w:rPr>
        <w:t>AS</w:t>
      </w:r>
      <w:r w:rsidRPr="00A37BC8">
        <w:rPr>
          <w:rFonts w:eastAsia="Times New Roman" w:cs="Arial"/>
          <w:color w:val="000000"/>
          <w:lang w:eastAsia="bg-BG"/>
        </w:rPr>
        <w:t>АТ са настъпили в рамките на 10 дни от приложението на клофарабин и са се върнали до ≤2 степен за 15 дни. В случаите, при които са налице данни от проследяване, повечето от повишените стойности на билирубина са се върнали до ≤ 2 степен за 10 дни.</w:t>
      </w:r>
    </w:p>
    <w:p w14:paraId="4049E909" w14:textId="77777777" w:rsidR="00A37BC8" w:rsidRPr="00A37BC8" w:rsidRDefault="00A37BC8" w:rsidP="00A37BC8">
      <w:pPr>
        <w:spacing w:line="240" w:lineRule="auto"/>
        <w:rPr>
          <w:rFonts w:eastAsia="Times New Roman" w:cs="Arial"/>
          <w:color w:val="000000"/>
          <w:lang w:eastAsia="bg-BG"/>
        </w:rPr>
      </w:pPr>
    </w:p>
    <w:p w14:paraId="36AB26F8" w14:textId="77777777" w:rsidR="00A37BC8" w:rsidRPr="00A37BC8" w:rsidRDefault="00A37BC8" w:rsidP="00A37BC8">
      <w:pPr>
        <w:spacing w:line="240" w:lineRule="auto"/>
        <w:rPr>
          <w:rFonts w:eastAsia="Times New Roman" w:cs="Arial"/>
          <w:lang w:val="ru-RU"/>
        </w:rPr>
      </w:pPr>
      <w:r w:rsidRPr="00A37BC8">
        <w:rPr>
          <w:rFonts w:eastAsia="Times New Roman" w:cs="Arial"/>
          <w:color w:val="000000"/>
          <w:lang w:eastAsia="bg-BG"/>
        </w:rPr>
        <w:t>Синдром на системен възпалителен отговор (ССВО) или синдром на нарушена капилярна пропускливост (СНКП)</w:t>
      </w:r>
      <w:r w:rsidRPr="00A37BC8">
        <w:rPr>
          <w:rFonts w:eastAsia="Times New Roman" w:cs="Arial"/>
          <w:lang w:val="ru-RU"/>
        </w:rPr>
        <w:t xml:space="preserve"> </w:t>
      </w:r>
    </w:p>
    <w:p w14:paraId="6F7A9E2F" w14:textId="43B94C26" w:rsidR="00A37BC8" w:rsidRPr="00A37BC8" w:rsidRDefault="00A37BC8" w:rsidP="00A37BC8">
      <w:pPr>
        <w:spacing w:line="240" w:lineRule="auto"/>
        <w:rPr>
          <w:rFonts w:eastAsia="Times New Roman" w:cs="Arial"/>
        </w:rPr>
      </w:pPr>
      <w:r w:rsidRPr="00A37BC8">
        <w:rPr>
          <w:rFonts w:eastAsia="Times New Roman" w:cs="Arial"/>
          <w:color w:val="000000"/>
          <w:lang w:eastAsia="bg-BG"/>
        </w:rPr>
        <w:t>ССВО, синдром на нарушена капилярна пропускливост (признаци и симптоми на освобождаване на цитокинини, например тахипнея, тахикардия, хипотония, белодробен оток) са съобщени като нежелани реакции при 5% (6/115) от педиатричните пациенти (5 ОЛЛ, 1 АМЛ) (вж. точка 4.4). Съобщени са тринадесет събития на синдром на туморен разпад, синдром на нарушена капилярна пропускливост или ССВО; ССВО (2 събития; и двете счетени за сериозни), синдром на нарушена капилярна пропускливост (4 събития; 3 от които са счетени за сериозни и свързани) и синдром на туморен разпад (7 събития; 6 от които са счетени за свързани, а 3 от тях сериозни).</w:t>
      </w:r>
    </w:p>
    <w:p w14:paraId="227B7D16" w14:textId="77777777" w:rsidR="00A37BC8" w:rsidRPr="00A37BC8" w:rsidRDefault="00A37BC8" w:rsidP="00A37BC8">
      <w:pPr>
        <w:spacing w:line="240" w:lineRule="auto"/>
        <w:rPr>
          <w:rFonts w:eastAsia="Times New Roman" w:cs="Arial"/>
          <w:color w:val="000000"/>
          <w:lang w:eastAsia="bg-BG"/>
        </w:rPr>
      </w:pPr>
    </w:p>
    <w:p w14:paraId="4E136AC2" w14:textId="69CE17FF" w:rsidR="00A37BC8" w:rsidRPr="00A37BC8" w:rsidRDefault="00A37BC8" w:rsidP="00A37BC8">
      <w:pPr>
        <w:spacing w:line="240" w:lineRule="auto"/>
        <w:rPr>
          <w:rFonts w:eastAsia="Times New Roman" w:cs="Arial"/>
        </w:rPr>
      </w:pPr>
      <w:r w:rsidRPr="00A37BC8">
        <w:rPr>
          <w:rFonts w:eastAsia="Times New Roman" w:cs="Arial"/>
          <w:color w:val="000000"/>
          <w:lang w:eastAsia="bg-BG"/>
        </w:rPr>
        <w:t>Случаи на синдром на нарушена капилярна пропускливост, наблюдавани по време на постмаркетинговия период, са били свързвани с фатален изход (вж. точка 4.4).</w:t>
      </w:r>
    </w:p>
    <w:p w14:paraId="0B1CC56A" w14:textId="77777777" w:rsidR="00A37BC8" w:rsidRPr="00A37BC8" w:rsidRDefault="00A37BC8" w:rsidP="00A37BC8">
      <w:pPr>
        <w:spacing w:line="240" w:lineRule="auto"/>
        <w:rPr>
          <w:rFonts w:eastAsia="Times New Roman" w:cs="Arial"/>
          <w:i/>
          <w:iCs/>
          <w:color w:val="000000"/>
          <w:u w:val="single"/>
          <w:lang w:eastAsia="bg-BG"/>
        </w:rPr>
      </w:pPr>
    </w:p>
    <w:p w14:paraId="59F384CB" w14:textId="5F02D7C7" w:rsidR="00A37BC8" w:rsidRPr="00A37BC8" w:rsidRDefault="00A37BC8" w:rsidP="00A37BC8">
      <w:pPr>
        <w:spacing w:line="240" w:lineRule="auto"/>
        <w:rPr>
          <w:rFonts w:eastAsia="Times New Roman" w:cs="Arial"/>
        </w:rPr>
      </w:pPr>
      <w:r w:rsidRPr="00A37BC8">
        <w:rPr>
          <w:rFonts w:eastAsia="Times New Roman" w:cs="Arial"/>
          <w:i/>
          <w:iCs/>
          <w:color w:val="000000"/>
          <w:u w:val="single"/>
          <w:lang w:eastAsia="bg-BG"/>
        </w:rPr>
        <w:t>Стомашно-чревни нарушения</w:t>
      </w:r>
    </w:p>
    <w:p w14:paraId="6E3A444C" w14:textId="77777777" w:rsidR="00A37BC8" w:rsidRPr="00A37BC8" w:rsidRDefault="00A37BC8" w:rsidP="00A37BC8">
      <w:pPr>
        <w:spacing w:line="240" w:lineRule="auto"/>
        <w:rPr>
          <w:rFonts w:eastAsia="Times New Roman" w:cs="Arial"/>
        </w:rPr>
      </w:pPr>
      <w:r w:rsidRPr="00A37BC8">
        <w:rPr>
          <w:rFonts w:eastAsia="Times New Roman" w:cs="Arial"/>
          <w:color w:val="000000"/>
          <w:lang w:eastAsia="bg-BG"/>
        </w:rPr>
        <w:t xml:space="preserve">При лечение с клофарабин се съобщава за появата на ентероколит, включително неутропеничен колит, тифлит и причинен от </w:t>
      </w:r>
      <w:r w:rsidRPr="00A37BC8">
        <w:rPr>
          <w:rFonts w:eastAsia="Times New Roman" w:cs="Arial"/>
          <w:i/>
          <w:iCs/>
          <w:color w:val="000000"/>
          <w:lang w:eastAsia="bg-BG"/>
        </w:rPr>
        <w:t xml:space="preserve">С. </w:t>
      </w:r>
      <w:proofErr w:type="gramStart"/>
      <w:r w:rsidRPr="00A37BC8">
        <w:rPr>
          <w:rFonts w:eastAsia="Times New Roman" w:cs="Arial"/>
          <w:i/>
          <w:iCs/>
          <w:color w:val="000000"/>
          <w:lang w:val="en-US"/>
        </w:rPr>
        <w:t>difficile</w:t>
      </w:r>
      <w:proofErr w:type="gramEnd"/>
      <w:r w:rsidRPr="00A37BC8">
        <w:rPr>
          <w:rFonts w:eastAsia="Times New Roman" w:cs="Arial"/>
          <w:color w:val="000000"/>
          <w:lang w:val="ru-RU"/>
        </w:rPr>
        <w:t xml:space="preserve"> </w:t>
      </w:r>
      <w:r w:rsidRPr="00A37BC8">
        <w:rPr>
          <w:rFonts w:eastAsia="Times New Roman" w:cs="Arial"/>
          <w:color w:val="000000"/>
          <w:lang w:eastAsia="bg-BG"/>
        </w:rPr>
        <w:t>колит. Ентероколитьт може да доведе до некроза, перфорация или септични усложнения и може да е свързан с фатален изход (вж. точка 4.4).</w:t>
      </w:r>
    </w:p>
    <w:p w14:paraId="53BE35F8" w14:textId="77777777" w:rsidR="00A37BC8" w:rsidRPr="00A37BC8" w:rsidRDefault="00A37BC8" w:rsidP="00A37BC8">
      <w:pPr>
        <w:spacing w:line="240" w:lineRule="auto"/>
        <w:rPr>
          <w:rFonts w:eastAsia="Times New Roman" w:cs="Arial"/>
          <w:i/>
          <w:iCs/>
          <w:color w:val="000000"/>
          <w:u w:val="single"/>
          <w:lang w:eastAsia="bg-BG"/>
        </w:rPr>
      </w:pPr>
    </w:p>
    <w:p w14:paraId="4C5B0EAC" w14:textId="767A7A99" w:rsidR="00A37BC8" w:rsidRPr="00A37BC8" w:rsidRDefault="00A37BC8" w:rsidP="00A37BC8">
      <w:pPr>
        <w:spacing w:line="240" w:lineRule="auto"/>
        <w:rPr>
          <w:rFonts w:eastAsia="Times New Roman" w:cs="Arial"/>
        </w:rPr>
      </w:pPr>
      <w:r w:rsidRPr="00A37BC8">
        <w:rPr>
          <w:rFonts w:eastAsia="Times New Roman" w:cs="Arial"/>
          <w:i/>
          <w:iCs/>
          <w:color w:val="000000"/>
          <w:u w:val="single"/>
          <w:lang w:eastAsia="bg-BG"/>
        </w:rPr>
        <w:t>Нарушения на кожата и подкожната тъкан</w:t>
      </w:r>
    </w:p>
    <w:p w14:paraId="5C4EA816" w14:textId="77777777" w:rsidR="00A37BC8" w:rsidRPr="00A37BC8" w:rsidRDefault="00A37BC8" w:rsidP="00A37BC8">
      <w:pPr>
        <w:spacing w:line="240" w:lineRule="auto"/>
        <w:rPr>
          <w:rFonts w:eastAsia="Times New Roman" w:cs="Arial"/>
        </w:rPr>
      </w:pPr>
      <w:r w:rsidRPr="00A37BC8">
        <w:rPr>
          <w:rFonts w:eastAsia="Times New Roman" w:cs="Arial"/>
          <w:color w:val="000000"/>
          <w:lang w:eastAsia="bg-BG"/>
        </w:rPr>
        <w:t xml:space="preserve">Има съобщения за синдром на </w:t>
      </w:r>
      <w:r w:rsidRPr="00A37BC8">
        <w:rPr>
          <w:rFonts w:eastAsia="Times New Roman" w:cs="Arial"/>
          <w:color w:val="000000"/>
          <w:lang w:val="en-US"/>
        </w:rPr>
        <w:t>Stevens</w:t>
      </w:r>
      <w:r w:rsidRPr="00A37BC8">
        <w:rPr>
          <w:rFonts w:eastAsia="Times New Roman" w:cs="Arial"/>
          <w:color w:val="000000"/>
          <w:lang w:val="ru-RU"/>
        </w:rPr>
        <w:t xml:space="preserve"> </w:t>
      </w:r>
      <w:r w:rsidRPr="00A37BC8">
        <w:rPr>
          <w:rFonts w:eastAsia="Times New Roman" w:cs="Arial"/>
          <w:color w:val="000000"/>
          <w:lang w:eastAsia="bg-BG"/>
        </w:rPr>
        <w:t xml:space="preserve">- </w:t>
      </w:r>
      <w:r w:rsidRPr="00A37BC8">
        <w:rPr>
          <w:rFonts w:eastAsia="Times New Roman" w:cs="Arial"/>
          <w:color w:val="000000"/>
          <w:lang w:val="en-US"/>
        </w:rPr>
        <w:t>Johnson</w:t>
      </w:r>
      <w:r w:rsidRPr="00A37BC8">
        <w:rPr>
          <w:rFonts w:eastAsia="Times New Roman" w:cs="Arial"/>
          <w:color w:val="000000"/>
          <w:lang w:val="ru-RU"/>
        </w:rPr>
        <w:t xml:space="preserve"> </w:t>
      </w:r>
      <w:r w:rsidRPr="00A37BC8">
        <w:rPr>
          <w:rFonts w:eastAsia="Times New Roman" w:cs="Arial"/>
          <w:color w:val="000000"/>
          <w:lang w:eastAsia="bg-BG"/>
        </w:rPr>
        <w:t>и токсична епидермална некролиза, в това число и фатални случаи при пациенти, които получават или наскоро са лекувани с клофарабин. Има съобщения и за други ексфолиативни състояния.</w:t>
      </w:r>
    </w:p>
    <w:p w14:paraId="213AD704" w14:textId="77777777" w:rsidR="00A37BC8" w:rsidRPr="00A37BC8" w:rsidRDefault="00A37BC8" w:rsidP="00A37BC8">
      <w:pPr>
        <w:spacing w:line="240" w:lineRule="auto"/>
        <w:rPr>
          <w:rFonts w:eastAsia="Times New Roman" w:cs="Arial"/>
          <w:color w:val="000000"/>
          <w:u w:val="single"/>
          <w:lang w:eastAsia="bg-BG"/>
        </w:rPr>
      </w:pPr>
    </w:p>
    <w:p w14:paraId="50933865" w14:textId="432944A2" w:rsidR="00A37BC8" w:rsidRPr="00A37BC8" w:rsidRDefault="00A37BC8" w:rsidP="00A37BC8">
      <w:pPr>
        <w:spacing w:line="240" w:lineRule="auto"/>
        <w:rPr>
          <w:rFonts w:eastAsia="Times New Roman" w:cs="Arial"/>
        </w:rPr>
      </w:pPr>
      <w:r w:rsidRPr="00A37BC8">
        <w:rPr>
          <w:rFonts w:eastAsia="Times New Roman" w:cs="Arial"/>
          <w:color w:val="000000"/>
          <w:u w:val="single"/>
          <w:lang w:eastAsia="bg-BG"/>
        </w:rPr>
        <w:t>Съобщаване на подозирани нежелани реакции</w:t>
      </w:r>
    </w:p>
    <w:p w14:paraId="5BA20B75" w14:textId="77777777" w:rsidR="00A37BC8" w:rsidRPr="00A37BC8" w:rsidRDefault="00A37BC8" w:rsidP="00A37BC8">
      <w:pPr>
        <w:spacing w:line="240" w:lineRule="auto"/>
        <w:rPr>
          <w:rFonts w:eastAsia="Times New Roman" w:cs="Arial"/>
          <w:color w:val="000000"/>
          <w:lang w:eastAsia="bg-BG"/>
        </w:rPr>
      </w:pPr>
    </w:p>
    <w:p w14:paraId="28918399" w14:textId="695777F6" w:rsidR="00A37BC8" w:rsidRPr="00A37BC8" w:rsidRDefault="00A37BC8" w:rsidP="00A37BC8">
      <w:pPr>
        <w:spacing w:line="240" w:lineRule="auto"/>
        <w:rPr>
          <w:rFonts w:eastAsia="Times New Roman" w:cs="Arial"/>
          <w:lang w:val="ru-RU"/>
        </w:rPr>
      </w:pPr>
      <w:r w:rsidRPr="00A37BC8">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Изпълнителна агенция по лекарствата, ул.,Дамян Груев” № 8, 1303 София, тел.: +359 28903417, уебсайт: </w:t>
      </w:r>
      <w:r w:rsidRPr="00A37BC8">
        <w:rPr>
          <w:rFonts w:eastAsia="Times New Roman" w:cs="Arial"/>
        </w:rPr>
        <w:fldChar w:fldCharType="begin"/>
      </w:r>
      <w:r w:rsidRPr="00A37BC8">
        <w:rPr>
          <w:rFonts w:eastAsia="Times New Roman" w:cs="Arial"/>
        </w:rPr>
        <w:instrText xml:space="preserve"> HYPERLINK "http://www.bd" </w:instrText>
      </w:r>
      <w:r w:rsidRPr="00A37BC8">
        <w:rPr>
          <w:rFonts w:eastAsia="Times New Roman" w:cs="Arial"/>
        </w:rPr>
      </w:r>
      <w:r w:rsidRPr="00A37BC8">
        <w:rPr>
          <w:rFonts w:eastAsia="Times New Roman" w:cs="Arial"/>
        </w:rPr>
        <w:fldChar w:fldCharType="separate"/>
      </w:r>
      <w:r w:rsidRPr="00A37BC8">
        <w:rPr>
          <w:rFonts w:eastAsia="Times New Roman" w:cs="Arial"/>
          <w:color w:val="000000"/>
          <w:lang w:val="en-US"/>
        </w:rPr>
        <w:t>www</w:t>
      </w:r>
      <w:r w:rsidRPr="00A37BC8">
        <w:rPr>
          <w:rFonts w:eastAsia="Times New Roman" w:cs="Arial"/>
          <w:color w:val="000000"/>
          <w:lang w:val="ru-RU"/>
        </w:rPr>
        <w:t>.</w:t>
      </w:r>
      <w:proofErr w:type="spellStart"/>
      <w:r w:rsidRPr="00A37BC8">
        <w:rPr>
          <w:rFonts w:eastAsia="Times New Roman" w:cs="Arial"/>
          <w:color w:val="000000"/>
          <w:lang w:val="en-US"/>
        </w:rPr>
        <w:t>bd</w:t>
      </w:r>
      <w:r w:rsidRPr="00A37BC8">
        <w:rPr>
          <w:rFonts w:eastAsia="Times New Roman" w:cs="Arial"/>
        </w:rPr>
        <w:fldChar w:fldCharType="end"/>
      </w:r>
      <w:r w:rsidRPr="00A37BC8">
        <w:rPr>
          <w:rFonts w:eastAsia="Times New Roman" w:cs="Arial"/>
          <w:color w:val="000000"/>
          <w:u w:val="single"/>
          <w:lang w:val="en-US"/>
        </w:rPr>
        <w:t>a</w:t>
      </w:r>
      <w:proofErr w:type="spellEnd"/>
      <w:r w:rsidRPr="00A37BC8">
        <w:rPr>
          <w:rFonts w:eastAsia="Times New Roman" w:cs="Arial"/>
          <w:color w:val="000000"/>
          <w:u w:val="single"/>
          <w:lang w:val="ru-RU"/>
        </w:rPr>
        <w:t>.</w:t>
      </w:r>
      <w:proofErr w:type="spellStart"/>
      <w:r w:rsidRPr="00A37BC8">
        <w:rPr>
          <w:rFonts w:eastAsia="Times New Roman" w:cs="Arial"/>
          <w:color w:val="000000"/>
          <w:u w:val="single"/>
          <w:lang w:val="en-US"/>
        </w:rPr>
        <w:t>bg</w:t>
      </w:r>
      <w:proofErr w:type="spellEnd"/>
      <w:r w:rsidRPr="00A37BC8">
        <w:rPr>
          <w:rFonts w:eastAsia="Times New Roman" w:cs="Arial"/>
          <w:color w:val="000000"/>
          <w:u w:val="single"/>
          <w:lang w:val="ru-RU"/>
        </w:rPr>
        <w:t>.</w:t>
      </w:r>
    </w:p>
    <w:p w14:paraId="21B8D3C7" w14:textId="60590352" w:rsidR="00A37BC8" w:rsidRPr="00A37BC8" w:rsidRDefault="00A37BC8" w:rsidP="00A37BC8"/>
    <w:p w14:paraId="5A87DBA3" w14:textId="51E153E1" w:rsidR="007122AD" w:rsidRDefault="002C50EE" w:rsidP="00936AD0">
      <w:pPr>
        <w:pStyle w:val="Heading2"/>
      </w:pPr>
      <w:r>
        <w:t>4.9. Предозиране</w:t>
      </w:r>
    </w:p>
    <w:p w14:paraId="4C5BB894" w14:textId="75C4D76F" w:rsidR="00A37BC8" w:rsidRDefault="00A37BC8" w:rsidP="00A37BC8"/>
    <w:p w14:paraId="1B89BD14" w14:textId="321F764D" w:rsidR="00A37BC8" w:rsidRPr="00A37BC8" w:rsidRDefault="00A37BC8" w:rsidP="00A37BC8">
      <w:pPr>
        <w:pStyle w:val="Heading3"/>
        <w:rPr>
          <w:u w:val="single"/>
        </w:rPr>
      </w:pPr>
      <w:r w:rsidRPr="00A37BC8">
        <w:rPr>
          <w:u w:val="single"/>
        </w:rPr>
        <w:t>Симптоми</w:t>
      </w:r>
    </w:p>
    <w:p w14:paraId="6E6DFB08"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Няма съобщения за случаи на предозиране. Възможните симптоми на предозиране обаче, се очаква да включват гадене, повръщане, диария н тежка костно-мозъчна супресия. Досега, най- високата дневна доза, прилагана при хора, е 70 </w:t>
      </w:r>
      <w:r w:rsidRPr="00A37BC8">
        <w:rPr>
          <w:rFonts w:eastAsia="Times New Roman" w:cs="Arial"/>
          <w:color w:val="000000"/>
          <w:szCs w:val="20"/>
          <w:lang w:val="en-US"/>
        </w:rPr>
        <w:t>mg</w:t>
      </w:r>
      <w:r w:rsidRPr="00A37BC8">
        <w:rPr>
          <w:rFonts w:eastAsia="Times New Roman" w:cs="Arial"/>
          <w:color w:val="000000"/>
          <w:szCs w:val="20"/>
          <w:lang w:val="ru-RU"/>
        </w:rPr>
        <w:t>/</w:t>
      </w:r>
      <w:r w:rsidRPr="00A37BC8">
        <w:rPr>
          <w:rFonts w:eastAsia="Times New Roman" w:cs="Arial"/>
          <w:color w:val="000000"/>
          <w:szCs w:val="20"/>
          <w:lang w:val="en-US"/>
        </w:rPr>
        <w:t>m</w:t>
      </w:r>
      <w:r w:rsidRPr="00A37BC8">
        <w:rPr>
          <w:rFonts w:eastAsia="Times New Roman" w:cs="Arial"/>
          <w:color w:val="000000"/>
          <w:szCs w:val="20"/>
          <w:vertAlign w:val="superscript"/>
          <w:lang w:val="ru-RU"/>
        </w:rPr>
        <w:t>2</w:t>
      </w:r>
      <w:r w:rsidRPr="00A37BC8">
        <w:rPr>
          <w:rFonts w:eastAsia="Times New Roman" w:cs="Arial"/>
          <w:color w:val="000000"/>
          <w:szCs w:val="20"/>
          <w:lang w:val="ru-RU"/>
        </w:rPr>
        <w:t xml:space="preserve"> </w:t>
      </w:r>
      <w:r w:rsidRPr="00A37BC8">
        <w:rPr>
          <w:rFonts w:eastAsia="Times New Roman" w:cs="Arial"/>
          <w:color w:val="000000"/>
          <w:szCs w:val="20"/>
          <w:lang w:eastAsia="bg-BG"/>
        </w:rPr>
        <w:t>за 5 последователни дни (двама педиатрични пациенти с ОЛЛ). Токсичните реакции, наблюдавани при тези пациенти, включват повръщане, хипербилирубинемия, повишени стойности на трансаминазите и макулопапулозен обрив.</w:t>
      </w:r>
    </w:p>
    <w:p w14:paraId="35E5F1A9" w14:textId="77777777" w:rsidR="00A37BC8" w:rsidRPr="00A37BC8" w:rsidRDefault="00A37BC8" w:rsidP="00A37BC8">
      <w:pPr>
        <w:spacing w:line="240" w:lineRule="auto"/>
        <w:rPr>
          <w:rFonts w:eastAsia="Times New Roman" w:cs="Arial"/>
          <w:color w:val="000000"/>
          <w:szCs w:val="20"/>
          <w:u w:val="single"/>
          <w:lang w:eastAsia="bg-BG"/>
        </w:rPr>
      </w:pPr>
    </w:p>
    <w:p w14:paraId="0C4462B6" w14:textId="250E6FDB" w:rsidR="00A37BC8" w:rsidRPr="00A37BC8" w:rsidRDefault="00A37BC8" w:rsidP="00A37BC8">
      <w:pPr>
        <w:pStyle w:val="Heading3"/>
        <w:rPr>
          <w:rFonts w:eastAsia="Times New Roman"/>
          <w:sz w:val="28"/>
          <w:u w:val="single"/>
        </w:rPr>
      </w:pPr>
      <w:r w:rsidRPr="00A37BC8">
        <w:rPr>
          <w:rFonts w:eastAsia="Times New Roman"/>
          <w:u w:val="single"/>
          <w:lang w:eastAsia="bg-BG"/>
        </w:rPr>
        <w:t>Лечение</w:t>
      </w:r>
    </w:p>
    <w:p w14:paraId="0592478D" w14:textId="77777777" w:rsidR="00A37BC8" w:rsidRPr="00A37BC8" w:rsidRDefault="00A37BC8" w:rsidP="00A37BC8">
      <w:pPr>
        <w:spacing w:line="240" w:lineRule="auto"/>
        <w:rPr>
          <w:rFonts w:eastAsia="Times New Roman" w:cs="Arial"/>
          <w:color w:val="000000"/>
          <w:szCs w:val="20"/>
          <w:lang w:eastAsia="bg-BG"/>
        </w:rPr>
      </w:pPr>
    </w:p>
    <w:p w14:paraId="368B9CE3" w14:textId="5174B6B6"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Не съществува специфична антидотна терапия. Препоръчва се незабавно прекратяване на терапията, внимателно наблюдение и предприемане на подходящи поддържащи мерки.</w:t>
      </w:r>
    </w:p>
    <w:p w14:paraId="7C0A484A" w14:textId="77777777" w:rsidR="00A37BC8" w:rsidRPr="00A37BC8" w:rsidRDefault="00A37BC8" w:rsidP="00A37BC8"/>
    <w:p w14:paraId="02081B24" w14:textId="1F46E296" w:rsidR="00395555" w:rsidRPr="00395555" w:rsidRDefault="002C50EE" w:rsidP="008A6AF2">
      <w:pPr>
        <w:pStyle w:val="Heading1"/>
      </w:pPr>
      <w:r>
        <w:t>5. ФАРМАКОЛОГИЧНИ СВОЙСТВА</w:t>
      </w:r>
    </w:p>
    <w:p w14:paraId="7DE36AC8" w14:textId="6586F356" w:rsidR="00B6672E" w:rsidRDefault="002C50EE" w:rsidP="00936AD0">
      <w:pPr>
        <w:pStyle w:val="Heading2"/>
      </w:pPr>
      <w:r>
        <w:t>5.1. Фармакодинамични свойства</w:t>
      </w:r>
    </w:p>
    <w:p w14:paraId="053225F4" w14:textId="6FE6B0D8" w:rsidR="00A37BC8" w:rsidRDefault="00A37BC8" w:rsidP="00A37BC8"/>
    <w:p w14:paraId="7D5B1CDB"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Фармакотерапевтична група: Антинеопластични средства, антиметаболити, АТС код: </w:t>
      </w:r>
      <w:r w:rsidRPr="00A37BC8">
        <w:rPr>
          <w:rFonts w:eastAsia="Times New Roman" w:cs="Arial"/>
          <w:color w:val="000000"/>
          <w:szCs w:val="20"/>
          <w:lang w:val="en-US"/>
        </w:rPr>
        <w:t>L</w:t>
      </w:r>
      <w:r w:rsidRPr="00A37BC8">
        <w:rPr>
          <w:rFonts w:eastAsia="Times New Roman" w:cs="Arial"/>
          <w:color w:val="000000"/>
          <w:szCs w:val="20"/>
          <w:lang w:val="ru-RU"/>
        </w:rPr>
        <w:t>01</w:t>
      </w:r>
      <w:r w:rsidRPr="00A37BC8">
        <w:rPr>
          <w:rFonts w:eastAsia="Times New Roman" w:cs="Arial"/>
          <w:color w:val="000000"/>
          <w:szCs w:val="20"/>
          <w:lang w:val="en-US"/>
        </w:rPr>
        <w:t>BB</w:t>
      </w:r>
      <w:r w:rsidRPr="00A37BC8">
        <w:rPr>
          <w:rFonts w:eastAsia="Times New Roman" w:cs="Arial"/>
          <w:color w:val="000000"/>
          <w:szCs w:val="20"/>
          <w:lang w:val="ru-RU"/>
        </w:rPr>
        <w:t>06,</w:t>
      </w:r>
    </w:p>
    <w:p w14:paraId="1BD49C5B" w14:textId="77777777" w:rsidR="00A37BC8" w:rsidRPr="00A37BC8" w:rsidRDefault="00A37BC8" w:rsidP="00A37BC8">
      <w:pPr>
        <w:spacing w:line="240" w:lineRule="auto"/>
        <w:rPr>
          <w:rFonts w:eastAsia="Times New Roman" w:cs="Arial"/>
          <w:color w:val="000000"/>
          <w:szCs w:val="20"/>
          <w:u w:val="single"/>
          <w:lang w:eastAsia="bg-BG"/>
        </w:rPr>
      </w:pPr>
    </w:p>
    <w:p w14:paraId="2B6EF97E" w14:textId="094449EC"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u w:val="single"/>
          <w:lang w:eastAsia="bg-BG"/>
        </w:rPr>
        <w:t>Механизъм на действие</w:t>
      </w:r>
    </w:p>
    <w:p w14:paraId="157C464F" w14:textId="77777777" w:rsidR="00A37BC8" w:rsidRPr="00A37BC8" w:rsidRDefault="00A37BC8" w:rsidP="00A37BC8">
      <w:pPr>
        <w:spacing w:line="240" w:lineRule="auto"/>
        <w:rPr>
          <w:rFonts w:eastAsia="Times New Roman" w:cs="Arial"/>
          <w:color w:val="000000"/>
          <w:szCs w:val="20"/>
          <w:lang w:eastAsia="bg-BG"/>
        </w:rPr>
      </w:pPr>
    </w:p>
    <w:p w14:paraId="5B661B08" w14:textId="467F1CAF"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Клофарабин е антиметаболит на пуриновите нуклеозиди. Смята се, че неговата антитуморна активност се дължи на 3 механизма:</w:t>
      </w:r>
    </w:p>
    <w:p w14:paraId="5DCA5E56" w14:textId="77777777" w:rsidR="00A37BC8" w:rsidRPr="00A37BC8" w:rsidRDefault="00A37BC8" w:rsidP="00A37BC8">
      <w:pPr>
        <w:pStyle w:val="ListParagraph"/>
        <w:numPr>
          <w:ilvl w:val="0"/>
          <w:numId w:val="39"/>
        </w:numPr>
        <w:spacing w:line="240" w:lineRule="auto"/>
        <w:rPr>
          <w:rFonts w:eastAsia="Times New Roman" w:cs="Arial"/>
          <w:color w:val="000000"/>
          <w:szCs w:val="20"/>
          <w:lang w:eastAsia="bg-BG"/>
        </w:rPr>
      </w:pPr>
      <w:r w:rsidRPr="00A37BC8">
        <w:rPr>
          <w:rFonts w:eastAsia="Times New Roman" w:cs="Arial"/>
          <w:color w:val="000000"/>
          <w:szCs w:val="20"/>
          <w:lang w:eastAsia="bg-BG"/>
        </w:rPr>
        <w:t>Инхибиране на ДНК полимераза а, което води до спиране на елонгацията на ДНК веригата и/или ДНК синтезата/репарацията;</w:t>
      </w:r>
    </w:p>
    <w:p w14:paraId="7764E2C5" w14:textId="77777777" w:rsidR="00A37BC8" w:rsidRPr="00A37BC8" w:rsidRDefault="00A37BC8" w:rsidP="00A37BC8">
      <w:pPr>
        <w:pStyle w:val="ListParagraph"/>
        <w:numPr>
          <w:ilvl w:val="0"/>
          <w:numId w:val="39"/>
        </w:numPr>
        <w:spacing w:line="240" w:lineRule="auto"/>
        <w:rPr>
          <w:rFonts w:eastAsia="Times New Roman" w:cs="Arial"/>
          <w:color w:val="000000"/>
          <w:szCs w:val="20"/>
          <w:lang w:eastAsia="bg-BG"/>
        </w:rPr>
      </w:pPr>
      <w:r w:rsidRPr="00A37BC8">
        <w:rPr>
          <w:rFonts w:eastAsia="Times New Roman" w:cs="Arial"/>
          <w:color w:val="000000"/>
          <w:szCs w:val="20"/>
          <w:lang w:eastAsia="bg-BG"/>
        </w:rPr>
        <w:t>Инхибиране на рибонуклеотид редуктазата с редукция на клетъчните пулове от дезоксинуклеотид трифосфат (дНТФ);</w:t>
      </w:r>
    </w:p>
    <w:p w14:paraId="2CB39C59" w14:textId="167A92F8" w:rsidR="00A37BC8" w:rsidRPr="00A37BC8" w:rsidRDefault="00A37BC8" w:rsidP="00A37BC8">
      <w:pPr>
        <w:pStyle w:val="ListParagraph"/>
        <w:numPr>
          <w:ilvl w:val="0"/>
          <w:numId w:val="39"/>
        </w:numPr>
        <w:spacing w:line="240" w:lineRule="auto"/>
        <w:rPr>
          <w:rFonts w:eastAsia="Times New Roman" w:cs="Arial"/>
          <w:color w:val="000000"/>
          <w:szCs w:val="20"/>
          <w:lang w:eastAsia="bg-BG"/>
        </w:rPr>
      </w:pPr>
      <w:r w:rsidRPr="00A37BC8">
        <w:rPr>
          <w:rFonts w:eastAsia="Times New Roman" w:cs="Arial"/>
          <w:color w:val="000000"/>
          <w:szCs w:val="20"/>
          <w:lang w:eastAsia="bg-BG"/>
        </w:rPr>
        <w:t>Нарушаване целостта на митохондриалната мембрана с освобождаване на цитохром С и на други проапоптотични фактори, което води до програмирана клетъчна смърт дори при неделящи се лимфоцити.</w:t>
      </w:r>
    </w:p>
    <w:p w14:paraId="2158AFA8" w14:textId="77777777" w:rsidR="00A37BC8" w:rsidRPr="00A37BC8" w:rsidRDefault="00A37BC8" w:rsidP="00A37BC8">
      <w:pPr>
        <w:spacing w:line="240" w:lineRule="auto"/>
        <w:rPr>
          <w:rFonts w:eastAsia="Times New Roman" w:cs="Arial"/>
          <w:color w:val="000000"/>
          <w:szCs w:val="20"/>
          <w:lang w:eastAsia="bg-BG"/>
        </w:rPr>
      </w:pPr>
    </w:p>
    <w:p w14:paraId="0181BF7A" w14:textId="745CA5FC"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Първо, клофарабин трябва да дифузира или да бъде транспортиран до таргетните клетки, където се подлага на последователно фосфорилиране до моно- и бифосфат от вътреклетъчните кинази и накрая до активния конюгат - клофарабин 5’-трифосфат. Клофарабин има висок афинитет към един от активиращите фосфорилиращи ензими - дезоксицитидин киназа - който е по-висок от този на природния субстрат - дезоксицитидин.</w:t>
      </w:r>
    </w:p>
    <w:p w14:paraId="527AF6EE" w14:textId="77777777" w:rsidR="00A37BC8" w:rsidRPr="00A37BC8" w:rsidRDefault="00A37BC8" w:rsidP="00A37BC8">
      <w:pPr>
        <w:spacing w:line="240" w:lineRule="auto"/>
        <w:rPr>
          <w:rFonts w:eastAsia="Times New Roman" w:cs="Arial"/>
          <w:color w:val="000000"/>
          <w:szCs w:val="20"/>
          <w:lang w:eastAsia="bg-BG"/>
        </w:rPr>
      </w:pPr>
    </w:p>
    <w:p w14:paraId="699B6730" w14:textId="6257844A"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В допълнение, клофарабин притежава по-голяма резистентност към клетъчно разграждане от аденозин деаминазата и намалена податливост към фосфоролитично разцепване, отколкото другите активни вещества от своя клас, докато афинитетът на клофарабин трифосфат към ДНК полимераза α и рибонуклеотид редуктазата е подобен или е по-голям от този на дезоксиаденозин трифосфат.</w:t>
      </w:r>
    </w:p>
    <w:p w14:paraId="430C3A8F" w14:textId="77777777" w:rsidR="00A37BC8" w:rsidRPr="00A37BC8" w:rsidRDefault="00A37BC8" w:rsidP="00A37BC8">
      <w:pPr>
        <w:spacing w:line="240" w:lineRule="auto"/>
        <w:rPr>
          <w:rFonts w:eastAsia="Times New Roman" w:cs="Arial"/>
          <w:color w:val="000000"/>
          <w:szCs w:val="20"/>
          <w:u w:val="single"/>
          <w:lang w:eastAsia="bg-BG"/>
        </w:rPr>
      </w:pPr>
    </w:p>
    <w:p w14:paraId="09D27B4D" w14:textId="525FDF74"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u w:val="single"/>
          <w:lang w:eastAsia="bg-BG"/>
        </w:rPr>
        <w:t>Фармакодинамични ефекти</w:t>
      </w:r>
    </w:p>
    <w:p w14:paraId="7EFBE765" w14:textId="77777777" w:rsidR="00A37BC8" w:rsidRPr="00A37BC8" w:rsidRDefault="00A37BC8" w:rsidP="00A37BC8">
      <w:pPr>
        <w:spacing w:line="240" w:lineRule="auto"/>
        <w:rPr>
          <w:rFonts w:eastAsia="Times New Roman" w:cs="Arial"/>
          <w:i/>
          <w:iCs/>
          <w:color w:val="000000"/>
          <w:szCs w:val="20"/>
          <w:lang w:val="en-US"/>
        </w:rPr>
      </w:pPr>
    </w:p>
    <w:p w14:paraId="6AD0F643" w14:textId="472F5C7C"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lang w:val="en-US"/>
        </w:rPr>
        <w:t>In</w:t>
      </w:r>
      <w:r w:rsidRPr="00A37BC8">
        <w:rPr>
          <w:rFonts w:eastAsia="Times New Roman" w:cs="Arial"/>
          <w:i/>
          <w:iCs/>
          <w:color w:val="000000"/>
          <w:szCs w:val="20"/>
          <w:lang w:val="ru-RU"/>
        </w:rPr>
        <w:t xml:space="preserve"> </w:t>
      </w:r>
      <w:r w:rsidRPr="00A37BC8">
        <w:rPr>
          <w:rFonts w:eastAsia="Times New Roman" w:cs="Arial"/>
          <w:i/>
          <w:iCs/>
          <w:color w:val="000000"/>
          <w:szCs w:val="20"/>
          <w:lang w:val="en-US"/>
        </w:rPr>
        <w:t>vitro</w:t>
      </w:r>
      <w:r w:rsidRPr="00A37BC8">
        <w:rPr>
          <w:rFonts w:eastAsia="Times New Roman" w:cs="Arial"/>
          <w:color w:val="000000"/>
          <w:szCs w:val="20"/>
          <w:lang w:val="ru-RU"/>
        </w:rPr>
        <w:t xml:space="preserve"> </w:t>
      </w:r>
      <w:r w:rsidRPr="00A37BC8">
        <w:rPr>
          <w:rFonts w:eastAsia="Times New Roman" w:cs="Arial"/>
          <w:color w:val="000000"/>
          <w:szCs w:val="20"/>
          <w:lang w:eastAsia="bg-BG"/>
        </w:rPr>
        <w:t>проучвания показват, че клофарабин инхибира клетъчния растеж и е цититоксичен за редица бързо пролифериращи хематологични клетъчни линии и клетъчни линии от солидни тумори. Той е активен и срещу лимфоцити и макрофаги в латентно състояние. В допълнение, клофарабин забавя туморния растеж и в някои случаи причинява туморна регресия в подбрани човешки и миши ксенотрансплантати, имплантирани на мишки.</w:t>
      </w:r>
    </w:p>
    <w:p w14:paraId="287913EC" w14:textId="77777777" w:rsidR="00A37BC8" w:rsidRPr="00A37BC8" w:rsidRDefault="00A37BC8" w:rsidP="00A37BC8">
      <w:pPr>
        <w:rPr>
          <w:rFonts w:eastAsia="Times New Roman" w:cs="Arial"/>
          <w:color w:val="000000"/>
          <w:szCs w:val="20"/>
          <w:u w:val="single"/>
          <w:lang w:eastAsia="bg-BG"/>
        </w:rPr>
      </w:pPr>
    </w:p>
    <w:p w14:paraId="001B38F2" w14:textId="47FE0BC4" w:rsidR="00A37BC8" w:rsidRPr="00A37BC8" w:rsidRDefault="00A37BC8" w:rsidP="00A37BC8">
      <w:pPr>
        <w:rPr>
          <w:rFonts w:eastAsia="Times New Roman" w:cs="Arial"/>
          <w:color w:val="000000"/>
          <w:szCs w:val="20"/>
          <w:u w:val="single"/>
          <w:lang w:eastAsia="bg-BG"/>
        </w:rPr>
      </w:pPr>
      <w:r w:rsidRPr="00A37BC8">
        <w:rPr>
          <w:rFonts w:eastAsia="Times New Roman" w:cs="Arial"/>
          <w:color w:val="000000"/>
          <w:szCs w:val="20"/>
          <w:u w:val="single"/>
          <w:lang w:eastAsia="bg-BG"/>
        </w:rPr>
        <w:t>Клинична ефикасност и безопасност</w:t>
      </w:r>
    </w:p>
    <w:p w14:paraId="78163F88" w14:textId="089042BD" w:rsidR="00A37BC8" w:rsidRPr="00A37BC8" w:rsidRDefault="00A37BC8" w:rsidP="00A37BC8">
      <w:pPr>
        <w:rPr>
          <w:rFonts w:eastAsia="Times New Roman" w:cs="Arial"/>
          <w:color w:val="000000"/>
          <w:szCs w:val="20"/>
          <w:u w:val="single"/>
          <w:lang w:eastAsia="bg-BG"/>
        </w:rPr>
      </w:pPr>
    </w:p>
    <w:p w14:paraId="79BDEEF2" w14:textId="77777777"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lang w:eastAsia="bg-BG"/>
        </w:rPr>
        <w:t>Клинична ефикасност:</w:t>
      </w:r>
      <w:r w:rsidRPr="00A37BC8">
        <w:rPr>
          <w:rFonts w:eastAsia="Times New Roman" w:cs="Arial"/>
          <w:color w:val="000000"/>
          <w:szCs w:val="20"/>
          <w:lang w:eastAsia="bg-BG"/>
        </w:rPr>
        <w:t xml:space="preserve"> За да стане възможно извършването на систематична оценка на отговорите, наблюдавани при пациентите, независима комисия за преценка на повлияването от терапията </w:t>
      </w:r>
      <w:r w:rsidRPr="00A37BC8">
        <w:rPr>
          <w:rFonts w:eastAsia="Times New Roman" w:cs="Arial"/>
          <w:color w:val="000000"/>
          <w:szCs w:val="20"/>
          <w:lang w:val="ru-RU"/>
        </w:rPr>
        <w:t>(</w:t>
      </w:r>
      <w:r w:rsidRPr="00A37BC8">
        <w:rPr>
          <w:rFonts w:eastAsia="Times New Roman" w:cs="Arial"/>
          <w:color w:val="000000"/>
          <w:szCs w:val="20"/>
          <w:lang w:val="en-US"/>
        </w:rPr>
        <w:t>Independent</w:t>
      </w:r>
      <w:r w:rsidRPr="00A37BC8">
        <w:rPr>
          <w:rFonts w:eastAsia="Times New Roman" w:cs="Arial"/>
          <w:color w:val="000000"/>
          <w:szCs w:val="20"/>
          <w:lang w:val="ru-RU"/>
        </w:rPr>
        <w:t xml:space="preserve"> </w:t>
      </w:r>
      <w:r w:rsidRPr="00A37BC8">
        <w:rPr>
          <w:rFonts w:eastAsia="Times New Roman" w:cs="Arial"/>
          <w:color w:val="000000"/>
          <w:szCs w:val="20"/>
          <w:lang w:val="en-US"/>
        </w:rPr>
        <w:t>Response</w:t>
      </w:r>
      <w:r w:rsidRPr="00A37BC8">
        <w:rPr>
          <w:rFonts w:eastAsia="Times New Roman" w:cs="Arial"/>
          <w:color w:val="000000"/>
          <w:szCs w:val="20"/>
          <w:lang w:val="ru-RU"/>
        </w:rPr>
        <w:t xml:space="preserve"> </w:t>
      </w:r>
      <w:r w:rsidRPr="00A37BC8">
        <w:rPr>
          <w:rFonts w:eastAsia="Times New Roman" w:cs="Arial"/>
          <w:color w:val="000000"/>
          <w:szCs w:val="20"/>
          <w:lang w:val="en-US"/>
        </w:rPr>
        <w:t>Review</w:t>
      </w:r>
      <w:r w:rsidRPr="00A37BC8">
        <w:rPr>
          <w:rFonts w:eastAsia="Times New Roman" w:cs="Arial"/>
          <w:color w:val="000000"/>
          <w:szCs w:val="20"/>
          <w:lang w:val="ru-RU"/>
        </w:rPr>
        <w:t xml:space="preserve"> </w:t>
      </w:r>
      <w:r w:rsidRPr="00A37BC8">
        <w:rPr>
          <w:rFonts w:eastAsia="Times New Roman" w:cs="Arial"/>
          <w:color w:val="000000"/>
          <w:szCs w:val="20"/>
          <w:lang w:val="en-US"/>
        </w:rPr>
        <w:t>Panel</w:t>
      </w:r>
      <w:r w:rsidRPr="00A37BC8">
        <w:rPr>
          <w:rFonts w:eastAsia="Times New Roman" w:cs="Arial"/>
          <w:color w:val="000000"/>
          <w:szCs w:val="20"/>
          <w:lang w:val="ru-RU"/>
        </w:rPr>
        <w:t xml:space="preserve">, </w:t>
      </w:r>
      <w:r w:rsidRPr="00A37BC8">
        <w:rPr>
          <w:rFonts w:eastAsia="Times New Roman" w:cs="Arial"/>
          <w:color w:val="000000"/>
          <w:szCs w:val="20"/>
          <w:lang w:val="en-US"/>
        </w:rPr>
        <w:t>IRRP</w:t>
      </w:r>
      <w:r w:rsidRPr="00A37BC8">
        <w:rPr>
          <w:rFonts w:eastAsia="Times New Roman" w:cs="Arial"/>
          <w:color w:val="000000"/>
          <w:szCs w:val="20"/>
          <w:lang w:val="ru-RU"/>
        </w:rPr>
        <w:t xml:space="preserve">) </w:t>
      </w:r>
      <w:r w:rsidRPr="00A37BC8">
        <w:rPr>
          <w:rFonts w:eastAsia="Times New Roman" w:cs="Arial"/>
          <w:color w:val="000000"/>
          <w:szCs w:val="20"/>
          <w:lang w:eastAsia="bg-BG"/>
        </w:rPr>
        <w:t xml:space="preserve">определя следните степени на отговор въз основа на определенията, дадени от групата по детска онкология </w:t>
      </w:r>
      <w:r w:rsidRPr="00A37BC8">
        <w:rPr>
          <w:rFonts w:eastAsia="Times New Roman" w:cs="Arial"/>
          <w:color w:val="000000"/>
          <w:szCs w:val="20"/>
          <w:lang w:val="ru-RU"/>
        </w:rPr>
        <w:t>(</w:t>
      </w:r>
      <w:r w:rsidRPr="00A37BC8">
        <w:rPr>
          <w:rFonts w:eastAsia="Times New Roman" w:cs="Arial"/>
          <w:color w:val="000000"/>
          <w:szCs w:val="20"/>
          <w:lang w:val="en-US"/>
        </w:rPr>
        <w:t>Children</w:t>
      </w:r>
      <w:r w:rsidRPr="00A37BC8">
        <w:rPr>
          <w:rFonts w:eastAsia="Times New Roman" w:cs="Arial"/>
          <w:color w:val="000000"/>
          <w:szCs w:val="20"/>
          <w:lang w:val="ru-RU"/>
        </w:rPr>
        <w:t>’</w:t>
      </w:r>
      <w:r w:rsidRPr="00A37BC8">
        <w:rPr>
          <w:rFonts w:eastAsia="Times New Roman" w:cs="Arial"/>
          <w:color w:val="000000"/>
          <w:szCs w:val="20"/>
          <w:lang w:val="en-US"/>
        </w:rPr>
        <w:t>s</w:t>
      </w:r>
      <w:r w:rsidRPr="00A37BC8">
        <w:rPr>
          <w:rFonts w:eastAsia="Times New Roman" w:cs="Arial"/>
          <w:color w:val="000000"/>
          <w:szCs w:val="20"/>
          <w:lang w:val="ru-RU"/>
        </w:rPr>
        <w:t xml:space="preserve"> </w:t>
      </w:r>
      <w:r w:rsidRPr="00A37BC8">
        <w:rPr>
          <w:rFonts w:eastAsia="Times New Roman" w:cs="Arial"/>
          <w:color w:val="000000"/>
          <w:szCs w:val="20"/>
          <w:lang w:val="en-US"/>
        </w:rPr>
        <w:t>Oncology</w:t>
      </w:r>
      <w:r w:rsidRPr="00A37BC8">
        <w:rPr>
          <w:rFonts w:eastAsia="Times New Roman" w:cs="Arial"/>
          <w:color w:val="000000"/>
          <w:szCs w:val="20"/>
          <w:lang w:val="ru-RU"/>
        </w:rPr>
        <w:t xml:space="preserve"> </w:t>
      </w:r>
      <w:r w:rsidRPr="00A37BC8">
        <w:rPr>
          <w:rFonts w:eastAsia="Times New Roman" w:cs="Arial"/>
          <w:color w:val="000000"/>
          <w:szCs w:val="20"/>
          <w:lang w:val="en-US"/>
        </w:rPr>
        <w:t>Group</w:t>
      </w:r>
      <w:r w:rsidRPr="00A37BC8">
        <w:rPr>
          <w:rFonts w:eastAsia="Times New Roman" w:cs="Arial"/>
          <w:color w:val="000000"/>
          <w:szCs w:val="20"/>
          <w:lang w:val="ru-RU"/>
        </w:rPr>
        <w:t>):</w:t>
      </w:r>
    </w:p>
    <w:p w14:paraId="7EF79F5B" w14:textId="07DF2005" w:rsidR="00A37BC8" w:rsidRDefault="00A37BC8" w:rsidP="00A37BC8"/>
    <w:tbl>
      <w:tblPr>
        <w:tblStyle w:val="TableGrid"/>
        <w:tblW w:w="0" w:type="auto"/>
        <w:tblLook w:val="04A0" w:firstRow="1" w:lastRow="0" w:firstColumn="1" w:lastColumn="0" w:noHBand="0" w:noVBand="1"/>
      </w:tblPr>
      <w:tblGrid>
        <w:gridCol w:w="4655"/>
        <w:gridCol w:w="4695"/>
      </w:tblGrid>
      <w:tr w:rsidR="00A37BC8" w14:paraId="615DA319" w14:textId="77777777" w:rsidTr="00A37BC8">
        <w:tc>
          <w:tcPr>
            <w:tcW w:w="4788" w:type="dxa"/>
          </w:tcPr>
          <w:p w14:paraId="0AE6E961" w14:textId="79E26BDA" w:rsidR="00A37BC8" w:rsidRPr="00A37BC8" w:rsidRDefault="00A37BC8" w:rsidP="00A37BC8">
            <w:r w:rsidRPr="00A37BC8">
              <w:rPr>
                <w:szCs w:val="20"/>
                <w:lang w:val="en-US"/>
              </w:rPr>
              <w:t>CR =</w:t>
            </w:r>
            <w:r w:rsidRPr="00A37BC8">
              <w:rPr>
                <w:szCs w:val="20"/>
              </w:rPr>
              <w:t xml:space="preserve"> Пълна ремисия</w:t>
            </w:r>
          </w:p>
        </w:tc>
        <w:tc>
          <w:tcPr>
            <w:tcW w:w="4788" w:type="dxa"/>
          </w:tcPr>
          <w:p w14:paraId="7E508BD1" w14:textId="77777777" w:rsidR="00A37BC8" w:rsidRPr="00A37BC8" w:rsidRDefault="00A37BC8" w:rsidP="00A37BC8">
            <w:r w:rsidRPr="00A37BC8">
              <w:rPr>
                <w:szCs w:val="20"/>
              </w:rPr>
              <w:t>Пациенти, които отговарят на всеки един от следните критерии:</w:t>
            </w:r>
          </w:p>
          <w:p w14:paraId="1FFF7DC9" w14:textId="77777777" w:rsidR="00A37BC8" w:rsidRDefault="00A37BC8" w:rsidP="00A37BC8">
            <w:pPr>
              <w:pStyle w:val="ListParagraph"/>
              <w:numPr>
                <w:ilvl w:val="0"/>
                <w:numId w:val="40"/>
              </w:numPr>
              <w:spacing w:line="240" w:lineRule="auto"/>
              <w:rPr>
                <w:szCs w:val="20"/>
              </w:rPr>
            </w:pPr>
            <w:r w:rsidRPr="00A37BC8">
              <w:rPr>
                <w:szCs w:val="20"/>
              </w:rPr>
              <w:t>Без данни за циркулиращи бласти или екстрамедуларна болест;</w:t>
            </w:r>
          </w:p>
          <w:p w14:paraId="2F9050C2" w14:textId="77777777" w:rsidR="00A37BC8" w:rsidRDefault="00A37BC8" w:rsidP="00A37BC8">
            <w:pPr>
              <w:pStyle w:val="ListParagraph"/>
              <w:numPr>
                <w:ilvl w:val="0"/>
                <w:numId w:val="40"/>
              </w:numPr>
              <w:spacing w:line="240" w:lineRule="auto"/>
              <w:rPr>
                <w:szCs w:val="20"/>
              </w:rPr>
            </w:pPr>
            <w:r w:rsidRPr="00A37BC8">
              <w:rPr>
                <w:szCs w:val="20"/>
              </w:rPr>
              <w:t>М1 костен мозък (≤ 5% бласти);</w:t>
            </w:r>
          </w:p>
          <w:p w14:paraId="5793EFA6" w14:textId="56BD19B6" w:rsidR="00A37BC8" w:rsidRPr="00A37BC8" w:rsidRDefault="00A37BC8" w:rsidP="00A37BC8">
            <w:pPr>
              <w:pStyle w:val="ListParagraph"/>
              <w:numPr>
                <w:ilvl w:val="0"/>
                <w:numId w:val="40"/>
              </w:numPr>
              <w:spacing w:line="240" w:lineRule="auto"/>
              <w:rPr>
                <w:szCs w:val="20"/>
              </w:rPr>
            </w:pPr>
            <w:r w:rsidRPr="00A37BC8">
              <w:rPr>
                <w:szCs w:val="20"/>
              </w:rPr>
              <w:t>Възстановяване на периферния брой (тромбоцити &lt; 100 х 10</w:t>
            </w:r>
            <w:r w:rsidRPr="00A37BC8">
              <w:rPr>
                <w:szCs w:val="20"/>
                <w:vertAlign w:val="superscript"/>
              </w:rPr>
              <w:t>9</w:t>
            </w:r>
            <w:r w:rsidRPr="00A37BC8">
              <w:rPr>
                <w:szCs w:val="20"/>
              </w:rPr>
              <w:t>/1 и АБН ≥ 1,0 х 1071).</w:t>
            </w:r>
          </w:p>
        </w:tc>
      </w:tr>
      <w:tr w:rsidR="00A37BC8" w14:paraId="2B1CB0BC" w14:textId="77777777" w:rsidTr="00A37BC8">
        <w:tc>
          <w:tcPr>
            <w:tcW w:w="4788" w:type="dxa"/>
          </w:tcPr>
          <w:p w14:paraId="6046D038" w14:textId="2A563C27" w:rsidR="00A37BC8" w:rsidRPr="00A37BC8" w:rsidRDefault="00A37BC8" w:rsidP="00A37BC8">
            <w:proofErr w:type="spellStart"/>
            <w:r w:rsidRPr="00A37BC8">
              <w:rPr>
                <w:szCs w:val="20"/>
                <w:lang w:val="en-US"/>
              </w:rPr>
              <w:t>CRp</w:t>
            </w:r>
            <w:proofErr w:type="spellEnd"/>
            <w:r w:rsidRPr="00A37BC8">
              <w:rPr>
                <w:szCs w:val="20"/>
                <w:lang w:val="ru-RU"/>
              </w:rPr>
              <w:t xml:space="preserve"> </w:t>
            </w:r>
            <w:r w:rsidRPr="00A37BC8">
              <w:rPr>
                <w:szCs w:val="20"/>
              </w:rPr>
              <w:t>= Пълна ремисия без възстановяване на общия тромбоцитен брой</w:t>
            </w:r>
          </w:p>
        </w:tc>
        <w:tc>
          <w:tcPr>
            <w:tcW w:w="4788" w:type="dxa"/>
          </w:tcPr>
          <w:p w14:paraId="17AEE1E4" w14:textId="56E4E79C" w:rsidR="00A37BC8" w:rsidRPr="00A37BC8" w:rsidRDefault="00A37BC8" w:rsidP="00A37BC8">
            <w:pPr>
              <w:pStyle w:val="ListParagraph"/>
              <w:numPr>
                <w:ilvl w:val="0"/>
                <w:numId w:val="41"/>
              </w:numPr>
            </w:pPr>
            <w:r w:rsidRPr="00A37BC8">
              <w:rPr>
                <w:szCs w:val="20"/>
              </w:rPr>
              <w:t xml:space="preserve">Пациенти, които отговарят на всички критерии за </w:t>
            </w:r>
            <w:r w:rsidRPr="00A37BC8">
              <w:rPr>
                <w:szCs w:val="20"/>
                <w:lang w:val="en-US"/>
              </w:rPr>
              <w:t>CR</w:t>
            </w:r>
            <w:r w:rsidRPr="00A37BC8">
              <w:rPr>
                <w:szCs w:val="20"/>
                <w:lang w:val="ru-RU"/>
              </w:rPr>
              <w:t xml:space="preserve">, </w:t>
            </w:r>
            <w:r w:rsidRPr="00A37BC8">
              <w:rPr>
                <w:szCs w:val="20"/>
              </w:rPr>
              <w:t xml:space="preserve">с </w:t>
            </w:r>
            <w:r w:rsidRPr="00A37BC8">
              <w:rPr>
                <w:szCs w:val="20"/>
              </w:rPr>
              <w:lastRenderedPageBreak/>
              <w:t>изключение на възстановяване на тромбоцитния брой до &gt; 100 х 10</w:t>
            </w:r>
            <w:r w:rsidRPr="00A37BC8">
              <w:rPr>
                <w:szCs w:val="20"/>
                <w:vertAlign w:val="superscript"/>
              </w:rPr>
              <w:t>9</w:t>
            </w:r>
            <w:r w:rsidRPr="00A37BC8">
              <w:rPr>
                <w:szCs w:val="20"/>
              </w:rPr>
              <w:t>/1.</w:t>
            </w:r>
          </w:p>
        </w:tc>
      </w:tr>
      <w:tr w:rsidR="00A37BC8" w14:paraId="5F9CCE1D" w14:textId="77777777" w:rsidTr="00A37BC8">
        <w:tc>
          <w:tcPr>
            <w:tcW w:w="4788" w:type="dxa"/>
          </w:tcPr>
          <w:p w14:paraId="06B4EC06" w14:textId="5E655C86" w:rsidR="00A37BC8" w:rsidRPr="00A37BC8" w:rsidRDefault="00A37BC8" w:rsidP="00A37BC8">
            <w:r w:rsidRPr="00A37BC8">
              <w:rPr>
                <w:szCs w:val="20"/>
                <w:lang w:val="en-US"/>
              </w:rPr>
              <w:lastRenderedPageBreak/>
              <w:t xml:space="preserve">PR </w:t>
            </w:r>
            <w:r w:rsidRPr="00A37BC8">
              <w:rPr>
                <w:szCs w:val="20"/>
              </w:rPr>
              <w:t>= Частична ремисия</w:t>
            </w:r>
          </w:p>
        </w:tc>
        <w:tc>
          <w:tcPr>
            <w:tcW w:w="4788" w:type="dxa"/>
          </w:tcPr>
          <w:p w14:paraId="719B71E5" w14:textId="77777777" w:rsidR="00A37BC8" w:rsidRPr="00A37BC8" w:rsidRDefault="00A37BC8" w:rsidP="00A37BC8">
            <w:r w:rsidRPr="00A37BC8">
              <w:rPr>
                <w:szCs w:val="20"/>
              </w:rPr>
              <w:t>Пациенти, които отговарят на следните критерии:</w:t>
            </w:r>
          </w:p>
          <w:p w14:paraId="4C339690" w14:textId="77777777" w:rsidR="00A37BC8" w:rsidRDefault="00A37BC8" w:rsidP="00A37BC8">
            <w:pPr>
              <w:pStyle w:val="ListParagraph"/>
              <w:numPr>
                <w:ilvl w:val="0"/>
                <w:numId w:val="41"/>
              </w:numPr>
              <w:spacing w:line="240" w:lineRule="auto"/>
              <w:rPr>
                <w:szCs w:val="20"/>
              </w:rPr>
            </w:pPr>
            <w:r w:rsidRPr="00A37BC8">
              <w:rPr>
                <w:szCs w:val="20"/>
              </w:rPr>
              <w:t>Пълно изчезване на циркулиращите бласти;</w:t>
            </w:r>
          </w:p>
          <w:p w14:paraId="45C42288" w14:textId="77777777" w:rsidR="00A37BC8" w:rsidRDefault="00A37BC8" w:rsidP="00A37BC8">
            <w:pPr>
              <w:pStyle w:val="ListParagraph"/>
              <w:numPr>
                <w:ilvl w:val="0"/>
                <w:numId w:val="41"/>
              </w:numPr>
              <w:spacing w:line="240" w:lineRule="auto"/>
              <w:rPr>
                <w:szCs w:val="20"/>
              </w:rPr>
            </w:pPr>
            <w:r w:rsidRPr="00A37BC8">
              <w:rPr>
                <w:szCs w:val="20"/>
              </w:rPr>
              <w:t>M2 костен мозък (≥ 5% и ≤25% бласти) и поява на нормални прогениторни клетки;</w:t>
            </w:r>
          </w:p>
          <w:p w14:paraId="65CF5FD8" w14:textId="415DC7BB" w:rsidR="00A37BC8" w:rsidRPr="00A37BC8" w:rsidRDefault="00A37BC8" w:rsidP="00A37BC8">
            <w:pPr>
              <w:pStyle w:val="ListParagraph"/>
              <w:numPr>
                <w:ilvl w:val="0"/>
                <w:numId w:val="41"/>
              </w:numPr>
              <w:spacing w:line="240" w:lineRule="auto"/>
              <w:rPr>
                <w:szCs w:val="20"/>
              </w:rPr>
            </w:pPr>
            <w:r w:rsidRPr="00A37BC8">
              <w:rPr>
                <w:szCs w:val="20"/>
                <w:lang w:val="en-US"/>
              </w:rPr>
              <w:t>Ml</w:t>
            </w:r>
            <w:r w:rsidRPr="00A37BC8">
              <w:rPr>
                <w:szCs w:val="20"/>
                <w:lang w:val="ru-RU"/>
              </w:rPr>
              <w:t xml:space="preserve"> </w:t>
            </w:r>
            <w:r w:rsidRPr="00A37BC8">
              <w:rPr>
                <w:szCs w:val="20"/>
              </w:rPr>
              <w:t xml:space="preserve">костен мозък, който не е в </w:t>
            </w:r>
            <w:r w:rsidRPr="00A37BC8">
              <w:rPr>
                <w:szCs w:val="20"/>
                <w:lang w:val="en-US"/>
              </w:rPr>
              <w:t>CR</w:t>
            </w:r>
            <w:r w:rsidRPr="00A37BC8">
              <w:rPr>
                <w:szCs w:val="20"/>
                <w:lang w:val="ru-RU"/>
              </w:rPr>
              <w:t xml:space="preserve"> </w:t>
            </w:r>
            <w:r w:rsidRPr="00A37BC8">
              <w:rPr>
                <w:szCs w:val="20"/>
              </w:rPr>
              <w:t xml:space="preserve">или </w:t>
            </w:r>
            <w:proofErr w:type="spellStart"/>
            <w:r w:rsidRPr="00A37BC8">
              <w:rPr>
                <w:szCs w:val="20"/>
                <w:lang w:val="en-US"/>
              </w:rPr>
              <w:t>CRp</w:t>
            </w:r>
            <w:proofErr w:type="spellEnd"/>
          </w:p>
        </w:tc>
      </w:tr>
      <w:tr w:rsidR="00A37BC8" w14:paraId="78823F09" w14:textId="77777777" w:rsidTr="00A37BC8">
        <w:tc>
          <w:tcPr>
            <w:tcW w:w="4788" w:type="dxa"/>
          </w:tcPr>
          <w:p w14:paraId="1D9C16EA" w14:textId="5D4AE70F" w:rsidR="00A37BC8" w:rsidRPr="00A37BC8" w:rsidRDefault="00A37BC8" w:rsidP="00A37BC8">
            <w:r w:rsidRPr="00A37BC8">
              <w:rPr>
                <w:szCs w:val="20"/>
              </w:rPr>
              <w:t xml:space="preserve">Степен на обща ремисия </w:t>
            </w:r>
            <w:r w:rsidRPr="00A37BC8">
              <w:rPr>
                <w:szCs w:val="20"/>
                <w:lang w:val="ru-RU"/>
              </w:rPr>
              <w:t>(</w:t>
            </w:r>
            <w:r w:rsidRPr="00A37BC8">
              <w:rPr>
                <w:szCs w:val="20"/>
                <w:lang w:val="en-US"/>
              </w:rPr>
              <w:t>OR</w:t>
            </w:r>
            <w:r w:rsidRPr="00A37BC8">
              <w:rPr>
                <w:szCs w:val="20"/>
                <w:lang w:val="ru-RU"/>
              </w:rPr>
              <w:t>)</w:t>
            </w:r>
          </w:p>
        </w:tc>
        <w:tc>
          <w:tcPr>
            <w:tcW w:w="4788" w:type="dxa"/>
          </w:tcPr>
          <w:p w14:paraId="0827C376" w14:textId="12D44B2B" w:rsidR="00A37BC8" w:rsidRPr="00A37BC8" w:rsidRDefault="00A37BC8" w:rsidP="00A37BC8">
            <w:pPr>
              <w:pStyle w:val="ListParagraph"/>
              <w:numPr>
                <w:ilvl w:val="0"/>
                <w:numId w:val="42"/>
              </w:numPr>
            </w:pPr>
            <w:r w:rsidRPr="00A37BC8">
              <w:rPr>
                <w:szCs w:val="20"/>
              </w:rPr>
              <w:t xml:space="preserve">(Брой пациенти с </w:t>
            </w:r>
            <w:r w:rsidRPr="00A37BC8">
              <w:rPr>
                <w:szCs w:val="20"/>
                <w:lang w:val="en-US"/>
              </w:rPr>
              <w:t>CR</w:t>
            </w:r>
            <w:r w:rsidRPr="00A37BC8">
              <w:rPr>
                <w:szCs w:val="20"/>
                <w:lang w:val="ru-RU"/>
              </w:rPr>
              <w:t xml:space="preserve"> </w:t>
            </w:r>
            <w:r w:rsidRPr="00A37BC8">
              <w:rPr>
                <w:szCs w:val="20"/>
              </w:rPr>
              <w:t xml:space="preserve">+ Брой пациенти с </w:t>
            </w:r>
            <w:proofErr w:type="spellStart"/>
            <w:r w:rsidRPr="00A37BC8">
              <w:rPr>
                <w:szCs w:val="20"/>
                <w:lang w:val="en-US"/>
              </w:rPr>
              <w:t>CRp</w:t>
            </w:r>
            <w:proofErr w:type="spellEnd"/>
            <w:r w:rsidRPr="00A37BC8">
              <w:rPr>
                <w:szCs w:val="20"/>
                <w:lang w:val="ru-RU"/>
              </w:rPr>
              <w:t xml:space="preserve">) </w:t>
            </w:r>
            <w:r w:rsidRPr="00A37BC8">
              <w:rPr>
                <w:szCs w:val="20"/>
              </w:rPr>
              <w:t>÷</w:t>
            </w:r>
            <w:r w:rsidRPr="00A37BC8">
              <w:rPr>
                <w:szCs w:val="20"/>
                <w:lang w:val="ru-RU"/>
              </w:rPr>
              <w:t xml:space="preserve"> </w:t>
            </w:r>
            <w:r w:rsidRPr="00A37BC8">
              <w:rPr>
                <w:szCs w:val="20"/>
              </w:rPr>
              <w:t>Брой подходящи пациенти, получаващи клофарабин.</w:t>
            </w:r>
          </w:p>
        </w:tc>
      </w:tr>
    </w:tbl>
    <w:p w14:paraId="3082C629" w14:textId="77777777" w:rsidR="00A37BC8" w:rsidRDefault="00A37BC8" w:rsidP="00A37BC8">
      <w:pPr>
        <w:spacing w:line="240" w:lineRule="auto"/>
        <w:rPr>
          <w:rFonts w:ascii="Times New Roman" w:eastAsia="Times New Roman" w:hAnsi="Times New Roman" w:cs="Times New Roman"/>
          <w:color w:val="000000"/>
          <w:sz w:val="20"/>
          <w:szCs w:val="20"/>
          <w:lang w:eastAsia="bg-BG"/>
        </w:rPr>
      </w:pPr>
    </w:p>
    <w:p w14:paraId="1EF8DD57" w14:textId="0BF77CFE"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Безопасността и ефикасността на клофарабин са оценени в открито несравнително проучване фаза I с повишаване на дозата при 25 педиатрични пациенти с рецидивирала или рефрактерна левкемия (17 ОЛЛ; 8 ОМЛ), при които стандартната терапия не е дала резултат или за които не съществува друга терапия. Приложението е започнало </w:t>
      </w:r>
      <w:r w:rsidRPr="00A37BC8">
        <w:rPr>
          <w:rFonts w:eastAsia="Times New Roman" w:cs="Arial"/>
          <w:i/>
          <w:iCs/>
          <w:color w:val="000000"/>
          <w:szCs w:val="20"/>
          <w:lang w:eastAsia="bg-BG"/>
        </w:rPr>
        <w:t>с</w:t>
      </w:r>
      <w:r w:rsidRPr="00A37BC8">
        <w:rPr>
          <w:rFonts w:eastAsia="Times New Roman" w:cs="Arial"/>
          <w:color w:val="000000"/>
          <w:szCs w:val="20"/>
          <w:lang w:eastAsia="bg-BG"/>
        </w:rPr>
        <w:t xml:space="preserve"> доза 11,25 с повишаване до 15, 30,40, 52 и 70 </w:t>
      </w:r>
      <w:r w:rsidRPr="00A37BC8">
        <w:rPr>
          <w:rFonts w:eastAsia="Times New Roman" w:cs="Arial"/>
          <w:color w:val="000000"/>
          <w:szCs w:val="20"/>
          <w:lang w:val="en-US"/>
        </w:rPr>
        <w:t>mg</w:t>
      </w:r>
      <w:r w:rsidRPr="00A37BC8">
        <w:rPr>
          <w:rFonts w:eastAsia="Times New Roman" w:cs="Arial"/>
          <w:color w:val="000000"/>
          <w:szCs w:val="20"/>
          <w:lang w:val="ru-RU"/>
        </w:rPr>
        <w:t>/</w:t>
      </w:r>
      <w:proofErr w:type="spellStart"/>
      <w:r w:rsidRPr="00A37BC8">
        <w:rPr>
          <w:rFonts w:eastAsia="Times New Roman" w:cs="Arial"/>
          <w:color w:val="000000"/>
          <w:szCs w:val="20"/>
          <w:lang w:val="en-US"/>
        </w:rPr>
        <w:t>nr</w:t>
      </w:r>
      <w:proofErr w:type="spellEnd"/>
      <w:r w:rsidRPr="00A37BC8">
        <w:rPr>
          <w:rFonts w:eastAsia="Times New Roman" w:cs="Arial"/>
          <w:color w:val="000000"/>
          <w:szCs w:val="20"/>
          <w:lang w:eastAsia="bg-BG"/>
        </w:rPr>
        <w:t xml:space="preserve">/ден чрез интравенозна инфузия за 5 дни, на всеки 2 до 6 седмици в зависимост от токсичността и отговора. Девет от 17 пациенти с ОЛЛ са лекувани по схема 52 </w:t>
      </w:r>
      <w:r w:rsidRPr="00A37BC8">
        <w:rPr>
          <w:rFonts w:eastAsia="Times New Roman" w:cs="Arial"/>
          <w:color w:val="000000"/>
          <w:szCs w:val="20"/>
          <w:lang w:val="en-US"/>
        </w:rPr>
        <w:t>mg</w:t>
      </w:r>
      <w:r w:rsidRPr="00A37BC8">
        <w:rPr>
          <w:rFonts w:eastAsia="Times New Roman" w:cs="Arial"/>
          <w:color w:val="000000"/>
          <w:szCs w:val="20"/>
          <w:lang w:val="ru-RU"/>
        </w:rPr>
        <w:t>/</w:t>
      </w:r>
      <w:r w:rsidRPr="00A37BC8">
        <w:rPr>
          <w:rFonts w:eastAsia="Times New Roman" w:cs="Arial"/>
          <w:color w:val="000000"/>
          <w:szCs w:val="20"/>
          <w:lang w:val="en-US"/>
        </w:rPr>
        <w:t>m</w:t>
      </w:r>
      <w:r w:rsidRPr="00A37BC8">
        <w:rPr>
          <w:rFonts w:eastAsia="Times New Roman" w:cs="Arial"/>
          <w:color w:val="000000"/>
          <w:szCs w:val="20"/>
          <w:vertAlign w:val="superscript"/>
          <w:lang w:val="ru-RU"/>
        </w:rPr>
        <w:t>2</w:t>
      </w:r>
      <w:r w:rsidRPr="00A37BC8">
        <w:rPr>
          <w:rFonts w:eastAsia="Times New Roman" w:cs="Arial"/>
          <w:color w:val="000000"/>
          <w:szCs w:val="20"/>
          <w:lang w:eastAsia="bg-BG"/>
        </w:rPr>
        <w:t xml:space="preserve">/ден клофарабин. От 17 пациенти с ОЛЛ, 2-ма получават пълна ремисия (12%; ПР), а 2-ма частична ремисия (12%; </w:t>
      </w:r>
      <w:r w:rsidRPr="00A37BC8">
        <w:rPr>
          <w:rFonts w:eastAsia="Times New Roman" w:cs="Arial"/>
          <w:color w:val="000000"/>
          <w:szCs w:val="20"/>
          <w:lang w:val="en-US"/>
        </w:rPr>
        <w:t>PR</w:t>
      </w:r>
      <w:r w:rsidRPr="00A37BC8">
        <w:rPr>
          <w:rFonts w:eastAsia="Times New Roman" w:cs="Arial"/>
          <w:color w:val="000000"/>
          <w:szCs w:val="20"/>
          <w:lang w:val="ru-RU"/>
        </w:rPr>
        <w:t xml:space="preserve">) </w:t>
      </w:r>
      <w:r w:rsidRPr="00A37BC8">
        <w:rPr>
          <w:rFonts w:eastAsia="Times New Roman" w:cs="Arial"/>
          <w:color w:val="000000"/>
          <w:szCs w:val="20"/>
          <w:lang w:eastAsia="bg-BG"/>
        </w:rPr>
        <w:t xml:space="preserve">при вариращи дози. Дозоограничаващите токсични реакции в това проучване са хипербилирубинемия, повишени стойности на трансаминазите и макулопапулозен обрив, получени при 70 </w:t>
      </w:r>
      <w:r w:rsidRPr="00A37BC8">
        <w:rPr>
          <w:rFonts w:eastAsia="Times New Roman" w:cs="Arial"/>
          <w:i/>
          <w:iCs/>
          <w:color w:val="000000"/>
          <w:szCs w:val="20"/>
          <w:lang w:val="en-US"/>
        </w:rPr>
        <w:t>mg</w:t>
      </w:r>
      <w:r w:rsidRPr="00A37BC8">
        <w:rPr>
          <w:rFonts w:eastAsia="Times New Roman" w:cs="Arial"/>
          <w:i/>
          <w:iCs/>
          <w:color w:val="000000"/>
          <w:szCs w:val="20"/>
          <w:lang w:val="ru-RU"/>
        </w:rPr>
        <w:t>/</w:t>
      </w:r>
      <w:r w:rsidRPr="00A37BC8">
        <w:rPr>
          <w:rFonts w:eastAsia="Times New Roman" w:cs="Arial"/>
          <w:i/>
          <w:iCs/>
          <w:color w:val="000000"/>
          <w:szCs w:val="20"/>
          <w:lang w:val="en-US"/>
        </w:rPr>
        <w:t>m</w:t>
      </w:r>
      <w:r w:rsidRPr="00A37BC8">
        <w:rPr>
          <w:rFonts w:eastAsia="Times New Roman" w:cs="Arial"/>
          <w:i/>
          <w:iCs/>
          <w:color w:val="000000"/>
          <w:szCs w:val="20"/>
          <w:vertAlign w:val="superscript"/>
          <w:lang w:val="ru-RU"/>
        </w:rPr>
        <w:t>2</w:t>
      </w:r>
      <w:r w:rsidRPr="00A37BC8">
        <w:rPr>
          <w:rFonts w:eastAsia="Times New Roman" w:cs="Arial"/>
          <w:i/>
          <w:iCs/>
          <w:color w:val="000000"/>
          <w:szCs w:val="20"/>
          <w:lang w:val="ru-RU"/>
        </w:rPr>
        <w:t>/</w:t>
      </w:r>
      <w:r w:rsidRPr="00A37BC8">
        <w:rPr>
          <w:rFonts w:eastAsia="Times New Roman" w:cs="Arial"/>
          <w:color w:val="000000"/>
          <w:szCs w:val="20"/>
          <w:lang w:eastAsia="bg-BG"/>
        </w:rPr>
        <w:t>ден (2-ма пациенти с ОЛЛ; вж. точка 4.9).</w:t>
      </w:r>
    </w:p>
    <w:p w14:paraId="1CF5789F" w14:textId="77777777" w:rsidR="00A37BC8" w:rsidRPr="00A37BC8" w:rsidRDefault="00A37BC8" w:rsidP="00A37BC8">
      <w:pPr>
        <w:spacing w:line="240" w:lineRule="auto"/>
        <w:rPr>
          <w:rFonts w:eastAsia="Times New Roman" w:cs="Arial"/>
          <w:color w:val="000000"/>
          <w:szCs w:val="20"/>
          <w:lang w:eastAsia="bg-BG"/>
        </w:rPr>
      </w:pPr>
    </w:p>
    <w:p w14:paraId="4C50252D" w14:textId="23F8DAFA"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Проведено е многоцентрово, открито, несравнително проучване на клофарабин във фаза II за определяне на степента на обща ремисия </w:t>
      </w:r>
      <w:r w:rsidRPr="00A37BC8">
        <w:rPr>
          <w:rFonts w:eastAsia="Times New Roman" w:cs="Arial"/>
          <w:color w:val="000000"/>
          <w:szCs w:val="20"/>
          <w:lang w:val="ru-RU"/>
        </w:rPr>
        <w:t>(</w:t>
      </w:r>
      <w:r w:rsidRPr="00A37BC8">
        <w:rPr>
          <w:rFonts w:eastAsia="Times New Roman" w:cs="Arial"/>
          <w:color w:val="000000"/>
          <w:szCs w:val="20"/>
          <w:lang w:val="en-US"/>
        </w:rPr>
        <w:t>OR</w:t>
      </w:r>
      <w:r w:rsidRPr="00A37BC8">
        <w:rPr>
          <w:rFonts w:eastAsia="Times New Roman" w:cs="Arial"/>
          <w:color w:val="000000"/>
          <w:szCs w:val="20"/>
          <w:lang w:val="ru-RU"/>
        </w:rPr>
        <w:t xml:space="preserve">) </w:t>
      </w:r>
      <w:r w:rsidRPr="00A37BC8">
        <w:rPr>
          <w:rFonts w:eastAsia="Times New Roman" w:cs="Arial"/>
          <w:color w:val="000000"/>
          <w:szCs w:val="20"/>
          <w:lang w:eastAsia="bg-BG"/>
        </w:rPr>
        <w:t xml:space="preserve">при пациенти със свръх интензивна предхождаща терапия (на възраст  ≤21 години към момента на първоначално поставяне на диагнозата), страдащи от рецидивирала или рефрактерна ОЛЛ, дефинирана, съгласно Френско- американско-британската класификация. Установената в посоченото по-горе проучване фаза I максимално допустима доза от 52 </w:t>
      </w:r>
      <w:r w:rsidRPr="00A37BC8">
        <w:rPr>
          <w:rFonts w:eastAsia="Times New Roman" w:cs="Arial"/>
          <w:color w:val="000000"/>
          <w:szCs w:val="20"/>
          <w:lang w:val="en-US"/>
        </w:rPr>
        <w:t>mg</w:t>
      </w:r>
      <w:r w:rsidRPr="00A37BC8">
        <w:rPr>
          <w:rFonts w:eastAsia="Times New Roman" w:cs="Arial"/>
          <w:color w:val="000000"/>
          <w:szCs w:val="20"/>
          <w:lang w:val="ru-RU"/>
        </w:rPr>
        <w:t>/</w:t>
      </w:r>
      <w:r w:rsidRPr="00A37BC8">
        <w:rPr>
          <w:rFonts w:eastAsia="Times New Roman" w:cs="Arial"/>
          <w:color w:val="000000"/>
          <w:szCs w:val="20"/>
          <w:lang w:val="en-US"/>
        </w:rPr>
        <w:t>m</w:t>
      </w:r>
      <w:r w:rsidRPr="00A37BC8">
        <w:rPr>
          <w:rFonts w:eastAsia="Times New Roman" w:cs="Arial"/>
          <w:color w:val="000000"/>
          <w:szCs w:val="20"/>
          <w:vertAlign w:val="superscript"/>
          <w:lang w:val="ru-RU"/>
        </w:rPr>
        <w:t>2</w:t>
      </w:r>
      <w:r w:rsidRPr="00A37BC8">
        <w:rPr>
          <w:rFonts w:eastAsia="Times New Roman" w:cs="Arial"/>
          <w:color w:val="000000"/>
          <w:szCs w:val="20"/>
          <w:lang w:val="ru-RU"/>
        </w:rPr>
        <w:t>/</w:t>
      </w:r>
      <w:r w:rsidRPr="00A37BC8">
        <w:rPr>
          <w:rFonts w:eastAsia="Times New Roman" w:cs="Arial"/>
          <w:color w:val="000000"/>
          <w:szCs w:val="20"/>
          <w:lang w:eastAsia="bg-BG"/>
        </w:rPr>
        <w:t>ден</w:t>
      </w:r>
      <w:r w:rsidRPr="00A37BC8">
        <w:rPr>
          <w:rFonts w:eastAsia="Times New Roman" w:cs="Arial"/>
          <w:color w:val="000000"/>
          <w:szCs w:val="20"/>
          <w:lang w:val="ru-RU"/>
        </w:rPr>
        <w:t xml:space="preserve"> </w:t>
      </w:r>
      <w:r w:rsidRPr="00A37BC8">
        <w:rPr>
          <w:rFonts w:eastAsia="Times New Roman" w:cs="Arial"/>
          <w:color w:val="000000"/>
          <w:szCs w:val="20"/>
          <w:lang w:eastAsia="bg-BG"/>
        </w:rPr>
        <w:t xml:space="preserve">клофарабин е прилагана чрез интравенозна инфузия за </w:t>
      </w:r>
      <w:r w:rsidRPr="00A37BC8">
        <w:rPr>
          <w:rFonts w:eastAsia="Times New Roman" w:cs="Arial"/>
          <w:i/>
          <w:iCs/>
          <w:color w:val="000000"/>
          <w:szCs w:val="20"/>
          <w:lang w:eastAsia="bg-BG"/>
        </w:rPr>
        <w:t>5</w:t>
      </w:r>
      <w:r w:rsidRPr="00A37BC8">
        <w:rPr>
          <w:rFonts w:eastAsia="Times New Roman" w:cs="Arial"/>
          <w:color w:val="000000"/>
          <w:szCs w:val="20"/>
          <w:lang w:eastAsia="bg-BG"/>
        </w:rPr>
        <w:t xml:space="preserve"> последователни дни на всеки 2 до 6 седмици. Таблицата по-долу обобщава основните резултати за ефикасност за това проучване.</w:t>
      </w:r>
    </w:p>
    <w:p w14:paraId="644A7B37" w14:textId="77777777" w:rsidR="00A37BC8" w:rsidRPr="00A37BC8" w:rsidRDefault="00A37BC8" w:rsidP="00A37BC8">
      <w:pPr>
        <w:rPr>
          <w:rFonts w:eastAsia="Times New Roman" w:cs="Arial"/>
          <w:color w:val="000000"/>
          <w:szCs w:val="20"/>
          <w:lang w:eastAsia="bg-BG"/>
        </w:rPr>
      </w:pPr>
    </w:p>
    <w:p w14:paraId="73B7E41C" w14:textId="77777777" w:rsidR="00A37BC8" w:rsidRPr="00A37BC8" w:rsidRDefault="00A37BC8" w:rsidP="00A37BC8">
      <w:pPr>
        <w:rPr>
          <w:rFonts w:eastAsia="Times New Roman" w:cs="Arial"/>
          <w:sz w:val="28"/>
          <w:szCs w:val="24"/>
        </w:rPr>
      </w:pPr>
      <w:r w:rsidRPr="00A37BC8">
        <w:rPr>
          <w:rFonts w:eastAsia="Times New Roman" w:cs="Arial"/>
          <w:color w:val="000000"/>
          <w:szCs w:val="20"/>
          <w:lang w:eastAsia="bg-BG"/>
        </w:rPr>
        <w:t>Пациентите с ОЛЛ не трябва да са били подходящи за терапия от по-висок лечебен потеннциал, и трябва да имат втори или последващ рецидив и/или да са рефрактерни, т.е. недостигнали</w:t>
      </w:r>
      <w:r w:rsidRPr="00A37BC8">
        <w:rPr>
          <w:rFonts w:eastAsia="Times New Roman" w:cs="Arial"/>
          <w:color w:val="000000"/>
          <w:szCs w:val="20"/>
          <w:lang w:val="ru-RU" w:eastAsia="bg-BG"/>
        </w:rPr>
        <w:t xml:space="preserve"> </w:t>
      </w:r>
      <w:r w:rsidRPr="00A37BC8">
        <w:rPr>
          <w:rFonts w:eastAsia="Times New Roman" w:cs="Arial"/>
          <w:color w:val="000000"/>
          <w:szCs w:val="20"/>
          <w:lang w:eastAsia="bg-BG"/>
        </w:rPr>
        <w:t xml:space="preserve">ремисия след поне две предходни схеми. Преди включване в проучването, при 58 от общо 61 пациенти (95%) са приложени 2 до 4 различни индукционни схеми, а 18/61 (30%) от тях са били подложени на поне 1 предшестваща трансплантация на хемопоетични стволови клетки </w:t>
      </w:r>
      <w:r w:rsidRPr="00A37BC8">
        <w:rPr>
          <w:rFonts w:eastAsia="Times New Roman" w:cs="Arial"/>
          <w:color w:val="000000"/>
          <w:szCs w:val="20"/>
          <w:lang w:val="ru-RU"/>
        </w:rPr>
        <w:t>(</w:t>
      </w:r>
      <w:r w:rsidRPr="00A37BC8">
        <w:rPr>
          <w:rFonts w:eastAsia="Times New Roman" w:cs="Arial"/>
          <w:color w:val="000000"/>
          <w:szCs w:val="20"/>
          <w:lang w:val="en-US"/>
        </w:rPr>
        <w:t>HSCT</w:t>
      </w:r>
      <w:r w:rsidRPr="00A37BC8">
        <w:rPr>
          <w:rFonts w:eastAsia="Times New Roman" w:cs="Arial"/>
          <w:color w:val="000000"/>
          <w:szCs w:val="20"/>
          <w:lang w:val="ru-RU"/>
        </w:rPr>
        <w:t xml:space="preserve">). </w:t>
      </w:r>
      <w:r w:rsidRPr="00A37BC8">
        <w:rPr>
          <w:rFonts w:eastAsia="Times New Roman" w:cs="Arial"/>
          <w:color w:val="000000"/>
          <w:szCs w:val="20"/>
          <w:lang w:eastAsia="bg-BG"/>
        </w:rPr>
        <w:t>Медианата на възрастта на лекуваните пациенти (37 мъже, 24 жени) е 12 години.</w:t>
      </w:r>
    </w:p>
    <w:p w14:paraId="5B0C4F60" w14:textId="77777777" w:rsidR="00A37BC8" w:rsidRPr="00A37BC8" w:rsidRDefault="00A37BC8" w:rsidP="00A37BC8">
      <w:pPr>
        <w:spacing w:line="240" w:lineRule="auto"/>
        <w:rPr>
          <w:rFonts w:eastAsia="Times New Roman" w:cs="Arial"/>
          <w:color w:val="000000"/>
          <w:szCs w:val="20"/>
          <w:lang w:eastAsia="bg-BG"/>
        </w:rPr>
      </w:pPr>
    </w:p>
    <w:p w14:paraId="70B70A1E" w14:textId="20A0FCBB"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Приложението на клофарабин е довело до драматична и бърза редукция на периферните левкемични клетки при 31 от 33-мата пациенти (94%) с измерим абсолютен брой на бластите на изходно ниво. 12-те пациенти, постигнали обща ремисия </w:t>
      </w:r>
      <w:r w:rsidRPr="00A37BC8">
        <w:rPr>
          <w:rFonts w:eastAsia="Times New Roman" w:cs="Arial"/>
          <w:color w:val="000000"/>
          <w:szCs w:val="20"/>
          <w:lang w:val="ru-RU"/>
        </w:rPr>
        <w:t>(</w:t>
      </w:r>
      <w:r w:rsidRPr="00A37BC8">
        <w:rPr>
          <w:rFonts w:eastAsia="Times New Roman" w:cs="Arial"/>
          <w:color w:val="000000"/>
          <w:szCs w:val="20"/>
          <w:lang w:val="en-US"/>
        </w:rPr>
        <w:t>CR</w:t>
      </w:r>
      <w:r w:rsidRPr="00A37BC8">
        <w:rPr>
          <w:rFonts w:eastAsia="Times New Roman" w:cs="Arial"/>
          <w:color w:val="000000"/>
          <w:szCs w:val="20"/>
          <w:lang w:val="ru-RU"/>
        </w:rPr>
        <w:t xml:space="preserve"> </w:t>
      </w:r>
      <w:r w:rsidRPr="00A37BC8">
        <w:rPr>
          <w:rFonts w:eastAsia="Times New Roman" w:cs="Arial"/>
          <w:color w:val="000000"/>
          <w:szCs w:val="20"/>
          <w:lang w:eastAsia="bg-BG"/>
        </w:rPr>
        <w:t xml:space="preserve">+ </w:t>
      </w:r>
      <w:proofErr w:type="spellStart"/>
      <w:r w:rsidRPr="00A37BC8">
        <w:rPr>
          <w:rFonts w:eastAsia="Times New Roman" w:cs="Arial"/>
          <w:color w:val="000000"/>
          <w:szCs w:val="20"/>
          <w:lang w:val="en-US"/>
        </w:rPr>
        <w:t>CRp</w:t>
      </w:r>
      <w:proofErr w:type="spellEnd"/>
      <w:r w:rsidRPr="00A37BC8">
        <w:rPr>
          <w:rFonts w:eastAsia="Times New Roman" w:cs="Arial"/>
          <w:color w:val="000000"/>
          <w:szCs w:val="20"/>
          <w:lang w:val="ru-RU"/>
        </w:rPr>
        <w:t xml:space="preserve">), </w:t>
      </w:r>
      <w:r w:rsidRPr="00A37BC8">
        <w:rPr>
          <w:rFonts w:eastAsia="Times New Roman" w:cs="Arial"/>
          <w:color w:val="000000"/>
          <w:szCs w:val="20"/>
          <w:lang w:eastAsia="bg-BG"/>
        </w:rPr>
        <w:t xml:space="preserve">са имали медиана на времето на преживяемост от 66,6 седмици към крайната дата за </w:t>
      </w:r>
      <w:r w:rsidRPr="00A37BC8">
        <w:rPr>
          <w:rFonts w:eastAsia="Times New Roman" w:cs="Arial"/>
          <w:color w:val="000000"/>
          <w:szCs w:val="20"/>
          <w:lang w:eastAsia="bg-BG"/>
        </w:rPr>
        <w:lastRenderedPageBreak/>
        <w:t>събиране на данни. Отговори са наблюдавани при различни имунофенотипи на ОЛЛ, вкл. про-В-клетъчен и Т-клетъчен.</w:t>
      </w:r>
    </w:p>
    <w:p w14:paraId="390C1C28" w14:textId="0BD549A0" w:rsidR="00A37BC8" w:rsidRDefault="00A37BC8" w:rsidP="00A37BC8">
      <w:pPr>
        <w:spacing w:line="240" w:lineRule="auto"/>
        <w:rPr>
          <w:rFonts w:eastAsia="Times New Roman" w:cs="Arial"/>
          <w:color w:val="000000"/>
          <w:szCs w:val="20"/>
          <w:lang w:eastAsia="bg-BG"/>
        </w:rPr>
      </w:pPr>
      <w:r w:rsidRPr="00A37BC8">
        <w:rPr>
          <w:rFonts w:eastAsia="Times New Roman" w:cs="Arial"/>
          <w:color w:val="000000"/>
          <w:szCs w:val="20"/>
          <w:lang w:eastAsia="bg-BG"/>
        </w:rPr>
        <w:t xml:space="preserve">Въпреки че честотата на трансплантации не е била крайна точка в проучването, 10/61 пациенти (16%) са били подложени на ТХСК след лечение с клофарабин (3 - след постигане на </w:t>
      </w:r>
      <w:r w:rsidRPr="00A37BC8">
        <w:rPr>
          <w:rFonts w:eastAsia="Times New Roman" w:cs="Arial"/>
          <w:color w:val="000000"/>
          <w:szCs w:val="20"/>
          <w:lang w:val="en-US"/>
        </w:rPr>
        <w:t>CR</w:t>
      </w:r>
      <w:r w:rsidRPr="00A37BC8">
        <w:rPr>
          <w:rFonts w:eastAsia="Times New Roman" w:cs="Arial"/>
          <w:color w:val="000000"/>
          <w:szCs w:val="20"/>
          <w:lang w:val="ru-RU"/>
        </w:rPr>
        <w:t xml:space="preserve">, </w:t>
      </w:r>
      <w:r w:rsidRPr="00A37BC8">
        <w:rPr>
          <w:rFonts w:eastAsia="Times New Roman" w:cs="Arial"/>
          <w:color w:val="000000"/>
          <w:szCs w:val="20"/>
          <w:lang w:eastAsia="bg-BG"/>
        </w:rPr>
        <w:t xml:space="preserve">2 - след </w:t>
      </w:r>
      <w:proofErr w:type="spellStart"/>
      <w:r w:rsidRPr="00A37BC8">
        <w:rPr>
          <w:rFonts w:eastAsia="Times New Roman" w:cs="Arial"/>
          <w:color w:val="000000"/>
          <w:szCs w:val="20"/>
          <w:lang w:val="en-US"/>
        </w:rPr>
        <w:t>CRp</w:t>
      </w:r>
      <w:proofErr w:type="spellEnd"/>
      <w:r w:rsidRPr="00A37BC8">
        <w:rPr>
          <w:rFonts w:eastAsia="Times New Roman" w:cs="Arial"/>
          <w:color w:val="000000"/>
          <w:szCs w:val="20"/>
          <w:lang w:val="ru-RU"/>
        </w:rPr>
        <w:t xml:space="preserve">, </w:t>
      </w:r>
      <w:r w:rsidRPr="00A37BC8">
        <w:rPr>
          <w:rFonts w:eastAsia="Times New Roman" w:cs="Arial"/>
          <w:color w:val="000000"/>
          <w:szCs w:val="20"/>
          <w:lang w:eastAsia="bg-BG"/>
        </w:rPr>
        <w:t xml:space="preserve">3 - след </w:t>
      </w:r>
      <w:r w:rsidRPr="00A37BC8">
        <w:rPr>
          <w:rFonts w:eastAsia="Times New Roman" w:cs="Arial"/>
          <w:color w:val="000000"/>
          <w:szCs w:val="20"/>
          <w:lang w:val="en-US"/>
        </w:rPr>
        <w:t>PR</w:t>
      </w:r>
      <w:r w:rsidRPr="00A37BC8">
        <w:rPr>
          <w:rFonts w:eastAsia="Times New Roman" w:cs="Arial"/>
          <w:color w:val="000000"/>
          <w:szCs w:val="20"/>
          <w:lang w:val="ru-RU"/>
        </w:rPr>
        <w:t xml:space="preserve">, </w:t>
      </w:r>
      <w:r w:rsidRPr="00A37BC8">
        <w:rPr>
          <w:rFonts w:eastAsia="Times New Roman" w:cs="Arial"/>
          <w:color w:val="000000"/>
          <w:szCs w:val="20"/>
          <w:lang w:eastAsia="bg-BG"/>
        </w:rPr>
        <w:t xml:space="preserve">1 пациент, при който лечението е преценено за неуспешно от </w:t>
      </w:r>
      <w:r w:rsidRPr="00A37BC8">
        <w:rPr>
          <w:rFonts w:eastAsia="Times New Roman" w:cs="Arial"/>
          <w:color w:val="000000"/>
          <w:szCs w:val="20"/>
          <w:lang w:val="en-US"/>
        </w:rPr>
        <w:t>IRRP</w:t>
      </w:r>
      <w:r w:rsidRPr="00A37BC8">
        <w:rPr>
          <w:rFonts w:eastAsia="Times New Roman" w:cs="Arial"/>
          <w:color w:val="000000"/>
          <w:szCs w:val="20"/>
          <w:lang w:val="ru-RU"/>
        </w:rPr>
        <w:t xml:space="preserve">, </w:t>
      </w:r>
      <w:r w:rsidRPr="00A37BC8">
        <w:rPr>
          <w:rFonts w:eastAsia="Times New Roman" w:cs="Arial"/>
          <w:color w:val="000000"/>
          <w:szCs w:val="20"/>
          <w:lang w:eastAsia="bg-BG"/>
        </w:rPr>
        <w:t xml:space="preserve">и 1 - който е преценен като невъзможен за оценка от </w:t>
      </w:r>
      <w:r w:rsidRPr="00A37BC8">
        <w:rPr>
          <w:rFonts w:eastAsia="Times New Roman" w:cs="Arial"/>
          <w:color w:val="000000"/>
          <w:szCs w:val="20"/>
          <w:lang w:val="en-US"/>
        </w:rPr>
        <w:t>IRRP</w:t>
      </w:r>
      <w:r w:rsidRPr="00A37BC8">
        <w:rPr>
          <w:rFonts w:eastAsia="Times New Roman" w:cs="Arial"/>
          <w:color w:val="000000"/>
          <w:szCs w:val="20"/>
          <w:lang w:val="ru-RU"/>
        </w:rPr>
        <w:t xml:space="preserve">). </w:t>
      </w:r>
      <w:r w:rsidRPr="00A37BC8">
        <w:rPr>
          <w:rFonts w:eastAsia="Times New Roman" w:cs="Arial"/>
          <w:color w:val="000000"/>
          <w:szCs w:val="20"/>
          <w:lang w:eastAsia="bg-BG"/>
        </w:rPr>
        <w:t>При пациентите, подложени на ТХСК, се наблюдава сливане на продължителността на отговорите.</w:t>
      </w:r>
    </w:p>
    <w:p w14:paraId="10763380" w14:textId="21A26015" w:rsidR="00A37BC8" w:rsidRDefault="00A37BC8" w:rsidP="00A37BC8">
      <w:pPr>
        <w:spacing w:line="240" w:lineRule="auto"/>
        <w:rPr>
          <w:rFonts w:eastAsia="Times New Roman" w:cs="Arial"/>
          <w:color w:val="000000"/>
          <w:szCs w:val="20"/>
          <w:lang w:eastAsia="bg-BG"/>
        </w:rPr>
      </w:pPr>
    </w:p>
    <w:tbl>
      <w:tblPr>
        <w:tblStyle w:val="TableGrid"/>
        <w:tblW w:w="0" w:type="auto"/>
        <w:tblLook w:val="04A0" w:firstRow="1" w:lastRow="0" w:firstColumn="1" w:lastColumn="0" w:noHBand="0" w:noVBand="1"/>
      </w:tblPr>
      <w:tblGrid>
        <w:gridCol w:w="1728"/>
        <w:gridCol w:w="1597"/>
        <w:gridCol w:w="2446"/>
        <w:gridCol w:w="1713"/>
        <w:gridCol w:w="1866"/>
      </w:tblGrid>
      <w:tr w:rsidR="00A37BC8" w14:paraId="28C9F7EB" w14:textId="77777777" w:rsidTr="00A115CD">
        <w:tc>
          <w:tcPr>
            <w:tcW w:w="9576" w:type="dxa"/>
            <w:gridSpan w:val="5"/>
          </w:tcPr>
          <w:p w14:paraId="6F4AEF44" w14:textId="1FDB5414" w:rsidR="00A37BC8" w:rsidRPr="00A37BC8" w:rsidRDefault="00A37BC8" w:rsidP="00A37BC8">
            <w:pPr>
              <w:rPr>
                <w:rFonts w:cs="Arial"/>
                <w:b/>
                <w:sz w:val="28"/>
                <w:szCs w:val="24"/>
              </w:rPr>
            </w:pPr>
            <w:r w:rsidRPr="00A37BC8">
              <w:rPr>
                <w:b/>
                <w:lang w:eastAsia="bg-BG"/>
              </w:rPr>
              <w:t>Резултати за ефикасност от основното проучване при пациенти (на възраст ≤21 г. към първоначалното поставяне на диагнозата) с рецидивирала или рефрактерна ОЛЛ след прилагане на поне две предшестващи схеми</w:t>
            </w:r>
          </w:p>
        </w:tc>
      </w:tr>
      <w:tr w:rsidR="00A37BC8" w14:paraId="0DB01419" w14:textId="77777777" w:rsidTr="00A37BC8">
        <w:tc>
          <w:tcPr>
            <w:tcW w:w="1728" w:type="dxa"/>
          </w:tcPr>
          <w:p w14:paraId="6738C1B8" w14:textId="1DC1DF20" w:rsidR="00A37BC8" w:rsidRPr="00A37BC8" w:rsidRDefault="00A37BC8" w:rsidP="00A37BC8">
            <w:pPr>
              <w:spacing w:line="240" w:lineRule="auto"/>
              <w:rPr>
                <w:rFonts w:eastAsia="Times New Roman" w:cs="Arial"/>
                <w:szCs w:val="24"/>
              </w:rPr>
            </w:pPr>
            <w:r w:rsidRPr="00A37BC8">
              <w:rPr>
                <w:b/>
                <w:bCs/>
                <w:szCs w:val="20"/>
              </w:rPr>
              <w:t>Степен на отговор</w:t>
            </w:r>
          </w:p>
        </w:tc>
        <w:tc>
          <w:tcPr>
            <w:tcW w:w="1723" w:type="dxa"/>
          </w:tcPr>
          <w:p w14:paraId="076C9766" w14:textId="319985EC" w:rsidR="00A37BC8" w:rsidRPr="00A37BC8" w:rsidRDefault="00A37BC8" w:rsidP="00A37BC8">
            <w:pPr>
              <w:spacing w:line="240" w:lineRule="auto"/>
              <w:rPr>
                <w:rFonts w:eastAsia="Times New Roman" w:cs="Arial"/>
                <w:szCs w:val="24"/>
              </w:rPr>
            </w:pPr>
            <w:r w:rsidRPr="00A37BC8">
              <w:rPr>
                <w:b/>
                <w:bCs/>
                <w:szCs w:val="20"/>
                <w:lang w:val="en-US"/>
              </w:rPr>
              <w:t xml:space="preserve">ITT* </w:t>
            </w:r>
            <w:r w:rsidRPr="00A37BC8">
              <w:rPr>
                <w:b/>
                <w:bCs/>
                <w:szCs w:val="20"/>
              </w:rPr>
              <w:t>пациенти (</w:t>
            </w:r>
            <w:r w:rsidRPr="00A37BC8">
              <w:rPr>
                <w:b/>
                <w:bCs/>
                <w:szCs w:val="20"/>
                <w:lang w:val="en-US"/>
              </w:rPr>
              <w:t>n</w:t>
            </w:r>
            <w:r w:rsidRPr="00A37BC8">
              <w:rPr>
                <w:b/>
                <w:bCs/>
                <w:szCs w:val="20"/>
              </w:rPr>
              <w:t xml:space="preserve"> = 61)</w:t>
            </w:r>
          </w:p>
        </w:tc>
        <w:tc>
          <w:tcPr>
            <w:tcW w:w="2446" w:type="dxa"/>
          </w:tcPr>
          <w:p w14:paraId="6BF8D894" w14:textId="69B38A85" w:rsidR="00A37BC8" w:rsidRPr="00A37BC8" w:rsidRDefault="00A37BC8" w:rsidP="00A37BC8">
            <w:pPr>
              <w:spacing w:line="240" w:lineRule="auto"/>
              <w:rPr>
                <w:rFonts w:eastAsia="Times New Roman" w:cs="Arial"/>
                <w:szCs w:val="24"/>
              </w:rPr>
            </w:pPr>
            <w:r w:rsidRPr="00A37BC8">
              <w:rPr>
                <w:b/>
                <w:bCs/>
                <w:szCs w:val="20"/>
              </w:rPr>
              <w:t xml:space="preserve">Медиана на продължителността на ремисия (седмици) (95% </w:t>
            </w:r>
            <w:r w:rsidRPr="00A37BC8">
              <w:rPr>
                <w:b/>
                <w:bCs/>
                <w:szCs w:val="20"/>
                <w:lang w:val="en-US"/>
              </w:rPr>
              <w:t>CI</w:t>
            </w:r>
            <w:r w:rsidRPr="00A37BC8">
              <w:rPr>
                <w:b/>
                <w:bCs/>
                <w:szCs w:val="20"/>
                <w:lang w:val="ru-RU"/>
              </w:rPr>
              <w:t>)</w:t>
            </w:r>
          </w:p>
        </w:tc>
        <w:tc>
          <w:tcPr>
            <w:tcW w:w="1793" w:type="dxa"/>
          </w:tcPr>
          <w:p w14:paraId="44998C44" w14:textId="27D5FDB7" w:rsidR="00A37BC8" w:rsidRPr="00A37BC8" w:rsidRDefault="00A37BC8" w:rsidP="00A37BC8">
            <w:pPr>
              <w:spacing w:line="240" w:lineRule="auto"/>
              <w:rPr>
                <w:rFonts w:eastAsia="Times New Roman" w:cs="Arial"/>
                <w:szCs w:val="24"/>
              </w:rPr>
            </w:pPr>
            <w:r w:rsidRPr="00A37BC8">
              <w:rPr>
                <w:b/>
                <w:bCs/>
                <w:szCs w:val="20"/>
              </w:rPr>
              <w:t xml:space="preserve">Медиана на времето до прогресия (седмици)** (95% </w:t>
            </w:r>
            <w:r w:rsidRPr="00A37BC8">
              <w:rPr>
                <w:b/>
                <w:bCs/>
                <w:szCs w:val="20"/>
                <w:lang w:val="en-US"/>
              </w:rPr>
              <w:t>CI</w:t>
            </w:r>
            <w:r w:rsidRPr="00A37BC8">
              <w:rPr>
                <w:b/>
                <w:bCs/>
                <w:szCs w:val="20"/>
                <w:lang w:val="ru-RU"/>
              </w:rPr>
              <w:t>)</w:t>
            </w:r>
          </w:p>
        </w:tc>
        <w:tc>
          <w:tcPr>
            <w:tcW w:w="1886" w:type="dxa"/>
          </w:tcPr>
          <w:p w14:paraId="51A6F920" w14:textId="57731073" w:rsidR="00A37BC8" w:rsidRPr="00A37BC8" w:rsidRDefault="00A37BC8" w:rsidP="00A37BC8">
            <w:pPr>
              <w:spacing w:line="240" w:lineRule="auto"/>
              <w:rPr>
                <w:rFonts w:eastAsia="Times New Roman" w:cs="Arial"/>
                <w:szCs w:val="24"/>
              </w:rPr>
            </w:pPr>
            <w:r w:rsidRPr="00A37BC8">
              <w:rPr>
                <w:b/>
                <w:bCs/>
                <w:szCs w:val="20"/>
              </w:rPr>
              <w:t xml:space="preserve">Медиана на общата преживяемост (седмици) (95% </w:t>
            </w:r>
            <w:r w:rsidRPr="00A37BC8">
              <w:rPr>
                <w:b/>
                <w:bCs/>
                <w:szCs w:val="20"/>
                <w:lang w:val="en-US"/>
              </w:rPr>
              <w:t>CI</w:t>
            </w:r>
            <w:r w:rsidRPr="00A37BC8">
              <w:rPr>
                <w:b/>
                <w:bCs/>
                <w:szCs w:val="20"/>
                <w:lang w:val="ru-RU"/>
              </w:rPr>
              <w:t>)</w:t>
            </w:r>
          </w:p>
        </w:tc>
      </w:tr>
      <w:tr w:rsidR="00A37BC8" w14:paraId="4D7B407B" w14:textId="77777777" w:rsidTr="00A37BC8">
        <w:tc>
          <w:tcPr>
            <w:tcW w:w="1728" w:type="dxa"/>
          </w:tcPr>
          <w:p w14:paraId="36FFC3E5" w14:textId="74A170F6" w:rsidR="00A37BC8" w:rsidRPr="00A37BC8" w:rsidRDefault="00A37BC8" w:rsidP="00A37BC8">
            <w:pPr>
              <w:spacing w:line="240" w:lineRule="auto"/>
              <w:rPr>
                <w:rFonts w:eastAsia="Times New Roman" w:cs="Arial"/>
                <w:szCs w:val="24"/>
              </w:rPr>
            </w:pPr>
            <w:r w:rsidRPr="00A37BC8">
              <w:rPr>
                <w:szCs w:val="20"/>
              </w:rPr>
              <w:t xml:space="preserve">Обща ремисия </w:t>
            </w:r>
            <w:r w:rsidRPr="00A37BC8">
              <w:rPr>
                <w:szCs w:val="20"/>
                <w:lang w:val="en-US"/>
              </w:rPr>
              <w:t xml:space="preserve">(CR </w:t>
            </w:r>
            <w:r w:rsidRPr="00A37BC8">
              <w:rPr>
                <w:szCs w:val="20"/>
              </w:rPr>
              <w:t xml:space="preserve">+ </w:t>
            </w:r>
            <w:proofErr w:type="spellStart"/>
            <w:r w:rsidRPr="00A37BC8">
              <w:rPr>
                <w:szCs w:val="20"/>
                <w:lang w:val="en-US"/>
              </w:rPr>
              <w:t>CRp</w:t>
            </w:r>
            <w:proofErr w:type="spellEnd"/>
            <w:r w:rsidRPr="00A37BC8">
              <w:rPr>
                <w:szCs w:val="20"/>
                <w:lang w:val="en-US"/>
              </w:rPr>
              <w:t>)</w:t>
            </w:r>
          </w:p>
        </w:tc>
        <w:tc>
          <w:tcPr>
            <w:tcW w:w="1723" w:type="dxa"/>
          </w:tcPr>
          <w:p w14:paraId="0D0B069B" w14:textId="70779163" w:rsidR="00A37BC8" w:rsidRPr="00A37BC8" w:rsidRDefault="00A37BC8" w:rsidP="00A37BC8">
            <w:pPr>
              <w:spacing w:line="240" w:lineRule="auto"/>
              <w:rPr>
                <w:rFonts w:eastAsia="Times New Roman" w:cs="Arial"/>
                <w:szCs w:val="24"/>
              </w:rPr>
            </w:pPr>
            <w:r w:rsidRPr="00A37BC8">
              <w:rPr>
                <w:szCs w:val="20"/>
              </w:rPr>
              <w:t>12 (20%)</w:t>
            </w:r>
          </w:p>
        </w:tc>
        <w:tc>
          <w:tcPr>
            <w:tcW w:w="2446" w:type="dxa"/>
          </w:tcPr>
          <w:p w14:paraId="7B0916B0" w14:textId="36118544" w:rsidR="00A37BC8" w:rsidRPr="00A37BC8" w:rsidRDefault="00A37BC8" w:rsidP="00A37BC8">
            <w:pPr>
              <w:spacing w:line="240" w:lineRule="auto"/>
              <w:rPr>
                <w:rFonts w:eastAsia="Times New Roman" w:cs="Arial"/>
                <w:szCs w:val="24"/>
              </w:rPr>
            </w:pPr>
            <w:r w:rsidRPr="00A37BC8">
              <w:rPr>
                <w:szCs w:val="20"/>
              </w:rPr>
              <w:t>32,0 (9,7 до 47,9)</w:t>
            </w:r>
          </w:p>
        </w:tc>
        <w:tc>
          <w:tcPr>
            <w:tcW w:w="1793" w:type="dxa"/>
          </w:tcPr>
          <w:p w14:paraId="26B8487D" w14:textId="593256BF" w:rsidR="00A37BC8" w:rsidRPr="00A37BC8" w:rsidRDefault="00A37BC8" w:rsidP="00A37BC8">
            <w:pPr>
              <w:spacing w:line="240" w:lineRule="auto"/>
              <w:rPr>
                <w:rFonts w:eastAsia="Times New Roman" w:cs="Arial"/>
                <w:szCs w:val="24"/>
              </w:rPr>
            </w:pPr>
            <w:r w:rsidRPr="00A37BC8">
              <w:rPr>
                <w:szCs w:val="20"/>
              </w:rPr>
              <w:t>38,2 (15,4 до 56,1)</w:t>
            </w:r>
          </w:p>
        </w:tc>
        <w:tc>
          <w:tcPr>
            <w:tcW w:w="1886" w:type="dxa"/>
          </w:tcPr>
          <w:p w14:paraId="06C1A247" w14:textId="7B36BD71" w:rsidR="00A37BC8" w:rsidRPr="00A37BC8" w:rsidRDefault="00A37BC8" w:rsidP="00A37BC8">
            <w:pPr>
              <w:spacing w:line="240" w:lineRule="auto"/>
              <w:rPr>
                <w:rFonts w:eastAsia="Times New Roman" w:cs="Arial"/>
                <w:szCs w:val="24"/>
              </w:rPr>
            </w:pPr>
            <w:r w:rsidRPr="00A37BC8">
              <w:rPr>
                <w:szCs w:val="20"/>
              </w:rPr>
              <w:t>69,5 (58,6 до -)</w:t>
            </w:r>
          </w:p>
        </w:tc>
      </w:tr>
      <w:tr w:rsidR="00A37BC8" w14:paraId="0330476B" w14:textId="77777777" w:rsidTr="00A37BC8">
        <w:tc>
          <w:tcPr>
            <w:tcW w:w="1728" w:type="dxa"/>
          </w:tcPr>
          <w:p w14:paraId="0C657B7D" w14:textId="7E0E9301" w:rsidR="00A37BC8" w:rsidRPr="00A37BC8" w:rsidRDefault="00A37BC8" w:rsidP="00A37BC8">
            <w:pPr>
              <w:spacing w:line="240" w:lineRule="auto"/>
              <w:rPr>
                <w:rFonts w:eastAsia="Times New Roman" w:cs="Arial"/>
                <w:szCs w:val="24"/>
              </w:rPr>
            </w:pPr>
            <w:r w:rsidRPr="00A37BC8">
              <w:rPr>
                <w:szCs w:val="20"/>
                <w:lang w:val="en-US"/>
              </w:rPr>
              <w:t>CR</w:t>
            </w:r>
          </w:p>
        </w:tc>
        <w:tc>
          <w:tcPr>
            <w:tcW w:w="1723" w:type="dxa"/>
          </w:tcPr>
          <w:p w14:paraId="2C3F24DB" w14:textId="102A906B" w:rsidR="00A37BC8" w:rsidRPr="00A37BC8" w:rsidRDefault="00A37BC8" w:rsidP="00A37BC8">
            <w:pPr>
              <w:spacing w:line="240" w:lineRule="auto"/>
              <w:rPr>
                <w:rFonts w:eastAsia="Times New Roman" w:cs="Arial"/>
                <w:szCs w:val="24"/>
              </w:rPr>
            </w:pPr>
            <w:r w:rsidRPr="00A37BC8">
              <w:rPr>
                <w:szCs w:val="20"/>
              </w:rPr>
              <w:t>7 (12%)</w:t>
            </w:r>
          </w:p>
        </w:tc>
        <w:tc>
          <w:tcPr>
            <w:tcW w:w="2446" w:type="dxa"/>
          </w:tcPr>
          <w:p w14:paraId="0D75B31D" w14:textId="4BF30082" w:rsidR="00A37BC8" w:rsidRPr="00A37BC8" w:rsidRDefault="00A37BC8" w:rsidP="00A37BC8">
            <w:pPr>
              <w:spacing w:line="240" w:lineRule="auto"/>
              <w:rPr>
                <w:rFonts w:eastAsia="Times New Roman" w:cs="Arial"/>
                <w:szCs w:val="24"/>
              </w:rPr>
            </w:pPr>
            <w:r w:rsidRPr="00A37BC8">
              <w:rPr>
                <w:szCs w:val="20"/>
              </w:rPr>
              <w:t>47,9 (6,1 до -)</w:t>
            </w:r>
          </w:p>
        </w:tc>
        <w:tc>
          <w:tcPr>
            <w:tcW w:w="1793" w:type="dxa"/>
          </w:tcPr>
          <w:p w14:paraId="44675870" w14:textId="77777777" w:rsidR="00A37BC8" w:rsidRPr="00A37BC8" w:rsidRDefault="00A37BC8" w:rsidP="00A37BC8">
            <w:r w:rsidRPr="00A37BC8">
              <w:rPr>
                <w:szCs w:val="20"/>
              </w:rPr>
              <w:t>56,1</w:t>
            </w:r>
          </w:p>
          <w:p w14:paraId="776512EF" w14:textId="4BB89907" w:rsidR="00A37BC8" w:rsidRPr="00A37BC8" w:rsidRDefault="00A37BC8" w:rsidP="00A37BC8">
            <w:pPr>
              <w:spacing w:line="240" w:lineRule="auto"/>
              <w:rPr>
                <w:rFonts w:eastAsia="Times New Roman" w:cs="Arial"/>
                <w:szCs w:val="24"/>
              </w:rPr>
            </w:pPr>
            <w:r w:rsidRPr="00A37BC8">
              <w:rPr>
                <w:szCs w:val="20"/>
              </w:rPr>
              <w:t>(13,7 до -)</w:t>
            </w:r>
          </w:p>
        </w:tc>
        <w:tc>
          <w:tcPr>
            <w:tcW w:w="1886" w:type="dxa"/>
          </w:tcPr>
          <w:p w14:paraId="7B944BE3" w14:textId="03D3814E" w:rsidR="00A37BC8" w:rsidRPr="00A37BC8" w:rsidRDefault="00A37BC8" w:rsidP="00A37BC8">
            <w:pPr>
              <w:spacing w:line="240" w:lineRule="auto"/>
              <w:rPr>
                <w:rFonts w:eastAsia="Times New Roman" w:cs="Arial"/>
                <w:szCs w:val="24"/>
              </w:rPr>
            </w:pPr>
            <w:r w:rsidRPr="00A37BC8">
              <w:rPr>
                <w:szCs w:val="20"/>
              </w:rPr>
              <w:t>72,4 (66,6 до -)</w:t>
            </w:r>
          </w:p>
        </w:tc>
      </w:tr>
      <w:tr w:rsidR="00A37BC8" w14:paraId="68A59CC4" w14:textId="77777777" w:rsidTr="00A37BC8">
        <w:tc>
          <w:tcPr>
            <w:tcW w:w="1728" w:type="dxa"/>
          </w:tcPr>
          <w:p w14:paraId="6E308266" w14:textId="6414460E" w:rsidR="00A37BC8" w:rsidRPr="00A37BC8" w:rsidRDefault="00A37BC8" w:rsidP="00A37BC8">
            <w:pPr>
              <w:spacing w:line="240" w:lineRule="auto"/>
              <w:rPr>
                <w:rFonts w:eastAsia="Times New Roman" w:cs="Arial"/>
                <w:szCs w:val="24"/>
              </w:rPr>
            </w:pPr>
            <w:proofErr w:type="spellStart"/>
            <w:r w:rsidRPr="00A37BC8">
              <w:rPr>
                <w:szCs w:val="20"/>
                <w:lang w:val="en-US"/>
              </w:rPr>
              <w:t>CRp</w:t>
            </w:r>
            <w:proofErr w:type="spellEnd"/>
          </w:p>
        </w:tc>
        <w:tc>
          <w:tcPr>
            <w:tcW w:w="1723" w:type="dxa"/>
          </w:tcPr>
          <w:p w14:paraId="56077B8A" w14:textId="78D0742E" w:rsidR="00A37BC8" w:rsidRPr="00A37BC8" w:rsidRDefault="00A37BC8" w:rsidP="00A37BC8">
            <w:pPr>
              <w:spacing w:line="240" w:lineRule="auto"/>
              <w:rPr>
                <w:rFonts w:eastAsia="Times New Roman" w:cs="Arial"/>
                <w:szCs w:val="24"/>
              </w:rPr>
            </w:pPr>
            <w:r w:rsidRPr="00A37BC8">
              <w:rPr>
                <w:szCs w:val="20"/>
              </w:rPr>
              <w:t>5 (8%)</w:t>
            </w:r>
          </w:p>
        </w:tc>
        <w:tc>
          <w:tcPr>
            <w:tcW w:w="2446" w:type="dxa"/>
          </w:tcPr>
          <w:p w14:paraId="781B510B" w14:textId="7005F488" w:rsidR="00A37BC8" w:rsidRPr="00A37BC8" w:rsidRDefault="00A37BC8" w:rsidP="00A37BC8">
            <w:pPr>
              <w:spacing w:line="240" w:lineRule="auto"/>
              <w:rPr>
                <w:rFonts w:eastAsia="Times New Roman" w:cs="Arial"/>
                <w:szCs w:val="24"/>
              </w:rPr>
            </w:pPr>
            <w:r w:rsidRPr="00A37BC8">
              <w:rPr>
                <w:szCs w:val="20"/>
              </w:rPr>
              <w:t>28,6 (4,6 до 38,3)</w:t>
            </w:r>
          </w:p>
        </w:tc>
        <w:tc>
          <w:tcPr>
            <w:tcW w:w="1793" w:type="dxa"/>
          </w:tcPr>
          <w:p w14:paraId="2F82EDEF" w14:textId="77777777" w:rsidR="00A37BC8" w:rsidRPr="00A37BC8" w:rsidRDefault="00A37BC8" w:rsidP="00A37BC8">
            <w:r w:rsidRPr="00A37BC8">
              <w:rPr>
                <w:szCs w:val="20"/>
              </w:rPr>
              <w:t>37,0</w:t>
            </w:r>
          </w:p>
          <w:p w14:paraId="4B011320" w14:textId="4CEEAC49" w:rsidR="00A37BC8" w:rsidRPr="00A37BC8" w:rsidRDefault="00A37BC8" w:rsidP="00A37BC8">
            <w:pPr>
              <w:spacing w:line="240" w:lineRule="auto"/>
              <w:rPr>
                <w:rFonts w:eastAsia="Times New Roman" w:cs="Arial"/>
                <w:szCs w:val="24"/>
              </w:rPr>
            </w:pPr>
            <w:r w:rsidRPr="00A37BC8">
              <w:rPr>
                <w:szCs w:val="20"/>
              </w:rPr>
              <w:t>(9,1 до 42)</w:t>
            </w:r>
          </w:p>
        </w:tc>
        <w:tc>
          <w:tcPr>
            <w:tcW w:w="1886" w:type="dxa"/>
          </w:tcPr>
          <w:p w14:paraId="7B544AC7" w14:textId="77777777" w:rsidR="00A37BC8" w:rsidRPr="00A37BC8" w:rsidRDefault="00A37BC8" w:rsidP="00A37BC8">
            <w:r w:rsidRPr="00A37BC8">
              <w:rPr>
                <w:szCs w:val="20"/>
              </w:rPr>
              <w:t>53,7</w:t>
            </w:r>
          </w:p>
          <w:p w14:paraId="03477D7B" w14:textId="6BC5A176" w:rsidR="00A37BC8" w:rsidRPr="00A37BC8" w:rsidRDefault="00A37BC8" w:rsidP="00A37BC8">
            <w:pPr>
              <w:spacing w:line="240" w:lineRule="auto"/>
              <w:rPr>
                <w:rFonts w:eastAsia="Times New Roman" w:cs="Arial"/>
                <w:szCs w:val="24"/>
              </w:rPr>
            </w:pPr>
            <w:r w:rsidRPr="00A37BC8">
              <w:rPr>
                <w:szCs w:val="20"/>
              </w:rPr>
              <w:t>(9,1 до-)</w:t>
            </w:r>
          </w:p>
        </w:tc>
      </w:tr>
      <w:tr w:rsidR="00A37BC8" w14:paraId="4C4A99D4" w14:textId="77777777" w:rsidTr="00A37BC8">
        <w:tc>
          <w:tcPr>
            <w:tcW w:w="1728" w:type="dxa"/>
          </w:tcPr>
          <w:p w14:paraId="347BF72E" w14:textId="17D01EBC" w:rsidR="00A37BC8" w:rsidRPr="00A37BC8" w:rsidRDefault="00A37BC8" w:rsidP="00A37BC8">
            <w:pPr>
              <w:spacing w:line="240" w:lineRule="auto"/>
              <w:rPr>
                <w:rFonts w:eastAsia="Times New Roman" w:cs="Arial"/>
                <w:szCs w:val="24"/>
              </w:rPr>
            </w:pPr>
            <w:r w:rsidRPr="00A37BC8">
              <w:rPr>
                <w:szCs w:val="20"/>
                <w:lang w:val="en-US"/>
              </w:rPr>
              <w:t>PR</w:t>
            </w:r>
          </w:p>
        </w:tc>
        <w:tc>
          <w:tcPr>
            <w:tcW w:w="1723" w:type="dxa"/>
          </w:tcPr>
          <w:p w14:paraId="12C66061" w14:textId="2637D74F" w:rsidR="00A37BC8" w:rsidRPr="00A37BC8" w:rsidRDefault="00A37BC8" w:rsidP="00A37BC8">
            <w:pPr>
              <w:spacing w:line="240" w:lineRule="auto"/>
              <w:rPr>
                <w:rFonts w:eastAsia="Times New Roman" w:cs="Arial"/>
                <w:szCs w:val="24"/>
              </w:rPr>
            </w:pPr>
            <w:r w:rsidRPr="00A37BC8">
              <w:rPr>
                <w:szCs w:val="20"/>
              </w:rPr>
              <w:t>6(10%)</w:t>
            </w:r>
          </w:p>
        </w:tc>
        <w:tc>
          <w:tcPr>
            <w:tcW w:w="2446" w:type="dxa"/>
          </w:tcPr>
          <w:p w14:paraId="5F6C1359" w14:textId="474BB057" w:rsidR="00A37BC8" w:rsidRPr="00A37BC8" w:rsidRDefault="00A37BC8" w:rsidP="00A37BC8">
            <w:pPr>
              <w:spacing w:line="240" w:lineRule="auto"/>
              <w:rPr>
                <w:rFonts w:eastAsia="Times New Roman" w:cs="Arial"/>
                <w:szCs w:val="24"/>
              </w:rPr>
            </w:pPr>
            <w:r w:rsidRPr="00A37BC8">
              <w:rPr>
                <w:szCs w:val="20"/>
              </w:rPr>
              <w:t>11,0 (5,0 до -)</w:t>
            </w:r>
          </w:p>
        </w:tc>
        <w:tc>
          <w:tcPr>
            <w:tcW w:w="1793" w:type="dxa"/>
          </w:tcPr>
          <w:p w14:paraId="502F1A51" w14:textId="3DB8CDC0" w:rsidR="00A37BC8" w:rsidRPr="00A37BC8" w:rsidRDefault="00A37BC8" w:rsidP="00A37BC8">
            <w:pPr>
              <w:spacing w:line="240" w:lineRule="auto"/>
              <w:rPr>
                <w:rFonts w:eastAsia="Times New Roman" w:cs="Arial"/>
                <w:szCs w:val="24"/>
              </w:rPr>
            </w:pPr>
            <w:r w:rsidRPr="00A37BC8">
              <w:rPr>
                <w:szCs w:val="20"/>
              </w:rPr>
              <w:t>14,4 (7,0 до-)</w:t>
            </w:r>
          </w:p>
        </w:tc>
        <w:tc>
          <w:tcPr>
            <w:tcW w:w="1886" w:type="dxa"/>
          </w:tcPr>
          <w:p w14:paraId="75BA17E9" w14:textId="77777777" w:rsidR="00A37BC8" w:rsidRPr="00A37BC8" w:rsidRDefault="00A37BC8" w:rsidP="00A37BC8">
            <w:r w:rsidRPr="00A37BC8">
              <w:rPr>
                <w:szCs w:val="20"/>
              </w:rPr>
              <w:t>33,0</w:t>
            </w:r>
          </w:p>
          <w:p w14:paraId="3A117F3A" w14:textId="7F344BB0" w:rsidR="00A37BC8" w:rsidRPr="00A37BC8" w:rsidRDefault="00A37BC8" w:rsidP="00A37BC8">
            <w:pPr>
              <w:spacing w:line="240" w:lineRule="auto"/>
              <w:rPr>
                <w:rFonts w:eastAsia="Times New Roman" w:cs="Arial"/>
                <w:szCs w:val="24"/>
              </w:rPr>
            </w:pPr>
            <w:r w:rsidRPr="00A37BC8">
              <w:rPr>
                <w:szCs w:val="20"/>
              </w:rPr>
              <w:t>(18,1 до-)</w:t>
            </w:r>
          </w:p>
        </w:tc>
      </w:tr>
      <w:tr w:rsidR="00A37BC8" w14:paraId="78C20A79" w14:textId="77777777" w:rsidTr="00A37BC8">
        <w:tc>
          <w:tcPr>
            <w:tcW w:w="1728" w:type="dxa"/>
          </w:tcPr>
          <w:p w14:paraId="64FC37F9" w14:textId="14489D7F" w:rsidR="00A37BC8" w:rsidRPr="00A37BC8" w:rsidRDefault="00A37BC8" w:rsidP="00A37BC8">
            <w:pPr>
              <w:spacing w:line="240" w:lineRule="auto"/>
              <w:rPr>
                <w:rFonts w:eastAsia="Times New Roman" w:cs="Arial"/>
                <w:szCs w:val="24"/>
              </w:rPr>
            </w:pPr>
            <w:r w:rsidRPr="00A37BC8">
              <w:rPr>
                <w:b/>
                <w:bCs/>
                <w:szCs w:val="20"/>
                <w:lang w:val="en-US"/>
              </w:rPr>
              <w:t xml:space="preserve">CR + </w:t>
            </w:r>
            <w:proofErr w:type="spellStart"/>
            <w:r w:rsidRPr="00A37BC8">
              <w:rPr>
                <w:b/>
                <w:bCs/>
                <w:szCs w:val="20"/>
                <w:lang w:val="en-US"/>
              </w:rPr>
              <w:t>CRp</w:t>
            </w:r>
            <w:proofErr w:type="spellEnd"/>
            <w:r w:rsidRPr="00A37BC8">
              <w:rPr>
                <w:b/>
                <w:bCs/>
                <w:szCs w:val="20"/>
                <w:lang w:val="en-US"/>
              </w:rPr>
              <w:t xml:space="preserve"> + PR</w:t>
            </w:r>
          </w:p>
        </w:tc>
        <w:tc>
          <w:tcPr>
            <w:tcW w:w="1723" w:type="dxa"/>
          </w:tcPr>
          <w:p w14:paraId="3AFC431E" w14:textId="40CEBCAC" w:rsidR="00A37BC8" w:rsidRPr="00A37BC8" w:rsidRDefault="00A37BC8" w:rsidP="00A37BC8">
            <w:pPr>
              <w:spacing w:line="240" w:lineRule="auto"/>
              <w:rPr>
                <w:rFonts w:eastAsia="Times New Roman" w:cs="Arial"/>
                <w:szCs w:val="24"/>
              </w:rPr>
            </w:pPr>
            <w:r w:rsidRPr="00A37BC8">
              <w:rPr>
                <w:szCs w:val="20"/>
              </w:rPr>
              <w:t>18 (30%)</w:t>
            </w:r>
          </w:p>
        </w:tc>
        <w:tc>
          <w:tcPr>
            <w:tcW w:w="2446" w:type="dxa"/>
          </w:tcPr>
          <w:p w14:paraId="7AA7B2CE" w14:textId="5628DA6A" w:rsidR="00A37BC8" w:rsidRPr="00A37BC8" w:rsidRDefault="00A37BC8" w:rsidP="00A37BC8">
            <w:pPr>
              <w:spacing w:line="240" w:lineRule="auto"/>
              <w:rPr>
                <w:rFonts w:eastAsia="Times New Roman" w:cs="Arial"/>
                <w:szCs w:val="24"/>
              </w:rPr>
            </w:pPr>
            <w:r w:rsidRPr="00A37BC8">
              <w:rPr>
                <w:szCs w:val="20"/>
              </w:rPr>
              <w:t>21,5 (7,6 до 47,9)</w:t>
            </w:r>
          </w:p>
        </w:tc>
        <w:tc>
          <w:tcPr>
            <w:tcW w:w="1793" w:type="dxa"/>
          </w:tcPr>
          <w:p w14:paraId="0E839208" w14:textId="784FFCBB" w:rsidR="00A37BC8" w:rsidRPr="00A37BC8" w:rsidRDefault="00A37BC8" w:rsidP="00A37BC8">
            <w:pPr>
              <w:spacing w:line="240" w:lineRule="auto"/>
              <w:rPr>
                <w:rFonts w:eastAsia="Times New Roman" w:cs="Arial"/>
                <w:szCs w:val="24"/>
              </w:rPr>
            </w:pPr>
            <w:r w:rsidRPr="00A37BC8">
              <w:rPr>
                <w:szCs w:val="20"/>
              </w:rPr>
              <w:t>28,7 (13,7до56,1)</w:t>
            </w:r>
          </w:p>
        </w:tc>
        <w:tc>
          <w:tcPr>
            <w:tcW w:w="1886" w:type="dxa"/>
          </w:tcPr>
          <w:p w14:paraId="688606DC" w14:textId="2F9F852D" w:rsidR="00A37BC8" w:rsidRPr="00A37BC8" w:rsidRDefault="00A37BC8" w:rsidP="00A37BC8">
            <w:pPr>
              <w:spacing w:line="240" w:lineRule="auto"/>
              <w:rPr>
                <w:rFonts w:eastAsia="Times New Roman" w:cs="Arial"/>
                <w:szCs w:val="24"/>
              </w:rPr>
            </w:pPr>
            <w:r w:rsidRPr="00A37BC8">
              <w:rPr>
                <w:szCs w:val="20"/>
              </w:rPr>
              <w:t>66,6 (42,0 до -)</w:t>
            </w:r>
          </w:p>
        </w:tc>
      </w:tr>
      <w:tr w:rsidR="00A37BC8" w14:paraId="221A9FBF" w14:textId="77777777" w:rsidTr="00A37BC8">
        <w:tc>
          <w:tcPr>
            <w:tcW w:w="1728" w:type="dxa"/>
          </w:tcPr>
          <w:p w14:paraId="4718BB05" w14:textId="45AE9ED4" w:rsidR="00A37BC8" w:rsidRPr="00A37BC8" w:rsidRDefault="00A37BC8" w:rsidP="00A37BC8">
            <w:pPr>
              <w:spacing w:line="240" w:lineRule="auto"/>
              <w:rPr>
                <w:rFonts w:eastAsia="Times New Roman" w:cs="Arial"/>
                <w:szCs w:val="24"/>
              </w:rPr>
            </w:pPr>
            <w:r w:rsidRPr="00A37BC8">
              <w:rPr>
                <w:szCs w:val="20"/>
              </w:rPr>
              <w:t>Неуспешно лечение</w:t>
            </w:r>
          </w:p>
        </w:tc>
        <w:tc>
          <w:tcPr>
            <w:tcW w:w="1723" w:type="dxa"/>
          </w:tcPr>
          <w:p w14:paraId="1ACB7A6C" w14:textId="571005FA" w:rsidR="00A37BC8" w:rsidRPr="00A37BC8" w:rsidRDefault="00A37BC8" w:rsidP="00A37BC8">
            <w:pPr>
              <w:spacing w:line="240" w:lineRule="auto"/>
              <w:rPr>
                <w:rFonts w:eastAsia="Times New Roman" w:cs="Arial"/>
                <w:szCs w:val="24"/>
              </w:rPr>
            </w:pPr>
            <w:r w:rsidRPr="00A37BC8">
              <w:rPr>
                <w:szCs w:val="20"/>
              </w:rPr>
              <w:t>33 (54%)</w:t>
            </w:r>
          </w:p>
        </w:tc>
        <w:tc>
          <w:tcPr>
            <w:tcW w:w="2446" w:type="dxa"/>
          </w:tcPr>
          <w:p w14:paraId="0B243F47" w14:textId="1CC2354B" w:rsidR="00A37BC8" w:rsidRPr="00A37BC8" w:rsidRDefault="00A37BC8" w:rsidP="00A37BC8">
            <w:pPr>
              <w:spacing w:line="240" w:lineRule="auto"/>
              <w:rPr>
                <w:rFonts w:eastAsia="Times New Roman" w:cs="Arial"/>
                <w:szCs w:val="24"/>
              </w:rPr>
            </w:pPr>
            <w:r w:rsidRPr="00A37BC8">
              <w:rPr>
                <w:szCs w:val="20"/>
                <w:lang w:val="en-US"/>
              </w:rPr>
              <w:t>N/A</w:t>
            </w:r>
          </w:p>
        </w:tc>
        <w:tc>
          <w:tcPr>
            <w:tcW w:w="1793" w:type="dxa"/>
            <w:vMerge w:val="restart"/>
          </w:tcPr>
          <w:p w14:paraId="6183402E" w14:textId="77777777" w:rsidR="00A37BC8" w:rsidRPr="00A37BC8" w:rsidRDefault="00A37BC8" w:rsidP="00A37BC8">
            <w:r w:rsidRPr="00A37BC8">
              <w:rPr>
                <w:szCs w:val="20"/>
              </w:rPr>
              <w:t>4,0</w:t>
            </w:r>
          </w:p>
          <w:p w14:paraId="089C498F" w14:textId="03421EEC" w:rsidR="00A37BC8" w:rsidRPr="00A37BC8" w:rsidRDefault="00A37BC8" w:rsidP="00A37BC8">
            <w:pPr>
              <w:spacing w:line="240" w:lineRule="auto"/>
              <w:rPr>
                <w:rFonts w:eastAsia="Times New Roman" w:cs="Arial"/>
                <w:szCs w:val="24"/>
              </w:rPr>
            </w:pPr>
            <w:r w:rsidRPr="00A37BC8">
              <w:rPr>
                <w:szCs w:val="20"/>
              </w:rPr>
              <w:t>(3,4 до 5,1)</w:t>
            </w:r>
          </w:p>
        </w:tc>
        <w:tc>
          <w:tcPr>
            <w:tcW w:w="1886" w:type="dxa"/>
            <w:vMerge w:val="restart"/>
          </w:tcPr>
          <w:p w14:paraId="6EBEA05A" w14:textId="1AA90107" w:rsidR="00A37BC8" w:rsidRPr="00A37BC8" w:rsidRDefault="00A37BC8" w:rsidP="00A37BC8">
            <w:pPr>
              <w:spacing w:line="240" w:lineRule="auto"/>
              <w:rPr>
                <w:rFonts w:eastAsia="Times New Roman" w:cs="Arial"/>
                <w:szCs w:val="24"/>
              </w:rPr>
            </w:pPr>
            <w:r w:rsidRPr="00A37BC8">
              <w:rPr>
                <w:szCs w:val="20"/>
              </w:rPr>
              <w:t>7,6 (6,7 до 12,6)</w:t>
            </w:r>
          </w:p>
        </w:tc>
      </w:tr>
      <w:tr w:rsidR="00A37BC8" w14:paraId="78E0037B" w14:textId="77777777" w:rsidTr="00A37BC8">
        <w:tc>
          <w:tcPr>
            <w:tcW w:w="1728" w:type="dxa"/>
          </w:tcPr>
          <w:p w14:paraId="726F3062" w14:textId="60993359" w:rsidR="00A37BC8" w:rsidRPr="00A37BC8" w:rsidRDefault="00A37BC8" w:rsidP="00A37BC8">
            <w:pPr>
              <w:spacing w:line="240" w:lineRule="auto"/>
              <w:rPr>
                <w:rFonts w:eastAsia="Times New Roman" w:cs="Arial"/>
                <w:szCs w:val="24"/>
              </w:rPr>
            </w:pPr>
            <w:r w:rsidRPr="00A37BC8">
              <w:rPr>
                <w:szCs w:val="20"/>
              </w:rPr>
              <w:t>Невъзможност за оценка</w:t>
            </w:r>
          </w:p>
        </w:tc>
        <w:tc>
          <w:tcPr>
            <w:tcW w:w="1723" w:type="dxa"/>
          </w:tcPr>
          <w:p w14:paraId="2EA0232D" w14:textId="7053CAF3" w:rsidR="00A37BC8" w:rsidRPr="00A37BC8" w:rsidRDefault="00A37BC8" w:rsidP="00A37BC8">
            <w:pPr>
              <w:spacing w:line="240" w:lineRule="auto"/>
              <w:rPr>
                <w:rFonts w:eastAsia="Times New Roman" w:cs="Arial"/>
                <w:szCs w:val="24"/>
              </w:rPr>
            </w:pPr>
            <w:r w:rsidRPr="00A37BC8">
              <w:rPr>
                <w:szCs w:val="20"/>
              </w:rPr>
              <w:t>10 (16%)</w:t>
            </w:r>
          </w:p>
        </w:tc>
        <w:tc>
          <w:tcPr>
            <w:tcW w:w="2446" w:type="dxa"/>
          </w:tcPr>
          <w:p w14:paraId="50724DB0" w14:textId="599DC283" w:rsidR="00A37BC8" w:rsidRPr="00A37BC8" w:rsidRDefault="00A37BC8" w:rsidP="00A37BC8">
            <w:pPr>
              <w:spacing w:line="240" w:lineRule="auto"/>
              <w:rPr>
                <w:rFonts w:eastAsia="Times New Roman" w:cs="Arial"/>
                <w:szCs w:val="24"/>
              </w:rPr>
            </w:pPr>
            <w:r w:rsidRPr="00A37BC8">
              <w:rPr>
                <w:szCs w:val="20"/>
                <w:lang w:val="en-US"/>
              </w:rPr>
              <w:t>N/A</w:t>
            </w:r>
          </w:p>
        </w:tc>
        <w:tc>
          <w:tcPr>
            <w:tcW w:w="1793" w:type="dxa"/>
            <w:vMerge/>
          </w:tcPr>
          <w:p w14:paraId="4C1B38B2" w14:textId="77777777" w:rsidR="00A37BC8" w:rsidRPr="00A37BC8" w:rsidRDefault="00A37BC8" w:rsidP="00A37BC8">
            <w:pPr>
              <w:spacing w:line="240" w:lineRule="auto"/>
              <w:rPr>
                <w:rFonts w:eastAsia="Times New Roman" w:cs="Arial"/>
                <w:szCs w:val="24"/>
              </w:rPr>
            </w:pPr>
          </w:p>
        </w:tc>
        <w:tc>
          <w:tcPr>
            <w:tcW w:w="1886" w:type="dxa"/>
            <w:vMerge/>
          </w:tcPr>
          <w:p w14:paraId="4B5AE3BF" w14:textId="77777777" w:rsidR="00A37BC8" w:rsidRPr="00A37BC8" w:rsidRDefault="00A37BC8" w:rsidP="00A37BC8">
            <w:pPr>
              <w:spacing w:line="240" w:lineRule="auto"/>
              <w:rPr>
                <w:rFonts w:eastAsia="Times New Roman" w:cs="Arial"/>
                <w:szCs w:val="24"/>
              </w:rPr>
            </w:pPr>
          </w:p>
        </w:tc>
      </w:tr>
      <w:tr w:rsidR="00A37BC8" w14:paraId="09785CFA" w14:textId="77777777" w:rsidTr="00A37BC8">
        <w:tc>
          <w:tcPr>
            <w:tcW w:w="1728" w:type="dxa"/>
          </w:tcPr>
          <w:p w14:paraId="44F27181" w14:textId="6118720B" w:rsidR="00A37BC8" w:rsidRPr="00A37BC8" w:rsidRDefault="00A37BC8" w:rsidP="00A37BC8">
            <w:pPr>
              <w:spacing w:line="240" w:lineRule="auto"/>
              <w:rPr>
                <w:rFonts w:eastAsia="Times New Roman" w:cs="Arial"/>
                <w:szCs w:val="24"/>
              </w:rPr>
            </w:pPr>
            <w:r w:rsidRPr="00A37BC8">
              <w:rPr>
                <w:szCs w:val="20"/>
              </w:rPr>
              <w:t>Всички пациенти</w:t>
            </w:r>
          </w:p>
        </w:tc>
        <w:tc>
          <w:tcPr>
            <w:tcW w:w="1723" w:type="dxa"/>
          </w:tcPr>
          <w:p w14:paraId="23F94A64" w14:textId="01DC027E" w:rsidR="00A37BC8" w:rsidRPr="00A37BC8" w:rsidRDefault="00A37BC8" w:rsidP="00A37BC8">
            <w:pPr>
              <w:spacing w:line="240" w:lineRule="auto"/>
              <w:rPr>
                <w:rFonts w:eastAsia="Times New Roman" w:cs="Arial"/>
                <w:szCs w:val="24"/>
              </w:rPr>
            </w:pPr>
            <w:r w:rsidRPr="00A37BC8">
              <w:rPr>
                <w:szCs w:val="20"/>
              </w:rPr>
              <w:t>61 (100%)</w:t>
            </w:r>
          </w:p>
        </w:tc>
        <w:tc>
          <w:tcPr>
            <w:tcW w:w="2446" w:type="dxa"/>
          </w:tcPr>
          <w:p w14:paraId="2DA7A0B7" w14:textId="70583DDD" w:rsidR="00A37BC8" w:rsidRPr="00A37BC8" w:rsidRDefault="00A37BC8" w:rsidP="00A37BC8">
            <w:pPr>
              <w:spacing w:line="240" w:lineRule="auto"/>
              <w:rPr>
                <w:rFonts w:eastAsia="Times New Roman" w:cs="Arial"/>
                <w:szCs w:val="24"/>
              </w:rPr>
            </w:pPr>
            <w:r w:rsidRPr="00A37BC8">
              <w:rPr>
                <w:szCs w:val="20"/>
                <w:lang w:val="en-US"/>
              </w:rPr>
              <w:t>N/A</w:t>
            </w:r>
          </w:p>
        </w:tc>
        <w:tc>
          <w:tcPr>
            <w:tcW w:w="1793" w:type="dxa"/>
          </w:tcPr>
          <w:p w14:paraId="12CD63C6" w14:textId="044A39EF" w:rsidR="00A37BC8" w:rsidRPr="00A37BC8" w:rsidRDefault="00A37BC8" w:rsidP="00A37BC8">
            <w:pPr>
              <w:spacing w:line="240" w:lineRule="auto"/>
              <w:rPr>
                <w:rFonts w:eastAsia="Times New Roman" w:cs="Arial"/>
                <w:szCs w:val="24"/>
              </w:rPr>
            </w:pPr>
            <w:r w:rsidRPr="00A37BC8">
              <w:rPr>
                <w:szCs w:val="20"/>
              </w:rPr>
              <w:t>5,4 (4,0 до 6,1)</w:t>
            </w:r>
          </w:p>
        </w:tc>
        <w:tc>
          <w:tcPr>
            <w:tcW w:w="1886" w:type="dxa"/>
          </w:tcPr>
          <w:p w14:paraId="6C796DDB" w14:textId="2E9D2692" w:rsidR="00A37BC8" w:rsidRPr="00A37BC8" w:rsidRDefault="00A37BC8" w:rsidP="00A37BC8">
            <w:pPr>
              <w:spacing w:line="240" w:lineRule="auto"/>
              <w:rPr>
                <w:rFonts w:eastAsia="Times New Roman" w:cs="Arial"/>
                <w:szCs w:val="24"/>
              </w:rPr>
            </w:pPr>
            <w:r w:rsidRPr="00A37BC8">
              <w:rPr>
                <w:szCs w:val="20"/>
              </w:rPr>
              <w:t>12,9 (7,9 до 18,1)</w:t>
            </w:r>
          </w:p>
        </w:tc>
      </w:tr>
      <w:tr w:rsidR="00A37BC8" w14:paraId="1C1F0BC7" w14:textId="77777777" w:rsidTr="00C54A88">
        <w:tc>
          <w:tcPr>
            <w:tcW w:w="9576" w:type="dxa"/>
            <w:gridSpan w:val="5"/>
          </w:tcPr>
          <w:p w14:paraId="0F290A89" w14:textId="77777777" w:rsidR="00A37BC8" w:rsidRPr="00A37BC8" w:rsidRDefault="00A37BC8" w:rsidP="00A37BC8">
            <w:pPr>
              <w:spacing w:line="240" w:lineRule="auto"/>
              <w:rPr>
                <w:rFonts w:eastAsia="Times New Roman" w:cs="Arial"/>
                <w:szCs w:val="24"/>
              </w:rPr>
            </w:pPr>
            <w:r w:rsidRPr="00A37BC8">
              <w:rPr>
                <w:rFonts w:eastAsia="Times New Roman" w:cs="Arial"/>
                <w:color w:val="000000"/>
                <w:szCs w:val="20"/>
                <w:lang w:eastAsia="bg-BG"/>
              </w:rPr>
              <w:t>*</w:t>
            </w:r>
            <w:r w:rsidRPr="00A37BC8">
              <w:rPr>
                <w:rFonts w:eastAsia="Times New Roman" w:cs="Arial"/>
                <w:color w:val="000000"/>
                <w:szCs w:val="20"/>
                <w:lang w:val="en-US"/>
              </w:rPr>
              <w:t>I</w:t>
            </w:r>
            <w:r w:rsidRPr="00A37BC8">
              <w:rPr>
                <w:rFonts w:eastAsia="Times New Roman" w:cs="Arial"/>
                <w:color w:val="000000"/>
                <w:szCs w:val="20"/>
                <w:lang w:eastAsia="bg-BG"/>
              </w:rPr>
              <w:t>ТТ = популация лекувани пациенти</w:t>
            </w:r>
          </w:p>
          <w:p w14:paraId="20E8C01E" w14:textId="3485F513" w:rsidR="00A37BC8" w:rsidRPr="00A37BC8" w:rsidRDefault="00A37BC8" w:rsidP="00A37BC8">
            <w:pPr>
              <w:spacing w:line="240" w:lineRule="auto"/>
              <w:rPr>
                <w:rFonts w:eastAsia="Times New Roman" w:cs="Arial"/>
                <w:szCs w:val="24"/>
              </w:rPr>
            </w:pPr>
            <w:r w:rsidRPr="00A37BC8">
              <w:rPr>
                <w:rFonts w:eastAsia="Times New Roman" w:cs="Arial"/>
                <w:color w:val="000000"/>
                <w:szCs w:val="20"/>
                <w:lang w:eastAsia="bg-BG"/>
              </w:rPr>
              <w:t>**Живите пациенти и пациентите в ремисия към момента на последното проследяване са цензурирани към този момент за целите на анализа.</w:t>
            </w:r>
          </w:p>
        </w:tc>
      </w:tr>
    </w:tbl>
    <w:p w14:paraId="6D4CB7D9" w14:textId="77777777" w:rsidR="00A37BC8" w:rsidRPr="00A37BC8" w:rsidRDefault="00A37BC8" w:rsidP="00A37BC8">
      <w:pPr>
        <w:spacing w:line="240" w:lineRule="auto"/>
        <w:rPr>
          <w:rFonts w:eastAsia="Times New Roman" w:cs="Arial"/>
          <w:sz w:val="28"/>
          <w:szCs w:val="24"/>
        </w:rPr>
      </w:pPr>
    </w:p>
    <w:p w14:paraId="48CDCF79" w14:textId="50E85CB7" w:rsidR="00A37BC8" w:rsidRDefault="00A37BC8" w:rsidP="00A37BC8">
      <w:pPr>
        <w:rPr>
          <w:b/>
          <w:lang w:val="en-US"/>
        </w:rPr>
      </w:pPr>
      <w:bookmarkStart w:id="1" w:name="bookmark0"/>
      <w:r w:rsidRPr="00A37BC8">
        <w:rPr>
          <w:b/>
          <w:lang w:eastAsia="bg-BG"/>
        </w:rPr>
        <w:t xml:space="preserve">Данни за индивидуална продължителност на ремисия и преживяемост за пациенти, които са постигнали </w:t>
      </w:r>
      <w:r w:rsidRPr="00A37BC8">
        <w:rPr>
          <w:b/>
          <w:lang w:val="en-US"/>
        </w:rPr>
        <w:t>CR</w:t>
      </w:r>
      <w:r w:rsidRPr="00A37BC8">
        <w:rPr>
          <w:b/>
          <w:lang w:val="ru-RU"/>
        </w:rPr>
        <w:t xml:space="preserve"> </w:t>
      </w:r>
      <w:r w:rsidRPr="00A37BC8">
        <w:rPr>
          <w:b/>
          <w:lang w:eastAsia="bg-BG"/>
        </w:rPr>
        <w:t xml:space="preserve">или </w:t>
      </w:r>
      <w:proofErr w:type="spellStart"/>
      <w:r w:rsidRPr="00A37BC8">
        <w:rPr>
          <w:b/>
          <w:lang w:val="en-US"/>
        </w:rPr>
        <w:t>CRp</w:t>
      </w:r>
      <w:bookmarkEnd w:id="1"/>
      <w:proofErr w:type="spellEnd"/>
    </w:p>
    <w:tbl>
      <w:tblPr>
        <w:tblStyle w:val="TableGrid"/>
        <w:tblW w:w="0" w:type="auto"/>
        <w:tblLook w:val="04A0" w:firstRow="1" w:lastRow="0" w:firstColumn="1" w:lastColumn="0" w:noHBand="0" w:noVBand="1"/>
      </w:tblPr>
      <w:tblGrid>
        <w:gridCol w:w="2321"/>
        <w:gridCol w:w="2303"/>
        <w:gridCol w:w="2381"/>
        <w:gridCol w:w="2345"/>
      </w:tblGrid>
      <w:tr w:rsidR="00A37BC8" w14:paraId="6E0E3E86" w14:textId="77777777" w:rsidTr="00A37BC8">
        <w:tc>
          <w:tcPr>
            <w:tcW w:w="2394" w:type="dxa"/>
          </w:tcPr>
          <w:p w14:paraId="11A20F32" w14:textId="33F7FEEC" w:rsidR="00A37BC8" w:rsidRPr="00A37BC8" w:rsidRDefault="00A37BC8" w:rsidP="00A37BC8">
            <w:pPr>
              <w:rPr>
                <w:b/>
                <w:szCs w:val="24"/>
                <w:lang w:val="en-US"/>
              </w:rPr>
            </w:pPr>
            <w:r w:rsidRPr="00A37BC8">
              <w:rPr>
                <w:b/>
                <w:bCs/>
                <w:szCs w:val="20"/>
              </w:rPr>
              <w:t>Най-добро повлияване</w:t>
            </w:r>
          </w:p>
        </w:tc>
        <w:tc>
          <w:tcPr>
            <w:tcW w:w="2394" w:type="dxa"/>
          </w:tcPr>
          <w:p w14:paraId="112D9D26" w14:textId="4BFB706B" w:rsidR="00A37BC8" w:rsidRPr="00A37BC8" w:rsidRDefault="00A37BC8" w:rsidP="00A37BC8">
            <w:pPr>
              <w:rPr>
                <w:b/>
                <w:szCs w:val="24"/>
                <w:lang w:val="en-US"/>
              </w:rPr>
            </w:pPr>
            <w:r w:rsidRPr="00A37BC8">
              <w:rPr>
                <w:b/>
                <w:bCs/>
                <w:szCs w:val="20"/>
              </w:rPr>
              <w:t xml:space="preserve">Време до </w:t>
            </w:r>
            <w:r w:rsidRPr="00A37BC8">
              <w:rPr>
                <w:b/>
                <w:bCs/>
                <w:szCs w:val="20"/>
                <w:lang w:val="en-US"/>
              </w:rPr>
              <w:t xml:space="preserve">OR </w:t>
            </w:r>
            <w:r w:rsidRPr="00A37BC8">
              <w:rPr>
                <w:b/>
                <w:bCs/>
                <w:szCs w:val="20"/>
              </w:rPr>
              <w:t>(седмици)</w:t>
            </w:r>
          </w:p>
        </w:tc>
        <w:tc>
          <w:tcPr>
            <w:tcW w:w="2394" w:type="dxa"/>
          </w:tcPr>
          <w:p w14:paraId="1DF2862F" w14:textId="08149AC5" w:rsidR="00A37BC8" w:rsidRPr="00A37BC8" w:rsidRDefault="00A37BC8" w:rsidP="00A37BC8">
            <w:pPr>
              <w:rPr>
                <w:b/>
                <w:szCs w:val="24"/>
                <w:lang w:val="en-US"/>
              </w:rPr>
            </w:pPr>
            <w:r w:rsidRPr="00A37BC8">
              <w:rPr>
                <w:b/>
                <w:bCs/>
                <w:szCs w:val="20"/>
              </w:rPr>
              <w:t>Продължителност на ремисия (седмици)</w:t>
            </w:r>
          </w:p>
        </w:tc>
        <w:tc>
          <w:tcPr>
            <w:tcW w:w="2394" w:type="dxa"/>
          </w:tcPr>
          <w:p w14:paraId="7C128892" w14:textId="198223ED" w:rsidR="00A37BC8" w:rsidRPr="00A37BC8" w:rsidRDefault="00A37BC8" w:rsidP="00A37BC8">
            <w:pPr>
              <w:rPr>
                <w:b/>
                <w:szCs w:val="24"/>
                <w:lang w:val="en-US"/>
              </w:rPr>
            </w:pPr>
            <w:r w:rsidRPr="00A37BC8">
              <w:rPr>
                <w:b/>
                <w:bCs/>
                <w:szCs w:val="20"/>
              </w:rPr>
              <w:t>Обща преживяемост (седмици)</w:t>
            </w:r>
          </w:p>
        </w:tc>
      </w:tr>
      <w:tr w:rsidR="00A37BC8" w:rsidRPr="00A37BC8" w14:paraId="56B03BFC" w14:textId="77777777" w:rsidTr="005014C7">
        <w:tc>
          <w:tcPr>
            <w:tcW w:w="9576" w:type="dxa"/>
            <w:gridSpan w:val="4"/>
          </w:tcPr>
          <w:p w14:paraId="0AA42871" w14:textId="58238199" w:rsidR="00A37BC8" w:rsidRPr="00A37BC8" w:rsidRDefault="00A37BC8" w:rsidP="00A37BC8">
            <w:pPr>
              <w:rPr>
                <w:b/>
                <w:sz w:val="24"/>
                <w:szCs w:val="24"/>
                <w:lang w:val="ru-RU"/>
              </w:rPr>
            </w:pPr>
            <w:r w:rsidRPr="00A37BC8">
              <w:rPr>
                <w:b/>
              </w:rPr>
              <w:t>Пациенти, които не са претърпели трансплантация</w:t>
            </w:r>
          </w:p>
        </w:tc>
      </w:tr>
      <w:tr w:rsidR="00A37BC8" w:rsidRPr="00A37BC8" w14:paraId="11835D30" w14:textId="77777777" w:rsidTr="00A37BC8">
        <w:tc>
          <w:tcPr>
            <w:tcW w:w="2394" w:type="dxa"/>
          </w:tcPr>
          <w:p w14:paraId="41FA1095" w14:textId="45E9CDF7" w:rsidR="00A37BC8" w:rsidRPr="00A37BC8" w:rsidRDefault="00A37BC8" w:rsidP="00A37BC8">
            <w:pPr>
              <w:rPr>
                <w:b/>
                <w:szCs w:val="24"/>
                <w:lang w:val="ru-RU"/>
              </w:rPr>
            </w:pPr>
            <w:r w:rsidRPr="00A37BC8">
              <w:rPr>
                <w:b/>
                <w:bCs/>
                <w:szCs w:val="20"/>
                <w:lang w:val="en-US"/>
              </w:rPr>
              <w:t>CR</w:t>
            </w:r>
          </w:p>
        </w:tc>
        <w:tc>
          <w:tcPr>
            <w:tcW w:w="2394" w:type="dxa"/>
          </w:tcPr>
          <w:p w14:paraId="315AFC65" w14:textId="358F5286" w:rsidR="00A37BC8" w:rsidRPr="00A37BC8" w:rsidRDefault="00A37BC8" w:rsidP="00A37BC8">
            <w:pPr>
              <w:rPr>
                <w:b/>
                <w:szCs w:val="24"/>
                <w:lang w:val="ru-RU"/>
              </w:rPr>
            </w:pPr>
            <w:r w:rsidRPr="00A37BC8">
              <w:rPr>
                <w:szCs w:val="20"/>
              </w:rPr>
              <w:t>5,7</w:t>
            </w:r>
          </w:p>
        </w:tc>
        <w:tc>
          <w:tcPr>
            <w:tcW w:w="2394" w:type="dxa"/>
          </w:tcPr>
          <w:p w14:paraId="0A91877C" w14:textId="565DB7B2" w:rsidR="00A37BC8" w:rsidRPr="00A37BC8" w:rsidRDefault="00A37BC8" w:rsidP="00A37BC8">
            <w:pPr>
              <w:rPr>
                <w:b/>
                <w:szCs w:val="24"/>
                <w:lang w:val="ru-RU"/>
              </w:rPr>
            </w:pPr>
            <w:r w:rsidRPr="00A37BC8">
              <w:rPr>
                <w:szCs w:val="20"/>
              </w:rPr>
              <w:t>4,3</w:t>
            </w:r>
          </w:p>
        </w:tc>
        <w:tc>
          <w:tcPr>
            <w:tcW w:w="2394" w:type="dxa"/>
          </w:tcPr>
          <w:p w14:paraId="0C075CE4" w14:textId="645CF969" w:rsidR="00A37BC8" w:rsidRPr="00A37BC8" w:rsidRDefault="00A37BC8" w:rsidP="00A37BC8">
            <w:pPr>
              <w:rPr>
                <w:b/>
                <w:szCs w:val="24"/>
                <w:lang w:val="ru-RU"/>
              </w:rPr>
            </w:pPr>
            <w:r w:rsidRPr="00A37BC8">
              <w:rPr>
                <w:szCs w:val="20"/>
              </w:rPr>
              <w:t>66,6</w:t>
            </w:r>
          </w:p>
        </w:tc>
      </w:tr>
      <w:tr w:rsidR="00A37BC8" w:rsidRPr="00A37BC8" w14:paraId="006D4D89" w14:textId="77777777" w:rsidTr="00A37BC8">
        <w:tc>
          <w:tcPr>
            <w:tcW w:w="2394" w:type="dxa"/>
          </w:tcPr>
          <w:p w14:paraId="779AC36A" w14:textId="5DD91180" w:rsidR="00A37BC8" w:rsidRPr="00A37BC8" w:rsidRDefault="00A37BC8" w:rsidP="00A37BC8">
            <w:pPr>
              <w:rPr>
                <w:b/>
                <w:szCs w:val="24"/>
                <w:lang w:val="ru-RU"/>
              </w:rPr>
            </w:pPr>
            <w:r w:rsidRPr="00A37BC8">
              <w:rPr>
                <w:szCs w:val="20"/>
                <w:lang w:val="en-US"/>
              </w:rPr>
              <w:t>CR</w:t>
            </w:r>
          </w:p>
        </w:tc>
        <w:tc>
          <w:tcPr>
            <w:tcW w:w="2394" w:type="dxa"/>
          </w:tcPr>
          <w:p w14:paraId="0747B691" w14:textId="6B814BF7" w:rsidR="00A37BC8" w:rsidRPr="00A37BC8" w:rsidRDefault="00A37BC8" w:rsidP="00A37BC8">
            <w:pPr>
              <w:rPr>
                <w:b/>
                <w:szCs w:val="24"/>
                <w:lang w:val="ru-RU"/>
              </w:rPr>
            </w:pPr>
            <w:r w:rsidRPr="00A37BC8">
              <w:rPr>
                <w:szCs w:val="20"/>
              </w:rPr>
              <w:t>14,3</w:t>
            </w:r>
          </w:p>
        </w:tc>
        <w:tc>
          <w:tcPr>
            <w:tcW w:w="2394" w:type="dxa"/>
          </w:tcPr>
          <w:p w14:paraId="6533924B" w14:textId="5A4C3538" w:rsidR="00A37BC8" w:rsidRPr="00A37BC8" w:rsidRDefault="00A37BC8" w:rsidP="00A37BC8">
            <w:pPr>
              <w:rPr>
                <w:b/>
                <w:szCs w:val="24"/>
                <w:lang w:val="ru-RU"/>
              </w:rPr>
            </w:pPr>
            <w:r w:rsidRPr="00A37BC8">
              <w:rPr>
                <w:szCs w:val="20"/>
              </w:rPr>
              <w:t>6,1</w:t>
            </w:r>
          </w:p>
        </w:tc>
        <w:tc>
          <w:tcPr>
            <w:tcW w:w="2394" w:type="dxa"/>
          </w:tcPr>
          <w:p w14:paraId="06803B3D" w14:textId="38A2942A" w:rsidR="00A37BC8" w:rsidRPr="00A37BC8" w:rsidRDefault="00A37BC8" w:rsidP="00A37BC8">
            <w:pPr>
              <w:rPr>
                <w:b/>
                <w:szCs w:val="24"/>
                <w:lang w:val="ru-RU"/>
              </w:rPr>
            </w:pPr>
            <w:r w:rsidRPr="00A37BC8">
              <w:rPr>
                <w:szCs w:val="20"/>
              </w:rPr>
              <w:t>58,6</w:t>
            </w:r>
          </w:p>
        </w:tc>
      </w:tr>
      <w:tr w:rsidR="00A37BC8" w:rsidRPr="00A37BC8" w14:paraId="3192365B" w14:textId="77777777" w:rsidTr="00A37BC8">
        <w:tc>
          <w:tcPr>
            <w:tcW w:w="2394" w:type="dxa"/>
          </w:tcPr>
          <w:p w14:paraId="7C4420FC" w14:textId="501ADB89" w:rsidR="00A37BC8" w:rsidRPr="00A37BC8" w:rsidRDefault="00A37BC8" w:rsidP="00A37BC8">
            <w:pPr>
              <w:rPr>
                <w:b/>
                <w:szCs w:val="24"/>
                <w:lang w:val="ru-RU"/>
              </w:rPr>
            </w:pPr>
            <w:r w:rsidRPr="00A37BC8">
              <w:rPr>
                <w:szCs w:val="20"/>
                <w:lang w:val="en-US"/>
              </w:rPr>
              <w:t>CR</w:t>
            </w:r>
          </w:p>
        </w:tc>
        <w:tc>
          <w:tcPr>
            <w:tcW w:w="2394" w:type="dxa"/>
          </w:tcPr>
          <w:p w14:paraId="5CB267CC" w14:textId="3164ED2A" w:rsidR="00A37BC8" w:rsidRPr="00A37BC8" w:rsidRDefault="00A37BC8" w:rsidP="00A37BC8">
            <w:pPr>
              <w:rPr>
                <w:b/>
                <w:szCs w:val="24"/>
                <w:lang w:val="ru-RU"/>
              </w:rPr>
            </w:pPr>
            <w:r w:rsidRPr="00A37BC8">
              <w:rPr>
                <w:szCs w:val="20"/>
              </w:rPr>
              <w:t>8,3</w:t>
            </w:r>
          </w:p>
        </w:tc>
        <w:tc>
          <w:tcPr>
            <w:tcW w:w="2394" w:type="dxa"/>
          </w:tcPr>
          <w:p w14:paraId="4344D30D" w14:textId="07EB284C" w:rsidR="00A37BC8" w:rsidRPr="00A37BC8" w:rsidRDefault="00A37BC8" w:rsidP="00A37BC8">
            <w:pPr>
              <w:rPr>
                <w:b/>
                <w:szCs w:val="24"/>
                <w:lang w:val="ru-RU"/>
              </w:rPr>
            </w:pPr>
            <w:r w:rsidRPr="00A37BC8">
              <w:rPr>
                <w:szCs w:val="20"/>
              </w:rPr>
              <w:t>47,9</w:t>
            </w:r>
          </w:p>
        </w:tc>
        <w:tc>
          <w:tcPr>
            <w:tcW w:w="2394" w:type="dxa"/>
          </w:tcPr>
          <w:p w14:paraId="426180AD" w14:textId="63759C63" w:rsidR="00A37BC8" w:rsidRPr="00A37BC8" w:rsidRDefault="00A37BC8" w:rsidP="00A37BC8">
            <w:pPr>
              <w:rPr>
                <w:b/>
                <w:szCs w:val="24"/>
                <w:lang w:val="ru-RU"/>
              </w:rPr>
            </w:pPr>
            <w:r w:rsidRPr="00A37BC8">
              <w:rPr>
                <w:szCs w:val="20"/>
              </w:rPr>
              <w:t>66,6</w:t>
            </w:r>
          </w:p>
        </w:tc>
      </w:tr>
      <w:tr w:rsidR="00A37BC8" w:rsidRPr="00A37BC8" w14:paraId="423BAC57" w14:textId="77777777" w:rsidTr="00A37BC8">
        <w:tc>
          <w:tcPr>
            <w:tcW w:w="2394" w:type="dxa"/>
          </w:tcPr>
          <w:p w14:paraId="513BFBCD" w14:textId="31FD6552" w:rsidR="00A37BC8" w:rsidRPr="00A37BC8" w:rsidRDefault="00A37BC8" w:rsidP="00A37BC8">
            <w:pPr>
              <w:rPr>
                <w:b/>
                <w:szCs w:val="24"/>
                <w:lang w:val="ru-RU"/>
              </w:rPr>
            </w:pPr>
            <w:proofErr w:type="spellStart"/>
            <w:r w:rsidRPr="00A37BC8">
              <w:rPr>
                <w:szCs w:val="20"/>
                <w:lang w:val="en-US"/>
              </w:rPr>
              <w:t>CRp</w:t>
            </w:r>
            <w:proofErr w:type="spellEnd"/>
          </w:p>
        </w:tc>
        <w:tc>
          <w:tcPr>
            <w:tcW w:w="2394" w:type="dxa"/>
          </w:tcPr>
          <w:p w14:paraId="0537D0E7" w14:textId="6124CF15" w:rsidR="00A37BC8" w:rsidRPr="00A37BC8" w:rsidRDefault="00A37BC8" w:rsidP="00A37BC8">
            <w:pPr>
              <w:rPr>
                <w:b/>
                <w:szCs w:val="24"/>
                <w:lang w:val="ru-RU"/>
              </w:rPr>
            </w:pPr>
            <w:r w:rsidRPr="00A37BC8">
              <w:rPr>
                <w:szCs w:val="20"/>
              </w:rPr>
              <w:t>4,6</w:t>
            </w:r>
          </w:p>
        </w:tc>
        <w:tc>
          <w:tcPr>
            <w:tcW w:w="2394" w:type="dxa"/>
          </w:tcPr>
          <w:p w14:paraId="4955D0D6" w14:textId="5C293FBB" w:rsidR="00A37BC8" w:rsidRPr="00A37BC8" w:rsidRDefault="00A37BC8" w:rsidP="00A37BC8">
            <w:pPr>
              <w:rPr>
                <w:b/>
                <w:szCs w:val="24"/>
                <w:lang w:val="ru-RU"/>
              </w:rPr>
            </w:pPr>
            <w:r w:rsidRPr="00A37BC8">
              <w:rPr>
                <w:szCs w:val="20"/>
              </w:rPr>
              <w:t>4,6</w:t>
            </w:r>
          </w:p>
        </w:tc>
        <w:tc>
          <w:tcPr>
            <w:tcW w:w="2394" w:type="dxa"/>
          </w:tcPr>
          <w:p w14:paraId="7C396DF1" w14:textId="357EC060" w:rsidR="00A37BC8" w:rsidRPr="00A37BC8" w:rsidRDefault="00A37BC8" w:rsidP="00A37BC8">
            <w:pPr>
              <w:rPr>
                <w:b/>
                <w:szCs w:val="24"/>
                <w:lang w:val="ru-RU"/>
              </w:rPr>
            </w:pPr>
            <w:r w:rsidRPr="00A37BC8">
              <w:rPr>
                <w:szCs w:val="20"/>
              </w:rPr>
              <w:t>9,1</w:t>
            </w:r>
          </w:p>
        </w:tc>
      </w:tr>
      <w:tr w:rsidR="00A37BC8" w:rsidRPr="00A37BC8" w14:paraId="71818DAF" w14:textId="77777777" w:rsidTr="00A37BC8">
        <w:tc>
          <w:tcPr>
            <w:tcW w:w="2394" w:type="dxa"/>
          </w:tcPr>
          <w:p w14:paraId="064F4DC4" w14:textId="5AA6FBBD" w:rsidR="00A37BC8" w:rsidRPr="00A37BC8" w:rsidRDefault="00A37BC8" w:rsidP="00A37BC8">
            <w:pPr>
              <w:rPr>
                <w:b/>
                <w:szCs w:val="24"/>
                <w:lang w:val="ru-RU"/>
              </w:rPr>
            </w:pPr>
            <w:r w:rsidRPr="00A37BC8">
              <w:rPr>
                <w:szCs w:val="20"/>
                <w:lang w:val="en-US"/>
              </w:rPr>
              <w:t>CR</w:t>
            </w:r>
          </w:p>
        </w:tc>
        <w:tc>
          <w:tcPr>
            <w:tcW w:w="2394" w:type="dxa"/>
          </w:tcPr>
          <w:p w14:paraId="2B67089C" w14:textId="53146BD5" w:rsidR="00A37BC8" w:rsidRPr="00A37BC8" w:rsidRDefault="00A37BC8" w:rsidP="00A37BC8">
            <w:pPr>
              <w:rPr>
                <w:b/>
                <w:szCs w:val="24"/>
                <w:lang w:val="ru-RU"/>
              </w:rPr>
            </w:pPr>
            <w:r w:rsidRPr="00A37BC8">
              <w:rPr>
                <w:szCs w:val="20"/>
              </w:rPr>
              <w:t>3,3</w:t>
            </w:r>
          </w:p>
        </w:tc>
        <w:tc>
          <w:tcPr>
            <w:tcW w:w="2394" w:type="dxa"/>
          </w:tcPr>
          <w:p w14:paraId="2AC20930" w14:textId="5179B2FA" w:rsidR="00A37BC8" w:rsidRPr="00A37BC8" w:rsidRDefault="00A37BC8" w:rsidP="00A37BC8">
            <w:pPr>
              <w:rPr>
                <w:b/>
                <w:szCs w:val="24"/>
                <w:lang w:val="ru-RU"/>
              </w:rPr>
            </w:pPr>
            <w:r w:rsidRPr="00A37BC8">
              <w:rPr>
                <w:szCs w:val="20"/>
              </w:rPr>
              <w:t>58,6</w:t>
            </w:r>
          </w:p>
        </w:tc>
        <w:tc>
          <w:tcPr>
            <w:tcW w:w="2394" w:type="dxa"/>
          </w:tcPr>
          <w:p w14:paraId="70E738F9" w14:textId="44D4108A" w:rsidR="00A37BC8" w:rsidRPr="00A37BC8" w:rsidRDefault="00A37BC8" w:rsidP="00A37BC8">
            <w:pPr>
              <w:rPr>
                <w:b/>
                <w:szCs w:val="24"/>
                <w:lang w:val="ru-RU"/>
              </w:rPr>
            </w:pPr>
            <w:r w:rsidRPr="00A37BC8">
              <w:rPr>
                <w:szCs w:val="20"/>
              </w:rPr>
              <w:t>72,4</w:t>
            </w:r>
          </w:p>
        </w:tc>
      </w:tr>
      <w:tr w:rsidR="00A37BC8" w:rsidRPr="00A37BC8" w14:paraId="703E46B6" w14:textId="77777777" w:rsidTr="00A37BC8">
        <w:tc>
          <w:tcPr>
            <w:tcW w:w="2394" w:type="dxa"/>
          </w:tcPr>
          <w:p w14:paraId="12255BB4" w14:textId="168B514E" w:rsidR="00A37BC8" w:rsidRPr="00A37BC8" w:rsidRDefault="00A37BC8" w:rsidP="00A37BC8">
            <w:pPr>
              <w:rPr>
                <w:b/>
                <w:szCs w:val="24"/>
                <w:lang w:val="ru-RU"/>
              </w:rPr>
            </w:pPr>
            <w:proofErr w:type="spellStart"/>
            <w:r w:rsidRPr="00A37BC8">
              <w:rPr>
                <w:szCs w:val="20"/>
                <w:lang w:val="en-US"/>
              </w:rPr>
              <w:lastRenderedPageBreak/>
              <w:t>CRp</w:t>
            </w:r>
            <w:proofErr w:type="spellEnd"/>
          </w:p>
        </w:tc>
        <w:tc>
          <w:tcPr>
            <w:tcW w:w="2394" w:type="dxa"/>
          </w:tcPr>
          <w:p w14:paraId="3E3BB5DF" w14:textId="79BAE8A3" w:rsidR="00A37BC8" w:rsidRPr="00A37BC8" w:rsidRDefault="00A37BC8" w:rsidP="00A37BC8">
            <w:pPr>
              <w:rPr>
                <w:b/>
                <w:szCs w:val="24"/>
                <w:lang w:val="ru-RU"/>
              </w:rPr>
            </w:pPr>
            <w:r w:rsidRPr="00A37BC8">
              <w:rPr>
                <w:szCs w:val="20"/>
              </w:rPr>
              <w:t>3,7</w:t>
            </w:r>
          </w:p>
        </w:tc>
        <w:tc>
          <w:tcPr>
            <w:tcW w:w="2394" w:type="dxa"/>
          </w:tcPr>
          <w:p w14:paraId="13BD0FAB" w14:textId="127BA41D" w:rsidR="00A37BC8" w:rsidRPr="00A37BC8" w:rsidRDefault="00A37BC8" w:rsidP="00A37BC8">
            <w:pPr>
              <w:rPr>
                <w:b/>
                <w:szCs w:val="24"/>
                <w:lang w:val="ru-RU"/>
              </w:rPr>
            </w:pPr>
            <w:r w:rsidRPr="00A37BC8">
              <w:rPr>
                <w:szCs w:val="20"/>
              </w:rPr>
              <w:t>11,7</w:t>
            </w:r>
          </w:p>
        </w:tc>
        <w:tc>
          <w:tcPr>
            <w:tcW w:w="2394" w:type="dxa"/>
          </w:tcPr>
          <w:p w14:paraId="570EDCED" w14:textId="2C53996B" w:rsidR="00A37BC8" w:rsidRPr="00A37BC8" w:rsidRDefault="00A37BC8" w:rsidP="00A37BC8">
            <w:pPr>
              <w:rPr>
                <w:b/>
                <w:szCs w:val="24"/>
                <w:lang w:val="ru-RU"/>
              </w:rPr>
            </w:pPr>
            <w:r w:rsidRPr="00A37BC8">
              <w:rPr>
                <w:szCs w:val="20"/>
              </w:rPr>
              <w:t>53,7</w:t>
            </w:r>
          </w:p>
        </w:tc>
      </w:tr>
      <w:tr w:rsidR="00A37BC8" w:rsidRPr="00A37BC8" w14:paraId="1091BB6C" w14:textId="77777777" w:rsidTr="000A5866">
        <w:tc>
          <w:tcPr>
            <w:tcW w:w="9576" w:type="dxa"/>
            <w:gridSpan w:val="4"/>
          </w:tcPr>
          <w:p w14:paraId="5A3078A8" w14:textId="7C470350" w:rsidR="00A37BC8" w:rsidRPr="00A37BC8" w:rsidRDefault="00A37BC8" w:rsidP="00A37BC8">
            <w:pPr>
              <w:rPr>
                <w:b/>
                <w:sz w:val="24"/>
                <w:szCs w:val="24"/>
                <w:lang w:val="ru-RU"/>
              </w:rPr>
            </w:pPr>
            <w:r w:rsidRPr="00A37BC8">
              <w:rPr>
                <w:b/>
              </w:rPr>
              <w:t>Пациенти, които са претърпели трансплактация, дока то са в продължителна ремисия*</w:t>
            </w:r>
          </w:p>
        </w:tc>
      </w:tr>
      <w:tr w:rsidR="00A37BC8" w:rsidRPr="00A37BC8" w14:paraId="7F9B60CE" w14:textId="77777777" w:rsidTr="00A37BC8">
        <w:tc>
          <w:tcPr>
            <w:tcW w:w="2394" w:type="dxa"/>
          </w:tcPr>
          <w:p w14:paraId="41CFD169" w14:textId="60EA724A" w:rsidR="00A37BC8" w:rsidRPr="00A37BC8" w:rsidRDefault="00A37BC8" w:rsidP="00A37BC8">
            <w:pPr>
              <w:rPr>
                <w:b/>
                <w:szCs w:val="24"/>
                <w:lang w:val="ru-RU"/>
              </w:rPr>
            </w:pPr>
            <w:proofErr w:type="spellStart"/>
            <w:r w:rsidRPr="00A37BC8">
              <w:rPr>
                <w:szCs w:val="20"/>
                <w:lang w:val="en-US"/>
              </w:rPr>
              <w:t>CRp</w:t>
            </w:r>
            <w:proofErr w:type="spellEnd"/>
          </w:p>
        </w:tc>
        <w:tc>
          <w:tcPr>
            <w:tcW w:w="2394" w:type="dxa"/>
          </w:tcPr>
          <w:p w14:paraId="5CA1854E" w14:textId="1D2F6B0F" w:rsidR="00A37BC8" w:rsidRPr="00A37BC8" w:rsidRDefault="00A37BC8" w:rsidP="00A37BC8">
            <w:pPr>
              <w:rPr>
                <w:b/>
                <w:szCs w:val="24"/>
                <w:lang w:val="ru-RU"/>
              </w:rPr>
            </w:pPr>
            <w:r w:rsidRPr="00A37BC8">
              <w:rPr>
                <w:szCs w:val="20"/>
              </w:rPr>
              <w:t>8,4</w:t>
            </w:r>
          </w:p>
        </w:tc>
        <w:tc>
          <w:tcPr>
            <w:tcW w:w="2394" w:type="dxa"/>
          </w:tcPr>
          <w:p w14:paraId="3B83EB36" w14:textId="3F2AE0B0" w:rsidR="00A37BC8" w:rsidRPr="00A37BC8" w:rsidRDefault="00A37BC8" w:rsidP="00A37BC8">
            <w:pPr>
              <w:rPr>
                <w:b/>
                <w:szCs w:val="24"/>
                <w:lang w:val="ru-RU"/>
              </w:rPr>
            </w:pPr>
            <w:r w:rsidRPr="00A37BC8">
              <w:rPr>
                <w:szCs w:val="20"/>
              </w:rPr>
              <w:t>11,6+</w:t>
            </w:r>
          </w:p>
        </w:tc>
        <w:tc>
          <w:tcPr>
            <w:tcW w:w="2394" w:type="dxa"/>
          </w:tcPr>
          <w:p w14:paraId="4EE34358" w14:textId="6AFA894A" w:rsidR="00A37BC8" w:rsidRPr="00A37BC8" w:rsidRDefault="00A37BC8" w:rsidP="00A37BC8">
            <w:pPr>
              <w:rPr>
                <w:b/>
                <w:szCs w:val="24"/>
                <w:lang w:val="ru-RU"/>
              </w:rPr>
            </w:pPr>
            <w:r w:rsidRPr="00A37BC8">
              <w:rPr>
                <w:szCs w:val="20"/>
              </w:rPr>
              <w:t>145,1 +</w:t>
            </w:r>
          </w:p>
        </w:tc>
      </w:tr>
      <w:tr w:rsidR="00A37BC8" w:rsidRPr="00A37BC8" w14:paraId="7D97500C" w14:textId="77777777" w:rsidTr="00A37BC8">
        <w:tc>
          <w:tcPr>
            <w:tcW w:w="2394" w:type="dxa"/>
          </w:tcPr>
          <w:p w14:paraId="06DDB6E0" w14:textId="2871D56B" w:rsidR="00A37BC8" w:rsidRPr="00A37BC8" w:rsidRDefault="00A37BC8" w:rsidP="00A37BC8">
            <w:pPr>
              <w:rPr>
                <w:b/>
                <w:szCs w:val="24"/>
                <w:lang w:val="ru-RU"/>
              </w:rPr>
            </w:pPr>
            <w:r w:rsidRPr="00A37BC8">
              <w:rPr>
                <w:szCs w:val="20"/>
                <w:lang w:val="en-US"/>
              </w:rPr>
              <w:t>CR</w:t>
            </w:r>
          </w:p>
        </w:tc>
        <w:tc>
          <w:tcPr>
            <w:tcW w:w="2394" w:type="dxa"/>
          </w:tcPr>
          <w:p w14:paraId="02BD628E" w14:textId="32153553" w:rsidR="00A37BC8" w:rsidRPr="00A37BC8" w:rsidRDefault="00A37BC8" w:rsidP="00A37BC8">
            <w:pPr>
              <w:rPr>
                <w:b/>
                <w:szCs w:val="24"/>
                <w:lang w:val="ru-RU"/>
              </w:rPr>
            </w:pPr>
            <w:r w:rsidRPr="00A37BC8">
              <w:rPr>
                <w:szCs w:val="20"/>
              </w:rPr>
              <w:t>4,1</w:t>
            </w:r>
          </w:p>
        </w:tc>
        <w:tc>
          <w:tcPr>
            <w:tcW w:w="2394" w:type="dxa"/>
          </w:tcPr>
          <w:p w14:paraId="367A9763" w14:textId="72AB879E" w:rsidR="00A37BC8" w:rsidRPr="00A37BC8" w:rsidRDefault="00A37BC8" w:rsidP="00A37BC8">
            <w:pPr>
              <w:rPr>
                <w:b/>
                <w:szCs w:val="24"/>
                <w:lang w:val="ru-RU"/>
              </w:rPr>
            </w:pPr>
            <w:r w:rsidRPr="00A37BC8">
              <w:rPr>
                <w:szCs w:val="20"/>
              </w:rPr>
              <w:t>9,0+</w:t>
            </w:r>
          </w:p>
        </w:tc>
        <w:tc>
          <w:tcPr>
            <w:tcW w:w="2394" w:type="dxa"/>
          </w:tcPr>
          <w:p w14:paraId="180E747B" w14:textId="397EA9C4" w:rsidR="00A37BC8" w:rsidRPr="00A37BC8" w:rsidRDefault="00A37BC8" w:rsidP="00A37BC8">
            <w:pPr>
              <w:rPr>
                <w:b/>
                <w:szCs w:val="24"/>
                <w:lang w:val="ru-RU"/>
              </w:rPr>
            </w:pPr>
            <w:r w:rsidRPr="00A37BC8">
              <w:rPr>
                <w:szCs w:val="20"/>
              </w:rPr>
              <w:t>111,9+</w:t>
            </w:r>
          </w:p>
        </w:tc>
      </w:tr>
      <w:tr w:rsidR="00A37BC8" w:rsidRPr="00A37BC8" w14:paraId="2E1F2518" w14:textId="77777777" w:rsidTr="00A37BC8">
        <w:tc>
          <w:tcPr>
            <w:tcW w:w="2394" w:type="dxa"/>
          </w:tcPr>
          <w:p w14:paraId="30E6D37F" w14:textId="4B43974C" w:rsidR="00A37BC8" w:rsidRPr="00A37BC8" w:rsidRDefault="00A37BC8" w:rsidP="00A37BC8">
            <w:pPr>
              <w:rPr>
                <w:b/>
                <w:szCs w:val="24"/>
                <w:lang w:val="ru-RU"/>
              </w:rPr>
            </w:pPr>
            <w:proofErr w:type="spellStart"/>
            <w:r w:rsidRPr="00A37BC8">
              <w:rPr>
                <w:szCs w:val="20"/>
                <w:lang w:val="en-US"/>
              </w:rPr>
              <w:t>CRp</w:t>
            </w:r>
            <w:proofErr w:type="spellEnd"/>
          </w:p>
        </w:tc>
        <w:tc>
          <w:tcPr>
            <w:tcW w:w="2394" w:type="dxa"/>
          </w:tcPr>
          <w:p w14:paraId="224C81C9" w14:textId="7B10294E" w:rsidR="00A37BC8" w:rsidRPr="00A37BC8" w:rsidRDefault="00A37BC8" w:rsidP="00A37BC8">
            <w:pPr>
              <w:rPr>
                <w:b/>
                <w:szCs w:val="24"/>
                <w:lang w:val="ru-RU"/>
              </w:rPr>
            </w:pPr>
            <w:r w:rsidRPr="00A37BC8">
              <w:rPr>
                <w:szCs w:val="20"/>
              </w:rPr>
              <w:t>3,7</w:t>
            </w:r>
          </w:p>
        </w:tc>
        <w:tc>
          <w:tcPr>
            <w:tcW w:w="2394" w:type="dxa"/>
          </w:tcPr>
          <w:p w14:paraId="6C1BBCE8" w14:textId="360D885A" w:rsidR="00A37BC8" w:rsidRPr="00A37BC8" w:rsidRDefault="00A37BC8" w:rsidP="00A37BC8">
            <w:pPr>
              <w:rPr>
                <w:b/>
                <w:szCs w:val="24"/>
                <w:lang w:val="ru-RU"/>
              </w:rPr>
            </w:pPr>
            <w:r w:rsidRPr="00A37BC8">
              <w:rPr>
                <w:szCs w:val="20"/>
              </w:rPr>
              <w:t>5,6+</w:t>
            </w:r>
          </w:p>
        </w:tc>
        <w:tc>
          <w:tcPr>
            <w:tcW w:w="2394" w:type="dxa"/>
          </w:tcPr>
          <w:p w14:paraId="7F2AF5A8" w14:textId="4034B7A4" w:rsidR="00A37BC8" w:rsidRPr="00A37BC8" w:rsidRDefault="00A37BC8" w:rsidP="00A37BC8">
            <w:pPr>
              <w:rPr>
                <w:b/>
                <w:szCs w:val="24"/>
                <w:lang w:val="ru-RU"/>
              </w:rPr>
            </w:pPr>
            <w:r w:rsidRPr="00A37BC8">
              <w:rPr>
                <w:szCs w:val="20"/>
              </w:rPr>
              <w:t>42,0</w:t>
            </w:r>
          </w:p>
        </w:tc>
      </w:tr>
      <w:tr w:rsidR="00A37BC8" w:rsidRPr="00A37BC8" w14:paraId="24DAC756" w14:textId="77777777" w:rsidTr="00A37BC8">
        <w:tc>
          <w:tcPr>
            <w:tcW w:w="2394" w:type="dxa"/>
          </w:tcPr>
          <w:p w14:paraId="7BDED551" w14:textId="4175EB57" w:rsidR="00A37BC8" w:rsidRPr="00A37BC8" w:rsidRDefault="00A37BC8" w:rsidP="00A37BC8">
            <w:pPr>
              <w:rPr>
                <w:b/>
                <w:szCs w:val="24"/>
                <w:lang w:val="ru-RU"/>
              </w:rPr>
            </w:pPr>
            <w:r w:rsidRPr="00A37BC8">
              <w:rPr>
                <w:szCs w:val="20"/>
                <w:lang w:val="en-US"/>
              </w:rPr>
              <w:t>CR</w:t>
            </w:r>
          </w:p>
        </w:tc>
        <w:tc>
          <w:tcPr>
            <w:tcW w:w="2394" w:type="dxa"/>
          </w:tcPr>
          <w:p w14:paraId="2EAA8F32" w14:textId="63D23D7F" w:rsidR="00A37BC8" w:rsidRPr="00A37BC8" w:rsidRDefault="00A37BC8" w:rsidP="00A37BC8">
            <w:pPr>
              <w:rPr>
                <w:b/>
                <w:szCs w:val="24"/>
                <w:lang w:val="ru-RU"/>
              </w:rPr>
            </w:pPr>
            <w:r w:rsidRPr="00A37BC8">
              <w:rPr>
                <w:szCs w:val="20"/>
              </w:rPr>
              <w:t>7,6</w:t>
            </w:r>
          </w:p>
        </w:tc>
        <w:tc>
          <w:tcPr>
            <w:tcW w:w="2394" w:type="dxa"/>
          </w:tcPr>
          <w:p w14:paraId="604433EC" w14:textId="138E29A0" w:rsidR="00A37BC8" w:rsidRPr="00A37BC8" w:rsidRDefault="00A37BC8" w:rsidP="00A37BC8">
            <w:pPr>
              <w:rPr>
                <w:b/>
                <w:szCs w:val="24"/>
                <w:lang w:val="ru-RU"/>
              </w:rPr>
            </w:pPr>
            <w:r w:rsidRPr="00A37BC8">
              <w:rPr>
                <w:szCs w:val="20"/>
              </w:rPr>
              <w:t>3,7+</w:t>
            </w:r>
          </w:p>
        </w:tc>
        <w:tc>
          <w:tcPr>
            <w:tcW w:w="2394" w:type="dxa"/>
          </w:tcPr>
          <w:p w14:paraId="3388DEDE" w14:textId="4FDF9599" w:rsidR="00A37BC8" w:rsidRPr="00A37BC8" w:rsidRDefault="00A37BC8" w:rsidP="00A37BC8">
            <w:pPr>
              <w:rPr>
                <w:b/>
                <w:szCs w:val="24"/>
                <w:lang w:val="ru-RU"/>
              </w:rPr>
            </w:pPr>
            <w:r w:rsidRPr="00A37BC8">
              <w:rPr>
                <w:szCs w:val="20"/>
              </w:rPr>
              <w:t>96,3+</w:t>
            </w:r>
          </w:p>
        </w:tc>
      </w:tr>
      <w:tr w:rsidR="00A37BC8" w:rsidRPr="00A37BC8" w14:paraId="1B9A0111" w14:textId="77777777" w:rsidTr="00AC6505">
        <w:tc>
          <w:tcPr>
            <w:tcW w:w="9576" w:type="dxa"/>
            <w:gridSpan w:val="4"/>
          </w:tcPr>
          <w:p w14:paraId="3DFFDBA4" w14:textId="43C0240D" w:rsidR="00A37BC8" w:rsidRPr="00A37BC8" w:rsidRDefault="00A37BC8" w:rsidP="00A37BC8">
            <w:pPr>
              <w:rPr>
                <w:b/>
                <w:sz w:val="24"/>
                <w:szCs w:val="24"/>
                <w:lang w:val="ru-RU"/>
              </w:rPr>
            </w:pPr>
            <w:r w:rsidRPr="00A37BC8">
              <w:rPr>
                <w:b/>
              </w:rPr>
              <w:t>Пациенти, които са претърпели трансплантация след алтернативна терапия или рецидив*</w:t>
            </w:r>
          </w:p>
        </w:tc>
      </w:tr>
      <w:tr w:rsidR="00A37BC8" w:rsidRPr="00A37BC8" w14:paraId="330DD628" w14:textId="77777777" w:rsidTr="00A37BC8">
        <w:tc>
          <w:tcPr>
            <w:tcW w:w="2394" w:type="dxa"/>
          </w:tcPr>
          <w:p w14:paraId="7E279E85" w14:textId="102B80A6" w:rsidR="00A37BC8" w:rsidRPr="00A37BC8" w:rsidRDefault="00A37BC8" w:rsidP="00A37BC8">
            <w:pPr>
              <w:rPr>
                <w:b/>
                <w:sz w:val="24"/>
                <w:szCs w:val="24"/>
                <w:lang w:val="ru-RU"/>
              </w:rPr>
            </w:pPr>
            <w:proofErr w:type="spellStart"/>
            <w:r>
              <w:rPr>
                <w:lang w:val="en-US"/>
              </w:rPr>
              <w:t>CRp</w:t>
            </w:r>
            <w:proofErr w:type="spellEnd"/>
          </w:p>
        </w:tc>
        <w:tc>
          <w:tcPr>
            <w:tcW w:w="2394" w:type="dxa"/>
          </w:tcPr>
          <w:p w14:paraId="50F9611B" w14:textId="6FF31294" w:rsidR="00A37BC8" w:rsidRPr="00A37BC8" w:rsidRDefault="00A37BC8" w:rsidP="00A37BC8">
            <w:pPr>
              <w:rPr>
                <w:b/>
                <w:sz w:val="24"/>
                <w:szCs w:val="24"/>
                <w:lang w:val="ru-RU"/>
              </w:rPr>
            </w:pPr>
            <w:r>
              <w:t>4,0</w:t>
            </w:r>
          </w:p>
        </w:tc>
        <w:tc>
          <w:tcPr>
            <w:tcW w:w="2394" w:type="dxa"/>
          </w:tcPr>
          <w:p w14:paraId="0A0F2E57" w14:textId="5B1CB365" w:rsidR="00A37BC8" w:rsidRPr="00A37BC8" w:rsidRDefault="00A37BC8" w:rsidP="00A37BC8">
            <w:pPr>
              <w:rPr>
                <w:b/>
                <w:sz w:val="24"/>
                <w:szCs w:val="24"/>
                <w:lang w:val="ru-RU"/>
              </w:rPr>
            </w:pPr>
            <w:r>
              <w:t>35,4</w:t>
            </w:r>
          </w:p>
        </w:tc>
        <w:tc>
          <w:tcPr>
            <w:tcW w:w="2394" w:type="dxa"/>
          </w:tcPr>
          <w:p w14:paraId="037177CE" w14:textId="771B1ECD" w:rsidR="00A37BC8" w:rsidRPr="00A37BC8" w:rsidRDefault="00A37BC8" w:rsidP="00A37BC8">
            <w:pPr>
              <w:rPr>
                <w:b/>
                <w:sz w:val="24"/>
                <w:szCs w:val="24"/>
                <w:lang w:val="ru-RU"/>
              </w:rPr>
            </w:pPr>
            <w:r>
              <w:t>113,3+**</w:t>
            </w:r>
          </w:p>
        </w:tc>
      </w:tr>
      <w:tr w:rsidR="00A37BC8" w:rsidRPr="00A37BC8" w14:paraId="7F6C9F06" w14:textId="77777777" w:rsidTr="00A37BC8">
        <w:tc>
          <w:tcPr>
            <w:tcW w:w="2394" w:type="dxa"/>
          </w:tcPr>
          <w:p w14:paraId="34DD787A" w14:textId="66799B00" w:rsidR="00A37BC8" w:rsidRPr="00A37BC8" w:rsidRDefault="00A37BC8" w:rsidP="00A37BC8">
            <w:pPr>
              <w:rPr>
                <w:b/>
                <w:sz w:val="24"/>
                <w:szCs w:val="24"/>
                <w:lang w:val="ru-RU"/>
              </w:rPr>
            </w:pPr>
            <w:r>
              <w:rPr>
                <w:lang w:val="en-US"/>
              </w:rPr>
              <w:t>CR</w:t>
            </w:r>
          </w:p>
        </w:tc>
        <w:tc>
          <w:tcPr>
            <w:tcW w:w="2394" w:type="dxa"/>
          </w:tcPr>
          <w:p w14:paraId="2F639FC9" w14:textId="623C4B01" w:rsidR="00A37BC8" w:rsidRPr="00A37BC8" w:rsidRDefault="00A37BC8" w:rsidP="00A37BC8">
            <w:pPr>
              <w:rPr>
                <w:b/>
                <w:sz w:val="24"/>
                <w:szCs w:val="24"/>
                <w:lang w:val="ru-RU"/>
              </w:rPr>
            </w:pPr>
            <w:r>
              <w:t>4,0</w:t>
            </w:r>
          </w:p>
        </w:tc>
        <w:tc>
          <w:tcPr>
            <w:tcW w:w="2394" w:type="dxa"/>
          </w:tcPr>
          <w:p w14:paraId="1BF5B617" w14:textId="3E1656CE" w:rsidR="00A37BC8" w:rsidRPr="00A37BC8" w:rsidRDefault="00A37BC8" w:rsidP="00A37BC8">
            <w:pPr>
              <w:rPr>
                <w:b/>
                <w:sz w:val="24"/>
                <w:szCs w:val="24"/>
                <w:lang w:val="ru-RU"/>
              </w:rPr>
            </w:pPr>
            <w:r>
              <w:t>9,7</w:t>
            </w:r>
          </w:p>
        </w:tc>
        <w:tc>
          <w:tcPr>
            <w:tcW w:w="2394" w:type="dxa"/>
          </w:tcPr>
          <w:p w14:paraId="3C57628D" w14:textId="7A0CF6D2" w:rsidR="00A37BC8" w:rsidRPr="00A37BC8" w:rsidRDefault="00A37BC8" w:rsidP="00A37BC8">
            <w:pPr>
              <w:rPr>
                <w:b/>
                <w:sz w:val="24"/>
                <w:szCs w:val="24"/>
                <w:lang w:val="ru-RU"/>
              </w:rPr>
            </w:pPr>
            <w:r>
              <w:t>89,4***</w:t>
            </w:r>
          </w:p>
        </w:tc>
      </w:tr>
      <w:tr w:rsidR="00A37BC8" w:rsidRPr="00A37BC8" w14:paraId="13A6C7A8" w14:textId="77777777" w:rsidTr="009809D3">
        <w:tc>
          <w:tcPr>
            <w:tcW w:w="9576" w:type="dxa"/>
            <w:gridSpan w:val="4"/>
          </w:tcPr>
          <w:p w14:paraId="1C19E6F0" w14:textId="77777777" w:rsidR="00A37BC8" w:rsidRPr="00A37BC8" w:rsidRDefault="00A37BC8" w:rsidP="00A37BC8">
            <w:pPr>
              <w:spacing w:line="240" w:lineRule="auto"/>
              <w:rPr>
                <w:rFonts w:eastAsia="Times New Roman" w:cs="Arial"/>
                <w:szCs w:val="24"/>
              </w:rPr>
            </w:pPr>
            <w:r w:rsidRPr="00A37BC8">
              <w:rPr>
                <w:rFonts w:eastAsia="Times New Roman" w:cs="Arial"/>
                <w:color w:val="000000"/>
                <w:szCs w:val="20"/>
                <w:lang w:eastAsia="bg-BG"/>
              </w:rPr>
              <w:t>* Продължителност на ремисията, цензурирана по време на трансплантацията</w:t>
            </w:r>
          </w:p>
          <w:p w14:paraId="28BD50F1" w14:textId="77777777" w:rsidR="00A37BC8" w:rsidRPr="00A37BC8" w:rsidRDefault="00A37BC8" w:rsidP="00A37BC8">
            <w:pPr>
              <w:spacing w:line="240" w:lineRule="auto"/>
              <w:rPr>
                <w:rFonts w:eastAsia="Times New Roman" w:cs="Arial"/>
                <w:szCs w:val="24"/>
              </w:rPr>
            </w:pPr>
            <w:r w:rsidRPr="00A37BC8">
              <w:rPr>
                <w:rFonts w:eastAsia="Times New Roman" w:cs="Arial"/>
                <w:color w:val="000000"/>
                <w:szCs w:val="20"/>
                <w:lang w:eastAsia="bg-BG"/>
              </w:rPr>
              <w:t>** Пациент, получил трансплантация след алтернативна терапия</w:t>
            </w:r>
          </w:p>
          <w:p w14:paraId="61C9BEBA" w14:textId="01D6F988" w:rsidR="00A37BC8" w:rsidRPr="00A37BC8" w:rsidRDefault="00A37BC8" w:rsidP="00A37BC8">
            <w:pPr>
              <w:rPr>
                <w:rFonts w:cs="Arial"/>
                <w:b/>
                <w:szCs w:val="24"/>
                <w:lang w:val="ru-RU"/>
              </w:rPr>
            </w:pPr>
            <w:r w:rsidRPr="00A37BC8">
              <w:rPr>
                <w:rFonts w:eastAsia="Times New Roman" w:cs="Arial"/>
                <w:color w:val="000000"/>
                <w:szCs w:val="20"/>
                <w:lang w:eastAsia="bg-BG"/>
              </w:rPr>
              <w:t>*** Пациент, получил трансплантация след рецидив</w:t>
            </w:r>
          </w:p>
        </w:tc>
      </w:tr>
    </w:tbl>
    <w:p w14:paraId="7D39B8AF" w14:textId="77777777" w:rsidR="00A37BC8" w:rsidRPr="00A37BC8" w:rsidRDefault="00A37BC8" w:rsidP="00A37BC8">
      <w:pPr>
        <w:rPr>
          <w:b/>
          <w:sz w:val="24"/>
          <w:szCs w:val="24"/>
          <w:lang w:val="ru-RU"/>
        </w:rPr>
      </w:pPr>
    </w:p>
    <w:p w14:paraId="78DD93AA" w14:textId="515DDF53" w:rsidR="00B6672E" w:rsidRDefault="002C50EE" w:rsidP="00936AD0">
      <w:pPr>
        <w:pStyle w:val="Heading2"/>
      </w:pPr>
      <w:r>
        <w:t>5.2. Фармакокинетични свойства</w:t>
      </w:r>
    </w:p>
    <w:p w14:paraId="194D52B0" w14:textId="4669F41E" w:rsidR="00A37BC8" w:rsidRDefault="00A37BC8" w:rsidP="00A37BC8"/>
    <w:p w14:paraId="1D4BD9D7"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u w:val="single"/>
          <w:lang w:eastAsia="bg-BG"/>
        </w:rPr>
        <w:t>Абсорбция и разпределение</w:t>
      </w:r>
    </w:p>
    <w:p w14:paraId="3B981A14" w14:textId="77777777" w:rsidR="00A37BC8" w:rsidRPr="00A37BC8" w:rsidRDefault="00A37BC8" w:rsidP="00A37BC8">
      <w:pPr>
        <w:spacing w:line="240" w:lineRule="auto"/>
        <w:rPr>
          <w:rFonts w:eastAsia="Times New Roman" w:cs="Arial"/>
          <w:color w:val="000000"/>
          <w:szCs w:val="20"/>
          <w:lang w:eastAsia="bg-BG"/>
        </w:rPr>
      </w:pPr>
    </w:p>
    <w:p w14:paraId="01F0D2F1" w14:textId="0ED9261F"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Фармакокинетиката на клофарабин е проучена при 40 пациенти на възраст между 2 и 19 години с рецидивирала или рефракретна ОЛЛ или ОМЛ. Пациентите са включени в едно проучване във фаза I (</w:t>
      </w:r>
      <w:r w:rsidRPr="00A37BC8">
        <w:rPr>
          <w:rFonts w:eastAsia="Times New Roman" w:cs="Arial"/>
          <w:color w:val="000000"/>
          <w:szCs w:val="20"/>
          <w:lang w:val="en-US"/>
        </w:rPr>
        <w:t>n</w:t>
      </w:r>
      <w:r w:rsidRPr="00A37BC8">
        <w:rPr>
          <w:rFonts w:eastAsia="Times New Roman" w:cs="Arial"/>
          <w:color w:val="000000"/>
          <w:szCs w:val="20"/>
          <w:lang w:eastAsia="bg-BG"/>
        </w:rPr>
        <w:t xml:space="preserve"> = 12) или две във фаза </w:t>
      </w:r>
      <w:r w:rsidRPr="00A37BC8">
        <w:rPr>
          <w:rFonts w:eastAsia="Times New Roman" w:cs="Arial"/>
          <w:color w:val="000000"/>
          <w:szCs w:val="20"/>
          <w:lang w:val="en-US"/>
        </w:rPr>
        <w:t>II</w:t>
      </w:r>
      <w:r w:rsidRPr="00A37BC8">
        <w:rPr>
          <w:rFonts w:eastAsia="Times New Roman" w:cs="Arial"/>
          <w:color w:val="000000"/>
          <w:szCs w:val="20"/>
          <w:lang w:eastAsia="bg-BG"/>
        </w:rPr>
        <w:t xml:space="preserve"> (</w:t>
      </w:r>
      <w:r w:rsidRPr="00A37BC8">
        <w:rPr>
          <w:rFonts w:eastAsia="Times New Roman" w:cs="Arial"/>
          <w:color w:val="000000"/>
          <w:szCs w:val="20"/>
          <w:lang w:val="en-US"/>
        </w:rPr>
        <w:t>n</w:t>
      </w:r>
      <w:r w:rsidRPr="00A37BC8">
        <w:rPr>
          <w:rFonts w:eastAsia="Times New Roman" w:cs="Arial"/>
          <w:color w:val="000000"/>
          <w:szCs w:val="20"/>
          <w:lang w:eastAsia="bg-BG"/>
        </w:rPr>
        <w:t xml:space="preserve"> = 14 / </w:t>
      </w:r>
      <w:r w:rsidRPr="00A37BC8">
        <w:rPr>
          <w:rFonts w:eastAsia="Times New Roman" w:cs="Arial"/>
          <w:color w:val="000000"/>
          <w:szCs w:val="20"/>
          <w:lang w:val="en-US"/>
        </w:rPr>
        <w:t>n</w:t>
      </w:r>
      <w:r w:rsidRPr="00A37BC8">
        <w:rPr>
          <w:rFonts w:eastAsia="Times New Roman" w:cs="Arial"/>
          <w:color w:val="000000"/>
          <w:szCs w:val="20"/>
          <w:lang w:eastAsia="bg-BG"/>
        </w:rPr>
        <w:t>= 14) проучвания за безопасност и ефикасност и са получавали многократни дози клофарабин чрез интравенозна инфузия (вж. точка 5.1).</w:t>
      </w:r>
    </w:p>
    <w:p w14:paraId="69C6F5FE" w14:textId="3940AF75" w:rsidR="00A37BC8" w:rsidRDefault="00A37BC8" w:rsidP="00A37BC8"/>
    <w:tbl>
      <w:tblPr>
        <w:tblStyle w:val="TableGrid"/>
        <w:tblW w:w="0" w:type="auto"/>
        <w:tblLook w:val="04A0" w:firstRow="1" w:lastRow="0" w:firstColumn="1" w:lastColumn="0" w:noHBand="0" w:noVBand="1"/>
      </w:tblPr>
      <w:tblGrid>
        <w:gridCol w:w="3121"/>
        <w:gridCol w:w="3147"/>
        <w:gridCol w:w="3082"/>
      </w:tblGrid>
      <w:tr w:rsidR="00A37BC8" w14:paraId="0640A399" w14:textId="77777777" w:rsidTr="00BC6AF3">
        <w:tc>
          <w:tcPr>
            <w:tcW w:w="9576" w:type="dxa"/>
            <w:gridSpan w:val="3"/>
          </w:tcPr>
          <w:p w14:paraId="0D656782" w14:textId="46B22D53" w:rsidR="00A37BC8" w:rsidRPr="00A37BC8" w:rsidRDefault="00A37BC8" w:rsidP="00A37BC8">
            <w:pPr>
              <w:rPr>
                <w:b/>
              </w:rPr>
            </w:pPr>
            <w:r w:rsidRPr="00A37BC8">
              <w:rPr>
                <w:b/>
                <w:lang w:eastAsia="bg-BG"/>
              </w:rPr>
              <w:t>Фармакокинетика при пациенти на възраст от 2 до 19 години с рецидивирала или рефрактерна ОЛЛ или ОМЛ след прилагане на многократни дози клофарабин чрез интравенозна инфузия</w:t>
            </w:r>
          </w:p>
        </w:tc>
      </w:tr>
      <w:tr w:rsidR="00A37BC8" w14:paraId="145B234F" w14:textId="77777777" w:rsidTr="00E96260">
        <w:tc>
          <w:tcPr>
            <w:tcW w:w="3192" w:type="dxa"/>
          </w:tcPr>
          <w:p w14:paraId="78D0CEFD" w14:textId="4442A5B2" w:rsidR="00A37BC8" w:rsidRPr="00A37BC8" w:rsidRDefault="00A37BC8" w:rsidP="00A37BC8">
            <w:r w:rsidRPr="00A37BC8">
              <w:rPr>
                <w:b/>
                <w:bCs/>
                <w:szCs w:val="20"/>
              </w:rPr>
              <w:t>Параметър</w:t>
            </w:r>
          </w:p>
        </w:tc>
        <w:tc>
          <w:tcPr>
            <w:tcW w:w="3192" w:type="dxa"/>
            <w:vAlign w:val="bottom"/>
          </w:tcPr>
          <w:p w14:paraId="7DA1B8C4" w14:textId="4BDB6CCA" w:rsidR="00A37BC8" w:rsidRPr="00A37BC8" w:rsidRDefault="00A37BC8" w:rsidP="00A37BC8">
            <w:r w:rsidRPr="00A37BC8">
              <w:rPr>
                <w:b/>
                <w:bCs/>
                <w:szCs w:val="20"/>
              </w:rPr>
              <w:t>Оценка на база некомпартиментен анализ (</w:t>
            </w:r>
            <w:r w:rsidRPr="00A37BC8">
              <w:rPr>
                <w:b/>
                <w:bCs/>
                <w:szCs w:val="20"/>
                <w:lang w:val="en-US"/>
              </w:rPr>
              <w:t>n</w:t>
            </w:r>
            <w:r w:rsidRPr="00A37BC8">
              <w:rPr>
                <w:b/>
                <w:bCs/>
                <w:szCs w:val="20"/>
              </w:rPr>
              <w:t xml:space="preserve"> = 14/ </w:t>
            </w:r>
            <w:r w:rsidRPr="00A37BC8">
              <w:rPr>
                <w:b/>
                <w:bCs/>
                <w:szCs w:val="20"/>
                <w:lang w:val="en-US"/>
              </w:rPr>
              <w:t>n</w:t>
            </w:r>
            <w:r w:rsidRPr="00A37BC8">
              <w:rPr>
                <w:b/>
                <w:bCs/>
                <w:szCs w:val="20"/>
              </w:rPr>
              <w:t xml:space="preserve"> = 14)</w:t>
            </w:r>
          </w:p>
        </w:tc>
        <w:tc>
          <w:tcPr>
            <w:tcW w:w="3192" w:type="dxa"/>
          </w:tcPr>
          <w:p w14:paraId="403A36F5" w14:textId="3BE95407" w:rsidR="00A37BC8" w:rsidRPr="00A37BC8" w:rsidRDefault="00A37BC8" w:rsidP="00A37BC8">
            <w:r w:rsidRPr="00A37BC8">
              <w:rPr>
                <w:b/>
                <w:bCs/>
                <w:szCs w:val="20"/>
              </w:rPr>
              <w:t>Оценка на база друг анализ</w:t>
            </w:r>
          </w:p>
        </w:tc>
      </w:tr>
      <w:tr w:rsidR="00A37BC8" w14:paraId="78DCE65D" w14:textId="77777777" w:rsidTr="00FB7838">
        <w:tc>
          <w:tcPr>
            <w:tcW w:w="9576" w:type="dxa"/>
            <w:gridSpan w:val="3"/>
          </w:tcPr>
          <w:p w14:paraId="38ADA698" w14:textId="535019A0" w:rsidR="00A37BC8" w:rsidRPr="00A37BC8" w:rsidRDefault="00A37BC8" w:rsidP="00A37BC8">
            <w:pPr>
              <w:rPr>
                <w:b/>
                <w:i/>
              </w:rPr>
            </w:pPr>
            <w:r w:rsidRPr="00A37BC8">
              <w:rPr>
                <w:b/>
                <w:i/>
                <w:lang w:eastAsia="bg-BG"/>
              </w:rPr>
              <w:t>Разпределение:</w:t>
            </w:r>
          </w:p>
        </w:tc>
      </w:tr>
      <w:tr w:rsidR="00A37BC8" w14:paraId="5DEDBFEC" w14:textId="77777777" w:rsidTr="00A37BC8">
        <w:tc>
          <w:tcPr>
            <w:tcW w:w="3192" w:type="dxa"/>
          </w:tcPr>
          <w:p w14:paraId="4D7E731F" w14:textId="2EEF0A09" w:rsidR="00A37BC8" w:rsidRPr="00A37BC8" w:rsidRDefault="00A37BC8" w:rsidP="00A37BC8">
            <w:r w:rsidRPr="00A37BC8">
              <w:rPr>
                <w:szCs w:val="20"/>
              </w:rPr>
              <w:t>Обем на разпределение (стационарен)</w:t>
            </w:r>
          </w:p>
        </w:tc>
        <w:tc>
          <w:tcPr>
            <w:tcW w:w="3192" w:type="dxa"/>
          </w:tcPr>
          <w:p w14:paraId="0713577D" w14:textId="493AC81E" w:rsidR="00A37BC8" w:rsidRPr="00A37BC8" w:rsidRDefault="00A37BC8" w:rsidP="00A37BC8">
            <w:pPr>
              <w:rPr>
                <w:lang w:val="en-US"/>
              </w:rPr>
            </w:pPr>
            <w:r>
              <w:rPr>
                <w:b/>
                <w:bCs/>
                <w:szCs w:val="20"/>
              </w:rPr>
              <w:t xml:space="preserve">172 </w:t>
            </w:r>
            <w:r>
              <w:rPr>
                <w:b/>
                <w:bCs/>
                <w:szCs w:val="20"/>
                <w:lang w:val="en-US"/>
              </w:rPr>
              <w:t>l/m</w:t>
            </w:r>
            <w:r w:rsidRPr="00A37BC8">
              <w:rPr>
                <w:b/>
                <w:bCs/>
                <w:szCs w:val="20"/>
                <w:vertAlign w:val="superscript"/>
                <w:lang w:val="en-US"/>
              </w:rPr>
              <w:t>2</w:t>
            </w:r>
          </w:p>
        </w:tc>
        <w:tc>
          <w:tcPr>
            <w:tcW w:w="3192" w:type="dxa"/>
          </w:tcPr>
          <w:p w14:paraId="0C10071E" w14:textId="77777777" w:rsidR="00A37BC8" w:rsidRPr="00A37BC8" w:rsidRDefault="00A37BC8" w:rsidP="00A37BC8"/>
        </w:tc>
      </w:tr>
      <w:tr w:rsidR="00A37BC8" w14:paraId="33FA249F" w14:textId="77777777" w:rsidTr="00A37BC8">
        <w:tc>
          <w:tcPr>
            <w:tcW w:w="3192" w:type="dxa"/>
          </w:tcPr>
          <w:p w14:paraId="04E89927" w14:textId="524FE233" w:rsidR="00A37BC8" w:rsidRPr="00A37BC8" w:rsidRDefault="00A37BC8" w:rsidP="00A37BC8">
            <w:r w:rsidRPr="00A37BC8">
              <w:rPr>
                <w:szCs w:val="20"/>
              </w:rPr>
              <w:t>Свързване с плазмените протеини</w:t>
            </w:r>
          </w:p>
        </w:tc>
        <w:tc>
          <w:tcPr>
            <w:tcW w:w="3192" w:type="dxa"/>
          </w:tcPr>
          <w:p w14:paraId="6A482D87" w14:textId="77777777" w:rsidR="00A37BC8" w:rsidRPr="00A37BC8" w:rsidRDefault="00A37BC8" w:rsidP="00A37BC8"/>
        </w:tc>
        <w:tc>
          <w:tcPr>
            <w:tcW w:w="3192" w:type="dxa"/>
          </w:tcPr>
          <w:p w14:paraId="6E07955E" w14:textId="5DA5A6AD" w:rsidR="00A37BC8" w:rsidRPr="00A37BC8" w:rsidRDefault="00A37BC8" w:rsidP="00A37BC8">
            <w:r w:rsidRPr="00A37BC8">
              <w:rPr>
                <w:rFonts w:cs="Arial"/>
                <w:szCs w:val="20"/>
              </w:rPr>
              <w:t>47,1%</w:t>
            </w:r>
          </w:p>
        </w:tc>
      </w:tr>
      <w:tr w:rsidR="00A37BC8" w14:paraId="4E5AB321" w14:textId="77777777" w:rsidTr="00A37BC8">
        <w:tc>
          <w:tcPr>
            <w:tcW w:w="3192" w:type="dxa"/>
          </w:tcPr>
          <w:p w14:paraId="1E5BA9C7" w14:textId="0410773A" w:rsidR="00A37BC8" w:rsidRPr="00A37BC8" w:rsidRDefault="00A37BC8" w:rsidP="00A37BC8">
            <w:r w:rsidRPr="00A37BC8">
              <w:rPr>
                <w:szCs w:val="20"/>
              </w:rPr>
              <w:t>Серумен албумин</w:t>
            </w:r>
          </w:p>
        </w:tc>
        <w:tc>
          <w:tcPr>
            <w:tcW w:w="3192" w:type="dxa"/>
          </w:tcPr>
          <w:p w14:paraId="3D8CEBBE" w14:textId="77777777" w:rsidR="00A37BC8" w:rsidRPr="00A37BC8" w:rsidRDefault="00A37BC8" w:rsidP="00A37BC8"/>
        </w:tc>
        <w:tc>
          <w:tcPr>
            <w:tcW w:w="3192" w:type="dxa"/>
          </w:tcPr>
          <w:p w14:paraId="623CB78E" w14:textId="06BA8E77" w:rsidR="00A37BC8" w:rsidRPr="00A37BC8" w:rsidRDefault="00A37BC8" w:rsidP="00A37BC8">
            <w:r w:rsidRPr="00A37BC8">
              <w:rPr>
                <w:szCs w:val="20"/>
              </w:rPr>
              <w:t>27,0%</w:t>
            </w:r>
          </w:p>
        </w:tc>
      </w:tr>
      <w:tr w:rsidR="00A37BC8" w14:paraId="61BCC77D" w14:textId="77777777" w:rsidTr="00F3744F">
        <w:tc>
          <w:tcPr>
            <w:tcW w:w="9576" w:type="dxa"/>
            <w:gridSpan w:val="3"/>
          </w:tcPr>
          <w:p w14:paraId="19515F2C" w14:textId="5919C30C" w:rsidR="00A37BC8" w:rsidRPr="00A37BC8" w:rsidRDefault="00A37BC8" w:rsidP="00A37BC8">
            <w:pPr>
              <w:rPr>
                <w:b/>
                <w:i/>
              </w:rPr>
            </w:pPr>
            <w:r w:rsidRPr="00A37BC8">
              <w:rPr>
                <w:b/>
                <w:i/>
                <w:lang w:eastAsia="bg-BG"/>
              </w:rPr>
              <w:t>Елиминиране:</w:t>
            </w:r>
          </w:p>
        </w:tc>
      </w:tr>
      <w:tr w:rsidR="00A37BC8" w14:paraId="13DC19B8" w14:textId="77777777" w:rsidTr="00A37BC8">
        <w:tc>
          <w:tcPr>
            <w:tcW w:w="3192" w:type="dxa"/>
          </w:tcPr>
          <w:p w14:paraId="223E0292" w14:textId="757EC057" w:rsidR="00A37BC8" w:rsidRPr="00A37BC8" w:rsidRDefault="00A37BC8" w:rsidP="00A37BC8">
            <w:r w:rsidRPr="00A37BC8">
              <w:rPr>
                <w:szCs w:val="20"/>
              </w:rPr>
              <w:t>β полуживот на клофарабин</w:t>
            </w:r>
          </w:p>
        </w:tc>
        <w:tc>
          <w:tcPr>
            <w:tcW w:w="3192" w:type="dxa"/>
          </w:tcPr>
          <w:p w14:paraId="3FF54DB1" w14:textId="1AA5C3AB" w:rsidR="00A37BC8" w:rsidRPr="00A37BC8" w:rsidRDefault="00A37BC8" w:rsidP="00A37BC8">
            <w:r w:rsidRPr="00A37BC8">
              <w:rPr>
                <w:szCs w:val="20"/>
              </w:rPr>
              <w:t>5,2 часа</w:t>
            </w:r>
          </w:p>
        </w:tc>
        <w:tc>
          <w:tcPr>
            <w:tcW w:w="3192" w:type="dxa"/>
          </w:tcPr>
          <w:p w14:paraId="40B2510C" w14:textId="77777777" w:rsidR="00A37BC8" w:rsidRPr="00A37BC8" w:rsidRDefault="00A37BC8" w:rsidP="00A37BC8"/>
        </w:tc>
      </w:tr>
      <w:tr w:rsidR="00A37BC8" w14:paraId="6B42B16F" w14:textId="77777777" w:rsidTr="00A37BC8">
        <w:tc>
          <w:tcPr>
            <w:tcW w:w="3192" w:type="dxa"/>
          </w:tcPr>
          <w:p w14:paraId="7DD371F2" w14:textId="64503D7A" w:rsidR="00A37BC8" w:rsidRPr="00A37BC8" w:rsidRDefault="00A37BC8" w:rsidP="00A37BC8">
            <w:r w:rsidRPr="00A37BC8">
              <w:rPr>
                <w:szCs w:val="20"/>
              </w:rPr>
              <w:t>Полуживот на клофарабин трифосфат</w:t>
            </w:r>
          </w:p>
        </w:tc>
        <w:tc>
          <w:tcPr>
            <w:tcW w:w="3192" w:type="dxa"/>
          </w:tcPr>
          <w:p w14:paraId="33C74368" w14:textId="77777777" w:rsidR="00A37BC8" w:rsidRPr="00A37BC8" w:rsidRDefault="00A37BC8" w:rsidP="00A37BC8"/>
        </w:tc>
        <w:tc>
          <w:tcPr>
            <w:tcW w:w="3192" w:type="dxa"/>
          </w:tcPr>
          <w:p w14:paraId="7E71B53C" w14:textId="755360A9" w:rsidR="00A37BC8" w:rsidRPr="00A37BC8" w:rsidRDefault="00A37BC8" w:rsidP="00A37BC8">
            <w:r w:rsidRPr="00A37BC8">
              <w:rPr>
                <w:szCs w:val="20"/>
              </w:rPr>
              <w:t>&gt; 24 часа</w:t>
            </w:r>
          </w:p>
        </w:tc>
      </w:tr>
      <w:tr w:rsidR="00A37BC8" w14:paraId="31D4E214" w14:textId="77777777" w:rsidTr="00A37BC8">
        <w:tc>
          <w:tcPr>
            <w:tcW w:w="3192" w:type="dxa"/>
          </w:tcPr>
          <w:p w14:paraId="789DEC3A" w14:textId="1AB03074" w:rsidR="00A37BC8" w:rsidRPr="00A37BC8" w:rsidRDefault="00A37BC8" w:rsidP="00A37BC8">
            <w:r w:rsidRPr="00A37BC8">
              <w:rPr>
                <w:szCs w:val="20"/>
              </w:rPr>
              <w:t>Системен клирънс</w:t>
            </w:r>
          </w:p>
        </w:tc>
        <w:tc>
          <w:tcPr>
            <w:tcW w:w="3192" w:type="dxa"/>
          </w:tcPr>
          <w:p w14:paraId="5D7C657B" w14:textId="743F8BC2" w:rsidR="00A37BC8" w:rsidRPr="00A37BC8" w:rsidRDefault="00A37BC8" w:rsidP="00A37BC8">
            <w:r w:rsidRPr="00A37BC8">
              <w:rPr>
                <w:szCs w:val="20"/>
              </w:rPr>
              <w:t xml:space="preserve">28,8 </w:t>
            </w:r>
            <w:r w:rsidRPr="00A37BC8">
              <w:rPr>
                <w:szCs w:val="20"/>
                <w:lang w:val="en-US"/>
              </w:rPr>
              <w:t>1/h/m</w:t>
            </w:r>
            <w:r w:rsidRPr="00A37BC8">
              <w:rPr>
                <w:szCs w:val="20"/>
                <w:vertAlign w:val="superscript"/>
                <w:lang w:val="en-US"/>
              </w:rPr>
              <w:t>2</w:t>
            </w:r>
          </w:p>
        </w:tc>
        <w:tc>
          <w:tcPr>
            <w:tcW w:w="3192" w:type="dxa"/>
          </w:tcPr>
          <w:p w14:paraId="084DF5A1" w14:textId="77777777" w:rsidR="00A37BC8" w:rsidRPr="00A37BC8" w:rsidRDefault="00A37BC8" w:rsidP="00A37BC8"/>
        </w:tc>
      </w:tr>
      <w:tr w:rsidR="00A37BC8" w14:paraId="3B18C6ED" w14:textId="77777777" w:rsidTr="00A37BC8">
        <w:tc>
          <w:tcPr>
            <w:tcW w:w="3192" w:type="dxa"/>
          </w:tcPr>
          <w:p w14:paraId="44E18577" w14:textId="77777777" w:rsidR="00A37BC8" w:rsidRPr="00A37BC8" w:rsidRDefault="00A37BC8" w:rsidP="00A37BC8"/>
          <w:p w14:paraId="4EF1E2C5" w14:textId="1ACA06F7" w:rsidR="00A37BC8" w:rsidRPr="00A37BC8" w:rsidRDefault="00A37BC8" w:rsidP="00A37BC8">
            <w:r w:rsidRPr="00A37BC8">
              <w:rPr>
                <w:szCs w:val="20"/>
              </w:rPr>
              <w:t>Бъбречен клирънс</w:t>
            </w:r>
          </w:p>
        </w:tc>
        <w:tc>
          <w:tcPr>
            <w:tcW w:w="3192" w:type="dxa"/>
          </w:tcPr>
          <w:p w14:paraId="309580AD" w14:textId="5379F850" w:rsidR="00A37BC8" w:rsidRPr="00A37BC8" w:rsidRDefault="00A37BC8" w:rsidP="00A37BC8">
            <w:r w:rsidRPr="00A37BC8">
              <w:rPr>
                <w:szCs w:val="20"/>
                <w:lang w:val="en-US"/>
              </w:rPr>
              <w:t>10,81/h/m</w:t>
            </w:r>
            <w:r w:rsidRPr="00A37BC8">
              <w:rPr>
                <w:szCs w:val="20"/>
                <w:vertAlign w:val="superscript"/>
                <w:lang w:val="en-US"/>
              </w:rPr>
              <w:t>2</w:t>
            </w:r>
          </w:p>
        </w:tc>
        <w:tc>
          <w:tcPr>
            <w:tcW w:w="3192" w:type="dxa"/>
          </w:tcPr>
          <w:p w14:paraId="72762FE8" w14:textId="77777777" w:rsidR="00A37BC8" w:rsidRPr="00A37BC8" w:rsidRDefault="00A37BC8" w:rsidP="00A37BC8"/>
        </w:tc>
      </w:tr>
      <w:tr w:rsidR="00A37BC8" w14:paraId="798DD2C9" w14:textId="77777777" w:rsidTr="00A37BC8">
        <w:tc>
          <w:tcPr>
            <w:tcW w:w="3192" w:type="dxa"/>
          </w:tcPr>
          <w:p w14:paraId="40943E73" w14:textId="0937F2F4" w:rsidR="00A37BC8" w:rsidRPr="00A37BC8" w:rsidRDefault="00A37BC8" w:rsidP="00A37BC8">
            <w:r w:rsidRPr="00A37BC8">
              <w:rPr>
                <w:szCs w:val="20"/>
              </w:rPr>
              <w:t>Екскретирана в урината доза</w:t>
            </w:r>
          </w:p>
        </w:tc>
        <w:tc>
          <w:tcPr>
            <w:tcW w:w="3192" w:type="dxa"/>
          </w:tcPr>
          <w:p w14:paraId="122C9F24" w14:textId="42701E9B" w:rsidR="00A37BC8" w:rsidRPr="00A37BC8" w:rsidRDefault="00A37BC8" w:rsidP="00A37BC8">
            <w:r w:rsidRPr="00A37BC8">
              <w:rPr>
                <w:szCs w:val="20"/>
              </w:rPr>
              <w:t>57%</w:t>
            </w:r>
          </w:p>
        </w:tc>
        <w:tc>
          <w:tcPr>
            <w:tcW w:w="3192" w:type="dxa"/>
          </w:tcPr>
          <w:p w14:paraId="54E1E7FE" w14:textId="77777777" w:rsidR="00A37BC8" w:rsidRPr="00A37BC8" w:rsidRDefault="00A37BC8" w:rsidP="00A37BC8"/>
        </w:tc>
      </w:tr>
    </w:tbl>
    <w:p w14:paraId="0197FAE4" w14:textId="62530157" w:rsidR="00A37BC8" w:rsidRDefault="00A37BC8" w:rsidP="00A37BC8"/>
    <w:p w14:paraId="2F28CCE2" w14:textId="77777777" w:rsidR="00A37BC8" w:rsidRPr="00A37BC8" w:rsidRDefault="00A37BC8" w:rsidP="00A37BC8">
      <w:pPr>
        <w:spacing w:line="240" w:lineRule="auto"/>
        <w:rPr>
          <w:rFonts w:eastAsia="Times New Roman" w:cs="Arial"/>
        </w:rPr>
      </w:pPr>
      <w:r w:rsidRPr="00A37BC8">
        <w:rPr>
          <w:rFonts w:eastAsia="Times New Roman" w:cs="Arial"/>
          <w:color w:val="000000"/>
          <w:lang w:eastAsia="bg-BG"/>
        </w:rPr>
        <w:t xml:space="preserve">Мултивариантен анализ показва, че фармакокинетиката на клофарабин зависи от теглото и въпреки, че е установено, че левкоцитният брой влияе върху фармакокинетиката на клофарабин, това не е достатъчно за индивидуализране на схемата на прилагане на даден пациент въз основа на броя на левкоцитите. Интравенозната инфузия на 52 </w:t>
      </w:r>
      <w:r w:rsidRPr="00A37BC8">
        <w:rPr>
          <w:rFonts w:eastAsia="Times New Roman" w:cs="Arial"/>
          <w:i/>
          <w:iCs/>
          <w:color w:val="000000"/>
          <w:lang w:val="en-US"/>
        </w:rPr>
        <w:t>mg</w:t>
      </w:r>
      <w:r w:rsidRPr="00A37BC8">
        <w:rPr>
          <w:rFonts w:eastAsia="Times New Roman" w:cs="Arial"/>
          <w:i/>
          <w:iCs/>
          <w:color w:val="000000"/>
          <w:lang w:val="ru-RU"/>
        </w:rPr>
        <w:t>/</w:t>
      </w:r>
      <w:r w:rsidRPr="00A37BC8">
        <w:rPr>
          <w:rFonts w:eastAsia="Times New Roman" w:cs="Arial"/>
          <w:i/>
          <w:iCs/>
          <w:color w:val="000000"/>
          <w:lang w:val="en-US"/>
        </w:rPr>
        <w:t>m</w:t>
      </w:r>
      <w:r w:rsidRPr="00A37BC8">
        <w:rPr>
          <w:rFonts w:eastAsia="Times New Roman" w:cs="Arial"/>
          <w:i/>
          <w:iCs/>
          <w:color w:val="000000"/>
          <w:vertAlign w:val="superscript"/>
          <w:lang w:val="ru-RU"/>
        </w:rPr>
        <w:t>2</w:t>
      </w:r>
      <w:r w:rsidRPr="00A37BC8">
        <w:rPr>
          <w:rFonts w:eastAsia="Times New Roman" w:cs="Arial"/>
          <w:color w:val="000000"/>
          <w:lang w:val="ru-RU"/>
        </w:rPr>
        <w:t xml:space="preserve"> </w:t>
      </w:r>
      <w:r w:rsidRPr="00A37BC8">
        <w:rPr>
          <w:rFonts w:eastAsia="Times New Roman" w:cs="Arial"/>
          <w:color w:val="000000"/>
          <w:lang w:eastAsia="bg-BG"/>
        </w:rPr>
        <w:t>клофарабин води до еквивалентна експозиция при тегло в широки граници. С</w:t>
      </w:r>
      <w:r w:rsidRPr="00A37BC8">
        <w:rPr>
          <w:rFonts w:eastAsia="Times New Roman" w:cs="Arial"/>
          <w:color w:val="000000"/>
          <w:lang w:val="en-US"/>
        </w:rPr>
        <w:t>max</w:t>
      </w:r>
      <w:r w:rsidRPr="00A37BC8">
        <w:rPr>
          <w:rFonts w:eastAsia="Times New Roman" w:cs="Arial"/>
          <w:color w:val="000000"/>
          <w:lang w:eastAsia="bg-BG"/>
        </w:rPr>
        <w:t xml:space="preserve">,обаче, е обратно пропорционална на теглото на пациента и по тази причина малки деца може да имат по-висока Стах в края на инфузията, отколкото типично 40-килограмово дете, на което се дава същата доза клофарабин на </w:t>
      </w:r>
      <w:r w:rsidRPr="00A37BC8">
        <w:rPr>
          <w:rFonts w:eastAsia="Times New Roman" w:cs="Arial"/>
          <w:color w:val="000000"/>
          <w:lang w:val="en-US"/>
        </w:rPr>
        <w:t>m</w:t>
      </w:r>
      <w:r w:rsidRPr="00A37BC8">
        <w:rPr>
          <w:rFonts w:eastAsia="Times New Roman" w:cs="Arial"/>
          <w:color w:val="000000"/>
          <w:vertAlign w:val="superscript"/>
          <w:lang w:eastAsia="bg-BG"/>
        </w:rPr>
        <w:t>2</w:t>
      </w:r>
      <w:r w:rsidRPr="00A37BC8">
        <w:rPr>
          <w:rFonts w:eastAsia="Times New Roman" w:cs="Arial"/>
          <w:color w:val="000000"/>
          <w:lang w:eastAsia="bg-BG"/>
        </w:rPr>
        <w:t xml:space="preserve">. Съответно, при деца с тегло &lt; 20 </w:t>
      </w:r>
      <w:r w:rsidRPr="00A37BC8">
        <w:rPr>
          <w:rFonts w:eastAsia="Times New Roman" w:cs="Arial"/>
          <w:color w:val="000000"/>
          <w:lang w:val="en-US"/>
        </w:rPr>
        <w:t>kg</w:t>
      </w:r>
      <w:r w:rsidRPr="00A37BC8">
        <w:rPr>
          <w:rFonts w:eastAsia="Times New Roman" w:cs="Arial"/>
          <w:color w:val="000000"/>
          <w:lang w:val="ru-RU"/>
        </w:rPr>
        <w:t xml:space="preserve"> </w:t>
      </w:r>
      <w:r w:rsidRPr="00A37BC8">
        <w:rPr>
          <w:rFonts w:eastAsia="Times New Roman" w:cs="Arial"/>
          <w:color w:val="000000"/>
          <w:lang w:eastAsia="bg-BG"/>
        </w:rPr>
        <w:t>трябва да се обмисли по-дългото време на инфузия (вж. точка 4.2).</w:t>
      </w:r>
    </w:p>
    <w:p w14:paraId="1EFE8201" w14:textId="77777777" w:rsidR="00A37BC8" w:rsidRPr="00A37BC8" w:rsidRDefault="00A37BC8" w:rsidP="00A37BC8">
      <w:pPr>
        <w:spacing w:line="240" w:lineRule="auto"/>
        <w:rPr>
          <w:rFonts w:eastAsia="Times New Roman" w:cs="Arial"/>
          <w:color w:val="000000"/>
          <w:lang w:eastAsia="bg-BG"/>
        </w:rPr>
      </w:pPr>
    </w:p>
    <w:p w14:paraId="4B48C135" w14:textId="322A6201" w:rsidR="00A37BC8" w:rsidRPr="00A37BC8" w:rsidRDefault="00A37BC8" w:rsidP="00A37BC8">
      <w:pPr>
        <w:spacing w:line="240" w:lineRule="auto"/>
        <w:rPr>
          <w:rFonts w:eastAsia="Times New Roman" w:cs="Arial"/>
        </w:rPr>
      </w:pPr>
      <w:r w:rsidRPr="00A37BC8">
        <w:rPr>
          <w:rFonts w:eastAsia="Times New Roman" w:cs="Arial"/>
          <w:color w:val="000000"/>
          <w:lang w:eastAsia="bg-BG"/>
        </w:rPr>
        <w:t>Биотрансформация и елиминиране</w:t>
      </w:r>
    </w:p>
    <w:p w14:paraId="11886905" w14:textId="77777777" w:rsidR="00A37BC8" w:rsidRPr="00A37BC8" w:rsidRDefault="00A37BC8" w:rsidP="00A37BC8">
      <w:pPr>
        <w:spacing w:line="240" w:lineRule="auto"/>
        <w:rPr>
          <w:rFonts w:eastAsia="Times New Roman" w:cs="Arial"/>
          <w:color w:val="000000"/>
          <w:lang w:eastAsia="bg-BG"/>
        </w:rPr>
      </w:pPr>
    </w:p>
    <w:p w14:paraId="4128F68E" w14:textId="24CE1856" w:rsidR="00A37BC8" w:rsidRPr="00A37BC8" w:rsidRDefault="00A37BC8" w:rsidP="00A37BC8">
      <w:pPr>
        <w:spacing w:line="240" w:lineRule="auto"/>
        <w:rPr>
          <w:rFonts w:eastAsia="Times New Roman" w:cs="Arial"/>
        </w:rPr>
      </w:pPr>
      <w:r w:rsidRPr="00A37BC8">
        <w:rPr>
          <w:rFonts w:eastAsia="Times New Roman" w:cs="Arial"/>
          <w:color w:val="000000"/>
          <w:lang w:eastAsia="bg-BG"/>
        </w:rPr>
        <w:t xml:space="preserve">Клофарабин се елиминира чрез комбинация от бъбречна и небъбречна екскреция. Около 60% от дозата се екскретира непроменена в урината след 24 часа. Стойностите на клирънса на клофарабин се оказват много по-високи от скоростта на гломеруларната филтрация, което предполага, че филтрацията и тубулната екскреция са механизмите на реналното елиминиране. Тъй като, обаче, клофарабин не се метаболизира откриваемо от цитохром Р450 </w:t>
      </w:r>
      <w:r w:rsidRPr="00A37BC8">
        <w:rPr>
          <w:rFonts w:eastAsia="Times New Roman" w:cs="Arial"/>
          <w:color w:val="000000"/>
          <w:lang w:val="ru-RU"/>
        </w:rPr>
        <w:t>(</w:t>
      </w:r>
      <w:r w:rsidRPr="00A37BC8">
        <w:rPr>
          <w:rFonts w:eastAsia="Times New Roman" w:cs="Arial"/>
          <w:color w:val="000000"/>
          <w:lang w:val="en-US"/>
        </w:rPr>
        <w:t>CYP</w:t>
      </w:r>
      <w:r w:rsidRPr="00A37BC8">
        <w:rPr>
          <w:rFonts w:eastAsia="Times New Roman" w:cs="Arial"/>
          <w:color w:val="000000"/>
          <w:lang w:val="ru-RU"/>
        </w:rPr>
        <w:t xml:space="preserve">) </w:t>
      </w:r>
      <w:r w:rsidRPr="00A37BC8">
        <w:rPr>
          <w:rFonts w:eastAsia="Times New Roman" w:cs="Arial"/>
          <w:color w:val="000000"/>
          <w:lang w:eastAsia="bg-BG"/>
        </w:rPr>
        <w:t>ензимната система, понастоящем пътищата на неренално елиминиране остават неизвестни.</w:t>
      </w:r>
    </w:p>
    <w:p w14:paraId="41CB62F7" w14:textId="77777777" w:rsidR="00A37BC8" w:rsidRPr="00A37BC8" w:rsidRDefault="00A37BC8" w:rsidP="00A37BC8">
      <w:pPr>
        <w:spacing w:line="240" w:lineRule="auto"/>
        <w:rPr>
          <w:rFonts w:eastAsia="Times New Roman" w:cs="Arial"/>
          <w:color w:val="000000"/>
          <w:lang w:eastAsia="bg-BG"/>
        </w:rPr>
      </w:pPr>
    </w:p>
    <w:p w14:paraId="5B87796E" w14:textId="3931AD1F" w:rsidR="00A37BC8" w:rsidRPr="00A37BC8" w:rsidRDefault="00A37BC8" w:rsidP="00A37BC8">
      <w:pPr>
        <w:spacing w:line="240" w:lineRule="auto"/>
        <w:rPr>
          <w:rFonts w:eastAsia="Times New Roman" w:cs="Arial"/>
        </w:rPr>
      </w:pPr>
      <w:r w:rsidRPr="00A37BC8">
        <w:rPr>
          <w:rFonts w:eastAsia="Times New Roman" w:cs="Arial"/>
          <w:color w:val="000000"/>
          <w:lang w:eastAsia="bg-BG"/>
        </w:rPr>
        <w:t>Не се наблюдава видима разлика във фармакокинетиката между пациенти с ОЛЛ или ОМЛ, или между мъже и жени.</w:t>
      </w:r>
    </w:p>
    <w:p w14:paraId="51CFE56F" w14:textId="77777777" w:rsidR="00A37BC8" w:rsidRPr="00A37BC8" w:rsidRDefault="00A37BC8" w:rsidP="00A37BC8">
      <w:pPr>
        <w:spacing w:line="240" w:lineRule="auto"/>
        <w:rPr>
          <w:rFonts w:eastAsia="Times New Roman" w:cs="Arial"/>
          <w:color w:val="000000"/>
          <w:lang w:eastAsia="bg-BG"/>
        </w:rPr>
      </w:pPr>
    </w:p>
    <w:p w14:paraId="774A549D" w14:textId="32A07C5E" w:rsidR="00A37BC8" w:rsidRPr="00A37BC8" w:rsidRDefault="00A37BC8" w:rsidP="00A37BC8">
      <w:pPr>
        <w:spacing w:line="240" w:lineRule="auto"/>
        <w:rPr>
          <w:rFonts w:eastAsia="Times New Roman" w:cs="Arial"/>
        </w:rPr>
      </w:pPr>
      <w:r w:rsidRPr="00A37BC8">
        <w:rPr>
          <w:rFonts w:eastAsia="Times New Roman" w:cs="Arial"/>
          <w:color w:val="000000"/>
          <w:lang w:eastAsia="bg-BG"/>
        </w:rPr>
        <w:t>При тази популация не е установена зависимост между експозицията на клофарабин или клофарабин трифосфат и тяхната ефикасност или токсичност.</w:t>
      </w:r>
    </w:p>
    <w:p w14:paraId="6923AE6D" w14:textId="77777777" w:rsidR="00A37BC8" w:rsidRPr="00A37BC8" w:rsidRDefault="00A37BC8" w:rsidP="00A37BC8">
      <w:pPr>
        <w:spacing w:line="240" w:lineRule="auto"/>
        <w:rPr>
          <w:rFonts w:eastAsia="Times New Roman" w:cs="Arial"/>
          <w:color w:val="000000"/>
          <w:u w:val="single"/>
          <w:lang w:eastAsia="bg-BG"/>
        </w:rPr>
      </w:pPr>
    </w:p>
    <w:p w14:paraId="799CFB33" w14:textId="2FA1B183" w:rsidR="00A37BC8" w:rsidRPr="00A37BC8" w:rsidRDefault="00A37BC8" w:rsidP="00A37BC8">
      <w:pPr>
        <w:spacing w:line="240" w:lineRule="auto"/>
        <w:rPr>
          <w:rFonts w:eastAsia="Times New Roman" w:cs="Arial"/>
        </w:rPr>
      </w:pPr>
      <w:r w:rsidRPr="00A37BC8">
        <w:rPr>
          <w:rFonts w:eastAsia="Times New Roman" w:cs="Arial"/>
          <w:color w:val="000000"/>
          <w:u w:val="single"/>
          <w:lang w:eastAsia="bg-BG"/>
        </w:rPr>
        <w:t>Специални групи пациенти</w:t>
      </w:r>
    </w:p>
    <w:p w14:paraId="0486992F" w14:textId="77777777" w:rsidR="00A37BC8" w:rsidRPr="00A37BC8" w:rsidRDefault="00A37BC8" w:rsidP="00A37BC8">
      <w:pPr>
        <w:spacing w:line="240" w:lineRule="auto"/>
        <w:rPr>
          <w:rFonts w:eastAsia="Times New Roman" w:cs="Arial"/>
          <w:i/>
          <w:iCs/>
          <w:color w:val="000000"/>
          <w:u w:val="single"/>
          <w:lang w:eastAsia="bg-BG"/>
        </w:rPr>
      </w:pPr>
    </w:p>
    <w:p w14:paraId="165DD096" w14:textId="18E78283" w:rsidR="00A37BC8" w:rsidRPr="00A37BC8" w:rsidRDefault="00A37BC8" w:rsidP="00A37BC8">
      <w:pPr>
        <w:spacing w:line="240" w:lineRule="auto"/>
        <w:rPr>
          <w:rFonts w:eastAsia="Times New Roman" w:cs="Arial"/>
        </w:rPr>
      </w:pPr>
      <w:r w:rsidRPr="00A37BC8">
        <w:rPr>
          <w:rFonts w:eastAsia="Times New Roman" w:cs="Arial"/>
          <w:i/>
          <w:iCs/>
          <w:color w:val="000000"/>
          <w:u w:val="single"/>
          <w:lang w:eastAsia="bg-BG"/>
        </w:rPr>
        <w:t>Възрастни (възраст &gt; 21 и &lt; 65 години)</w:t>
      </w:r>
    </w:p>
    <w:p w14:paraId="2817C41D" w14:textId="77777777" w:rsidR="00A37BC8" w:rsidRPr="00A37BC8" w:rsidRDefault="00A37BC8" w:rsidP="00A37BC8">
      <w:pPr>
        <w:spacing w:line="240" w:lineRule="auto"/>
        <w:rPr>
          <w:rFonts w:eastAsia="Times New Roman" w:cs="Arial"/>
        </w:rPr>
      </w:pPr>
      <w:r w:rsidRPr="00A37BC8">
        <w:rPr>
          <w:rFonts w:eastAsia="Times New Roman" w:cs="Arial"/>
          <w:color w:val="000000"/>
          <w:lang w:eastAsia="bg-BG"/>
        </w:rPr>
        <w:t xml:space="preserve">До този момент няма достатъчно данни за установяване на безопасността и ефикасността на клофарабин при възрастни пациенти. Фармакокинетиката на клофарабин, обаче, при възрастни с рецидивирала или рефрактерна ОМЛ след приложение на единична доза от 40 </w:t>
      </w:r>
      <w:r w:rsidRPr="00A37BC8">
        <w:rPr>
          <w:rFonts w:eastAsia="Times New Roman" w:cs="Arial"/>
          <w:color w:val="000000"/>
          <w:lang w:val="en-US"/>
        </w:rPr>
        <w:t>mg</w:t>
      </w:r>
      <w:r w:rsidRPr="00A37BC8">
        <w:rPr>
          <w:rFonts w:eastAsia="Times New Roman" w:cs="Arial"/>
          <w:color w:val="000000"/>
          <w:lang w:val="ru-RU"/>
        </w:rPr>
        <w:t>/</w:t>
      </w:r>
      <w:r w:rsidRPr="00A37BC8">
        <w:rPr>
          <w:rFonts w:eastAsia="Times New Roman" w:cs="Arial"/>
          <w:color w:val="000000"/>
          <w:lang w:val="en-US"/>
        </w:rPr>
        <w:t>m</w:t>
      </w:r>
      <w:r w:rsidRPr="00A37BC8">
        <w:rPr>
          <w:rFonts w:eastAsia="Times New Roman" w:cs="Arial"/>
          <w:color w:val="000000"/>
          <w:vertAlign w:val="superscript"/>
          <w:lang w:val="ru-RU"/>
        </w:rPr>
        <w:t xml:space="preserve">2 </w:t>
      </w:r>
      <w:r w:rsidRPr="00A37BC8">
        <w:rPr>
          <w:rFonts w:eastAsia="Times New Roman" w:cs="Arial"/>
          <w:color w:val="000000"/>
          <w:lang w:eastAsia="bg-BG"/>
        </w:rPr>
        <w:t>клофарабин чрез интравенозна инфузия в течение на 1 час, е сравнима с описаната по-горе при пациенти на възраст от 2 до 19</w:t>
      </w:r>
      <w:r w:rsidRPr="00A37BC8">
        <w:rPr>
          <w:rFonts w:eastAsia="Times New Roman" w:cs="Arial"/>
          <w:color w:val="000000"/>
          <w:lang w:val="ru-RU"/>
        </w:rPr>
        <w:t xml:space="preserve"> </w:t>
      </w:r>
      <w:r w:rsidRPr="00A37BC8">
        <w:rPr>
          <w:rFonts w:eastAsia="Times New Roman" w:cs="Arial"/>
          <w:color w:val="000000"/>
          <w:lang w:eastAsia="bg-BG"/>
        </w:rPr>
        <w:t xml:space="preserve">години с рецидивирала или рефрактерна ОЛЛ или ОМЛ след приложение на 52 </w:t>
      </w:r>
      <w:r w:rsidRPr="00A37BC8">
        <w:rPr>
          <w:rFonts w:eastAsia="Times New Roman" w:cs="Arial"/>
          <w:color w:val="000000"/>
          <w:lang w:val="en-US"/>
        </w:rPr>
        <w:t>mg</w:t>
      </w:r>
      <w:r w:rsidRPr="00A37BC8">
        <w:rPr>
          <w:rFonts w:eastAsia="Times New Roman" w:cs="Arial"/>
          <w:color w:val="000000"/>
          <w:lang w:val="ru-RU"/>
        </w:rPr>
        <w:t>/</w:t>
      </w:r>
      <w:r w:rsidRPr="00A37BC8">
        <w:rPr>
          <w:rFonts w:eastAsia="Times New Roman" w:cs="Arial"/>
          <w:color w:val="000000"/>
          <w:lang w:val="en-US"/>
        </w:rPr>
        <w:t>m</w:t>
      </w:r>
      <w:r w:rsidRPr="00A37BC8">
        <w:rPr>
          <w:rFonts w:eastAsia="Times New Roman" w:cs="Arial"/>
          <w:color w:val="000000"/>
          <w:vertAlign w:val="superscript"/>
          <w:lang w:val="ru-RU"/>
        </w:rPr>
        <w:t>2</w:t>
      </w:r>
      <w:r w:rsidRPr="00A37BC8">
        <w:rPr>
          <w:rFonts w:eastAsia="Times New Roman" w:cs="Arial"/>
          <w:color w:val="000000"/>
          <w:lang w:val="ru-RU"/>
        </w:rPr>
        <w:t xml:space="preserve"> </w:t>
      </w:r>
      <w:r w:rsidRPr="00A37BC8">
        <w:rPr>
          <w:rFonts w:eastAsia="Times New Roman" w:cs="Arial"/>
          <w:color w:val="000000"/>
          <w:lang w:eastAsia="bg-BG"/>
        </w:rPr>
        <w:t>клофарабин чрез интравенозна инфузия в течение на 2 часа за 5 последователни дни.</w:t>
      </w:r>
    </w:p>
    <w:p w14:paraId="74EB4575" w14:textId="77777777" w:rsidR="00A37BC8" w:rsidRPr="00A37BC8" w:rsidRDefault="00A37BC8" w:rsidP="00A37BC8">
      <w:pPr>
        <w:spacing w:line="240" w:lineRule="auto"/>
        <w:rPr>
          <w:rFonts w:eastAsia="Times New Roman" w:cs="Arial"/>
          <w:i/>
          <w:iCs/>
          <w:color w:val="000000"/>
          <w:u w:val="single"/>
          <w:lang w:eastAsia="bg-BG"/>
        </w:rPr>
      </w:pPr>
    </w:p>
    <w:p w14:paraId="32CB5A29" w14:textId="3AAF5F64" w:rsidR="00A37BC8" w:rsidRPr="00A37BC8" w:rsidRDefault="00A37BC8" w:rsidP="00A37BC8">
      <w:pPr>
        <w:spacing w:line="240" w:lineRule="auto"/>
        <w:rPr>
          <w:rFonts w:eastAsia="Times New Roman" w:cs="Arial"/>
        </w:rPr>
      </w:pPr>
      <w:r w:rsidRPr="00A37BC8">
        <w:rPr>
          <w:rFonts w:eastAsia="Times New Roman" w:cs="Arial"/>
          <w:i/>
          <w:iCs/>
          <w:color w:val="000000"/>
          <w:u w:val="single"/>
          <w:lang w:eastAsia="bg-BG"/>
        </w:rPr>
        <w:t>Старческа възраст (възраст ≥ 65 години)</w:t>
      </w:r>
    </w:p>
    <w:p w14:paraId="3E4EB7A1" w14:textId="77777777" w:rsidR="00A37BC8" w:rsidRPr="00A37BC8" w:rsidRDefault="00A37BC8" w:rsidP="00A37BC8">
      <w:pPr>
        <w:spacing w:line="240" w:lineRule="auto"/>
        <w:rPr>
          <w:rFonts w:eastAsia="Times New Roman" w:cs="Arial"/>
        </w:rPr>
      </w:pPr>
      <w:r w:rsidRPr="00A37BC8">
        <w:rPr>
          <w:rFonts w:eastAsia="Times New Roman" w:cs="Arial"/>
          <w:color w:val="000000"/>
          <w:lang w:eastAsia="bg-BG"/>
        </w:rPr>
        <w:t>До този момент няма достатъчно данни за установяване на безопасността и ефикасността на клофарабин при пациенти на възраст 65 години, или по-възрастни.</w:t>
      </w:r>
    </w:p>
    <w:p w14:paraId="77308577" w14:textId="77777777" w:rsidR="00A37BC8" w:rsidRPr="00A37BC8" w:rsidRDefault="00A37BC8" w:rsidP="00A37BC8">
      <w:pPr>
        <w:spacing w:line="240" w:lineRule="auto"/>
        <w:rPr>
          <w:rFonts w:eastAsia="Times New Roman" w:cs="Arial"/>
          <w:i/>
          <w:iCs/>
          <w:color w:val="000000"/>
          <w:u w:val="single"/>
          <w:lang w:eastAsia="bg-BG"/>
        </w:rPr>
      </w:pPr>
    </w:p>
    <w:p w14:paraId="6CE76211" w14:textId="00D49A4F" w:rsidR="00A37BC8" w:rsidRPr="00A37BC8" w:rsidRDefault="00A37BC8" w:rsidP="00A37BC8">
      <w:pPr>
        <w:spacing w:line="240" w:lineRule="auto"/>
        <w:rPr>
          <w:rFonts w:eastAsia="Times New Roman" w:cs="Arial"/>
        </w:rPr>
      </w:pPr>
      <w:r w:rsidRPr="00A37BC8">
        <w:rPr>
          <w:rFonts w:eastAsia="Times New Roman" w:cs="Arial"/>
          <w:i/>
          <w:iCs/>
          <w:color w:val="000000"/>
          <w:u w:val="single"/>
          <w:lang w:eastAsia="bg-BG"/>
        </w:rPr>
        <w:t>Бъбречно увреждане</w:t>
      </w:r>
    </w:p>
    <w:p w14:paraId="03AA2A6E" w14:textId="77777777" w:rsidR="00A37BC8" w:rsidRPr="00A37BC8" w:rsidRDefault="00A37BC8" w:rsidP="00A37BC8">
      <w:pPr>
        <w:spacing w:line="240" w:lineRule="auto"/>
        <w:rPr>
          <w:rFonts w:eastAsia="Times New Roman" w:cs="Arial"/>
        </w:rPr>
      </w:pPr>
      <w:r w:rsidRPr="00A37BC8">
        <w:rPr>
          <w:rFonts w:eastAsia="Times New Roman" w:cs="Arial"/>
          <w:color w:val="000000"/>
          <w:lang w:eastAsia="bg-BG"/>
        </w:rPr>
        <w:t>Към днешна дата има ограничени данни за фармакокинетиката на клофарабин при педиатрични пациенти с намален креатининов клирънс. Тези данни, обаче, показват, че клофарабин може да кумулира в организма на пациенти с намален креатининов клирънс (вж. фигурата по-долу).</w:t>
      </w:r>
    </w:p>
    <w:p w14:paraId="25674910" w14:textId="1B7D0BFD" w:rsidR="00A37BC8" w:rsidRPr="00A37BC8" w:rsidRDefault="00A37BC8" w:rsidP="00A37BC8">
      <w:pPr>
        <w:rPr>
          <w:rFonts w:cs="Arial"/>
        </w:rPr>
      </w:pPr>
    </w:p>
    <w:p w14:paraId="770A1B34" w14:textId="77777777" w:rsidR="00A37BC8" w:rsidRPr="00A37BC8" w:rsidRDefault="00A37BC8" w:rsidP="00A37BC8">
      <w:pPr>
        <w:spacing w:line="240" w:lineRule="auto"/>
        <w:rPr>
          <w:rFonts w:eastAsia="Times New Roman" w:cs="Arial"/>
        </w:rPr>
      </w:pPr>
      <w:r w:rsidRPr="00A37BC8">
        <w:rPr>
          <w:rFonts w:eastAsia="Times New Roman" w:cs="Arial"/>
          <w:color w:val="000000"/>
          <w:lang w:eastAsia="bg-BG"/>
        </w:rPr>
        <w:t xml:space="preserve">Популационните фармакокинетични данни от възрастни и педиатрични пациенти показват, че при пациентите със стабилно, умерено бъбречно увреждане (креатинииов клирънс 30 -&lt;60 </w:t>
      </w:r>
      <w:r w:rsidRPr="00A37BC8">
        <w:rPr>
          <w:rFonts w:eastAsia="Times New Roman" w:cs="Arial"/>
          <w:color w:val="000000"/>
          <w:lang w:val="en-US"/>
        </w:rPr>
        <w:t>ml</w:t>
      </w:r>
      <w:r w:rsidRPr="00A37BC8">
        <w:rPr>
          <w:rFonts w:eastAsia="Times New Roman" w:cs="Arial"/>
          <w:color w:val="000000"/>
          <w:lang w:val="ru-RU"/>
        </w:rPr>
        <w:t>/</w:t>
      </w:r>
      <w:r w:rsidRPr="00A37BC8">
        <w:rPr>
          <w:rFonts w:eastAsia="Times New Roman" w:cs="Arial"/>
          <w:color w:val="000000"/>
          <w:lang w:val="en-US"/>
        </w:rPr>
        <w:t>min</w:t>
      </w:r>
      <w:r w:rsidRPr="00A37BC8">
        <w:rPr>
          <w:rFonts w:eastAsia="Times New Roman" w:cs="Arial"/>
          <w:color w:val="000000"/>
          <w:lang w:val="ru-RU"/>
        </w:rPr>
        <w:t xml:space="preserve">), </w:t>
      </w:r>
      <w:r w:rsidRPr="00A37BC8">
        <w:rPr>
          <w:rFonts w:eastAsia="Times New Roman" w:cs="Arial"/>
          <w:color w:val="000000"/>
          <w:lang w:eastAsia="bg-BG"/>
        </w:rPr>
        <w:t xml:space="preserve">приемащи намалена с 50% доза, се постига експозиция на </w:t>
      </w:r>
      <w:r w:rsidRPr="00A37BC8">
        <w:rPr>
          <w:rFonts w:eastAsia="Times New Roman" w:cs="Arial"/>
          <w:color w:val="000000"/>
          <w:lang w:eastAsia="bg-BG"/>
        </w:rPr>
        <w:lastRenderedPageBreak/>
        <w:t>клофарабин, подобна на тази, при пациенти с нормална бъбречна функция, приемащи стандартна доза.</w:t>
      </w:r>
    </w:p>
    <w:p w14:paraId="73662645" w14:textId="77777777" w:rsidR="00A37BC8" w:rsidRPr="00A37BC8" w:rsidRDefault="00A37BC8" w:rsidP="00A37BC8">
      <w:pPr>
        <w:spacing w:line="240" w:lineRule="auto"/>
        <w:rPr>
          <w:rFonts w:eastAsia="Times New Roman" w:cs="Arial"/>
          <w:b/>
          <w:bCs/>
          <w:i/>
          <w:iCs/>
          <w:color w:val="000000"/>
          <w:lang w:val="en-US"/>
        </w:rPr>
      </w:pPr>
    </w:p>
    <w:p w14:paraId="59C29166" w14:textId="417B3D14" w:rsidR="00A37BC8" w:rsidRDefault="00A37BC8" w:rsidP="00A37BC8">
      <w:pPr>
        <w:spacing w:line="240" w:lineRule="auto"/>
        <w:rPr>
          <w:rFonts w:eastAsia="Times New Roman" w:cs="Arial"/>
          <w:b/>
          <w:bCs/>
          <w:color w:val="000000"/>
          <w:lang w:val="ru-RU"/>
        </w:rPr>
      </w:pPr>
      <w:r w:rsidRPr="00A37BC8">
        <w:rPr>
          <w:rFonts w:eastAsia="Times New Roman" w:cs="Arial"/>
          <w:b/>
          <w:bCs/>
          <w:i/>
          <w:iCs/>
          <w:color w:val="000000"/>
          <w:lang w:val="en-US"/>
        </w:rPr>
        <w:t>AUC</w:t>
      </w:r>
      <w:r w:rsidRPr="00A37BC8">
        <w:rPr>
          <w:rFonts w:eastAsia="Times New Roman" w:cs="Arial"/>
          <w:b/>
          <w:bCs/>
          <w:i/>
          <w:iCs/>
          <w:color w:val="000000"/>
          <w:lang w:val="ru-RU"/>
        </w:rPr>
        <w:t xml:space="preserve">0-24 </w:t>
      </w:r>
      <w:r w:rsidRPr="00A37BC8">
        <w:rPr>
          <w:rFonts w:eastAsia="Times New Roman" w:cs="Arial"/>
          <w:b/>
          <w:bCs/>
          <w:i/>
          <w:iCs/>
          <w:color w:val="000000"/>
          <w:lang w:eastAsia="bg-BG"/>
        </w:rPr>
        <w:t>часа на</w:t>
      </w:r>
      <w:r w:rsidRPr="00A37BC8">
        <w:rPr>
          <w:rFonts w:eastAsia="Times New Roman" w:cs="Arial"/>
          <w:b/>
          <w:bCs/>
          <w:color w:val="000000"/>
          <w:lang w:eastAsia="bg-BG"/>
        </w:rPr>
        <w:t xml:space="preserve"> клофарабин по изходно оценен креатининов клирънс при пациенти на възраст от </w:t>
      </w:r>
      <w:r w:rsidRPr="00A37BC8">
        <w:rPr>
          <w:rFonts w:eastAsia="Times New Roman" w:cs="Arial"/>
          <w:b/>
          <w:bCs/>
          <w:i/>
          <w:iCs/>
          <w:color w:val="000000"/>
          <w:lang w:eastAsia="bg-BG"/>
        </w:rPr>
        <w:t>2</w:t>
      </w:r>
      <w:r w:rsidRPr="00A37BC8">
        <w:rPr>
          <w:rFonts w:eastAsia="Times New Roman" w:cs="Arial"/>
          <w:b/>
          <w:bCs/>
          <w:color w:val="000000"/>
          <w:lang w:eastAsia="bg-BG"/>
        </w:rPr>
        <w:t xml:space="preserve"> до 19 години с рециднвнрала нлн рефрактерна ОЛЛ или ОМЛ </w:t>
      </w:r>
      <w:r w:rsidRPr="00A37BC8">
        <w:rPr>
          <w:rFonts w:eastAsia="Times New Roman" w:cs="Arial"/>
          <w:b/>
          <w:bCs/>
          <w:color w:val="000000"/>
          <w:lang w:val="ru-RU"/>
        </w:rPr>
        <w:t>(</w:t>
      </w:r>
      <w:r w:rsidRPr="00A37BC8">
        <w:rPr>
          <w:rFonts w:eastAsia="Times New Roman" w:cs="Arial"/>
          <w:b/>
          <w:bCs/>
          <w:color w:val="000000"/>
          <w:lang w:val="en-US"/>
        </w:rPr>
        <w:t>n</w:t>
      </w:r>
      <w:r w:rsidRPr="00A37BC8">
        <w:rPr>
          <w:rFonts w:eastAsia="Times New Roman" w:cs="Arial"/>
          <w:b/>
          <w:bCs/>
          <w:color w:val="000000"/>
          <w:lang w:val="ru-RU"/>
        </w:rPr>
        <w:t xml:space="preserve"> </w:t>
      </w:r>
      <w:r w:rsidRPr="00A37BC8">
        <w:rPr>
          <w:rFonts w:eastAsia="Times New Roman" w:cs="Arial"/>
          <w:b/>
          <w:bCs/>
          <w:color w:val="000000"/>
          <w:lang w:eastAsia="bg-BG"/>
        </w:rPr>
        <w:t xml:space="preserve">= 11 / </w:t>
      </w:r>
      <w:r w:rsidRPr="00A37BC8">
        <w:rPr>
          <w:rFonts w:eastAsia="Times New Roman" w:cs="Arial"/>
          <w:b/>
          <w:bCs/>
          <w:color w:val="000000"/>
          <w:lang w:val="en-US"/>
        </w:rPr>
        <w:t>n</w:t>
      </w:r>
      <w:r w:rsidRPr="00A37BC8">
        <w:rPr>
          <w:rFonts w:eastAsia="Times New Roman" w:cs="Arial"/>
          <w:b/>
          <w:bCs/>
          <w:color w:val="000000"/>
          <w:lang w:eastAsia="bg-BG"/>
        </w:rPr>
        <w:t xml:space="preserve"> = 12) след прилагане на многократни дози клофарабин чрез интравенозна инфузия (креатининовият клирънс е изчислен по формулата на </w:t>
      </w:r>
      <w:r w:rsidRPr="00A37BC8">
        <w:rPr>
          <w:rFonts w:eastAsia="Times New Roman" w:cs="Arial"/>
          <w:b/>
          <w:bCs/>
          <w:color w:val="000000"/>
          <w:lang w:val="en-US"/>
        </w:rPr>
        <w:t>Schwartz</w:t>
      </w:r>
      <w:r w:rsidRPr="00A37BC8">
        <w:rPr>
          <w:rFonts w:eastAsia="Times New Roman" w:cs="Arial"/>
          <w:b/>
          <w:bCs/>
          <w:color w:val="000000"/>
          <w:lang w:val="ru-RU"/>
        </w:rPr>
        <w:t>)</w:t>
      </w:r>
    </w:p>
    <w:p w14:paraId="2FE2F9B7" w14:textId="3192A5F7" w:rsidR="00A37BC8" w:rsidRDefault="00A37BC8" w:rsidP="00A37BC8">
      <w:pPr>
        <w:spacing w:line="240" w:lineRule="auto"/>
        <w:rPr>
          <w:rFonts w:eastAsia="Times New Roman" w:cs="Arial"/>
          <w:b/>
          <w:bCs/>
          <w:color w:val="000000"/>
          <w:lang w:val="ru-RU"/>
        </w:rPr>
      </w:pPr>
    </w:p>
    <w:p w14:paraId="61F5CF51" w14:textId="78F733D4" w:rsidR="00A37BC8" w:rsidRPr="00A37BC8" w:rsidRDefault="00A37BC8" w:rsidP="00A37BC8">
      <w:pPr>
        <w:spacing w:line="240" w:lineRule="auto"/>
        <w:rPr>
          <w:rFonts w:eastAsia="Times New Roman" w:cs="Arial"/>
        </w:rPr>
      </w:pPr>
      <w:r>
        <w:rPr>
          <w:noProof/>
          <w:lang w:val="en-US"/>
        </w:rPr>
        <w:drawing>
          <wp:inline distT="0" distB="0" distL="0" distR="0" wp14:anchorId="3E8C3A03" wp14:editId="1A362296">
            <wp:extent cx="5943600" cy="3597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597910"/>
                    </a:xfrm>
                    <a:prstGeom prst="rect">
                      <a:avLst/>
                    </a:prstGeom>
                  </pic:spPr>
                </pic:pic>
              </a:graphicData>
            </a:graphic>
          </wp:inline>
        </w:drawing>
      </w:r>
    </w:p>
    <w:p w14:paraId="27419B30" w14:textId="29D9942F" w:rsidR="00A37BC8" w:rsidRDefault="00A37BC8" w:rsidP="00A37BC8"/>
    <w:p w14:paraId="770DFD87" w14:textId="77777777" w:rsidR="00A37BC8" w:rsidRPr="00A37BC8" w:rsidRDefault="00A37BC8" w:rsidP="00A37BC8">
      <w:pPr>
        <w:spacing w:line="240" w:lineRule="auto"/>
        <w:rPr>
          <w:rFonts w:eastAsia="Times New Roman" w:cs="Arial"/>
          <w:sz w:val="28"/>
          <w:szCs w:val="24"/>
        </w:rPr>
      </w:pPr>
      <w:r w:rsidRPr="00A37BC8">
        <w:rPr>
          <w:rFonts w:eastAsia="Times New Roman" w:cs="Arial"/>
          <w:i/>
          <w:iCs/>
          <w:color w:val="000000"/>
          <w:szCs w:val="20"/>
          <w:lang w:eastAsia="bg-BG"/>
        </w:rPr>
        <w:t>Чернодробно увреждане</w:t>
      </w:r>
    </w:p>
    <w:p w14:paraId="6EC42B96"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Липсва опит при пациенти с чернодробно увреждане (серумен билирубин &gt; 1,5 х горната граница на нормата плюс </w:t>
      </w:r>
      <w:r w:rsidRPr="00A37BC8">
        <w:rPr>
          <w:rFonts w:eastAsia="Times New Roman" w:cs="Arial"/>
          <w:color w:val="000000"/>
          <w:szCs w:val="20"/>
          <w:lang w:val="en-US"/>
        </w:rPr>
        <w:t>ASAT</w:t>
      </w:r>
      <w:r w:rsidRPr="00A37BC8">
        <w:rPr>
          <w:rFonts w:eastAsia="Times New Roman" w:cs="Arial"/>
          <w:color w:val="000000"/>
          <w:szCs w:val="20"/>
          <w:lang w:val="ru-RU"/>
        </w:rPr>
        <w:t xml:space="preserve"> </w:t>
      </w:r>
      <w:r w:rsidRPr="00A37BC8">
        <w:rPr>
          <w:rFonts w:eastAsia="Times New Roman" w:cs="Arial"/>
          <w:color w:val="000000"/>
          <w:szCs w:val="20"/>
          <w:lang w:eastAsia="bg-BG"/>
        </w:rPr>
        <w:t xml:space="preserve">и </w:t>
      </w:r>
      <w:r w:rsidRPr="00A37BC8">
        <w:rPr>
          <w:rFonts w:eastAsia="Times New Roman" w:cs="Arial"/>
          <w:color w:val="000000"/>
          <w:szCs w:val="20"/>
          <w:lang w:val="en-US"/>
        </w:rPr>
        <w:t>ALAT</w:t>
      </w:r>
      <w:r w:rsidRPr="00A37BC8">
        <w:rPr>
          <w:rFonts w:eastAsia="Times New Roman" w:cs="Arial"/>
          <w:color w:val="000000"/>
          <w:szCs w:val="20"/>
          <w:lang w:val="ru-RU"/>
        </w:rPr>
        <w:t xml:space="preserve"> </w:t>
      </w:r>
      <w:r w:rsidRPr="00A37BC8">
        <w:rPr>
          <w:rFonts w:eastAsia="Times New Roman" w:cs="Arial"/>
          <w:color w:val="000000"/>
          <w:szCs w:val="20"/>
          <w:lang w:eastAsia="bg-BG"/>
        </w:rPr>
        <w:t>&gt; 5 х горната граница на нормата), а черният дроб е потенциален прицелен орган за токсичност (вж. точки 4.3 и 4.4).</w:t>
      </w:r>
    </w:p>
    <w:p w14:paraId="1B1691B0" w14:textId="77777777" w:rsidR="00A37BC8" w:rsidRPr="00A37BC8" w:rsidRDefault="00A37BC8" w:rsidP="00A37BC8"/>
    <w:p w14:paraId="4FB791BE" w14:textId="41C0268A" w:rsidR="00B6672E" w:rsidRDefault="002C50EE" w:rsidP="00936AD0">
      <w:pPr>
        <w:pStyle w:val="Heading2"/>
      </w:pPr>
      <w:r>
        <w:t>5.3. Предклинични данни за безопасност</w:t>
      </w:r>
    </w:p>
    <w:p w14:paraId="03934B43" w14:textId="44BAF59F" w:rsidR="00A37BC8" w:rsidRDefault="00A37BC8" w:rsidP="00A37BC8"/>
    <w:p w14:paraId="2FD980C2" w14:textId="77777777"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Токсикологични проучвания на клофарабин при мишки, плъхове и кучета показват, че бързо пролифериращите тъкани са основните прицелни органи на токсичните въздействия.</w:t>
      </w:r>
    </w:p>
    <w:p w14:paraId="70495D0D" w14:textId="77777777" w:rsidR="00A37BC8" w:rsidRPr="00A37BC8" w:rsidRDefault="00A37BC8" w:rsidP="00A37BC8">
      <w:pPr>
        <w:spacing w:line="240" w:lineRule="auto"/>
        <w:rPr>
          <w:rFonts w:eastAsia="Times New Roman" w:cs="Arial"/>
          <w:color w:val="000000"/>
          <w:szCs w:val="20"/>
          <w:lang w:eastAsia="bg-BG"/>
        </w:rPr>
      </w:pPr>
    </w:p>
    <w:p w14:paraId="462D5324" w14:textId="217A6A36"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При плъхове са наблюдавани ефекти върху сърцето, отговарящи на кардиомиопатия и допринасящи за появяване на признаци на сърдечна недостатъчност след повтарящи се цикли на третиране. Честотата на възникване на тези токсични реакции зависи както от дозата на приложения клофарабин, така и от продължителността на лечението. Те са съобщавани при нива на експозиция (Стах) приблизително 7 до 13 пъти (след 3 или повече цикъла на прилагане) или 16 до 35 пъти (след един или повече цикъла на прилагане) по-високи от клиничните експозиции. Наблюдаваните при по-ниски дози минимални ефекти предполагат, че съществува праг за токсичните въздействия върху </w:t>
      </w:r>
      <w:r w:rsidRPr="00A37BC8">
        <w:rPr>
          <w:rFonts w:eastAsia="Times New Roman" w:cs="Arial"/>
          <w:color w:val="000000"/>
          <w:szCs w:val="20"/>
          <w:lang w:eastAsia="bg-BG"/>
        </w:rPr>
        <w:lastRenderedPageBreak/>
        <w:t>сърцето и нелинейната плазмена фармакокинетика при плъховете може би играе роля в наблюдаваните ефекти. Потенциалният риск за хора не е известен.</w:t>
      </w:r>
    </w:p>
    <w:p w14:paraId="5ACAE781" w14:textId="77777777" w:rsidR="00A37BC8" w:rsidRPr="00A37BC8" w:rsidRDefault="00A37BC8" w:rsidP="00A37BC8">
      <w:pPr>
        <w:rPr>
          <w:rFonts w:eastAsia="Times New Roman" w:cs="Arial"/>
          <w:color w:val="000000"/>
          <w:szCs w:val="20"/>
          <w:lang w:eastAsia="bg-BG"/>
        </w:rPr>
      </w:pPr>
    </w:p>
    <w:p w14:paraId="00F3463F" w14:textId="77777777" w:rsidR="00A37BC8" w:rsidRPr="00A37BC8" w:rsidRDefault="00A37BC8" w:rsidP="00A37BC8">
      <w:pPr>
        <w:rPr>
          <w:rFonts w:eastAsia="Times New Roman" w:cs="Arial"/>
          <w:sz w:val="28"/>
          <w:szCs w:val="24"/>
        </w:rPr>
      </w:pPr>
      <w:r w:rsidRPr="00A37BC8">
        <w:rPr>
          <w:rFonts w:eastAsia="Times New Roman" w:cs="Arial"/>
          <w:color w:val="000000"/>
          <w:szCs w:val="20"/>
          <w:lang w:eastAsia="bg-BG"/>
        </w:rPr>
        <w:t>При плъхове е съобщена гломерулонефропатия при нива на експозиция 3 до 5 пъти по-високи</w:t>
      </w:r>
      <w:r w:rsidRPr="00A37BC8">
        <w:rPr>
          <w:rFonts w:eastAsia="Times New Roman" w:cs="Arial"/>
          <w:smallCaps/>
          <w:color w:val="000000"/>
          <w:szCs w:val="20"/>
          <w:lang w:eastAsia="bg-BG"/>
        </w:rPr>
        <w:t xml:space="preserve"> </w:t>
      </w:r>
      <w:r w:rsidRPr="00A37BC8">
        <w:rPr>
          <w:rFonts w:eastAsia="Times New Roman" w:cs="Arial"/>
          <w:color w:val="000000"/>
          <w:szCs w:val="20"/>
          <w:lang w:eastAsia="bg-BG"/>
        </w:rPr>
        <w:t xml:space="preserve">от клиничната </w:t>
      </w:r>
      <w:r w:rsidRPr="00A37BC8">
        <w:rPr>
          <w:rFonts w:eastAsia="Times New Roman" w:cs="Arial"/>
          <w:color w:val="000000"/>
          <w:szCs w:val="20"/>
          <w:lang w:val="en-US"/>
        </w:rPr>
        <w:t>AUC</w:t>
      </w:r>
      <w:r w:rsidRPr="00A37BC8">
        <w:rPr>
          <w:rFonts w:eastAsia="Times New Roman" w:cs="Arial"/>
          <w:color w:val="000000"/>
          <w:szCs w:val="20"/>
          <w:lang w:val="ru-RU"/>
        </w:rPr>
        <w:t xml:space="preserve"> </w:t>
      </w:r>
      <w:r w:rsidRPr="00A37BC8">
        <w:rPr>
          <w:rFonts w:eastAsia="Times New Roman" w:cs="Arial"/>
          <w:color w:val="000000"/>
          <w:szCs w:val="20"/>
          <w:lang w:eastAsia="bg-BG"/>
        </w:rPr>
        <w:t>след 6 цикъла на прилагане на клофарабин. Тя се характеризира с</w:t>
      </w:r>
      <w:r w:rsidRPr="00A37BC8">
        <w:rPr>
          <w:rFonts w:eastAsia="Times New Roman" w:cs="Arial"/>
          <w:color w:val="000000"/>
          <w:szCs w:val="20"/>
          <w:lang w:val="ru-RU" w:eastAsia="bg-BG"/>
        </w:rPr>
        <w:t xml:space="preserve"> </w:t>
      </w:r>
      <w:r w:rsidRPr="00A37BC8">
        <w:rPr>
          <w:rFonts w:eastAsia="Times New Roman" w:cs="Arial"/>
          <w:color w:val="000000"/>
          <w:szCs w:val="20"/>
          <w:lang w:eastAsia="bg-BG"/>
        </w:rPr>
        <w:t>незначително уплътняване на гломеруларната базална мембрана със само леко увреждане на тубулите и не е свързана с промени в серумната биохимия.</w:t>
      </w:r>
    </w:p>
    <w:p w14:paraId="305E582A" w14:textId="77777777" w:rsidR="00A37BC8" w:rsidRPr="00A37BC8" w:rsidRDefault="00A37BC8" w:rsidP="00A37BC8">
      <w:pPr>
        <w:spacing w:line="240" w:lineRule="auto"/>
        <w:rPr>
          <w:rFonts w:eastAsia="Times New Roman" w:cs="Arial"/>
          <w:color w:val="000000"/>
          <w:szCs w:val="20"/>
          <w:lang w:eastAsia="bg-BG"/>
        </w:rPr>
      </w:pPr>
    </w:p>
    <w:p w14:paraId="0FDA8661" w14:textId="438715DB"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При плъхове са наблюдавани чернодробни ефекти след хронично приложение на клофарабин. Те вероятно представляват наслагване на дегенеративни и регенеративни изменения в резултат на лечебните цикли и не са свързани с промени в серумната биохимия. Хистологични доказателства за чернодробни ефекти са наблюдавани при кучета след еднократно приложение на високи дози, но те също не са били придружени от промени в серумната биохимия.</w:t>
      </w:r>
    </w:p>
    <w:p w14:paraId="0D8EC7CC" w14:textId="77777777" w:rsidR="00A37BC8" w:rsidRPr="00A37BC8" w:rsidRDefault="00A37BC8" w:rsidP="00A37BC8">
      <w:pPr>
        <w:spacing w:line="240" w:lineRule="auto"/>
        <w:rPr>
          <w:rFonts w:eastAsia="Times New Roman" w:cs="Arial"/>
          <w:color w:val="000000"/>
          <w:szCs w:val="20"/>
          <w:lang w:eastAsia="bg-BG"/>
        </w:rPr>
      </w:pPr>
    </w:p>
    <w:p w14:paraId="4D61E026" w14:textId="2E69026C"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Свързани с дозата токсични въздействия върху мъжките репродуктивни органи са наблюдавани при мишки, плъхове и кучета. Тези ефекти включват билатерална дегенерация на семенния епител с ретенция на сперматиди и атрофия на интерстициалните клетки при плъхове при нива на свръхекспозиция (150 </w:t>
      </w:r>
      <w:r w:rsidRPr="00A37BC8">
        <w:rPr>
          <w:rFonts w:eastAsia="Times New Roman" w:cs="Arial"/>
          <w:color w:val="000000"/>
          <w:szCs w:val="20"/>
          <w:lang w:val="en-US"/>
        </w:rPr>
        <w:t>mg</w:t>
      </w:r>
      <w:r w:rsidRPr="00A37BC8">
        <w:rPr>
          <w:rFonts w:eastAsia="Times New Roman" w:cs="Arial"/>
          <w:color w:val="000000"/>
          <w:szCs w:val="20"/>
          <w:lang w:val="ru-RU"/>
        </w:rPr>
        <w:t>/</w:t>
      </w:r>
      <w:proofErr w:type="spellStart"/>
      <w:r w:rsidRPr="00A37BC8">
        <w:rPr>
          <w:rFonts w:eastAsia="Times New Roman" w:cs="Arial"/>
          <w:color w:val="000000"/>
          <w:szCs w:val="20"/>
          <w:lang w:val="en-US"/>
        </w:rPr>
        <w:t>nr</w:t>
      </w:r>
      <w:proofErr w:type="spellEnd"/>
      <w:r w:rsidRPr="00A37BC8">
        <w:rPr>
          <w:rFonts w:eastAsia="Times New Roman" w:cs="Arial"/>
          <w:color w:val="000000"/>
          <w:szCs w:val="20"/>
          <w:lang w:eastAsia="bg-BG"/>
        </w:rPr>
        <w:t xml:space="preserve">/ден) и клетъчна дегенерация на епидидима и дегенерация на семенния епител при кучета, при клинично релевантни нива на експозиция (&gt; 7,5 </w:t>
      </w:r>
      <w:r w:rsidRPr="00A37BC8">
        <w:rPr>
          <w:rFonts w:eastAsia="Times New Roman" w:cs="Arial"/>
          <w:color w:val="000000"/>
          <w:szCs w:val="20"/>
          <w:lang w:val="en-US"/>
        </w:rPr>
        <w:t>mg</w:t>
      </w:r>
      <w:r w:rsidRPr="00A37BC8">
        <w:rPr>
          <w:rFonts w:eastAsia="Times New Roman" w:cs="Arial"/>
          <w:color w:val="000000"/>
          <w:szCs w:val="20"/>
          <w:lang w:val="ru-RU"/>
        </w:rPr>
        <w:t>/</w:t>
      </w:r>
      <w:proofErr w:type="spellStart"/>
      <w:r w:rsidRPr="00A37BC8">
        <w:rPr>
          <w:rFonts w:eastAsia="Times New Roman" w:cs="Arial"/>
          <w:color w:val="000000"/>
          <w:szCs w:val="20"/>
          <w:lang w:val="en-US"/>
        </w:rPr>
        <w:t>nr</w:t>
      </w:r>
      <w:proofErr w:type="spellEnd"/>
      <w:r w:rsidRPr="00A37BC8">
        <w:rPr>
          <w:rFonts w:eastAsia="Times New Roman" w:cs="Arial"/>
          <w:color w:val="000000"/>
          <w:szCs w:val="20"/>
          <w:lang w:eastAsia="bg-BG"/>
        </w:rPr>
        <w:t>/ден клофарабин).</w:t>
      </w:r>
    </w:p>
    <w:p w14:paraId="6E71CCE7" w14:textId="77777777" w:rsidR="00A37BC8" w:rsidRPr="00A37BC8" w:rsidRDefault="00A37BC8" w:rsidP="00A37BC8">
      <w:pPr>
        <w:spacing w:line="240" w:lineRule="auto"/>
        <w:rPr>
          <w:rFonts w:eastAsia="Times New Roman" w:cs="Arial"/>
          <w:color w:val="000000"/>
          <w:szCs w:val="20"/>
          <w:lang w:eastAsia="bg-BG"/>
        </w:rPr>
      </w:pPr>
    </w:p>
    <w:p w14:paraId="3EE0FDE4" w14:textId="3993996D"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Късна овариална атрофия или дегенерация и апоптоза на лигавицата на матката са наблюдавани при женски мишки при единствената използвана доза от 225 </w:t>
      </w:r>
      <w:r w:rsidRPr="00A37BC8">
        <w:rPr>
          <w:rFonts w:eastAsia="Times New Roman" w:cs="Arial"/>
          <w:color w:val="000000"/>
          <w:szCs w:val="20"/>
          <w:lang w:val="en-US"/>
        </w:rPr>
        <w:t>mg</w:t>
      </w:r>
      <w:r w:rsidRPr="00A37BC8">
        <w:rPr>
          <w:rFonts w:eastAsia="Times New Roman" w:cs="Arial"/>
          <w:color w:val="000000"/>
          <w:szCs w:val="20"/>
          <w:lang w:val="ru-RU"/>
        </w:rPr>
        <w:t>/</w:t>
      </w:r>
      <w:proofErr w:type="spellStart"/>
      <w:r w:rsidRPr="00A37BC8">
        <w:rPr>
          <w:rFonts w:eastAsia="Times New Roman" w:cs="Arial"/>
          <w:color w:val="000000"/>
          <w:szCs w:val="20"/>
          <w:lang w:val="en-US"/>
        </w:rPr>
        <w:t>nr</w:t>
      </w:r>
      <w:proofErr w:type="spellEnd"/>
      <w:r w:rsidRPr="00A37BC8">
        <w:rPr>
          <w:rFonts w:eastAsia="Times New Roman" w:cs="Arial"/>
          <w:color w:val="000000"/>
          <w:szCs w:val="20"/>
          <w:lang w:eastAsia="bg-BG"/>
        </w:rPr>
        <w:t>/ден клофарабин.</w:t>
      </w:r>
    </w:p>
    <w:p w14:paraId="77D33687" w14:textId="77777777" w:rsidR="00A37BC8" w:rsidRPr="00A37BC8" w:rsidRDefault="00A37BC8" w:rsidP="00A37BC8">
      <w:pPr>
        <w:spacing w:line="240" w:lineRule="auto"/>
        <w:rPr>
          <w:rFonts w:eastAsia="Times New Roman" w:cs="Arial"/>
          <w:color w:val="000000"/>
          <w:szCs w:val="20"/>
          <w:lang w:eastAsia="bg-BG"/>
        </w:rPr>
      </w:pPr>
    </w:p>
    <w:p w14:paraId="5878DB29" w14:textId="1ECE9FBF"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Клофарабин има тератогенен ефект при плъхове и зайци. Увеличена постимплантационна загуба, намалено фетално телесно тегло и намален брой на котилото, заедно с увеличен брой на малформациите (общи външни, мекотъканни) и скелетни изменения (включващи забавена осификация) са съобщени при плъхове, получаващи дози приблизително 2 до 3 пъти по-високи от клиничната експозиция (54 </w:t>
      </w:r>
      <w:r w:rsidRPr="00A37BC8">
        <w:rPr>
          <w:rFonts w:eastAsia="Times New Roman" w:cs="Arial"/>
          <w:color w:val="000000"/>
          <w:szCs w:val="20"/>
          <w:lang w:val="en-US"/>
        </w:rPr>
        <w:t>mg</w:t>
      </w:r>
      <w:r w:rsidRPr="00A37BC8">
        <w:rPr>
          <w:rFonts w:eastAsia="Times New Roman" w:cs="Arial"/>
          <w:color w:val="000000"/>
          <w:szCs w:val="20"/>
          <w:lang w:val="ru-RU"/>
        </w:rPr>
        <w:t>/</w:t>
      </w:r>
      <w:r w:rsidRPr="00A37BC8">
        <w:rPr>
          <w:rFonts w:eastAsia="Times New Roman" w:cs="Arial"/>
          <w:color w:val="000000"/>
          <w:szCs w:val="20"/>
          <w:lang w:val="en-US"/>
        </w:rPr>
        <w:t>m</w:t>
      </w:r>
      <w:r w:rsidRPr="00A37BC8">
        <w:rPr>
          <w:rFonts w:eastAsia="Times New Roman" w:cs="Arial"/>
          <w:color w:val="000000"/>
          <w:szCs w:val="20"/>
          <w:vertAlign w:val="superscript"/>
          <w:lang w:val="ru-RU"/>
        </w:rPr>
        <w:t>2</w:t>
      </w:r>
      <w:r w:rsidRPr="00A37BC8">
        <w:rPr>
          <w:rFonts w:eastAsia="Times New Roman" w:cs="Arial"/>
          <w:color w:val="000000"/>
          <w:szCs w:val="20"/>
          <w:lang w:val="ru-RU"/>
        </w:rPr>
        <w:t>/</w:t>
      </w:r>
      <w:r w:rsidRPr="00A37BC8">
        <w:rPr>
          <w:rFonts w:eastAsia="Times New Roman" w:cs="Arial"/>
          <w:color w:val="000000"/>
          <w:szCs w:val="20"/>
          <w:lang w:eastAsia="bg-BG"/>
        </w:rPr>
        <w:t xml:space="preserve">ден) и при зайци, получаващи 12 </w:t>
      </w:r>
      <w:r w:rsidRPr="00A37BC8">
        <w:rPr>
          <w:rFonts w:eastAsia="Times New Roman" w:cs="Arial"/>
          <w:color w:val="000000"/>
          <w:szCs w:val="20"/>
          <w:lang w:val="en-US"/>
        </w:rPr>
        <w:t>mg</w:t>
      </w:r>
      <w:r w:rsidRPr="00A37BC8">
        <w:rPr>
          <w:rFonts w:eastAsia="Times New Roman" w:cs="Arial"/>
          <w:color w:val="000000"/>
          <w:szCs w:val="20"/>
          <w:lang w:val="ru-RU"/>
        </w:rPr>
        <w:t>/</w:t>
      </w:r>
      <w:r w:rsidRPr="00A37BC8">
        <w:rPr>
          <w:rFonts w:eastAsia="Times New Roman" w:cs="Arial"/>
          <w:color w:val="000000"/>
          <w:szCs w:val="20"/>
          <w:lang w:val="en-US"/>
        </w:rPr>
        <w:t>m</w:t>
      </w:r>
      <w:r w:rsidRPr="00A37BC8">
        <w:rPr>
          <w:rFonts w:eastAsia="Times New Roman" w:cs="Arial"/>
          <w:color w:val="000000"/>
          <w:szCs w:val="20"/>
          <w:vertAlign w:val="superscript"/>
          <w:lang w:val="ru-RU"/>
        </w:rPr>
        <w:t>2</w:t>
      </w:r>
      <w:r w:rsidRPr="00A37BC8">
        <w:rPr>
          <w:rFonts w:eastAsia="Times New Roman" w:cs="Arial"/>
          <w:color w:val="000000"/>
          <w:szCs w:val="20"/>
          <w:lang w:eastAsia="bg-BG"/>
        </w:rPr>
        <w:t xml:space="preserve">/ден клофарабин. (Няма данни за експозицията при зайци). Прагът за токсичност върху развитието е 6 </w:t>
      </w:r>
      <w:r w:rsidRPr="00A37BC8">
        <w:rPr>
          <w:rFonts w:eastAsia="Times New Roman" w:cs="Arial"/>
          <w:color w:val="000000"/>
          <w:szCs w:val="20"/>
          <w:lang w:val="en-US"/>
        </w:rPr>
        <w:t>mg</w:t>
      </w:r>
      <w:r w:rsidRPr="00A37BC8">
        <w:rPr>
          <w:rFonts w:eastAsia="Times New Roman" w:cs="Arial"/>
          <w:color w:val="000000"/>
          <w:szCs w:val="20"/>
          <w:lang w:val="ru-RU"/>
        </w:rPr>
        <w:t>/</w:t>
      </w:r>
      <w:proofErr w:type="spellStart"/>
      <w:r w:rsidRPr="00A37BC8">
        <w:rPr>
          <w:rFonts w:eastAsia="Times New Roman" w:cs="Arial"/>
          <w:color w:val="000000"/>
          <w:szCs w:val="20"/>
          <w:lang w:val="en-US"/>
        </w:rPr>
        <w:t>nr</w:t>
      </w:r>
      <w:proofErr w:type="spellEnd"/>
      <w:r w:rsidRPr="00A37BC8">
        <w:rPr>
          <w:rFonts w:eastAsia="Times New Roman" w:cs="Arial"/>
          <w:color w:val="000000"/>
          <w:szCs w:val="20"/>
          <w:lang w:eastAsia="bg-BG"/>
        </w:rPr>
        <w:t xml:space="preserve">/ден при плъхове, и 1,2 </w:t>
      </w:r>
      <w:r w:rsidRPr="00A37BC8">
        <w:rPr>
          <w:rFonts w:eastAsia="Times New Roman" w:cs="Arial"/>
          <w:color w:val="000000"/>
          <w:szCs w:val="20"/>
          <w:lang w:val="en-US"/>
        </w:rPr>
        <w:t>mg</w:t>
      </w:r>
      <w:r w:rsidRPr="00A37BC8">
        <w:rPr>
          <w:rFonts w:eastAsia="Times New Roman" w:cs="Arial"/>
          <w:color w:val="000000"/>
          <w:szCs w:val="20"/>
          <w:lang w:val="ru-RU"/>
        </w:rPr>
        <w:t>/</w:t>
      </w:r>
      <w:proofErr w:type="spellStart"/>
      <w:r w:rsidRPr="00A37BC8">
        <w:rPr>
          <w:rFonts w:eastAsia="Times New Roman" w:cs="Arial"/>
          <w:color w:val="000000"/>
          <w:szCs w:val="20"/>
          <w:lang w:val="en-US"/>
        </w:rPr>
        <w:t>nr</w:t>
      </w:r>
      <w:proofErr w:type="spellEnd"/>
      <w:r w:rsidRPr="00A37BC8">
        <w:rPr>
          <w:rFonts w:eastAsia="Times New Roman" w:cs="Arial"/>
          <w:color w:val="000000"/>
          <w:szCs w:val="20"/>
          <w:lang w:eastAsia="bg-BG"/>
        </w:rPr>
        <w:t xml:space="preserve">/ден при зайци. Нивото на токсичност при майката без наблюдаване на ефекти, при плъхове е 18 </w:t>
      </w:r>
      <w:r w:rsidRPr="00A37BC8">
        <w:rPr>
          <w:rFonts w:eastAsia="Times New Roman" w:cs="Arial"/>
          <w:color w:val="000000"/>
          <w:szCs w:val="20"/>
          <w:lang w:val="en-US"/>
        </w:rPr>
        <w:t>mg</w:t>
      </w:r>
      <w:r w:rsidRPr="00A37BC8">
        <w:rPr>
          <w:rFonts w:eastAsia="Times New Roman" w:cs="Arial"/>
          <w:color w:val="000000"/>
          <w:szCs w:val="20"/>
          <w:lang w:val="ru-RU"/>
        </w:rPr>
        <w:t>/</w:t>
      </w:r>
      <w:proofErr w:type="spellStart"/>
      <w:r w:rsidRPr="00A37BC8">
        <w:rPr>
          <w:rFonts w:eastAsia="Times New Roman" w:cs="Arial"/>
          <w:color w:val="000000"/>
          <w:szCs w:val="20"/>
          <w:lang w:val="en-US"/>
        </w:rPr>
        <w:t>nr</w:t>
      </w:r>
      <w:proofErr w:type="spellEnd"/>
      <w:r w:rsidRPr="00A37BC8">
        <w:rPr>
          <w:rFonts w:eastAsia="Times New Roman" w:cs="Arial"/>
          <w:color w:val="000000"/>
          <w:szCs w:val="20"/>
          <w:lang w:eastAsia="bg-BG"/>
        </w:rPr>
        <w:t xml:space="preserve">/ден, а при зайци е повече от 12 </w:t>
      </w:r>
      <w:r w:rsidRPr="00A37BC8">
        <w:rPr>
          <w:rFonts w:eastAsia="Times New Roman" w:cs="Arial"/>
          <w:color w:val="000000"/>
          <w:szCs w:val="20"/>
          <w:lang w:val="en-US"/>
        </w:rPr>
        <w:t>mg</w:t>
      </w:r>
      <w:r w:rsidRPr="00A37BC8">
        <w:rPr>
          <w:rFonts w:eastAsia="Times New Roman" w:cs="Arial"/>
          <w:color w:val="000000"/>
          <w:szCs w:val="20"/>
          <w:lang w:val="ru-RU"/>
        </w:rPr>
        <w:t>/</w:t>
      </w:r>
      <w:r w:rsidRPr="00A37BC8">
        <w:rPr>
          <w:rFonts w:eastAsia="Times New Roman" w:cs="Arial"/>
          <w:color w:val="000000"/>
          <w:szCs w:val="20"/>
          <w:lang w:val="en-US"/>
        </w:rPr>
        <w:t>m</w:t>
      </w:r>
      <w:r w:rsidRPr="00A37BC8">
        <w:rPr>
          <w:rFonts w:eastAsia="Times New Roman" w:cs="Arial"/>
          <w:color w:val="000000"/>
          <w:szCs w:val="20"/>
          <w:vertAlign w:val="superscript"/>
          <w:lang w:val="ru-RU"/>
        </w:rPr>
        <w:t>2</w:t>
      </w:r>
      <w:r w:rsidRPr="00A37BC8">
        <w:rPr>
          <w:rFonts w:eastAsia="Times New Roman" w:cs="Arial"/>
          <w:color w:val="000000"/>
          <w:szCs w:val="20"/>
          <w:lang w:eastAsia="bg-BG"/>
        </w:rPr>
        <w:t>/ден. Не са провеждани проучвания на фертилитета.</w:t>
      </w:r>
    </w:p>
    <w:p w14:paraId="328438E0" w14:textId="77777777" w:rsidR="00A37BC8" w:rsidRPr="00A37BC8" w:rsidRDefault="00A37BC8" w:rsidP="00A37BC8">
      <w:pPr>
        <w:spacing w:line="240" w:lineRule="auto"/>
        <w:rPr>
          <w:rFonts w:eastAsia="Times New Roman" w:cs="Arial"/>
          <w:color w:val="000000"/>
          <w:szCs w:val="20"/>
          <w:lang w:eastAsia="bg-BG"/>
        </w:rPr>
      </w:pPr>
    </w:p>
    <w:p w14:paraId="2F7C8ABD" w14:textId="7CDFD891"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 xml:space="preserve">Проучванията за генотоксичност показват, че клофарабин не е мутагенен при бактериалния тест за обратни мутации, но индуцира кластогенни ефекти при теста за неактивирани хромозомни аберации в овариални клетки от китайски хамстер и при </w:t>
      </w:r>
      <w:r w:rsidRPr="00A37BC8">
        <w:rPr>
          <w:rFonts w:eastAsia="Times New Roman" w:cs="Arial"/>
          <w:i/>
          <w:iCs/>
          <w:color w:val="000000"/>
          <w:szCs w:val="20"/>
          <w:lang w:val="en-US"/>
        </w:rPr>
        <w:t>in</w:t>
      </w:r>
      <w:r w:rsidRPr="00A37BC8">
        <w:rPr>
          <w:rFonts w:eastAsia="Times New Roman" w:cs="Arial"/>
          <w:i/>
          <w:iCs/>
          <w:color w:val="000000"/>
          <w:szCs w:val="20"/>
          <w:lang w:val="ru-RU"/>
        </w:rPr>
        <w:t xml:space="preserve"> </w:t>
      </w:r>
      <w:r w:rsidRPr="00A37BC8">
        <w:rPr>
          <w:rFonts w:eastAsia="Times New Roman" w:cs="Arial"/>
          <w:i/>
          <w:iCs/>
          <w:color w:val="000000"/>
          <w:szCs w:val="20"/>
          <w:lang w:val="en-US"/>
        </w:rPr>
        <w:t>vivo</w:t>
      </w:r>
      <w:r w:rsidRPr="00A37BC8">
        <w:rPr>
          <w:rFonts w:eastAsia="Times New Roman" w:cs="Arial"/>
          <w:color w:val="000000"/>
          <w:szCs w:val="20"/>
          <w:lang w:val="ru-RU"/>
        </w:rPr>
        <w:t xml:space="preserve"> </w:t>
      </w:r>
      <w:r w:rsidRPr="00A37BC8">
        <w:rPr>
          <w:rFonts w:eastAsia="Times New Roman" w:cs="Arial"/>
          <w:color w:val="000000"/>
          <w:szCs w:val="20"/>
          <w:lang w:eastAsia="bg-BG"/>
        </w:rPr>
        <w:t>микронуклеарен тест при плъхове.</w:t>
      </w:r>
    </w:p>
    <w:p w14:paraId="6A1393A8" w14:textId="77777777" w:rsidR="00A37BC8" w:rsidRPr="00A37BC8" w:rsidRDefault="00A37BC8" w:rsidP="00A37BC8">
      <w:pPr>
        <w:spacing w:line="240" w:lineRule="auto"/>
        <w:rPr>
          <w:rFonts w:eastAsia="Times New Roman" w:cs="Arial"/>
          <w:color w:val="000000"/>
          <w:szCs w:val="20"/>
          <w:lang w:eastAsia="bg-BG"/>
        </w:rPr>
      </w:pPr>
    </w:p>
    <w:p w14:paraId="57E33C24" w14:textId="1586A924" w:rsidR="00A37BC8" w:rsidRPr="00A37BC8" w:rsidRDefault="00A37BC8" w:rsidP="00A37BC8">
      <w:pPr>
        <w:spacing w:line="240" w:lineRule="auto"/>
        <w:rPr>
          <w:rFonts w:eastAsia="Times New Roman" w:cs="Arial"/>
          <w:sz w:val="28"/>
          <w:szCs w:val="24"/>
        </w:rPr>
      </w:pPr>
      <w:r w:rsidRPr="00A37BC8">
        <w:rPr>
          <w:rFonts w:eastAsia="Times New Roman" w:cs="Arial"/>
          <w:color w:val="000000"/>
          <w:szCs w:val="20"/>
          <w:lang w:eastAsia="bg-BG"/>
        </w:rPr>
        <w:t>Не са провеждани изследвания за карциногенност.</w:t>
      </w:r>
    </w:p>
    <w:p w14:paraId="536DBC03" w14:textId="35201821" w:rsidR="00A37BC8" w:rsidRPr="00A37BC8" w:rsidRDefault="00A37BC8" w:rsidP="00A37BC8"/>
    <w:p w14:paraId="1BA6531D" w14:textId="155B703E" w:rsidR="00B6672E" w:rsidRDefault="002C50EE" w:rsidP="00936AD0">
      <w:pPr>
        <w:pStyle w:val="Heading1"/>
      </w:pPr>
      <w:r>
        <w:t>7. ПРИТЕЖАТЕЛ НА РАЗРЕШЕНИЕТО ЗА УПОТРЕБА</w:t>
      </w:r>
    </w:p>
    <w:p w14:paraId="6FEDC2FA" w14:textId="0F5DE377" w:rsidR="00A37BC8" w:rsidRDefault="00A37BC8" w:rsidP="00A37BC8"/>
    <w:p w14:paraId="58C8EAE7" w14:textId="77777777" w:rsidR="00A37BC8" w:rsidRPr="00A37BC8" w:rsidRDefault="00A37BC8" w:rsidP="00A37BC8">
      <w:pPr>
        <w:rPr>
          <w:sz w:val="24"/>
          <w:szCs w:val="24"/>
          <w:lang w:val="en-US"/>
        </w:rPr>
      </w:pPr>
      <w:proofErr w:type="spellStart"/>
      <w:r w:rsidRPr="00A37BC8">
        <w:rPr>
          <w:lang w:val="en-US"/>
        </w:rPr>
        <w:t>Zentiva</w:t>
      </w:r>
      <w:proofErr w:type="spellEnd"/>
      <w:r w:rsidRPr="00A37BC8">
        <w:rPr>
          <w:lang w:val="en-US"/>
        </w:rPr>
        <w:t xml:space="preserve"> </w:t>
      </w:r>
      <w:proofErr w:type="spellStart"/>
      <w:r w:rsidRPr="00A37BC8">
        <w:rPr>
          <w:lang w:val="en-US"/>
        </w:rPr>
        <w:t>k.s</w:t>
      </w:r>
      <w:proofErr w:type="spellEnd"/>
      <w:r w:rsidRPr="00A37BC8">
        <w:rPr>
          <w:lang w:val="en-US"/>
        </w:rPr>
        <w:t>.</w:t>
      </w:r>
    </w:p>
    <w:p w14:paraId="2EE88466" w14:textId="77777777" w:rsidR="00A37BC8" w:rsidRPr="00A37BC8" w:rsidRDefault="00A37BC8" w:rsidP="00A37BC8">
      <w:pPr>
        <w:rPr>
          <w:sz w:val="24"/>
          <w:szCs w:val="24"/>
          <w:lang w:val="en-US"/>
        </w:rPr>
      </w:pPr>
      <w:r w:rsidRPr="00A37BC8">
        <w:rPr>
          <w:lang w:val="en-US"/>
        </w:rPr>
        <w:t xml:space="preserve">U </w:t>
      </w:r>
      <w:proofErr w:type="spellStart"/>
      <w:r w:rsidRPr="00A37BC8">
        <w:rPr>
          <w:lang w:val="en-US"/>
        </w:rPr>
        <w:t>kabelovny</w:t>
      </w:r>
      <w:proofErr w:type="spellEnd"/>
      <w:r w:rsidRPr="00A37BC8">
        <w:rPr>
          <w:lang w:val="en-US"/>
        </w:rPr>
        <w:t xml:space="preserve"> </w:t>
      </w:r>
      <w:r w:rsidRPr="00A37BC8">
        <w:rPr>
          <w:lang w:eastAsia="bg-BG"/>
        </w:rPr>
        <w:t>130,</w:t>
      </w:r>
    </w:p>
    <w:p w14:paraId="292C06C9" w14:textId="77777777" w:rsidR="00A37BC8" w:rsidRPr="00A37BC8" w:rsidRDefault="00A37BC8" w:rsidP="00A37BC8">
      <w:pPr>
        <w:rPr>
          <w:sz w:val="24"/>
          <w:szCs w:val="24"/>
          <w:lang w:val="ru-RU"/>
        </w:rPr>
      </w:pPr>
      <w:proofErr w:type="spellStart"/>
      <w:r w:rsidRPr="00A37BC8">
        <w:rPr>
          <w:lang w:val="en-US"/>
        </w:rPr>
        <w:t>Dolni</w:t>
      </w:r>
      <w:proofErr w:type="spellEnd"/>
      <w:r w:rsidRPr="00A37BC8">
        <w:rPr>
          <w:lang w:val="ru-RU"/>
        </w:rPr>
        <w:t xml:space="preserve"> </w:t>
      </w:r>
      <w:proofErr w:type="spellStart"/>
      <w:r w:rsidRPr="00A37BC8">
        <w:rPr>
          <w:lang w:val="en-US"/>
        </w:rPr>
        <w:t>Mecholupy</w:t>
      </w:r>
      <w:proofErr w:type="spellEnd"/>
    </w:p>
    <w:p w14:paraId="190D1CAC" w14:textId="77777777" w:rsidR="00A37BC8" w:rsidRPr="00A37BC8" w:rsidRDefault="00A37BC8" w:rsidP="00A37BC8">
      <w:pPr>
        <w:rPr>
          <w:sz w:val="24"/>
          <w:szCs w:val="24"/>
          <w:lang w:val="ru-RU"/>
        </w:rPr>
      </w:pPr>
      <w:r w:rsidRPr="00A37BC8">
        <w:rPr>
          <w:lang w:val="ru-RU"/>
        </w:rPr>
        <w:lastRenderedPageBreak/>
        <w:t xml:space="preserve">102 37, </w:t>
      </w:r>
      <w:r w:rsidRPr="00A37BC8">
        <w:rPr>
          <w:lang w:val="en-US"/>
        </w:rPr>
        <w:t>Prague</w:t>
      </w:r>
      <w:r w:rsidRPr="00A37BC8">
        <w:rPr>
          <w:lang w:val="ru-RU"/>
        </w:rPr>
        <w:t xml:space="preserve"> 10</w:t>
      </w:r>
    </w:p>
    <w:p w14:paraId="1FEBFC69" w14:textId="2711A92F" w:rsidR="00A37BC8" w:rsidRPr="00A37BC8" w:rsidRDefault="00A37BC8" w:rsidP="00A37BC8">
      <w:r w:rsidRPr="00A37BC8">
        <w:rPr>
          <w:lang w:eastAsia="bg-BG"/>
        </w:rPr>
        <w:t>Чешка република</w:t>
      </w:r>
    </w:p>
    <w:p w14:paraId="508F3A54" w14:textId="6B943A7A" w:rsidR="00B6672E" w:rsidRDefault="00936AD0" w:rsidP="00936AD0">
      <w:pPr>
        <w:pStyle w:val="Heading1"/>
      </w:pPr>
      <w:r>
        <w:t>8.</w:t>
      </w:r>
      <w:r w:rsidR="002C50EE">
        <w:t>НОМЕР НА РАЗРЕШЕНИЕТО ЗА УПОТРЕБА</w:t>
      </w:r>
    </w:p>
    <w:p w14:paraId="30944252" w14:textId="42C12220" w:rsidR="00A37BC8" w:rsidRDefault="00A37BC8" w:rsidP="00A37BC8"/>
    <w:p w14:paraId="0646F368" w14:textId="57DC91A6" w:rsidR="00A37BC8" w:rsidRPr="00A37BC8" w:rsidRDefault="00A37BC8" w:rsidP="00A37BC8">
      <w:pPr>
        <w:rPr>
          <w:sz w:val="24"/>
          <w:szCs w:val="24"/>
        </w:rPr>
      </w:pPr>
      <w:r w:rsidRPr="00A37BC8">
        <w:rPr>
          <w:lang w:eastAsia="bg-BG"/>
        </w:rPr>
        <w:t>Регистрационен номер: 20170237</w:t>
      </w:r>
    </w:p>
    <w:p w14:paraId="2CCB5832" w14:textId="43CC845E" w:rsidR="007C605B" w:rsidRDefault="002C50EE" w:rsidP="007C605B">
      <w:pPr>
        <w:pStyle w:val="Heading1"/>
      </w:pPr>
      <w:r>
        <w:t>9. ДАТА НА ПЪРВО РАЗРЕШАВАНЕ/ПОДНОВЯВАНЕ НА РАЗРЕШЕНИЕТО ЗА УПОТРЕБА</w:t>
      </w:r>
    </w:p>
    <w:p w14:paraId="17FED5AE" w14:textId="26582B49" w:rsidR="00A37BC8" w:rsidRDefault="00A37BC8" w:rsidP="00A37BC8"/>
    <w:p w14:paraId="1F815667" w14:textId="56C59DD8" w:rsidR="00A37BC8" w:rsidRPr="00A37BC8" w:rsidRDefault="00A37BC8" w:rsidP="00A37BC8">
      <w:r>
        <w:t>Дата на първо разрешаване: 24.07.2017</w:t>
      </w:r>
    </w:p>
    <w:p w14:paraId="0E9D0119" w14:textId="0245C6D7" w:rsidR="002C50EE" w:rsidRDefault="002C50EE" w:rsidP="002C50EE">
      <w:pPr>
        <w:pStyle w:val="Heading1"/>
      </w:pPr>
      <w:r>
        <w:t>10. ДАТА НА АКТУАЛИЗИРАНЕ НА ТЕКСТА</w:t>
      </w:r>
    </w:p>
    <w:bookmarkEnd w:id="0"/>
    <w:p w14:paraId="43FB38A2" w14:textId="172A5DED" w:rsidR="007C605B" w:rsidRPr="003E3126" w:rsidRDefault="00A37BC8" w:rsidP="00A37BC8">
      <w:r>
        <w:t>07.02.2022 г.</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27B3EA5"/>
    <w:multiLevelType w:val="hybridMultilevel"/>
    <w:tmpl w:val="F044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6956C79"/>
    <w:multiLevelType w:val="hybridMultilevel"/>
    <w:tmpl w:val="CFBA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6027D"/>
    <w:multiLevelType w:val="hybridMultilevel"/>
    <w:tmpl w:val="4E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B63FA"/>
    <w:multiLevelType w:val="hybridMultilevel"/>
    <w:tmpl w:val="9282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A17296"/>
    <w:multiLevelType w:val="hybridMultilevel"/>
    <w:tmpl w:val="7DDE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34003"/>
    <w:multiLevelType w:val="hybridMultilevel"/>
    <w:tmpl w:val="F95C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3"/>
  </w:num>
  <w:num w:numId="2">
    <w:abstractNumId w:val="0"/>
  </w:num>
  <w:num w:numId="3">
    <w:abstractNumId w:val="16"/>
  </w:num>
  <w:num w:numId="4">
    <w:abstractNumId w:val="3"/>
  </w:num>
  <w:num w:numId="5">
    <w:abstractNumId w:val="1"/>
  </w:num>
  <w:num w:numId="6">
    <w:abstractNumId w:val="21"/>
  </w:num>
  <w:num w:numId="7">
    <w:abstractNumId w:val="13"/>
  </w:num>
  <w:num w:numId="8">
    <w:abstractNumId w:val="20"/>
  </w:num>
  <w:num w:numId="9">
    <w:abstractNumId w:val="2"/>
  </w:num>
  <w:num w:numId="10">
    <w:abstractNumId w:val="4"/>
  </w:num>
  <w:num w:numId="11">
    <w:abstractNumId w:val="36"/>
  </w:num>
  <w:num w:numId="12">
    <w:abstractNumId w:val="18"/>
  </w:num>
  <w:num w:numId="13">
    <w:abstractNumId w:val="24"/>
  </w:num>
  <w:num w:numId="14">
    <w:abstractNumId w:val="15"/>
  </w:num>
  <w:num w:numId="15">
    <w:abstractNumId w:val="35"/>
  </w:num>
  <w:num w:numId="16">
    <w:abstractNumId w:val="12"/>
  </w:num>
  <w:num w:numId="17">
    <w:abstractNumId w:val="29"/>
  </w:num>
  <w:num w:numId="18">
    <w:abstractNumId w:val="9"/>
  </w:num>
  <w:num w:numId="19">
    <w:abstractNumId w:val="31"/>
  </w:num>
  <w:num w:numId="20">
    <w:abstractNumId w:val="28"/>
  </w:num>
  <w:num w:numId="21">
    <w:abstractNumId w:val="22"/>
  </w:num>
  <w:num w:numId="22">
    <w:abstractNumId w:val="30"/>
  </w:num>
  <w:num w:numId="23">
    <w:abstractNumId w:val="23"/>
  </w:num>
  <w:num w:numId="24">
    <w:abstractNumId w:val="10"/>
  </w:num>
  <w:num w:numId="25">
    <w:abstractNumId w:val="27"/>
  </w:num>
  <w:num w:numId="26">
    <w:abstractNumId w:val="26"/>
  </w:num>
  <w:num w:numId="27">
    <w:abstractNumId w:val="37"/>
  </w:num>
  <w:num w:numId="28">
    <w:abstractNumId w:val="6"/>
  </w:num>
  <w:num w:numId="29">
    <w:abstractNumId w:val="25"/>
  </w:num>
  <w:num w:numId="30">
    <w:abstractNumId w:val="41"/>
  </w:num>
  <w:num w:numId="31">
    <w:abstractNumId w:val="5"/>
  </w:num>
  <w:num w:numId="32">
    <w:abstractNumId w:val="40"/>
  </w:num>
  <w:num w:numId="33">
    <w:abstractNumId w:val="34"/>
  </w:num>
  <w:num w:numId="34">
    <w:abstractNumId w:val="38"/>
  </w:num>
  <w:num w:numId="35">
    <w:abstractNumId w:val="8"/>
  </w:num>
  <w:num w:numId="36">
    <w:abstractNumId w:val="11"/>
  </w:num>
  <w:num w:numId="37">
    <w:abstractNumId w:val="17"/>
  </w:num>
  <w:num w:numId="38">
    <w:abstractNumId w:val="19"/>
  </w:num>
  <w:num w:numId="39">
    <w:abstractNumId w:val="32"/>
  </w:num>
  <w:num w:numId="40">
    <w:abstractNumId w:val="7"/>
  </w:num>
  <w:num w:numId="41">
    <w:abstractNumId w:val="1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37BC8"/>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7379</Words>
  <Characters>42061</Characters>
  <Application>Microsoft Office Word</Application>
  <DocSecurity>0</DocSecurity>
  <Lines>350</Lines>
  <Paragraphs>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2022-07-04T17:37:00Z</dcterms:created>
  <dcterms:modified xsi:type="dcterms:W3CDTF">2022-07-04T17:37:00Z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