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19DFF8AA" w:rsidR="007122AD" w:rsidRDefault="00DD466D" w:rsidP="00936AD0">
      <w:pPr>
        <w:pStyle w:val="Heading1"/>
      </w:pPr>
      <w:r>
        <w:t>1.ИМЕ НА ЛЕКАРСТВЕНИЯ ПРОДУКТ</w:t>
      </w:r>
    </w:p>
    <w:p w14:paraId="40535AAA" w14:textId="58C9FB7B" w:rsidR="006E7B6D" w:rsidRDefault="006E7B6D" w:rsidP="006E7B6D"/>
    <w:p w14:paraId="1F9FC839" w14:textId="77777777" w:rsidR="006E7B6D" w:rsidRPr="006E7B6D" w:rsidRDefault="006E7B6D" w:rsidP="006E7B6D">
      <w:pPr>
        <w:rPr>
          <w:sz w:val="24"/>
          <w:szCs w:val="24"/>
        </w:rPr>
      </w:pPr>
      <w:r w:rsidRPr="006E7B6D">
        <w:rPr>
          <w:lang w:eastAsia="bg-BG"/>
        </w:rPr>
        <w:t xml:space="preserve">Клопидогрел Екофарм 75 </w:t>
      </w:r>
      <w:r w:rsidRPr="006E7B6D">
        <w:rPr>
          <w:lang w:val="en-US"/>
        </w:rPr>
        <w:t>mg</w:t>
      </w:r>
      <w:r w:rsidRPr="006E7B6D">
        <w:t xml:space="preserve"> </w:t>
      </w:r>
      <w:r w:rsidRPr="006E7B6D">
        <w:rPr>
          <w:lang w:eastAsia="bg-BG"/>
        </w:rPr>
        <w:t>филмирани таблетки</w:t>
      </w:r>
    </w:p>
    <w:p w14:paraId="4FD0F864" w14:textId="77777777" w:rsidR="006E7B6D" w:rsidRPr="006E7B6D" w:rsidRDefault="006E7B6D" w:rsidP="006E7B6D">
      <w:pPr>
        <w:rPr>
          <w:sz w:val="24"/>
          <w:szCs w:val="24"/>
        </w:rPr>
      </w:pPr>
      <w:r w:rsidRPr="006E7B6D">
        <w:rPr>
          <w:lang w:val="en-US"/>
        </w:rPr>
        <w:t>Clopidogrel</w:t>
      </w:r>
      <w:r w:rsidRPr="006E7B6D">
        <w:t xml:space="preserve"> </w:t>
      </w:r>
      <w:r w:rsidRPr="006E7B6D">
        <w:rPr>
          <w:lang w:val="en-US"/>
        </w:rPr>
        <w:t>Ecopharm</w:t>
      </w:r>
      <w:r w:rsidRPr="006E7B6D">
        <w:t xml:space="preserve"> </w:t>
      </w:r>
      <w:r w:rsidRPr="006E7B6D">
        <w:rPr>
          <w:lang w:eastAsia="bg-BG"/>
        </w:rPr>
        <w:t xml:space="preserve">75 </w:t>
      </w:r>
      <w:r w:rsidRPr="006E7B6D">
        <w:rPr>
          <w:lang w:val="en-US"/>
        </w:rPr>
        <w:t>mg</w:t>
      </w:r>
      <w:r w:rsidRPr="006E7B6D">
        <w:t xml:space="preserve"> </w:t>
      </w:r>
      <w:r w:rsidRPr="006E7B6D">
        <w:rPr>
          <w:lang w:val="en-US"/>
        </w:rPr>
        <w:t>film</w:t>
      </w:r>
      <w:r w:rsidRPr="006E7B6D">
        <w:t>-</w:t>
      </w:r>
      <w:r w:rsidRPr="006E7B6D">
        <w:rPr>
          <w:lang w:val="en-US"/>
        </w:rPr>
        <w:t>coated</w:t>
      </w:r>
      <w:r w:rsidRPr="006E7B6D">
        <w:t xml:space="preserve"> </w:t>
      </w:r>
      <w:r w:rsidRPr="006E7B6D">
        <w:rPr>
          <w:lang w:val="en-US"/>
        </w:rPr>
        <w:t>tablets</w:t>
      </w:r>
    </w:p>
    <w:p w14:paraId="57C181B6" w14:textId="77777777" w:rsidR="006E7B6D" w:rsidRPr="006E7B6D" w:rsidRDefault="006E7B6D" w:rsidP="006E7B6D"/>
    <w:p w14:paraId="6920A680" w14:textId="1ED5EB52" w:rsidR="00C40420" w:rsidRDefault="00DD466D" w:rsidP="004A448E">
      <w:pPr>
        <w:pStyle w:val="Heading1"/>
      </w:pPr>
      <w:r>
        <w:t>2. КАЧЕСТВЕН И КОЛИЧЕСТВЕН СЪСТАВ</w:t>
      </w:r>
    </w:p>
    <w:p w14:paraId="0FB17E36" w14:textId="274393CB" w:rsidR="006E7B6D" w:rsidRDefault="006E7B6D" w:rsidP="006E7B6D"/>
    <w:p w14:paraId="279FA46E" w14:textId="77777777" w:rsidR="006E7B6D" w:rsidRPr="006E7B6D" w:rsidRDefault="006E7B6D" w:rsidP="006E7B6D">
      <w:pPr>
        <w:tabs>
          <w:tab w:val="left" w:pos="709"/>
        </w:tabs>
        <w:spacing w:line="240" w:lineRule="auto"/>
        <w:rPr>
          <w:rFonts w:eastAsia="Times New Roman" w:cs="Arial"/>
          <w:sz w:val="24"/>
          <w:szCs w:val="24"/>
        </w:rPr>
      </w:pPr>
      <w:r w:rsidRPr="006E7B6D">
        <w:rPr>
          <w:rFonts w:eastAsia="Times New Roman" w:cs="Arial"/>
          <w:color w:val="000000"/>
          <w:lang w:eastAsia="bg-BG"/>
        </w:rPr>
        <w:t xml:space="preserve">Всяка филмирана таблетка съдържа 75 </w:t>
      </w:r>
      <w:r w:rsidRPr="006E7B6D">
        <w:rPr>
          <w:rFonts w:eastAsia="Times New Roman" w:cs="Arial"/>
          <w:color w:val="000000"/>
          <w:lang w:val="en-US"/>
        </w:rPr>
        <w:t>mg</w:t>
      </w:r>
      <w:r w:rsidRPr="006E7B6D">
        <w:rPr>
          <w:rFonts w:eastAsia="Times New Roman" w:cs="Arial"/>
          <w:color w:val="000000"/>
        </w:rPr>
        <w:t xml:space="preserve"> </w:t>
      </w:r>
      <w:r w:rsidRPr="006E7B6D">
        <w:rPr>
          <w:rFonts w:eastAsia="Times New Roman" w:cs="Arial"/>
          <w:color w:val="000000"/>
          <w:lang w:eastAsia="bg-BG"/>
        </w:rPr>
        <w:t xml:space="preserve">клопидогрел </w:t>
      </w:r>
      <w:r w:rsidRPr="006E7B6D">
        <w:rPr>
          <w:rFonts w:eastAsia="Times New Roman" w:cs="Arial"/>
          <w:color w:val="000000"/>
        </w:rPr>
        <w:t>(</w:t>
      </w:r>
      <w:r w:rsidRPr="006E7B6D">
        <w:rPr>
          <w:rFonts w:eastAsia="Times New Roman" w:cs="Arial"/>
          <w:color w:val="000000"/>
          <w:lang w:val="en-US"/>
        </w:rPr>
        <w:t>clopidogrel</w:t>
      </w:r>
      <w:r w:rsidRPr="006E7B6D">
        <w:rPr>
          <w:rFonts w:eastAsia="Times New Roman" w:cs="Arial"/>
          <w:color w:val="000000"/>
        </w:rPr>
        <w:t xml:space="preserve">) </w:t>
      </w:r>
      <w:r w:rsidRPr="006E7B6D">
        <w:rPr>
          <w:rFonts w:eastAsia="Times New Roman" w:cs="Arial"/>
          <w:color w:val="000000"/>
          <w:lang w:eastAsia="bg-BG"/>
        </w:rPr>
        <w:t>(като хидрогенсулфат).</w:t>
      </w:r>
    </w:p>
    <w:p w14:paraId="6DCD9A93" w14:textId="77777777" w:rsidR="006E7B6D" w:rsidRPr="006E7B6D" w:rsidRDefault="006E7B6D" w:rsidP="006E7B6D">
      <w:pPr>
        <w:tabs>
          <w:tab w:val="left" w:pos="709"/>
        </w:tabs>
        <w:spacing w:line="240" w:lineRule="auto"/>
        <w:rPr>
          <w:rFonts w:eastAsia="Times New Roman" w:cs="Arial"/>
          <w:i/>
          <w:iCs/>
          <w:color w:val="000000"/>
          <w:lang w:eastAsia="bg-BG"/>
        </w:rPr>
      </w:pPr>
    </w:p>
    <w:p w14:paraId="3273E0BC" w14:textId="705E541C" w:rsidR="006E7B6D" w:rsidRPr="006E7B6D" w:rsidRDefault="006E7B6D" w:rsidP="006E7B6D">
      <w:pPr>
        <w:tabs>
          <w:tab w:val="left" w:pos="709"/>
        </w:tabs>
        <w:spacing w:line="240" w:lineRule="auto"/>
        <w:rPr>
          <w:rFonts w:eastAsia="Times New Roman" w:cs="Arial"/>
          <w:sz w:val="24"/>
          <w:szCs w:val="24"/>
        </w:rPr>
      </w:pPr>
      <w:r w:rsidRPr="006E7B6D">
        <w:rPr>
          <w:rFonts w:eastAsia="Times New Roman" w:cs="Arial"/>
          <w:i/>
          <w:iCs/>
          <w:color w:val="000000"/>
          <w:lang w:eastAsia="bg-BG"/>
        </w:rPr>
        <w:t>Помощни вещества с известно действие:</w:t>
      </w:r>
    </w:p>
    <w:p w14:paraId="22815ECC" w14:textId="2A21DE6A" w:rsidR="006E7B6D" w:rsidRPr="006E7B6D" w:rsidRDefault="006E7B6D" w:rsidP="006E7B6D">
      <w:pPr>
        <w:tabs>
          <w:tab w:val="left" w:pos="709"/>
        </w:tabs>
        <w:spacing w:line="240" w:lineRule="auto"/>
        <w:rPr>
          <w:rFonts w:eastAsia="Times New Roman" w:cs="Arial"/>
          <w:sz w:val="24"/>
          <w:szCs w:val="24"/>
        </w:rPr>
      </w:pPr>
      <w:r w:rsidRPr="006E7B6D">
        <w:rPr>
          <w:rFonts w:eastAsia="Times New Roman" w:cs="Arial"/>
          <w:color w:val="000000"/>
          <w:lang w:eastAsia="bg-BG"/>
        </w:rPr>
        <w:t xml:space="preserve">Всяка филмирана таблетка съдържа 191.375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лактоза монохидрат и 4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хидрогенирано рициново масло.</w:t>
      </w:r>
    </w:p>
    <w:p w14:paraId="668992BC" w14:textId="77777777" w:rsidR="006E7B6D" w:rsidRPr="006E7B6D" w:rsidRDefault="006E7B6D" w:rsidP="006E7B6D"/>
    <w:p w14:paraId="614984C4" w14:textId="0315A5CC" w:rsidR="008A6AF2" w:rsidRDefault="00DD466D" w:rsidP="002C50EE">
      <w:pPr>
        <w:pStyle w:val="Heading1"/>
      </w:pPr>
      <w:r>
        <w:t>3. ЛЕКАРСТВЕНА ФОРМА</w:t>
      </w:r>
    </w:p>
    <w:p w14:paraId="708635AF" w14:textId="67C66BB7" w:rsidR="006E7B6D" w:rsidRDefault="006E7B6D" w:rsidP="006E7B6D"/>
    <w:p w14:paraId="047C830D" w14:textId="77777777" w:rsidR="006E7B6D" w:rsidRPr="006E7B6D" w:rsidRDefault="006E7B6D" w:rsidP="006E7B6D">
      <w:pPr>
        <w:rPr>
          <w:sz w:val="24"/>
          <w:szCs w:val="24"/>
        </w:rPr>
      </w:pPr>
      <w:r w:rsidRPr="006E7B6D">
        <w:rPr>
          <w:lang w:eastAsia="bg-BG"/>
        </w:rPr>
        <w:t>Филмирана таблетка</w:t>
      </w:r>
    </w:p>
    <w:p w14:paraId="0065420A" w14:textId="77777777" w:rsidR="006E7B6D" w:rsidRDefault="006E7B6D" w:rsidP="006E7B6D">
      <w:pPr>
        <w:rPr>
          <w:lang w:eastAsia="bg-BG"/>
        </w:rPr>
      </w:pPr>
    </w:p>
    <w:p w14:paraId="37BC4B83" w14:textId="4DA9A67F" w:rsidR="006E7B6D" w:rsidRPr="006E7B6D" w:rsidRDefault="006E7B6D" w:rsidP="006E7B6D">
      <w:pPr>
        <w:rPr>
          <w:sz w:val="24"/>
          <w:szCs w:val="24"/>
        </w:rPr>
      </w:pPr>
      <w:r w:rsidRPr="006E7B6D">
        <w:rPr>
          <w:lang w:eastAsia="bg-BG"/>
        </w:rPr>
        <w:t>Розови, кръгли, двойноизпъкнали, филмирани таблетки, гладки от едната страна и с вдлъбнато релефно обозначение „</w:t>
      </w:r>
      <w:r w:rsidRPr="006E7B6D">
        <w:rPr>
          <w:lang w:val="en-US"/>
        </w:rPr>
        <w:t>LII</w:t>
      </w:r>
      <w:r w:rsidRPr="006E7B6D">
        <w:rPr>
          <w:lang w:eastAsia="bg-BG"/>
        </w:rPr>
        <w:t>“на другата страна.</w:t>
      </w:r>
    </w:p>
    <w:p w14:paraId="421F470A" w14:textId="77777777" w:rsidR="006E7B6D" w:rsidRPr="006E7B6D" w:rsidRDefault="006E7B6D" w:rsidP="006E7B6D"/>
    <w:p w14:paraId="490FC2C4" w14:textId="0F4A4A75" w:rsidR="002C50EE" w:rsidRDefault="002C50EE" w:rsidP="002C50EE">
      <w:pPr>
        <w:pStyle w:val="Heading1"/>
      </w:pPr>
      <w:r>
        <w:t>4. КЛИНИЧНИ ДАННИ</w:t>
      </w:r>
    </w:p>
    <w:p w14:paraId="74330405" w14:textId="47A31C53" w:rsidR="007122AD" w:rsidRDefault="002C50EE" w:rsidP="00936AD0">
      <w:pPr>
        <w:pStyle w:val="Heading2"/>
      </w:pPr>
      <w:r>
        <w:t>4.1. Терапевтични показания</w:t>
      </w:r>
    </w:p>
    <w:p w14:paraId="578279D0" w14:textId="43880ABC" w:rsidR="006E7B6D" w:rsidRDefault="006E7B6D" w:rsidP="006E7B6D"/>
    <w:p w14:paraId="3863BB48" w14:textId="77777777"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Вторично предпазване от атеротромботични инциденпш</w:t>
      </w:r>
    </w:p>
    <w:p w14:paraId="651499D0"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Клопидогрел е показан при:</w:t>
      </w:r>
    </w:p>
    <w:p w14:paraId="625DA68A" w14:textId="77777777" w:rsidR="006E7B6D" w:rsidRPr="006E7B6D" w:rsidRDefault="006E7B6D" w:rsidP="006E7B6D">
      <w:pPr>
        <w:pStyle w:val="ListParagraph"/>
        <w:numPr>
          <w:ilvl w:val="0"/>
          <w:numId w:val="37"/>
        </w:numPr>
        <w:spacing w:line="240" w:lineRule="auto"/>
        <w:rPr>
          <w:rFonts w:eastAsia="Times New Roman" w:cs="Arial"/>
          <w:color w:val="000000"/>
          <w:lang w:eastAsia="bg-BG"/>
        </w:rPr>
      </w:pPr>
      <w:r w:rsidRPr="006E7B6D">
        <w:rPr>
          <w:rFonts w:eastAsia="Times New Roman" w:cs="Arial"/>
          <w:color w:val="000000"/>
          <w:lang w:eastAsia="bg-BG"/>
        </w:rPr>
        <w:t>Възрастни пациенти с анамнеза за миокарден инфаркт (от няколко дни до 35 дни), исхемичен инсулт (от 7-мия ден до 6-тия месец) или установено периферно артериално заболяване.</w:t>
      </w:r>
    </w:p>
    <w:p w14:paraId="51E09F43" w14:textId="77777777" w:rsidR="006E7B6D" w:rsidRPr="006E7B6D" w:rsidRDefault="006E7B6D" w:rsidP="006E7B6D">
      <w:pPr>
        <w:spacing w:line="240" w:lineRule="auto"/>
        <w:rPr>
          <w:rFonts w:eastAsia="Times New Roman" w:cs="Arial"/>
          <w:color w:val="000000"/>
          <w:lang w:eastAsia="bg-BG"/>
        </w:rPr>
      </w:pPr>
    </w:p>
    <w:p w14:paraId="3DCADE24" w14:textId="06003AE9" w:rsidR="006E7B6D" w:rsidRPr="006E7B6D" w:rsidRDefault="006E7B6D" w:rsidP="006E7B6D">
      <w:pPr>
        <w:pStyle w:val="ListParagraph"/>
        <w:numPr>
          <w:ilvl w:val="0"/>
          <w:numId w:val="37"/>
        </w:numPr>
        <w:spacing w:line="240" w:lineRule="auto"/>
        <w:rPr>
          <w:rFonts w:eastAsia="Times New Roman" w:cs="Arial"/>
          <w:color w:val="000000"/>
          <w:lang w:eastAsia="bg-BG"/>
        </w:rPr>
      </w:pPr>
      <w:r w:rsidRPr="006E7B6D">
        <w:rPr>
          <w:rFonts w:eastAsia="Times New Roman" w:cs="Arial"/>
          <w:color w:val="000000"/>
          <w:lang w:eastAsia="bg-BG"/>
        </w:rPr>
        <w:t>Възрастни пациенти с остър коронарен синдром:</w:t>
      </w:r>
    </w:p>
    <w:p w14:paraId="7FB2CC93" w14:textId="77777777" w:rsidR="006E7B6D" w:rsidRPr="006E7B6D" w:rsidRDefault="006E7B6D" w:rsidP="006E7B6D">
      <w:pPr>
        <w:pStyle w:val="ListParagraph"/>
        <w:rPr>
          <w:rFonts w:eastAsia="Times New Roman" w:cs="Arial"/>
          <w:color w:val="000000"/>
          <w:lang w:eastAsia="bg-BG"/>
        </w:rPr>
      </w:pPr>
    </w:p>
    <w:p w14:paraId="7A2E9F3F" w14:textId="77777777" w:rsidR="006E7B6D" w:rsidRPr="006E7B6D" w:rsidRDefault="006E7B6D" w:rsidP="006E7B6D">
      <w:pPr>
        <w:pStyle w:val="ListParagraph"/>
        <w:numPr>
          <w:ilvl w:val="0"/>
          <w:numId w:val="38"/>
        </w:numPr>
        <w:spacing w:line="240" w:lineRule="auto"/>
        <w:rPr>
          <w:rFonts w:eastAsia="Times New Roman" w:cs="Arial"/>
          <w:color w:val="000000"/>
          <w:lang w:eastAsia="bg-BG"/>
        </w:rPr>
      </w:pPr>
      <w:r w:rsidRPr="006E7B6D">
        <w:rPr>
          <w:rFonts w:eastAsia="Times New Roman" w:cs="Arial"/>
          <w:color w:val="000000"/>
          <w:lang w:eastAsia="bg-BG"/>
        </w:rPr>
        <w:t xml:space="preserve">Остър коронарен синдром без елевация на </w:t>
      </w:r>
      <w:r w:rsidRPr="006E7B6D">
        <w:rPr>
          <w:rFonts w:eastAsia="Times New Roman" w:cs="Arial"/>
          <w:color w:val="000000"/>
          <w:lang w:val="en-US"/>
        </w:rPr>
        <w:t>ST</w:t>
      </w:r>
      <w:r w:rsidRPr="006E7B6D">
        <w:rPr>
          <w:rFonts w:eastAsia="Times New Roman" w:cs="Arial"/>
          <w:color w:val="000000"/>
          <w:lang w:eastAsia="bg-BG"/>
        </w:rPr>
        <w:t xml:space="preserve">-сегмента (нестабилна стенокардия или миокарден инфаркт без </w:t>
      </w:r>
      <w:r w:rsidRPr="006E7B6D">
        <w:rPr>
          <w:rFonts w:eastAsia="Times New Roman" w:cs="Arial"/>
          <w:color w:val="000000"/>
          <w:lang w:val="en-US"/>
        </w:rPr>
        <w:t>Q</w:t>
      </w:r>
      <w:r w:rsidRPr="006E7B6D">
        <w:rPr>
          <w:rFonts w:eastAsia="Times New Roman" w:cs="Arial"/>
          <w:color w:val="000000"/>
          <w:lang w:eastAsia="bg-BG"/>
        </w:rPr>
        <w:t>-зъбец), включително пациенти на които е поставен стент след перкутанна коронарна интервенция, в комбинация с ацетилсалицилова киселина (АСК).</w:t>
      </w:r>
    </w:p>
    <w:p w14:paraId="0FD17877" w14:textId="71D45786" w:rsidR="006E7B6D" w:rsidRPr="006E7B6D" w:rsidRDefault="006E7B6D" w:rsidP="006E7B6D">
      <w:pPr>
        <w:pStyle w:val="ListParagraph"/>
        <w:numPr>
          <w:ilvl w:val="0"/>
          <w:numId w:val="38"/>
        </w:numPr>
        <w:spacing w:line="240" w:lineRule="auto"/>
        <w:rPr>
          <w:rFonts w:eastAsia="Times New Roman" w:cs="Arial"/>
          <w:color w:val="000000"/>
          <w:lang w:eastAsia="bg-BG"/>
        </w:rPr>
      </w:pPr>
      <w:r w:rsidRPr="006E7B6D">
        <w:rPr>
          <w:rFonts w:eastAsia="Times New Roman" w:cs="Arial"/>
          <w:color w:val="000000"/>
          <w:lang w:eastAsia="bg-BG"/>
        </w:rPr>
        <w:t xml:space="preserve">Остър миокарден инфаркт с елевация на </w:t>
      </w:r>
      <w:r w:rsidRPr="006E7B6D">
        <w:rPr>
          <w:rFonts w:eastAsia="Times New Roman" w:cs="Arial"/>
          <w:color w:val="000000"/>
          <w:lang w:val="en-US"/>
        </w:rPr>
        <w:t>ST</w:t>
      </w:r>
      <w:r w:rsidRPr="006E7B6D">
        <w:rPr>
          <w:rFonts w:eastAsia="Times New Roman" w:cs="Arial"/>
          <w:color w:val="000000"/>
          <w:lang w:eastAsia="bg-BG"/>
        </w:rPr>
        <w:t>-сегмента, в комбинация с АСК при медикаментозно лекувани пациенти, подходящи за тромболитична терапия.</w:t>
      </w:r>
    </w:p>
    <w:p w14:paraId="3EE78B8A" w14:textId="77777777" w:rsidR="006E7B6D" w:rsidRPr="006E7B6D" w:rsidRDefault="006E7B6D" w:rsidP="006E7B6D">
      <w:pPr>
        <w:spacing w:line="240" w:lineRule="auto"/>
        <w:rPr>
          <w:rFonts w:eastAsia="Times New Roman" w:cs="Arial"/>
          <w:i/>
          <w:iCs/>
          <w:color w:val="000000"/>
          <w:lang w:eastAsia="bg-BG"/>
        </w:rPr>
      </w:pPr>
    </w:p>
    <w:p w14:paraId="72071790" w14:textId="69A01F8E"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lastRenderedPageBreak/>
        <w:t>При пациенти с преходна исхемична атака (Т</w:t>
      </w:r>
      <w:r w:rsidRPr="006E7B6D">
        <w:rPr>
          <w:rFonts w:eastAsia="Times New Roman" w:cs="Arial"/>
          <w:i/>
          <w:iCs/>
          <w:color w:val="000000"/>
          <w:lang w:val="en-US"/>
        </w:rPr>
        <w:t>ransient</w:t>
      </w:r>
      <w:r w:rsidRPr="006E7B6D">
        <w:rPr>
          <w:rFonts w:eastAsia="Times New Roman" w:cs="Arial"/>
          <w:i/>
          <w:iCs/>
          <w:color w:val="000000"/>
        </w:rPr>
        <w:t xml:space="preserve"> </w:t>
      </w:r>
      <w:r w:rsidRPr="006E7B6D">
        <w:rPr>
          <w:rFonts w:eastAsia="Times New Roman" w:cs="Arial"/>
          <w:i/>
          <w:iCs/>
          <w:color w:val="000000"/>
          <w:lang w:val="en-US"/>
        </w:rPr>
        <w:t>Ischemic</w:t>
      </w:r>
      <w:r w:rsidRPr="006E7B6D">
        <w:rPr>
          <w:rFonts w:eastAsia="Times New Roman" w:cs="Arial"/>
          <w:i/>
          <w:iCs/>
          <w:color w:val="000000"/>
        </w:rPr>
        <w:t xml:space="preserve"> </w:t>
      </w:r>
      <w:r w:rsidRPr="006E7B6D">
        <w:rPr>
          <w:rFonts w:eastAsia="Times New Roman" w:cs="Arial"/>
          <w:i/>
          <w:iCs/>
          <w:color w:val="000000"/>
          <w:lang w:val="en-US"/>
        </w:rPr>
        <w:t>Attack</w:t>
      </w:r>
      <w:r w:rsidRPr="006E7B6D">
        <w:rPr>
          <w:rFonts w:eastAsia="Times New Roman" w:cs="Arial"/>
          <w:i/>
          <w:iCs/>
          <w:color w:val="000000"/>
        </w:rPr>
        <w:t xml:space="preserve">, </w:t>
      </w:r>
      <w:r w:rsidRPr="006E7B6D">
        <w:rPr>
          <w:rFonts w:eastAsia="Times New Roman" w:cs="Arial"/>
          <w:i/>
          <w:iCs/>
          <w:color w:val="000000"/>
          <w:lang w:val="en-US"/>
        </w:rPr>
        <w:t>TIA</w:t>
      </w:r>
      <w:r w:rsidRPr="006E7B6D">
        <w:rPr>
          <w:rFonts w:eastAsia="Times New Roman" w:cs="Arial"/>
          <w:i/>
          <w:iCs/>
          <w:color w:val="000000"/>
        </w:rPr>
        <w:t xml:space="preserve">) </w:t>
      </w:r>
      <w:r w:rsidRPr="006E7B6D">
        <w:rPr>
          <w:rFonts w:eastAsia="Times New Roman" w:cs="Arial"/>
          <w:i/>
          <w:iCs/>
          <w:color w:val="000000"/>
          <w:lang w:val="en-US"/>
        </w:rPr>
        <w:t>c</w:t>
      </w:r>
      <w:r w:rsidRPr="006E7B6D">
        <w:rPr>
          <w:rFonts w:eastAsia="Times New Roman" w:cs="Arial"/>
          <w:i/>
          <w:iCs/>
          <w:color w:val="000000"/>
        </w:rPr>
        <w:t xml:space="preserve"> </w:t>
      </w:r>
      <w:r w:rsidRPr="006E7B6D">
        <w:rPr>
          <w:rFonts w:eastAsia="Times New Roman" w:cs="Arial"/>
          <w:i/>
          <w:iCs/>
          <w:color w:val="000000"/>
          <w:lang w:eastAsia="bg-BG"/>
        </w:rPr>
        <w:t xml:space="preserve">умерен до висок риск или лек исхемичен инсулт </w:t>
      </w:r>
      <w:r w:rsidRPr="006E7B6D">
        <w:rPr>
          <w:rFonts w:eastAsia="Times New Roman" w:cs="Arial"/>
          <w:i/>
          <w:iCs/>
          <w:color w:val="000000"/>
        </w:rPr>
        <w:t>(</w:t>
      </w:r>
      <w:r w:rsidRPr="006E7B6D">
        <w:rPr>
          <w:rFonts w:eastAsia="Times New Roman" w:cs="Arial"/>
          <w:i/>
          <w:iCs/>
          <w:color w:val="000000"/>
          <w:lang w:val="en-US"/>
        </w:rPr>
        <w:t>Ischemic</w:t>
      </w:r>
      <w:r w:rsidRPr="006E7B6D">
        <w:rPr>
          <w:rFonts w:eastAsia="Times New Roman" w:cs="Arial"/>
          <w:i/>
          <w:iCs/>
          <w:color w:val="000000"/>
        </w:rPr>
        <w:t xml:space="preserve"> </w:t>
      </w:r>
      <w:r w:rsidRPr="006E7B6D">
        <w:rPr>
          <w:rFonts w:eastAsia="Times New Roman" w:cs="Arial"/>
          <w:i/>
          <w:iCs/>
          <w:color w:val="000000"/>
          <w:lang w:val="en-US"/>
        </w:rPr>
        <w:t>Stroke</w:t>
      </w:r>
      <w:r w:rsidRPr="006E7B6D">
        <w:rPr>
          <w:rFonts w:eastAsia="Times New Roman" w:cs="Arial"/>
          <w:i/>
          <w:iCs/>
          <w:color w:val="000000"/>
        </w:rPr>
        <w:t xml:space="preserve">, </w:t>
      </w:r>
      <w:r w:rsidRPr="006E7B6D">
        <w:rPr>
          <w:rFonts w:eastAsia="Times New Roman" w:cs="Arial"/>
          <w:i/>
          <w:iCs/>
          <w:color w:val="000000"/>
          <w:lang w:val="en-US"/>
        </w:rPr>
        <w:t>IS</w:t>
      </w:r>
      <w:r w:rsidRPr="006E7B6D">
        <w:rPr>
          <w:rFonts w:eastAsia="Times New Roman" w:cs="Arial"/>
          <w:i/>
          <w:iCs/>
          <w:color w:val="000000"/>
        </w:rPr>
        <w:t xml:space="preserve">) </w:t>
      </w:r>
      <w:r w:rsidRPr="006E7B6D">
        <w:rPr>
          <w:rFonts w:eastAsia="Times New Roman" w:cs="Arial"/>
          <w:color w:val="000000"/>
          <w:lang w:eastAsia="bg-BG"/>
        </w:rPr>
        <w:t>Клопидогрел в комбинация с АСК е показан при:</w:t>
      </w:r>
    </w:p>
    <w:p w14:paraId="151FE135" w14:textId="7299E392" w:rsidR="006E7B6D" w:rsidRPr="006E7B6D" w:rsidRDefault="006E7B6D" w:rsidP="006E7B6D">
      <w:pPr>
        <w:pStyle w:val="ListParagraph"/>
        <w:numPr>
          <w:ilvl w:val="0"/>
          <w:numId w:val="40"/>
        </w:numPr>
        <w:spacing w:line="240" w:lineRule="auto"/>
        <w:rPr>
          <w:rFonts w:eastAsia="Times New Roman" w:cs="Arial"/>
          <w:sz w:val="24"/>
          <w:szCs w:val="24"/>
        </w:rPr>
      </w:pPr>
      <w:r w:rsidRPr="006E7B6D">
        <w:rPr>
          <w:rFonts w:eastAsia="Times New Roman" w:cs="Arial"/>
          <w:color w:val="000000"/>
          <w:lang w:eastAsia="bg-BG"/>
        </w:rPr>
        <w:t xml:space="preserve">Възрастни пациенти с </w:t>
      </w:r>
      <w:r w:rsidRPr="006E7B6D">
        <w:rPr>
          <w:rFonts w:eastAsia="Times New Roman" w:cs="Arial"/>
          <w:color w:val="000000"/>
          <w:lang w:val="en-US"/>
        </w:rPr>
        <w:t>TIA</w:t>
      </w:r>
      <w:r w:rsidRPr="006E7B6D">
        <w:rPr>
          <w:rFonts w:eastAsia="Times New Roman" w:cs="Arial"/>
          <w:color w:val="000000"/>
          <w:lang w:val="ru-RU"/>
        </w:rPr>
        <w:t xml:space="preserve"> </w:t>
      </w:r>
      <w:r w:rsidRPr="006E7B6D">
        <w:rPr>
          <w:rFonts w:eastAsia="Times New Roman" w:cs="Arial"/>
          <w:color w:val="000000"/>
          <w:lang w:eastAsia="bg-BG"/>
        </w:rPr>
        <w:t xml:space="preserve">с умерен до висок риск </w:t>
      </w:r>
      <w:r w:rsidRPr="006E7B6D">
        <w:rPr>
          <w:rFonts w:eastAsia="Times New Roman" w:cs="Arial"/>
          <w:color w:val="000000"/>
          <w:lang w:val="ru-RU"/>
        </w:rPr>
        <w:t>(</w:t>
      </w:r>
      <w:r w:rsidRPr="006E7B6D">
        <w:rPr>
          <w:rFonts w:eastAsia="Times New Roman" w:cs="Arial"/>
          <w:color w:val="000000"/>
          <w:lang w:val="en-US"/>
        </w:rPr>
        <w:t>ABCD</w:t>
      </w:r>
      <w:r w:rsidRPr="006E7B6D">
        <w:rPr>
          <w:rFonts w:eastAsia="Times New Roman" w:cs="Arial"/>
          <w:color w:val="000000"/>
          <w:lang w:val="ru-RU"/>
        </w:rPr>
        <w:t>2</w:t>
      </w:r>
      <w:r w:rsidRPr="006E7B6D">
        <w:rPr>
          <w:rFonts w:eastAsia="Times New Roman" w:cs="Arial"/>
          <w:color w:val="000000"/>
          <w:vertAlign w:val="superscript"/>
          <w:lang w:val="ru-RU"/>
        </w:rPr>
        <w:t>1</w:t>
      </w:r>
      <w:r w:rsidRPr="006E7B6D">
        <w:rPr>
          <w:rFonts w:eastAsia="Times New Roman" w:cs="Arial"/>
          <w:color w:val="000000"/>
          <w:lang w:val="ru-RU"/>
        </w:rPr>
        <w:t xml:space="preserve"> </w:t>
      </w:r>
      <w:r w:rsidRPr="006E7B6D">
        <w:rPr>
          <w:rFonts w:eastAsia="Times New Roman" w:cs="Arial"/>
          <w:color w:val="000000"/>
          <w:lang w:eastAsia="bg-BG"/>
        </w:rPr>
        <w:t xml:space="preserve">скор ≥4) или с лек </w:t>
      </w:r>
      <w:r w:rsidRPr="006E7B6D">
        <w:rPr>
          <w:rFonts w:eastAsia="Times New Roman" w:cs="Arial"/>
          <w:color w:val="000000"/>
          <w:lang w:val="en-US"/>
        </w:rPr>
        <w:t>IS</w:t>
      </w:r>
      <w:r w:rsidRPr="006E7B6D">
        <w:rPr>
          <w:rFonts w:eastAsia="Times New Roman" w:cs="Arial"/>
          <w:color w:val="000000"/>
          <w:lang w:val="ru-RU"/>
        </w:rPr>
        <w:t xml:space="preserve"> (</w:t>
      </w:r>
      <w:r w:rsidRPr="006E7B6D">
        <w:rPr>
          <w:rFonts w:eastAsia="Times New Roman" w:cs="Arial"/>
          <w:color w:val="000000"/>
          <w:lang w:val="en-US"/>
        </w:rPr>
        <w:t>NIHSS</w:t>
      </w:r>
      <w:r w:rsidRPr="006E7B6D">
        <w:rPr>
          <w:rFonts w:eastAsia="Times New Roman" w:cs="Arial"/>
          <w:color w:val="000000"/>
          <w:vertAlign w:val="superscript"/>
          <w:lang w:val="ru-RU"/>
        </w:rPr>
        <w:t>2</w:t>
      </w:r>
    </w:p>
    <w:p w14:paraId="5510B6E5" w14:textId="060CD6C4" w:rsidR="006E7B6D" w:rsidRDefault="006E7B6D" w:rsidP="006E7B6D">
      <w:pPr>
        <w:rPr>
          <w:rFonts w:ascii="Times New Roman" w:eastAsia="Times New Roman" w:hAnsi="Times New Roman" w:cs="Times New Roman"/>
          <w:color w:val="000000"/>
          <w:lang w:eastAsia="bg-BG"/>
        </w:rPr>
      </w:pPr>
      <w:r w:rsidRPr="006E7B6D">
        <w:rPr>
          <w:rFonts w:eastAsia="Times New Roman" w:cs="Arial"/>
          <w:color w:val="000000"/>
          <w:lang w:eastAsia="bg-BG"/>
        </w:rPr>
        <w:t xml:space="preserve">≤3) </w:t>
      </w:r>
      <w:r w:rsidRPr="006E7B6D">
        <w:rPr>
          <w:rFonts w:eastAsia="Times New Roman" w:cs="Arial"/>
          <w:i/>
          <w:iCs/>
          <w:color w:val="000000"/>
          <w:lang w:eastAsia="bg-BG"/>
        </w:rPr>
        <w:t>в</w:t>
      </w:r>
      <w:r w:rsidRPr="006E7B6D">
        <w:rPr>
          <w:rFonts w:eastAsia="Times New Roman" w:cs="Arial"/>
          <w:color w:val="000000"/>
          <w:lang w:eastAsia="bg-BG"/>
        </w:rPr>
        <w:t xml:space="preserve"> рамките на 24 часа от събитието</w:t>
      </w:r>
    </w:p>
    <w:p w14:paraId="3597CC7C" w14:textId="1B8C7C21" w:rsidR="006E7B6D" w:rsidRDefault="006E7B6D" w:rsidP="006E7B6D">
      <w:pPr>
        <w:rPr>
          <w:rFonts w:ascii="Times New Roman" w:eastAsia="Times New Roman" w:hAnsi="Times New Roman" w:cs="Times New Roman"/>
          <w:color w:val="000000"/>
          <w:lang w:eastAsia="bg-BG"/>
        </w:rPr>
      </w:pPr>
    </w:p>
    <w:p w14:paraId="5555535A" w14:textId="77777777" w:rsidR="006E7B6D" w:rsidRPr="006E7B6D" w:rsidRDefault="006E7B6D" w:rsidP="006E7B6D">
      <w:pPr>
        <w:spacing w:line="240" w:lineRule="auto"/>
        <w:rPr>
          <w:rFonts w:eastAsia="Times New Roman" w:cs="Arial"/>
          <w:szCs w:val="24"/>
        </w:rPr>
      </w:pPr>
      <w:r w:rsidRPr="006E7B6D">
        <w:rPr>
          <w:rFonts w:eastAsia="Times New Roman" w:cs="Arial"/>
          <w:color w:val="000000"/>
          <w:sz w:val="18"/>
          <w:szCs w:val="19"/>
          <w:vertAlign w:val="superscript"/>
          <w:lang w:eastAsia="bg-BG"/>
        </w:rPr>
        <w:footnoteRef/>
      </w:r>
      <w:r w:rsidRPr="006E7B6D">
        <w:rPr>
          <w:rFonts w:eastAsia="Times New Roman" w:cs="Arial"/>
          <w:color w:val="000000"/>
          <w:sz w:val="18"/>
          <w:szCs w:val="19"/>
          <w:lang w:eastAsia="bg-BG"/>
        </w:rPr>
        <w:t xml:space="preserve"> </w:t>
      </w:r>
      <w:r w:rsidRPr="006E7B6D">
        <w:rPr>
          <w:rFonts w:eastAsia="Times New Roman" w:cs="Arial"/>
          <w:color w:val="000000"/>
          <w:sz w:val="18"/>
          <w:szCs w:val="19"/>
          <w:lang w:val="en-US"/>
        </w:rPr>
        <w:t>ABCD</w:t>
      </w:r>
      <w:r w:rsidRPr="006E7B6D">
        <w:rPr>
          <w:rFonts w:eastAsia="Times New Roman" w:cs="Arial"/>
          <w:color w:val="000000"/>
          <w:sz w:val="18"/>
          <w:szCs w:val="19"/>
        </w:rPr>
        <w:t>2 (</w:t>
      </w:r>
      <w:r w:rsidRPr="006E7B6D">
        <w:rPr>
          <w:rFonts w:eastAsia="Times New Roman" w:cs="Arial"/>
          <w:color w:val="000000"/>
          <w:sz w:val="18"/>
          <w:szCs w:val="19"/>
          <w:lang w:val="en-US"/>
        </w:rPr>
        <w:t>Age</w:t>
      </w:r>
      <w:r w:rsidRPr="006E7B6D">
        <w:rPr>
          <w:rFonts w:eastAsia="Times New Roman" w:cs="Arial"/>
          <w:color w:val="000000"/>
          <w:sz w:val="18"/>
          <w:szCs w:val="19"/>
        </w:rPr>
        <w:t xml:space="preserve">, </w:t>
      </w:r>
      <w:r w:rsidRPr="006E7B6D">
        <w:rPr>
          <w:rFonts w:eastAsia="Times New Roman" w:cs="Arial"/>
          <w:color w:val="000000"/>
          <w:sz w:val="18"/>
          <w:szCs w:val="19"/>
          <w:lang w:val="en-US"/>
        </w:rPr>
        <w:t>Blood</w:t>
      </w:r>
      <w:r w:rsidRPr="006E7B6D">
        <w:rPr>
          <w:rFonts w:eastAsia="Times New Roman" w:cs="Arial"/>
          <w:color w:val="000000"/>
          <w:sz w:val="18"/>
          <w:szCs w:val="19"/>
        </w:rPr>
        <w:t xml:space="preserve"> </w:t>
      </w:r>
      <w:r w:rsidRPr="006E7B6D">
        <w:rPr>
          <w:rFonts w:eastAsia="Times New Roman" w:cs="Arial"/>
          <w:color w:val="000000"/>
          <w:sz w:val="18"/>
          <w:szCs w:val="19"/>
          <w:lang w:val="en-US"/>
        </w:rPr>
        <w:t>pressure</w:t>
      </w:r>
      <w:r w:rsidRPr="006E7B6D">
        <w:rPr>
          <w:rFonts w:eastAsia="Times New Roman" w:cs="Arial"/>
          <w:color w:val="000000"/>
          <w:sz w:val="18"/>
          <w:szCs w:val="19"/>
        </w:rPr>
        <w:t xml:space="preserve">, </w:t>
      </w:r>
      <w:r w:rsidRPr="006E7B6D">
        <w:rPr>
          <w:rFonts w:eastAsia="Times New Roman" w:cs="Arial"/>
          <w:color w:val="000000"/>
          <w:sz w:val="18"/>
          <w:szCs w:val="19"/>
          <w:lang w:val="en-US"/>
        </w:rPr>
        <w:t>Clinical</w:t>
      </w:r>
      <w:r w:rsidRPr="006E7B6D">
        <w:rPr>
          <w:rFonts w:eastAsia="Times New Roman" w:cs="Arial"/>
          <w:color w:val="000000"/>
          <w:sz w:val="18"/>
          <w:szCs w:val="19"/>
        </w:rPr>
        <w:t xml:space="preserve"> </w:t>
      </w:r>
      <w:r w:rsidRPr="006E7B6D">
        <w:rPr>
          <w:rFonts w:eastAsia="Times New Roman" w:cs="Arial"/>
          <w:color w:val="000000"/>
          <w:sz w:val="18"/>
          <w:szCs w:val="19"/>
          <w:lang w:val="en-US"/>
        </w:rPr>
        <w:t>features</w:t>
      </w:r>
      <w:r w:rsidRPr="006E7B6D">
        <w:rPr>
          <w:rFonts w:eastAsia="Times New Roman" w:cs="Arial"/>
          <w:color w:val="000000"/>
          <w:sz w:val="18"/>
          <w:szCs w:val="19"/>
        </w:rPr>
        <w:t xml:space="preserve">, </w:t>
      </w:r>
      <w:r w:rsidRPr="006E7B6D">
        <w:rPr>
          <w:rFonts w:eastAsia="Times New Roman" w:cs="Arial"/>
          <w:color w:val="000000"/>
          <w:sz w:val="18"/>
          <w:szCs w:val="19"/>
          <w:lang w:val="en-US"/>
        </w:rPr>
        <w:t>Duration</w:t>
      </w:r>
      <w:r w:rsidRPr="006E7B6D">
        <w:rPr>
          <w:rFonts w:eastAsia="Times New Roman" w:cs="Arial"/>
          <w:color w:val="000000"/>
          <w:sz w:val="18"/>
          <w:szCs w:val="19"/>
        </w:rPr>
        <w:t xml:space="preserve">, </w:t>
      </w:r>
      <w:r w:rsidRPr="006E7B6D">
        <w:rPr>
          <w:rFonts w:eastAsia="Times New Roman" w:cs="Arial"/>
          <w:color w:val="000000"/>
          <w:sz w:val="18"/>
          <w:szCs w:val="19"/>
          <w:lang w:val="en-US"/>
        </w:rPr>
        <w:t>and</w:t>
      </w:r>
      <w:r w:rsidRPr="006E7B6D">
        <w:rPr>
          <w:rFonts w:eastAsia="Times New Roman" w:cs="Arial"/>
          <w:color w:val="000000"/>
          <w:sz w:val="18"/>
          <w:szCs w:val="19"/>
        </w:rPr>
        <w:t xml:space="preserve"> </w:t>
      </w:r>
      <w:r w:rsidRPr="006E7B6D">
        <w:rPr>
          <w:rFonts w:eastAsia="Times New Roman" w:cs="Arial"/>
          <w:color w:val="000000"/>
          <w:sz w:val="18"/>
          <w:szCs w:val="19"/>
          <w:lang w:val="en-US"/>
        </w:rPr>
        <w:t>Diabetes</w:t>
      </w:r>
      <w:r w:rsidRPr="006E7B6D">
        <w:rPr>
          <w:rFonts w:eastAsia="Times New Roman" w:cs="Arial"/>
          <w:color w:val="000000"/>
          <w:sz w:val="18"/>
          <w:szCs w:val="19"/>
        </w:rPr>
        <w:t xml:space="preserve"> </w:t>
      </w:r>
      <w:r w:rsidRPr="006E7B6D">
        <w:rPr>
          <w:rFonts w:eastAsia="Times New Roman" w:cs="Arial"/>
          <w:color w:val="000000"/>
          <w:sz w:val="18"/>
          <w:szCs w:val="19"/>
          <w:lang w:val="en-US"/>
        </w:rPr>
        <w:t>mellitus</w:t>
      </w:r>
      <w:r w:rsidRPr="006E7B6D">
        <w:rPr>
          <w:rFonts w:eastAsia="Times New Roman" w:cs="Arial"/>
          <w:color w:val="000000"/>
          <w:sz w:val="18"/>
          <w:szCs w:val="19"/>
        </w:rPr>
        <w:t xml:space="preserve"> </w:t>
      </w:r>
      <w:r w:rsidRPr="006E7B6D">
        <w:rPr>
          <w:rFonts w:eastAsia="Times New Roman" w:cs="Arial"/>
          <w:color w:val="000000"/>
          <w:sz w:val="18"/>
          <w:szCs w:val="19"/>
          <w:lang w:val="en-US"/>
        </w:rPr>
        <w:t>diagnosis</w:t>
      </w:r>
      <w:r w:rsidRPr="006E7B6D">
        <w:rPr>
          <w:rFonts w:eastAsia="Times New Roman" w:cs="Arial"/>
          <w:color w:val="000000"/>
          <w:sz w:val="18"/>
          <w:szCs w:val="19"/>
        </w:rPr>
        <w:t>)-</w:t>
      </w:r>
      <w:r w:rsidRPr="006E7B6D">
        <w:rPr>
          <w:rFonts w:eastAsia="Times New Roman" w:cs="Arial"/>
          <w:color w:val="000000"/>
          <w:sz w:val="18"/>
          <w:szCs w:val="19"/>
          <w:lang w:eastAsia="bg-BG"/>
        </w:rPr>
        <w:t>възраст, кръвно- налягане, клинични характеристики, продължителност и диагноза захарен диабет</w:t>
      </w:r>
    </w:p>
    <w:p w14:paraId="456B949D" w14:textId="3BDACCF6" w:rsidR="006E7B6D" w:rsidRDefault="006E7B6D" w:rsidP="006E7B6D">
      <w:pPr>
        <w:spacing w:line="240" w:lineRule="auto"/>
        <w:rPr>
          <w:rFonts w:eastAsia="Times New Roman" w:cs="Arial"/>
          <w:color w:val="000000"/>
          <w:sz w:val="18"/>
          <w:szCs w:val="19"/>
          <w:lang w:eastAsia="bg-BG"/>
        </w:rPr>
      </w:pPr>
      <w:r w:rsidRPr="006E7B6D">
        <w:rPr>
          <w:rFonts w:eastAsia="Times New Roman" w:cs="Arial"/>
          <w:color w:val="000000"/>
          <w:sz w:val="18"/>
          <w:szCs w:val="19"/>
          <w:vertAlign w:val="superscript"/>
        </w:rPr>
        <w:t>2</w:t>
      </w:r>
      <w:r w:rsidRPr="006E7B6D">
        <w:rPr>
          <w:rFonts w:eastAsia="Times New Roman" w:cs="Arial"/>
          <w:color w:val="000000"/>
          <w:sz w:val="18"/>
          <w:szCs w:val="19"/>
          <w:lang w:val="en-US"/>
        </w:rPr>
        <w:t>NIHSS</w:t>
      </w:r>
      <w:r w:rsidRPr="006E7B6D">
        <w:rPr>
          <w:rFonts w:eastAsia="Times New Roman" w:cs="Arial"/>
          <w:color w:val="000000"/>
          <w:sz w:val="18"/>
          <w:szCs w:val="19"/>
        </w:rPr>
        <w:t xml:space="preserve"> (</w:t>
      </w:r>
      <w:r w:rsidRPr="006E7B6D">
        <w:rPr>
          <w:rFonts w:eastAsia="Times New Roman" w:cs="Arial"/>
          <w:color w:val="000000"/>
          <w:sz w:val="18"/>
          <w:szCs w:val="19"/>
          <w:lang w:val="en-US"/>
        </w:rPr>
        <w:t>National</w:t>
      </w:r>
      <w:r w:rsidRPr="006E7B6D">
        <w:rPr>
          <w:rFonts w:eastAsia="Times New Roman" w:cs="Arial"/>
          <w:color w:val="000000"/>
          <w:sz w:val="18"/>
          <w:szCs w:val="19"/>
        </w:rPr>
        <w:t xml:space="preserve"> </w:t>
      </w:r>
      <w:r w:rsidRPr="006E7B6D">
        <w:rPr>
          <w:rFonts w:eastAsia="Times New Roman" w:cs="Arial"/>
          <w:color w:val="000000"/>
          <w:sz w:val="18"/>
          <w:szCs w:val="19"/>
          <w:lang w:val="en-US"/>
        </w:rPr>
        <w:t>Institutes</w:t>
      </w:r>
      <w:r w:rsidRPr="006E7B6D">
        <w:rPr>
          <w:rFonts w:eastAsia="Times New Roman" w:cs="Arial"/>
          <w:color w:val="000000"/>
          <w:sz w:val="18"/>
          <w:szCs w:val="19"/>
        </w:rPr>
        <w:t xml:space="preserve"> </w:t>
      </w:r>
      <w:r w:rsidRPr="006E7B6D">
        <w:rPr>
          <w:rFonts w:eastAsia="Times New Roman" w:cs="Arial"/>
          <w:color w:val="000000"/>
          <w:sz w:val="18"/>
          <w:szCs w:val="19"/>
          <w:lang w:val="en-US"/>
        </w:rPr>
        <w:t>of</w:t>
      </w:r>
      <w:r w:rsidRPr="006E7B6D">
        <w:rPr>
          <w:rFonts w:eastAsia="Times New Roman" w:cs="Arial"/>
          <w:color w:val="000000"/>
          <w:sz w:val="18"/>
          <w:szCs w:val="19"/>
        </w:rPr>
        <w:t xml:space="preserve"> </w:t>
      </w:r>
      <w:r w:rsidRPr="006E7B6D">
        <w:rPr>
          <w:rFonts w:eastAsia="Times New Roman" w:cs="Arial"/>
          <w:color w:val="000000"/>
          <w:sz w:val="18"/>
          <w:szCs w:val="19"/>
          <w:lang w:val="en-US"/>
        </w:rPr>
        <w:t>Health</w:t>
      </w:r>
      <w:r w:rsidRPr="006E7B6D">
        <w:rPr>
          <w:rFonts w:eastAsia="Times New Roman" w:cs="Arial"/>
          <w:color w:val="000000"/>
          <w:sz w:val="18"/>
          <w:szCs w:val="19"/>
        </w:rPr>
        <w:t xml:space="preserve"> </w:t>
      </w:r>
      <w:r w:rsidRPr="006E7B6D">
        <w:rPr>
          <w:rFonts w:eastAsia="Times New Roman" w:cs="Arial"/>
          <w:color w:val="000000"/>
          <w:sz w:val="18"/>
          <w:szCs w:val="19"/>
          <w:lang w:val="en-US"/>
        </w:rPr>
        <w:t>Stroke</w:t>
      </w:r>
      <w:r w:rsidRPr="006E7B6D">
        <w:rPr>
          <w:rFonts w:eastAsia="Times New Roman" w:cs="Arial"/>
          <w:color w:val="000000"/>
          <w:sz w:val="18"/>
          <w:szCs w:val="19"/>
        </w:rPr>
        <w:t xml:space="preserve"> </w:t>
      </w:r>
      <w:r w:rsidRPr="006E7B6D">
        <w:rPr>
          <w:rFonts w:eastAsia="Times New Roman" w:cs="Arial"/>
          <w:color w:val="000000"/>
          <w:sz w:val="18"/>
          <w:szCs w:val="19"/>
          <w:lang w:val="en-US"/>
        </w:rPr>
        <w:t>Scale</w:t>
      </w:r>
      <w:r w:rsidRPr="006E7B6D">
        <w:rPr>
          <w:rFonts w:eastAsia="Times New Roman" w:cs="Arial"/>
          <w:color w:val="000000"/>
          <w:sz w:val="18"/>
          <w:szCs w:val="19"/>
        </w:rPr>
        <w:t xml:space="preserve">) - </w:t>
      </w:r>
      <w:r w:rsidRPr="006E7B6D">
        <w:rPr>
          <w:rFonts w:eastAsia="Times New Roman" w:cs="Arial"/>
          <w:color w:val="000000"/>
          <w:sz w:val="18"/>
          <w:szCs w:val="19"/>
          <w:lang w:eastAsia="bg-BG"/>
        </w:rPr>
        <w:t>Скала за инсулт на Националните институти по здравеопазване</w:t>
      </w:r>
    </w:p>
    <w:p w14:paraId="53F5C951" w14:textId="1738FB00" w:rsidR="006E7B6D" w:rsidRDefault="006E7B6D" w:rsidP="006E7B6D">
      <w:pPr>
        <w:spacing w:line="240" w:lineRule="auto"/>
        <w:rPr>
          <w:rFonts w:eastAsia="Times New Roman" w:cs="Arial"/>
          <w:color w:val="000000"/>
          <w:sz w:val="18"/>
          <w:szCs w:val="19"/>
          <w:lang w:eastAsia="bg-BG"/>
        </w:rPr>
      </w:pPr>
    </w:p>
    <w:p w14:paraId="2B770D6C" w14:textId="77777777"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 xml:space="preserve">Предпазване от атеротромботични и тромбоемболични инциденти при предсърдно мъждене </w:t>
      </w:r>
      <w:r w:rsidRPr="006E7B6D">
        <w:rPr>
          <w:rFonts w:eastAsia="Times New Roman" w:cs="Arial"/>
          <w:color w:val="000000"/>
          <w:lang w:eastAsia="bg-BG"/>
        </w:rPr>
        <w:t xml:space="preserve">При възрастни пациенти с предсърдно мъждене, които имат поне един рисков фактор за съдови инциденти, които не са подходящи за лечение с антагонист на витамин К </w:t>
      </w:r>
      <w:r w:rsidRPr="006E7B6D">
        <w:rPr>
          <w:rFonts w:eastAsia="Times New Roman" w:cs="Arial"/>
          <w:color w:val="000000"/>
          <w:lang w:val="ru-RU"/>
        </w:rPr>
        <w:t>(</w:t>
      </w:r>
      <w:r w:rsidRPr="006E7B6D">
        <w:rPr>
          <w:rFonts w:eastAsia="Times New Roman" w:cs="Arial"/>
          <w:color w:val="000000"/>
          <w:lang w:val="en-US"/>
        </w:rPr>
        <w:t>VKA</w:t>
      </w:r>
      <w:r w:rsidRPr="006E7B6D">
        <w:rPr>
          <w:rFonts w:eastAsia="Times New Roman" w:cs="Arial"/>
          <w:color w:val="000000"/>
          <w:lang w:val="ru-RU"/>
        </w:rPr>
        <w:t xml:space="preserve">) </w:t>
      </w:r>
      <w:r w:rsidRPr="006E7B6D">
        <w:rPr>
          <w:rFonts w:eastAsia="Times New Roman" w:cs="Arial"/>
          <w:color w:val="000000"/>
          <w:lang w:eastAsia="bg-BG"/>
        </w:rPr>
        <w:t>и които имат нисък риск за кървене, клопидогрел е показан в комбинация с АСК за предпазване от атеротромботични и тромбоемболични инциденти, включително инсулт.</w:t>
      </w:r>
    </w:p>
    <w:p w14:paraId="7DE966EE" w14:textId="77777777" w:rsidR="006E7B6D" w:rsidRPr="006E7B6D" w:rsidRDefault="006E7B6D" w:rsidP="006E7B6D">
      <w:pPr>
        <w:spacing w:line="240" w:lineRule="auto"/>
        <w:rPr>
          <w:rFonts w:eastAsia="Times New Roman" w:cs="Arial"/>
          <w:color w:val="000000"/>
          <w:lang w:eastAsia="bg-BG"/>
        </w:rPr>
      </w:pPr>
    </w:p>
    <w:p w14:paraId="114AA275" w14:textId="77471B26"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За допълнителна информация вижте точка 5.1.</w:t>
      </w:r>
    </w:p>
    <w:p w14:paraId="7782B19C" w14:textId="7FDE2BC0" w:rsidR="006E7B6D" w:rsidRPr="006E7B6D" w:rsidRDefault="006E7B6D" w:rsidP="006E7B6D"/>
    <w:p w14:paraId="53F5B866" w14:textId="746F22FD" w:rsidR="007122AD" w:rsidRDefault="002C50EE" w:rsidP="00936AD0">
      <w:pPr>
        <w:pStyle w:val="Heading2"/>
      </w:pPr>
      <w:r>
        <w:t>4.2. Дозировка и начин на приложение</w:t>
      </w:r>
    </w:p>
    <w:p w14:paraId="669E3BDE" w14:textId="5F6BAC82" w:rsidR="006E7B6D" w:rsidRDefault="006E7B6D" w:rsidP="006E7B6D"/>
    <w:p w14:paraId="20AD2B83" w14:textId="77777777" w:rsidR="006E7B6D" w:rsidRPr="006E7B6D" w:rsidRDefault="006E7B6D" w:rsidP="006E7B6D">
      <w:pPr>
        <w:pStyle w:val="Heading3"/>
        <w:rPr>
          <w:rFonts w:eastAsia="Times New Roman"/>
          <w:u w:val="single"/>
        </w:rPr>
      </w:pPr>
      <w:r w:rsidRPr="006E7B6D">
        <w:rPr>
          <w:rFonts w:eastAsia="Times New Roman"/>
          <w:u w:val="single"/>
          <w:lang w:eastAsia="bg-BG"/>
        </w:rPr>
        <w:t>Дозировка</w:t>
      </w:r>
    </w:p>
    <w:p w14:paraId="2E6B0035" w14:textId="77777777"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Възрастни и лица в старческа възраст</w:t>
      </w:r>
    </w:p>
    <w:p w14:paraId="59F3ACE5"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Клопидогрел трябва да се прилага като единична дневна доза от 75 </w:t>
      </w:r>
      <w:r w:rsidRPr="006E7B6D">
        <w:rPr>
          <w:rFonts w:eastAsia="Times New Roman" w:cs="Arial"/>
          <w:color w:val="000000"/>
          <w:lang w:val="en-US"/>
        </w:rPr>
        <w:t>mg</w:t>
      </w:r>
      <w:r w:rsidRPr="006E7B6D">
        <w:rPr>
          <w:rFonts w:eastAsia="Times New Roman" w:cs="Arial"/>
          <w:color w:val="000000"/>
          <w:lang w:val="ru-RU"/>
        </w:rPr>
        <w:t>.</w:t>
      </w:r>
    </w:p>
    <w:p w14:paraId="0D8B8081" w14:textId="77777777" w:rsidR="006E7B6D" w:rsidRPr="006E7B6D" w:rsidRDefault="006E7B6D" w:rsidP="006E7B6D">
      <w:pPr>
        <w:spacing w:line="240" w:lineRule="auto"/>
        <w:rPr>
          <w:rFonts w:eastAsia="Times New Roman" w:cs="Arial"/>
          <w:color w:val="000000"/>
          <w:lang w:eastAsia="bg-BG"/>
        </w:rPr>
      </w:pPr>
    </w:p>
    <w:p w14:paraId="743CBD82" w14:textId="544F9ECA"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При пациенти с остър коронарен синдром:</w:t>
      </w:r>
    </w:p>
    <w:p w14:paraId="7A480C24" w14:textId="77777777" w:rsidR="006E7B6D" w:rsidRPr="006E7B6D" w:rsidRDefault="006E7B6D" w:rsidP="006E7B6D">
      <w:pPr>
        <w:pStyle w:val="ListParagraph"/>
        <w:numPr>
          <w:ilvl w:val="0"/>
          <w:numId w:val="40"/>
        </w:numPr>
        <w:spacing w:line="240" w:lineRule="auto"/>
        <w:rPr>
          <w:rFonts w:eastAsia="Times New Roman" w:cs="Arial"/>
          <w:sz w:val="24"/>
          <w:szCs w:val="24"/>
        </w:rPr>
      </w:pPr>
      <w:r w:rsidRPr="006E7B6D">
        <w:rPr>
          <w:rFonts w:eastAsia="Times New Roman" w:cs="Arial"/>
          <w:color w:val="000000"/>
          <w:lang w:eastAsia="bg-BG"/>
        </w:rPr>
        <w:t xml:space="preserve">Остър коронарен синдром без елевация на </w:t>
      </w:r>
      <w:r w:rsidRPr="006E7B6D">
        <w:rPr>
          <w:rFonts w:eastAsia="Times New Roman" w:cs="Arial"/>
          <w:color w:val="000000"/>
          <w:lang w:val="en-US"/>
        </w:rPr>
        <w:t>ST</w:t>
      </w:r>
      <w:r w:rsidRPr="006E7B6D">
        <w:rPr>
          <w:rFonts w:eastAsia="Times New Roman" w:cs="Arial"/>
          <w:color w:val="000000"/>
          <w:lang w:eastAsia="bg-BG"/>
        </w:rPr>
        <w:t xml:space="preserve">-сегмента (нестабилна стенокардия или миокарден инфаркт без </w:t>
      </w:r>
      <w:r w:rsidRPr="006E7B6D">
        <w:rPr>
          <w:rFonts w:eastAsia="Times New Roman" w:cs="Arial"/>
          <w:color w:val="000000"/>
          <w:lang w:val="en-US"/>
        </w:rPr>
        <w:t>Q</w:t>
      </w:r>
      <w:r w:rsidRPr="006E7B6D">
        <w:rPr>
          <w:rFonts w:eastAsia="Times New Roman" w:cs="Arial"/>
          <w:color w:val="000000"/>
          <w:lang w:eastAsia="bg-BG"/>
        </w:rPr>
        <w:t xml:space="preserve">-зъбец): лечението с клопидогрел трябва да започне с единична натоварваща доза от 300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или 600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При пациенти на възраст &lt;75 години може да се обмисли натоварваща доза 600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когато се предвижда перкутанна коронарна интервенция (вж. точка 4.4). Лечението с клопидогрел трябва да бъде продължено със 75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веднъж дневно (с ацетилсалицилова киселина (АСК) 75 </w:t>
      </w:r>
      <w:r w:rsidRPr="006E7B6D">
        <w:rPr>
          <w:rFonts w:eastAsia="Times New Roman" w:cs="Arial"/>
          <w:color w:val="000000"/>
          <w:lang w:val="en-US"/>
        </w:rPr>
        <w:t>mg</w:t>
      </w:r>
      <w:r w:rsidRPr="006E7B6D">
        <w:rPr>
          <w:rFonts w:eastAsia="Times New Roman" w:cs="Arial"/>
          <w:color w:val="000000"/>
          <w:lang w:val="ru-RU"/>
        </w:rPr>
        <w:t xml:space="preserve">-325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дневно). Тъй като по-високите дози на АСК се свързват с повишен риск от кървене, се препоръчва дозата на АСК да не превишава 100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Оптималната продължителност на лечението не е официално установена. Данните от клинични изпитвания са в подкрепа на употребата на клопидогрел до 12 месеца, като максимален ефект се наблюдава на 3-ия месец (вж. точка 5.1).</w:t>
      </w:r>
    </w:p>
    <w:p w14:paraId="6240B181" w14:textId="4721E481" w:rsidR="006E7B6D" w:rsidRPr="006E7B6D" w:rsidRDefault="006E7B6D" w:rsidP="006E7B6D">
      <w:pPr>
        <w:pStyle w:val="ListParagraph"/>
        <w:numPr>
          <w:ilvl w:val="0"/>
          <w:numId w:val="40"/>
        </w:numPr>
        <w:spacing w:line="240" w:lineRule="auto"/>
        <w:rPr>
          <w:rFonts w:eastAsia="Times New Roman" w:cs="Arial"/>
          <w:sz w:val="24"/>
          <w:szCs w:val="24"/>
        </w:rPr>
      </w:pPr>
      <w:r w:rsidRPr="006E7B6D">
        <w:rPr>
          <w:rFonts w:eastAsia="Times New Roman" w:cs="Arial"/>
          <w:color w:val="000000"/>
          <w:lang w:eastAsia="bg-BG"/>
        </w:rPr>
        <w:t xml:space="preserve">Остър миокарден инфаркт с елевация на </w:t>
      </w:r>
      <w:r w:rsidRPr="006E7B6D">
        <w:rPr>
          <w:rFonts w:eastAsia="Times New Roman" w:cs="Arial"/>
          <w:color w:val="000000"/>
          <w:lang w:val="en-US"/>
        </w:rPr>
        <w:t>ST</w:t>
      </w:r>
      <w:r w:rsidRPr="006E7B6D">
        <w:rPr>
          <w:rFonts w:eastAsia="Times New Roman" w:cs="Arial"/>
          <w:color w:val="000000"/>
          <w:lang w:eastAsia="bg-BG"/>
        </w:rPr>
        <w:t xml:space="preserve">-сегмента: клопидогрел трябва да бъде прилаган като еднократна дневна доза от 75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като се започва с 300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натоварваща доза в комбинация с АСК и с/без тромболитици. За пациенти на възраст над 75 години клопидогрел трябва да се започне без натоварваща доза. Комбинирано лечение трябва да се започне възможно най-рано след началото на симптомите и да бъде продължено поне за четири седмици. Ползата от комбинирането на клопидогрел с АСК за повече от четири седмици не е била проучвана при това показание (вж. точка 5.1).</w:t>
      </w:r>
    </w:p>
    <w:p w14:paraId="0AC81F4A" w14:textId="77777777" w:rsidR="006E7B6D" w:rsidRPr="006E7B6D" w:rsidRDefault="006E7B6D" w:rsidP="006E7B6D">
      <w:pPr>
        <w:spacing w:line="240" w:lineRule="auto"/>
        <w:rPr>
          <w:rFonts w:eastAsia="Times New Roman" w:cs="Arial"/>
          <w:color w:val="000000"/>
          <w:lang w:eastAsia="bg-BG"/>
        </w:rPr>
      </w:pPr>
    </w:p>
    <w:p w14:paraId="66E67B53" w14:textId="20AF93DC"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Възрастни пациенти с </w:t>
      </w:r>
      <w:r w:rsidRPr="006E7B6D">
        <w:rPr>
          <w:rFonts w:eastAsia="Times New Roman" w:cs="Arial"/>
          <w:color w:val="000000"/>
          <w:lang w:val="en-US"/>
        </w:rPr>
        <w:t>TIA</w:t>
      </w:r>
      <w:r w:rsidRPr="006E7B6D">
        <w:rPr>
          <w:rFonts w:eastAsia="Times New Roman" w:cs="Arial"/>
          <w:color w:val="000000"/>
          <w:lang w:val="ru-RU"/>
        </w:rPr>
        <w:t xml:space="preserve"> </w:t>
      </w:r>
      <w:r w:rsidRPr="006E7B6D">
        <w:rPr>
          <w:rFonts w:eastAsia="Times New Roman" w:cs="Arial"/>
          <w:color w:val="000000"/>
          <w:lang w:eastAsia="bg-BG"/>
        </w:rPr>
        <w:t xml:space="preserve">с умерен до висок риск или лек </w:t>
      </w:r>
      <w:r w:rsidRPr="006E7B6D">
        <w:rPr>
          <w:rFonts w:eastAsia="Times New Roman" w:cs="Arial"/>
          <w:color w:val="000000"/>
          <w:lang w:val="en-US"/>
        </w:rPr>
        <w:t>IS</w:t>
      </w:r>
      <w:r w:rsidRPr="006E7B6D">
        <w:rPr>
          <w:rFonts w:eastAsia="Times New Roman" w:cs="Arial"/>
          <w:color w:val="000000"/>
          <w:lang w:val="ru-RU"/>
        </w:rPr>
        <w:t>:</w:t>
      </w:r>
    </w:p>
    <w:p w14:paraId="33161AB6" w14:textId="7FD19F94" w:rsidR="006E7B6D" w:rsidRPr="006E7B6D" w:rsidRDefault="006E7B6D" w:rsidP="006E7B6D">
      <w:pPr>
        <w:pStyle w:val="ListParagraph"/>
        <w:numPr>
          <w:ilvl w:val="0"/>
          <w:numId w:val="40"/>
        </w:numPr>
        <w:spacing w:line="240" w:lineRule="auto"/>
        <w:rPr>
          <w:rFonts w:eastAsia="Times New Roman" w:cs="Arial"/>
          <w:sz w:val="24"/>
          <w:szCs w:val="24"/>
        </w:rPr>
      </w:pPr>
      <w:r w:rsidRPr="006E7B6D">
        <w:rPr>
          <w:rFonts w:eastAsia="Times New Roman" w:cs="Arial"/>
          <w:color w:val="000000"/>
          <w:lang w:eastAsia="bg-BG"/>
        </w:rPr>
        <w:lastRenderedPageBreak/>
        <w:t xml:space="preserve">При възрастни пациенти с </w:t>
      </w:r>
      <w:r w:rsidRPr="006E7B6D">
        <w:rPr>
          <w:rFonts w:eastAsia="Times New Roman" w:cs="Arial"/>
          <w:color w:val="000000"/>
          <w:lang w:val="en-US"/>
        </w:rPr>
        <w:t>TIA</w:t>
      </w:r>
      <w:r w:rsidRPr="006E7B6D">
        <w:rPr>
          <w:rFonts w:eastAsia="Times New Roman" w:cs="Arial"/>
          <w:color w:val="000000"/>
          <w:lang w:val="ru-RU"/>
        </w:rPr>
        <w:t xml:space="preserve"> </w:t>
      </w:r>
      <w:r w:rsidRPr="006E7B6D">
        <w:rPr>
          <w:rFonts w:eastAsia="Times New Roman" w:cs="Arial"/>
          <w:color w:val="000000"/>
          <w:lang w:eastAsia="bg-BG"/>
        </w:rPr>
        <w:t xml:space="preserve">с умерен до висок риск </w:t>
      </w:r>
      <w:r w:rsidRPr="006E7B6D">
        <w:rPr>
          <w:rFonts w:eastAsia="Times New Roman" w:cs="Arial"/>
          <w:color w:val="000000"/>
          <w:lang w:val="ru-RU"/>
        </w:rPr>
        <w:t>(</w:t>
      </w:r>
      <w:r w:rsidRPr="006E7B6D">
        <w:rPr>
          <w:rFonts w:eastAsia="Times New Roman" w:cs="Arial"/>
          <w:color w:val="000000"/>
          <w:lang w:val="en-US"/>
        </w:rPr>
        <w:t>ABCD</w:t>
      </w:r>
      <w:r w:rsidRPr="006E7B6D">
        <w:rPr>
          <w:rFonts w:eastAsia="Times New Roman" w:cs="Arial"/>
          <w:color w:val="000000"/>
          <w:lang w:val="ru-RU"/>
        </w:rPr>
        <w:t xml:space="preserve">2 </w:t>
      </w:r>
      <w:r w:rsidRPr="006E7B6D">
        <w:rPr>
          <w:rFonts w:eastAsia="Times New Roman" w:cs="Arial"/>
          <w:color w:val="000000"/>
          <w:lang w:eastAsia="bg-BG"/>
        </w:rPr>
        <w:t xml:space="preserve">скор ≥4) или с лек </w:t>
      </w:r>
      <w:r w:rsidRPr="006E7B6D">
        <w:rPr>
          <w:rFonts w:eastAsia="Times New Roman" w:cs="Arial"/>
          <w:color w:val="000000"/>
          <w:lang w:val="en-US"/>
        </w:rPr>
        <w:t>IS</w:t>
      </w:r>
      <w:r w:rsidRPr="006E7B6D">
        <w:rPr>
          <w:rFonts w:eastAsia="Times New Roman" w:cs="Arial"/>
          <w:color w:val="000000"/>
          <w:lang w:val="ru-RU"/>
        </w:rPr>
        <w:t xml:space="preserve"> (</w:t>
      </w:r>
      <w:r w:rsidRPr="006E7B6D">
        <w:rPr>
          <w:rFonts w:eastAsia="Times New Roman" w:cs="Arial"/>
          <w:color w:val="000000"/>
          <w:lang w:val="en-US"/>
        </w:rPr>
        <w:t>NIHSS</w:t>
      </w:r>
      <w:r w:rsidRPr="006E7B6D">
        <w:rPr>
          <w:rFonts w:eastAsia="Times New Roman" w:cs="Arial"/>
          <w:color w:val="000000"/>
          <w:lang w:val="ru-RU"/>
        </w:rPr>
        <w:t xml:space="preserve"> </w:t>
      </w:r>
      <w:r w:rsidRPr="006E7B6D">
        <w:rPr>
          <w:rFonts w:eastAsia="Times New Roman" w:cs="Arial"/>
          <w:color w:val="000000"/>
          <w:lang w:eastAsia="bg-BG"/>
        </w:rPr>
        <w:t xml:space="preserve">&lt;3) трябва да се приложи натоварваща доза клопидогрел 300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последвана от 75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веднъж дневно и АСК (75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-100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веднъж дневно). Лечението с клопидогрел и АСК трябва да започне в рамките на 24 часа след събитието и да продължи 21 дни, последвано от антитромбоцитна монотерапия.</w:t>
      </w:r>
    </w:p>
    <w:p w14:paraId="04B6B607" w14:textId="77777777" w:rsidR="006E7B6D" w:rsidRPr="006E7B6D" w:rsidRDefault="006E7B6D" w:rsidP="006E7B6D">
      <w:pPr>
        <w:spacing w:line="240" w:lineRule="auto"/>
        <w:rPr>
          <w:rFonts w:eastAsia="Times New Roman" w:cs="Arial"/>
          <w:color w:val="000000"/>
          <w:lang w:eastAsia="bg-BG"/>
        </w:rPr>
      </w:pPr>
    </w:p>
    <w:p w14:paraId="720B7FBF" w14:textId="3BA359BF"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При пациенти с предсърдно мъждене, клопидогрел трябва да се прилага като еднократна дневна доза от 75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АСК (75-100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дневно) трябва да се започне и да продължи в комбинация с клопидогрел (вж. точка 5.1).</w:t>
      </w:r>
    </w:p>
    <w:p w14:paraId="5C0BAFBA" w14:textId="77777777" w:rsidR="006E7B6D" w:rsidRPr="006E7B6D" w:rsidRDefault="006E7B6D" w:rsidP="006E7B6D">
      <w:pPr>
        <w:spacing w:line="240" w:lineRule="auto"/>
        <w:rPr>
          <w:rFonts w:eastAsia="Times New Roman" w:cs="Arial"/>
          <w:color w:val="000000"/>
          <w:lang w:eastAsia="bg-BG"/>
        </w:rPr>
      </w:pPr>
    </w:p>
    <w:p w14:paraId="3E30B51A" w14:textId="7071E283"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Ако е пропусната доза:</w:t>
      </w:r>
    </w:p>
    <w:p w14:paraId="4D4FB3F1" w14:textId="77777777" w:rsidR="006E7B6D" w:rsidRPr="006E7B6D" w:rsidRDefault="006E7B6D" w:rsidP="006E7B6D">
      <w:pPr>
        <w:pStyle w:val="ListParagraph"/>
        <w:numPr>
          <w:ilvl w:val="0"/>
          <w:numId w:val="40"/>
        </w:numPr>
        <w:spacing w:line="240" w:lineRule="auto"/>
        <w:rPr>
          <w:rFonts w:eastAsia="Times New Roman" w:cs="Arial"/>
          <w:sz w:val="24"/>
          <w:szCs w:val="24"/>
        </w:rPr>
      </w:pPr>
      <w:r w:rsidRPr="006E7B6D">
        <w:rPr>
          <w:rFonts w:eastAsia="Times New Roman" w:cs="Arial"/>
          <w:color w:val="000000"/>
          <w:lang w:eastAsia="bg-BG"/>
        </w:rPr>
        <w:t>В рамките на по-малко от 12 часа след редовно определеното време: пациентите трябва да приемат дозата незабавно и после да приемат следващата доза в редовно определеното време,</w:t>
      </w:r>
    </w:p>
    <w:p w14:paraId="6DA083E1" w14:textId="25FBF0C0" w:rsidR="006E7B6D" w:rsidRPr="006E7B6D" w:rsidRDefault="006E7B6D" w:rsidP="006E7B6D">
      <w:pPr>
        <w:pStyle w:val="ListParagraph"/>
        <w:numPr>
          <w:ilvl w:val="0"/>
          <w:numId w:val="40"/>
        </w:numPr>
        <w:spacing w:line="240" w:lineRule="auto"/>
        <w:rPr>
          <w:rFonts w:eastAsia="Times New Roman" w:cs="Arial"/>
          <w:sz w:val="24"/>
          <w:szCs w:val="24"/>
        </w:rPr>
      </w:pPr>
      <w:r w:rsidRPr="006E7B6D">
        <w:rPr>
          <w:rFonts w:eastAsia="Times New Roman" w:cs="Arial"/>
          <w:color w:val="000000"/>
          <w:lang w:eastAsia="bg-BG"/>
        </w:rPr>
        <w:t>При повече от 12 часа: пациентите трябва да приемат следващата доза в редовно определеното време и не трябва да удвояват дозата.</w:t>
      </w:r>
    </w:p>
    <w:p w14:paraId="56EB63C7" w14:textId="77777777" w:rsidR="006E7B6D" w:rsidRPr="006E7B6D" w:rsidRDefault="006E7B6D" w:rsidP="006E7B6D">
      <w:pPr>
        <w:spacing w:line="240" w:lineRule="auto"/>
        <w:rPr>
          <w:rFonts w:eastAsia="Times New Roman" w:cs="Arial"/>
          <w:i/>
          <w:iCs/>
          <w:color w:val="000000"/>
          <w:lang w:eastAsia="bg-BG"/>
        </w:rPr>
      </w:pPr>
    </w:p>
    <w:p w14:paraId="41F03BFC" w14:textId="05B6F541"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Педиатрична популация</w:t>
      </w:r>
    </w:p>
    <w:p w14:paraId="383A0618"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Клопидогрел не трябва да се използва при деца поради съображения относно ефикаснотта (вж. точка 5,1).</w:t>
      </w:r>
    </w:p>
    <w:p w14:paraId="338C1AD1" w14:textId="77777777" w:rsidR="006E7B6D" w:rsidRPr="006E7B6D" w:rsidRDefault="006E7B6D" w:rsidP="006E7B6D">
      <w:pPr>
        <w:spacing w:line="240" w:lineRule="auto"/>
        <w:rPr>
          <w:rFonts w:eastAsia="Times New Roman" w:cs="Arial"/>
          <w:i/>
          <w:iCs/>
          <w:color w:val="000000"/>
          <w:lang w:eastAsia="bg-BG"/>
        </w:rPr>
      </w:pPr>
    </w:p>
    <w:p w14:paraId="25088E81" w14:textId="1F5FA6BB"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Бъбречно увреждане</w:t>
      </w:r>
    </w:p>
    <w:p w14:paraId="47D90711"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Терапевтичният опит е ограничен при пациенти с бъбречно увреждане (вж. точка 4.4).</w:t>
      </w:r>
    </w:p>
    <w:p w14:paraId="48C47A6C" w14:textId="77777777" w:rsidR="006E7B6D" w:rsidRPr="006E7B6D" w:rsidRDefault="006E7B6D" w:rsidP="006E7B6D">
      <w:pPr>
        <w:spacing w:line="240" w:lineRule="auto"/>
        <w:rPr>
          <w:rFonts w:eastAsia="Times New Roman" w:cs="Arial"/>
          <w:i/>
          <w:iCs/>
          <w:color w:val="000000"/>
          <w:lang w:eastAsia="bg-BG"/>
        </w:rPr>
      </w:pPr>
    </w:p>
    <w:p w14:paraId="6BF0EA6B" w14:textId="62433E93"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Чернодробно увреждане</w:t>
      </w:r>
    </w:p>
    <w:p w14:paraId="145E0382"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Терапевтичният опит е ограничен при пациенти с умерено изразено чернодробно заболяване, при които може да има хеморагична диатеза (вж. точка 4.4).</w:t>
      </w:r>
    </w:p>
    <w:p w14:paraId="7BEE468F" w14:textId="77777777" w:rsidR="006E7B6D" w:rsidRPr="006E7B6D" w:rsidRDefault="006E7B6D" w:rsidP="006E7B6D">
      <w:pPr>
        <w:spacing w:line="240" w:lineRule="auto"/>
        <w:rPr>
          <w:rFonts w:eastAsia="Times New Roman" w:cs="Arial"/>
          <w:color w:val="000000"/>
          <w:u w:val="single"/>
          <w:lang w:eastAsia="bg-BG"/>
        </w:rPr>
      </w:pPr>
    </w:p>
    <w:p w14:paraId="05CDE8C8" w14:textId="77777777" w:rsidR="006E7B6D" w:rsidRPr="006E7B6D" w:rsidRDefault="006E7B6D" w:rsidP="006E7B6D">
      <w:pPr>
        <w:pStyle w:val="Heading3"/>
        <w:rPr>
          <w:rFonts w:eastAsia="Times New Roman"/>
          <w:u w:val="single"/>
          <w:lang w:eastAsia="bg-BG"/>
        </w:rPr>
      </w:pPr>
      <w:r w:rsidRPr="006E7B6D">
        <w:rPr>
          <w:rFonts w:eastAsia="Times New Roman"/>
          <w:u w:val="single"/>
          <w:lang w:eastAsia="bg-BG"/>
        </w:rPr>
        <w:t xml:space="preserve">Начин на приложение </w:t>
      </w:r>
    </w:p>
    <w:p w14:paraId="75B956C8" w14:textId="7F15E3B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За перорално приложение Може да се прилага със или без храна.</w:t>
      </w:r>
    </w:p>
    <w:p w14:paraId="40C5D08B" w14:textId="77777777" w:rsidR="006E7B6D" w:rsidRPr="006E7B6D" w:rsidRDefault="006E7B6D" w:rsidP="006E7B6D"/>
    <w:p w14:paraId="0F253247" w14:textId="3361B987" w:rsidR="007122AD" w:rsidRDefault="002C50EE" w:rsidP="00936AD0">
      <w:pPr>
        <w:pStyle w:val="Heading2"/>
      </w:pPr>
      <w:r>
        <w:t>4.3. Противопоказания</w:t>
      </w:r>
    </w:p>
    <w:p w14:paraId="47173EA5" w14:textId="61CB082C" w:rsidR="006E7B6D" w:rsidRDefault="006E7B6D" w:rsidP="006E7B6D"/>
    <w:p w14:paraId="7976777B" w14:textId="77777777" w:rsidR="006E7B6D" w:rsidRPr="006E7B6D" w:rsidRDefault="006E7B6D" w:rsidP="006E7B6D">
      <w:pPr>
        <w:pStyle w:val="ListParagraph"/>
        <w:numPr>
          <w:ilvl w:val="0"/>
          <w:numId w:val="42"/>
        </w:numPr>
        <w:rPr>
          <w:lang w:eastAsia="bg-BG"/>
        </w:rPr>
      </w:pPr>
      <w:r w:rsidRPr="006E7B6D">
        <w:rPr>
          <w:lang w:eastAsia="bg-BG"/>
        </w:rPr>
        <w:t>Свръхчувствителност към активното вещество или към някое от помощните вещества, изброени в точка 2 или точка 6,1.</w:t>
      </w:r>
    </w:p>
    <w:p w14:paraId="50D29BE0" w14:textId="77777777" w:rsidR="006E7B6D" w:rsidRPr="006E7B6D" w:rsidRDefault="006E7B6D" w:rsidP="006E7B6D">
      <w:pPr>
        <w:pStyle w:val="ListParagraph"/>
        <w:numPr>
          <w:ilvl w:val="0"/>
          <w:numId w:val="42"/>
        </w:numPr>
        <w:rPr>
          <w:lang w:eastAsia="bg-BG"/>
        </w:rPr>
      </w:pPr>
      <w:r w:rsidRPr="006E7B6D">
        <w:rPr>
          <w:lang w:eastAsia="bg-BG"/>
        </w:rPr>
        <w:t>Тежко чернодробно увреждане.</w:t>
      </w:r>
    </w:p>
    <w:p w14:paraId="3AB2B352" w14:textId="77777777" w:rsidR="006E7B6D" w:rsidRPr="006E7B6D" w:rsidRDefault="006E7B6D" w:rsidP="006E7B6D">
      <w:pPr>
        <w:pStyle w:val="ListParagraph"/>
        <w:numPr>
          <w:ilvl w:val="0"/>
          <w:numId w:val="42"/>
        </w:numPr>
        <w:rPr>
          <w:lang w:eastAsia="bg-BG"/>
        </w:rPr>
      </w:pPr>
      <w:r w:rsidRPr="006E7B6D">
        <w:rPr>
          <w:lang w:eastAsia="bg-BG"/>
        </w:rPr>
        <w:t>Активно патологично кървене като пептична язва или интракраниална хеморагия.</w:t>
      </w:r>
    </w:p>
    <w:p w14:paraId="45055DB8" w14:textId="77777777" w:rsidR="006E7B6D" w:rsidRPr="006E7B6D" w:rsidRDefault="006E7B6D" w:rsidP="006E7B6D"/>
    <w:p w14:paraId="0E0BDCC7" w14:textId="4F141491" w:rsidR="007122AD" w:rsidRDefault="002C50EE" w:rsidP="00936AD0">
      <w:pPr>
        <w:pStyle w:val="Heading2"/>
      </w:pPr>
      <w:r>
        <w:t>4.4. Специални предупреждения и предпазни мерки при употреба</w:t>
      </w:r>
    </w:p>
    <w:p w14:paraId="5065EF84" w14:textId="71A289EB" w:rsidR="006E7B6D" w:rsidRDefault="006E7B6D" w:rsidP="006E7B6D"/>
    <w:p w14:paraId="0FA0D3F3" w14:textId="77777777"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Кървене и хематологични нарушения</w:t>
      </w:r>
    </w:p>
    <w:p w14:paraId="27EFDC0F"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Поради риск от кървене и хематологични нежелани лекарствени реакции, веднага трябва да се вземе предвид определянето на кръвната картина и/или други подходящи изследвания, в случай на поява на клинични симптоми, насочващи към кървене по време на лечението (вж. точка 4.8). Подобно на други антитромботични средства, клопидогрел трябва да се прилага с внимание при пациенти, които може да са изложени на опасност от усилено кървене поради травма, хирургична интервенция или други патологични състояния и при пациенти, лекувани с АСК, хепарин, глюкопротеин </w:t>
      </w:r>
      <w:r w:rsidRPr="006E7B6D">
        <w:rPr>
          <w:rFonts w:eastAsia="Times New Roman" w:cs="Arial"/>
          <w:color w:val="000000"/>
          <w:lang w:val="en-US"/>
        </w:rPr>
        <w:t>IIb</w:t>
      </w:r>
      <w:r w:rsidRPr="006E7B6D">
        <w:rPr>
          <w:rFonts w:eastAsia="Times New Roman" w:cs="Arial"/>
          <w:color w:val="000000"/>
          <w:lang w:val="ru-RU"/>
        </w:rPr>
        <w:t>/</w:t>
      </w:r>
      <w:r w:rsidRPr="006E7B6D">
        <w:rPr>
          <w:rFonts w:eastAsia="Times New Roman" w:cs="Arial"/>
          <w:color w:val="000000"/>
          <w:lang w:val="en-US"/>
        </w:rPr>
        <w:t>IIIa</w:t>
      </w:r>
      <w:r w:rsidRPr="006E7B6D">
        <w:rPr>
          <w:rFonts w:eastAsia="Times New Roman" w:cs="Arial"/>
          <w:color w:val="000000"/>
          <w:lang w:val="ru-RU"/>
        </w:rPr>
        <w:t xml:space="preserve"> </w:t>
      </w:r>
      <w:r w:rsidRPr="006E7B6D">
        <w:rPr>
          <w:rFonts w:eastAsia="Times New Roman" w:cs="Arial"/>
          <w:color w:val="000000"/>
          <w:lang w:eastAsia="bg-BG"/>
        </w:rPr>
        <w:t xml:space="preserve">инхибитори или нестероидни противовъзпалителни лекарства (НСПВЛ), включително СОХ-2 инхибитори, </w:t>
      </w:r>
      <w:r w:rsidRPr="006E7B6D">
        <w:rPr>
          <w:rFonts w:eastAsia="Times New Roman" w:cs="Arial"/>
          <w:color w:val="000000"/>
          <w:lang w:eastAsia="bg-BG"/>
        </w:rPr>
        <w:lastRenderedPageBreak/>
        <w:t xml:space="preserve">или селективни инхибитори на обратното захващане на серотонина </w:t>
      </w:r>
      <w:r w:rsidRPr="006E7B6D">
        <w:rPr>
          <w:rFonts w:eastAsia="Times New Roman" w:cs="Arial"/>
          <w:color w:val="000000"/>
          <w:lang w:val="ru-RU"/>
        </w:rPr>
        <w:t>(</w:t>
      </w:r>
      <w:r w:rsidRPr="006E7B6D">
        <w:rPr>
          <w:rFonts w:eastAsia="Times New Roman" w:cs="Arial"/>
          <w:color w:val="000000"/>
          <w:lang w:val="en-US"/>
        </w:rPr>
        <w:t>SSRIs</w:t>
      </w:r>
      <w:r w:rsidRPr="006E7B6D">
        <w:rPr>
          <w:rFonts w:eastAsia="Times New Roman" w:cs="Arial"/>
          <w:color w:val="000000"/>
          <w:lang w:val="ru-RU"/>
        </w:rPr>
        <w:t xml:space="preserve">), </w:t>
      </w:r>
      <w:r w:rsidRPr="006E7B6D">
        <w:rPr>
          <w:rFonts w:eastAsia="Times New Roman" w:cs="Arial"/>
          <w:color w:val="000000"/>
          <w:lang w:eastAsia="bg-BG"/>
        </w:rPr>
        <w:t xml:space="preserve">или силни индукгори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или други лекарствени продукти, свързани с риск от кървене, като пентоксифилин (вж. точка 4.5). Пациентите трябва да бъдат внимателно наблюдавани за признаци на кървене, включително и окултно кървене, особено през първите седмици на лечението и/или след инвазивни кардиологични процедури или хирургия. Едновременното приложение на клопидогрел с перорални антикоагуланти не се препоръчва, тъй като може да увеличи интензивността на кървене (вж. точка 4.5).</w:t>
      </w:r>
    </w:p>
    <w:p w14:paraId="37D9E991"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Ако пациентът подлежи на планова операция и антиагрегантният ефект е временно нежелан, клопидогрел трябва да се спре 7 дни преди хирургичната интервенция. Пациентите трябва да информират лекарите и зъболекарите, че приемат клопидогрел преди насрочване на хирургична манипулация и преди приемането на нов лекарствен продукт. Клопидогрел удължава времето на кървене и трябва да се прилага с внимание при пациенти, които имат нарушения, със склонност към кървене (специално стомашно-чревни и вътреочни).</w:t>
      </w:r>
    </w:p>
    <w:p w14:paraId="3DE22968"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Пациентите трябва да бъдат уведомени, че времето за спиране на кървенето е по- продължително от обичайното при лечение с клопидогрел (самостоятелно или в комбинация с АСК), а те от своя страна трябва да информират своя лекар за всяко необичайно кървене (локализация или продължителност).</w:t>
      </w:r>
    </w:p>
    <w:p w14:paraId="17DDF353" w14:textId="77777777" w:rsidR="006E7B6D" w:rsidRPr="006E7B6D" w:rsidRDefault="006E7B6D" w:rsidP="006E7B6D">
      <w:pPr>
        <w:spacing w:line="240" w:lineRule="auto"/>
        <w:rPr>
          <w:rFonts w:eastAsia="Times New Roman" w:cs="Arial"/>
          <w:color w:val="000000"/>
          <w:lang w:eastAsia="bg-BG"/>
        </w:rPr>
      </w:pPr>
    </w:p>
    <w:p w14:paraId="285B4A6F" w14:textId="6C947F21"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Употребата на натоварваща доза клопидогрел 600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 xml:space="preserve">не се препоръчва при пациенти с остър коронарен синдром без елевация на </w:t>
      </w:r>
      <w:r w:rsidRPr="006E7B6D">
        <w:rPr>
          <w:rFonts w:eastAsia="Times New Roman" w:cs="Arial"/>
          <w:color w:val="000000"/>
          <w:lang w:val="en-US"/>
        </w:rPr>
        <w:t>ST</w:t>
      </w:r>
      <w:r w:rsidRPr="006E7B6D">
        <w:rPr>
          <w:rFonts w:eastAsia="Times New Roman" w:cs="Arial"/>
          <w:color w:val="000000"/>
          <w:lang w:eastAsia="bg-BG"/>
        </w:rPr>
        <w:t>-сегмента и възраст ≥75 години поради повишен риск от кървене при тази популация.</w:t>
      </w:r>
    </w:p>
    <w:p w14:paraId="191746A4" w14:textId="77777777" w:rsidR="006E7B6D" w:rsidRPr="006E7B6D" w:rsidRDefault="006E7B6D" w:rsidP="006E7B6D">
      <w:pPr>
        <w:spacing w:line="240" w:lineRule="auto"/>
        <w:rPr>
          <w:rFonts w:eastAsia="Times New Roman" w:cs="Arial"/>
          <w:i/>
          <w:iCs/>
          <w:color w:val="000000"/>
          <w:lang w:eastAsia="bg-BG"/>
        </w:rPr>
      </w:pPr>
    </w:p>
    <w:p w14:paraId="51433B05" w14:textId="38CC8501"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Тромботична тромбоцитопенична пурпура (ТТП)</w:t>
      </w:r>
    </w:p>
    <w:p w14:paraId="09ADB509" w14:textId="77777777" w:rsidR="006E7B6D" w:rsidRPr="006E7B6D" w:rsidRDefault="006E7B6D" w:rsidP="006E7B6D">
      <w:pPr>
        <w:rPr>
          <w:rFonts w:eastAsia="Times New Roman" w:cs="Arial"/>
          <w:sz w:val="24"/>
          <w:szCs w:val="24"/>
        </w:rPr>
      </w:pPr>
      <w:r w:rsidRPr="006E7B6D">
        <w:rPr>
          <w:rFonts w:eastAsia="Times New Roman" w:cs="Arial"/>
          <w:color w:val="000000"/>
          <w:lang w:eastAsia="bg-BG"/>
        </w:rPr>
        <w:t>Случаи на тромботична тромбоцитопенична пурпура (ТТП) са докладвани много</w:t>
      </w:r>
      <w:r w:rsidRPr="006E7B6D">
        <w:rPr>
          <w:rFonts w:eastAsia="Times New Roman" w:cs="Arial"/>
          <w:color w:val="000000"/>
          <w:lang w:val="ru-RU"/>
        </w:rPr>
        <w:t xml:space="preserve"> </w:t>
      </w:r>
      <w:r w:rsidRPr="006E7B6D">
        <w:rPr>
          <w:rFonts w:eastAsia="Times New Roman" w:cs="Arial"/>
          <w:color w:val="000000"/>
          <w:lang w:eastAsia="bg-BG"/>
        </w:rPr>
        <w:t>рядко след употреба на клопидогрел, понякога и след краткотрайно лечение. Тя се характеризира с тромбоцитопения и микроангиопатична хемолитична анемия, придружена с неврологични изменения, бъбречна дисфунция или фебрилитет. ТТП е състояние, изискващо бързо лечение, включително плазмафереза.</w:t>
      </w:r>
    </w:p>
    <w:p w14:paraId="31B0677D" w14:textId="77777777" w:rsidR="006E7B6D" w:rsidRPr="006E7B6D" w:rsidRDefault="006E7B6D" w:rsidP="006E7B6D">
      <w:pPr>
        <w:spacing w:line="240" w:lineRule="auto"/>
        <w:rPr>
          <w:rFonts w:eastAsia="Times New Roman" w:cs="Arial"/>
          <w:i/>
          <w:iCs/>
          <w:color w:val="000000"/>
          <w:lang w:eastAsia="bg-BG"/>
        </w:rPr>
      </w:pPr>
    </w:p>
    <w:p w14:paraId="6806D9BB" w14:textId="1BCD6535"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Придобита хемофилия</w:t>
      </w:r>
    </w:p>
    <w:p w14:paraId="69DBD55D"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Има съобщения за придобита хемофилия след употреба на клопидогрел. В случаи на потвърдено изолирано удължаване на активираното парциално тромбопластиново време (аРТТ) със или без кървене, трябва да се има предвид придобита хемофилия. Пациентите с потвърдена диагноза придобита хемофилия трябва да се наблюдават и лекуват от специалист и приложението на клопидогрел трябва да се преустанови.</w:t>
      </w:r>
    </w:p>
    <w:p w14:paraId="3D47F3C9" w14:textId="77777777" w:rsidR="006E7B6D" w:rsidRPr="006E7B6D" w:rsidRDefault="006E7B6D" w:rsidP="006E7B6D">
      <w:pPr>
        <w:spacing w:line="240" w:lineRule="auto"/>
        <w:rPr>
          <w:rFonts w:eastAsia="Times New Roman" w:cs="Arial"/>
          <w:i/>
          <w:iCs/>
          <w:color w:val="000000"/>
          <w:lang w:eastAsia="bg-BG"/>
        </w:rPr>
      </w:pPr>
    </w:p>
    <w:p w14:paraId="31954959" w14:textId="577EF9F4"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Скорошен исхемичен инсулт</w:t>
      </w:r>
    </w:p>
    <w:p w14:paraId="472B98C6" w14:textId="77777777" w:rsidR="006E7B6D" w:rsidRPr="006E7B6D" w:rsidRDefault="006E7B6D" w:rsidP="006E7B6D">
      <w:pPr>
        <w:pStyle w:val="ListParagraph"/>
        <w:numPr>
          <w:ilvl w:val="0"/>
          <w:numId w:val="43"/>
        </w:numPr>
        <w:spacing w:line="240" w:lineRule="auto"/>
        <w:rPr>
          <w:rFonts w:eastAsia="Times New Roman" w:cs="Arial"/>
          <w:color w:val="000000"/>
          <w:lang w:eastAsia="bg-BG"/>
        </w:rPr>
      </w:pPr>
      <w:r w:rsidRPr="006E7B6D">
        <w:rPr>
          <w:rFonts w:eastAsia="Times New Roman" w:cs="Arial"/>
          <w:color w:val="000000"/>
          <w:lang w:eastAsia="bg-BG"/>
        </w:rPr>
        <w:t>Започване на терапията</w:t>
      </w:r>
    </w:p>
    <w:p w14:paraId="6828FB8C" w14:textId="77777777" w:rsidR="006E7B6D" w:rsidRPr="006E7B6D" w:rsidRDefault="006E7B6D" w:rsidP="006E7B6D">
      <w:pPr>
        <w:pStyle w:val="ListParagraph"/>
        <w:numPr>
          <w:ilvl w:val="0"/>
          <w:numId w:val="44"/>
        </w:numPr>
        <w:spacing w:line="240" w:lineRule="auto"/>
        <w:rPr>
          <w:rFonts w:eastAsia="Times New Roman" w:cs="Arial"/>
          <w:sz w:val="24"/>
          <w:szCs w:val="24"/>
        </w:rPr>
      </w:pPr>
      <w:r w:rsidRPr="006E7B6D">
        <w:rPr>
          <w:rFonts w:eastAsia="Times New Roman" w:cs="Arial"/>
          <w:color w:val="000000"/>
          <w:lang w:eastAsia="bg-BG"/>
        </w:rPr>
        <w:t xml:space="preserve">При пациенти с остър лек </w:t>
      </w:r>
      <w:r w:rsidRPr="006E7B6D">
        <w:rPr>
          <w:rFonts w:eastAsia="Times New Roman" w:cs="Arial"/>
          <w:color w:val="000000"/>
          <w:lang w:val="en-US"/>
        </w:rPr>
        <w:t>IS</w:t>
      </w:r>
      <w:r w:rsidRPr="006E7B6D">
        <w:rPr>
          <w:rFonts w:eastAsia="Times New Roman" w:cs="Arial"/>
          <w:color w:val="000000"/>
          <w:lang w:val="ru-RU"/>
        </w:rPr>
        <w:t xml:space="preserve"> </w:t>
      </w:r>
      <w:r w:rsidRPr="006E7B6D">
        <w:rPr>
          <w:rFonts w:eastAsia="Times New Roman" w:cs="Arial"/>
          <w:color w:val="000000"/>
          <w:lang w:eastAsia="bg-BG"/>
        </w:rPr>
        <w:t xml:space="preserve">или с </w:t>
      </w:r>
      <w:r w:rsidRPr="006E7B6D">
        <w:rPr>
          <w:rFonts w:eastAsia="Times New Roman" w:cs="Arial"/>
          <w:color w:val="000000"/>
          <w:lang w:val="en-US"/>
        </w:rPr>
        <w:t>TIA</w:t>
      </w:r>
      <w:r w:rsidRPr="006E7B6D">
        <w:rPr>
          <w:rFonts w:eastAsia="Times New Roman" w:cs="Arial"/>
          <w:color w:val="000000"/>
          <w:lang w:val="ru-RU"/>
        </w:rPr>
        <w:t xml:space="preserve"> </w:t>
      </w:r>
      <w:r w:rsidRPr="006E7B6D">
        <w:rPr>
          <w:rFonts w:eastAsia="Times New Roman" w:cs="Arial"/>
          <w:color w:val="000000"/>
          <w:lang w:eastAsia="bg-BG"/>
        </w:rPr>
        <w:t>с умерен до висок риск, двойната антиромбоцитна терапия (клопидогрел и АСК) трябва да започне не по-късно от 24 часа след началото на събитието.</w:t>
      </w:r>
    </w:p>
    <w:p w14:paraId="7ABBEB95" w14:textId="77777777" w:rsidR="006E7B6D" w:rsidRPr="006E7B6D" w:rsidRDefault="006E7B6D" w:rsidP="006E7B6D">
      <w:pPr>
        <w:pStyle w:val="ListParagraph"/>
        <w:numPr>
          <w:ilvl w:val="0"/>
          <w:numId w:val="44"/>
        </w:numPr>
        <w:spacing w:line="240" w:lineRule="auto"/>
        <w:rPr>
          <w:rFonts w:eastAsia="Times New Roman" w:cs="Arial"/>
          <w:sz w:val="24"/>
          <w:szCs w:val="24"/>
        </w:rPr>
      </w:pPr>
      <w:r w:rsidRPr="006E7B6D">
        <w:rPr>
          <w:rFonts w:eastAsia="Times New Roman" w:cs="Arial"/>
          <w:color w:val="000000"/>
          <w:lang w:eastAsia="bg-BG"/>
        </w:rPr>
        <w:t xml:space="preserve">Липсват данни относно съотношението полза-риск при краткосрочна двойна антитромбоцитна терапия при пациенти с остър лек </w:t>
      </w:r>
      <w:r w:rsidRPr="006E7B6D">
        <w:rPr>
          <w:rFonts w:eastAsia="Times New Roman" w:cs="Arial"/>
          <w:color w:val="000000"/>
          <w:lang w:val="en-US"/>
        </w:rPr>
        <w:t>IS</w:t>
      </w:r>
      <w:r w:rsidRPr="006E7B6D">
        <w:rPr>
          <w:rFonts w:eastAsia="Times New Roman" w:cs="Arial"/>
          <w:color w:val="000000"/>
          <w:lang w:val="ru-RU"/>
        </w:rPr>
        <w:t xml:space="preserve"> </w:t>
      </w:r>
      <w:r w:rsidRPr="006E7B6D">
        <w:rPr>
          <w:rFonts w:eastAsia="Times New Roman" w:cs="Arial"/>
          <w:color w:val="000000"/>
          <w:lang w:eastAsia="bg-BG"/>
        </w:rPr>
        <w:t xml:space="preserve">или с </w:t>
      </w:r>
      <w:r w:rsidRPr="006E7B6D">
        <w:rPr>
          <w:rFonts w:eastAsia="Times New Roman" w:cs="Arial"/>
          <w:color w:val="000000"/>
          <w:lang w:val="en-US"/>
        </w:rPr>
        <w:t>TIA</w:t>
      </w:r>
      <w:r w:rsidRPr="006E7B6D">
        <w:rPr>
          <w:rFonts w:eastAsia="Times New Roman" w:cs="Arial"/>
          <w:color w:val="000000"/>
          <w:lang w:val="ru-RU"/>
        </w:rPr>
        <w:t xml:space="preserve"> </w:t>
      </w:r>
      <w:r w:rsidRPr="006E7B6D">
        <w:rPr>
          <w:rFonts w:eastAsia="Times New Roman" w:cs="Arial"/>
          <w:color w:val="000000"/>
          <w:lang w:eastAsia="bg-BG"/>
        </w:rPr>
        <w:t>с умерен до висок риск с анамнеза за (нетравматичен) вътре черепен кръвоизлив.</w:t>
      </w:r>
    </w:p>
    <w:p w14:paraId="60DB68C2" w14:textId="511055E4" w:rsidR="006E7B6D" w:rsidRPr="006E7B6D" w:rsidRDefault="006E7B6D" w:rsidP="006E7B6D">
      <w:pPr>
        <w:pStyle w:val="ListParagraph"/>
        <w:numPr>
          <w:ilvl w:val="0"/>
          <w:numId w:val="44"/>
        </w:numPr>
        <w:spacing w:line="240" w:lineRule="auto"/>
        <w:rPr>
          <w:rFonts w:eastAsia="Times New Roman" w:cs="Arial"/>
          <w:sz w:val="24"/>
          <w:szCs w:val="24"/>
        </w:rPr>
      </w:pPr>
      <w:r w:rsidRPr="006E7B6D">
        <w:rPr>
          <w:rFonts w:eastAsia="Times New Roman" w:cs="Arial"/>
          <w:color w:val="000000"/>
          <w:lang w:eastAsia="bg-BG"/>
        </w:rPr>
        <w:t xml:space="preserve">При пациенти с </w:t>
      </w:r>
      <w:r w:rsidRPr="006E7B6D">
        <w:rPr>
          <w:rFonts w:eastAsia="Times New Roman" w:cs="Arial"/>
          <w:color w:val="000000"/>
          <w:lang w:val="en-US"/>
        </w:rPr>
        <w:t>IS</w:t>
      </w:r>
      <w:r w:rsidRPr="006E7B6D">
        <w:rPr>
          <w:rFonts w:eastAsia="Times New Roman" w:cs="Arial"/>
          <w:color w:val="000000"/>
          <w:lang w:val="ru-RU"/>
        </w:rPr>
        <w:t xml:space="preserve">, </w:t>
      </w:r>
      <w:r w:rsidRPr="006E7B6D">
        <w:rPr>
          <w:rFonts w:eastAsia="Times New Roman" w:cs="Arial"/>
          <w:color w:val="000000"/>
          <w:lang w:eastAsia="bg-BG"/>
        </w:rPr>
        <w:t>който не е лек, монотерапията с клопидогрел трябва да започне само след първите 7 дни от събитието.</w:t>
      </w:r>
    </w:p>
    <w:p w14:paraId="253ACC93" w14:textId="77777777" w:rsidR="006E7B6D" w:rsidRPr="006E7B6D" w:rsidRDefault="006E7B6D" w:rsidP="006E7B6D">
      <w:pPr>
        <w:spacing w:line="240" w:lineRule="auto"/>
        <w:rPr>
          <w:rFonts w:eastAsia="Times New Roman" w:cs="Arial"/>
          <w:color w:val="000000"/>
          <w:lang w:eastAsia="bg-BG"/>
        </w:rPr>
      </w:pPr>
    </w:p>
    <w:p w14:paraId="3577881A" w14:textId="77777777" w:rsidR="006E7B6D" w:rsidRPr="006E7B6D" w:rsidRDefault="006E7B6D" w:rsidP="006E7B6D">
      <w:pPr>
        <w:pStyle w:val="ListParagraph"/>
        <w:numPr>
          <w:ilvl w:val="0"/>
          <w:numId w:val="43"/>
        </w:numPr>
        <w:spacing w:line="240" w:lineRule="auto"/>
        <w:rPr>
          <w:rFonts w:eastAsia="Times New Roman" w:cs="Arial"/>
          <w:color w:val="000000"/>
          <w:lang w:eastAsia="bg-BG"/>
        </w:rPr>
      </w:pPr>
      <w:r w:rsidRPr="006E7B6D">
        <w:rPr>
          <w:rFonts w:eastAsia="Times New Roman" w:cs="Arial"/>
          <w:color w:val="000000"/>
          <w:lang w:eastAsia="bg-BG"/>
        </w:rPr>
        <w:t xml:space="preserve">Пациенти с /5, който не лек </w:t>
      </w:r>
      <w:r w:rsidRPr="006E7B6D">
        <w:rPr>
          <w:rFonts w:eastAsia="Times New Roman" w:cs="Arial"/>
          <w:i/>
          <w:iCs/>
          <w:color w:val="000000"/>
          <w:lang w:val="ru-RU"/>
        </w:rPr>
        <w:t>(</w:t>
      </w:r>
      <w:r w:rsidRPr="006E7B6D">
        <w:rPr>
          <w:rFonts w:eastAsia="Times New Roman" w:cs="Arial"/>
          <w:i/>
          <w:iCs/>
          <w:color w:val="000000"/>
          <w:lang w:val="en-US"/>
        </w:rPr>
        <w:t>NIHSS</w:t>
      </w:r>
      <w:r w:rsidRPr="006E7B6D">
        <w:rPr>
          <w:rFonts w:eastAsia="Times New Roman" w:cs="Arial"/>
          <w:color w:val="000000"/>
          <w:lang w:val="ru-RU"/>
        </w:rPr>
        <w:t xml:space="preserve"> </w:t>
      </w:r>
      <w:r w:rsidRPr="006E7B6D">
        <w:rPr>
          <w:rFonts w:eastAsia="Times New Roman" w:cs="Arial"/>
          <w:color w:val="000000"/>
          <w:lang w:eastAsia="bg-BG"/>
        </w:rPr>
        <w:t>&gt;4)</w:t>
      </w:r>
    </w:p>
    <w:p w14:paraId="0957F552" w14:textId="77777777" w:rsidR="006E7B6D" w:rsidRPr="006E7B6D" w:rsidRDefault="006E7B6D" w:rsidP="006E7B6D">
      <w:pPr>
        <w:pStyle w:val="ListParagraph"/>
        <w:spacing w:line="240" w:lineRule="auto"/>
        <w:rPr>
          <w:rFonts w:eastAsia="Times New Roman" w:cs="Arial"/>
          <w:color w:val="000000"/>
          <w:lang w:eastAsia="bg-BG"/>
        </w:rPr>
      </w:pPr>
      <w:r w:rsidRPr="006E7B6D">
        <w:rPr>
          <w:rFonts w:eastAsia="Times New Roman" w:cs="Arial"/>
          <w:color w:val="000000"/>
          <w:lang w:eastAsia="bg-BG"/>
        </w:rPr>
        <w:lastRenderedPageBreak/>
        <w:t>Предвид липсата на данни, не се препоръчва използването на двойна антитромбоцитна терапия (вж. точка 4.1)</w:t>
      </w:r>
    </w:p>
    <w:p w14:paraId="1B48D758" w14:textId="77777777" w:rsidR="006E7B6D" w:rsidRPr="006E7B6D" w:rsidRDefault="006E7B6D" w:rsidP="006E7B6D">
      <w:pPr>
        <w:spacing w:line="240" w:lineRule="auto"/>
        <w:rPr>
          <w:rFonts w:eastAsia="Times New Roman" w:cs="Arial"/>
          <w:color w:val="000000"/>
          <w:lang w:eastAsia="bg-BG"/>
        </w:rPr>
      </w:pPr>
    </w:p>
    <w:p w14:paraId="6824E9E9" w14:textId="77777777" w:rsidR="006E7B6D" w:rsidRPr="006E7B6D" w:rsidRDefault="006E7B6D" w:rsidP="006E7B6D">
      <w:pPr>
        <w:pStyle w:val="ListParagraph"/>
        <w:numPr>
          <w:ilvl w:val="0"/>
          <w:numId w:val="43"/>
        </w:numPr>
        <w:spacing w:line="240" w:lineRule="auto"/>
        <w:rPr>
          <w:rFonts w:eastAsia="Times New Roman" w:cs="Arial"/>
          <w:color w:val="000000"/>
          <w:lang w:eastAsia="bg-BG"/>
        </w:rPr>
      </w:pPr>
      <w:r w:rsidRPr="006E7B6D">
        <w:rPr>
          <w:rFonts w:eastAsia="Times New Roman" w:cs="Arial"/>
          <w:color w:val="000000"/>
          <w:lang w:eastAsia="bg-BG"/>
        </w:rPr>
        <w:t xml:space="preserve">Скорошен лек </w:t>
      </w:r>
      <w:r w:rsidRPr="006E7B6D">
        <w:rPr>
          <w:rFonts w:eastAsia="Times New Roman" w:cs="Arial"/>
          <w:color w:val="000000"/>
          <w:lang w:val="en-US"/>
        </w:rPr>
        <w:t>IS</w:t>
      </w:r>
      <w:r w:rsidRPr="006E7B6D">
        <w:rPr>
          <w:rFonts w:eastAsia="Times New Roman" w:cs="Arial"/>
          <w:color w:val="000000"/>
          <w:lang w:val="ru-RU"/>
        </w:rPr>
        <w:t xml:space="preserve"> </w:t>
      </w:r>
      <w:r w:rsidRPr="006E7B6D">
        <w:rPr>
          <w:rFonts w:eastAsia="Times New Roman" w:cs="Arial"/>
          <w:color w:val="000000"/>
          <w:lang w:eastAsia="bg-BG"/>
        </w:rPr>
        <w:t xml:space="preserve">или </w:t>
      </w:r>
      <w:r w:rsidRPr="006E7B6D">
        <w:rPr>
          <w:rFonts w:eastAsia="Times New Roman" w:cs="Arial"/>
          <w:color w:val="000000"/>
          <w:lang w:val="en-US"/>
        </w:rPr>
        <w:t>TIA</w:t>
      </w:r>
      <w:r w:rsidRPr="006E7B6D">
        <w:rPr>
          <w:rFonts w:eastAsia="Times New Roman" w:cs="Arial"/>
          <w:color w:val="000000"/>
          <w:lang w:val="ru-RU"/>
        </w:rPr>
        <w:t xml:space="preserve"> </w:t>
      </w:r>
      <w:r w:rsidRPr="006E7B6D">
        <w:rPr>
          <w:rFonts w:eastAsia="Times New Roman" w:cs="Arial"/>
          <w:color w:val="000000"/>
          <w:lang w:eastAsia="bg-BG"/>
        </w:rPr>
        <w:t>с умерен до висок риск при пациенти, за които е показана или планирана интервенция</w:t>
      </w:r>
    </w:p>
    <w:p w14:paraId="3C7B4AE6" w14:textId="6FD56231" w:rsidR="006E7B6D" w:rsidRPr="006E7B6D" w:rsidRDefault="006E7B6D" w:rsidP="006E7B6D">
      <w:pPr>
        <w:pStyle w:val="ListParagraph"/>
        <w:spacing w:line="240" w:lineRule="auto"/>
        <w:rPr>
          <w:rFonts w:eastAsia="Times New Roman" w:cs="Arial"/>
          <w:color w:val="000000"/>
          <w:lang w:eastAsia="bg-BG"/>
        </w:rPr>
      </w:pPr>
      <w:r w:rsidRPr="006E7B6D">
        <w:rPr>
          <w:rFonts w:eastAsia="Times New Roman" w:cs="Arial"/>
          <w:color w:val="000000"/>
          <w:lang w:eastAsia="bg-BG"/>
        </w:rPr>
        <w:t>Липсват данни в подкрепа на използването на двойна антитромбоцитна терапия при пациенти, за които е показано лечение с каротидна ендартеректомия или интраваскуларна тромбектомия, или при пациенти, планирани за тромболиза или антикоагулантна терапия. В тези ситуации не се препоръчва двойна антитромбоцитна терапия.</w:t>
      </w:r>
    </w:p>
    <w:p w14:paraId="0A90B1B5" w14:textId="77777777" w:rsidR="006E7B6D" w:rsidRPr="006E7B6D" w:rsidRDefault="006E7B6D" w:rsidP="006E7B6D">
      <w:pPr>
        <w:spacing w:line="240" w:lineRule="auto"/>
        <w:rPr>
          <w:rFonts w:eastAsia="Times New Roman" w:cs="Arial"/>
          <w:i/>
          <w:iCs/>
          <w:color w:val="000000"/>
          <w:lang w:eastAsia="bg-BG"/>
        </w:rPr>
      </w:pPr>
    </w:p>
    <w:p w14:paraId="60F52588" w14:textId="215D1238"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 xml:space="preserve">Цитохром Р450 2С19 </w:t>
      </w:r>
      <w:r w:rsidRPr="006E7B6D">
        <w:rPr>
          <w:rFonts w:eastAsia="Times New Roman" w:cs="Arial"/>
          <w:i/>
          <w:iCs/>
          <w:color w:val="000000"/>
          <w:lang w:val="ru-RU"/>
        </w:rPr>
        <w:t>(</w:t>
      </w:r>
      <w:r w:rsidRPr="006E7B6D">
        <w:rPr>
          <w:rFonts w:eastAsia="Times New Roman" w:cs="Arial"/>
          <w:i/>
          <w:iCs/>
          <w:color w:val="000000"/>
          <w:lang w:val="en-US"/>
        </w:rPr>
        <w:t>CYP</w:t>
      </w:r>
      <w:r w:rsidRPr="006E7B6D">
        <w:rPr>
          <w:rFonts w:eastAsia="Times New Roman" w:cs="Arial"/>
          <w:i/>
          <w:iCs/>
          <w:color w:val="000000"/>
          <w:lang w:val="ru-RU"/>
        </w:rPr>
        <w:t>2</w:t>
      </w:r>
      <w:r w:rsidRPr="006E7B6D">
        <w:rPr>
          <w:rFonts w:eastAsia="Times New Roman" w:cs="Arial"/>
          <w:i/>
          <w:iCs/>
          <w:color w:val="000000"/>
          <w:lang w:val="en-US"/>
        </w:rPr>
        <w:t>C</w:t>
      </w:r>
      <w:r w:rsidRPr="006E7B6D">
        <w:rPr>
          <w:rFonts w:eastAsia="Times New Roman" w:cs="Arial"/>
          <w:i/>
          <w:iCs/>
          <w:color w:val="000000"/>
          <w:lang w:val="ru-RU"/>
        </w:rPr>
        <w:t>19)</w:t>
      </w:r>
    </w:p>
    <w:p w14:paraId="37ADB34A"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Фармакогенетика: При пациентите, които са слаби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 xml:space="preserve">метаболизатори, клопидогрел в препоръчителните дози образува по-малко от активния метаболит на клопидогрел и има по- малък ефект върху тромбоцитната функция. Съществуват тестове за идентифициране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генотипа на пациента.</w:t>
      </w:r>
    </w:p>
    <w:p w14:paraId="1DC3F268"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Тъй като клопидогрел се метаболизира частично до своя активен метаболит от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eastAsia="bg-BG"/>
        </w:rPr>
        <w:t xml:space="preserve">19, употребата на лекарствени продукти, които инхибират активността на този ензим, се очаква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w:t>
      </w:r>
      <w:r w:rsidRPr="006E7B6D">
        <w:rPr>
          <w:rFonts w:eastAsia="Times New Roman" w:cs="Arial"/>
          <w:color w:val="000000"/>
          <w:lang w:val="en-US"/>
        </w:rPr>
        <w:t>CYP</w:t>
      </w:r>
      <w:r w:rsidRPr="006E7B6D">
        <w:rPr>
          <w:rFonts w:eastAsia="Times New Roman" w:cs="Arial"/>
          <w:color w:val="000000"/>
          <w:lang w:val="ru-RU"/>
        </w:rPr>
        <w:t xml:space="preserve"> </w:t>
      </w:r>
      <w:r w:rsidRPr="006E7B6D">
        <w:rPr>
          <w:rFonts w:eastAsia="Times New Roman" w:cs="Arial"/>
          <w:color w:val="000000"/>
          <w:lang w:eastAsia="bg-BG"/>
        </w:rPr>
        <w:t xml:space="preserve">2С19 инхибитори (вж. точка 4,5 за списък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инхибитори, вж. също точка 5.2).</w:t>
      </w:r>
    </w:p>
    <w:p w14:paraId="01372F11"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Употребата на лекарствени продукти, които индуцират активността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 xml:space="preserve">се очаква да доведе до повишени нива на активния метаболит на клопидогрел и може да увеличи риска от кървене. Като предпазна мярка трябва да се избягва съпътстващата употреба на силни индуктори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(вж. точка 4.5).</w:t>
      </w:r>
    </w:p>
    <w:p w14:paraId="6F8E8056" w14:textId="77777777" w:rsidR="006E7B6D" w:rsidRPr="006E7B6D" w:rsidRDefault="006E7B6D" w:rsidP="006E7B6D">
      <w:pPr>
        <w:spacing w:line="240" w:lineRule="auto"/>
        <w:rPr>
          <w:rFonts w:eastAsia="Times New Roman" w:cs="Arial"/>
          <w:i/>
          <w:iCs/>
          <w:color w:val="000000"/>
          <w:lang w:eastAsia="bg-BG"/>
        </w:rPr>
      </w:pPr>
    </w:p>
    <w:p w14:paraId="3D1543E4" w14:textId="6B2E7013"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 xml:space="preserve">Субстрати на </w:t>
      </w:r>
      <w:r w:rsidRPr="006E7B6D">
        <w:rPr>
          <w:rFonts w:eastAsia="Times New Roman" w:cs="Arial"/>
          <w:i/>
          <w:iCs/>
          <w:color w:val="000000"/>
          <w:lang w:val="en-US"/>
        </w:rPr>
        <w:t>CYP</w:t>
      </w:r>
      <w:r w:rsidRPr="006E7B6D">
        <w:rPr>
          <w:rFonts w:eastAsia="Times New Roman" w:cs="Arial"/>
          <w:i/>
          <w:iCs/>
          <w:color w:val="000000"/>
          <w:lang w:val="ru-RU"/>
        </w:rPr>
        <w:t>2</w:t>
      </w:r>
      <w:r w:rsidRPr="006E7B6D">
        <w:rPr>
          <w:rFonts w:eastAsia="Times New Roman" w:cs="Arial"/>
          <w:i/>
          <w:iCs/>
          <w:color w:val="000000"/>
          <w:lang w:val="en-US"/>
        </w:rPr>
        <w:t>C</w:t>
      </w:r>
      <w:r w:rsidRPr="006E7B6D">
        <w:rPr>
          <w:rFonts w:eastAsia="Times New Roman" w:cs="Arial"/>
          <w:i/>
          <w:iCs/>
          <w:color w:val="000000"/>
          <w:lang w:val="ru-RU"/>
        </w:rPr>
        <w:t>8</w:t>
      </w:r>
    </w:p>
    <w:p w14:paraId="73DA5BD1"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Необходимо е повишено внимание при пациенти, лекувани едновременно с клопидогрел и лекарствени продукти, субстрати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8 </w:t>
      </w:r>
      <w:r w:rsidRPr="006E7B6D">
        <w:rPr>
          <w:rFonts w:eastAsia="Times New Roman" w:cs="Arial"/>
          <w:color w:val="000000"/>
          <w:lang w:eastAsia="bg-BG"/>
        </w:rPr>
        <w:t>(вж. точка 4.5).</w:t>
      </w:r>
    </w:p>
    <w:p w14:paraId="13F37CAF" w14:textId="77777777" w:rsidR="006E7B6D" w:rsidRPr="006E7B6D" w:rsidRDefault="006E7B6D" w:rsidP="006E7B6D">
      <w:pPr>
        <w:spacing w:line="240" w:lineRule="auto"/>
        <w:rPr>
          <w:rFonts w:eastAsia="Times New Roman" w:cs="Arial"/>
          <w:i/>
          <w:iCs/>
          <w:color w:val="000000"/>
          <w:lang w:eastAsia="bg-BG"/>
        </w:rPr>
      </w:pPr>
    </w:p>
    <w:p w14:paraId="1B014C00" w14:textId="48DE51C3"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Кръстосана реактивност между тиенопиридините</w:t>
      </w:r>
    </w:p>
    <w:p w14:paraId="6F3511DA"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При пациентите трябва да се снеме анамнеза за свръхчувствителност към тиенопиридини (като клопидогрел, тиклопидин, прасугрел), тъй като се съобщава за кръстосана реактивност между тиенопиридините (вж. точка 4.8). Тиенопиридините могат да причинят леки до тежки алергични реакции, като обрив, ангиоедем или хематологични кръстосани реакции, като тромбоцитопения и неутропения. Пациенти, които са развили предишна алергична реакция и/или хематологична реакция към един тиенопиридин, може да имат повишен риск от развитие на същата или друга реакция към друг тиенопиридин. Препоръчва се наблюдение за признаци на свръхчувствителност при пациенти с известна алергия към тиенопиридини.</w:t>
      </w:r>
    </w:p>
    <w:p w14:paraId="01C58E3F" w14:textId="77777777" w:rsidR="006E7B6D" w:rsidRPr="006E7B6D" w:rsidRDefault="006E7B6D" w:rsidP="006E7B6D">
      <w:pPr>
        <w:spacing w:line="240" w:lineRule="auto"/>
        <w:rPr>
          <w:rFonts w:eastAsia="Times New Roman" w:cs="Arial"/>
          <w:i/>
          <w:iCs/>
          <w:color w:val="000000"/>
          <w:lang w:eastAsia="bg-BG"/>
        </w:rPr>
      </w:pPr>
    </w:p>
    <w:p w14:paraId="61FAD433" w14:textId="725353DF"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Бъбречно увреждане</w:t>
      </w:r>
    </w:p>
    <w:p w14:paraId="6EAB9A0B"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Терапевтичният опит при пациенти с бъбречно увреждане е ограничен. Следователно при такива пациенти клопидогрел трябва да се прилага с повишено внимание (вж. точка 4.2).</w:t>
      </w:r>
    </w:p>
    <w:p w14:paraId="3BE243E4" w14:textId="77777777" w:rsidR="006E7B6D" w:rsidRPr="006E7B6D" w:rsidRDefault="006E7B6D" w:rsidP="006E7B6D">
      <w:pPr>
        <w:spacing w:line="240" w:lineRule="auto"/>
        <w:rPr>
          <w:rFonts w:eastAsia="Times New Roman" w:cs="Arial"/>
          <w:i/>
          <w:iCs/>
          <w:color w:val="000000"/>
          <w:lang w:eastAsia="bg-BG"/>
        </w:rPr>
      </w:pPr>
    </w:p>
    <w:p w14:paraId="484178F4" w14:textId="7EB68A3D"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Чернодробно увреждане</w:t>
      </w:r>
    </w:p>
    <w:p w14:paraId="12CA0448"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Опитът е ограничен при пациенти с умерено изразено чернодробно заболяване, които могат да имат хеморагична диатеза. По тази причина клопидогрел трябва да се прилага с повишено внимание при тази популация (вж точка 4.2).</w:t>
      </w:r>
    </w:p>
    <w:p w14:paraId="3EA94485" w14:textId="77777777" w:rsidR="006E7B6D" w:rsidRPr="006E7B6D" w:rsidRDefault="006E7B6D" w:rsidP="006E7B6D">
      <w:pPr>
        <w:spacing w:line="240" w:lineRule="auto"/>
        <w:rPr>
          <w:rFonts w:eastAsia="Times New Roman" w:cs="Arial"/>
          <w:i/>
          <w:iCs/>
          <w:color w:val="000000"/>
          <w:lang w:eastAsia="bg-BG"/>
        </w:rPr>
      </w:pPr>
    </w:p>
    <w:p w14:paraId="6B12F740" w14:textId="7236E2D7" w:rsidR="006E7B6D" w:rsidRPr="006E7B6D" w:rsidRDefault="006E7B6D" w:rsidP="006E7B6D">
      <w:pPr>
        <w:spacing w:line="240" w:lineRule="auto"/>
        <w:rPr>
          <w:rFonts w:eastAsia="Times New Roman" w:cs="Arial"/>
          <w:sz w:val="24"/>
          <w:szCs w:val="24"/>
        </w:rPr>
      </w:pPr>
      <w:r w:rsidRPr="006E7B6D">
        <w:rPr>
          <w:rFonts w:eastAsia="Times New Roman" w:cs="Arial"/>
          <w:i/>
          <w:iCs/>
          <w:color w:val="000000"/>
          <w:lang w:eastAsia="bg-BG"/>
        </w:rPr>
        <w:t>Помощни вещества</w:t>
      </w:r>
    </w:p>
    <w:p w14:paraId="51A43BD3"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Клопидогрел Екофарм съдържа лактоза. Пациенти с редки наследствени проблеми на галактозна непоносимост, </w:t>
      </w:r>
      <w:r w:rsidRPr="006E7B6D">
        <w:rPr>
          <w:rFonts w:eastAsia="Times New Roman" w:cs="Arial"/>
          <w:color w:val="000000"/>
          <w:lang w:val="en-US"/>
        </w:rPr>
        <w:t>Lapp</w:t>
      </w:r>
      <w:r w:rsidRPr="006E7B6D">
        <w:rPr>
          <w:rFonts w:eastAsia="Times New Roman" w:cs="Arial"/>
          <w:color w:val="000000"/>
          <w:lang w:val="ru-RU"/>
        </w:rPr>
        <w:t xml:space="preserve"> </w:t>
      </w:r>
      <w:r w:rsidRPr="006E7B6D">
        <w:rPr>
          <w:rFonts w:eastAsia="Times New Roman" w:cs="Arial"/>
          <w:color w:val="000000"/>
          <w:lang w:eastAsia="bg-BG"/>
        </w:rPr>
        <w:t>лактазна недостатъчност или глюкозо-галактозна малабсорбция, не трябва да приемат този лекарствен продукт.</w:t>
      </w:r>
    </w:p>
    <w:p w14:paraId="2497E4F2"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Този лекарствен продукт съдържа хидрогенирано рициново масло, което може да причини стомашно разстройство и диария.</w:t>
      </w:r>
    </w:p>
    <w:p w14:paraId="0391FCF4" w14:textId="3F8D8721" w:rsidR="006E7B6D" w:rsidRPr="006E7B6D" w:rsidRDefault="006E7B6D" w:rsidP="006E7B6D"/>
    <w:p w14:paraId="0734264C" w14:textId="3385CB5D"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ED7887A" w14:textId="1D9B740F" w:rsidR="006E7B6D" w:rsidRDefault="006E7B6D" w:rsidP="006E7B6D"/>
    <w:p w14:paraId="33D755B5" w14:textId="77777777"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Лекарствени продукти, свързани с риск от кървене:</w:t>
      </w:r>
      <w:r w:rsidRPr="006E7B6D">
        <w:rPr>
          <w:rFonts w:eastAsia="Times New Roman" w:cs="Arial"/>
          <w:color w:val="000000"/>
          <w:lang w:eastAsia="bg-BG"/>
        </w:rPr>
        <w:t xml:space="preserve"> съществува повишен риск от кървене поради потенциалния адитивен ефект. Едновременното приложение на лекарствени продукти, свързани с риск от кървене трябва да се извършва с повишено внимание (вж. точка 4.4).</w:t>
      </w:r>
    </w:p>
    <w:p w14:paraId="020116F9" w14:textId="77777777" w:rsidR="006E7B6D" w:rsidRPr="006E7B6D" w:rsidRDefault="006E7B6D" w:rsidP="006E7B6D">
      <w:pPr>
        <w:spacing w:line="240" w:lineRule="auto"/>
        <w:rPr>
          <w:rFonts w:eastAsia="Times New Roman" w:cs="Arial"/>
          <w:i/>
          <w:iCs/>
          <w:color w:val="000000"/>
          <w:lang w:eastAsia="bg-BG"/>
        </w:rPr>
      </w:pPr>
    </w:p>
    <w:p w14:paraId="66FFC097" w14:textId="0B2ABF7F"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Перорални антикоагуланти:</w:t>
      </w:r>
      <w:r w:rsidRPr="006E7B6D">
        <w:rPr>
          <w:rFonts w:eastAsia="Times New Roman" w:cs="Arial"/>
          <w:color w:val="000000"/>
          <w:lang w:eastAsia="bg-BG"/>
        </w:rPr>
        <w:t xml:space="preserve"> едновременното приложение на клопидогрел с перорални антикоагуланти не се препоръчва, тъй като може да увеличи интензивността на кървене (вж. точка 4.4). Въпреки, че приложението на клопидогрел 75 </w:t>
      </w:r>
      <w:r w:rsidRPr="006E7B6D">
        <w:rPr>
          <w:rFonts w:eastAsia="Times New Roman" w:cs="Arial"/>
          <w:color w:val="000000"/>
          <w:lang w:val="en-US"/>
        </w:rPr>
        <w:t>mg</w:t>
      </w:r>
      <w:r w:rsidRPr="006E7B6D">
        <w:rPr>
          <w:rFonts w:eastAsia="Times New Roman" w:cs="Arial"/>
          <w:color w:val="000000"/>
          <w:lang w:eastAsia="bg-BG"/>
        </w:rPr>
        <w:t xml:space="preserve">/дневно не променя фармакокинетиката на </w:t>
      </w:r>
      <w:r w:rsidRPr="006E7B6D">
        <w:rPr>
          <w:rFonts w:eastAsia="Times New Roman" w:cs="Arial"/>
          <w:color w:val="000000"/>
          <w:lang w:val="en-US"/>
        </w:rPr>
        <w:t>S</w:t>
      </w:r>
      <w:r w:rsidRPr="006E7B6D">
        <w:rPr>
          <w:rFonts w:eastAsia="Times New Roman" w:cs="Arial"/>
          <w:color w:val="000000"/>
          <w:lang w:eastAsia="bg-BG"/>
        </w:rPr>
        <w:t xml:space="preserve">-варфарин (субстрат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9) </w:t>
      </w:r>
      <w:r w:rsidRPr="006E7B6D">
        <w:rPr>
          <w:rFonts w:eastAsia="Times New Roman" w:cs="Arial"/>
          <w:color w:val="000000"/>
          <w:lang w:eastAsia="bg-BG"/>
        </w:rPr>
        <w:t xml:space="preserve">или Международното Нормализирано Съотношение </w:t>
      </w:r>
      <w:r w:rsidRPr="006E7B6D">
        <w:rPr>
          <w:rFonts w:eastAsia="Times New Roman" w:cs="Arial"/>
          <w:color w:val="000000"/>
          <w:lang w:val="ru-RU"/>
        </w:rPr>
        <w:t>(</w:t>
      </w:r>
      <w:r w:rsidRPr="006E7B6D">
        <w:rPr>
          <w:rFonts w:eastAsia="Times New Roman" w:cs="Arial"/>
          <w:color w:val="000000"/>
          <w:lang w:val="en-US"/>
        </w:rPr>
        <w:t>INR</w:t>
      </w:r>
      <w:r w:rsidRPr="006E7B6D">
        <w:rPr>
          <w:rFonts w:eastAsia="Times New Roman" w:cs="Arial"/>
          <w:color w:val="000000"/>
          <w:lang w:val="ru-RU"/>
        </w:rPr>
        <w:t xml:space="preserve">) </w:t>
      </w:r>
      <w:r w:rsidRPr="006E7B6D">
        <w:rPr>
          <w:rFonts w:eastAsia="Times New Roman" w:cs="Arial"/>
          <w:color w:val="000000"/>
          <w:lang w:eastAsia="bg-BG"/>
        </w:rPr>
        <w:t>при пациенти, получаващи продължителна терапия с варфарин, едновременното приложение на клопидогрел с варфарин повишава риска от кървене поради независими ефекти върху хемостазата.</w:t>
      </w:r>
    </w:p>
    <w:p w14:paraId="34644E4D" w14:textId="77777777" w:rsidR="006E7B6D" w:rsidRPr="006E7B6D" w:rsidRDefault="006E7B6D" w:rsidP="006E7B6D">
      <w:pPr>
        <w:spacing w:line="240" w:lineRule="auto"/>
        <w:rPr>
          <w:rFonts w:eastAsia="Times New Roman" w:cs="Arial"/>
          <w:i/>
          <w:iCs/>
          <w:color w:val="000000"/>
          <w:lang w:eastAsia="bg-BG"/>
        </w:rPr>
      </w:pPr>
    </w:p>
    <w:p w14:paraId="7C8C57C3" w14:textId="7EDB0BE5"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 xml:space="preserve">Глюкопротеин </w:t>
      </w:r>
      <w:r w:rsidRPr="006E7B6D">
        <w:rPr>
          <w:rFonts w:eastAsia="Times New Roman" w:cs="Arial"/>
          <w:i/>
          <w:iCs/>
          <w:color w:val="000000"/>
          <w:lang w:val="en-US"/>
        </w:rPr>
        <w:t>IIb</w:t>
      </w:r>
      <w:r w:rsidRPr="006E7B6D">
        <w:rPr>
          <w:rFonts w:eastAsia="Times New Roman" w:cs="Arial"/>
          <w:i/>
          <w:iCs/>
          <w:color w:val="000000"/>
          <w:lang w:eastAsia="bg-BG"/>
        </w:rPr>
        <w:t>/</w:t>
      </w:r>
      <w:r w:rsidRPr="006E7B6D">
        <w:rPr>
          <w:rFonts w:eastAsia="Times New Roman" w:cs="Arial"/>
          <w:i/>
          <w:iCs/>
          <w:color w:val="000000"/>
          <w:lang w:val="en-US"/>
        </w:rPr>
        <w:t>IIIa</w:t>
      </w:r>
      <w:r w:rsidRPr="006E7B6D">
        <w:rPr>
          <w:rFonts w:eastAsia="Times New Roman" w:cs="Arial"/>
          <w:i/>
          <w:iCs/>
          <w:color w:val="000000"/>
          <w:lang w:eastAsia="bg-BG"/>
        </w:rPr>
        <w:t xml:space="preserve"> инхибитори:</w:t>
      </w:r>
      <w:r w:rsidRPr="006E7B6D">
        <w:rPr>
          <w:rFonts w:eastAsia="Times New Roman" w:cs="Arial"/>
          <w:color w:val="000000"/>
          <w:lang w:eastAsia="bg-BG"/>
        </w:rPr>
        <w:t xml:space="preserve"> клопидогрел трябва се прилага с повишено внимание при пациенти, които приемат едновременно глюкопротеин </w:t>
      </w:r>
      <w:r w:rsidRPr="006E7B6D">
        <w:rPr>
          <w:rFonts w:eastAsia="Times New Roman" w:cs="Arial"/>
          <w:color w:val="000000"/>
          <w:lang w:val="en-US"/>
        </w:rPr>
        <w:t>IIb</w:t>
      </w:r>
      <w:r w:rsidRPr="006E7B6D">
        <w:rPr>
          <w:rFonts w:eastAsia="Times New Roman" w:cs="Arial"/>
          <w:color w:val="000000"/>
          <w:lang w:eastAsia="bg-BG"/>
        </w:rPr>
        <w:t>/</w:t>
      </w:r>
      <w:r w:rsidRPr="006E7B6D">
        <w:rPr>
          <w:rFonts w:eastAsia="Times New Roman" w:cs="Arial"/>
          <w:color w:val="000000"/>
          <w:lang w:val="en-US"/>
        </w:rPr>
        <w:t>III</w:t>
      </w:r>
      <w:r w:rsidRPr="006E7B6D">
        <w:rPr>
          <w:rFonts w:eastAsia="Times New Roman" w:cs="Arial"/>
          <w:color w:val="000000"/>
          <w:lang w:eastAsia="bg-BG"/>
        </w:rPr>
        <w:t>а инхибитори (вж. точка 4.4).</w:t>
      </w:r>
    </w:p>
    <w:p w14:paraId="700C2088" w14:textId="77777777" w:rsidR="006E7B6D" w:rsidRPr="006E7B6D" w:rsidRDefault="006E7B6D" w:rsidP="006E7B6D">
      <w:pPr>
        <w:spacing w:line="240" w:lineRule="auto"/>
        <w:rPr>
          <w:rFonts w:eastAsia="Times New Roman" w:cs="Arial"/>
          <w:i/>
          <w:iCs/>
          <w:color w:val="000000"/>
          <w:lang w:eastAsia="bg-BG"/>
        </w:rPr>
      </w:pPr>
    </w:p>
    <w:p w14:paraId="2F0FDE29" w14:textId="071C9EFE"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 xml:space="preserve">Ацетилсалицилова киселина (АСК): </w:t>
      </w:r>
      <w:r w:rsidRPr="006E7B6D">
        <w:rPr>
          <w:rFonts w:eastAsia="Times New Roman" w:cs="Arial"/>
          <w:i/>
          <w:iCs/>
          <w:color w:val="000000"/>
          <w:lang w:val="en-US"/>
        </w:rPr>
        <w:t>A</w:t>
      </w:r>
      <w:r w:rsidRPr="006E7B6D">
        <w:rPr>
          <w:rFonts w:eastAsia="Times New Roman" w:cs="Arial"/>
          <w:i/>
          <w:iCs/>
          <w:color w:val="000000"/>
          <w:lang w:eastAsia="bg-BG"/>
        </w:rPr>
        <w:t>С</w:t>
      </w:r>
      <w:r w:rsidRPr="006E7B6D">
        <w:rPr>
          <w:rFonts w:eastAsia="Times New Roman" w:cs="Arial"/>
          <w:i/>
          <w:iCs/>
          <w:color w:val="000000"/>
          <w:lang w:val="en-US"/>
        </w:rPr>
        <w:t>A</w:t>
      </w:r>
      <w:r w:rsidRPr="006E7B6D">
        <w:rPr>
          <w:rFonts w:eastAsia="Times New Roman" w:cs="Arial"/>
          <w:color w:val="000000"/>
          <w:lang w:eastAsia="bg-BG"/>
        </w:rPr>
        <w:t xml:space="preserve"> не променя клопидогрел-медиираната инхибиция на АДФ-индуцираната тромбоцитна агрегация, но клопидогрел усилва ефекта на АСК върху колаген-индуцираната тромбоцитна агрегация. Едновременното приложение на 500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АСК двукратно дневно за един ден обаче, не удължава значително времето на кървене, предизвикано от лечението с клопидогрел. Възможно е фармакодинамично взаимодействие между клопидогрел и АСК, което увеличава риска от кървене. Следователно, едновременната им употреба трябва да става с повишено внимание (вж. точка 4.4). Въпреки това клопидогрел и АСК са прилагани едновременно до една година (вж. точка 5.1).</w:t>
      </w:r>
    </w:p>
    <w:p w14:paraId="349F3426" w14:textId="77777777" w:rsidR="006E7B6D" w:rsidRPr="006E7B6D" w:rsidRDefault="006E7B6D" w:rsidP="006E7B6D">
      <w:pPr>
        <w:rPr>
          <w:rFonts w:eastAsia="Times New Roman" w:cs="Arial"/>
          <w:i/>
          <w:iCs/>
          <w:color w:val="000000"/>
          <w:lang w:eastAsia="bg-BG"/>
        </w:rPr>
      </w:pPr>
    </w:p>
    <w:p w14:paraId="6FC01EB7" w14:textId="5AA06347" w:rsidR="006E7B6D" w:rsidRPr="006E7B6D" w:rsidRDefault="006E7B6D" w:rsidP="006E7B6D">
      <w:pPr>
        <w:rPr>
          <w:rFonts w:eastAsia="Times New Roman" w:cs="Arial"/>
          <w:color w:val="000000"/>
          <w:lang w:eastAsia="bg-BG"/>
        </w:rPr>
      </w:pPr>
      <w:r w:rsidRPr="006E7B6D">
        <w:rPr>
          <w:rFonts w:eastAsia="Times New Roman" w:cs="Arial"/>
          <w:i/>
          <w:iCs/>
          <w:color w:val="000000"/>
          <w:lang w:eastAsia="bg-BG"/>
        </w:rPr>
        <w:t>Хепарин:</w:t>
      </w:r>
      <w:r w:rsidRPr="006E7B6D">
        <w:rPr>
          <w:rFonts w:eastAsia="Times New Roman" w:cs="Arial"/>
          <w:color w:val="000000"/>
          <w:lang w:eastAsia="bg-BG"/>
        </w:rPr>
        <w:t xml:space="preserve"> в клинично проучване при здрави хора клопидогрел не налага промяна на дозата на хепарина, нито променя ефекта му върху коагулацията. Едновременното приложение с хепарин не е довело до ефект върху потискането на тромбоцитната агрегация, предизвикано от клопидогрел. Възможно е фармакодинамично взаимодействие между клопидогрел и хепарин.</w:t>
      </w:r>
    </w:p>
    <w:p w14:paraId="560D93F3" w14:textId="61F1C677" w:rsidR="006E7B6D" w:rsidRPr="006E7B6D" w:rsidRDefault="006E7B6D" w:rsidP="006E7B6D">
      <w:pPr>
        <w:rPr>
          <w:rFonts w:eastAsia="Times New Roman" w:cs="Arial"/>
          <w:color w:val="000000"/>
          <w:lang w:eastAsia="bg-BG"/>
        </w:rPr>
      </w:pPr>
    </w:p>
    <w:p w14:paraId="23FBB0EE"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което увеличава риска от кървене. Следователно, едновременната им употреба трябва да става с повишено внимание (вж. точка 4.4).</w:t>
      </w:r>
    </w:p>
    <w:p w14:paraId="7A5A7EA0" w14:textId="77777777" w:rsidR="006E7B6D" w:rsidRPr="006E7B6D" w:rsidRDefault="006E7B6D" w:rsidP="006E7B6D">
      <w:pPr>
        <w:spacing w:line="240" w:lineRule="auto"/>
        <w:rPr>
          <w:rFonts w:eastAsia="Times New Roman" w:cs="Arial"/>
          <w:i/>
          <w:iCs/>
          <w:color w:val="000000"/>
          <w:lang w:eastAsia="bg-BG"/>
        </w:rPr>
      </w:pPr>
    </w:p>
    <w:p w14:paraId="09BF6073" w14:textId="4B39901D"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Тромболитици:</w:t>
      </w:r>
      <w:r w:rsidRPr="006E7B6D">
        <w:rPr>
          <w:rFonts w:eastAsia="Times New Roman" w:cs="Arial"/>
          <w:color w:val="000000"/>
          <w:lang w:eastAsia="bg-BG"/>
        </w:rPr>
        <w:t xml:space="preserve"> безопасността на едновременното приложение на клопидогрел, фибрин или не- фибрин специфични тромболитични агенти и хепарин е оценена при пациенти с </w:t>
      </w:r>
      <w:r w:rsidRPr="006E7B6D">
        <w:rPr>
          <w:rFonts w:eastAsia="Times New Roman" w:cs="Arial"/>
          <w:color w:val="000000"/>
          <w:lang w:eastAsia="bg-BG"/>
        </w:rPr>
        <w:lastRenderedPageBreak/>
        <w:t>остър миокарден инфаркт. Честотата на клинично значимото кървене е била сходна с тази, наблюдавана при едновременно приложение на тромболитични агенти и хепарин с АСК (вж. точка 4.8).</w:t>
      </w:r>
    </w:p>
    <w:p w14:paraId="55051BB7" w14:textId="77777777" w:rsidR="006E7B6D" w:rsidRPr="006E7B6D" w:rsidRDefault="006E7B6D" w:rsidP="006E7B6D">
      <w:pPr>
        <w:spacing w:line="240" w:lineRule="auto"/>
        <w:rPr>
          <w:rFonts w:eastAsia="Times New Roman" w:cs="Arial"/>
          <w:i/>
          <w:iCs/>
          <w:color w:val="000000"/>
          <w:lang w:eastAsia="bg-BG"/>
        </w:rPr>
      </w:pPr>
    </w:p>
    <w:p w14:paraId="0DE3C1EB" w14:textId="7CB8B502"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Нестероидни противовъзпалителни средства (НСПВС):</w:t>
      </w:r>
      <w:r w:rsidRPr="006E7B6D">
        <w:rPr>
          <w:rFonts w:eastAsia="Times New Roman" w:cs="Arial"/>
          <w:color w:val="000000"/>
          <w:lang w:eastAsia="bg-BG"/>
        </w:rPr>
        <w:t xml:space="preserve"> в клинично проучване, проведено при здрави доброволци, едновременното приложение на клопидогрел и напроксен повишава окултните стомашно-чревни кръвоизливи. Поради липса на проучвания за взаимодействия с други НСПВС обаче, понастоящем не е ясно дали има повишен риск от стомашно-чревно кървене с всички НСПВС. Следователно НСПВС, включително СОХ-2 инхибитори, и клопидогрел трябва да се прилагат едновременно с повишено внимание (вж. точка 4.4).</w:t>
      </w:r>
    </w:p>
    <w:p w14:paraId="1F462E7F" w14:textId="77777777" w:rsidR="006E7B6D" w:rsidRPr="006E7B6D" w:rsidRDefault="006E7B6D" w:rsidP="006E7B6D">
      <w:pPr>
        <w:spacing w:line="240" w:lineRule="auto"/>
        <w:rPr>
          <w:rFonts w:eastAsia="Times New Roman" w:cs="Arial"/>
          <w:i/>
          <w:iCs/>
          <w:color w:val="000000"/>
          <w:lang w:eastAsia="bg-BG"/>
        </w:rPr>
      </w:pPr>
    </w:p>
    <w:p w14:paraId="7593194D" w14:textId="40051D69"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 xml:space="preserve">Селективни инхибитори на обратното захващане на серотонина </w:t>
      </w:r>
      <w:r w:rsidRPr="006E7B6D">
        <w:rPr>
          <w:rFonts w:eastAsia="Times New Roman" w:cs="Arial"/>
          <w:i/>
          <w:iCs/>
          <w:color w:val="000000"/>
          <w:lang w:val="ru-RU"/>
        </w:rPr>
        <w:t>(</w:t>
      </w:r>
      <w:r w:rsidRPr="006E7B6D">
        <w:rPr>
          <w:rFonts w:eastAsia="Times New Roman" w:cs="Arial"/>
          <w:i/>
          <w:iCs/>
          <w:color w:val="000000"/>
          <w:lang w:val="en-US"/>
        </w:rPr>
        <w:t>SSRIs</w:t>
      </w:r>
      <w:r w:rsidRPr="006E7B6D">
        <w:rPr>
          <w:rFonts w:eastAsia="Times New Roman" w:cs="Arial"/>
          <w:i/>
          <w:iCs/>
          <w:color w:val="000000"/>
          <w:lang w:val="ru-RU"/>
        </w:rPr>
        <w:t>):</w:t>
      </w:r>
      <w:r w:rsidRPr="006E7B6D">
        <w:rPr>
          <w:rFonts w:eastAsia="Times New Roman" w:cs="Arial"/>
          <w:color w:val="000000"/>
          <w:lang w:val="ru-RU"/>
        </w:rPr>
        <w:t xml:space="preserve"> </w:t>
      </w:r>
      <w:r w:rsidRPr="006E7B6D">
        <w:rPr>
          <w:rFonts w:eastAsia="Times New Roman" w:cs="Arial"/>
          <w:color w:val="000000"/>
          <w:lang w:eastAsia="bg-BG"/>
        </w:rPr>
        <w:t xml:space="preserve">тъй като </w:t>
      </w:r>
      <w:r w:rsidRPr="006E7B6D">
        <w:rPr>
          <w:rFonts w:eastAsia="Times New Roman" w:cs="Arial"/>
          <w:color w:val="000000"/>
          <w:lang w:val="en-US"/>
        </w:rPr>
        <w:t>SSRIs</w:t>
      </w:r>
      <w:r w:rsidRPr="006E7B6D">
        <w:rPr>
          <w:rFonts w:eastAsia="Times New Roman" w:cs="Arial"/>
          <w:color w:val="000000"/>
          <w:lang w:val="ru-RU"/>
        </w:rPr>
        <w:t xml:space="preserve"> </w:t>
      </w:r>
      <w:r w:rsidRPr="006E7B6D">
        <w:rPr>
          <w:rFonts w:eastAsia="Times New Roman" w:cs="Arial"/>
          <w:color w:val="000000"/>
          <w:lang w:eastAsia="bg-BG"/>
        </w:rPr>
        <w:t xml:space="preserve">повлияват тромбоцитната активация и повишават риска от кървене, едновременното приложение на </w:t>
      </w:r>
      <w:r w:rsidRPr="006E7B6D">
        <w:rPr>
          <w:rFonts w:eastAsia="Times New Roman" w:cs="Arial"/>
          <w:color w:val="000000"/>
          <w:lang w:val="en-US"/>
        </w:rPr>
        <w:t>SSRIs</w:t>
      </w:r>
      <w:r w:rsidRPr="006E7B6D">
        <w:rPr>
          <w:rFonts w:eastAsia="Times New Roman" w:cs="Arial"/>
          <w:color w:val="000000"/>
          <w:lang w:val="ru-RU"/>
        </w:rPr>
        <w:t xml:space="preserve"> </w:t>
      </w:r>
      <w:r w:rsidRPr="006E7B6D">
        <w:rPr>
          <w:rFonts w:eastAsia="Times New Roman" w:cs="Arial"/>
          <w:color w:val="000000"/>
          <w:lang w:eastAsia="bg-BG"/>
        </w:rPr>
        <w:t>с клопидогрел трябва да става с повишено внимание.</w:t>
      </w:r>
    </w:p>
    <w:p w14:paraId="5DB68C19" w14:textId="77777777" w:rsidR="006E7B6D" w:rsidRPr="006E7B6D" w:rsidRDefault="006E7B6D" w:rsidP="006E7B6D">
      <w:pPr>
        <w:spacing w:line="240" w:lineRule="auto"/>
        <w:rPr>
          <w:rFonts w:eastAsia="Times New Roman" w:cs="Arial"/>
          <w:i/>
          <w:iCs/>
          <w:color w:val="000000"/>
          <w:lang w:eastAsia="bg-BG"/>
        </w:rPr>
      </w:pPr>
    </w:p>
    <w:p w14:paraId="273EA35F" w14:textId="62728072"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Друго съпътстващо лечение:</w:t>
      </w:r>
    </w:p>
    <w:p w14:paraId="389923D1" w14:textId="77777777" w:rsidR="006E7B6D" w:rsidRPr="006E7B6D" w:rsidRDefault="006E7B6D" w:rsidP="006E7B6D">
      <w:pPr>
        <w:spacing w:line="240" w:lineRule="auto"/>
        <w:rPr>
          <w:rFonts w:eastAsia="Times New Roman" w:cs="Arial"/>
          <w:color w:val="000000"/>
          <w:lang w:eastAsia="bg-BG"/>
        </w:rPr>
      </w:pPr>
    </w:p>
    <w:p w14:paraId="290E4BDB" w14:textId="3F29907F"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Индукгори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eastAsia="bg-BG"/>
        </w:rPr>
        <w:t>19</w:t>
      </w:r>
    </w:p>
    <w:p w14:paraId="2480C9F5"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Тъй като клопидогрел се метаболизира до неговия активен метаболит частично от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очаква се употребата на лекарствени продукти, които индуцират активността на този ензим, да доведе до повишени нива на активния метаболит на клопидогрел.</w:t>
      </w:r>
    </w:p>
    <w:p w14:paraId="218C2ED4" w14:textId="77777777" w:rsidR="006E7B6D" w:rsidRPr="006E7B6D" w:rsidRDefault="006E7B6D" w:rsidP="006E7B6D">
      <w:pPr>
        <w:spacing w:line="240" w:lineRule="auto"/>
        <w:rPr>
          <w:rFonts w:eastAsia="Times New Roman" w:cs="Arial"/>
          <w:color w:val="000000"/>
          <w:lang w:eastAsia="bg-BG"/>
        </w:rPr>
      </w:pPr>
    </w:p>
    <w:p w14:paraId="7BD074B9" w14:textId="65FFCDEF"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Рифампицин силно индуцира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 xml:space="preserve">което води както до повишени нива на активния метаболит на клопидогрел, така и до инхибиране на тромбоцитите, което в частност може да увеличи риска от кървене. Като предпазна мярка трябва да се избягва съпътстващата употреба на силни индукгори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(вж. точка 4.4).</w:t>
      </w:r>
    </w:p>
    <w:p w14:paraId="4002B10F" w14:textId="77777777" w:rsidR="006E7B6D" w:rsidRPr="006E7B6D" w:rsidRDefault="006E7B6D" w:rsidP="006E7B6D">
      <w:pPr>
        <w:spacing w:line="240" w:lineRule="auto"/>
        <w:rPr>
          <w:rFonts w:eastAsia="Times New Roman" w:cs="Arial"/>
          <w:color w:val="000000"/>
          <w:lang w:eastAsia="bg-BG"/>
        </w:rPr>
      </w:pPr>
    </w:p>
    <w:p w14:paraId="071ACA4E" w14:textId="19ED4F2A"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Инхибитори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eastAsia="bg-BG"/>
        </w:rPr>
        <w:t>19</w:t>
      </w:r>
    </w:p>
    <w:p w14:paraId="29CFD7CC"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Тъй като клопидогрел се метаболизира частично от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19 </w:t>
      </w:r>
      <w:r w:rsidRPr="006E7B6D">
        <w:rPr>
          <w:rFonts w:eastAsia="Times New Roman" w:cs="Arial"/>
          <w:color w:val="000000"/>
          <w:lang w:eastAsia="bg-BG"/>
        </w:rPr>
        <w:t xml:space="preserve">до неговия активен метаболит, очаква се употребата на лекарствени продукта, които инхибират активността на този ензим, да доведе до понижени лекарствени нива на активния метаболит на клопидогрел. Клиничната значимост на това взаимодействие е неизяснена. Като предпазна мярка не трябва да се използват едновременно силни или умерени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eastAsia="bg-BG"/>
        </w:rPr>
        <w:t>19 инхибитори (вж. точки 4.4 и 5.2).</w:t>
      </w:r>
    </w:p>
    <w:p w14:paraId="7BF42C77" w14:textId="77777777" w:rsidR="006E7B6D" w:rsidRPr="006E7B6D" w:rsidRDefault="006E7B6D" w:rsidP="006E7B6D">
      <w:pPr>
        <w:spacing w:line="240" w:lineRule="auto"/>
        <w:rPr>
          <w:rFonts w:eastAsia="Times New Roman" w:cs="Arial"/>
          <w:color w:val="000000"/>
          <w:lang w:eastAsia="bg-BG"/>
        </w:rPr>
      </w:pPr>
    </w:p>
    <w:p w14:paraId="25966F33" w14:textId="424F6C22"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Лекарствените продукти, които са силни или умерени инхибитори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eastAsia="bg-BG"/>
        </w:rPr>
        <w:t>19 включват например омепразол и езомепразол, флувоксамин, флуоксетин, моклобемид, вориконазол, флуконазол, тиклопидин, карбамазепин и ефавиренц.</w:t>
      </w:r>
    </w:p>
    <w:p w14:paraId="71E27AEF" w14:textId="77777777" w:rsidR="006E7B6D" w:rsidRPr="006E7B6D" w:rsidRDefault="006E7B6D" w:rsidP="006E7B6D">
      <w:pPr>
        <w:spacing w:line="240" w:lineRule="auto"/>
        <w:rPr>
          <w:rFonts w:eastAsia="Times New Roman" w:cs="Arial"/>
          <w:i/>
          <w:iCs/>
          <w:color w:val="000000"/>
          <w:lang w:eastAsia="bg-BG"/>
        </w:rPr>
      </w:pPr>
    </w:p>
    <w:p w14:paraId="1734B2F3" w14:textId="615AC272"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Инхибитори на протонната помпа (РР</w:t>
      </w:r>
      <w:r w:rsidRPr="006E7B6D">
        <w:rPr>
          <w:rFonts w:eastAsia="Times New Roman" w:cs="Arial"/>
          <w:i/>
          <w:iCs/>
          <w:color w:val="000000"/>
          <w:lang w:val="en-US"/>
        </w:rPr>
        <w:t>I</w:t>
      </w:r>
      <w:r w:rsidRPr="006E7B6D">
        <w:rPr>
          <w:rFonts w:eastAsia="Times New Roman" w:cs="Arial"/>
          <w:i/>
          <w:iCs/>
          <w:color w:val="000000"/>
          <w:lang w:val="ru-RU"/>
        </w:rPr>
        <w:t>):</w:t>
      </w:r>
    </w:p>
    <w:p w14:paraId="5BC1C953"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Омепразол 80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веднъж дневно, приложен по едно и също време с клопидогрел или с интервал от 12 часа между приложенията на двете лекарства, намалява експозицията на активния метаболит с 45% (натоварваща доза) и 40% (поддържаща доза). Намалението е свързано с 39% (натоварваща доза) и 21% (поддържаща доза) понижаване на инхибирането на тромбоцитната агрегация. Очаква се езомепразол да показва подобно взаимодействие с клопидогрел.</w:t>
      </w:r>
    </w:p>
    <w:p w14:paraId="1357A05F" w14:textId="189315C4" w:rsidR="006E7B6D" w:rsidRPr="006E7B6D" w:rsidRDefault="006E7B6D" w:rsidP="006E7B6D">
      <w:pPr>
        <w:rPr>
          <w:rFonts w:eastAsia="Times New Roman" w:cs="Arial"/>
          <w:color w:val="000000"/>
          <w:lang w:eastAsia="bg-BG"/>
        </w:rPr>
      </w:pPr>
      <w:r w:rsidRPr="006E7B6D">
        <w:rPr>
          <w:rFonts w:eastAsia="Times New Roman" w:cs="Arial"/>
          <w:color w:val="000000"/>
          <w:lang w:eastAsia="bg-BG"/>
        </w:rPr>
        <w:t xml:space="preserve">Съобщавани са противоречиви данни от клиничните заключения за това фармакокинетично (ФКУфармакодинамично (ФД) взаимодействие от гледна точка на значими сърдечно-съдови събития и от обсервационни и от клинични проучвания. Като </w:t>
      </w:r>
      <w:r w:rsidRPr="006E7B6D">
        <w:rPr>
          <w:rFonts w:eastAsia="Times New Roman" w:cs="Arial"/>
          <w:color w:val="000000"/>
          <w:lang w:eastAsia="bg-BG"/>
        </w:rPr>
        <w:lastRenderedPageBreak/>
        <w:t>предпазна мярка не трябва да се използват едновременно омепразол или езомепразол (вж. точка 4.4).</w:t>
      </w:r>
    </w:p>
    <w:p w14:paraId="5DB6CC41" w14:textId="48C6C177" w:rsidR="006E7B6D" w:rsidRPr="006E7B6D" w:rsidRDefault="006E7B6D" w:rsidP="006E7B6D">
      <w:pPr>
        <w:rPr>
          <w:rFonts w:eastAsia="Times New Roman" w:cs="Arial"/>
          <w:color w:val="000000"/>
          <w:lang w:eastAsia="bg-BG"/>
        </w:rPr>
      </w:pPr>
    </w:p>
    <w:p w14:paraId="434F8920"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Наблюдавано е по-слабо изразено понижение на метаболитната експозиция с пантопразол или ланзопразол. Плазмените концентрации на активния метаболит са понижени с 20% (натоварваща доза) и с 14% (поддържаща доза) по време на съпътстващо лечение с пантопразол 80 </w:t>
      </w:r>
      <w:r w:rsidRPr="006E7B6D">
        <w:rPr>
          <w:rFonts w:eastAsia="Times New Roman" w:cs="Arial"/>
          <w:color w:val="000000"/>
          <w:lang w:val="en-US"/>
        </w:rPr>
        <w:t>mg</w:t>
      </w:r>
      <w:r w:rsidRPr="006E7B6D">
        <w:rPr>
          <w:rFonts w:eastAsia="Times New Roman" w:cs="Arial"/>
          <w:color w:val="000000"/>
          <w:lang w:val="ru-RU"/>
        </w:rPr>
        <w:t xml:space="preserve"> </w:t>
      </w:r>
      <w:r w:rsidRPr="006E7B6D">
        <w:rPr>
          <w:rFonts w:eastAsia="Times New Roman" w:cs="Arial"/>
          <w:color w:val="000000"/>
          <w:lang w:eastAsia="bg-BG"/>
        </w:rPr>
        <w:t>веднъж дневно. Това е свързано с понижение на средното инхибиране на тромбоцитната агрегация с 15% и 11% съответно. Тези резултати показват, че клопидогрел може да бъде прилаган с пантопразол.</w:t>
      </w:r>
    </w:p>
    <w:p w14:paraId="5BC794BA" w14:textId="77777777" w:rsidR="006E7B6D" w:rsidRPr="006E7B6D" w:rsidRDefault="006E7B6D" w:rsidP="006E7B6D">
      <w:pPr>
        <w:spacing w:line="240" w:lineRule="auto"/>
        <w:rPr>
          <w:rFonts w:eastAsia="Times New Roman" w:cs="Arial"/>
          <w:color w:val="000000"/>
          <w:lang w:eastAsia="bg-BG"/>
        </w:rPr>
      </w:pPr>
    </w:p>
    <w:p w14:paraId="5D4C5FBF" w14:textId="656E83EA" w:rsidR="006E7B6D" w:rsidRPr="006E7B6D" w:rsidRDefault="006E7B6D" w:rsidP="006E7B6D">
      <w:pPr>
        <w:spacing w:line="240" w:lineRule="auto"/>
        <w:rPr>
          <w:rFonts w:eastAsia="Times New Roman" w:cs="Arial"/>
        </w:rPr>
      </w:pPr>
      <w:r w:rsidRPr="006E7B6D">
        <w:rPr>
          <w:rFonts w:eastAsia="Times New Roman" w:cs="Arial"/>
          <w:color w:val="000000"/>
          <w:lang w:eastAsia="bg-BG"/>
        </w:rPr>
        <w:t>Няма доказателства, че други лекарствени продукти, намаляващи стомашната киселинност като Н2 блокерите или антиацидите повлияват антитромбоцитната активност на клопидогрел.</w:t>
      </w:r>
    </w:p>
    <w:p w14:paraId="5B8DF1B3" w14:textId="77777777" w:rsidR="006E7B6D" w:rsidRPr="006E7B6D" w:rsidRDefault="006E7B6D" w:rsidP="006E7B6D">
      <w:pPr>
        <w:spacing w:line="240" w:lineRule="auto"/>
        <w:rPr>
          <w:rFonts w:eastAsia="Times New Roman" w:cs="Arial"/>
          <w:i/>
          <w:iCs/>
          <w:color w:val="000000"/>
          <w:lang w:eastAsia="bg-BG"/>
        </w:rPr>
      </w:pPr>
    </w:p>
    <w:p w14:paraId="56021B65" w14:textId="12A192EB"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 xml:space="preserve">Антиретровирусна терапия </w:t>
      </w:r>
      <w:r w:rsidRPr="006E7B6D">
        <w:rPr>
          <w:rFonts w:eastAsia="Times New Roman" w:cs="Arial"/>
          <w:i/>
          <w:iCs/>
          <w:color w:val="000000"/>
          <w:lang w:val="ru-RU"/>
        </w:rPr>
        <w:t>(</w:t>
      </w:r>
      <w:r w:rsidRPr="006E7B6D">
        <w:rPr>
          <w:rFonts w:eastAsia="Times New Roman" w:cs="Arial"/>
          <w:i/>
          <w:iCs/>
          <w:color w:val="000000"/>
          <w:lang w:val="en-US"/>
        </w:rPr>
        <w:t>APT</w:t>
      </w:r>
      <w:r w:rsidRPr="006E7B6D">
        <w:rPr>
          <w:rFonts w:eastAsia="Times New Roman" w:cs="Arial"/>
          <w:i/>
          <w:iCs/>
          <w:color w:val="000000"/>
          <w:lang w:val="ru-RU"/>
        </w:rPr>
        <w:t xml:space="preserve">), </w:t>
      </w:r>
      <w:r w:rsidRPr="006E7B6D">
        <w:rPr>
          <w:rFonts w:eastAsia="Times New Roman" w:cs="Arial"/>
          <w:i/>
          <w:iCs/>
          <w:color w:val="000000"/>
          <w:lang w:eastAsia="bg-BG"/>
        </w:rPr>
        <w:t>комбинирана с фармакокинетичен енхансер:</w:t>
      </w:r>
      <w:r w:rsidRPr="006E7B6D">
        <w:rPr>
          <w:rFonts w:eastAsia="Times New Roman" w:cs="Arial"/>
          <w:color w:val="000000"/>
          <w:lang w:eastAsia="bg-BG"/>
        </w:rPr>
        <w:t xml:space="preserve"> пациенти с </w:t>
      </w:r>
      <w:r w:rsidRPr="006E7B6D">
        <w:rPr>
          <w:rFonts w:eastAsia="Times New Roman" w:cs="Arial"/>
          <w:color w:val="000000"/>
          <w:lang w:val="en-US"/>
        </w:rPr>
        <w:t>HIV</w:t>
      </w:r>
      <w:r w:rsidRPr="006E7B6D">
        <w:rPr>
          <w:rFonts w:eastAsia="Times New Roman" w:cs="Arial"/>
          <w:color w:val="000000"/>
          <w:lang w:val="ru-RU"/>
        </w:rPr>
        <w:t xml:space="preserve">, </w:t>
      </w:r>
      <w:r w:rsidRPr="006E7B6D">
        <w:rPr>
          <w:rFonts w:eastAsia="Times New Roman" w:cs="Arial"/>
          <w:color w:val="000000"/>
          <w:lang w:eastAsia="bg-BG"/>
        </w:rPr>
        <w:t xml:space="preserve">лекувани с антиретровирусна терапия </w:t>
      </w:r>
      <w:r w:rsidRPr="006E7B6D">
        <w:rPr>
          <w:rFonts w:eastAsia="Times New Roman" w:cs="Arial"/>
          <w:color w:val="000000"/>
          <w:lang w:val="ru-RU"/>
        </w:rPr>
        <w:t>(</w:t>
      </w:r>
      <w:r w:rsidRPr="006E7B6D">
        <w:rPr>
          <w:rFonts w:eastAsia="Times New Roman" w:cs="Arial"/>
          <w:color w:val="000000"/>
          <w:lang w:val="en-US"/>
        </w:rPr>
        <w:t>APT</w:t>
      </w:r>
      <w:r w:rsidRPr="006E7B6D">
        <w:rPr>
          <w:rFonts w:eastAsia="Times New Roman" w:cs="Arial"/>
          <w:color w:val="000000"/>
          <w:lang w:val="ru-RU"/>
        </w:rPr>
        <w:t xml:space="preserve">), </w:t>
      </w:r>
      <w:r w:rsidRPr="006E7B6D">
        <w:rPr>
          <w:rFonts w:eastAsia="Times New Roman" w:cs="Arial"/>
          <w:color w:val="000000"/>
          <w:lang w:eastAsia="bg-BG"/>
        </w:rPr>
        <w:t>комбинирана с фармакокинетичен енхансер, са изложени на висок риск от съдови събития.</w:t>
      </w:r>
    </w:p>
    <w:p w14:paraId="5967A0D8" w14:textId="77777777" w:rsidR="006E7B6D" w:rsidRPr="006E7B6D" w:rsidRDefault="006E7B6D" w:rsidP="006E7B6D">
      <w:pPr>
        <w:spacing w:line="240" w:lineRule="auto"/>
        <w:rPr>
          <w:rFonts w:eastAsia="Times New Roman" w:cs="Arial"/>
          <w:color w:val="000000"/>
          <w:lang w:eastAsia="bg-BG"/>
        </w:rPr>
      </w:pPr>
    </w:p>
    <w:p w14:paraId="29E1D8F2" w14:textId="6F7E3FEF"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При инфектирани с </w:t>
      </w:r>
      <w:r w:rsidRPr="006E7B6D">
        <w:rPr>
          <w:rFonts w:eastAsia="Times New Roman" w:cs="Arial"/>
          <w:color w:val="000000"/>
          <w:lang w:val="en-US"/>
        </w:rPr>
        <w:t>HIV</w:t>
      </w:r>
      <w:r w:rsidRPr="006E7B6D">
        <w:rPr>
          <w:rFonts w:eastAsia="Times New Roman" w:cs="Arial"/>
          <w:color w:val="000000"/>
          <w:lang w:val="ru-RU"/>
        </w:rPr>
        <w:t xml:space="preserve"> </w:t>
      </w:r>
      <w:r w:rsidRPr="006E7B6D">
        <w:rPr>
          <w:rFonts w:eastAsia="Times New Roman" w:cs="Arial"/>
          <w:color w:val="000000"/>
          <w:lang w:eastAsia="bg-BG"/>
        </w:rPr>
        <w:t xml:space="preserve">пациенти, лекувани с антиретровирусна терапия </w:t>
      </w:r>
      <w:r w:rsidRPr="006E7B6D">
        <w:rPr>
          <w:rFonts w:eastAsia="Times New Roman" w:cs="Arial"/>
          <w:color w:val="000000"/>
          <w:lang w:val="ru-RU"/>
        </w:rPr>
        <w:t>(</w:t>
      </w:r>
      <w:r w:rsidRPr="006E7B6D">
        <w:rPr>
          <w:rFonts w:eastAsia="Times New Roman" w:cs="Arial"/>
          <w:color w:val="000000"/>
          <w:lang w:val="en-US"/>
        </w:rPr>
        <w:t>APT</w:t>
      </w:r>
      <w:r w:rsidRPr="006E7B6D">
        <w:rPr>
          <w:rFonts w:eastAsia="Times New Roman" w:cs="Arial"/>
          <w:color w:val="000000"/>
          <w:lang w:val="ru-RU"/>
        </w:rPr>
        <w:t xml:space="preserve">), </w:t>
      </w:r>
      <w:r w:rsidRPr="006E7B6D">
        <w:rPr>
          <w:rFonts w:eastAsia="Times New Roman" w:cs="Arial"/>
          <w:color w:val="000000"/>
          <w:lang w:eastAsia="bg-BG"/>
        </w:rPr>
        <w:t xml:space="preserve">подсилена с ритонавир или кобицистат, е наблюдавана значително намалена тромбоцитна инхибиция. Въпреки че клиничната значимост на тези находки е неясна, има спонтанни съобщения за инфектирани с </w:t>
      </w:r>
      <w:r w:rsidRPr="006E7B6D">
        <w:rPr>
          <w:rFonts w:eastAsia="Times New Roman" w:cs="Arial"/>
          <w:color w:val="000000"/>
          <w:lang w:val="en-US"/>
        </w:rPr>
        <w:t>HIV</w:t>
      </w:r>
      <w:r w:rsidRPr="006E7B6D">
        <w:rPr>
          <w:rFonts w:eastAsia="Times New Roman" w:cs="Arial"/>
          <w:color w:val="000000"/>
          <w:lang w:val="ru-RU"/>
        </w:rPr>
        <w:t xml:space="preserve"> </w:t>
      </w:r>
      <w:r w:rsidRPr="006E7B6D">
        <w:rPr>
          <w:rFonts w:eastAsia="Times New Roman" w:cs="Arial"/>
          <w:color w:val="000000"/>
          <w:lang w:eastAsia="bg-BG"/>
        </w:rPr>
        <w:t xml:space="preserve">пациенти, лекувани с усилена </w:t>
      </w:r>
      <w:r w:rsidRPr="006E7B6D">
        <w:rPr>
          <w:rFonts w:eastAsia="Times New Roman" w:cs="Arial"/>
          <w:color w:val="000000"/>
          <w:lang w:val="en-US"/>
        </w:rPr>
        <w:t>APT</w:t>
      </w:r>
      <w:r w:rsidRPr="006E7B6D">
        <w:rPr>
          <w:rFonts w:eastAsia="Times New Roman" w:cs="Arial"/>
          <w:color w:val="000000"/>
          <w:lang w:val="ru-RU"/>
        </w:rPr>
        <w:t xml:space="preserve">, </w:t>
      </w:r>
      <w:r w:rsidRPr="006E7B6D">
        <w:rPr>
          <w:rFonts w:eastAsia="Times New Roman" w:cs="Arial"/>
          <w:color w:val="000000"/>
          <w:lang w:eastAsia="bg-BG"/>
        </w:rPr>
        <w:t xml:space="preserve">които са имали повторно оклузивни събития след възстановяване на проходимостта или са претърпели тромботични събития, докато са били на схема на лечение с клопидогрел. Средната тромбоцитната инхибиция може да се намалят при съпътстваща употреба на ритонавир. Поради това съпътстваща употреба на клопидогрел с усилена </w:t>
      </w:r>
      <w:r w:rsidRPr="006E7B6D">
        <w:rPr>
          <w:rFonts w:eastAsia="Times New Roman" w:cs="Arial"/>
          <w:color w:val="000000"/>
          <w:lang w:val="en-US"/>
        </w:rPr>
        <w:t>APT</w:t>
      </w:r>
      <w:r w:rsidRPr="006E7B6D">
        <w:rPr>
          <w:rFonts w:eastAsia="Times New Roman" w:cs="Arial"/>
          <w:color w:val="000000"/>
          <w:lang w:val="ru-RU"/>
        </w:rPr>
        <w:t xml:space="preserve"> </w:t>
      </w:r>
      <w:r w:rsidRPr="006E7B6D">
        <w:rPr>
          <w:rFonts w:eastAsia="Times New Roman" w:cs="Arial"/>
          <w:color w:val="000000"/>
          <w:lang w:eastAsia="bg-BG"/>
        </w:rPr>
        <w:t>не се препоръчва.</w:t>
      </w:r>
    </w:p>
    <w:p w14:paraId="45FC0D3B" w14:textId="77777777" w:rsidR="006E7B6D" w:rsidRPr="006E7B6D" w:rsidRDefault="006E7B6D" w:rsidP="006E7B6D">
      <w:pPr>
        <w:spacing w:line="240" w:lineRule="auto"/>
        <w:rPr>
          <w:rFonts w:eastAsia="Times New Roman" w:cs="Arial"/>
          <w:i/>
          <w:iCs/>
          <w:color w:val="000000"/>
          <w:lang w:eastAsia="bg-BG"/>
        </w:rPr>
      </w:pPr>
    </w:p>
    <w:p w14:paraId="584C7AED" w14:textId="77926365"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Други лекарствени продукти:</w:t>
      </w:r>
      <w:r w:rsidRPr="006E7B6D">
        <w:rPr>
          <w:rFonts w:eastAsia="Times New Roman" w:cs="Arial"/>
          <w:color w:val="000000"/>
          <w:lang w:eastAsia="bg-BG"/>
        </w:rPr>
        <w:t xml:space="preserve"> за проучване на потенциални фармакодинамични и фармакокинетични взаимодействия на клопидогрел и други съпътстващи лекарствени продукти, са проведени значителен брой клинични проучвания. Не са наблюдавани клинично значими фармакодинамични взаимодействия, когато клопидогрел е прилаган едновременно с атенолол, нифедипин, или с атенолол и нифедипин заедно. Фармакодинамичната активност на клопидогрел не се повлиява значително при едновременно приложение с фенобарбитал или естроген.</w:t>
      </w:r>
    </w:p>
    <w:p w14:paraId="6647CAE4" w14:textId="77777777" w:rsidR="006E7B6D" w:rsidRPr="006E7B6D" w:rsidRDefault="006E7B6D" w:rsidP="006E7B6D">
      <w:pPr>
        <w:spacing w:line="240" w:lineRule="auto"/>
        <w:rPr>
          <w:rFonts w:eastAsia="Times New Roman" w:cs="Arial"/>
          <w:color w:val="000000"/>
          <w:lang w:eastAsia="bg-BG"/>
        </w:rPr>
      </w:pPr>
    </w:p>
    <w:p w14:paraId="0914CD16" w14:textId="71946DDE" w:rsidR="006E7B6D" w:rsidRPr="006E7B6D" w:rsidRDefault="006E7B6D" w:rsidP="006E7B6D">
      <w:pPr>
        <w:spacing w:line="240" w:lineRule="auto"/>
        <w:rPr>
          <w:rFonts w:eastAsia="Times New Roman" w:cs="Arial"/>
        </w:rPr>
      </w:pPr>
      <w:r w:rsidRPr="006E7B6D">
        <w:rPr>
          <w:rFonts w:eastAsia="Times New Roman" w:cs="Arial"/>
          <w:color w:val="000000"/>
          <w:lang w:eastAsia="bg-BG"/>
        </w:rPr>
        <w:t>Фармакокинетиката на дигоксин или теофилин не се променя от едновременно прилагане на клопидогрел. Антиацидите не променят степента на абсорбция на клопидогрел.</w:t>
      </w:r>
    </w:p>
    <w:p w14:paraId="1A853FFF" w14:textId="77777777" w:rsidR="006E7B6D" w:rsidRPr="006E7B6D" w:rsidRDefault="006E7B6D" w:rsidP="006E7B6D">
      <w:pPr>
        <w:spacing w:line="240" w:lineRule="auto"/>
        <w:rPr>
          <w:rFonts w:eastAsia="Times New Roman" w:cs="Arial"/>
          <w:color w:val="000000"/>
          <w:lang w:eastAsia="bg-BG"/>
        </w:rPr>
      </w:pPr>
    </w:p>
    <w:p w14:paraId="7F20C870" w14:textId="69847B90" w:rsidR="006E7B6D" w:rsidRPr="006E7B6D" w:rsidRDefault="006E7B6D" w:rsidP="006E7B6D">
      <w:pPr>
        <w:spacing w:line="240" w:lineRule="auto"/>
        <w:rPr>
          <w:rFonts w:eastAsia="Times New Roman" w:cs="Arial"/>
          <w:color w:val="000000"/>
          <w:lang w:eastAsia="bg-BG"/>
        </w:rPr>
      </w:pPr>
      <w:r w:rsidRPr="006E7B6D">
        <w:rPr>
          <w:rFonts w:eastAsia="Times New Roman" w:cs="Arial"/>
          <w:color w:val="000000"/>
          <w:lang w:eastAsia="bg-BG"/>
        </w:rPr>
        <w:t xml:space="preserve">Данни от проучването </w:t>
      </w:r>
      <w:r w:rsidRPr="006E7B6D">
        <w:rPr>
          <w:rFonts w:eastAsia="Times New Roman" w:cs="Arial"/>
          <w:color w:val="000000"/>
          <w:lang w:val="en-US"/>
        </w:rPr>
        <w:t>CAPRIE</w:t>
      </w:r>
      <w:r w:rsidRPr="006E7B6D">
        <w:rPr>
          <w:rFonts w:eastAsia="Times New Roman" w:cs="Arial"/>
          <w:color w:val="000000"/>
          <w:lang w:val="ru-RU"/>
        </w:rPr>
        <w:t xml:space="preserve"> </w:t>
      </w:r>
      <w:r w:rsidRPr="006E7B6D">
        <w:rPr>
          <w:rFonts w:eastAsia="Times New Roman" w:cs="Arial"/>
          <w:color w:val="000000"/>
          <w:lang w:eastAsia="bg-BG"/>
        </w:rPr>
        <w:t xml:space="preserve">показват, че фенитоин и толбутамид, които се метаболизират от </w:t>
      </w:r>
    </w:p>
    <w:p w14:paraId="7E0C898C" w14:textId="55BDB2E2" w:rsidR="006E7B6D" w:rsidRPr="006E7B6D" w:rsidRDefault="006E7B6D" w:rsidP="006E7B6D">
      <w:pPr>
        <w:spacing w:line="240" w:lineRule="auto"/>
        <w:rPr>
          <w:rFonts w:eastAsia="Times New Roman" w:cs="Arial"/>
        </w:rPr>
      </w:pP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9, </w:t>
      </w:r>
      <w:r w:rsidRPr="006E7B6D">
        <w:rPr>
          <w:rFonts w:eastAsia="Times New Roman" w:cs="Arial"/>
          <w:color w:val="000000"/>
          <w:lang w:eastAsia="bg-BG"/>
        </w:rPr>
        <w:t>безопасно могат да се прилагат едновременно с клопидогрел.</w:t>
      </w:r>
    </w:p>
    <w:p w14:paraId="3FDD92A7" w14:textId="77777777" w:rsidR="006E7B6D" w:rsidRPr="006E7B6D" w:rsidRDefault="006E7B6D" w:rsidP="006E7B6D">
      <w:pPr>
        <w:spacing w:line="240" w:lineRule="auto"/>
        <w:rPr>
          <w:rFonts w:eastAsia="Times New Roman" w:cs="Arial"/>
          <w:i/>
          <w:iCs/>
          <w:color w:val="000000"/>
          <w:lang w:eastAsia="bg-BG"/>
        </w:rPr>
      </w:pPr>
    </w:p>
    <w:p w14:paraId="4205C7C8" w14:textId="04F4D6B5" w:rsidR="006E7B6D" w:rsidRPr="006E7B6D" w:rsidRDefault="006E7B6D" w:rsidP="006E7B6D">
      <w:pPr>
        <w:spacing w:line="240" w:lineRule="auto"/>
        <w:rPr>
          <w:rFonts w:eastAsia="Times New Roman" w:cs="Arial"/>
        </w:rPr>
      </w:pPr>
      <w:r w:rsidRPr="006E7B6D">
        <w:rPr>
          <w:rFonts w:eastAsia="Times New Roman" w:cs="Arial"/>
          <w:i/>
          <w:iCs/>
          <w:color w:val="000000"/>
          <w:lang w:eastAsia="bg-BG"/>
        </w:rPr>
        <w:t xml:space="preserve">Лекарствени продукти, субстрати на </w:t>
      </w:r>
      <w:r w:rsidRPr="006E7B6D">
        <w:rPr>
          <w:rFonts w:eastAsia="Times New Roman" w:cs="Arial"/>
          <w:i/>
          <w:iCs/>
          <w:color w:val="000000"/>
          <w:lang w:val="en-US"/>
        </w:rPr>
        <w:t>CYP</w:t>
      </w:r>
      <w:r w:rsidRPr="006E7B6D">
        <w:rPr>
          <w:rFonts w:eastAsia="Times New Roman" w:cs="Arial"/>
          <w:i/>
          <w:iCs/>
          <w:color w:val="000000"/>
          <w:lang w:val="ru-RU"/>
        </w:rPr>
        <w:t>2</w:t>
      </w:r>
      <w:r w:rsidRPr="006E7B6D">
        <w:rPr>
          <w:rFonts w:eastAsia="Times New Roman" w:cs="Arial"/>
          <w:i/>
          <w:iCs/>
          <w:color w:val="000000"/>
          <w:lang w:val="en-US"/>
        </w:rPr>
        <w:t>C</w:t>
      </w:r>
      <w:r w:rsidRPr="006E7B6D">
        <w:rPr>
          <w:rFonts w:eastAsia="Times New Roman" w:cs="Arial"/>
          <w:i/>
          <w:iCs/>
          <w:color w:val="000000"/>
          <w:lang w:val="ru-RU"/>
        </w:rPr>
        <w:t>8:</w:t>
      </w:r>
      <w:r w:rsidRPr="006E7B6D">
        <w:rPr>
          <w:rFonts w:eastAsia="Times New Roman" w:cs="Arial"/>
          <w:color w:val="000000"/>
          <w:lang w:val="ru-RU"/>
        </w:rPr>
        <w:t xml:space="preserve"> </w:t>
      </w:r>
      <w:r w:rsidRPr="006E7B6D">
        <w:rPr>
          <w:rFonts w:eastAsia="Times New Roman" w:cs="Arial"/>
          <w:color w:val="000000"/>
          <w:lang w:eastAsia="bg-BG"/>
        </w:rPr>
        <w:t xml:space="preserve">показано е, че клопидогрел повишава експозицията на репаглинид при здрави доброволци. </w:t>
      </w:r>
      <w:r w:rsidRPr="006E7B6D">
        <w:rPr>
          <w:rFonts w:eastAsia="Times New Roman" w:cs="Arial"/>
          <w:i/>
          <w:iCs/>
          <w:color w:val="000000"/>
          <w:lang w:val="en-US"/>
        </w:rPr>
        <w:t>In</w:t>
      </w:r>
      <w:r w:rsidRPr="006E7B6D">
        <w:rPr>
          <w:rFonts w:eastAsia="Times New Roman" w:cs="Arial"/>
          <w:i/>
          <w:iCs/>
          <w:color w:val="000000"/>
          <w:lang w:val="ru-RU"/>
        </w:rPr>
        <w:t xml:space="preserve"> </w:t>
      </w:r>
      <w:r w:rsidRPr="006E7B6D">
        <w:rPr>
          <w:rFonts w:eastAsia="Times New Roman" w:cs="Arial"/>
          <w:i/>
          <w:iCs/>
          <w:color w:val="000000"/>
          <w:lang w:val="en-US"/>
        </w:rPr>
        <w:t>vitro</w:t>
      </w:r>
      <w:r w:rsidRPr="006E7B6D">
        <w:rPr>
          <w:rFonts w:eastAsia="Times New Roman" w:cs="Arial"/>
          <w:color w:val="000000"/>
          <w:lang w:val="ru-RU"/>
        </w:rPr>
        <w:t xml:space="preserve"> </w:t>
      </w:r>
      <w:r w:rsidRPr="006E7B6D">
        <w:rPr>
          <w:rFonts w:eastAsia="Times New Roman" w:cs="Arial"/>
          <w:color w:val="000000"/>
          <w:lang w:eastAsia="bg-BG"/>
        </w:rPr>
        <w:t xml:space="preserve">проучвания показват, че повишаването на експозицията на репаглинид се дължи на инхибиране на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8 </w:t>
      </w:r>
      <w:r w:rsidRPr="006E7B6D">
        <w:rPr>
          <w:rFonts w:eastAsia="Times New Roman" w:cs="Arial"/>
          <w:color w:val="000000"/>
          <w:lang w:eastAsia="bg-BG"/>
        </w:rPr>
        <w:t xml:space="preserve">от глюкуроновия метаболит на клопидогрел. Поради риска от повишаване на плазмените концентрации, едновременното приложение на клопидогрел и лекарства, които се елиминират предимно чрез </w:t>
      </w:r>
      <w:r w:rsidRPr="006E7B6D">
        <w:rPr>
          <w:rFonts w:eastAsia="Times New Roman" w:cs="Arial"/>
          <w:color w:val="000000"/>
          <w:lang w:val="en-US"/>
        </w:rPr>
        <w:t>CYP</w:t>
      </w:r>
      <w:r w:rsidRPr="006E7B6D">
        <w:rPr>
          <w:rFonts w:eastAsia="Times New Roman" w:cs="Arial"/>
          <w:color w:val="000000"/>
          <w:lang w:val="ru-RU"/>
        </w:rPr>
        <w:t>2</w:t>
      </w:r>
      <w:r w:rsidRPr="006E7B6D">
        <w:rPr>
          <w:rFonts w:eastAsia="Times New Roman" w:cs="Arial"/>
          <w:color w:val="000000"/>
          <w:lang w:val="en-US"/>
        </w:rPr>
        <w:t>C</w:t>
      </w:r>
      <w:r w:rsidRPr="006E7B6D">
        <w:rPr>
          <w:rFonts w:eastAsia="Times New Roman" w:cs="Arial"/>
          <w:color w:val="000000"/>
          <w:lang w:val="ru-RU"/>
        </w:rPr>
        <w:t xml:space="preserve">8 </w:t>
      </w:r>
      <w:r w:rsidRPr="006E7B6D">
        <w:rPr>
          <w:rFonts w:eastAsia="Times New Roman" w:cs="Arial"/>
          <w:color w:val="000000"/>
          <w:lang w:eastAsia="bg-BG"/>
        </w:rPr>
        <w:t>метаболизъм (напр. репаглинид, паклитаксел), трябва да се предприема с повишено внимание (вж. точка 4.4).</w:t>
      </w:r>
    </w:p>
    <w:p w14:paraId="4042FF1F" w14:textId="77777777" w:rsidR="006E7B6D" w:rsidRPr="006E7B6D" w:rsidRDefault="006E7B6D" w:rsidP="006E7B6D">
      <w:pPr>
        <w:rPr>
          <w:rFonts w:eastAsia="Times New Roman" w:cs="Arial"/>
          <w:color w:val="000000"/>
          <w:lang w:eastAsia="bg-BG"/>
        </w:rPr>
      </w:pPr>
    </w:p>
    <w:p w14:paraId="0BF8C2A2" w14:textId="65421D9A" w:rsidR="006E7B6D" w:rsidRPr="006E7B6D" w:rsidRDefault="006E7B6D" w:rsidP="006E7B6D">
      <w:pPr>
        <w:rPr>
          <w:rFonts w:eastAsia="Times New Roman" w:cs="Arial"/>
          <w:color w:val="000000"/>
          <w:lang w:eastAsia="bg-BG"/>
        </w:rPr>
      </w:pPr>
      <w:r w:rsidRPr="006E7B6D">
        <w:rPr>
          <w:rFonts w:eastAsia="Times New Roman" w:cs="Arial"/>
          <w:color w:val="000000"/>
          <w:lang w:eastAsia="bg-BG"/>
        </w:rPr>
        <w:lastRenderedPageBreak/>
        <w:t>Освен информацията за специфичните лекарствени взаимодействия, представена по-горе, проучвания за взаимодействия с клопидогрел и някои други лекарствени продукти, прилагани често при пациенти с атеротромботични заболявания, не са провеждани. Пациентите, участвали в клиничните изпитвания с клопидогрел обаче, са получавали голям брой съпътстващи лекарствени продукти, включващи диуретици, бета блокери, АСЕ-инхибитори, калциеви антагонисти, холестерол понижаващи средства, коронарни вазодилатори, антидиабетни</w:t>
      </w:r>
      <w:r w:rsidRPr="006E7B6D">
        <w:rPr>
          <w:rFonts w:eastAsia="Times New Roman" w:cs="Arial"/>
          <w:i/>
          <w:iCs/>
          <w:color w:val="000000"/>
          <w:lang w:eastAsia="bg-BG"/>
        </w:rPr>
        <w:t xml:space="preserve"> </w:t>
      </w:r>
      <w:r w:rsidRPr="006E7B6D">
        <w:rPr>
          <w:rFonts w:eastAsia="Times New Roman" w:cs="Arial"/>
          <w:color w:val="000000"/>
          <w:lang w:eastAsia="bg-BG"/>
        </w:rPr>
        <w:t xml:space="preserve">средства (включително инсулин), антиепилептични средства, и </w:t>
      </w:r>
      <w:r w:rsidRPr="006E7B6D">
        <w:rPr>
          <w:rFonts w:eastAsia="Times New Roman" w:cs="Arial"/>
          <w:color w:val="000000"/>
          <w:lang w:val="en-US"/>
        </w:rPr>
        <w:t>GP</w:t>
      </w:r>
      <w:r w:rsidRPr="006E7B6D">
        <w:rPr>
          <w:rFonts w:eastAsia="Times New Roman" w:cs="Arial"/>
          <w:color w:val="000000"/>
          <w:lang w:val="ru-RU"/>
        </w:rPr>
        <w:t xml:space="preserve"> </w:t>
      </w:r>
      <w:r w:rsidRPr="006E7B6D">
        <w:rPr>
          <w:rFonts w:eastAsia="Times New Roman" w:cs="Arial"/>
          <w:color w:val="000000"/>
          <w:lang w:val="en-US"/>
        </w:rPr>
        <w:t>IIb</w:t>
      </w:r>
      <w:r w:rsidRPr="006E7B6D">
        <w:rPr>
          <w:rFonts w:eastAsia="Times New Roman" w:cs="Arial"/>
          <w:color w:val="000000"/>
          <w:lang w:eastAsia="bg-BG"/>
        </w:rPr>
        <w:t>/</w:t>
      </w:r>
      <w:r w:rsidRPr="006E7B6D">
        <w:rPr>
          <w:rFonts w:eastAsia="Times New Roman" w:cs="Arial"/>
          <w:color w:val="000000"/>
          <w:lang w:val="en-US"/>
        </w:rPr>
        <w:t>III</w:t>
      </w:r>
      <w:r w:rsidRPr="006E7B6D">
        <w:rPr>
          <w:rFonts w:eastAsia="Times New Roman" w:cs="Arial"/>
          <w:color w:val="000000"/>
          <w:lang w:eastAsia="bg-BG"/>
        </w:rPr>
        <w:t>а антагинист без</w:t>
      </w:r>
      <w:r w:rsidRPr="006E7B6D">
        <w:rPr>
          <w:rFonts w:eastAsia="Times New Roman" w:cs="Arial"/>
          <w:color w:val="000000"/>
          <w:vertAlign w:val="superscript"/>
          <w:lang w:eastAsia="bg-BG"/>
        </w:rPr>
        <w:t xml:space="preserve"> </w:t>
      </w:r>
      <w:r w:rsidRPr="006E7B6D">
        <w:rPr>
          <w:rFonts w:eastAsia="Times New Roman" w:cs="Arial"/>
          <w:color w:val="000000"/>
          <w:lang w:eastAsia="bg-BG"/>
        </w:rPr>
        <w:t>доказателства за клинично значими нежелани взаимодействия.</w:t>
      </w:r>
    </w:p>
    <w:p w14:paraId="347698E1" w14:textId="44D3B3D9" w:rsidR="006E7B6D" w:rsidRPr="006E7B6D" w:rsidRDefault="006E7B6D" w:rsidP="006E7B6D">
      <w:pPr>
        <w:rPr>
          <w:rFonts w:eastAsia="Times New Roman" w:cs="Arial"/>
          <w:color w:val="000000"/>
          <w:lang w:eastAsia="bg-BG"/>
        </w:rPr>
      </w:pPr>
    </w:p>
    <w:p w14:paraId="7B6331D0"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Както и при други перорални </w:t>
      </w:r>
      <w:r w:rsidRPr="006E7B6D">
        <w:rPr>
          <w:rFonts w:eastAsia="Times New Roman" w:cs="Arial"/>
          <w:color w:val="000000"/>
          <w:lang w:val="en-US"/>
        </w:rPr>
        <w:t>P</w:t>
      </w:r>
      <w:r w:rsidRPr="006E7B6D">
        <w:rPr>
          <w:rFonts w:eastAsia="Times New Roman" w:cs="Arial"/>
          <w:color w:val="000000"/>
          <w:lang w:val="ru-RU"/>
        </w:rPr>
        <w:t>2</w:t>
      </w:r>
      <w:r w:rsidRPr="006E7B6D">
        <w:rPr>
          <w:rFonts w:eastAsia="Times New Roman" w:cs="Arial"/>
          <w:color w:val="000000"/>
          <w:lang w:val="en-US"/>
        </w:rPr>
        <w:t>Y</w:t>
      </w:r>
      <w:r w:rsidRPr="006E7B6D">
        <w:rPr>
          <w:rFonts w:eastAsia="Times New Roman" w:cs="Arial"/>
          <w:color w:val="000000"/>
          <w:lang w:val="ru-RU"/>
        </w:rPr>
        <w:t xml:space="preserve">12 </w:t>
      </w:r>
      <w:r w:rsidRPr="006E7B6D">
        <w:rPr>
          <w:rFonts w:eastAsia="Times New Roman" w:cs="Arial"/>
          <w:color w:val="000000"/>
          <w:lang w:eastAsia="bg-BG"/>
        </w:rPr>
        <w:t>инхибитори, едновременното приложение на опиоидни агонисти има потенциал да забави и намали абсорбцията на клопидогрел вероятно поради забавено изпразване на стомаха. Клиничното значение не е известно. Трябва да се обмисли употребата на парентерално антитромбоцитно средство при пациенти с остър коронарен синдром, изискващи едновременно приложение на морфин или други опиоидни агонисти.</w:t>
      </w:r>
    </w:p>
    <w:p w14:paraId="22B1B3C4" w14:textId="77777777" w:rsidR="006E7B6D" w:rsidRPr="006E7B6D" w:rsidRDefault="006E7B6D" w:rsidP="006E7B6D">
      <w:pPr>
        <w:rPr>
          <w:rFonts w:eastAsia="Times New Roman" w:cs="Arial"/>
          <w:i/>
          <w:iCs/>
          <w:color w:val="000000"/>
          <w:lang w:eastAsia="bg-BG"/>
        </w:rPr>
      </w:pPr>
    </w:p>
    <w:p w14:paraId="08A769F2" w14:textId="2B33AF2F" w:rsidR="006E7B6D" w:rsidRPr="006E7B6D" w:rsidRDefault="006E7B6D" w:rsidP="006E7B6D">
      <w:pPr>
        <w:rPr>
          <w:rFonts w:eastAsia="Times New Roman" w:cs="Arial"/>
          <w:color w:val="000000"/>
          <w:lang w:eastAsia="bg-BG"/>
        </w:rPr>
      </w:pPr>
      <w:r w:rsidRPr="006E7B6D">
        <w:rPr>
          <w:rFonts w:eastAsia="Times New Roman" w:cs="Arial"/>
          <w:i/>
          <w:iCs/>
          <w:color w:val="000000"/>
          <w:lang w:eastAsia="bg-BG"/>
        </w:rPr>
        <w:t>Розувастатин:</w:t>
      </w:r>
      <w:r w:rsidRPr="006E7B6D">
        <w:rPr>
          <w:rFonts w:eastAsia="Times New Roman" w:cs="Arial"/>
          <w:color w:val="000000"/>
          <w:lang w:eastAsia="bg-BG"/>
        </w:rPr>
        <w:t xml:space="preserve"> установено е, че клопидогрел повишава експозицията на розувастатин при пациентите 2 пъти </w:t>
      </w:r>
      <w:r w:rsidRPr="006E7B6D">
        <w:rPr>
          <w:rFonts w:eastAsia="Times New Roman" w:cs="Arial"/>
          <w:color w:val="000000"/>
        </w:rPr>
        <w:t>(</w:t>
      </w:r>
      <w:r w:rsidRPr="006E7B6D">
        <w:rPr>
          <w:rFonts w:eastAsia="Times New Roman" w:cs="Arial"/>
          <w:color w:val="000000"/>
          <w:lang w:val="en-US"/>
        </w:rPr>
        <w:t>AUC</w:t>
      </w:r>
      <w:r w:rsidRPr="006E7B6D">
        <w:rPr>
          <w:rFonts w:eastAsia="Times New Roman" w:cs="Arial"/>
          <w:color w:val="000000"/>
        </w:rPr>
        <w:t xml:space="preserve">) </w:t>
      </w:r>
      <w:r w:rsidRPr="006E7B6D">
        <w:rPr>
          <w:rFonts w:eastAsia="Times New Roman" w:cs="Arial"/>
          <w:color w:val="000000"/>
          <w:lang w:eastAsia="bg-BG"/>
        </w:rPr>
        <w:t>и 1,3 пъти (С</w:t>
      </w:r>
      <w:r w:rsidRPr="006E7B6D">
        <w:rPr>
          <w:rFonts w:eastAsia="Times New Roman" w:cs="Arial"/>
          <w:color w:val="000000"/>
          <w:vertAlign w:val="subscript"/>
          <w:lang w:val="en-US"/>
        </w:rPr>
        <w:t>max</w:t>
      </w:r>
      <w:r w:rsidRPr="006E7B6D">
        <w:rPr>
          <w:rFonts w:eastAsia="Times New Roman" w:cs="Arial"/>
          <w:color w:val="000000"/>
          <w:lang w:eastAsia="bg-BG"/>
        </w:rPr>
        <w:t xml:space="preserve">) след прилагане на доза 300 </w:t>
      </w:r>
      <w:r w:rsidRPr="006E7B6D">
        <w:rPr>
          <w:rFonts w:eastAsia="Times New Roman" w:cs="Arial"/>
          <w:color w:val="000000"/>
          <w:lang w:val="en-US"/>
        </w:rPr>
        <w:t>mg</w:t>
      </w:r>
      <w:r w:rsidRPr="006E7B6D">
        <w:rPr>
          <w:rFonts w:eastAsia="Times New Roman" w:cs="Arial"/>
          <w:color w:val="000000"/>
        </w:rPr>
        <w:t xml:space="preserve"> </w:t>
      </w:r>
      <w:r w:rsidRPr="006E7B6D">
        <w:rPr>
          <w:rFonts w:eastAsia="Times New Roman" w:cs="Arial"/>
          <w:color w:val="000000"/>
          <w:lang w:eastAsia="bg-BG"/>
        </w:rPr>
        <w:t xml:space="preserve">клопидогрел и 1,4 пъти </w:t>
      </w:r>
      <w:r w:rsidRPr="006E7B6D">
        <w:rPr>
          <w:rFonts w:eastAsia="Times New Roman" w:cs="Arial"/>
          <w:color w:val="000000"/>
        </w:rPr>
        <w:t>(</w:t>
      </w:r>
      <w:r w:rsidRPr="006E7B6D">
        <w:rPr>
          <w:rFonts w:eastAsia="Times New Roman" w:cs="Arial"/>
          <w:color w:val="000000"/>
          <w:lang w:val="en-US"/>
        </w:rPr>
        <w:t>AUC</w:t>
      </w:r>
      <w:r w:rsidRPr="006E7B6D">
        <w:rPr>
          <w:rFonts w:eastAsia="Times New Roman" w:cs="Arial"/>
          <w:color w:val="000000"/>
        </w:rPr>
        <w:t xml:space="preserve">) </w:t>
      </w:r>
      <w:r w:rsidRPr="006E7B6D">
        <w:rPr>
          <w:rFonts w:eastAsia="Times New Roman" w:cs="Arial"/>
          <w:color w:val="000000"/>
          <w:lang w:eastAsia="bg-BG"/>
        </w:rPr>
        <w:t>без ефект върху С</w:t>
      </w:r>
      <w:r w:rsidRPr="006E7B6D">
        <w:rPr>
          <w:rFonts w:eastAsia="Times New Roman" w:cs="Arial"/>
          <w:color w:val="000000"/>
          <w:vertAlign w:val="subscript"/>
          <w:lang w:val="en-US"/>
        </w:rPr>
        <w:t>max</w:t>
      </w:r>
      <w:r w:rsidRPr="006E7B6D">
        <w:rPr>
          <w:rFonts w:eastAsia="Times New Roman" w:cs="Arial"/>
          <w:color w:val="000000"/>
          <w:lang w:eastAsia="bg-BG"/>
        </w:rPr>
        <w:t xml:space="preserve"> след многократно прилагане на доза 75 </w:t>
      </w:r>
      <w:r w:rsidRPr="006E7B6D">
        <w:rPr>
          <w:rFonts w:eastAsia="Times New Roman" w:cs="Arial"/>
          <w:color w:val="000000"/>
          <w:lang w:val="en-US"/>
        </w:rPr>
        <w:t>mg</w:t>
      </w:r>
      <w:r w:rsidRPr="006E7B6D">
        <w:rPr>
          <w:rFonts w:eastAsia="Times New Roman" w:cs="Arial"/>
          <w:color w:val="000000"/>
        </w:rPr>
        <w:t xml:space="preserve"> </w:t>
      </w:r>
      <w:r w:rsidRPr="006E7B6D">
        <w:rPr>
          <w:rFonts w:eastAsia="Times New Roman" w:cs="Arial"/>
          <w:color w:val="000000"/>
          <w:lang w:eastAsia="bg-BG"/>
        </w:rPr>
        <w:t>клопидогрел.</w:t>
      </w:r>
    </w:p>
    <w:p w14:paraId="390EFD1A" w14:textId="77777777" w:rsidR="006E7B6D" w:rsidRPr="006E7B6D" w:rsidRDefault="006E7B6D" w:rsidP="006E7B6D"/>
    <w:p w14:paraId="5D9F40EA" w14:textId="6E55FFF8" w:rsidR="007122AD" w:rsidRDefault="002C50EE" w:rsidP="00936AD0">
      <w:pPr>
        <w:pStyle w:val="Heading2"/>
      </w:pPr>
      <w:r>
        <w:t>4.6. Фертилитет, бременност и кърмене</w:t>
      </w:r>
    </w:p>
    <w:p w14:paraId="7449B64A" w14:textId="4AE335FC" w:rsidR="006E7B6D" w:rsidRDefault="006E7B6D" w:rsidP="006E7B6D"/>
    <w:p w14:paraId="6CF42FAD" w14:textId="77777777" w:rsidR="006E7B6D" w:rsidRPr="006E7B6D" w:rsidRDefault="006E7B6D" w:rsidP="006E7B6D">
      <w:pPr>
        <w:pStyle w:val="Heading3"/>
        <w:rPr>
          <w:rFonts w:eastAsia="Times New Roman"/>
          <w:u w:val="single"/>
        </w:rPr>
      </w:pPr>
      <w:r w:rsidRPr="006E7B6D">
        <w:rPr>
          <w:rFonts w:eastAsia="Times New Roman"/>
          <w:u w:val="single"/>
          <w:lang w:eastAsia="bg-BG"/>
        </w:rPr>
        <w:t>Бременност</w:t>
      </w:r>
    </w:p>
    <w:p w14:paraId="6ED5E140"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Поради липса на клинични данни относно експозицията на клопидогрел по време на бременност, за предпочитане е като предпазна мярка да не се използва клопидогрел по време на бременност.</w:t>
      </w:r>
    </w:p>
    <w:p w14:paraId="1E2F598D"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(вж. точка 5.3).</w:t>
      </w:r>
    </w:p>
    <w:p w14:paraId="0521788F" w14:textId="77777777" w:rsidR="006E7B6D" w:rsidRPr="006E7B6D" w:rsidRDefault="006E7B6D" w:rsidP="006E7B6D">
      <w:pPr>
        <w:spacing w:line="240" w:lineRule="auto"/>
        <w:rPr>
          <w:rFonts w:eastAsia="Times New Roman" w:cs="Arial"/>
          <w:color w:val="000000"/>
          <w:u w:val="single"/>
          <w:lang w:eastAsia="bg-BG"/>
        </w:rPr>
      </w:pPr>
    </w:p>
    <w:p w14:paraId="198B2F19" w14:textId="282095D9" w:rsidR="006E7B6D" w:rsidRPr="006E7B6D" w:rsidRDefault="006E7B6D" w:rsidP="006E7B6D">
      <w:pPr>
        <w:pStyle w:val="Heading3"/>
        <w:rPr>
          <w:rFonts w:eastAsia="Times New Roman"/>
          <w:u w:val="single"/>
        </w:rPr>
      </w:pPr>
      <w:r w:rsidRPr="006E7B6D">
        <w:rPr>
          <w:rFonts w:eastAsia="Times New Roman"/>
          <w:u w:val="single"/>
          <w:lang w:eastAsia="bg-BG"/>
        </w:rPr>
        <w:t>Кърмене</w:t>
      </w:r>
    </w:p>
    <w:p w14:paraId="0B9A8064"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Не е известно дали клопидогрел се екскретира в кърмата. Проучванията при животни показват, че клопидогрел се екскретира в млякото. Като предпазна мярка, кърменето не трябва да продължава по време на лечението с Клопидогрел Екофарм.</w:t>
      </w:r>
    </w:p>
    <w:p w14:paraId="5D3DD4FB" w14:textId="77777777" w:rsidR="006E7B6D" w:rsidRPr="006E7B6D" w:rsidRDefault="006E7B6D" w:rsidP="006E7B6D">
      <w:pPr>
        <w:spacing w:line="240" w:lineRule="auto"/>
        <w:rPr>
          <w:rFonts w:eastAsia="Times New Roman" w:cs="Arial"/>
          <w:color w:val="000000"/>
          <w:u w:val="single"/>
          <w:lang w:eastAsia="bg-BG"/>
        </w:rPr>
      </w:pPr>
    </w:p>
    <w:p w14:paraId="413C398B" w14:textId="2DD4F167" w:rsidR="006E7B6D" w:rsidRPr="006E7B6D" w:rsidRDefault="006E7B6D" w:rsidP="006E7B6D">
      <w:pPr>
        <w:pStyle w:val="Heading3"/>
        <w:rPr>
          <w:rFonts w:eastAsia="Times New Roman"/>
          <w:u w:val="single"/>
        </w:rPr>
      </w:pPr>
      <w:r w:rsidRPr="006E7B6D">
        <w:rPr>
          <w:rFonts w:eastAsia="Times New Roman"/>
          <w:u w:val="single"/>
          <w:lang w:eastAsia="bg-BG"/>
        </w:rPr>
        <w:t>Фертилитет</w:t>
      </w:r>
    </w:p>
    <w:p w14:paraId="3E7872B2"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Проучвания при животни не са показали, че клопидогрел повлиява фертилитета.</w:t>
      </w:r>
    </w:p>
    <w:p w14:paraId="099ADD31" w14:textId="77777777" w:rsidR="006E7B6D" w:rsidRPr="006E7B6D" w:rsidRDefault="006E7B6D" w:rsidP="006E7B6D"/>
    <w:p w14:paraId="5DD7A76D" w14:textId="2D0556D9" w:rsidR="007122AD" w:rsidRDefault="002C50EE" w:rsidP="00936AD0">
      <w:pPr>
        <w:pStyle w:val="Heading2"/>
      </w:pPr>
      <w:r>
        <w:t>4.7. Ефекти върху способността за шофиране и работа с машини</w:t>
      </w:r>
    </w:p>
    <w:p w14:paraId="40E191CF" w14:textId="28A376E9" w:rsidR="006E7B6D" w:rsidRDefault="006E7B6D" w:rsidP="006E7B6D"/>
    <w:p w14:paraId="1DB1B6E8" w14:textId="77777777" w:rsidR="006E7B6D" w:rsidRPr="006E7B6D" w:rsidRDefault="006E7B6D" w:rsidP="006E7B6D">
      <w:pPr>
        <w:rPr>
          <w:sz w:val="24"/>
          <w:szCs w:val="24"/>
        </w:rPr>
      </w:pPr>
      <w:r w:rsidRPr="006E7B6D">
        <w:rPr>
          <w:lang w:eastAsia="bg-BG"/>
        </w:rPr>
        <w:t>Клопидогрел не повлиява или повлиява пренебрежимо способността за шофиране и работа с машини.</w:t>
      </w:r>
    </w:p>
    <w:p w14:paraId="221591C7" w14:textId="77777777" w:rsidR="006E7B6D" w:rsidRPr="006E7B6D" w:rsidRDefault="006E7B6D" w:rsidP="006E7B6D"/>
    <w:p w14:paraId="44CE30A3" w14:textId="45C2B24E" w:rsidR="007122AD" w:rsidRDefault="002C50EE" w:rsidP="00936AD0">
      <w:pPr>
        <w:pStyle w:val="Heading2"/>
      </w:pPr>
      <w:r>
        <w:t>4.8. Нежелани лекарствени реакции</w:t>
      </w:r>
    </w:p>
    <w:p w14:paraId="593F33E0" w14:textId="68B5F489" w:rsidR="006E7B6D" w:rsidRDefault="006E7B6D" w:rsidP="006E7B6D"/>
    <w:p w14:paraId="77B332F9"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u w:val="single"/>
          <w:lang w:eastAsia="bg-BG"/>
        </w:rPr>
        <w:lastRenderedPageBreak/>
        <w:t>Обобщение на профила на безопасност</w:t>
      </w:r>
    </w:p>
    <w:p w14:paraId="30B771E5"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Безопасността на клопидогрел е била оценена при повече от 44 000 пациента, които са участвали в клинични проучвания, включващи над 12 000 пациенти, лекувани за 1 година или повече. Като цяло, клопидогрел 75 </w:t>
      </w:r>
      <w:r w:rsidRPr="006E7B6D">
        <w:rPr>
          <w:rFonts w:eastAsia="Times New Roman" w:cs="Arial"/>
          <w:color w:val="000000"/>
          <w:lang w:val="en-US"/>
        </w:rPr>
        <w:t>mg</w:t>
      </w:r>
      <w:r w:rsidRPr="006E7B6D">
        <w:rPr>
          <w:rFonts w:eastAsia="Times New Roman" w:cs="Arial"/>
          <w:color w:val="000000"/>
          <w:lang w:eastAsia="bg-BG"/>
        </w:rPr>
        <w:t xml:space="preserve">/дневно е сравним с АСК 325 </w:t>
      </w:r>
      <w:r w:rsidRPr="006E7B6D">
        <w:rPr>
          <w:rFonts w:eastAsia="Times New Roman" w:cs="Arial"/>
          <w:color w:val="000000"/>
          <w:lang w:val="en-US"/>
        </w:rPr>
        <w:t>mg</w:t>
      </w:r>
      <w:r w:rsidRPr="006E7B6D">
        <w:rPr>
          <w:rFonts w:eastAsia="Times New Roman" w:cs="Arial"/>
          <w:color w:val="000000"/>
          <w:lang w:eastAsia="bg-BG"/>
        </w:rPr>
        <w:t xml:space="preserve">/дневно в </w:t>
      </w:r>
      <w:r w:rsidRPr="006E7B6D">
        <w:rPr>
          <w:rFonts w:eastAsia="Times New Roman" w:cs="Arial"/>
          <w:color w:val="000000"/>
          <w:lang w:val="en-US"/>
        </w:rPr>
        <w:t>CAPRIE</w:t>
      </w:r>
      <w:r w:rsidRPr="006E7B6D">
        <w:rPr>
          <w:rFonts w:eastAsia="Times New Roman" w:cs="Arial"/>
          <w:color w:val="000000"/>
          <w:lang w:val="ru-RU"/>
        </w:rPr>
        <w:t xml:space="preserve"> </w:t>
      </w:r>
      <w:r w:rsidRPr="006E7B6D">
        <w:rPr>
          <w:rFonts w:eastAsia="Times New Roman" w:cs="Arial"/>
          <w:color w:val="000000"/>
          <w:lang w:eastAsia="bg-BG"/>
        </w:rPr>
        <w:t xml:space="preserve">независимо от възрастта, пола и расата. Клинично значимите нежелани лекарствени реакции наблюдавани в проучванията </w:t>
      </w:r>
      <w:r w:rsidRPr="006E7B6D">
        <w:rPr>
          <w:rFonts w:eastAsia="Times New Roman" w:cs="Arial"/>
          <w:color w:val="000000"/>
          <w:lang w:val="en-US"/>
        </w:rPr>
        <w:t>CAPRIE</w:t>
      </w:r>
      <w:r w:rsidRPr="006E7B6D">
        <w:rPr>
          <w:rFonts w:eastAsia="Times New Roman" w:cs="Arial"/>
          <w:color w:val="000000"/>
          <w:lang w:val="ru-RU"/>
        </w:rPr>
        <w:t xml:space="preserve">, </w:t>
      </w:r>
      <w:r w:rsidRPr="006E7B6D">
        <w:rPr>
          <w:rFonts w:eastAsia="Times New Roman" w:cs="Arial"/>
          <w:color w:val="000000"/>
          <w:lang w:val="en-US"/>
        </w:rPr>
        <w:t>CURE</w:t>
      </w:r>
      <w:r w:rsidRPr="006E7B6D">
        <w:rPr>
          <w:rFonts w:eastAsia="Times New Roman" w:cs="Arial"/>
          <w:color w:val="000000"/>
          <w:lang w:val="ru-RU"/>
        </w:rPr>
        <w:t xml:space="preserve">, </w:t>
      </w:r>
      <w:r w:rsidRPr="006E7B6D">
        <w:rPr>
          <w:rFonts w:eastAsia="Times New Roman" w:cs="Arial"/>
          <w:color w:val="000000"/>
          <w:lang w:val="en-US"/>
        </w:rPr>
        <w:t>CLARITY</w:t>
      </w:r>
      <w:r w:rsidRPr="006E7B6D">
        <w:rPr>
          <w:rFonts w:eastAsia="Times New Roman" w:cs="Arial"/>
          <w:color w:val="000000"/>
          <w:lang w:val="ru-RU"/>
        </w:rPr>
        <w:t xml:space="preserve">, </w:t>
      </w:r>
      <w:r w:rsidRPr="006E7B6D">
        <w:rPr>
          <w:rFonts w:eastAsia="Times New Roman" w:cs="Arial"/>
          <w:color w:val="000000"/>
          <w:lang w:val="en-US"/>
        </w:rPr>
        <w:t>COMMIT</w:t>
      </w:r>
      <w:r w:rsidRPr="006E7B6D">
        <w:rPr>
          <w:rFonts w:eastAsia="Times New Roman" w:cs="Arial"/>
          <w:color w:val="000000"/>
          <w:lang w:val="ru-RU"/>
        </w:rPr>
        <w:t xml:space="preserve"> </w:t>
      </w:r>
      <w:r w:rsidRPr="006E7B6D">
        <w:rPr>
          <w:rFonts w:eastAsia="Times New Roman" w:cs="Arial"/>
          <w:color w:val="000000"/>
          <w:lang w:eastAsia="bg-BG"/>
        </w:rPr>
        <w:t xml:space="preserve">и </w:t>
      </w:r>
      <w:r w:rsidRPr="006E7B6D">
        <w:rPr>
          <w:rFonts w:eastAsia="Times New Roman" w:cs="Arial"/>
          <w:color w:val="000000"/>
          <w:lang w:val="en-US"/>
        </w:rPr>
        <w:t>ACTIVE</w:t>
      </w:r>
      <w:r w:rsidRPr="006E7B6D">
        <w:rPr>
          <w:rFonts w:eastAsia="Times New Roman" w:cs="Arial"/>
          <w:color w:val="000000"/>
          <w:lang w:val="ru-RU"/>
        </w:rPr>
        <w:t>-</w:t>
      </w:r>
      <w:r w:rsidRPr="006E7B6D">
        <w:rPr>
          <w:rFonts w:eastAsia="Times New Roman" w:cs="Arial"/>
          <w:color w:val="000000"/>
          <w:lang w:val="en-US"/>
        </w:rPr>
        <w:t>A</w:t>
      </w:r>
      <w:r w:rsidRPr="006E7B6D">
        <w:rPr>
          <w:rFonts w:eastAsia="Times New Roman" w:cs="Arial"/>
          <w:color w:val="000000"/>
          <w:lang w:val="ru-RU"/>
        </w:rPr>
        <w:t xml:space="preserve"> </w:t>
      </w:r>
      <w:r w:rsidRPr="006E7B6D">
        <w:rPr>
          <w:rFonts w:eastAsia="Times New Roman" w:cs="Arial"/>
          <w:color w:val="000000"/>
          <w:lang w:eastAsia="bg-BG"/>
        </w:rPr>
        <w:t>са обсъдени по-долу. В допълнение към опита от клиничните проучвания, нежелани лекарствени реакции са съобщавани и спонтанно.</w:t>
      </w:r>
    </w:p>
    <w:p w14:paraId="0899265A"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Кървенето е най-често съобщаваната реакция както при клиничните проучвания, така и при постмаркетинговия опит, където е съобщавана най-често през първия месец на лечението.</w:t>
      </w:r>
    </w:p>
    <w:p w14:paraId="0A5AF8FF" w14:textId="77777777" w:rsidR="006E7B6D" w:rsidRPr="006E7B6D" w:rsidRDefault="006E7B6D" w:rsidP="006E7B6D">
      <w:pPr>
        <w:spacing w:line="240" w:lineRule="auto"/>
        <w:rPr>
          <w:rFonts w:eastAsia="Times New Roman" w:cs="Arial"/>
          <w:color w:val="000000"/>
          <w:lang w:eastAsia="bg-BG"/>
        </w:rPr>
      </w:pPr>
    </w:p>
    <w:p w14:paraId="7660FB19" w14:textId="25CB7BD9"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В </w:t>
      </w:r>
      <w:r w:rsidRPr="006E7B6D">
        <w:rPr>
          <w:rFonts w:eastAsia="Times New Roman" w:cs="Arial"/>
          <w:color w:val="000000"/>
          <w:lang w:val="en-US"/>
        </w:rPr>
        <w:t>CAPRIE</w:t>
      </w:r>
      <w:r w:rsidRPr="006E7B6D">
        <w:rPr>
          <w:rFonts w:eastAsia="Times New Roman" w:cs="Arial"/>
          <w:color w:val="000000"/>
          <w:lang w:val="ru-RU"/>
        </w:rPr>
        <w:t xml:space="preserve">, </w:t>
      </w:r>
      <w:r w:rsidRPr="006E7B6D">
        <w:rPr>
          <w:rFonts w:eastAsia="Times New Roman" w:cs="Arial"/>
          <w:color w:val="000000"/>
          <w:lang w:eastAsia="bg-BG"/>
        </w:rPr>
        <w:t>при пациенти лекувани с клопидогрел или АСК, общата честота на кървене е 9,3%. Честотата на тежките случаи е сходна при клопидогрел и АСК.</w:t>
      </w:r>
    </w:p>
    <w:p w14:paraId="73B29A04" w14:textId="77777777" w:rsidR="006E7B6D" w:rsidRPr="006E7B6D" w:rsidRDefault="006E7B6D" w:rsidP="006E7B6D">
      <w:pPr>
        <w:rPr>
          <w:rFonts w:eastAsia="Times New Roman" w:cs="Arial"/>
          <w:color w:val="000000"/>
          <w:lang w:eastAsia="bg-BG"/>
        </w:rPr>
      </w:pPr>
    </w:p>
    <w:p w14:paraId="277315A5" w14:textId="5F0EF4D9" w:rsidR="006E7B6D" w:rsidRPr="006E7B6D" w:rsidRDefault="006E7B6D" w:rsidP="006E7B6D">
      <w:pPr>
        <w:rPr>
          <w:rFonts w:eastAsia="Times New Roman" w:cs="Arial"/>
          <w:color w:val="000000"/>
          <w:lang w:eastAsia="bg-BG"/>
        </w:rPr>
      </w:pPr>
      <w:r w:rsidRPr="006E7B6D">
        <w:rPr>
          <w:rFonts w:eastAsia="Times New Roman" w:cs="Arial"/>
          <w:color w:val="000000"/>
          <w:lang w:eastAsia="bg-BG"/>
        </w:rPr>
        <w:t xml:space="preserve">В </w:t>
      </w:r>
      <w:r w:rsidRPr="006E7B6D">
        <w:rPr>
          <w:rFonts w:eastAsia="Times New Roman" w:cs="Arial"/>
          <w:color w:val="000000"/>
          <w:lang w:val="en-US"/>
        </w:rPr>
        <w:t>CURE</w:t>
      </w:r>
      <w:r w:rsidRPr="006E7B6D">
        <w:rPr>
          <w:rFonts w:eastAsia="Times New Roman" w:cs="Arial"/>
          <w:color w:val="000000"/>
          <w:lang w:val="ru-RU"/>
        </w:rPr>
        <w:t xml:space="preserve"> </w:t>
      </w:r>
      <w:r w:rsidRPr="006E7B6D">
        <w:rPr>
          <w:rFonts w:eastAsia="Times New Roman" w:cs="Arial"/>
          <w:color w:val="000000"/>
          <w:lang w:eastAsia="bg-BG"/>
        </w:rPr>
        <w:t>не е наблюдаван по-голям брой на случаи на масивно кървене с клопидогрел плюс</w:t>
      </w:r>
      <w:r w:rsidRPr="006E7B6D">
        <w:rPr>
          <w:rFonts w:eastAsia="Times New Roman" w:cs="Arial"/>
          <w:color w:val="000000"/>
          <w:u w:val="single"/>
          <w:lang w:eastAsia="bg-BG"/>
        </w:rPr>
        <w:t xml:space="preserve"> </w:t>
      </w:r>
      <w:r w:rsidRPr="006E7B6D">
        <w:rPr>
          <w:rFonts w:eastAsia="Times New Roman" w:cs="Arial"/>
          <w:color w:val="000000"/>
          <w:lang w:eastAsia="bg-BG"/>
        </w:rPr>
        <w:t>АСК през първите 7 дни след коронарен байпас при пациенти, които са спрели терапията повече от пет дни преди операцията. При пациенти, останали на терапия в продължение на 5 дни след коронарния байпас, честотата на случаите е била 9,6% за клопидогрел плюс АСК, и 6,3% за плацебо плюс АСК.</w:t>
      </w:r>
    </w:p>
    <w:p w14:paraId="5BD41B19" w14:textId="732067FE" w:rsidR="006E7B6D" w:rsidRPr="006E7B6D" w:rsidRDefault="006E7B6D" w:rsidP="006E7B6D">
      <w:pPr>
        <w:rPr>
          <w:rFonts w:eastAsia="Times New Roman" w:cs="Arial"/>
          <w:color w:val="000000"/>
          <w:lang w:eastAsia="bg-BG"/>
        </w:rPr>
      </w:pPr>
    </w:p>
    <w:p w14:paraId="1F259E95"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val="en-US"/>
        </w:rPr>
        <w:t>B</w:t>
      </w:r>
      <w:r w:rsidRPr="006E7B6D">
        <w:rPr>
          <w:rFonts w:eastAsia="Times New Roman" w:cs="Arial"/>
          <w:color w:val="000000"/>
          <w:lang w:val="ru-RU"/>
        </w:rPr>
        <w:t xml:space="preserve"> </w:t>
      </w:r>
      <w:r w:rsidRPr="006E7B6D">
        <w:rPr>
          <w:rFonts w:eastAsia="Times New Roman" w:cs="Arial"/>
          <w:color w:val="000000"/>
          <w:lang w:val="en-US"/>
        </w:rPr>
        <w:t>CLARITY</w:t>
      </w:r>
      <w:r w:rsidRPr="006E7B6D">
        <w:rPr>
          <w:rFonts w:eastAsia="Times New Roman" w:cs="Arial"/>
          <w:color w:val="000000"/>
          <w:lang w:val="ru-RU"/>
        </w:rPr>
        <w:t xml:space="preserve"> </w:t>
      </w:r>
      <w:r w:rsidRPr="006E7B6D">
        <w:rPr>
          <w:rFonts w:eastAsia="Times New Roman" w:cs="Arial"/>
          <w:color w:val="000000"/>
          <w:lang w:eastAsia="bg-BG"/>
        </w:rPr>
        <w:t>е наблюдавано общо увеличение на кървенето в групата клопидогрел плюс АСК спрямо групата на плацебо плюс АСК. Честотата на масивно кървене при групите е сходна, Това е наблюдавано и в подгрупите от пациенти, определени по характеристики на изходно ниво и вида на фибринолитичното или хепариново лечение.</w:t>
      </w:r>
    </w:p>
    <w:p w14:paraId="230798D1" w14:textId="77777777" w:rsidR="006E7B6D" w:rsidRPr="006E7B6D" w:rsidRDefault="006E7B6D" w:rsidP="006E7B6D">
      <w:pPr>
        <w:spacing w:line="240" w:lineRule="auto"/>
        <w:rPr>
          <w:rFonts w:eastAsia="Times New Roman" w:cs="Arial"/>
          <w:color w:val="000000"/>
          <w:lang w:eastAsia="bg-BG"/>
        </w:rPr>
      </w:pPr>
    </w:p>
    <w:p w14:paraId="01417494" w14:textId="6CDE30EB"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В </w:t>
      </w:r>
      <w:r w:rsidRPr="006E7B6D">
        <w:rPr>
          <w:rFonts w:eastAsia="Times New Roman" w:cs="Arial"/>
          <w:color w:val="000000"/>
          <w:lang w:val="en-US"/>
        </w:rPr>
        <w:t>COMMIT</w:t>
      </w:r>
      <w:r w:rsidRPr="006E7B6D">
        <w:rPr>
          <w:rFonts w:eastAsia="Times New Roman" w:cs="Arial"/>
          <w:color w:val="000000"/>
          <w:lang w:val="ru-RU"/>
        </w:rPr>
        <w:t xml:space="preserve">, </w:t>
      </w:r>
      <w:r w:rsidRPr="006E7B6D">
        <w:rPr>
          <w:rFonts w:eastAsia="Times New Roman" w:cs="Arial"/>
          <w:color w:val="000000"/>
          <w:lang w:eastAsia="bg-BG"/>
        </w:rPr>
        <w:t>общата честота на нецеребрално масивно кървене или церебрално кървене е ниска и сходна и при двете групи.</w:t>
      </w:r>
    </w:p>
    <w:p w14:paraId="0711E994" w14:textId="77777777" w:rsidR="006E7B6D" w:rsidRPr="006E7B6D" w:rsidRDefault="006E7B6D" w:rsidP="006E7B6D">
      <w:pPr>
        <w:spacing w:line="240" w:lineRule="auto"/>
        <w:rPr>
          <w:rFonts w:eastAsia="Times New Roman" w:cs="Arial"/>
          <w:color w:val="000000"/>
          <w:lang w:eastAsia="bg-BG"/>
        </w:rPr>
      </w:pPr>
    </w:p>
    <w:p w14:paraId="4721F8F4" w14:textId="757E3DB3"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 xml:space="preserve">В </w:t>
      </w:r>
      <w:r w:rsidRPr="006E7B6D">
        <w:rPr>
          <w:rFonts w:eastAsia="Times New Roman" w:cs="Arial"/>
          <w:color w:val="000000"/>
          <w:lang w:val="en-US"/>
        </w:rPr>
        <w:t>ACTIVE</w:t>
      </w:r>
      <w:r w:rsidRPr="006E7B6D">
        <w:rPr>
          <w:rFonts w:eastAsia="Times New Roman" w:cs="Arial"/>
          <w:color w:val="000000"/>
          <w:lang w:val="ru-RU"/>
        </w:rPr>
        <w:t>-</w:t>
      </w:r>
      <w:r w:rsidRPr="006E7B6D">
        <w:rPr>
          <w:rFonts w:eastAsia="Times New Roman" w:cs="Arial"/>
          <w:color w:val="000000"/>
          <w:lang w:val="en-US"/>
        </w:rPr>
        <w:t>A</w:t>
      </w:r>
      <w:r w:rsidRPr="006E7B6D">
        <w:rPr>
          <w:rFonts w:eastAsia="Times New Roman" w:cs="Arial"/>
          <w:color w:val="000000"/>
          <w:lang w:val="ru-RU"/>
        </w:rPr>
        <w:t xml:space="preserve"> </w:t>
      </w:r>
      <w:r w:rsidRPr="006E7B6D">
        <w:rPr>
          <w:rFonts w:eastAsia="Times New Roman" w:cs="Arial"/>
          <w:color w:val="000000"/>
          <w:lang w:eastAsia="bg-BG"/>
        </w:rPr>
        <w:t>честотата на масивно кървене е по-висока в групата на клопидогрел + АСК, отколкото в групата на плацебо + АСК (6,7% спрямо 4,3%). Масивното кървене е било главно от екстракраниален произход в двете групи (5,3% в групата на клопидогрел + АСК, 3,5% в групата на плацебо + АСК), главно от гастро-интестиналния тракт (3,5% спрямо 1,8%). Наблюдавано е прекомерно интракраниално кървене в групата на клопидогрел + АСК спрямо групата на плацебо + АСК (1,4% спрямо 0,8%, съответно). Не е наблюдавана статистически значима разлика в честотата на фатално кървене (1,1% в групата на клопидогрел + АСК и 0,7% в групата на плацебо + АСК) и хеморагичен инсулт (съответно 0,8% и 0,6%) между двете групи.</w:t>
      </w:r>
    </w:p>
    <w:p w14:paraId="3EB8E72A" w14:textId="77777777" w:rsidR="006E7B6D" w:rsidRPr="006E7B6D" w:rsidRDefault="006E7B6D" w:rsidP="006E7B6D">
      <w:pPr>
        <w:spacing w:line="240" w:lineRule="auto"/>
        <w:rPr>
          <w:rFonts w:eastAsia="Times New Roman" w:cs="Arial"/>
          <w:color w:val="000000"/>
          <w:u w:val="single"/>
          <w:lang w:eastAsia="bg-BG"/>
        </w:rPr>
      </w:pPr>
    </w:p>
    <w:p w14:paraId="7D588267" w14:textId="553A7575" w:rsidR="006E7B6D" w:rsidRPr="006E7B6D" w:rsidRDefault="006E7B6D" w:rsidP="006E7B6D">
      <w:pPr>
        <w:spacing w:line="240" w:lineRule="auto"/>
        <w:rPr>
          <w:rFonts w:eastAsia="Times New Roman" w:cs="Arial"/>
          <w:sz w:val="24"/>
          <w:szCs w:val="24"/>
        </w:rPr>
      </w:pPr>
      <w:r w:rsidRPr="006E7B6D">
        <w:rPr>
          <w:rFonts w:eastAsia="Times New Roman" w:cs="Arial"/>
          <w:color w:val="000000"/>
          <w:u w:val="single"/>
          <w:lang w:eastAsia="bg-BG"/>
        </w:rPr>
        <w:t>Табличен списък на нежеланите реакции</w:t>
      </w:r>
    </w:p>
    <w:p w14:paraId="478FA5F3" w14:textId="77777777" w:rsidR="006E7B6D" w:rsidRPr="006E7B6D" w:rsidRDefault="006E7B6D" w:rsidP="006E7B6D">
      <w:pPr>
        <w:spacing w:line="240" w:lineRule="auto"/>
        <w:rPr>
          <w:rFonts w:eastAsia="Times New Roman" w:cs="Arial"/>
          <w:sz w:val="24"/>
          <w:szCs w:val="24"/>
        </w:rPr>
      </w:pPr>
      <w:r w:rsidRPr="006E7B6D">
        <w:rPr>
          <w:rFonts w:eastAsia="Times New Roman" w:cs="Arial"/>
          <w:color w:val="000000"/>
          <w:lang w:eastAsia="bg-BG"/>
        </w:rPr>
        <w:t>Нежеланите лекарствени реакции, настъпили по време на клиничните проучвания или съобщени спонтанно, са представени по-долу. Тяхната честота е определена въз основа на следната конвенция: чести (≥1/100 до &lt;1/10); нечести (≥1/1 000 до&lt;1/100); редки (≥1/10 000 до &lt;1/1 000); много редки (&lt;1/10 000), с неизвестна честота (от наличните данни не може да бъде направена оценка). Във всеки системо-органен клас, нежеланите реакции се изброяват в низходящ ред по отношение на тяхната сериозност.</w:t>
      </w:r>
    </w:p>
    <w:p w14:paraId="3D427A47" w14:textId="7FAA61B3" w:rsidR="006E7B6D" w:rsidRDefault="006E7B6D" w:rsidP="006E7B6D"/>
    <w:tbl>
      <w:tblPr>
        <w:tblStyle w:val="TableGrid"/>
        <w:tblW w:w="0" w:type="auto"/>
        <w:tblLook w:val="04A0" w:firstRow="1" w:lastRow="0" w:firstColumn="1" w:lastColumn="0" w:noHBand="0" w:noVBand="1"/>
      </w:tblPr>
      <w:tblGrid>
        <w:gridCol w:w="1824"/>
        <w:gridCol w:w="1500"/>
        <w:gridCol w:w="1871"/>
        <w:gridCol w:w="1809"/>
        <w:gridCol w:w="2346"/>
      </w:tblGrid>
      <w:tr w:rsidR="006E7B6D" w14:paraId="08D8BDD2" w14:textId="77777777" w:rsidTr="006E7B6D">
        <w:tc>
          <w:tcPr>
            <w:tcW w:w="1873" w:type="dxa"/>
          </w:tcPr>
          <w:p w14:paraId="20A39E1B" w14:textId="57312AA0" w:rsidR="006E7B6D" w:rsidRDefault="006E7B6D" w:rsidP="006E7B6D">
            <w:r>
              <w:rPr>
                <w:b/>
                <w:bCs/>
              </w:rPr>
              <w:t>Системо- органен клас</w:t>
            </w:r>
          </w:p>
        </w:tc>
        <w:tc>
          <w:tcPr>
            <w:tcW w:w="1513" w:type="dxa"/>
          </w:tcPr>
          <w:p w14:paraId="3FF5394A" w14:textId="143D26BB" w:rsidR="006E7B6D" w:rsidRDefault="006E7B6D" w:rsidP="006E7B6D">
            <w:r>
              <w:rPr>
                <w:b/>
                <w:bCs/>
              </w:rPr>
              <w:t>Чести</w:t>
            </w:r>
          </w:p>
        </w:tc>
        <w:tc>
          <w:tcPr>
            <w:tcW w:w="1921" w:type="dxa"/>
          </w:tcPr>
          <w:p w14:paraId="3DA3B0A9" w14:textId="0903A17D" w:rsidR="006E7B6D" w:rsidRDefault="006E7B6D" w:rsidP="006E7B6D">
            <w:r>
              <w:rPr>
                <w:b/>
                <w:bCs/>
              </w:rPr>
              <w:t>Нечести</w:t>
            </w:r>
          </w:p>
        </w:tc>
        <w:tc>
          <w:tcPr>
            <w:tcW w:w="1858" w:type="dxa"/>
          </w:tcPr>
          <w:p w14:paraId="4BBD28FF" w14:textId="6B56EBCF" w:rsidR="006E7B6D" w:rsidRDefault="006E7B6D" w:rsidP="006E7B6D">
            <w:r>
              <w:rPr>
                <w:b/>
                <w:bCs/>
              </w:rPr>
              <w:t>Редки</w:t>
            </w:r>
          </w:p>
        </w:tc>
        <w:tc>
          <w:tcPr>
            <w:tcW w:w="2411" w:type="dxa"/>
          </w:tcPr>
          <w:p w14:paraId="32DAA42A" w14:textId="00A15545" w:rsidR="006E7B6D" w:rsidRDefault="006E7B6D" w:rsidP="006E7B6D">
            <w:r>
              <w:rPr>
                <w:b/>
                <w:bCs/>
              </w:rPr>
              <w:t>Много редки, с неизвестна честота*</w:t>
            </w:r>
          </w:p>
        </w:tc>
      </w:tr>
      <w:tr w:rsidR="006E7B6D" w14:paraId="02EC2DB8" w14:textId="77777777" w:rsidTr="006E7B6D">
        <w:tc>
          <w:tcPr>
            <w:tcW w:w="1873" w:type="dxa"/>
          </w:tcPr>
          <w:p w14:paraId="7DF6DD9A" w14:textId="4850EF4A" w:rsidR="006E7B6D" w:rsidRDefault="006E7B6D" w:rsidP="006E7B6D">
            <w:r>
              <w:lastRenderedPageBreak/>
              <w:t>Нарушения на кръвта и лимфната система</w:t>
            </w:r>
          </w:p>
        </w:tc>
        <w:tc>
          <w:tcPr>
            <w:tcW w:w="1513" w:type="dxa"/>
          </w:tcPr>
          <w:p w14:paraId="02A0659E" w14:textId="77777777" w:rsidR="006E7B6D" w:rsidRDefault="006E7B6D" w:rsidP="006E7B6D"/>
        </w:tc>
        <w:tc>
          <w:tcPr>
            <w:tcW w:w="1921" w:type="dxa"/>
          </w:tcPr>
          <w:p w14:paraId="5E671DDC" w14:textId="63F8BEB3" w:rsidR="006E7B6D" w:rsidRDefault="006E7B6D" w:rsidP="006E7B6D">
            <w:r>
              <w:t>Тромбоцитопен ия, левкопения, еозинофилия</w:t>
            </w:r>
          </w:p>
        </w:tc>
        <w:tc>
          <w:tcPr>
            <w:tcW w:w="1858" w:type="dxa"/>
          </w:tcPr>
          <w:p w14:paraId="34F17B5C" w14:textId="58B8D602" w:rsidR="006E7B6D" w:rsidRDefault="006E7B6D" w:rsidP="006E7B6D">
            <w:r>
              <w:t>Неутропения, включително тежка неутропения</w:t>
            </w:r>
          </w:p>
        </w:tc>
        <w:tc>
          <w:tcPr>
            <w:tcW w:w="2411" w:type="dxa"/>
          </w:tcPr>
          <w:p w14:paraId="2F163B42" w14:textId="45F6E3AB" w:rsidR="006E7B6D" w:rsidRDefault="006E7B6D" w:rsidP="006E7B6D">
            <w:r>
              <w:t>Тромботична тромбоцитопенична пурпура (ТТП) (вж. точка 4.4), апластична анемия, панцитопения, агранулоцитоза, тежка тромбоцитопения, придобита хемофилия А, гранулоцитопения, анемия</w:t>
            </w:r>
          </w:p>
        </w:tc>
      </w:tr>
      <w:tr w:rsidR="006E7B6D" w14:paraId="675F68D5" w14:textId="77777777" w:rsidTr="006E7B6D">
        <w:tc>
          <w:tcPr>
            <w:tcW w:w="1873" w:type="dxa"/>
          </w:tcPr>
          <w:p w14:paraId="39A29E0C" w14:textId="2B88E1E7" w:rsidR="006E7B6D" w:rsidRDefault="006E7B6D" w:rsidP="006E7B6D">
            <w:r>
              <w:t>Сърдечни нарушения</w:t>
            </w:r>
          </w:p>
        </w:tc>
        <w:tc>
          <w:tcPr>
            <w:tcW w:w="1513" w:type="dxa"/>
          </w:tcPr>
          <w:p w14:paraId="2E9600AA" w14:textId="77777777" w:rsidR="006E7B6D" w:rsidRDefault="006E7B6D" w:rsidP="006E7B6D"/>
        </w:tc>
        <w:tc>
          <w:tcPr>
            <w:tcW w:w="1921" w:type="dxa"/>
          </w:tcPr>
          <w:p w14:paraId="4BA43D1E" w14:textId="77777777" w:rsidR="006E7B6D" w:rsidRDefault="006E7B6D" w:rsidP="006E7B6D"/>
        </w:tc>
        <w:tc>
          <w:tcPr>
            <w:tcW w:w="1858" w:type="dxa"/>
          </w:tcPr>
          <w:p w14:paraId="76C98D0C" w14:textId="77777777" w:rsidR="006E7B6D" w:rsidRDefault="006E7B6D" w:rsidP="006E7B6D"/>
        </w:tc>
        <w:tc>
          <w:tcPr>
            <w:tcW w:w="2411" w:type="dxa"/>
          </w:tcPr>
          <w:p w14:paraId="3D4F1909" w14:textId="77777777" w:rsidR="006E7B6D" w:rsidRDefault="006E7B6D" w:rsidP="006E7B6D">
            <w:r>
              <w:t xml:space="preserve">Синдром на </w:t>
            </w:r>
            <w:r>
              <w:rPr>
                <w:lang w:val="en-US"/>
              </w:rPr>
              <w:t>Kounis</w:t>
            </w:r>
            <w:r w:rsidRPr="006E7B6D">
              <w:rPr>
                <w:lang w:val="ru-RU"/>
              </w:rPr>
              <w:t xml:space="preserve"> </w:t>
            </w:r>
            <w:r>
              <w:t>(вазоспастична алергична ангина / алергичен миокарден инфаркт) във връзка с реакция на свръхчувствителност</w:t>
            </w:r>
          </w:p>
          <w:p w14:paraId="2D350DCE" w14:textId="1E803800" w:rsidR="006E7B6D" w:rsidRDefault="006E7B6D" w:rsidP="006E7B6D">
            <w:r>
              <w:t>към клопидогрел*</w:t>
            </w:r>
          </w:p>
        </w:tc>
      </w:tr>
      <w:tr w:rsidR="006E7B6D" w14:paraId="7FD21FE9" w14:textId="77777777" w:rsidTr="006E7B6D">
        <w:tc>
          <w:tcPr>
            <w:tcW w:w="1873" w:type="dxa"/>
          </w:tcPr>
          <w:p w14:paraId="52459AC7" w14:textId="61C0538E" w:rsidR="006E7B6D" w:rsidRDefault="006E7B6D" w:rsidP="006E7B6D">
            <w:r>
              <w:t>Нарушения на имунната система</w:t>
            </w:r>
          </w:p>
        </w:tc>
        <w:tc>
          <w:tcPr>
            <w:tcW w:w="1513" w:type="dxa"/>
          </w:tcPr>
          <w:p w14:paraId="534FB79B" w14:textId="77777777" w:rsidR="006E7B6D" w:rsidRDefault="006E7B6D" w:rsidP="006E7B6D"/>
        </w:tc>
        <w:tc>
          <w:tcPr>
            <w:tcW w:w="1921" w:type="dxa"/>
          </w:tcPr>
          <w:p w14:paraId="3443A40E" w14:textId="77777777" w:rsidR="006E7B6D" w:rsidRDefault="006E7B6D" w:rsidP="006E7B6D"/>
        </w:tc>
        <w:tc>
          <w:tcPr>
            <w:tcW w:w="1858" w:type="dxa"/>
          </w:tcPr>
          <w:p w14:paraId="21F97266" w14:textId="77777777" w:rsidR="006E7B6D" w:rsidRDefault="006E7B6D" w:rsidP="006E7B6D"/>
        </w:tc>
        <w:tc>
          <w:tcPr>
            <w:tcW w:w="2411" w:type="dxa"/>
            <w:vAlign w:val="bottom"/>
          </w:tcPr>
          <w:p w14:paraId="2A5267BF" w14:textId="77777777" w:rsidR="006E7B6D" w:rsidRDefault="006E7B6D" w:rsidP="006E7B6D">
            <w:r>
              <w:t>Серумна болест, анафилактоидни реакции, кръстосано реактивна лекарствена свръхчувствителност между тиенопиридините (като тиклопидин, прасугрел) (вж. точка 4.4);</w:t>
            </w:r>
          </w:p>
          <w:p w14:paraId="79A66734" w14:textId="3662D936" w:rsidR="006E7B6D" w:rsidRDefault="006E7B6D" w:rsidP="006E7B6D">
            <w:r>
              <w:t xml:space="preserve">инсулин автоимунен синдром, който може да доведе до тежка хипогликемия, особено при пациенти с </w:t>
            </w:r>
            <w:r>
              <w:rPr>
                <w:lang w:val="en-US"/>
              </w:rPr>
              <w:t>HLA</w:t>
            </w:r>
            <w:r w:rsidRPr="006E7B6D">
              <w:rPr>
                <w:lang w:val="ru-RU"/>
              </w:rPr>
              <w:t xml:space="preserve"> </w:t>
            </w:r>
            <w:r>
              <w:rPr>
                <w:lang w:val="en-US"/>
              </w:rPr>
              <w:t>DRA</w:t>
            </w:r>
            <w:r w:rsidRPr="006E7B6D">
              <w:rPr>
                <w:lang w:val="ru-RU"/>
              </w:rPr>
              <w:t xml:space="preserve">4 </w:t>
            </w:r>
            <w:r>
              <w:t>подтип (по</w:t>
            </w:r>
            <w:r>
              <w:softHyphen/>
              <w:t>чест при японската популация)*</w:t>
            </w:r>
          </w:p>
        </w:tc>
      </w:tr>
      <w:tr w:rsidR="006E7B6D" w14:paraId="2CCEBD26" w14:textId="77777777" w:rsidTr="006E7B6D">
        <w:tc>
          <w:tcPr>
            <w:tcW w:w="1873" w:type="dxa"/>
            <w:vAlign w:val="bottom"/>
          </w:tcPr>
          <w:p w14:paraId="3B1F2EBF" w14:textId="0933C9C2" w:rsidR="006E7B6D" w:rsidRDefault="006E7B6D" w:rsidP="006E7B6D">
            <w:r>
              <w:t>Психични нарушения</w:t>
            </w:r>
          </w:p>
        </w:tc>
        <w:tc>
          <w:tcPr>
            <w:tcW w:w="1513" w:type="dxa"/>
          </w:tcPr>
          <w:p w14:paraId="36512E07" w14:textId="77777777" w:rsidR="006E7B6D" w:rsidRDefault="006E7B6D" w:rsidP="006E7B6D"/>
        </w:tc>
        <w:tc>
          <w:tcPr>
            <w:tcW w:w="1921" w:type="dxa"/>
          </w:tcPr>
          <w:p w14:paraId="635F97CF" w14:textId="77777777" w:rsidR="006E7B6D" w:rsidRDefault="006E7B6D" w:rsidP="006E7B6D"/>
        </w:tc>
        <w:tc>
          <w:tcPr>
            <w:tcW w:w="1858" w:type="dxa"/>
          </w:tcPr>
          <w:p w14:paraId="654FD529" w14:textId="77777777" w:rsidR="006E7B6D" w:rsidRDefault="006E7B6D" w:rsidP="006E7B6D"/>
        </w:tc>
        <w:tc>
          <w:tcPr>
            <w:tcW w:w="2411" w:type="dxa"/>
            <w:vAlign w:val="bottom"/>
          </w:tcPr>
          <w:p w14:paraId="42B1747D" w14:textId="22CFC27D" w:rsidR="006E7B6D" w:rsidRDefault="006E7B6D" w:rsidP="006E7B6D">
            <w:r>
              <w:t>Халюцинации, обърканост</w:t>
            </w:r>
          </w:p>
        </w:tc>
      </w:tr>
      <w:tr w:rsidR="006E7B6D" w14:paraId="40FE2788" w14:textId="77777777" w:rsidTr="006E7B6D">
        <w:tc>
          <w:tcPr>
            <w:tcW w:w="1873" w:type="dxa"/>
          </w:tcPr>
          <w:p w14:paraId="123B1733" w14:textId="1764F2EE" w:rsidR="006E7B6D" w:rsidRDefault="006E7B6D" w:rsidP="006E7B6D">
            <w:r>
              <w:lastRenderedPageBreak/>
              <w:t>Нарушения на нервната система</w:t>
            </w:r>
          </w:p>
        </w:tc>
        <w:tc>
          <w:tcPr>
            <w:tcW w:w="1513" w:type="dxa"/>
          </w:tcPr>
          <w:p w14:paraId="7FF5C26F" w14:textId="77777777" w:rsidR="006E7B6D" w:rsidRDefault="006E7B6D" w:rsidP="006E7B6D"/>
        </w:tc>
        <w:tc>
          <w:tcPr>
            <w:tcW w:w="1921" w:type="dxa"/>
          </w:tcPr>
          <w:p w14:paraId="12312466" w14:textId="16C84CCF" w:rsidR="006E7B6D" w:rsidRDefault="006E7B6D" w:rsidP="006E7B6D">
            <w:r>
              <w:t>Интракраниално кървене (съобщени са няколко случаи с фатален изход), главоболие, парестезия, замаяност</w:t>
            </w:r>
          </w:p>
        </w:tc>
        <w:tc>
          <w:tcPr>
            <w:tcW w:w="1858" w:type="dxa"/>
          </w:tcPr>
          <w:p w14:paraId="024E0B24" w14:textId="77777777" w:rsidR="006E7B6D" w:rsidRDefault="006E7B6D" w:rsidP="006E7B6D"/>
        </w:tc>
        <w:tc>
          <w:tcPr>
            <w:tcW w:w="2411" w:type="dxa"/>
          </w:tcPr>
          <w:p w14:paraId="070E0C65" w14:textId="1D376B75" w:rsidR="006E7B6D" w:rsidRDefault="006E7B6D" w:rsidP="006E7B6D">
            <w:r>
              <w:t>Нарушения във вкусовите възприятия, агеузия</w:t>
            </w:r>
          </w:p>
        </w:tc>
      </w:tr>
      <w:tr w:rsidR="006E7B6D" w14:paraId="29F4CBD0" w14:textId="77777777" w:rsidTr="006E7B6D">
        <w:tc>
          <w:tcPr>
            <w:tcW w:w="1873" w:type="dxa"/>
          </w:tcPr>
          <w:p w14:paraId="713F56A6" w14:textId="72221B34" w:rsidR="006E7B6D" w:rsidRDefault="006E7B6D" w:rsidP="006E7B6D">
            <w:r>
              <w:t>Нарушения на очите</w:t>
            </w:r>
          </w:p>
        </w:tc>
        <w:tc>
          <w:tcPr>
            <w:tcW w:w="1513" w:type="dxa"/>
          </w:tcPr>
          <w:p w14:paraId="25EC0F73" w14:textId="77777777" w:rsidR="006E7B6D" w:rsidRDefault="006E7B6D" w:rsidP="006E7B6D"/>
        </w:tc>
        <w:tc>
          <w:tcPr>
            <w:tcW w:w="1921" w:type="dxa"/>
          </w:tcPr>
          <w:p w14:paraId="6C196D0A" w14:textId="217A8078" w:rsidR="006E7B6D" w:rsidRDefault="006E7B6D" w:rsidP="006E7B6D">
            <w:r>
              <w:t>Кръвоизлив в очите (конюнктивата, окото, ретината)</w:t>
            </w:r>
          </w:p>
        </w:tc>
        <w:tc>
          <w:tcPr>
            <w:tcW w:w="1858" w:type="dxa"/>
          </w:tcPr>
          <w:p w14:paraId="267916AA" w14:textId="77777777" w:rsidR="006E7B6D" w:rsidRDefault="006E7B6D" w:rsidP="006E7B6D"/>
        </w:tc>
        <w:tc>
          <w:tcPr>
            <w:tcW w:w="2411" w:type="dxa"/>
          </w:tcPr>
          <w:p w14:paraId="0E673F51" w14:textId="77777777" w:rsidR="006E7B6D" w:rsidRDefault="006E7B6D" w:rsidP="006E7B6D"/>
        </w:tc>
      </w:tr>
      <w:tr w:rsidR="006E7B6D" w14:paraId="2D2D0476" w14:textId="77777777" w:rsidTr="006E7B6D">
        <w:tc>
          <w:tcPr>
            <w:tcW w:w="1873" w:type="dxa"/>
          </w:tcPr>
          <w:p w14:paraId="2F3BA5AF" w14:textId="739F48B1" w:rsidR="006E7B6D" w:rsidRDefault="006E7B6D" w:rsidP="006E7B6D">
            <w:r>
              <w:t>Нарушения на ухото и лабиринта</w:t>
            </w:r>
          </w:p>
        </w:tc>
        <w:tc>
          <w:tcPr>
            <w:tcW w:w="1513" w:type="dxa"/>
          </w:tcPr>
          <w:p w14:paraId="1E4FEA1E" w14:textId="77777777" w:rsidR="006E7B6D" w:rsidRDefault="006E7B6D" w:rsidP="006E7B6D"/>
        </w:tc>
        <w:tc>
          <w:tcPr>
            <w:tcW w:w="1921" w:type="dxa"/>
          </w:tcPr>
          <w:p w14:paraId="7AD53592" w14:textId="77777777" w:rsidR="006E7B6D" w:rsidRDefault="006E7B6D" w:rsidP="006E7B6D"/>
        </w:tc>
        <w:tc>
          <w:tcPr>
            <w:tcW w:w="1858" w:type="dxa"/>
          </w:tcPr>
          <w:p w14:paraId="6075167A" w14:textId="40B4AAFB" w:rsidR="006E7B6D" w:rsidRDefault="006E7B6D" w:rsidP="006E7B6D">
            <w:r>
              <w:t>Вертиго</w:t>
            </w:r>
          </w:p>
        </w:tc>
        <w:tc>
          <w:tcPr>
            <w:tcW w:w="2411" w:type="dxa"/>
          </w:tcPr>
          <w:p w14:paraId="06EC2AA7" w14:textId="77777777" w:rsidR="006E7B6D" w:rsidRDefault="006E7B6D" w:rsidP="006E7B6D"/>
        </w:tc>
      </w:tr>
      <w:tr w:rsidR="006E7B6D" w14:paraId="7B4E0900" w14:textId="77777777" w:rsidTr="006E7B6D">
        <w:tc>
          <w:tcPr>
            <w:tcW w:w="1873" w:type="dxa"/>
          </w:tcPr>
          <w:p w14:paraId="3310FAC2" w14:textId="6E10429C" w:rsidR="006E7B6D" w:rsidRDefault="006E7B6D" w:rsidP="006E7B6D">
            <w:r>
              <w:t>Съдови нарушения</w:t>
            </w:r>
          </w:p>
        </w:tc>
        <w:tc>
          <w:tcPr>
            <w:tcW w:w="1513" w:type="dxa"/>
          </w:tcPr>
          <w:p w14:paraId="2D70C0CA" w14:textId="00D85C4D" w:rsidR="006E7B6D" w:rsidRDefault="006E7B6D" w:rsidP="006E7B6D">
            <w:r>
              <w:t>Хематом</w:t>
            </w:r>
          </w:p>
        </w:tc>
        <w:tc>
          <w:tcPr>
            <w:tcW w:w="1921" w:type="dxa"/>
          </w:tcPr>
          <w:p w14:paraId="59A0D6D4" w14:textId="77777777" w:rsidR="006E7B6D" w:rsidRDefault="006E7B6D" w:rsidP="006E7B6D"/>
        </w:tc>
        <w:tc>
          <w:tcPr>
            <w:tcW w:w="1858" w:type="dxa"/>
          </w:tcPr>
          <w:p w14:paraId="0A5E6DDE" w14:textId="77777777" w:rsidR="006E7B6D" w:rsidRDefault="006E7B6D" w:rsidP="006E7B6D"/>
        </w:tc>
        <w:tc>
          <w:tcPr>
            <w:tcW w:w="2411" w:type="dxa"/>
          </w:tcPr>
          <w:p w14:paraId="63A991DF" w14:textId="0759B2BE" w:rsidR="006E7B6D" w:rsidRDefault="006E7B6D" w:rsidP="006E7B6D">
            <w:r>
              <w:t>Сериозна хеморагия, кървене от оперативна рана, васкулит, хипотония</w:t>
            </w:r>
          </w:p>
        </w:tc>
      </w:tr>
      <w:tr w:rsidR="006E7B6D" w14:paraId="0553C502" w14:textId="77777777" w:rsidTr="006E7B6D">
        <w:tc>
          <w:tcPr>
            <w:tcW w:w="1873" w:type="dxa"/>
          </w:tcPr>
          <w:p w14:paraId="7BBC41E7" w14:textId="172AE26B" w:rsidR="006E7B6D" w:rsidRDefault="006E7B6D" w:rsidP="006E7B6D">
            <w:r>
              <w:t>Респираторни, гръдни и медиастинални нарушения</w:t>
            </w:r>
          </w:p>
        </w:tc>
        <w:tc>
          <w:tcPr>
            <w:tcW w:w="1513" w:type="dxa"/>
          </w:tcPr>
          <w:p w14:paraId="00393355" w14:textId="633CD51C" w:rsidR="006E7B6D" w:rsidRDefault="006E7B6D" w:rsidP="006E7B6D">
            <w:r>
              <w:t>Епистаксис</w:t>
            </w:r>
          </w:p>
        </w:tc>
        <w:tc>
          <w:tcPr>
            <w:tcW w:w="1921" w:type="dxa"/>
          </w:tcPr>
          <w:p w14:paraId="2D72F376" w14:textId="77777777" w:rsidR="006E7B6D" w:rsidRDefault="006E7B6D" w:rsidP="006E7B6D"/>
        </w:tc>
        <w:tc>
          <w:tcPr>
            <w:tcW w:w="1858" w:type="dxa"/>
          </w:tcPr>
          <w:p w14:paraId="2DF2B675" w14:textId="77777777" w:rsidR="006E7B6D" w:rsidRDefault="006E7B6D" w:rsidP="006E7B6D"/>
        </w:tc>
        <w:tc>
          <w:tcPr>
            <w:tcW w:w="2411" w:type="dxa"/>
          </w:tcPr>
          <w:p w14:paraId="2FC87824" w14:textId="77777777" w:rsidR="006E7B6D" w:rsidRDefault="006E7B6D" w:rsidP="006E7B6D">
            <w:r>
              <w:t>Кръвоизливи в дихателната система, (хемоптиза, белодробна хеморагия),</w:t>
            </w:r>
          </w:p>
          <w:p w14:paraId="38B5BA85" w14:textId="77777777" w:rsidR="006E7B6D" w:rsidRDefault="006E7B6D" w:rsidP="006E7B6D">
            <w:r>
              <w:t>бронхоспазъм,</w:t>
            </w:r>
          </w:p>
          <w:p w14:paraId="2EC1580F" w14:textId="77777777" w:rsidR="006E7B6D" w:rsidRDefault="006E7B6D" w:rsidP="006E7B6D">
            <w:r>
              <w:t>интерстициален</w:t>
            </w:r>
          </w:p>
          <w:p w14:paraId="4A5C05D3" w14:textId="77777777" w:rsidR="006E7B6D" w:rsidRDefault="006E7B6D" w:rsidP="006E7B6D">
            <w:r>
              <w:t>пневмонит,</w:t>
            </w:r>
          </w:p>
          <w:p w14:paraId="47584957" w14:textId="77777777" w:rsidR="006E7B6D" w:rsidRDefault="006E7B6D" w:rsidP="006E7B6D">
            <w:r>
              <w:t>еозинофилна</w:t>
            </w:r>
          </w:p>
          <w:p w14:paraId="534E7E65" w14:textId="210278B5" w:rsidR="006E7B6D" w:rsidRDefault="006E7B6D" w:rsidP="006E7B6D">
            <w:r>
              <w:t>пневмония</w:t>
            </w:r>
          </w:p>
        </w:tc>
      </w:tr>
      <w:tr w:rsidR="006E7B6D" w14:paraId="13FCED08" w14:textId="77777777" w:rsidTr="006E7B6D">
        <w:tc>
          <w:tcPr>
            <w:tcW w:w="1873" w:type="dxa"/>
          </w:tcPr>
          <w:p w14:paraId="79B988CF" w14:textId="2E22C754" w:rsidR="006E7B6D" w:rsidRDefault="006E7B6D" w:rsidP="006E7B6D">
            <w:r>
              <w:t>Стомашно- чревни нарушения</w:t>
            </w:r>
          </w:p>
        </w:tc>
        <w:tc>
          <w:tcPr>
            <w:tcW w:w="1513" w:type="dxa"/>
          </w:tcPr>
          <w:p w14:paraId="5DC2580C" w14:textId="0745AA80" w:rsidR="006E7B6D" w:rsidRDefault="006E7B6D" w:rsidP="006E7B6D">
            <w:r>
              <w:t>Стомашно- чревна хеморагия, диария, коремна болка, диспепсия</w:t>
            </w:r>
          </w:p>
        </w:tc>
        <w:tc>
          <w:tcPr>
            <w:tcW w:w="1921" w:type="dxa"/>
          </w:tcPr>
          <w:p w14:paraId="03B89F1A" w14:textId="16AAA0D5" w:rsidR="006E7B6D" w:rsidRDefault="006E7B6D" w:rsidP="006E7B6D">
            <w:r>
              <w:t>Стомашна язва и дуоденална язва, гастрит, повръщане, гадене, запек, флатуленция</w:t>
            </w:r>
          </w:p>
        </w:tc>
        <w:tc>
          <w:tcPr>
            <w:tcW w:w="1858" w:type="dxa"/>
          </w:tcPr>
          <w:p w14:paraId="5CBC5AA5" w14:textId="2AE8C4ED" w:rsidR="006E7B6D" w:rsidRDefault="006E7B6D" w:rsidP="006E7B6D">
            <w:r>
              <w:t>Ретроперитоне- ална хеморагия</w:t>
            </w:r>
          </w:p>
        </w:tc>
        <w:tc>
          <w:tcPr>
            <w:tcW w:w="2411" w:type="dxa"/>
          </w:tcPr>
          <w:p w14:paraId="40EE609B" w14:textId="3ED77EC1" w:rsidR="006E7B6D" w:rsidRDefault="006E7B6D" w:rsidP="006E7B6D">
            <w:r>
              <w:t>Стомашно-чревна и ретроперитонеална хеморагия с фатален изход, панкреатит, колит (включително язвен или лимфоцитен колит), стоматит</w:t>
            </w:r>
          </w:p>
        </w:tc>
      </w:tr>
      <w:tr w:rsidR="006E7B6D" w14:paraId="18F07149" w14:textId="77777777" w:rsidTr="006E7B6D">
        <w:tc>
          <w:tcPr>
            <w:tcW w:w="1873" w:type="dxa"/>
          </w:tcPr>
          <w:p w14:paraId="691E13C3" w14:textId="6C2696F7" w:rsidR="006E7B6D" w:rsidRDefault="006E7B6D" w:rsidP="006E7B6D">
            <w:r>
              <w:t>Хепатобилиарн и нарушения</w:t>
            </w:r>
          </w:p>
        </w:tc>
        <w:tc>
          <w:tcPr>
            <w:tcW w:w="1513" w:type="dxa"/>
          </w:tcPr>
          <w:p w14:paraId="41E90119" w14:textId="77777777" w:rsidR="006E7B6D" w:rsidRDefault="006E7B6D" w:rsidP="006E7B6D"/>
        </w:tc>
        <w:tc>
          <w:tcPr>
            <w:tcW w:w="1921" w:type="dxa"/>
          </w:tcPr>
          <w:p w14:paraId="22DBED15" w14:textId="77777777" w:rsidR="006E7B6D" w:rsidRDefault="006E7B6D" w:rsidP="006E7B6D"/>
        </w:tc>
        <w:tc>
          <w:tcPr>
            <w:tcW w:w="1858" w:type="dxa"/>
          </w:tcPr>
          <w:p w14:paraId="6A22FFAA" w14:textId="77777777" w:rsidR="006E7B6D" w:rsidRDefault="006E7B6D" w:rsidP="006E7B6D"/>
        </w:tc>
        <w:tc>
          <w:tcPr>
            <w:tcW w:w="2411" w:type="dxa"/>
          </w:tcPr>
          <w:p w14:paraId="5BB71012" w14:textId="1F7A6E4E" w:rsidR="006E7B6D" w:rsidRDefault="006E7B6D" w:rsidP="006E7B6D">
            <w:r>
              <w:t>Остра чернодробна недостатъчност, хепатит, отклонения в в чернодробните функционални тестове</w:t>
            </w:r>
          </w:p>
        </w:tc>
      </w:tr>
      <w:tr w:rsidR="006E7B6D" w14:paraId="545D48D0" w14:textId="77777777" w:rsidTr="006E7B6D">
        <w:tc>
          <w:tcPr>
            <w:tcW w:w="1873" w:type="dxa"/>
          </w:tcPr>
          <w:p w14:paraId="5B36C2D4" w14:textId="36E66175" w:rsidR="006E7B6D" w:rsidRDefault="006E7B6D" w:rsidP="006E7B6D">
            <w:r>
              <w:lastRenderedPageBreak/>
              <w:t>Нарушения на кожата и подкожната тъкан</w:t>
            </w:r>
          </w:p>
        </w:tc>
        <w:tc>
          <w:tcPr>
            <w:tcW w:w="1513" w:type="dxa"/>
          </w:tcPr>
          <w:p w14:paraId="5EDD1987" w14:textId="3F35850B" w:rsidR="006E7B6D" w:rsidRDefault="006E7B6D" w:rsidP="006E7B6D">
            <w:r>
              <w:t>Образуване на синини</w:t>
            </w:r>
          </w:p>
        </w:tc>
        <w:tc>
          <w:tcPr>
            <w:tcW w:w="1921" w:type="dxa"/>
          </w:tcPr>
          <w:p w14:paraId="63293A11" w14:textId="033DD20A" w:rsidR="006E7B6D" w:rsidRDefault="006E7B6D" w:rsidP="006E7B6D">
            <w:r>
              <w:t>Обрив, сърбеж, кожни кръвоизливи (пурпура)</w:t>
            </w:r>
          </w:p>
        </w:tc>
        <w:tc>
          <w:tcPr>
            <w:tcW w:w="1858" w:type="dxa"/>
          </w:tcPr>
          <w:p w14:paraId="3FA578D7" w14:textId="77777777" w:rsidR="006E7B6D" w:rsidRDefault="006E7B6D" w:rsidP="006E7B6D"/>
        </w:tc>
        <w:tc>
          <w:tcPr>
            <w:tcW w:w="2411" w:type="dxa"/>
          </w:tcPr>
          <w:p w14:paraId="4A19A1B4" w14:textId="75AF7158" w:rsidR="006E7B6D" w:rsidRDefault="006E7B6D" w:rsidP="006E7B6D">
            <w:r>
              <w:t xml:space="preserve">Булозен дерматит (токсична епидермална некролиза, синдром на </w:t>
            </w:r>
            <w:r>
              <w:rPr>
                <w:lang w:val="en-US"/>
              </w:rPr>
              <w:t>Stevens</w:t>
            </w:r>
            <w:r w:rsidRPr="006E7B6D">
              <w:t>-</w:t>
            </w:r>
            <w:r>
              <w:rPr>
                <w:lang w:val="en-US"/>
              </w:rPr>
              <w:t>Johnson</w:t>
            </w:r>
            <w:r w:rsidRPr="006E7B6D">
              <w:t xml:space="preserve">, </w:t>
            </w:r>
            <w:r>
              <w:t xml:space="preserve">еритема мултиформе, остра генерализирана екзантематозна пустулоза </w:t>
            </w:r>
            <w:r w:rsidRPr="006E7B6D">
              <w:t>(</w:t>
            </w:r>
            <w:r>
              <w:rPr>
                <w:lang w:val="en-US"/>
              </w:rPr>
              <w:t>AGEP</w:t>
            </w:r>
            <w:r w:rsidRPr="006E7B6D">
              <w:t xml:space="preserve">), </w:t>
            </w:r>
            <w:r>
              <w:t xml:space="preserve">ангиоедем, лекарствено индуциран синдром на свръхчувствител- ност, лекарствен обрив с еозинофилия и системни симптоми </w:t>
            </w:r>
            <w:r w:rsidRPr="006E7B6D">
              <w:t>(</w:t>
            </w:r>
            <w:r>
              <w:rPr>
                <w:lang w:val="en-US"/>
              </w:rPr>
              <w:t>DRESS</w:t>
            </w:r>
            <w:r w:rsidRPr="006E7B6D">
              <w:t xml:space="preserve">), </w:t>
            </w:r>
            <w:r>
              <w:t xml:space="preserve">еритематозен или ексфолиативен обрив, уртикария, екзема, </w:t>
            </w:r>
            <w:r>
              <w:rPr>
                <w:lang w:val="en-US"/>
              </w:rPr>
              <w:t>Lichen</w:t>
            </w:r>
            <w:r w:rsidRPr="006E7B6D">
              <w:t xml:space="preserve"> </w:t>
            </w:r>
            <w:r>
              <w:rPr>
                <w:lang w:val="en-US"/>
              </w:rPr>
              <w:t>planus</w:t>
            </w:r>
          </w:p>
        </w:tc>
      </w:tr>
      <w:tr w:rsidR="006E7B6D" w14:paraId="53C08A37" w14:textId="77777777" w:rsidTr="006E7B6D">
        <w:tc>
          <w:tcPr>
            <w:tcW w:w="1873" w:type="dxa"/>
          </w:tcPr>
          <w:p w14:paraId="19BF25E9" w14:textId="669C2126" w:rsidR="006E7B6D" w:rsidRDefault="006E7B6D" w:rsidP="006E7B6D">
            <w:r>
              <w:t>Нарушения на възпроизвелите лната система и гърдата</w:t>
            </w:r>
          </w:p>
        </w:tc>
        <w:tc>
          <w:tcPr>
            <w:tcW w:w="1513" w:type="dxa"/>
          </w:tcPr>
          <w:p w14:paraId="551E2705" w14:textId="77777777" w:rsidR="006E7B6D" w:rsidRDefault="006E7B6D" w:rsidP="006E7B6D"/>
        </w:tc>
        <w:tc>
          <w:tcPr>
            <w:tcW w:w="1921" w:type="dxa"/>
          </w:tcPr>
          <w:p w14:paraId="00CBE0AF" w14:textId="77777777" w:rsidR="006E7B6D" w:rsidRDefault="006E7B6D" w:rsidP="006E7B6D"/>
        </w:tc>
        <w:tc>
          <w:tcPr>
            <w:tcW w:w="1858" w:type="dxa"/>
          </w:tcPr>
          <w:p w14:paraId="28774256" w14:textId="0EB09A08" w:rsidR="006E7B6D" w:rsidRDefault="006E7B6D" w:rsidP="006E7B6D">
            <w:r>
              <w:t>Гинекомастия</w:t>
            </w:r>
          </w:p>
        </w:tc>
        <w:tc>
          <w:tcPr>
            <w:tcW w:w="2411" w:type="dxa"/>
          </w:tcPr>
          <w:p w14:paraId="0238AFE5" w14:textId="77777777" w:rsidR="006E7B6D" w:rsidRDefault="006E7B6D" w:rsidP="006E7B6D"/>
        </w:tc>
      </w:tr>
      <w:tr w:rsidR="006E7B6D" w14:paraId="757F50B4" w14:textId="77777777" w:rsidTr="006E7B6D">
        <w:tc>
          <w:tcPr>
            <w:tcW w:w="1873" w:type="dxa"/>
          </w:tcPr>
          <w:p w14:paraId="1C835403" w14:textId="2811D59D" w:rsidR="006E7B6D" w:rsidRDefault="006E7B6D" w:rsidP="006E7B6D">
            <w:r>
              <w:t>Нарушения на мускулно- скелетната система и съединителна та тъкан</w:t>
            </w:r>
          </w:p>
        </w:tc>
        <w:tc>
          <w:tcPr>
            <w:tcW w:w="1513" w:type="dxa"/>
          </w:tcPr>
          <w:p w14:paraId="753AB8B9" w14:textId="77777777" w:rsidR="006E7B6D" w:rsidRDefault="006E7B6D" w:rsidP="006E7B6D"/>
        </w:tc>
        <w:tc>
          <w:tcPr>
            <w:tcW w:w="1921" w:type="dxa"/>
          </w:tcPr>
          <w:p w14:paraId="68CD95E7" w14:textId="77777777" w:rsidR="006E7B6D" w:rsidRDefault="006E7B6D" w:rsidP="006E7B6D"/>
        </w:tc>
        <w:tc>
          <w:tcPr>
            <w:tcW w:w="1858" w:type="dxa"/>
          </w:tcPr>
          <w:p w14:paraId="31FCB322" w14:textId="77777777" w:rsidR="006E7B6D" w:rsidRDefault="006E7B6D" w:rsidP="006E7B6D"/>
        </w:tc>
        <w:tc>
          <w:tcPr>
            <w:tcW w:w="2411" w:type="dxa"/>
          </w:tcPr>
          <w:p w14:paraId="4670EEA0" w14:textId="4F3C9E0F" w:rsidR="006E7B6D" w:rsidRDefault="006E7B6D" w:rsidP="006E7B6D">
            <w:r>
              <w:t>Кръвоизливи в мускулно-скелетната система (хемартроза), артрит, артралгия, миалгия</w:t>
            </w:r>
          </w:p>
        </w:tc>
      </w:tr>
      <w:tr w:rsidR="006E7B6D" w14:paraId="17F87F45" w14:textId="77777777" w:rsidTr="006E7B6D">
        <w:tc>
          <w:tcPr>
            <w:tcW w:w="1873" w:type="dxa"/>
          </w:tcPr>
          <w:p w14:paraId="30480EC4" w14:textId="63887DDD" w:rsidR="006E7B6D" w:rsidRDefault="006E7B6D" w:rsidP="006E7B6D">
            <w:r>
              <w:t>Нарушения на бъбреците и пикочните пътища</w:t>
            </w:r>
          </w:p>
        </w:tc>
        <w:tc>
          <w:tcPr>
            <w:tcW w:w="1513" w:type="dxa"/>
          </w:tcPr>
          <w:p w14:paraId="576B34F7" w14:textId="77777777" w:rsidR="006E7B6D" w:rsidRDefault="006E7B6D" w:rsidP="006E7B6D"/>
        </w:tc>
        <w:tc>
          <w:tcPr>
            <w:tcW w:w="1921" w:type="dxa"/>
          </w:tcPr>
          <w:p w14:paraId="46DBD7AC" w14:textId="06516E04" w:rsidR="006E7B6D" w:rsidRDefault="006E7B6D" w:rsidP="006E7B6D">
            <w:r>
              <w:t>Хематурия</w:t>
            </w:r>
          </w:p>
        </w:tc>
        <w:tc>
          <w:tcPr>
            <w:tcW w:w="1858" w:type="dxa"/>
          </w:tcPr>
          <w:p w14:paraId="7AEDC98E" w14:textId="77777777" w:rsidR="006E7B6D" w:rsidRDefault="006E7B6D" w:rsidP="006E7B6D"/>
        </w:tc>
        <w:tc>
          <w:tcPr>
            <w:tcW w:w="2411" w:type="dxa"/>
          </w:tcPr>
          <w:p w14:paraId="7CF6440D" w14:textId="77777777" w:rsidR="006E7B6D" w:rsidRDefault="006E7B6D" w:rsidP="006E7B6D">
            <w:r>
              <w:t>Гломерулонефрит,</w:t>
            </w:r>
          </w:p>
          <w:p w14:paraId="0E9D9432" w14:textId="77777777" w:rsidR="006E7B6D" w:rsidRDefault="006E7B6D" w:rsidP="006E7B6D">
            <w:r>
              <w:t>повишен креатинин в</w:t>
            </w:r>
          </w:p>
          <w:p w14:paraId="0F5A5841" w14:textId="4E4B042D" w:rsidR="006E7B6D" w:rsidRDefault="006E7B6D" w:rsidP="006E7B6D">
            <w:r>
              <w:t>кръвта</w:t>
            </w:r>
          </w:p>
        </w:tc>
      </w:tr>
      <w:tr w:rsidR="006E7B6D" w14:paraId="15692937" w14:textId="77777777" w:rsidTr="006E7B6D">
        <w:tc>
          <w:tcPr>
            <w:tcW w:w="1873" w:type="dxa"/>
          </w:tcPr>
          <w:p w14:paraId="333742BF" w14:textId="00594D6D" w:rsidR="006E7B6D" w:rsidRDefault="006E7B6D" w:rsidP="006E7B6D">
            <w:r>
              <w:t>Общи нарушения и ефекти на мястото на приложение</w:t>
            </w:r>
          </w:p>
        </w:tc>
        <w:tc>
          <w:tcPr>
            <w:tcW w:w="1513" w:type="dxa"/>
          </w:tcPr>
          <w:p w14:paraId="6A087A91" w14:textId="7CFC0DE9" w:rsidR="006E7B6D" w:rsidRDefault="006E7B6D" w:rsidP="006E7B6D">
            <w:r>
              <w:t>Кръвоизлив на мястото на инжектиране</w:t>
            </w:r>
          </w:p>
        </w:tc>
        <w:tc>
          <w:tcPr>
            <w:tcW w:w="1921" w:type="dxa"/>
          </w:tcPr>
          <w:p w14:paraId="6252FD11" w14:textId="77777777" w:rsidR="006E7B6D" w:rsidRDefault="006E7B6D" w:rsidP="006E7B6D"/>
        </w:tc>
        <w:tc>
          <w:tcPr>
            <w:tcW w:w="1858" w:type="dxa"/>
          </w:tcPr>
          <w:p w14:paraId="24C360B3" w14:textId="77777777" w:rsidR="006E7B6D" w:rsidRDefault="006E7B6D" w:rsidP="006E7B6D"/>
        </w:tc>
        <w:tc>
          <w:tcPr>
            <w:tcW w:w="2411" w:type="dxa"/>
          </w:tcPr>
          <w:p w14:paraId="76617F9A" w14:textId="6CAE9024" w:rsidR="006E7B6D" w:rsidRDefault="006E7B6D" w:rsidP="006E7B6D">
            <w:r>
              <w:t>Висока температура</w:t>
            </w:r>
          </w:p>
        </w:tc>
      </w:tr>
      <w:tr w:rsidR="006E7B6D" w14:paraId="09F8F123" w14:textId="77777777" w:rsidTr="006E7B6D">
        <w:tc>
          <w:tcPr>
            <w:tcW w:w="1873" w:type="dxa"/>
          </w:tcPr>
          <w:p w14:paraId="7E5ED69A" w14:textId="7FDC9DE6" w:rsidR="006E7B6D" w:rsidRDefault="006E7B6D" w:rsidP="006E7B6D">
            <w:r>
              <w:t>Изследвания</w:t>
            </w:r>
          </w:p>
        </w:tc>
        <w:tc>
          <w:tcPr>
            <w:tcW w:w="1513" w:type="dxa"/>
          </w:tcPr>
          <w:p w14:paraId="175BD7EB" w14:textId="77777777" w:rsidR="006E7B6D" w:rsidRDefault="006E7B6D" w:rsidP="006E7B6D"/>
        </w:tc>
        <w:tc>
          <w:tcPr>
            <w:tcW w:w="1921" w:type="dxa"/>
          </w:tcPr>
          <w:p w14:paraId="39772385" w14:textId="4DA28541" w:rsidR="006E7B6D" w:rsidRDefault="006E7B6D" w:rsidP="006E7B6D">
            <w:r>
              <w:t xml:space="preserve">Удължено време на кървене, </w:t>
            </w:r>
            <w:r>
              <w:lastRenderedPageBreak/>
              <w:t>понижен брой неутрофили, понижен брой тромбоцити</w:t>
            </w:r>
          </w:p>
        </w:tc>
        <w:tc>
          <w:tcPr>
            <w:tcW w:w="1858" w:type="dxa"/>
          </w:tcPr>
          <w:p w14:paraId="2A9A744B" w14:textId="77777777" w:rsidR="006E7B6D" w:rsidRDefault="006E7B6D" w:rsidP="006E7B6D"/>
        </w:tc>
        <w:tc>
          <w:tcPr>
            <w:tcW w:w="2411" w:type="dxa"/>
          </w:tcPr>
          <w:p w14:paraId="026C25F6" w14:textId="77777777" w:rsidR="006E7B6D" w:rsidRDefault="006E7B6D" w:rsidP="006E7B6D"/>
        </w:tc>
      </w:tr>
    </w:tbl>
    <w:p w14:paraId="467303B7" w14:textId="6EDEDC76" w:rsidR="006E7B6D" w:rsidRDefault="006E7B6D" w:rsidP="006E7B6D"/>
    <w:p w14:paraId="7BE19194"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 Данни, свързани с клопидогрел с неизвестна честота</w:t>
      </w:r>
    </w:p>
    <w:p w14:paraId="68EA857A" w14:textId="77777777" w:rsidR="006E7B6D" w:rsidRPr="006E7B6D" w:rsidRDefault="006E7B6D" w:rsidP="006E7B6D">
      <w:pPr>
        <w:spacing w:line="240" w:lineRule="auto"/>
        <w:rPr>
          <w:rFonts w:eastAsia="Times New Roman" w:cs="Arial"/>
          <w:color w:val="000000"/>
          <w:u w:val="single"/>
          <w:lang w:eastAsia="bg-BG"/>
        </w:rPr>
      </w:pPr>
    </w:p>
    <w:p w14:paraId="179AE443" w14:textId="5339BBE8" w:rsidR="006E7B6D" w:rsidRPr="006E7B6D" w:rsidRDefault="006E7B6D" w:rsidP="006E7B6D">
      <w:pPr>
        <w:spacing w:line="240" w:lineRule="auto"/>
        <w:rPr>
          <w:rFonts w:eastAsia="Times New Roman" w:cs="Arial"/>
        </w:rPr>
      </w:pPr>
      <w:r w:rsidRPr="006E7B6D">
        <w:rPr>
          <w:rFonts w:eastAsia="Times New Roman" w:cs="Arial"/>
          <w:color w:val="000000"/>
          <w:u w:val="single"/>
          <w:lang w:eastAsia="bg-BG"/>
        </w:rPr>
        <w:t>Съобщаване на подозирани нежелани реакции</w:t>
      </w:r>
    </w:p>
    <w:p w14:paraId="2C339DCE" w14:textId="77777777" w:rsidR="006E7B6D" w:rsidRPr="006E7B6D" w:rsidRDefault="006E7B6D" w:rsidP="006E7B6D">
      <w:pPr>
        <w:spacing w:line="240" w:lineRule="auto"/>
        <w:rPr>
          <w:rFonts w:eastAsia="Times New Roman" w:cs="Arial"/>
        </w:rPr>
      </w:pPr>
      <w:r w:rsidRPr="006E7B6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изисквала съобщават всяка подозирана нежелана реакция чрез Изпълнителна агенция по лекарствата, ул. „Дамян Груев” № 8, 1303 София, тел: +359 2 8903417, уебсайт: </w:t>
      </w:r>
      <w:hyperlink r:id="rId5" w:history="1">
        <w:r w:rsidRPr="006E7B6D">
          <w:rPr>
            <w:rFonts w:eastAsia="Times New Roman" w:cs="Arial"/>
            <w:color w:val="000000"/>
            <w:u w:val="single"/>
            <w:lang w:val="en-US"/>
          </w:rPr>
          <w:t>www.bda.bg</w:t>
        </w:r>
      </w:hyperlink>
      <w:r w:rsidRPr="006E7B6D">
        <w:rPr>
          <w:rFonts w:eastAsia="Times New Roman" w:cs="Arial"/>
          <w:color w:val="000000"/>
          <w:lang w:val="en-US"/>
        </w:rPr>
        <w:t>.</w:t>
      </w:r>
    </w:p>
    <w:p w14:paraId="76BC9080" w14:textId="77777777" w:rsidR="006E7B6D" w:rsidRPr="006E7B6D" w:rsidRDefault="006E7B6D" w:rsidP="006E7B6D"/>
    <w:p w14:paraId="5A87DBA3" w14:textId="15274087" w:rsidR="007122AD" w:rsidRDefault="002C50EE" w:rsidP="00936AD0">
      <w:pPr>
        <w:pStyle w:val="Heading2"/>
      </w:pPr>
      <w:r>
        <w:t>4.9. Предозиране</w:t>
      </w:r>
    </w:p>
    <w:p w14:paraId="1DE32E5F" w14:textId="2F76B640" w:rsidR="006E7B6D" w:rsidRDefault="006E7B6D" w:rsidP="006E7B6D"/>
    <w:p w14:paraId="2E2BD07D" w14:textId="77777777" w:rsidR="006E7B6D" w:rsidRPr="006E7B6D" w:rsidRDefault="006E7B6D" w:rsidP="006E7B6D">
      <w:pPr>
        <w:rPr>
          <w:sz w:val="24"/>
          <w:szCs w:val="24"/>
        </w:rPr>
      </w:pPr>
      <w:r w:rsidRPr="006E7B6D">
        <w:rPr>
          <w:lang w:eastAsia="bg-BG"/>
        </w:rPr>
        <w:t>Предозирането в резултат на приложение на клопидогрел може да доведе до удължено време на кървене и последващите усложнения от кървенето. Ако възникне кървене, трябва да се приложи подходяща терапия.</w:t>
      </w:r>
    </w:p>
    <w:p w14:paraId="61EA1D61" w14:textId="77777777" w:rsidR="006E7B6D" w:rsidRPr="006E7B6D" w:rsidRDefault="006E7B6D" w:rsidP="006E7B6D">
      <w:pPr>
        <w:rPr>
          <w:sz w:val="24"/>
          <w:szCs w:val="24"/>
        </w:rPr>
      </w:pPr>
      <w:r w:rsidRPr="006E7B6D">
        <w:rPr>
          <w:lang w:eastAsia="bg-BG"/>
        </w:rPr>
        <w:t>Не е установен антидот на фармакологичната активност на клопидогрел. Ако е необходима незабавна корекция на удълженото време на кървене, трансфузия на тромбоцитна маса може да противодейства на ефектите на клопидогрел.</w:t>
      </w:r>
    </w:p>
    <w:p w14:paraId="783A7084" w14:textId="77777777" w:rsidR="006E7B6D" w:rsidRPr="006E7B6D" w:rsidRDefault="006E7B6D" w:rsidP="006E7B6D"/>
    <w:p w14:paraId="02081B24" w14:textId="1F46E296" w:rsidR="00395555" w:rsidRPr="00395555" w:rsidRDefault="002C50EE" w:rsidP="008A6AF2">
      <w:pPr>
        <w:pStyle w:val="Heading1"/>
      </w:pPr>
      <w:r>
        <w:t>5. ФАРМАКОЛОГИЧНИ СВОЙСТВА</w:t>
      </w:r>
    </w:p>
    <w:p w14:paraId="7DE36AC8" w14:textId="6D760780" w:rsidR="00B6672E" w:rsidRDefault="002C50EE" w:rsidP="00936AD0">
      <w:pPr>
        <w:pStyle w:val="Heading2"/>
      </w:pPr>
      <w:r>
        <w:t>5.1. Фармакодинамични свойства</w:t>
      </w:r>
    </w:p>
    <w:p w14:paraId="640A9D9A" w14:textId="064D1090" w:rsidR="006E7B6D" w:rsidRDefault="006E7B6D" w:rsidP="006E7B6D"/>
    <w:p w14:paraId="642A2B3D"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Фармакотерапевтична група: инхибитори на тромбоцитната агрегация, с изключение на хепарин, АТС код: В01АС04.</w:t>
      </w:r>
    </w:p>
    <w:p w14:paraId="28E6A82A" w14:textId="77777777" w:rsidR="006E7B6D" w:rsidRPr="00C25888" w:rsidRDefault="006E7B6D" w:rsidP="006E7B6D">
      <w:pPr>
        <w:spacing w:line="240" w:lineRule="auto"/>
        <w:rPr>
          <w:rFonts w:eastAsia="Times New Roman" w:cs="Arial"/>
          <w:color w:val="000000"/>
          <w:u w:val="single"/>
          <w:lang w:eastAsia="bg-BG"/>
        </w:rPr>
      </w:pPr>
    </w:p>
    <w:p w14:paraId="40C99DAC" w14:textId="7EC00E04" w:rsidR="006E7B6D" w:rsidRPr="00C25888" w:rsidRDefault="006E7B6D" w:rsidP="006E7B6D">
      <w:pPr>
        <w:spacing w:line="240" w:lineRule="auto"/>
        <w:rPr>
          <w:rFonts w:eastAsia="Times New Roman" w:cs="Arial"/>
        </w:rPr>
      </w:pPr>
      <w:r w:rsidRPr="00C25888">
        <w:rPr>
          <w:rFonts w:eastAsia="Times New Roman" w:cs="Arial"/>
          <w:color w:val="000000"/>
          <w:u w:val="single"/>
          <w:lang w:eastAsia="bg-BG"/>
        </w:rPr>
        <w:t>Механизъм на действие</w:t>
      </w:r>
    </w:p>
    <w:p w14:paraId="11B2B983"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Клопидогрел е предлекарство, един от чийто метаболити е инхибитор на тромбоцитната агрегация. Клопидогрел трябва да бъде метаболизиран от </w:t>
      </w:r>
      <w:r w:rsidRPr="00C25888">
        <w:rPr>
          <w:rFonts w:eastAsia="Times New Roman" w:cs="Arial"/>
          <w:color w:val="000000"/>
          <w:lang w:val="en-US"/>
        </w:rPr>
        <w:t>CYP</w:t>
      </w:r>
      <w:r w:rsidRPr="00C25888">
        <w:rPr>
          <w:rFonts w:eastAsia="Times New Roman" w:cs="Arial"/>
          <w:color w:val="000000"/>
          <w:lang w:val="ru-RU"/>
        </w:rPr>
        <w:t xml:space="preserve">450 </w:t>
      </w:r>
      <w:r w:rsidRPr="00C25888">
        <w:rPr>
          <w:rFonts w:eastAsia="Times New Roman" w:cs="Arial"/>
          <w:color w:val="000000"/>
          <w:lang w:eastAsia="bg-BG"/>
        </w:rPr>
        <w:t xml:space="preserve">ензимите до получаване на активния метаболит, който инхибира тромбоцитната агрегация. Активният метаболит на клопидогрел селективно инхибира свързването на аденозин дифосфат (АДФ) към тромбоцитните му </w:t>
      </w:r>
      <w:r w:rsidRPr="00C25888">
        <w:rPr>
          <w:rFonts w:eastAsia="Times New Roman" w:cs="Arial"/>
          <w:color w:val="000000"/>
          <w:lang w:val="en-US"/>
        </w:rPr>
        <w:t>P</w:t>
      </w:r>
      <w:r w:rsidRPr="00C25888">
        <w:rPr>
          <w:rFonts w:eastAsia="Times New Roman" w:cs="Arial"/>
          <w:color w:val="000000"/>
          <w:lang w:val="ru-RU"/>
        </w:rPr>
        <w:t>2</w:t>
      </w:r>
      <w:r w:rsidRPr="00C25888">
        <w:rPr>
          <w:rFonts w:eastAsia="Times New Roman" w:cs="Arial"/>
          <w:color w:val="000000"/>
          <w:lang w:val="en-US"/>
        </w:rPr>
        <w:t>Y</w:t>
      </w:r>
      <w:r w:rsidRPr="00C25888">
        <w:rPr>
          <w:rFonts w:eastAsia="Times New Roman" w:cs="Arial"/>
          <w:color w:val="000000"/>
          <w:lang w:val="ru-RU"/>
        </w:rPr>
        <w:t xml:space="preserve">12 </w:t>
      </w:r>
      <w:r w:rsidRPr="00C25888">
        <w:rPr>
          <w:rFonts w:eastAsia="Times New Roman" w:cs="Arial"/>
          <w:color w:val="000000"/>
          <w:lang w:eastAsia="bg-BG"/>
        </w:rPr>
        <w:t>рецептори, и последващата АДФ-медиирана активация на</w:t>
      </w:r>
      <w:r w:rsidRPr="00C25888">
        <w:rPr>
          <w:rFonts w:eastAsia="Times New Roman" w:cs="Arial"/>
          <w:color w:val="000000"/>
          <w:vertAlign w:val="superscript"/>
          <w:lang w:eastAsia="bg-BG"/>
        </w:rPr>
        <w:t xml:space="preserve"> </w:t>
      </w:r>
      <w:r w:rsidRPr="00C25888">
        <w:rPr>
          <w:rFonts w:eastAsia="Times New Roman" w:cs="Arial"/>
          <w:color w:val="000000"/>
          <w:lang w:eastAsia="bg-BG"/>
        </w:rPr>
        <w:t xml:space="preserve">гликопротеин </w:t>
      </w:r>
      <w:r w:rsidRPr="00C25888">
        <w:rPr>
          <w:rFonts w:eastAsia="Times New Roman" w:cs="Arial"/>
          <w:color w:val="000000"/>
          <w:lang w:val="en-US"/>
        </w:rPr>
        <w:t>GPIIb</w:t>
      </w:r>
      <w:r w:rsidRPr="00C25888">
        <w:rPr>
          <w:rFonts w:eastAsia="Times New Roman" w:cs="Arial"/>
          <w:color w:val="000000"/>
          <w:lang w:eastAsia="bg-BG"/>
        </w:rPr>
        <w:t>/</w:t>
      </w:r>
      <w:r w:rsidRPr="00C25888">
        <w:rPr>
          <w:rFonts w:eastAsia="Times New Roman" w:cs="Arial"/>
          <w:color w:val="000000"/>
          <w:lang w:val="en-US"/>
        </w:rPr>
        <w:t>III</w:t>
      </w:r>
      <w:r w:rsidRPr="00C25888">
        <w:rPr>
          <w:rFonts w:eastAsia="Times New Roman" w:cs="Arial"/>
          <w:color w:val="000000"/>
          <w:lang w:eastAsia="bg-BG"/>
        </w:rPr>
        <w:t>а комплекса, като по този начин инхибира тромбоцитната агрегация Поради необратимото свързване, повлияните тромбоцити остават засегнати до края на своя живот (приблизително 7-10 дни) и възстановяване на нормалната тромбоцитна функция настъпва при следващото поколение тромбоцити. Тромбоцитната агрегация, предизвикана от</w:t>
      </w:r>
    </w:p>
    <w:p w14:paraId="10838AE5"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други агонисти освен АДФ също се инхибира чрез блокиране на увеличената тромбоцитната</w:t>
      </w:r>
    </w:p>
    <w:p w14:paraId="55812234" w14:textId="33CE1EB6" w:rsidR="006E7B6D" w:rsidRPr="00C25888" w:rsidRDefault="006E7B6D" w:rsidP="006E7B6D">
      <w:pPr>
        <w:rPr>
          <w:rFonts w:eastAsia="Times New Roman" w:cs="Arial"/>
          <w:color w:val="000000"/>
          <w:lang w:eastAsia="bg-BG"/>
        </w:rPr>
      </w:pPr>
      <w:r w:rsidRPr="00C25888">
        <w:rPr>
          <w:rFonts w:eastAsia="Times New Roman" w:cs="Arial"/>
          <w:color w:val="000000"/>
          <w:lang w:eastAsia="bg-BG"/>
        </w:rPr>
        <w:t>активация от освободения АДФ.</w:t>
      </w:r>
    </w:p>
    <w:p w14:paraId="057D0297" w14:textId="27D8FF7F" w:rsidR="006E7B6D" w:rsidRPr="00C25888" w:rsidRDefault="006E7B6D" w:rsidP="006E7B6D">
      <w:pPr>
        <w:rPr>
          <w:rFonts w:eastAsia="Times New Roman" w:cs="Arial"/>
          <w:color w:val="000000"/>
          <w:lang w:eastAsia="bg-BG"/>
        </w:rPr>
      </w:pPr>
    </w:p>
    <w:p w14:paraId="316E284A"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lastRenderedPageBreak/>
        <w:t xml:space="preserve">Тъй като активният метаболит се образува чрез </w:t>
      </w:r>
      <w:r w:rsidRPr="00C25888">
        <w:rPr>
          <w:rFonts w:eastAsia="Times New Roman" w:cs="Arial"/>
          <w:color w:val="000000"/>
          <w:lang w:val="en-US"/>
        </w:rPr>
        <w:t>CYP</w:t>
      </w:r>
      <w:r w:rsidRPr="00C25888">
        <w:rPr>
          <w:rFonts w:eastAsia="Times New Roman" w:cs="Arial"/>
          <w:color w:val="000000"/>
          <w:lang w:val="ru-RU"/>
        </w:rPr>
        <w:t xml:space="preserve">450 </w:t>
      </w:r>
      <w:r w:rsidRPr="00C25888">
        <w:rPr>
          <w:rFonts w:eastAsia="Times New Roman" w:cs="Arial"/>
          <w:color w:val="000000"/>
          <w:lang w:eastAsia="bg-BG"/>
        </w:rPr>
        <w:t>ензимите, някои от които са полиморфни или са обект на инхибиране от други лекарствени продукти, не всички пациенти ще имат адекватна тромбоцитна агрегация.</w:t>
      </w:r>
    </w:p>
    <w:p w14:paraId="4A5119D0" w14:textId="77777777" w:rsidR="006E7B6D" w:rsidRPr="00C25888" w:rsidRDefault="006E7B6D" w:rsidP="006E7B6D">
      <w:pPr>
        <w:spacing w:line="240" w:lineRule="auto"/>
        <w:rPr>
          <w:rFonts w:eastAsia="Times New Roman" w:cs="Arial"/>
          <w:color w:val="000000"/>
          <w:u w:val="single"/>
          <w:lang w:eastAsia="bg-BG"/>
        </w:rPr>
      </w:pPr>
    </w:p>
    <w:p w14:paraId="6A0C6D41" w14:textId="1EEB776C" w:rsidR="006E7B6D" w:rsidRPr="00C25888" w:rsidRDefault="006E7B6D" w:rsidP="006E7B6D">
      <w:pPr>
        <w:spacing w:line="240" w:lineRule="auto"/>
        <w:rPr>
          <w:rFonts w:eastAsia="Times New Roman" w:cs="Arial"/>
        </w:rPr>
      </w:pPr>
      <w:r w:rsidRPr="00C25888">
        <w:rPr>
          <w:rFonts w:eastAsia="Times New Roman" w:cs="Arial"/>
          <w:color w:val="000000"/>
          <w:u w:val="single"/>
          <w:lang w:eastAsia="bg-BG"/>
        </w:rPr>
        <w:t>Фармакодинамични ефекти</w:t>
      </w:r>
    </w:p>
    <w:p w14:paraId="79C856AA"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Многократното приложение на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дневно води до устойчиво инхибиране на АДФ- индуцираната тромбоцитна агрегация от първия ден, което прогресивно нараства и достига стационарно състояние между 3 и 7 ден. При стационарно състояние средното ниво на инхибиция, постигнато с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дневно е между 40 % и 60 %. Тромбоцитната агрегация и времето на кървене постепенно се възвръщат към изходните стойности обикновено 5 дни след прекъсването на лечението.</w:t>
      </w:r>
    </w:p>
    <w:p w14:paraId="64F0BC75" w14:textId="77777777" w:rsidR="006E7B6D" w:rsidRPr="00C25888" w:rsidRDefault="006E7B6D" w:rsidP="006E7B6D">
      <w:pPr>
        <w:spacing w:line="240" w:lineRule="auto"/>
        <w:rPr>
          <w:rFonts w:eastAsia="Times New Roman" w:cs="Arial"/>
          <w:color w:val="000000"/>
          <w:u w:val="single"/>
          <w:lang w:eastAsia="bg-BG"/>
        </w:rPr>
      </w:pPr>
    </w:p>
    <w:p w14:paraId="15B1A1DC" w14:textId="24582784" w:rsidR="006E7B6D" w:rsidRPr="00C25888" w:rsidRDefault="006E7B6D" w:rsidP="006E7B6D">
      <w:pPr>
        <w:spacing w:line="240" w:lineRule="auto"/>
        <w:rPr>
          <w:rFonts w:eastAsia="Times New Roman" w:cs="Arial"/>
        </w:rPr>
      </w:pPr>
      <w:r w:rsidRPr="00C25888">
        <w:rPr>
          <w:rFonts w:eastAsia="Times New Roman" w:cs="Arial"/>
          <w:color w:val="000000"/>
          <w:u w:val="single"/>
          <w:lang w:eastAsia="bg-BG"/>
        </w:rPr>
        <w:t>Клинична ефикасност и безопасност</w:t>
      </w:r>
    </w:p>
    <w:p w14:paraId="5A9B3030"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Безопасността и ефикасността на клопидогрел са били оценени в 7 двойно-слепи проучвания, включили над 100 000 пациенти: проучването </w:t>
      </w:r>
      <w:r w:rsidRPr="00C25888">
        <w:rPr>
          <w:rFonts w:eastAsia="Times New Roman" w:cs="Arial"/>
          <w:color w:val="000000"/>
          <w:lang w:val="en-US"/>
        </w:rPr>
        <w:t>CAPRIE</w:t>
      </w:r>
      <w:r w:rsidRPr="00C25888">
        <w:rPr>
          <w:rFonts w:eastAsia="Times New Roman" w:cs="Arial"/>
          <w:color w:val="000000"/>
          <w:lang w:val="ru-RU"/>
        </w:rPr>
        <w:t xml:space="preserve">, </w:t>
      </w:r>
      <w:r w:rsidRPr="00C25888">
        <w:rPr>
          <w:rFonts w:eastAsia="Times New Roman" w:cs="Arial"/>
          <w:color w:val="000000"/>
          <w:lang w:eastAsia="bg-BG"/>
        </w:rPr>
        <w:t xml:space="preserve">сравнение на клопидогрел и АСК и проучванията </w:t>
      </w:r>
      <w:r w:rsidRPr="00C25888">
        <w:rPr>
          <w:rFonts w:eastAsia="Times New Roman" w:cs="Arial"/>
          <w:color w:val="000000"/>
          <w:lang w:val="en-US"/>
        </w:rPr>
        <w:t>CURE</w:t>
      </w:r>
      <w:r w:rsidRPr="00C25888">
        <w:rPr>
          <w:rFonts w:eastAsia="Times New Roman" w:cs="Arial"/>
          <w:color w:val="000000"/>
          <w:lang w:val="ru-RU"/>
        </w:rPr>
        <w:t xml:space="preserve">, </w:t>
      </w:r>
      <w:r w:rsidRPr="00C25888">
        <w:rPr>
          <w:rFonts w:eastAsia="Times New Roman" w:cs="Arial"/>
          <w:color w:val="000000"/>
          <w:lang w:val="en-US"/>
        </w:rPr>
        <w:t>CLARITY</w:t>
      </w:r>
      <w:r w:rsidRPr="00C25888">
        <w:rPr>
          <w:rFonts w:eastAsia="Times New Roman" w:cs="Arial"/>
          <w:color w:val="000000"/>
          <w:lang w:val="ru-RU"/>
        </w:rPr>
        <w:t xml:space="preserve"> </w:t>
      </w:r>
      <w:r w:rsidRPr="00C25888">
        <w:rPr>
          <w:rFonts w:eastAsia="Times New Roman" w:cs="Arial"/>
          <w:color w:val="000000"/>
          <w:lang w:val="en-US"/>
        </w:rPr>
        <w:t>COMMIT</w:t>
      </w:r>
      <w:r w:rsidRPr="00C25888">
        <w:rPr>
          <w:rFonts w:eastAsia="Times New Roman" w:cs="Arial"/>
          <w:color w:val="000000"/>
          <w:lang w:val="ru-RU"/>
        </w:rPr>
        <w:t xml:space="preserve">, </w:t>
      </w:r>
      <w:r w:rsidRPr="00C25888">
        <w:rPr>
          <w:rFonts w:eastAsia="Times New Roman" w:cs="Arial"/>
          <w:color w:val="000000"/>
          <w:lang w:val="en-US"/>
        </w:rPr>
        <w:t>CHANCE</w:t>
      </w:r>
      <w:r w:rsidRPr="00C25888">
        <w:rPr>
          <w:rFonts w:eastAsia="Times New Roman" w:cs="Arial"/>
          <w:color w:val="000000"/>
          <w:lang w:val="ru-RU"/>
        </w:rPr>
        <w:t xml:space="preserve">, </w:t>
      </w:r>
      <w:r w:rsidRPr="00C25888">
        <w:rPr>
          <w:rFonts w:eastAsia="Times New Roman" w:cs="Arial"/>
          <w:color w:val="000000"/>
          <w:lang w:val="en-US"/>
        </w:rPr>
        <w:t>POINT</w:t>
      </w:r>
      <w:r w:rsidRPr="00C25888">
        <w:rPr>
          <w:rFonts w:eastAsia="Times New Roman" w:cs="Arial"/>
          <w:color w:val="000000"/>
          <w:lang w:val="ru-RU"/>
        </w:rPr>
        <w:t xml:space="preserve"> </w:t>
      </w:r>
      <w:r w:rsidRPr="00C25888">
        <w:rPr>
          <w:rFonts w:eastAsia="Times New Roman" w:cs="Arial"/>
          <w:color w:val="000000"/>
          <w:lang w:eastAsia="bg-BG"/>
        </w:rPr>
        <w:t xml:space="preserve">и </w:t>
      </w:r>
      <w:r w:rsidRPr="00C25888">
        <w:rPr>
          <w:rFonts w:eastAsia="Times New Roman" w:cs="Arial"/>
          <w:color w:val="000000"/>
          <w:lang w:val="en-US"/>
        </w:rPr>
        <w:t>ACTIVE</w:t>
      </w:r>
      <w:r w:rsidRPr="00C25888">
        <w:rPr>
          <w:rFonts w:eastAsia="Times New Roman" w:cs="Arial"/>
          <w:color w:val="000000"/>
          <w:lang w:val="ru-RU"/>
        </w:rPr>
        <w:t>-</w:t>
      </w:r>
      <w:r w:rsidRPr="00C25888">
        <w:rPr>
          <w:rFonts w:eastAsia="Times New Roman" w:cs="Arial"/>
          <w:color w:val="000000"/>
          <w:lang w:val="en-US"/>
        </w:rPr>
        <w:t>A</w:t>
      </w:r>
      <w:r w:rsidRPr="00C25888">
        <w:rPr>
          <w:rFonts w:eastAsia="Times New Roman" w:cs="Arial"/>
          <w:color w:val="000000"/>
          <w:lang w:val="ru-RU"/>
        </w:rPr>
        <w:t xml:space="preserve">, </w:t>
      </w:r>
      <w:r w:rsidRPr="00C25888">
        <w:rPr>
          <w:rFonts w:eastAsia="Times New Roman" w:cs="Arial"/>
          <w:color w:val="000000"/>
          <w:lang w:eastAsia="bg-BG"/>
        </w:rPr>
        <w:t>сравняващи клопидогрел и плацебо и двата лекарствени продукта в комбинация с АСК и друго стандартно лечение.</w:t>
      </w:r>
    </w:p>
    <w:p w14:paraId="38960B19" w14:textId="77777777" w:rsidR="006E7B6D" w:rsidRPr="00C25888" w:rsidRDefault="006E7B6D" w:rsidP="006E7B6D">
      <w:pPr>
        <w:spacing w:line="240" w:lineRule="auto"/>
        <w:rPr>
          <w:rFonts w:eastAsia="Times New Roman" w:cs="Arial"/>
          <w:i/>
          <w:iCs/>
          <w:color w:val="000000"/>
          <w:lang w:eastAsia="bg-BG"/>
        </w:rPr>
      </w:pPr>
    </w:p>
    <w:p w14:paraId="0E949548" w14:textId="027AB59D" w:rsidR="006E7B6D" w:rsidRPr="00C25888" w:rsidRDefault="006E7B6D" w:rsidP="006E7B6D">
      <w:pPr>
        <w:spacing w:line="240" w:lineRule="auto"/>
        <w:rPr>
          <w:rFonts w:eastAsia="Times New Roman" w:cs="Arial"/>
        </w:rPr>
      </w:pPr>
      <w:r w:rsidRPr="00C25888">
        <w:rPr>
          <w:rFonts w:eastAsia="Times New Roman" w:cs="Arial"/>
          <w:i/>
          <w:iCs/>
          <w:color w:val="000000"/>
          <w:lang w:eastAsia="bg-BG"/>
        </w:rPr>
        <w:t>Пресен миокарден инфаркт (</w:t>
      </w:r>
      <w:r w:rsidRPr="00C25888">
        <w:rPr>
          <w:rFonts w:eastAsia="Times New Roman" w:cs="Arial"/>
          <w:i/>
          <w:iCs/>
          <w:color w:val="000000"/>
          <w:lang w:val="en-US"/>
        </w:rPr>
        <w:t>MI</w:t>
      </w:r>
      <w:r w:rsidRPr="00C25888">
        <w:rPr>
          <w:rFonts w:eastAsia="Times New Roman" w:cs="Arial"/>
          <w:i/>
          <w:iCs/>
          <w:color w:val="000000"/>
          <w:lang w:eastAsia="bg-BG"/>
        </w:rPr>
        <w:t>), пресен мозъчен инсулт или установена периферна артериална болест</w:t>
      </w:r>
    </w:p>
    <w:p w14:paraId="4D39DDFD" w14:textId="77777777" w:rsidR="006E7B6D" w:rsidRPr="00C25888" w:rsidRDefault="006E7B6D" w:rsidP="006E7B6D">
      <w:pPr>
        <w:spacing w:line="240" w:lineRule="auto"/>
        <w:rPr>
          <w:rFonts w:eastAsia="Times New Roman" w:cs="Arial"/>
          <w:color w:val="000000"/>
          <w:lang w:eastAsia="bg-BG"/>
        </w:rPr>
      </w:pPr>
    </w:p>
    <w:p w14:paraId="752F9796" w14:textId="6F34875D"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Проучването </w:t>
      </w:r>
      <w:r w:rsidRPr="00C25888">
        <w:rPr>
          <w:rFonts w:eastAsia="Times New Roman" w:cs="Arial"/>
          <w:color w:val="000000"/>
          <w:lang w:val="en-US"/>
        </w:rPr>
        <w:t>CAPRIE</w:t>
      </w:r>
      <w:r w:rsidRPr="00C25888">
        <w:rPr>
          <w:rFonts w:eastAsia="Times New Roman" w:cs="Arial"/>
          <w:color w:val="000000"/>
          <w:lang w:val="ru-RU"/>
        </w:rPr>
        <w:t xml:space="preserve"> </w:t>
      </w:r>
      <w:r w:rsidRPr="00C25888">
        <w:rPr>
          <w:rFonts w:eastAsia="Times New Roman" w:cs="Arial"/>
          <w:color w:val="000000"/>
          <w:lang w:eastAsia="bg-BG"/>
        </w:rPr>
        <w:t xml:space="preserve">включва 19 185 пациенти с атеротромбоза манифестирана с пресен миокарден инфаркт (&lt;35 дни), пресен исхемичен инсулт (между 7 дни и 6 месеца) или доказана периферна артериална болест (ПАБ). Пациентите са рандомизирани на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дневно или на 325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АСК и са проследени от една до три години. В подгрупата с миокарден инфаркт, повечето от пациентите са получавали АСК през първите дни след острия инфаркт на миокарда.</w:t>
      </w:r>
    </w:p>
    <w:p w14:paraId="11A06E73" w14:textId="77777777" w:rsidR="006E7B6D" w:rsidRPr="00C25888" w:rsidRDefault="006E7B6D" w:rsidP="006E7B6D">
      <w:pPr>
        <w:spacing w:line="240" w:lineRule="auto"/>
        <w:rPr>
          <w:rFonts w:eastAsia="Times New Roman" w:cs="Arial"/>
          <w:color w:val="000000"/>
          <w:lang w:eastAsia="bg-BG"/>
        </w:rPr>
      </w:pPr>
    </w:p>
    <w:p w14:paraId="3DD74AAE" w14:textId="628E8C12"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Клопидогрел значително редуцира честотата на новите исхемични инциденти (комбинирана крайна точка, включваща миокарден инфаркт, исхемичен инсулт и съдова смърт) в сравнение с АСК. При проведените анализи на лечение са наблюдавани 939 инцидента в групата с клопидогрел и 1 020 в групата с АСК (редукция на относителния риск </w:t>
      </w:r>
      <w:r w:rsidRPr="00C25888">
        <w:rPr>
          <w:rFonts w:eastAsia="Times New Roman" w:cs="Arial"/>
          <w:color w:val="000000"/>
          <w:lang w:val="ru-RU"/>
        </w:rPr>
        <w:t>(</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color w:val="000000"/>
          <w:lang w:eastAsia="bg-BG"/>
        </w:rPr>
        <w:t xml:space="preserve">с 8,7 % [95 % СЕ 0,2 до 16,4]; р=0,045), което съответства за всеки 1 000 пациента лекувани две години, допълнително предотвратени исхемични инциденти при 10 пациента </w:t>
      </w:r>
      <w:r w:rsidRPr="00C25888">
        <w:rPr>
          <w:rFonts w:eastAsia="Times New Roman" w:cs="Arial"/>
          <w:color w:val="000000"/>
          <w:lang w:val="ru-RU"/>
        </w:rPr>
        <w:t>[</w:t>
      </w:r>
      <w:r w:rsidRPr="00C25888">
        <w:rPr>
          <w:rFonts w:eastAsia="Times New Roman" w:cs="Arial"/>
          <w:color w:val="000000"/>
          <w:lang w:val="en-US"/>
        </w:rPr>
        <w:t>CI</w:t>
      </w:r>
      <w:r w:rsidRPr="00C25888">
        <w:rPr>
          <w:rFonts w:eastAsia="Times New Roman" w:cs="Arial"/>
          <w:color w:val="000000"/>
          <w:lang w:val="ru-RU"/>
        </w:rPr>
        <w:t xml:space="preserve">.0 </w:t>
      </w:r>
      <w:r w:rsidRPr="00C25888">
        <w:rPr>
          <w:rFonts w:eastAsia="Times New Roman" w:cs="Arial"/>
          <w:color w:val="000000"/>
          <w:lang w:eastAsia="bg-BG"/>
        </w:rPr>
        <w:t>до 20]. Анализът на общата смъртност като вторична крайна точка не показва значителна разлика между клопидогрел (5,8 %) и АСК (6 %).</w:t>
      </w:r>
    </w:p>
    <w:p w14:paraId="45F852D5" w14:textId="77777777" w:rsidR="006E7B6D" w:rsidRPr="00C25888" w:rsidRDefault="006E7B6D" w:rsidP="006E7B6D">
      <w:pPr>
        <w:spacing w:line="240" w:lineRule="auto"/>
        <w:rPr>
          <w:rFonts w:eastAsia="Times New Roman" w:cs="Arial"/>
          <w:color w:val="000000"/>
          <w:lang w:eastAsia="bg-BG"/>
        </w:rPr>
      </w:pPr>
    </w:p>
    <w:p w14:paraId="0758D25A" w14:textId="40061FA2"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В подгрупов анализ според състоянието (миокарден инфаркт, исхемичен инсулт или ПАБ) най- благоприятен е ефекта при пациентите с ПАБ (достига се статистическа значимост при р=0,003), (особено тези, които са с анамнеза и за миокарден инфаркт) </w:t>
      </w:r>
      <w:r w:rsidRPr="00C25888">
        <w:rPr>
          <w:rFonts w:eastAsia="Times New Roman" w:cs="Arial"/>
          <w:color w:val="000000"/>
          <w:lang w:val="ru-RU"/>
        </w:rPr>
        <w:t>(</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color w:val="000000"/>
          <w:lang w:eastAsia="bg-BG"/>
        </w:rPr>
        <w:t xml:space="preserve"> 23,7 %;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8,9 до 36,2) и по-слаб (без значима разлика спрямо АСК) при пациентите с инсулт </w:t>
      </w:r>
      <w:r w:rsidRPr="00C25888">
        <w:rPr>
          <w:rFonts w:eastAsia="Times New Roman" w:cs="Arial"/>
          <w:color w:val="000000"/>
          <w:lang w:val="ru-RU"/>
        </w:rPr>
        <w:t>(</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i/>
          <w:iCs/>
          <w:color w:val="000000"/>
          <w:lang w:eastAsia="bg-BG"/>
        </w:rPr>
        <w:t xml:space="preserve"> 7,3 %;</w:t>
      </w:r>
      <w:r w:rsidRPr="00C25888">
        <w:rPr>
          <w:rFonts w:eastAsia="Times New Roman" w:cs="Arial"/>
          <w:color w:val="000000"/>
          <w:lang w:eastAsia="bg-BG"/>
        </w:rPr>
        <w:t xml:space="preserve">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- 5,7 до 18,7) [р=0,258]. При пациентите, включени поради скоро прекаран миокарден инфаркт, клопидогрел е по-малко ефективен, но без статистическа разлика спрямо АСК </w:t>
      </w:r>
      <w:r w:rsidRPr="00C25888">
        <w:rPr>
          <w:rFonts w:eastAsia="Times New Roman" w:cs="Arial"/>
          <w:color w:val="000000"/>
          <w:lang w:val="ru-RU"/>
        </w:rPr>
        <w:t>(</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color w:val="000000"/>
          <w:lang w:eastAsia="bg-BG"/>
        </w:rPr>
        <w:t>= -4 %;С1: - 22,5 до 11,7 [р=0,639]). Допълнително чрез подгруповия анализ по отношение на възрастта се установява, че ефектът от клопидогрел при пациенти над 75 години е по-слаб от този при пациентите &lt;75 години.</w:t>
      </w:r>
    </w:p>
    <w:p w14:paraId="3141D64E" w14:textId="77777777" w:rsidR="006E7B6D" w:rsidRPr="00C25888" w:rsidRDefault="006E7B6D" w:rsidP="006E7B6D">
      <w:pPr>
        <w:spacing w:line="240" w:lineRule="auto"/>
        <w:rPr>
          <w:rFonts w:eastAsia="Times New Roman" w:cs="Arial"/>
          <w:color w:val="000000"/>
          <w:lang w:eastAsia="bg-BG"/>
        </w:rPr>
      </w:pPr>
    </w:p>
    <w:p w14:paraId="758A71B4" w14:textId="76CCFE39"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Тъй като в проучването </w:t>
      </w:r>
      <w:r w:rsidRPr="00C25888">
        <w:rPr>
          <w:rFonts w:eastAsia="Times New Roman" w:cs="Arial"/>
          <w:color w:val="000000"/>
          <w:lang w:val="en-US"/>
        </w:rPr>
        <w:t>CAPRIE</w:t>
      </w:r>
      <w:r w:rsidRPr="00C25888">
        <w:rPr>
          <w:rFonts w:eastAsia="Times New Roman" w:cs="Arial"/>
          <w:color w:val="000000"/>
          <w:lang w:val="ru-RU"/>
        </w:rPr>
        <w:t xml:space="preserve"> </w:t>
      </w:r>
      <w:r w:rsidRPr="00C25888">
        <w:rPr>
          <w:rFonts w:eastAsia="Times New Roman" w:cs="Arial"/>
          <w:color w:val="000000"/>
          <w:lang w:eastAsia="bg-BG"/>
        </w:rPr>
        <w:t xml:space="preserve">не е имало възможност за оценка на ефикасността в </w:t>
      </w:r>
      <w:r w:rsidRPr="00C25888">
        <w:rPr>
          <w:rFonts w:eastAsia="Times New Roman" w:cs="Arial"/>
          <w:color w:val="000000"/>
          <w:u w:val="single"/>
          <w:lang w:eastAsia="bg-BG"/>
        </w:rPr>
        <w:t>отделн</w:t>
      </w:r>
      <w:r w:rsidRPr="00C25888">
        <w:rPr>
          <w:rFonts w:eastAsia="Times New Roman" w:cs="Arial"/>
          <w:color w:val="000000"/>
          <w:lang w:eastAsia="bg-BG"/>
        </w:rPr>
        <w:t>ите подгрупи, не е ясно дали различията в редукцията на относителния риск при</w:t>
      </w:r>
      <w:r w:rsidRPr="00C25888">
        <w:rPr>
          <w:rFonts w:eastAsia="Times New Roman" w:cs="Arial"/>
          <w:color w:val="000000"/>
          <w:lang w:val="ru-RU"/>
        </w:rPr>
        <w:t xml:space="preserve"> </w:t>
      </w:r>
      <w:r w:rsidRPr="00C25888">
        <w:rPr>
          <w:rFonts w:eastAsia="Times New Roman" w:cs="Arial"/>
          <w:color w:val="000000"/>
          <w:lang w:eastAsia="bg-BG"/>
        </w:rPr>
        <w:t>отделните състояния са реални или са случайни.</w:t>
      </w:r>
    </w:p>
    <w:p w14:paraId="437C9F2E" w14:textId="77777777" w:rsidR="006E7B6D" w:rsidRPr="00C25888" w:rsidRDefault="006E7B6D" w:rsidP="006E7B6D">
      <w:pPr>
        <w:spacing w:line="240" w:lineRule="auto"/>
        <w:rPr>
          <w:rFonts w:eastAsia="Times New Roman" w:cs="Arial"/>
          <w:i/>
          <w:iCs/>
          <w:color w:val="000000"/>
          <w:lang w:eastAsia="bg-BG"/>
        </w:rPr>
      </w:pPr>
    </w:p>
    <w:p w14:paraId="5B38EA45" w14:textId="52B9F86F" w:rsidR="006E7B6D" w:rsidRPr="00C25888" w:rsidRDefault="006E7B6D" w:rsidP="006E7B6D">
      <w:pPr>
        <w:spacing w:line="240" w:lineRule="auto"/>
        <w:rPr>
          <w:rFonts w:eastAsia="Times New Roman" w:cs="Arial"/>
        </w:rPr>
      </w:pPr>
      <w:r w:rsidRPr="00C25888">
        <w:rPr>
          <w:rFonts w:eastAsia="Times New Roman" w:cs="Arial"/>
          <w:i/>
          <w:iCs/>
          <w:color w:val="000000"/>
          <w:lang w:eastAsia="bg-BG"/>
        </w:rPr>
        <w:t>Остър коронарен синдром</w:t>
      </w:r>
    </w:p>
    <w:p w14:paraId="7BCCB1C6" w14:textId="77777777" w:rsidR="006E7B6D" w:rsidRPr="00C25888" w:rsidRDefault="006E7B6D" w:rsidP="006E7B6D">
      <w:pPr>
        <w:spacing w:line="240" w:lineRule="auto"/>
        <w:rPr>
          <w:rFonts w:eastAsia="Times New Roman" w:cs="Arial"/>
          <w:color w:val="000000"/>
          <w:lang w:eastAsia="bg-BG"/>
        </w:rPr>
      </w:pPr>
    </w:p>
    <w:p w14:paraId="0B450BCA" w14:textId="77777777" w:rsidR="006E7B6D" w:rsidRPr="00C25888" w:rsidRDefault="006E7B6D" w:rsidP="006E7B6D">
      <w:pPr>
        <w:rPr>
          <w:rFonts w:eastAsia="Times New Roman" w:cs="Arial"/>
        </w:rPr>
      </w:pPr>
      <w:r w:rsidRPr="00C25888">
        <w:rPr>
          <w:rFonts w:eastAsia="Times New Roman" w:cs="Arial"/>
          <w:color w:val="000000"/>
          <w:lang w:eastAsia="bg-BG"/>
        </w:rPr>
        <w:t xml:space="preserve">Проучването </w:t>
      </w:r>
      <w:r w:rsidRPr="00C25888">
        <w:rPr>
          <w:rFonts w:eastAsia="Times New Roman" w:cs="Arial"/>
          <w:color w:val="000000"/>
          <w:lang w:val="en-US"/>
        </w:rPr>
        <w:t>CURE</w:t>
      </w:r>
      <w:r w:rsidRPr="00C25888">
        <w:rPr>
          <w:rFonts w:eastAsia="Times New Roman" w:cs="Arial"/>
          <w:color w:val="000000"/>
          <w:lang w:val="ru-RU"/>
        </w:rPr>
        <w:t xml:space="preserve"> </w:t>
      </w:r>
      <w:r w:rsidRPr="00C25888">
        <w:rPr>
          <w:rFonts w:eastAsia="Times New Roman" w:cs="Arial"/>
          <w:color w:val="000000"/>
          <w:lang w:eastAsia="bg-BG"/>
        </w:rPr>
        <w:t xml:space="preserve">включва 12 562 пациенти с остър коронарен синдром без елевация на </w:t>
      </w:r>
      <w:r w:rsidRPr="00C25888">
        <w:rPr>
          <w:rFonts w:eastAsia="Times New Roman" w:cs="Arial"/>
          <w:color w:val="000000"/>
          <w:lang w:val="en-US"/>
        </w:rPr>
        <w:t>ST</w:t>
      </w:r>
      <w:r w:rsidRPr="00C25888">
        <w:rPr>
          <w:rFonts w:eastAsia="Times New Roman" w:cs="Arial"/>
          <w:color w:val="000000"/>
          <w:lang w:val="ru-RU"/>
        </w:rPr>
        <w:t xml:space="preserve"> </w:t>
      </w:r>
      <w:r w:rsidRPr="00C25888">
        <w:rPr>
          <w:rFonts w:eastAsia="Times New Roman" w:cs="Arial"/>
          <w:color w:val="000000"/>
          <w:lang w:eastAsia="bg-BG"/>
        </w:rPr>
        <w:t xml:space="preserve">сегмента (нестабилна стенокардия или миокарден инфаркт без </w:t>
      </w:r>
      <w:r w:rsidRPr="00C25888">
        <w:rPr>
          <w:rFonts w:eastAsia="Times New Roman" w:cs="Arial"/>
          <w:color w:val="000000"/>
          <w:lang w:val="en-US"/>
        </w:rPr>
        <w:t>Q</w:t>
      </w:r>
      <w:r w:rsidRPr="00C25888">
        <w:rPr>
          <w:rFonts w:eastAsia="Times New Roman" w:cs="Arial"/>
          <w:color w:val="000000"/>
          <w:lang w:val="ru-RU"/>
        </w:rPr>
        <w:t xml:space="preserve"> </w:t>
      </w:r>
      <w:r w:rsidRPr="00C25888">
        <w:rPr>
          <w:rFonts w:eastAsia="Times New Roman" w:cs="Arial"/>
          <w:color w:val="000000"/>
          <w:lang w:eastAsia="bg-BG"/>
        </w:rPr>
        <w:t>зъбец) и наличието в първите</w:t>
      </w:r>
      <w:r w:rsidRPr="00C25888">
        <w:rPr>
          <w:rFonts w:eastAsia="Times New Roman" w:cs="Arial"/>
          <w:color w:val="000000"/>
          <w:lang w:val="ru-RU" w:eastAsia="bg-BG"/>
        </w:rPr>
        <w:t xml:space="preserve"> </w:t>
      </w:r>
      <w:r w:rsidRPr="00C25888">
        <w:rPr>
          <w:rFonts w:eastAsia="Times New Roman" w:cs="Arial"/>
          <w:color w:val="000000"/>
          <w:lang w:eastAsia="bg-BG"/>
        </w:rPr>
        <w:t xml:space="preserve">24 часа от началото на острия епизод на гръдна болка или симптоми в резултат на исхемия. Пациентите трябва да имат ЕКГ промени, говорещи за новопоявила се исхемия или повишени сърдечни ензими или тропонин I или Т, в стойности поне два пъти по-високи от горна граница на нормата. Пациентите се рандомизират на клопидогрел (300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натоварваща доза, последвана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дневно, </w:t>
      </w:r>
      <w:r w:rsidRPr="00C25888">
        <w:rPr>
          <w:rFonts w:eastAsia="Times New Roman" w:cs="Arial"/>
          <w:color w:val="000000"/>
          <w:lang w:val="en-US"/>
        </w:rPr>
        <w:t>N</w:t>
      </w:r>
      <w:r w:rsidRPr="00C25888">
        <w:rPr>
          <w:rFonts w:eastAsia="Times New Roman" w:cs="Arial"/>
          <w:color w:val="000000"/>
          <w:lang w:val="ru-RU"/>
        </w:rPr>
        <w:t xml:space="preserve"> </w:t>
      </w:r>
      <w:r w:rsidRPr="00C25888">
        <w:rPr>
          <w:rFonts w:eastAsia="Times New Roman" w:cs="Arial"/>
          <w:color w:val="000000"/>
          <w:lang w:eastAsia="bg-BG"/>
        </w:rPr>
        <w:t xml:space="preserve">= 6 259) или плацебо </w:t>
      </w:r>
      <w:r w:rsidRPr="00C25888">
        <w:rPr>
          <w:rFonts w:eastAsia="Times New Roman" w:cs="Arial"/>
          <w:color w:val="000000"/>
          <w:lang w:val="ru-RU"/>
        </w:rPr>
        <w:t>(</w:t>
      </w:r>
      <w:r w:rsidRPr="00C25888">
        <w:rPr>
          <w:rFonts w:eastAsia="Times New Roman" w:cs="Arial"/>
          <w:color w:val="000000"/>
          <w:lang w:val="en-US"/>
        </w:rPr>
        <w:t>N</w:t>
      </w:r>
      <w:r w:rsidRPr="00C25888">
        <w:rPr>
          <w:rFonts w:eastAsia="Times New Roman" w:cs="Arial"/>
          <w:color w:val="000000"/>
          <w:lang w:val="ru-RU"/>
        </w:rPr>
        <w:t xml:space="preserve"> </w:t>
      </w:r>
      <w:r w:rsidRPr="00C25888">
        <w:rPr>
          <w:rFonts w:eastAsia="Times New Roman" w:cs="Arial"/>
          <w:color w:val="000000"/>
          <w:lang w:eastAsia="bg-BG"/>
        </w:rPr>
        <w:t xml:space="preserve">= 6 303), и двете групи в комбинация с АСК (75325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веднъж дневно) и други стандартни терапии. Пациентите са лекувани до 1 година. В проучването </w:t>
      </w:r>
      <w:r w:rsidRPr="00C25888">
        <w:rPr>
          <w:rFonts w:eastAsia="Times New Roman" w:cs="Arial"/>
          <w:color w:val="000000"/>
          <w:lang w:val="en-US"/>
        </w:rPr>
        <w:t>CURE</w:t>
      </w:r>
      <w:r w:rsidRPr="00C25888">
        <w:rPr>
          <w:rFonts w:eastAsia="Times New Roman" w:cs="Arial"/>
          <w:color w:val="000000"/>
          <w:lang w:val="ru-RU"/>
        </w:rPr>
        <w:t xml:space="preserve">, </w:t>
      </w:r>
      <w:r w:rsidRPr="00C25888">
        <w:rPr>
          <w:rFonts w:eastAsia="Times New Roman" w:cs="Arial"/>
          <w:color w:val="000000"/>
          <w:lang w:eastAsia="bg-BG"/>
        </w:rPr>
        <w:t xml:space="preserve">823 (6,6 %) пациенти получават едновременно и </w:t>
      </w:r>
      <w:r w:rsidRPr="00C25888">
        <w:rPr>
          <w:rFonts w:eastAsia="Times New Roman" w:cs="Arial"/>
          <w:color w:val="000000"/>
          <w:lang w:val="en-US"/>
        </w:rPr>
        <w:t>GPII</w:t>
      </w:r>
      <w:r w:rsidRPr="00C25888">
        <w:rPr>
          <w:rFonts w:eastAsia="Times New Roman" w:cs="Arial"/>
          <w:color w:val="000000"/>
          <w:lang w:val="ru-RU"/>
        </w:rPr>
        <w:t>/</w:t>
      </w:r>
      <w:r w:rsidRPr="00C25888">
        <w:rPr>
          <w:rFonts w:eastAsia="Times New Roman" w:cs="Arial"/>
          <w:color w:val="000000"/>
          <w:lang w:val="en-US"/>
        </w:rPr>
        <w:t>IIIa</w:t>
      </w:r>
      <w:r w:rsidRPr="00C25888">
        <w:rPr>
          <w:rFonts w:eastAsia="Times New Roman" w:cs="Arial"/>
          <w:color w:val="000000"/>
          <w:lang w:val="ru-RU"/>
        </w:rPr>
        <w:t xml:space="preserve"> </w:t>
      </w:r>
      <w:r w:rsidRPr="00C25888">
        <w:rPr>
          <w:rFonts w:eastAsia="Times New Roman" w:cs="Arial"/>
          <w:color w:val="000000"/>
          <w:lang w:eastAsia="bg-BG"/>
        </w:rPr>
        <w:t>рецепторни антагонисти. Хепарин се прилага при повече от 90 % от пациентите, като относителната честота на кървене между клопидогрел и плацебо не е била значително повлияна от едновременната терапия с хепарин.</w:t>
      </w:r>
    </w:p>
    <w:p w14:paraId="25824DA9" w14:textId="77777777" w:rsidR="006E7B6D" w:rsidRPr="00C25888" w:rsidRDefault="006E7B6D" w:rsidP="006E7B6D">
      <w:pPr>
        <w:spacing w:line="240" w:lineRule="auto"/>
        <w:rPr>
          <w:rFonts w:eastAsia="Times New Roman" w:cs="Arial"/>
          <w:color w:val="000000"/>
          <w:lang w:eastAsia="bg-BG"/>
        </w:rPr>
      </w:pPr>
    </w:p>
    <w:p w14:paraId="72E206D7" w14:textId="610204E2"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Броят пациенти, при които са наблюдавани състояния, отговарящи на критериите на първичната крайна точка [сърдечно-съдова смърт (СV), миокарден инфаркт </w:t>
      </w:r>
      <w:r w:rsidRPr="00C25888">
        <w:rPr>
          <w:rFonts w:eastAsia="Times New Roman" w:cs="Arial"/>
          <w:color w:val="000000"/>
          <w:lang w:val="ru-RU"/>
        </w:rPr>
        <w:t>(</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или инсулт], са 582 (9,3 %) в групата на клопидогрел и719(11,4%)в плацебо групата, редукция на относителния риск с 20 % (95 %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10-28 %; р = 0,00009) в групата на клопидогрел (17 % редукция на относителния риск при консервативно лечение на пациентите, 29 % при направена перкутанна транслуминална коронарна ангиопластика </w:t>
      </w:r>
      <w:r w:rsidRPr="00C25888">
        <w:rPr>
          <w:rFonts w:eastAsia="Times New Roman" w:cs="Arial"/>
          <w:color w:val="000000"/>
          <w:lang w:val="ru-RU"/>
        </w:rPr>
        <w:t>(</w:t>
      </w:r>
      <w:r w:rsidRPr="00C25888">
        <w:rPr>
          <w:rFonts w:eastAsia="Times New Roman" w:cs="Arial"/>
          <w:color w:val="000000"/>
          <w:lang w:val="en-US"/>
        </w:rPr>
        <w:t>PTC</w:t>
      </w:r>
      <w:r w:rsidRPr="00C25888">
        <w:rPr>
          <w:rFonts w:eastAsia="Times New Roman" w:cs="Arial"/>
          <w:color w:val="000000"/>
          <w:lang w:eastAsia="bg-BG"/>
        </w:rPr>
        <w:t xml:space="preserve">А) с или без стент и 10 % при направен коронарно артериален байпас </w:t>
      </w:r>
      <w:r w:rsidRPr="00C25888">
        <w:rPr>
          <w:rFonts w:eastAsia="Times New Roman" w:cs="Arial"/>
          <w:color w:val="000000"/>
          <w:lang w:val="ru-RU"/>
        </w:rPr>
        <w:t>(</w:t>
      </w:r>
      <w:r w:rsidRPr="00C25888">
        <w:rPr>
          <w:rFonts w:eastAsia="Times New Roman" w:cs="Arial"/>
          <w:color w:val="000000"/>
          <w:lang w:val="en-US"/>
        </w:rPr>
        <w:t>CABG</w:t>
      </w:r>
      <w:r w:rsidRPr="00C25888">
        <w:rPr>
          <w:rFonts w:eastAsia="Times New Roman" w:cs="Arial"/>
          <w:color w:val="000000"/>
          <w:lang w:val="ru-RU"/>
        </w:rPr>
        <w:t xml:space="preserve">)). </w:t>
      </w:r>
      <w:r w:rsidRPr="00C25888">
        <w:rPr>
          <w:rFonts w:eastAsia="Times New Roman" w:cs="Arial"/>
          <w:color w:val="000000"/>
          <w:lang w:eastAsia="bg-BG"/>
        </w:rPr>
        <w:t xml:space="preserve">Нови сърдечно-съдови инциденти (първична крайна точка) са предотвратени с редукция на относителния риск с 22 % </w:t>
      </w:r>
      <w:r w:rsidRPr="00C25888">
        <w:rPr>
          <w:rFonts w:eastAsia="Times New Roman" w:cs="Arial"/>
          <w:color w:val="000000"/>
          <w:lang w:val="ru-RU"/>
        </w:rPr>
        <w:t>(</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8,6, 33,4;), 32 % </w:t>
      </w:r>
      <w:r w:rsidRPr="00C25888">
        <w:rPr>
          <w:rFonts w:eastAsia="Times New Roman" w:cs="Arial"/>
          <w:color w:val="000000"/>
          <w:lang w:val="ru-RU"/>
        </w:rPr>
        <w:t>(</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12,8, 46,4), 4 % </w:t>
      </w:r>
      <w:r w:rsidRPr="00C25888">
        <w:rPr>
          <w:rFonts w:eastAsia="Times New Roman" w:cs="Arial"/>
          <w:color w:val="000000"/>
          <w:lang w:val="ru-RU"/>
        </w:rPr>
        <w:t>(</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-26,9, 26,7), 6 % </w:t>
      </w:r>
      <w:r w:rsidRPr="00C25888">
        <w:rPr>
          <w:rFonts w:eastAsia="Times New Roman" w:cs="Arial"/>
          <w:color w:val="000000"/>
          <w:lang w:val="ru-RU"/>
        </w:rPr>
        <w:t>(</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-33,5, 34,3;) и 14 % </w:t>
      </w:r>
      <w:r w:rsidRPr="00C25888">
        <w:rPr>
          <w:rFonts w:eastAsia="Times New Roman" w:cs="Arial"/>
          <w:color w:val="000000"/>
          <w:lang w:val="ru-RU"/>
        </w:rPr>
        <w:t>(</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-31,6, 44,2) съответно през 0-1, 1-3, 3-6, 6-9 и 9-12 месечни интервали на проучването. След третия месец, благоприятният ефект, наблюдаван в групата на клопидогрел +АСК не нараства повече, но рискът от хеморагия остава (вж. точка 4.4).</w:t>
      </w:r>
    </w:p>
    <w:p w14:paraId="390F1CE5" w14:textId="77777777" w:rsidR="006E7B6D" w:rsidRPr="00C25888" w:rsidRDefault="006E7B6D" w:rsidP="006E7B6D">
      <w:pPr>
        <w:spacing w:line="240" w:lineRule="auto"/>
        <w:rPr>
          <w:rFonts w:eastAsia="Times New Roman" w:cs="Arial"/>
          <w:color w:val="000000"/>
          <w:lang w:eastAsia="bg-BG"/>
        </w:rPr>
      </w:pPr>
    </w:p>
    <w:p w14:paraId="642D6ABA" w14:textId="12EA140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Употребата на клопидогрел в </w:t>
      </w:r>
      <w:r w:rsidRPr="00C25888">
        <w:rPr>
          <w:rFonts w:eastAsia="Times New Roman" w:cs="Arial"/>
          <w:color w:val="000000"/>
          <w:lang w:val="en-US"/>
        </w:rPr>
        <w:t>CURE</w:t>
      </w:r>
      <w:r w:rsidRPr="00C25888">
        <w:rPr>
          <w:rFonts w:eastAsia="Times New Roman" w:cs="Arial"/>
          <w:color w:val="000000"/>
          <w:lang w:val="ru-RU"/>
        </w:rPr>
        <w:t xml:space="preserve"> </w:t>
      </w:r>
      <w:r w:rsidRPr="00C25888">
        <w:rPr>
          <w:rFonts w:eastAsia="Times New Roman" w:cs="Arial"/>
          <w:color w:val="000000"/>
          <w:lang w:eastAsia="bg-BG"/>
        </w:rPr>
        <w:t xml:space="preserve">проучването е свързана с намаляване на необходимостта от тромболитична терапия </w:t>
      </w:r>
      <w:r w:rsidRPr="00C25888">
        <w:rPr>
          <w:rFonts w:eastAsia="Times New Roman" w:cs="Arial"/>
          <w:color w:val="000000"/>
          <w:lang w:val="ru-RU"/>
        </w:rPr>
        <w:t>(</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color w:val="000000"/>
          <w:lang w:eastAsia="bg-BG"/>
        </w:rPr>
        <w:t xml:space="preserve">= 43,3 %;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24,3 %, 57,5 %) и </w:t>
      </w:r>
      <w:r w:rsidRPr="00C25888">
        <w:rPr>
          <w:rFonts w:eastAsia="Times New Roman" w:cs="Arial"/>
          <w:color w:val="000000"/>
          <w:lang w:val="en-US"/>
        </w:rPr>
        <w:t>GPIIb</w:t>
      </w:r>
      <w:r w:rsidRPr="00C25888">
        <w:rPr>
          <w:rFonts w:eastAsia="Times New Roman" w:cs="Arial"/>
          <w:color w:val="000000"/>
          <w:lang w:eastAsia="bg-BG"/>
        </w:rPr>
        <w:t xml:space="preserve">/Ша инхибитори </w:t>
      </w:r>
      <w:r w:rsidRPr="00C25888">
        <w:rPr>
          <w:rFonts w:eastAsia="Times New Roman" w:cs="Arial"/>
          <w:color w:val="000000"/>
          <w:lang w:val="ru-RU"/>
        </w:rPr>
        <w:t>(</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color w:val="000000"/>
          <w:lang w:eastAsia="bg-BG"/>
        </w:rPr>
        <w:t xml:space="preserve">= 18,2%;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6,5 %, 28,3 %).</w:t>
      </w:r>
    </w:p>
    <w:p w14:paraId="54A2B980" w14:textId="77777777" w:rsidR="006E7B6D" w:rsidRPr="00C25888" w:rsidRDefault="006E7B6D" w:rsidP="006E7B6D">
      <w:pPr>
        <w:spacing w:line="240" w:lineRule="auto"/>
        <w:rPr>
          <w:rFonts w:eastAsia="Times New Roman" w:cs="Arial"/>
          <w:color w:val="000000"/>
          <w:lang w:eastAsia="bg-BG"/>
        </w:rPr>
      </w:pPr>
    </w:p>
    <w:p w14:paraId="3D644EE4" w14:textId="13D45A8E"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Броят на пациентите, при които са настъпили състояния, отговарящи на критериите за допълнителната първична крайна точка </w:t>
      </w:r>
      <w:r w:rsidRPr="00C25888">
        <w:rPr>
          <w:rFonts w:eastAsia="Times New Roman" w:cs="Arial"/>
          <w:color w:val="000000"/>
          <w:lang w:val="ru-RU"/>
        </w:rPr>
        <w:t>(</w:t>
      </w:r>
      <w:r w:rsidRPr="00C25888">
        <w:rPr>
          <w:rFonts w:eastAsia="Times New Roman" w:cs="Arial"/>
          <w:color w:val="000000"/>
          <w:lang w:val="en-US"/>
        </w:rPr>
        <w:t>CV</w:t>
      </w:r>
      <w:r w:rsidRPr="00C25888">
        <w:rPr>
          <w:rFonts w:eastAsia="Times New Roman" w:cs="Arial"/>
          <w:color w:val="000000"/>
          <w:lang w:val="ru-RU"/>
        </w:rPr>
        <w:t xml:space="preserve"> </w:t>
      </w:r>
      <w:r w:rsidRPr="00C25888">
        <w:rPr>
          <w:rFonts w:eastAsia="Times New Roman" w:cs="Arial"/>
          <w:color w:val="000000"/>
          <w:lang w:eastAsia="bg-BG"/>
        </w:rPr>
        <w:t xml:space="preserve">смърт,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мозъчен инсулт или рефрактерна исхемия) е 1035 (16,5 %) в групата на клопидогрел и 1 187 (18,8 </w:t>
      </w:r>
      <w:r w:rsidRPr="00C25888">
        <w:rPr>
          <w:rFonts w:eastAsia="Times New Roman" w:cs="Arial"/>
          <w:i/>
          <w:iCs/>
          <w:color w:val="000000"/>
          <w:lang w:eastAsia="bg-BG"/>
        </w:rPr>
        <w:t>%) в</w:t>
      </w:r>
      <w:r w:rsidRPr="00C25888">
        <w:rPr>
          <w:rFonts w:eastAsia="Times New Roman" w:cs="Arial"/>
          <w:color w:val="000000"/>
          <w:lang w:eastAsia="bg-BG"/>
        </w:rPr>
        <w:t xml:space="preserve"> плацебо групата, редукция на относителния риск с 14% (95 %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6 %-21 %, р=0,0005) в групата на клопидогрел. Този благоприятен ефект се дължи предимно на ефекта на клопидогрел върху миокардния инфаркт [287 (4,6 %) при групата на клопидрогел и 363 (5,8 %) при плацебо]. Не е наблюдаван ефект върху честотата на рехоспитализацията при нестабилна стенокардия.</w:t>
      </w:r>
    </w:p>
    <w:p w14:paraId="53EBE849" w14:textId="77777777" w:rsidR="006E7B6D" w:rsidRPr="00C25888" w:rsidRDefault="006E7B6D" w:rsidP="006E7B6D">
      <w:pPr>
        <w:spacing w:line="240" w:lineRule="auto"/>
        <w:rPr>
          <w:rFonts w:eastAsia="Times New Roman" w:cs="Arial"/>
          <w:color w:val="000000"/>
          <w:lang w:eastAsia="bg-BG"/>
        </w:rPr>
      </w:pPr>
    </w:p>
    <w:p w14:paraId="4C335B31" w14:textId="01B33B05"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Резултатите, получени в групите с различни характеристики (напр, нестабилна стенокардия или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без </w:t>
      </w:r>
      <w:r w:rsidRPr="00C25888">
        <w:rPr>
          <w:rFonts w:eastAsia="Times New Roman" w:cs="Arial"/>
          <w:color w:val="000000"/>
          <w:lang w:val="en-US"/>
        </w:rPr>
        <w:t>Q</w:t>
      </w:r>
      <w:r w:rsidRPr="00C25888">
        <w:rPr>
          <w:rFonts w:eastAsia="Times New Roman" w:cs="Arial"/>
          <w:color w:val="000000"/>
          <w:lang w:val="ru-RU"/>
        </w:rPr>
        <w:t xml:space="preserve"> </w:t>
      </w:r>
      <w:r w:rsidRPr="00C25888">
        <w:rPr>
          <w:rFonts w:eastAsia="Times New Roman" w:cs="Arial"/>
          <w:color w:val="000000"/>
          <w:lang w:eastAsia="bg-BG"/>
        </w:rPr>
        <w:t xml:space="preserve">зъбец, различна степен на риск, диабет, необходимост от реваскуларизация, възраст, пол) са сходни с резултатите от първичните анализи. По-специално, в </w:t>
      </w:r>
      <w:r w:rsidRPr="00C25888">
        <w:rPr>
          <w:rFonts w:eastAsia="Times New Roman" w:cs="Arial"/>
          <w:color w:val="000000"/>
          <w:lang w:val="en-US"/>
        </w:rPr>
        <w:t>post</w:t>
      </w:r>
      <w:r w:rsidRPr="00C25888">
        <w:rPr>
          <w:rFonts w:eastAsia="Times New Roman" w:cs="Arial"/>
          <w:color w:val="000000"/>
          <w:lang w:val="ru-RU"/>
        </w:rPr>
        <w:t>-</w:t>
      </w:r>
      <w:r w:rsidRPr="00C25888">
        <w:rPr>
          <w:rFonts w:eastAsia="Times New Roman" w:cs="Arial"/>
          <w:color w:val="000000"/>
          <w:lang w:val="en-US"/>
        </w:rPr>
        <w:t>hoc</w:t>
      </w:r>
      <w:r w:rsidRPr="00C25888">
        <w:rPr>
          <w:rFonts w:eastAsia="Times New Roman" w:cs="Arial"/>
          <w:color w:val="000000"/>
          <w:lang w:val="ru-RU"/>
        </w:rPr>
        <w:t xml:space="preserve"> </w:t>
      </w:r>
      <w:r w:rsidRPr="00C25888">
        <w:rPr>
          <w:rFonts w:eastAsia="Times New Roman" w:cs="Arial"/>
          <w:color w:val="000000"/>
          <w:lang w:eastAsia="bg-BG"/>
        </w:rPr>
        <w:t xml:space="preserve">анализ при 2 172 пациенти (17 % от цялата </w:t>
      </w:r>
      <w:r w:rsidRPr="00C25888">
        <w:rPr>
          <w:rFonts w:eastAsia="Times New Roman" w:cs="Arial"/>
          <w:color w:val="000000"/>
          <w:lang w:val="en-US"/>
        </w:rPr>
        <w:t>CURE</w:t>
      </w:r>
      <w:r w:rsidRPr="00C25888">
        <w:rPr>
          <w:rFonts w:eastAsia="Times New Roman" w:cs="Arial"/>
          <w:color w:val="000000"/>
          <w:lang w:val="ru-RU"/>
        </w:rPr>
        <w:t xml:space="preserve"> </w:t>
      </w:r>
      <w:r w:rsidRPr="00C25888">
        <w:rPr>
          <w:rFonts w:eastAsia="Times New Roman" w:cs="Arial"/>
          <w:color w:val="000000"/>
          <w:lang w:eastAsia="bg-BG"/>
        </w:rPr>
        <w:t xml:space="preserve">популация) на които им е поставен стент </w:t>
      </w:r>
      <w:r w:rsidRPr="00C25888">
        <w:rPr>
          <w:rFonts w:eastAsia="Times New Roman" w:cs="Arial"/>
          <w:color w:val="000000"/>
          <w:lang w:val="ru-RU"/>
        </w:rPr>
        <w:t>(</w:t>
      </w:r>
      <w:r w:rsidRPr="00C25888">
        <w:rPr>
          <w:rFonts w:eastAsia="Times New Roman" w:cs="Arial"/>
          <w:color w:val="000000"/>
          <w:lang w:val="en-US"/>
        </w:rPr>
        <w:t>Stent</w:t>
      </w:r>
      <w:r w:rsidRPr="00C25888">
        <w:rPr>
          <w:rFonts w:eastAsia="Times New Roman" w:cs="Arial"/>
          <w:color w:val="000000"/>
          <w:lang w:val="ru-RU"/>
        </w:rPr>
        <w:t>-</w:t>
      </w:r>
      <w:r w:rsidRPr="00C25888">
        <w:rPr>
          <w:rFonts w:eastAsia="Times New Roman" w:cs="Arial"/>
          <w:color w:val="000000"/>
          <w:lang w:val="en-US"/>
        </w:rPr>
        <w:t>CURE</w:t>
      </w:r>
      <w:r w:rsidRPr="00C25888">
        <w:rPr>
          <w:rFonts w:eastAsia="Times New Roman" w:cs="Arial"/>
          <w:color w:val="000000"/>
          <w:lang w:val="ru-RU"/>
        </w:rPr>
        <w:t xml:space="preserve">), </w:t>
      </w:r>
      <w:r w:rsidRPr="00C25888">
        <w:rPr>
          <w:rFonts w:eastAsia="Times New Roman" w:cs="Arial"/>
          <w:color w:val="000000"/>
          <w:lang w:eastAsia="bg-BG"/>
        </w:rPr>
        <w:t xml:space="preserve">данните показват, че клопидогрел сравнен с плацебо, демонстрира значимо </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color w:val="000000"/>
          <w:lang w:eastAsia="bg-BG"/>
        </w:rPr>
        <w:t xml:space="preserve">от 26,2% в полза на клопидогрел за ко-първичната крайна точка </w:t>
      </w:r>
      <w:r w:rsidRPr="00C25888">
        <w:rPr>
          <w:rFonts w:eastAsia="Times New Roman" w:cs="Arial"/>
          <w:color w:val="000000"/>
          <w:lang w:val="ru-RU"/>
        </w:rPr>
        <w:t>(</w:t>
      </w:r>
      <w:r w:rsidRPr="00C25888">
        <w:rPr>
          <w:rFonts w:eastAsia="Times New Roman" w:cs="Arial"/>
          <w:color w:val="000000"/>
          <w:lang w:val="en-US"/>
        </w:rPr>
        <w:t>CV</w:t>
      </w:r>
      <w:r w:rsidRPr="00C25888">
        <w:rPr>
          <w:rFonts w:eastAsia="Times New Roman" w:cs="Arial"/>
          <w:color w:val="000000"/>
          <w:lang w:val="ru-RU"/>
        </w:rPr>
        <w:t xml:space="preserve"> </w:t>
      </w:r>
      <w:r w:rsidRPr="00C25888">
        <w:rPr>
          <w:rFonts w:eastAsia="Times New Roman" w:cs="Arial"/>
          <w:color w:val="000000"/>
          <w:lang w:eastAsia="bg-BG"/>
        </w:rPr>
        <w:t xml:space="preserve">смърт,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мозъчен инсулт) и също значимо </w:t>
      </w:r>
      <w:r w:rsidRPr="00C25888">
        <w:rPr>
          <w:rFonts w:eastAsia="Times New Roman" w:cs="Arial"/>
          <w:color w:val="000000"/>
          <w:lang w:val="en-US"/>
        </w:rPr>
        <w:t>RRR</w:t>
      </w:r>
      <w:r w:rsidRPr="00C25888">
        <w:rPr>
          <w:rFonts w:eastAsia="Times New Roman" w:cs="Arial"/>
          <w:color w:val="000000"/>
          <w:lang w:val="ru-RU"/>
        </w:rPr>
        <w:t xml:space="preserve"> </w:t>
      </w:r>
      <w:r w:rsidRPr="00C25888">
        <w:rPr>
          <w:rFonts w:eastAsia="Times New Roman" w:cs="Arial"/>
          <w:color w:val="000000"/>
          <w:lang w:eastAsia="bg-BG"/>
        </w:rPr>
        <w:t>от 23,9% за ко-</w:t>
      </w:r>
      <w:r w:rsidRPr="00C25888">
        <w:rPr>
          <w:rFonts w:eastAsia="Times New Roman" w:cs="Arial"/>
          <w:color w:val="000000"/>
          <w:lang w:eastAsia="bg-BG"/>
        </w:rPr>
        <w:lastRenderedPageBreak/>
        <w:t xml:space="preserve">вторичната крайна точка </w:t>
      </w:r>
      <w:r w:rsidRPr="00C25888">
        <w:rPr>
          <w:rFonts w:eastAsia="Times New Roman" w:cs="Arial"/>
          <w:color w:val="000000"/>
          <w:lang w:val="ru-RU"/>
        </w:rPr>
        <w:t>(</w:t>
      </w:r>
      <w:r w:rsidRPr="00C25888">
        <w:rPr>
          <w:rFonts w:eastAsia="Times New Roman" w:cs="Arial"/>
          <w:color w:val="000000"/>
          <w:lang w:val="en-US"/>
        </w:rPr>
        <w:t>CV</w:t>
      </w:r>
      <w:r w:rsidRPr="00C25888">
        <w:rPr>
          <w:rFonts w:eastAsia="Times New Roman" w:cs="Arial"/>
          <w:color w:val="000000"/>
          <w:lang w:val="ru-RU"/>
        </w:rPr>
        <w:t xml:space="preserve"> </w:t>
      </w:r>
      <w:r w:rsidRPr="00C25888">
        <w:rPr>
          <w:rFonts w:eastAsia="Times New Roman" w:cs="Arial"/>
          <w:color w:val="000000"/>
          <w:lang w:eastAsia="bg-BG"/>
        </w:rPr>
        <w:t xml:space="preserve">смърт,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мозъчен инсулт или рефрактерна исхемия). Освен това, профилът на безопасност на клопидогрел в тази подгрупа пациенти не предизвика някакъв особен проблем. Следователно, резултатите от тази подгрупа са в съответствие с общите резултати от проучването.</w:t>
      </w:r>
    </w:p>
    <w:p w14:paraId="2310C705" w14:textId="77777777" w:rsidR="006E7B6D" w:rsidRPr="00C25888" w:rsidRDefault="006E7B6D" w:rsidP="006E7B6D">
      <w:pPr>
        <w:spacing w:line="240" w:lineRule="auto"/>
        <w:rPr>
          <w:rFonts w:eastAsia="Times New Roman" w:cs="Arial"/>
          <w:color w:val="000000"/>
          <w:lang w:eastAsia="bg-BG"/>
        </w:rPr>
      </w:pPr>
    </w:p>
    <w:p w14:paraId="693E42E3" w14:textId="1C3B1E94" w:rsidR="006E7B6D" w:rsidRPr="00C25888" w:rsidRDefault="006E7B6D" w:rsidP="006E7B6D">
      <w:pPr>
        <w:spacing w:line="240" w:lineRule="auto"/>
        <w:rPr>
          <w:rFonts w:eastAsia="Times New Roman" w:cs="Arial"/>
        </w:rPr>
      </w:pPr>
      <w:r w:rsidRPr="00C25888">
        <w:rPr>
          <w:rFonts w:eastAsia="Times New Roman" w:cs="Arial"/>
          <w:color w:val="000000"/>
          <w:lang w:eastAsia="bg-BG"/>
        </w:rPr>
        <w:t>Благоприятният ефект на клопидогрел е независим от друго спешно и продължително сърдечно-съдово лечение (като хепарин</w:t>
      </w:r>
      <w:r w:rsidRPr="00C25888">
        <w:rPr>
          <w:rFonts w:eastAsia="Times New Roman" w:cs="Arial"/>
          <w:color w:val="000000"/>
          <w:lang w:val="ru-RU"/>
        </w:rPr>
        <w:t>/</w:t>
      </w:r>
      <w:r w:rsidRPr="00C25888">
        <w:rPr>
          <w:rFonts w:eastAsia="Times New Roman" w:cs="Arial"/>
          <w:color w:val="000000"/>
          <w:lang w:val="en-US"/>
        </w:rPr>
        <w:t>LMWH</w:t>
      </w:r>
      <w:r w:rsidRPr="00C25888">
        <w:rPr>
          <w:rFonts w:eastAsia="Times New Roman" w:cs="Arial"/>
          <w:color w:val="000000"/>
          <w:lang w:val="ru-RU"/>
        </w:rPr>
        <w:t xml:space="preserve">, </w:t>
      </w:r>
      <w:r w:rsidRPr="00C25888">
        <w:rPr>
          <w:rFonts w:eastAsia="Times New Roman" w:cs="Arial"/>
          <w:color w:val="000000"/>
          <w:lang w:val="en-US"/>
        </w:rPr>
        <w:t>GPIIb</w:t>
      </w:r>
      <w:r w:rsidRPr="00C25888">
        <w:rPr>
          <w:rFonts w:eastAsia="Times New Roman" w:cs="Arial"/>
          <w:color w:val="000000"/>
          <w:lang w:val="ru-RU"/>
        </w:rPr>
        <w:t>/</w:t>
      </w:r>
      <w:r w:rsidRPr="00C25888">
        <w:rPr>
          <w:rFonts w:eastAsia="Times New Roman" w:cs="Arial"/>
          <w:color w:val="000000"/>
          <w:lang w:val="en-US"/>
        </w:rPr>
        <w:t>IIIa</w:t>
      </w:r>
      <w:r w:rsidRPr="00C25888">
        <w:rPr>
          <w:rFonts w:eastAsia="Times New Roman" w:cs="Arial"/>
          <w:color w:val="000000"/>
          <w:lang w:val="ru-RU"/>
        </w:rPr>
        <w:t xml:space="preserve"> </w:t>
      </w:r>
      <w:r w:rsidRPr="00C25888">
        <w:rPr>
          <w:rFonts w:eastAsia="Times New Roman" w:cs="Arial"/>
          <w:color w:val="000000"/>
          <w:lang w:eastAsia="bg-BG"/>
        </w:rPr>
        <w:t xml:space="preserve">антагонисти, липидо-редуцираши лекарствени продукти, бета-блокери и АСЕ инхибитори). Ефикасността на клопидода^^^. оценена независимо от дозата на АСК (75-325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веднъж дневно).</w:t>
      </w:r>
    </w:p>
    <w:p w14:paraId="538884E1" w14:textId="77777777" w:rsidR="006E7B6D" w:rsidRPr="00C25888" w:rsidRDefault="006E7B6D" w:rsidP="006E7B6D">
      <w:pPr>
        <w:spacing w:line="240" w:lineRule="auto"/>
        <w:rPr>
          <w:rFonts w:eastAsia="Times New Roman" w:cs="Arial"/>
          <w:color w:val="000000"/>
          <w:lang w:eastAsia="bg-BG"/>
        </w:rPr>
      </w:pPr>
    </w:p>
    <w:p w14:paraId="1498E160" w14:textId="55AFC795"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При пациенти с остър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с елевация на </w:t>
      </w:r>
      <w:r w:rsidRPr="00C25888">
        <w:rPr>
          <w:rFonts w:eastAsia="Times New Roman" w:cs="Arial"/>
          <w:color w:val="000000"/>
          <w:lang w:val="en-US"/>
        </w:rPr>
        <w:t>ST</w:t>
      </w:r>
      <w:r w:rsidRPr="00C25888">
        <w:rPr>
          <w:rFonts w:eastAsia="Times New Roman" w:cs="Arial"/>
          <w:color w:val="000000"/>
          <w:lang w:eastAsia="bg-BG"/>
        </w:rPr>
        <w:t>-сегмента, безопасността и ефикасността на</w:t>
      </w:r>
    </w:p>
    <w:p w14:paraId="318037DA" w14:textId="480ACA5C" w:rsidR="006E7B6D" w:rsidRPr="00C25888" w:rsidRDefault="006E7B6D" w:rsidP="006E7B6D">
      <w:pPr>
        <w:spacing w:line="240" w:lineRule="auto"/>
        <w:rPr>
          <w:rFonts w:eastAsia="Times New Roman" w:cs="Arial"/>
          <w:lang w:val="ru-RU"/>
        </w:rPr>
      </w:pPr>
      <w:r w:rsidRPr="00C25888">
        <w:rPr>
          <w:rFonts w:eastAsia="Times New Roman" w:cs="Arial"/>
          <w:color w:val="000000"/>
          <w:lang w:eastAsia="bg-BG"/>
        </w:rPr>
        <w:t xml:space="preserve">клопидогрел са били оценени в 2 рандомизирани, плацебо-контролирани двойно-слепи изпитвания, </w:t>
      </w:r>
      <w:r w:rsidRPr="00C25888">
        <w:rPr>
          <w:rFonts w:eastAsia="Times New Roman" w:cs="Arial"/>
          <w:color w:val="000000"/>
          <w:lang w:val="en-US"/>
        </w:rPr>
        <w:t>CLARITY</w:t>
      </w:r>
      <w:r w:rsidRPr="00C25888">
        <w:rPr>
          <w:rFonts w:eastAsia="Times New Roman" w:cs="Arial"/>
          <w:color w:val="000000"/>
          <w:lang w:val="ru-RU"/>
        </w:rPr>
        <w:t xml:space="preserve"> </w:t>
      </w:r>
      <w:r w:rsidRPr="00C25888">
        <w:rPr>
          <w:rFonts w:eastAsia="Times New Roman" w:cs="Arial"/>
          <w:color w:val="000000"/>
          <w:lang w:eastAsia="bg-BG"/>
        </w:rPr>
        <w:t xml:space="preserve">и </w:t>
      </w:r>
      <w:r w:rsidRPr="00C25888">
        <w:rPr>
          <w:rFonts w:eastAsia="Times New Roman" w:cs="Arial"/>
          <w:color w:val="000000"/>
          <w:lang w:val="en-US"/>
        </w:rPr>
        <w:t>COMMIT</w:t>
      </w:r>
      <w:r w:rsidRPr="00C25888">
        <w:rPr>
          <w:rFonts w:eastAsia="Times New Roman" w:cs="Arial"/>
          <w:color w:val="000000"/>
          <w:lang w:val="ru-RU"/>
        </w:rPr>
        <w:t>.</w:t>
      </w:r>
    </w:p>
    <w:p w14:paraId="4ACE7E28" w14:textId="375E9F34" w:rsidR="006E7B6D" w:rsidRPr="00C25888" w:rsidRDefault="006E7B6D" w:rsidP="006E7B6D">
      <w:pPr>
        <w:rPr>
          <w:rFonts w:cs="Arial"/>
        </w:rPr>
      </w:pPr>
    </w:p>
    <w:p w14:paraId="17491E97"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Проучването </w:t>
      </w:r>
      <w:r w:rsidRPr="00C25888">
        <w:rPr>
          <w:rFonts w:eastAsia="Times New Roman" w:cs="Arial"/>
          <w:color w:val="000000"/>
          <w:lang w:val="en-US"/>
        </w:rPr>
        <w:t>CLARITY</w:t>
      </w:r>
      <w:r w:rsidRPr="00C25888">
        <w:rPr>
          <w:rFonts w:eastAsia="Times New Roman" w:cs="Arial"/>
          <w:color w:val="000000"/>
          <w:lang w:val="ru-RU"/>
        </w:rPr>
        <w:t xml:space="preserve"> </w:t>
      </w:r>
      <w:r w:rsidRPr="00C25888">
        <w:rPr>
          <w:rFonts w:eastAsia="Times New Roman" w:cs="Arial"/>
          <w:color w:val="000000"/>
          <w:lang w:eastAsia="bg-BG"/>
        </w:rPr>
        <w:t xml:space="preserve">включва 3 491 пациенти с начало на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с </w:t>
      </w:r>
      <w:r w:rsidRPr="00C25888">
        <w:rPr>
          <w:rFonts w:eastAsia="Times New Roman" w:cs="Arial"/>
          <w:color w:val="000000"/>
          <w:lang w:val="en-US"/>
        </w:rPr>
        <w:t>ST</w:t>
      </w:r>
      <w:r w:rsidRPr="00C25888">
        <w:rPr>
          <w:rFonts w:eastAsia="Times New Roman" w:cs="Arial"/>
          <w:color w:val="000000"/>
          <w:lang w:val="ru-RU"/>
        </w:rPr>
        <w:t xml:space="preserve"> </w:t>
      </w:r>
      <w:r w:rsidRPr="00C25888">
        <w:rPr>
          <w:rFonts w:eastAsia="Times New Roman" w:cs="Arial"/>
          <w:color w:val="000000"/>
          <w:lang w:eastAsia="bg-BG"/>
        </w:rPr>
        <w:t xml:space="preserve">елевация в рамките на последните 12 часа и запланувано тромболитично лечение. Пациентите са получили клопидогрел (300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натоварваща доза, последвана от 75 </w:t>
      </w:r>
      <w:r w:rsidRPr="00C25888">
        <w:rPr>
          <w:rFonts w:eastAsia="Times New Roman" w:cs="Arial"/>
          <w:color w:val="000000"/>
          <w:lang w:val="en-US"/>
        </w:rPr>
        <w:t>mg</w:t>
      </w:r>
      <w:r w:rsidRPr="00C25888">
        <w:rPr>
          <w:rFonts w:eastAsia="Times New Roman" w:cs="Arial"/>
          <w:color w:val="000000"/>
          <w:lang w:eastAsia="bg-BG"/>
        </w:rPr>
        <w:t xml:space="preserve">/ден, </w:t>
      </w:r>
      <w:r w:rsidRPr="00C25888">
        <w:rPr>
          <w:rFonts w:eastAsia="Times New Roman" w:cs="Arial"/>
          <w:color w:val="000000"/>
          <w:lang w:val="en-US"/>
        </w:rPr>
        <w:t>n</w:t>
      </w:r>
      <w:r w:rsidRPr="00C25888">
        <w:rPr>
          <w:rFonts w:eastAsia="Times New Roman" w:cs="Arial"/>
          <w:color w:val="000000"/>
          <w:lang w:eastAsia="bg-BG"/>
        </w:rPr>
        <w:t>=1 752) или плацебо (</w:t>
      </w:r>
      <w:r w:rsidRPr="00C25888">
        <w:rPr>
          <w:rFonts w:eastAsia="Times New Roman" w:cs="Arial"/>
          <w:color w:val="000000"/>
          <w:lang w:val="en-US"/>
        </w:rPr>
        <w:t>n</w:t>
      </w:r>
      <w:r w:rsidRPr="00C25888">
        <w:rPr>
          <w:rFonts w:eastAsia="Times New Roman" w:cs="Arial"/>
          <w:color w:val="000000"/>
          <w:lang w:eastAsia="bg-BG"/>
        </w:rPr>
        <w:t xml:space="preserve">=1 739), и двете в комбинация с АСК (150 до 325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като натоварваща доза, последвана от 75 до 162 </w:t>
      </w:r>
      <w:r w:rsidRPr="00C25888">
        <w:rPr>
          <w:rFonts w:eastAsia="Times New Roman" w:cs="Arial"/>
          <w:color w:val="000000"/>
          <w:lang w:val="en-US"/>
        </w:rPr>
        <w:t>mg</w:t>
      </w:r>
      <w:r w:rsidRPr="00C25888">
        <w:rPr>
          <w:rFonts w:eastAsia="Times New Roman" w:cs="Arial"/>
          <w:color w:val="000000"/>
          <w:lang w:eastAsia="bg-BG"/>
        </w:rPr>
        <w:t xml:space="preserve">/ден), фибринолитичен агент, и когато е било подходящо хепарин. Пациентите са проследени за 30 дни. Първичната крайна точка е комбинирана поява на запушена артерия, свързана с инфаркта на ангиограмата при изписване, или смърт или повторен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преди коронарната ангиография. При пациенти, при които не е правена ангиография, първичната крайна точка е била смърт или повторен миокарден инфаркт до Ден 8 или до изписването. Популацията пациенти е включвала 19,7% жени и 29,2% пациенти &gt; 65 години. Общо 99,7% от пациентите са получили фибринолитици (фибрин специфични: 68,7%, не-фибрин специфични: 31,1%), 89,5% хепарин, 78,7% бета блокери, 54,7% АСЕ инхибитори и 63% статини.</w:t>
      </w:r>
    </w:p>
    <w:p w14:paraId="6B2745F1"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Петнадесет процента (15,0%) от пациентите в групата на клопидогрел и 21,7% в плацебо групата са достигнали до първична крайна точка, което представлява абсолютно намаление от 6,7% и 36 % относително намаление в полза на клопидогрел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24,47%; р &lt; 0,001), главно свързано с намаление на запушени артерии, свързани с инфаркта. Тази полза е била налице във всички предварително определени подгрупи на пациентите по възраст и пол, локализация на инфаркта и вида на използваното фибринолитичното лечение или хепарин.</w:t>
      </w:r>
    </w:p>
    <w:p w14:paraId="418C2771" w14:textId="77777777" w:rsidR="006E7B6D" w:rsidRPr="00C25888" w:rsidRDefault="006E7B6D" w:rsidP="006E7B6D">
      <w:pPr>
        <w:spacing w:line="240" w:lineRule="auto"/>
        <w:rPr>
          <w:rFonts w:eastAsia="Times New Roman" w:cs="Arial"/>
          <w:color w:val="000000"/>
          <w:lang w:eastAsia="bg-BG"/>
        </w:rPr>
      </w:pPr>
    </w:p>
    <w:p w14:paraId="5CB32C81" w14:textId="1866F9DC"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Проучването с 2 х 2 факториален дизайн </w:t>
      </w:r>
      <w:r w:rsidRPr="00C25888">
        <w:rPr>
          <w:rFonts w:eastAsia="Times New Roman" w:cs="Arial"/>
          <w:color w:val="000000"/>
          <w:lang w:val="en-US"/>
        </w:rPr>
        <w:t>COMMIT</w:t>
      </w:r>
      <w:r w:rsidRPr="00C25888">
        <w:rPr>
          <w:rFonts w:eastAsia="Times New Roman" w:cs="Arial"/>
          <w:color w:val="000000"/>
          <w:lang w:val="ru-RU"/>
        </w:rPr>
        <w:t xml:space="preserve"> </w:t>
      </w:r>
      <w:r w:rsidRPr="00C25888">
        <w:rPr>
          <w:rFonts w:eastAsia="Times New Roman" w:cs="Arial"/>
          <w:color w:val="000000"/>
          <w:lang w:eastAsia="bg-BG"/>
        </w:rPr>
        <w:t xml:space="preserve">е включило 45 852 пациенти с начало на симптоми подозрителни за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е подкрепящи ЕКГ абнормни находки (напр. </w:t>
      </w:r>
      <w:r w:rsidRPr="00C25888">
        <w:rPr>
          <w:rFonts w:eastAsia="Times New Roman" w:cs="Arial"/>
          <w:color w:val="000000"/>
          <w:lang w:val="en-US"/>
        </w:rPr>
        <w:t>ST</w:t>
      </w:r>
      <w:r w:rsidRPr="00C25888">
        <w:rPr>
          <w:rFonts w:eastAsia="Times New Roman" w:cs="Arial"/>
          <w:color w:val="000000"/>
          <w:lang w:val="ru-RU"/>
        </w:rPr>
        <w:t xml:space="preserve"> </w:t>
      </w:r>
      <w:proofErr w:type="gramStart"/>
      <w:r w:rsidRPr="00C25888">
        <w:rPr>
          <w:rFonts w:eastAsia="Times New Roman" w:cs="Arial"/>
          <w:color w:val="000000"/>
          <w:lang w:eastAsia="bg-BG"/>
        </w:rPr>
        <w:t>елевация</w:t>
      </w:r>
      <w:proofErr w:type="gramEnd"/>
      <w:r w:rsidRPr="00C25888">
        <w:rPr>
          <w:rFonts w:eastAsia="Times New Roman" w:cs="Arial"/>
          <w:color w:val="000000"/>
          <w:lang w:eastAsia="bg-BG"/>
        </w:rPr>
        <w:t xml:space="preserve">, </w:t>
      </w:r>
      <w:r w:rsidRPr="00C25888">
        <w:rPr>
          <w:rFonts w:eastAsia="Times New Roman" w:cs="Arial"/>
          <w:color w:val="000000"/>
          <w:lang w:val="en-US"/>
        </w:rPr>
        <w:t>ST</w:t>
      </w:r>
      <w:r w:rsidRPr="00C25888">
        <w:rPr>
          <w:rFonts w:eastAsia="Times New Roman" w:cs="Arial"/>
          <w:color w:val="000000"/>
          <w:lang w:val="ru-RU"/>
        </w:rPr>
        <w:t xml:space="preserve"> </w:t>
      </w:r>
      <w:r w:rsidRPr="00C25888">
        <w:rPr>
          <w:rFonts w:eastAsia="Times New Roman" w:cs="Arial"/>
          <w:color w:val="000000"/>
          <w:lang w:eastAsia="bg-BG"/>
        </w:rPr>
        <w:t xml:space="preserve">депресия или ляв бедрен блок) в рамките на последните 24 часа. Пациентите са получили клопидогрел (75 </w:t>
      </w:r>
      <w:r w:rsidRPr="00C25888">
        <w:rPr>
          <w:rFonts w:eastAsia="Times New Roman" w:cs="Arial"/>
          <w:color w:val="000000"/>
          <w:lang w:val="en-US"/>
        </w:rPr>
        <w:t>mg</w:t>
      </w:r>
      <w:r w:rsidRPr="00C25888">
        <w:rPr>
          <w:rFonts w:eastAsia="Times New Roman" w:cs="Arial"/>
          <w:color w:val="000000"/>
          <w:lang w:eastAsia="bg-BG"/>
        </w:rPr>
        <w:t xml:space="preserve">/ден, </w:t>
      </w:r>
      <w:r w:rsidRPr="00C25888">
        <w:rPr>
          <w:rFonts w:eastAsia="Times New Roman" w:cs="Arial"/>
          <w:color w:val="000000"/>
          <w:lang w:val="en-US"/>
        </w:rPr>
        <w:t>n</w:t>
      </w:r>
      <w:r w:rsidRPr="00C25888">
        <w:rPr>
          <w:rFonts w:eastAsia="Times New Roman" w:cs="Arial"/>
          <w:color w:val="000000"/>
          <w:lang w:eastAsia="bg-BG"/>
        </w:rPr>
        <w:t>=22 961) или плацебо (</w:t>
      </w:r>
      <w:r w:rsidRPr="00C25888">
        <w:rPr>
          <w:rFonts w:eastAsia="Times New Roman" w:cs="Arial"/>
          <w:color w:val="000000"/>
          <w:lang w:val="en-US"/>
        </w:rPr>
        <w:t>n</w:t>
      </w:r>
      <w:r w:rsidRPr="00C25888">
        <w:rPr>
          <w:rFonts w:eastAsia="Times New Roman" w:cs="Arial"/>
          <w:color w:val="000000"/>
          <w:lang w:eastAsia="bg-BG"/>
        </w:rPr>
        <w:t xml:space="preserve">=22 891), в комбинация с АСК (162 </w:t>
      </w:r>
      <w:r w:rsidRPr="00C25888">
        <w:rPr>
          <w:rFonts w:eastAsia="Times New Roman" w:cs="Arial"/>
          <w:color w:val="000000"/>
          <w:lang w:val="en-US"/>
        </w:rPr>
        <w:t>mg</w:t>
      </w:r>
      <w:r w:rsidRPr="00C25888">
        <w:rPr>
          <w:rFonts w:eastAsia="Times New Roman" w:cs="Arial"/>
          <w:color w:val="000000"/>
          <w:lang w:eastAsia="bg-BG"/>
        </w:rPr>
        <w:t>/ден), за 28 дни или до изписване от болницата. Първичните крайни точки са били смърт по всякаква причина и първа поява на ре-инфаркт, инсулт или смърт. Популацията е включвала 27,8% жени, 58,4% пациенти ≥ 60 години (26% ≥ 70 години) и 54,5% пациенти, които са получили фибринолитици.</w:t>
      </w:r>
    </w:p>
    <w:p w14:paraId="60BF37BD"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Клопидогрел значимо намалява относителния риск от смърт по всякаква причина със 7% (р=0,029), и относителния риск за комбинацията от ре-инфаркт, инсулт или смърт с 9% (р=0,002), което представлява абсолютно намаление съответно от 0,5% и 0,9%. Тази полза е налице независимо от възраст, пол, с или без фибринолитици, и е наблюдавана още в първите 24 часа.</w:t>
      </w:r>
    </w:p>
    <w:p w14:paraId="68BA2CAE" w14:textId="77777777" w:rsidR="006E7B6D" w:rsidRPr="00C25888" w:rsidRDefault="006E7B6D" w:rsidP="006E7B6D">
      <w:pPr>
        <w:spacing w:line="240" w:lineRule="auto"/>
        <w:rPr>
          <w:rFonts w:eastAsia="Times New Roman" w:cs="Arial"/>
          <w:i/>
          <w:iCs/>
          <w:color w:val="000000"/>
          <w:lang w:eastAsia="bg-BG"/>
        </w:rPr>
      </w:pPr>
    </w:p>
    <w:p w14:paraId="22CA3690" w14:textId="38D1EE92" w:rsidR="006E7B6D" w:rsidRPr="00C25888" w:rsidRDefault="006E7B6D" w:rsidP="006E7B6D">
      <w:pPr>
        <w:spacing w:line="240" w:lineRule="auto"/>
        <w:rPr>
          <w:rFonts w:eastAsia="Times New Roman" w:cs="Arial"/>
        </w:rPr>
      </w:pPr>
      <w:r w:rsidRPr="00C25888">
        <w:rPr>
          <w:rFonts w:eastAsia="Times New Roman" w:cs="Arial"/>
          <w:i/>
          <w:iCs/>
          <w:color w:val="000000"/>
          <w:lang w:eastAsia="bg-BG"/>
        </w:rPr>
        <w:t xml:space="preserve">Деескалация на </w:t>
      </w:r>
      <w:r w:rsidRPr="00C25888">
        <w:rPr>
          <w:rFonts w:eastAsia="Times New Roman" w:cs="Arial"/>
          <w:i/>
          <w:iCs/>
          <w:color w:val="000000"/>
          <w:lang w:val="en-US"/>
        </w:rPr>
        <w:t>P</w:t>
      </w:r>
      <w:r w:rsidRPr="00C25888">
        <w:rPr>
          <w:rFonts w:eastAsia="Times New Roman" w:cs="Arial"/>
          <w:i/>
          <w:iCs/>
          <w:color w:val="000000"/>
        </w:rPr>
        <w:t>2</w:t>
      </w:r>
      <w:r w:rsidRPr="00C25888">
        <w:rPr>
          <w:rFonts w:eastAsia="Times New Roman" w:cs="Arial"/>
          <w:i/>
          <w:iCs/>
          <w:color w:val="000000"/>
          <w:lang w:val="en-US"/>
        </w:rPr>
        <w:t>YI</w:t>
      </w:r>
      <w:r w:rsidRPr="00C25888">
        <w:rPr>
          <w:rFonts w:eastAsia="Times New Roman" w:cs="Arial"/>
          <w:i/>
          <w:iCs/>
          <w:color w:val="000000"/>
        </w:rPr>
        <w:t xml:space="preserve">2 </w:t>
      </w:r>
      <w:r w:rsidRPr="00C25888">
        <w:rPr>
          <w:rFonts w:eastAsia="Times New Roman" w:cs="Arial"/>
          <w:i/>
          <w:iCs/>
          <w:color w:val="000000"/>
          <w:lang w:eastAsia="bg-BG"/>
        </w:rPr>
        <w:t xml:space="preserve">рецепторни инхибитори при остър коронарен синдром </w:t>
      </w:r>
      <w:r w:rsidRPr="00C25888">
        <w:rPr>
          <w:rFonts w:eastAsia="Times New Roman" w:cs="Arial"/>
          <w:i/>
          <w:iCs/>
          <w:color w:val="000000"/>
        </w:rPr>
        <w:t>(</w:t>
      </w:r>
      <w:r w:rsidRPr="00C25888">
        <w:rPr>
          <w:rFonts w:eastAsia="Times New Roman" w:cs="Arial"/>
          <w:i/>
          <w:iCs/>
          <w:color w:val="000000"/>
          <w:lang w:val="en-US"/>
        </w:rPr>
        <w:t>ACS</w:t>
      </w:r>
      <w:r w:rsidRPr="00C25888">
        <w:rPr>
          <w:rFonts w:eastAsia="Times New Roman" w:cs="Arial"/>
          <w:i/>
          <w:iCs/>
          <w:color w:val="000000"/>
        </w:rPr>
        <w:t xml:space="preserve">) </w:t>
      </w:r>
      <w:r w:rsidRPr="00C25888">
        <w:rPr>
          <w:rFonts w:eastAsia="Times New Roman" w:cs="Arial"/>
          <w:color w:val="000000"/>
          <w:lang w:eastAsia="bg-BG"/>
        </w:rPr>
        <w:t xml:space="preserve">Преминаването от по-мощен </w:t>
      </w:r>
      <w:r w:rsidRPr="00C25888">
        <w:rPr>
          <w:rFonts w:eastAsia="Times New Roman" w:cs="Arial"/>
          <w:color w:val="000000"/>
          <w:lang w:val="en-US"/>
        </w:rPr>
        <w:t>P</w:t>
      </w:r>
      <w:r w:rsidRPr="00C25888">
        <w:rPr>
          <w:rFonts w:eastAsia="Times New Roman" w:cs="Arial"/>
          <w:color w:val="000000"/>
        </w:rPr>
        <w:t>2</w:t>
      </w:r>
      <w:r w:rsidRPr="00C25888">
        <w:rPr>
          <w:rFonts w:eastAsia="Times New Roman" w:cs="Arial"/>
          <w:color w:val="000000"/>
          <w:lang w:val="en-US"/>
        </w:rPr>
        <w:t>Y</w:t>
      </w:r>
      <w:r w:rsidRPr="00C25888">
        <w:rPr>
          <w:rFonts w:eastAsia="Times New Roman" w:cs="Arial"/>
          <w:color w:val="000000"/>
        </w:rPr>
        <w:t xml:space="preserve">12 </w:t>
      </w:r>
      <w:r w:rsidRPr="00C25888">
        <w:rPr>
          <w:rFonts w:eastAsia="Times New Roman" w:cs="Arial"/>
          <w:color w:val="000000"/>
          <w:lang w:eastAsia="bg-BG"/>
        </w:rPr>
        <w:t xml:space="preserve">рецепторен инхибитор към клопидогрел в </w:t>
      </w:r>
      <w:r w:rsidRPr="00C25888">
        <w:rPr>
          <w:rFonts w:eastAsia="Times New Roman" w:cs="Arial"/>
          <w:color w:val="000000"/>
          <w:lang w:eastAsia="bg-BG"/>
        </w:rPr>
        <w:lastRenderedPageBreak/>
        <w:t xml:space="preserve">комбинация с аспирин след остра фаза при </w:t>
      </w:r>
      <w:r w:rsidRPr="00C25888">
        <w:rPr>
          <w:rFonts w:eastAsia="Times New Roman" w:cs="Arial"/>
          <w:color w:val="000000"/>
          <w:lang w:val="en-US"/>
        </w:rPr>
        <w:t>ACS</w:t>
      </w:r>
      <w:r w:rsidRPr="00C25888">
        <w:rPr>
          <w:rFonts w:eastAsia="Times New Roman" w:cs="Arial"/>
          <w:color w:val="000000"/>
        </w:rPr>
        <w:t xml:space="preserve"> </w:t>
      </w:r>
      <w:r w:rsidRPr="00C25888">
        <w:rPr>
          <w:rFonts w:eastAsia="Times New Roman" w:cs="Arial"/>
          <w:color w:val="000000"/>
          <w:lang w:eastAsia="bg-BG"/>
        </w:rPr>
        <w:t xml:space="preserve">е оценено в две рандомизирани, спонсорирани от изследователя проучвания </w:t>
      </w:r>
      <w:r w:rsidRPr="00C25888">
        <w:rPr>
          <w:rFonts w:eastAsia="Times New Roman" w:cs="Arial"/>
          <w:color w:val="000000"/>
        </w:rPr>
        <w:t>(</w:t>
      </w:r>
      <w:r w:rsidRPr="00C25888">
        <w:rPr>
          <w:rFonts w:eastAsia="Times New Roman" w:cs="Arial"/>
          <w:color w:val="000000"/>
          <w:lang w:val="en-US"/>
        </w:rPr>
        <w:t>investigator</w:t>
      </w:r>
      <w:r w:rsidRPr="00C25888">
        <w:rPr>
          <w:rFonts w:eastAsia="Times New Roman" w:cs="Arial"/>
          <w:color w:val="000000"/>
        </w:rPr>
        <w:t>-</w:t>
      </w:r>
      <w:r w:rsidRPr="00C25888">
        <w:rPr>
          <w:rFonts w:eastAsia="Times New Roman" w:cs="Arial"/>
          <w:color w:val="000000"/>
          <w:lang w:val="en-US"/>
        </w:rPr>
        <w:t>sponsored</w:t>
      </w:r>
      <w:r w:rsidRPr="00C25888">
        <w:rPr>
          <w:rFonts w:eastAsia="Times New Roman" w:cs="Arial"/>
          <w:color w:val="000000"/>
        </w:rPr>
        <w:t xml:space="preserve"> </w:t>
      </w:r>
      <w:r w:rsidRPr="00C25888">
        <w:rPr>
          <w:rFonts w:eastAsia="Times New Roman" w:cs="Arial"/>
          <w:color w:val="000000"/>
          <w:lang w:val="en-US"/>
        </w:rPr>
        <w:t>studies</w:t>
      </w:r>
      <w:r w:rsidRPr="00C25888">
        <w:rPr>
          <w:rFonts w:eastAsia="Times New Roman" w:cs="Arial"/>
          <w:color w:val="000000"/>
        </w:rPr>
        <w:t xml:space="preserve">, </w:t>
      </w:r>
      <w:r w:rsidRPr="00C25888">
        <w:rPr>
          <w:rFonts w:eastAsia="Times New Roman" w:cs="Arial"/>
          <w:color w:val="000000"/>
          <w:lang w:val="en-US"/>
        </w:rPr>
        <w:t>ISS</w:t>
      </w:r>
      <w:r w:rsidRPr="00C25888">
        <w:rPr>
          <w:rFonts w:eastAsia="Times New Roman" w:cs="Arial"/>
          <w:color w:val="000000"/>
        </w:rPr>
        <w:t xml:space="preserve">) </w:t>
      </w:r>
      <w:r w:rsidRPr="00C25888">
        <w:rPr>
          <w:rFonts w:eastAsia="Times New Roman" w:cs="Arial"/>
          <w:color w:val="000000"/>
          <w:lang w:eastAsia="bg-BG"/>
        </w:rPr>
        <w:t xml:space="preserve">- </w:t>
      </w:r>
      <w:r w:rsidRPr="00C25888">
        <w:rPr>
          <w:rFonts w:eastAsia="Times New Roman" w:cs="Arial"/>
          <w:color w:val="000000"/>
          <w:lang w:val="en-US"/>
        </w:rPr>
        <w:t>TOPIC</w:t>
      </w:r>
      <w:r w:rsidRPr="00C25888">
        <w:rPr>
          <w:rFonts w:eastAsia="Times New Roman" w:cs="Arial"/>
          <w:color w:val="000000"/>
        </w:rPr>
        <w:t xml:space="preserve"> </w:t>
      </w:r>
      <w:r w:rsidRPr="00C25888">
        <w:rPr>
          <w:rFonts w:eastAsia="Times New Roman" w:cs="Arial"/>
          <w:color w:val="000000"/>
          <w:lang w:eastAsia="bg-BG"/>
        </w:rPr>
        <w:t xml:space="preserve">и </w:t>
      </w:r>
      <w:r w:rsidRPr="00C25888">
        <w:rPr>
          <w:rFonts w:eastAsia="Times New Roman" w:cs="Arial"/>
          <w:color w:val="000000"/>
          <w:lang w:val="en-US"/>
        </w:rPr>
        <w:t>TROPICAL</w:t>
      </w:r>
      <w:r w:rsidRPr="00C25888">
        <w:rPr>
          <w:rFonts w:eastAsia="Times New Roman" w:cs="Arial"/>
          <w:color w:val="000000"/>
        </w:rPr>
        <w:t xml:space="preserve">- </w:t>
      </w:r>
      <w:r w:rsidRPr="00C25888">
        <w:rPr>
          <w:rFonts w:eastAsia="Times New Roman" w:cs="Arial"/>
          <w:color w:val="000000"/>
          <w:lang w:val="en-US"/>
        </w:rPr>
        <w:t>ACS</w:t>
      </w:r>
      <w:r w:rsidRPr="00C25888">
        <w:rPr>
          <w:rFonts w:eastAsia="Times New Roman" w:cs="Arial"/>
          <w:color w:val="000000"/>
        </w:rPr>
        <w:t xml:space="preserve"> </w:t>
      </w:r>
      <w:r w:rsidRPr="00C25888">
        <w:rPr>
          <w:rFonts w:eastAsia="Times New Roman" w:cs="Arial"/>
          <w:color w:val="000000"/>
          <w:lang w:val="en-US"/>
        </w:rPr>
        <w:t>c</w:t>
      </w:r>
      <w:r w:rsidRPr="00C25888">
        <w:rPr>
          <w:rFonts w:eastAsia="Times New Roman" w:cs="Arial"/>
          <w:color w:val="000000"/>
        </w:rPr>
        <w:t xml:space="preserve"> </w:t>
      </w:r>
      <w:r w:rsidRPr="00C25888">
        <w:rPr>
          <w:rFonts w:eastAsia="Times New Roman" w:cs="Arial"/>
          <w:color w:val="000000"/>
          <w:lang w:eastAsia="bg-BG"/>
        </w:rPr>
        <w:t>данни за клиничен резултат.</w:t>
      </w:r>
    </w:p>
    <w:p w14:paraId="4392E0A8" w14:textId="77777777" w:rsidR="006E7B6D" w:rsidRPr="00C25888" w:rsidRDefault="006E7B6D" w:rsidP="006E7B6D">
      <w:pPr>
        <w:spacing w:line="240" w:lineRule="auto"/>
        <w:rPr>
          <w:rFonts w:eastAsia="Times New Roman" w:cs="Arial"/>
          <w:color w:val="000000"/>
          <w:lang w:eastAsia="bg-BG"/>
        </w:rPr>
      </w:pPr>
    </w:p>
    <w:p w14:paraId="429BF12D" w14:textId="495100A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Клиничната полза, която показват по-мощните </w:t>
      </w:r>
      <w:r w:rsidRPr="00C25888">
        <w:rPr>
          <w:rFonts w:eastAsia="Times New Roman" w:cs="Arial"/>
          <w:color w:val="000000"/>
          <w:lang w:val="en-US"/>
        </w:rPr>
        <w:t>P</w:t>
      </w:r>
      <w:r w:rsidRPr="00C25888">
        <w:rPr>
          <w:rFonts w:eastAsia="Times New Roman" w:cs="Arial"/>
          <w:color w:val="000000"/>
          <w:lang w:val="ru-RU"/>
        </w:rPr>
        <w:t>2</w:t>
      </w:r>
      <w:r w:rsidRPr="00C25888">
        <w:rPr>
          <w:rFonts w:eastAsia="Times New Roman" w:cs="Arial"/>
          <w:color w:val="000000"/>
          <w:lang w:val="en-US"/>
        </w:rPr>
        <w:t>Y</w:t>
      </w:r>
      <w:r w:rsidRPr="00C25888">
        <w:rPr>
          <w:rFonts w:eastAsia="Times New Roman" w:cs="Arial"/>
          <w:color w:val="000000"/>
          <w:lang w:val="ru-RU"/>
        </w:rPr>
        <w:t xml:space="preserve">12 </w:t>
      </w:r>
      <w:r w:rsidRPr="00C25888">
        <w:rPr>
          <w:rFonts w:eastAsia="Times New Roman" w:cs="Arial"/>
          <w:color w:val="000000"/>
          <w:lang w:eastAsia="bg-BG"/>
        </w:rPr>
        <w:t xml:space="preserve">рецепторни инхибитори, тикагрелор и празугрел в техните основни проучвания, е свързана със значимо намаляване на рецидивиращите исхемични събития (включително остра и подостра тромбоза на стента - </w:t>
      </w:r>
      <w:r w:rsidRPr="00C25888">
        <w:rPr>
          <w:rFonts w:eastAsia="Times New Roman" w:cs="Arial"/>
          <w:color w:val="000000"/>
          <w:lang w:val="en-US"/>
        </w:rPr>
        <w:t>ST</w:t>
      </w:r>
      <w:r w:rsidRPr="00C25888">
        <w:rPr>
          <w:rFonts w:eastAsia="Times New Roman" w:cs="Arial"/>
          <w:color w:val="000000"/>
          <w:lang w:val="ru-RU"/>
        </w:rPr>
        <w:t xml:space="preserve">, </w:t>
      </w:r>
      <w:r w:rsidRPr="00C25888">
        <w:rPr>
          <w:rFonts w:eastAsia="Times New Roman" w:cs="Arial"/>
          <w:color w:val="000000"/>
          <w:lang w:eastAsia="bg-BG"/>
        </w:rPr>
        <w:t xml:space="preserve">миокарден инфаркт -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и спешна реваскуларизация). Въпреки че исхемичната полза е последователна през първата година, по-голямо намаление на исхемичните рецидиви след </w:t>
      </w:r>
      <w:r w:rsidRPr="00C25888">
        <w:rPr>
          <w:rFonts w:eastAsia="Times New Roman" w:cs="Arial"/>
          <w:color w:val="000000"/>
          <w:lang w:val="en-US"/>
        </w:rPr>
        <w:t>ACS</w:t>
      </w:r>
      <w:r w:rsidRPr="00C25888">
        <w:rPr>
          <w:rFonts w:eastAsia="Times New Roman" w:cs="Arial"/>
          <w:color w:val="000000"/>
          <w:lang w:val="ru-RU"/>
        </w:rPr>
        <w:t xml:space="preserve"> </w:t>
      </w:r>
      <w:r w:rsidRPr="00C25888">
        <w:rPr>
          <w:rFonts w:eastAsia="Times New Roman" w:cs="Arial"/>
          <w:color w:val="000000"/>
          <w:lang w:eastAsia="bg-BG"/>
        </w:rPr>
        <w:t xml:space="preserve">е наблюдавано през първите дни след започване на лечението. Обратно, последващите </w:t>
      </w:r>
      <w:r w:rsidRPr="00C25888">
        <w:rPr>
          <w:rFonts w:eastAsia="Times New Roman" w:cs="Arial"/>
          <w:i/>
          <w:iCs/>
          <w:color w:val="000000"/>
          <w:lang w:val="ru-RU"/>
        </w:rPr>
        <w:t>(</w:t>
      </w:r>
      <w:r w:rsidRPr="00C25888">
        <w:rPr>
          <w:rFonts w:eastAsia="Times New Roman" w:cs="Arial"/>
          <w:i/>
          <w:iCs/>
          <w:color w:val="000000"/>
          <w:lang w:val="en-US"/>
        </w:rPr>
        <w:t>post</w:t>
      </w:r>
      <w:r w:rsidRPr="00C25888">
        <w:rPr>
          <w:rFonts w:eastAsia="Times New Roman" w:cs="Arial"/>
          <w:i/>
          <w:iCs/>
          <w:color w:val="000000"/>
          <w:lang w:val="ru-RU"/>
        </w:rPr>
        <w:t xml:space="preserve">- </w:t>
      </w:r>
      <w:r w:rsidRPr="00C25888">
        <w:rPr>
          <w:rFonts w:eastAsia="Times New Roman" w:cs="Arial"/>
          <w:i/>
          <w:iCs/>
          <w:color w:val="000000"/>
          <w:lang w:val="en-US"/>
        </w:rPr>
        <w:t>hoc</w:t>
      </w:r>
      <w:r w:rsidRPr="00C25888">
        <w:rPr>
          <w:rFonts w:eastAsia="Times New Roman" w:cs="Arial"/>
          <w:i/>
          <w:iCs/>
          <w:color w:val="000000"/>
          <w:lang w:val="ru-RU"/>
        </w:rPr>
        <w:t>)</w:t>
      </w:r>
      <w:r w:rsidRPr="00C25888">
        <w:rPr>
          <w:rFonts w:eastAsia="Times New Roman" w:cs="Arial"/>
          <w:color w:val="000000"/>
          <w:lang w:val="ru-RU"/>
        </w:rPr>
        <w:t xml:space="preserve"> </w:t>
      </w:r>
      <w:r w:rsidRPr="00C25888">
        <w:rPr>
          <w:rFonts w:eastAsia="Times New Roman" w:cs="Arial"/>
          <w:color w:val="000000"/>
          <w:lang w:eastAsia="bg-BG"/>
        </w:rPr>
        <w:t xml:space="preserve">анализи показват статистически значимо увеличение на риска от кървене при по-мощните </w:t>
      </w:r>
      <w:r w:rsidRPr="00C25888">
        <w:rPr>
          <w:rFonts w:eastAsia="Times New Roman" w:cs="Arial"/>
          <w:color w:val="000000"/>
          <w:lang w:val="en-US"/>
        </w:rPr>
        <w:t>P</w:t>
      </w:r>
      <w:r w:rsidRPr="00C25888">
        <w:rPr>
          <w:rFonts w:eastAsia="Times New Roman" w:cs="Arial"/>
          <w:color w:val="000000"/>
          <w:lang w:val="ru-RU"/>
        </w:rPr>
        <w:t>2</w:t>
      </w:r>
      <w:r w:rsidRPr="00C25888">
        <w:rPr>
          <w:rFonts w:eastAsia="Times New Roman" w:cs="Arial"/>
          <w:color w:val="000000"/>
          <w:lang w:val="en-US"/>
        </w:rPr>
        <w:t>Y</w:t>
      </w:r>
      <w:r w:rsidRPr="00C25888">
        <w:rPr>
          <w:rFonts w:eastAsia="Times New Roman" w:cs="Arial"/>
          <w:color w:val="000000"/>
          <w:lang w:val="ru-RU"/>
        </w:rPr>
        <w:t xml:space="preserve">12 </w:t>
      </w:r>
      <w:r w:rsidRPr="00C25888">
        <w:rPr>
          <w:rFonts w:eastAsia="Times New Roman" w:cs="Arial"/>
          <w:color w:val="000000"/>
          <w:lang w:eastAsia="bg-BG"/>
        </w:rPr>
        <w:t xml:space="preserve">рецепторни инхибитори, което се появява предимно по време на поддържащата фаза, след първия месец след </w:t>
      </w:r>
      <w:r w:rsidRPr="00C25888">
        <w:rPr>
          <w:rFonts w:eastAsia="Times New Roman" w:cs="Arial"/>
          <w:color w:val="000000"/>
          <w:lang w:val="en-US"/>
        </w:rPr>
        <w:t>ACS</w:t>
      </w:r>
      <w:r w:rsidRPr="00C25888">
        <w:rPr>
          <w:rFonts w:eastAsia="Times New Roman" w:cs="Arial"/>
          <w:color w:val="000000"/>
          <w:lang w:val="ru-RU"/>
        </w:rPr>
        <w:t xml:space="preserve">. </w:t>
      </w:r>
      <w:r w:rsidRPr="00C25888">
        <w:rPr>
          <w:rFonts w:eastAsia="Times New Roman" w:cs="Arial"/>
          <w:color w:val="000000"/>
          <w:lang w:val="en-US"/>
        </w:rPr>
        <w:t>TOPIC</w:t>
      </w:r>
      <w:r w:rsidRPr="00C25888">
        <w:rPr>
          <w:rFonts w:eastAsia="Times New Roman" w:cs="Arial"/>
          <w:color w:val="000000"/>
          <w:lang w:val="ru-RU"/>
        </w:rPr>
        <w:t xml:space="preserve"> </w:t>
      </w:r>
      <w:r w:rsidRPr="00C25888">
        <w:rPr>
          <w:rFonts w:eastAsia="Times New Roman" w:cs="Arial"/>
          <w:color w:val="000000"/>
          <w:lang w:eastAsia="bg-BG"/>
        </w:rPr>
        <w:t xml:space="preserve">и </w:t>
      </w:r>
      <w:r w:rsidRPr="00C25888">
        <w:rPr>
          <w:rFonts w:eastAsia="Times New Roman" w:cs="Arial"/>
          <w:color w:val="000000"/>
          <w:lang w:val="en-US"/>
        </w:rPr>
        <w:t>TROP</w:t>
      </w:r>
      <w:r w:rsidRPr="00C25888">
        <w:rPr>
          <w:rFonts w:eastAsia="Times New Roman" w:cs="Arial"/>
          <w:color w:val="000000"/>
          <w:lang w:val="ru-RU"/>
        </w:rPr>
        <w:t>1</w:t>
      </w:r>
      <w:r w:rsidRPr="00C25888">
        <w:rPr>
          <w:rFonts w:eastAsia="Times New Roman" w:cs="Arial"/>
          <w:color w:val="000000"/>
          <w:lang w:val="en-US"/>
        </w:rPr>
        <w:t>CAL</w:t>
      </w:r>
      <w:r w:rsidRPr="00C25888">
        <w:rPr>
          <w:rFonts w:eastAsia="Times New Roman" w:cs="Arial"/>
          <w:color w:val="000000"/>
          <w:lang w:val="ru-RU"/>
        </w:rPr>
        <w:t>-</w:t>
      </w:r>
      <w:r w:rsidRPr="00C25888">
        <w:rPr>
          <w:rFonts w:eastAsia="Times New Roman" w:cs="Arial"/>
          <w:color w:val="000000"/>
          <w:lang w:val="en-US"/>
        </w:rPr>
        <w:t>ACS</w:t>
      </w:r>
      <w:r w:rsidRPr="00C25888">
        <w:rPr>
          <w:rFonts w:eastAsia="Times New Roman" w:cs="Arial"/>
          <w:color w:val="000000"/>
          <w:lang w:val="ru-RU"/>
        </w:rPr>
        <w:t xml:space="preserve"> </w:t>
      </w:r>
      <w:r w:rsidRPr="00C25888">
        <w:rPr>
          <w:rFonts w:eastAsia="Times New Roman" w:cs="Arial"/>
          <w:color w:val="000000"/>
          <w:lang w:eastAsia="bg-BG"/>
        </w:rPr>
        <w:t>са предназначени да изследват как да се намалят събитията на кървене, като се запази ефикасността.</w:t>
      </w:r>
    </w:p>
    <w:p w14:paraId="3B71A0BA" w14:textId="77777777" w:rsidR="006E7B6D" w:rsidRPr="00C25888" w:rsidRDefault="006E7B6D" w:rsidP="006E7B6D">
      <w:pPr>
        <w:rPr>
          <w:rFonts w:eastAsia="Times New Roman" w:cs="Arial"/>
          <w:b/>
          <w:bCs/>
          <w:i/>
          <w:iCs/>
          <w:color w:val="000000"/>
          <w:lang w:val="en-US"/>
        </w:rPr>
      </w:pPr>
    </w:p>
    <w:p w14:paraId="440E6435" w14:textId="112FCE9F" w:rsidR="006E7B6D" w:rsidRPr="00C25888" w:rsidRDefault="006E7B6D" w:rsidP="006E7B6D">
      <w:pPr>
        <w:rPr>
          <w:rFonts w:eastAsia="Times New Roman" w:cs="Arial"/>
          <w:i/>
          <w:iCs/>
          <w:color w:val="000000"/>
        </w:rPr>
      </w:pPr>
      <w:r w:rsidRPr="00C25888">
        <w:rPr>
          <w:rFonts w:eastAsia="Times New Roman" w:cs="Arial"/>
          <w:b/>
          <w:bCs/>
          <w:i/>
          <w:iCs/>
          <w:color w:val="000000"/>
          <w:lang w:val="en-US"/>
        </w:rPr>
        <w:t>TOPIC</w:t>
      </w:r>
      <w:r w:rsidRPr="00C25888">
        <w:rPr>
          <w:rFonts w:eastAsia="Times New Roman" w:cs="Arial"/>
          <w:b/>
          <w:bCs/>
          <w:i/>
          <w:iCs/>
          <w:color w:val="000000"/>
        </w:rPr>
        <w:t xml:space="preserve"> </w:t>
      </w:r>
      <w:r w:rsidRPr="00C25888">
        <w:rPr>
          <w:rFonts w:eastAsia="Times New Roman" w:cs="Arial"/>
          <w:i/>
          <w:iCs/>
          <w:color w:val="000000"/>
          <w:lang w:eastAsia="bg-BG"/>
        </w:rPr>
        <w:t>(Време на тромбоцитна инхибиция след остър коронарен синдром -</w:t>
      </w:r>
      <w:r w:rsidRPr="00C25888">
        <w:rPr>
          <w:rFonts w:eastAsia="Times New Roman" w:cs="Arial"/>
          <w:i/>
          <w:iCs/>
          <w:color w:val="000000"/>
        </w:rPr>
        <w:t xml:space="preserve"> </w:t>
      </w:r>
      <w:r w:rsidRPr="00C25888">
        <w:rPr>
          <w:rFonts w:eastAsia="Times New Roman" w:cs="Arial"/>
          <w:i/>
          <w:iCs/>
          <w:color w:val="000000"/>
          <w:lang w:val="en-US"/>
        </w:rPr>
        <w:t>Timing</w:t>
      </w:r>
      <w:r w:rsidRPr="00C25888">
        <w:rPr>
          <w:rFonts w:eastAsia="Times New Roman" w:cs="Arial"/>
          <w:i/>
          <w:iCs/>
          <w:color w:val="000000"/>
        </w:rPr>
        <w:t xml:space="preserve"> </w:t>
      </w:r>
      <w:proofErr w:type="gramStart"/>
      <w:r w:rsidRPr="00C25888">
        <w:rPr>
          <w:rFonts w:eastAsia="Times New Roman" w:cs="Arial"/>
          <w:i/>
          <w:iCs/>
          <w:color w:val="000000"/>
          <w:lang w:val="en-US"/>
        </w:rPr>
        <w:t>Of</w:t>
      </w:r>
      <w:proofErr w:type="gramEnd"/>
      <w:r w:rsidRPr="00C25888">
        <w:rPr>
          <w:rFonts w:eastAsia="Times New Roman" w:cs="Arial"/>
          <w:i/>
          <w:iCs/>
          <w:color w:val="000000"/>
        </w:rPr>
        <w:t xml:space="preserve"> </w:t>
      </w:r>
      <w:r w:rsidRPr="00C25888">
        <w:rPr>
          <w:rFonts w:eastAsia="Times New Roman" w:cs="Arial"/>
          <w:i/>
          <w:iCs/>
          <w:color w:val="000000"/>
          <w:lang w:val="en-US"/>
        </w:rPr>
        <w:t>Platelet</w:t>
      </w:r>
      <w:r w:rsidRPr="00C25888">
        <w:rPr>
          <w:rFonts w:eastAsia="Times New Roman" w:cs="Arial"/>
          <w:i/>
          <w:iCs/>
          <w:color w:val="000000"/>
        </w:rPr>
        <w:t xml:space="preserve"> </w:t>
      </w:r>
      <w:r w:rsidRPr="00C25888">
        <w:rPr>
          <w:rFonts w:eastAsia="Times New Roman" w:cs="Arial"/>
          <w:i/>
          <w:iCs/>
          <w:color w:val="000000"/>
          <w:lang w:val="en-US"/>
        </w:rPr>
        <w:t>Inhibition</w:t>
      </w:r>
      <w:r w:rsidRPr="00C25888">
        <w:rPr>
          <w:rFonts w:eastAsia="Times New Roman" w:cs="Arial"/>
          <w:i/>
          <w:iCs/>
          <w:color w:val="000000"/>
        </w:rPr>
        <w:t xml:space="preserve"> </w:t>
      </w:r>
      <w:r w:rsidRPr="00C25888">
        <w:rPr>
          <w:rFonts w:eastAsia="Times New Roman" w:cs="Arial"/>
          <w:i/>
          <w:iCs/>
          <w:color w:val="000000"/>
          <w:lang w:val="en-US"/>
        </w:rPr>
        <w:t>after</w:t>
      </w:r>
      <w:r w:rsidRPr="00C25888">
        <w:rPr>
          <w:rFonts w:eastAsia="Times New Roman" w:cs="Arial"/>
          <w:i/>
          <w:iCs/>
          <w:color w:val="000000"/>
        </w:rPr>
        <w:t xml:space="preserve"> </w:t>
      </w:r>
      <w:r w:rsidRPr="00C25888">
        <w:rPr>
          <w:rFonts w:eastAsia="Times New Roman" w:cs="Arial"/>
          <w:i/>
          <w:iCs/>
          <w:color w:val="000000"/>
          <w:lang w:val="en-US"/>
        </w:rPr>
        <w:t>acute</w:t>
      </w:r>
      <w:r w:rsidRPr="00C25888">
        <w:rPr>
          <w:rFonts w:eastAsia="Times New Roman" w:cs="Arial"/>
          <w:i/>
          <w:iCs/>
          <w:color w:val="000000"/>
        </w:rPr>
        <w:t xml:space="preserve"> </w:t>
      </w:r>
      <w:r w:rsidRPr="00C25888">
        <w:rPr>
          <w:rFonts w:eastAsia="Times New Roman" w:cs="Arial"/>
          <w:i/>
          <w:iCs/>
          <w:color w:val="000000"/>
          <w:lang w:val="en-US"/>
        </w:rPr>
        <w:t>Coronary</w:t>
      </w:r>
      <w:r w:rsidRPr="00C25888">
        <w:rPr>
          <w:rFonts w:eastAsia="Times New Roman" w:cs="Arial"/>
          <w:i/>
          <w:iCs/>
          <w:color w:val="000000"/>
        </w:rPr>
        <w:t xml:space="preserve"> </w:t>
      </w:r>
      <w:r w:rsidRPr="00C25888">
        <w:rPr>
          <w:rFonts w:eastAsia="Times New Roman" w:cs="Arial"/>
          <w:i/>
          <w:iCs/>
          <w:color w:val="000000"/>
          <w:lang w:val="en-US"/>
        </w:rPr>
        <w:t>syndrome</w:t>
      </w:r>
      <w:r w:rsidRPr="00C25888">
        <w:rPr>
          <w:rFonts w:eastAsia="Times New Roman" w:cs="Arial"/>
          <w:i/>
          <w:iCs/>
          <w:color w:val="000000"/>
        </w:rPr>
        <w:t>)</w:t>
      </w:r>
    </w:p>
    <w:p w14:paraId="72167570" w14:textId="62A4350F" w:rsidR="006E7B6D" w:rsidRPr="00C25888" w:rsidRDefault="006E7B6D" w:rsidP="006E7B6D">
      <w:pPr>
        <w:rPr>
          <w:rFonts w:eastAsia="Times New Roman" w:cs="Arial"/>
          <w:i/>
          <w:iCs/>
          <w:color w:val="000000"/>
        </w:rPr>
      </w:pPr>
    </w:p>
    <w:p w14:paraId="3ECE55F0"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Това рандомизирано, открито проучване включва пациенти с </w:t>
      </w:r>
      <w:r w:rsidRPr="00C25888">
        <w:rPr>
          <w:rFonts w:eastAsia="Times New Roman" w:cs="Arial"/>
          <w:color w:val="000000"/>
          <w:lang w:val="en-US"/>
        </w:rPr>
        <w:t>ACS</w:t>
      </w:r>
      <w:r w:rsidRPr="00C25888">
        <w:rPr>
          <w:rFonts w:eastAsia="Times New Roman" w:cs="Arial"/>
          <w:color w:val="000000"/>
          <w:lang w:val="ru-RU"/>
        </w:rPr>
        <w:t xml:space="preserve">, </w:t>
      </w:r>
      <w:r w:rsidRPr="00C25888">
        <w:rPr>
          <w:rFonts w:eastAsia="Times New Roman" w:cs="Arial"/>
          <w:color w:val="000000"/>
          <w:lang w:eastAsia="bg-BG"/>
        </w:rPr>
        <w:t xml:space="preserve">които се нуждаят от </w:t>
      </w:r>
      <w:r w:rsidRPr="00C25888">
        <w:rPr>
          <w:rFonts w:eastAsia="Times New Roman" w:cs="Arial"/>
          <w:color w:val="000000"/>
          <w:lang w:val="en-US"/>
        </w:rPr>
        <w:t>PCI</w:t>
      </w:r>
      <w:r w:rsidRPr="00C25888">
        <w:rPr>
          <w:rFonts w:eastAsia="Times New Roman" w:cs="Arial"/>
          <w:color w:val="000000"/>
          <w:lang w:val="ru-RU"/>
        </w:rPr>
        <w:t xml:space="preserve">. </w:t>
      </w:r>
      <w:r w:rsidRPr="00C25888">
        <w:rPr>
          <w:rFonts w:eastAsia="Times New Roman" w:cs="Arial"/>
          <w:color w:val="000000"/>
          <w:lang w:eastAsia="bg-BG"/>
        </w:rPr>
        <w:t xml:space="preserve">Пациентите на аспирин и по-мощен </w:t>
      </w:r>
      <w:r w:rsidRPr="00C25888">
        <w:rPr>
          <w:rFonts w:eastAsia="Times New Roman" w:cs="Arial"/>
          <w:color w:val="000000"/>
          <w:lang w:val="en-US"/>
        </w:rPr>
        <w:t>P</w:t>
      </w:r>
      <w:r w:rsidRPr="00C25888">
        <w:rPr>
          <w:rFonts w:eastAsia="Times New Roman" w:cs="Arial"/>
          <w:color w:val="000000"/>
          <w:lang w:val="ru-RU"/>
        </w:rPr>
        <w:t>2</w:t>
      </w:r>
      <w:r w:rsidRPr="00C25888">
        <w:rPr>
          <w:rFonts w:eastAsia="Times New Roman" w:cs="Arial"/>
          <w:color w:val="000000"/>
          <w:lang w:val="en-US"/>
        </w:rPr>
        <w:t>Y</w:t>
      </w:r>
      <w:r w:rsidRPr="00C25888">
        <w:rPr>
          <w:rFonts w:eastAsia="Times New Roman" w:cs="Arial"/>
          <w:color w:val="000000"/>
          <w:lang w:val="ru-RU"/>
        </w:rPr>
        <w:t xml:space="preserve">12 </w:t>
      </w:r>
      <w:r w:rsidRPr="00C25888">
        <w:rPr>
          <w:rFonts w:eastAsia="Times New Roman" w:cs="Arial"/>
          <w:color w:val="000000"/>
          <w:lang w:eastAsia="bg-BG"/>
        </w:rPr>
        <w:t xml:space="preserve">блокер и без нежелано събитие в рамките на един месец, са били разпределени да преминат на фиксирани дози аспирин плюс клопидогрел (деескалирана двойна антитромбоцитна терапия - </w:t>
      </w:r>
      <w:r w:rsidRPr="00C25888">
        <w:rPr>
          <w:rFonts w:eastAsia="Times New Roman" w:cs="Arial"/>
          <w:color w:val="000000"/>
          <w:lang w:val="en-US"/>
        </w:rPr>
        <w:t>de</w:t>
      </w:r>
      <w:r w:rsidRPr="00C25888">
        <w:rPr>
          <w:rFonts w:eastAsia="Times New Roman" w:cs="Arial"/>
          <w:color w:val="000000"/>
          <w:lang w:val="ru-RU"/>
        </w:rPr>
        <w:t>-</w:t>
      </w:r>
      <w:r w:rsidRPr="00C25888">
        <w:rPr>
          <w:rFonts w:eastAsia="Times New Roman" w:cs="Arial"/>
          <w:color w:val="000000"/>
          <w:lang w:val="en-US"/>
        </w:rPr>
        <w:t>escalated</w:t>
      </w:r>
      <w:r w:rsidRPr="00C25888">
        <w:rPr>
          <w:rFonts w:eastAsia="Times New Roman" w:cs="Arial"/>
          <w:color w:val="000000"/>
          <w:lang w:val="ru-RU"/>
        </w:rPr>
        <w:t xml:space="preserve"> </w:t>
      </w:r>
      <w:r w:rsidRPr="00C25888">
        <w:rPr>
          <w:rFonts w:eastAsia="Times New Roman" w:cs="Arial"/>
          <w:color w:val="000000"/>
          <w:lang w:val="en-US"/>
        </w:rPr>
        <w:t>dual</w:t>
      </w:r>
      <w:r w:rsidRPr="00C25888">
        <w:rPr>
          <w:rFonts w:eastAsia="Times New Roman" w:cs="Arial"/>
          <w:color w:val="000000"/>
          <w:lang w:val="ru-RU"/>
        </w:rPr>
        <w:t xml:space="preserve"> </w:t>
      </w:r>
      <w:r w:rsidRPr="00C25888">
        <w:rPr>
          <w:rFonts w:eastAsia="Times New Roman" w:cs="Arial"/>
          <w:color w:val="000000"/>
          <w:lang w:val="en-US"/>
        </w:rPr>
        <w:t>anti</w:t>
      </w:r>
      <w:r w:rsidRPr="00C25888">
        <w:rPr>
          <w:rFonts w:eastAsia="Times New Roman" w:cs="Arial"/>
          <w:color w:val="000000"/>
          <w:lang w:val="ru-RU"/>
        </w:rPr>
        <w:t xml:space="preserve"> </w:t>
      </w:r>
      <w:r w:rsidRPr="00C25888">
        <w:rPr>
          <w:rFonts w:eastAsia="Times New Roman" w:cs="Arial"/>
          <w:color w:val="000000"/>
          <w:lang w:val="en-US"/>
        </w:rPr>
        <w:t>platelet</w:t>
      </w:r>
      <w:r w:rsidRPr="00C25888">
        <w:rPr>
          <w:rFonts w:eastAsia="Times New Roman" w:cs="Arial"/>
          <w:color w:val="000000"/>
          <w:lang w:val="ru-RU"/>
        </w:rPr>
        <w:t xml:space="preserve"> </w:t>
      </w:r>
      <w:r w:rsidRPr="00C25888">
        <w:rPr>
          <w:rFonts w:eastAsia="Times New Roman" w:cs="Arial"/>
          <w:color w:val="000000"/>
          <w:lang w:val="en-US"/>
        </w:rPr>
        <w:t>therapy</w:t>
      </w:r>
      <w:r w:rsidRPr="00C25888">
        <w:rPr>
          <w:rFonts w:eastAsia="Times New Roman" w:cs="Arial"/>
          <w:color w:val="000000"/>
          <w:lang w:val="ru-RU"/>
        </w:rPr>
        <w:t xml:space="preserve">,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 xml:space="preserve">или да продължат своята лекарствена схема (непроменена </w:t>
      </w:r>
      <w:r w:rsidRPr="00C25888">
        <w:rPr>
          <w:rFonts w:eastAsia="Times New Roman" w:cs="Arial"/>
          <w:color w:val="000000"/>
          <w:lang w:val="en-US"/>
        </w:rPr>
        <w:t>DAPT</w:t>
      </w:r>
      <w:r w:rsidRPr="00C25888">
        <w:rPr>
          <w:rFonts w:eastAsia="Times New Roman" w:cs="Arial"/>
          <w:color w:val="000000"/>
          <w:lang w:val="ru-RU"/>
        </w:rPr>
        <w:t>).</w:t>
      </w:r>
    </w:p>
    <w:p w14:paraId="71334CE1" w14:textId="77777777" w:rsidR="006E7B6D" w:rsidRPr="00C25888" w:rsidRDefault="006E7B6D" w:rsidP="006E7B6D">
      <w:pPr>
        <w:spacing w:line="240" w:lineRule="auto"/>
        <w:rPr>
          <w:rFonts w:eastAsia="Times New Roman" w:cs="Arial"/>
          <w:color w:val="000000"/>
          <w:lang w:eastAsia="bg-BG"/>
        </w:rPr>
      </w:pPr>
    </w:p>
    <w:p w14:paraId="0CC3B8C6" w14:textId="616B6CA1"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Анализирани са общо 645 от 646 пациенти със </w:t>
      </w:r>
      <w:r w:rsidRPr="00C25888">
        <w:rPr>
          <w:rFonts w:eastAsia="Times New Roman" w:cs="Arial"/>
          <w:color w:val="000000"/>
          <w:lang w:val="en-US"/>
        </w:rPr>
        <w:t>STEMI</w:t>
      </w:r>
      <w:r w:rsidRPr="00C25888">
        <w:rPr>
          <w:rFonts w:eastAsia="Times New Roman" w:cs="Arial"/>
          <w:color w:val="000000"/>
          <w:lang w:val="ru-RU"/>
        </w:rPr>
        <w:t xml:space="preserve"> </w:t>
      </w:r>
      <w:r w:rsidRPr="00C25888">
        <w:rPr>
          <w:rFonts w:eastAsia="Times New Roman" w:cs="Arial"/>
          <w:color w:val="000000"/>
          <w:lang w:eastAsia="bg-BG"/>
        </w:rPr>
        <w:t xml:space="preserve">или </w:t>
      </w:r>
      <w:r w:rsidRPr="00C25888">
        <w:rPr>
          <w:rFonts w:eastAsia="Times New Roman" w:cs="Arial"/>
          <w:color w:val="000000"/>
          <w:lang w:val="en-US"/>
        </w:rPr>
        <w:t>NSTEMI</w:t>
      </w:r>
      <w:r w:rsidRPr="00C25888">
        <w:rPr>
          <w:rFonts w:eastAsia="Times New Roman" w:cs="Arial"/>
          <w:color w:val="000000"/>
          <w:lang w:val="ru-RU"/>
        </w:rPr>
        <w:t xml:space="preserve">, </w:t>
      </w:r>
      <w:r w:rsidRPr="00C25888">
        <w:rPr>
          <w:rFonts w:eastAsia="Times New Roman" w:cs="Arial"/>
          <w:color w:val="000000"/>
          <w:lang w:eastAsia="bg-BG"/>
        </w:rPr>
        <w:t xml:space="preserve">или нестабилна стенокардия (деескалирана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w:t>
      </w:r>
      <w:r w:rsidRPr="00C25888">
        <w:rPr>
          <w:rFonts w:eastAsia="Times New Roman" w:cs="Arial"/>
          <w:color w:val="000000"/>
          <w:lang w:val="en-US"/>
        </w:rPr>
        <w:t>n</w:t>
      </w:r>
      <w:r w:rsidRPr="00C25888">
        <w:rPr>
          <w:rFonts w:eastAsia="Times New Roman" w:cs="Arial"/>
          <w:color w:val="000000"/>
          <w:lang w:eastAsia="bg-BG"/>
        </w:rPr>
        <w:t xml:space="preserve">=322); непроменена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w:t>
      </w:r>
      <w:r w:rsidRPr="00C25888">
        <w:rPr>
          <w:rFonts w:eastAsia="Times New Roman" w:cs="Arial"/>
          <w:color w:val="000000"/>
          <w:lang w:val="en-US"/>
        </w:rPr>
        <w:t>n</w:t>
      </w:r>
      <w:r w:rsidRPr="00C25888">
        <w:rPr>
          <w:rFonts w:eastAsia="Times New Roman" w:cs="Arial"/>
          <w:color w:val="000000"/>
          <w:lang w:eastAsia="bg-BG"/>
        </w:rPr>
        <w:t xml:space="preserve">=323)). Проследяване на първата година е извършено при 316 пациенти (98,1%) в групата на деескалирана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 xml:space="preserve">и 318 пациенти (98,5%) в групата на непроменена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Медианата на проследяване за двете групи е 359 дни. Характеристиките на изследваната кохорта са сходни в двете групи.</w:t>
      </w:r>
    </w:p>
    <w:p w14:paraId="5B9CB9FD" w14:textId="77777777" w:rsidR="006E7B6D" w:rsidRPr="00C25888" w:rsidRDefault="006E7B6D" w:rsidP="006E7B6D">
      <w:pPr>
        <w:spacing w:line="240" w:lineRule="auto"/>
        <w:rPr>
          <w:rFonts w:eastAsia="Times New Roman" w:cs="Arial"/>
          <w:color w:val="000000"/>
          <w:lang w:eastAsia="bg-BG"/>
        </w:rPr>
      </w:pPr>
    </w:p>
    <w:p w14:paraId="4B943C93" w14:textId="58193F42"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Първичният резултат, съставна точка от сърдечносъдова смърт, инсулт, спешна реваскуларизация и кървене по </w:t>
      </w:r>
      <w:r w:rsidRPr="00C25888">
        <w:rPr>
          <w:rFonts w:eastAsia="Times New Roman" w:cs="Arial"/>
          <w:color w:val="000000"/>
          <w:lang w:val="en-US"/>
        </w:rPr>
        <w:t>BARC</w:t>
      </w:r>
      <w:r w:rsidRPr="00C25888">
        <w:rPr>
          <w:rFonts w:eastAsia="Times New Roman" w:cs="Arial"/>
          <w:color w:val="000000"/>
        </w:rPr>
        <w:t xml:space="preserve"> </w:t>
      </w:r>
      <w:r w:rsidRPr="00C25888">
        <w:rPr>
          <w:rFonts w:eastAsia="Times New Roman" w:cs="Arial"/>
          <w:color w:val="000000"/>
          <w:lang w:eastAsia="bg-BG"/>
        </w:rPr>
        <w:t xml:space="preserve">(академичен изследователски консорциум по кървене - </w:t>
      </w:r>
      <w:r w:rsidRPr="00C25888">
        <w:rPr>
          <w:rFonts w:eastAsia="Times New Roman" w:cs="Arial"/>
          <w:color w:val="000000"/>
          <w:lang w:val="en-US"/>
        </w:rPr>
        <w:t>Bleeding</w:t>
      </w:r>
      <w:r w:rsidRPr="00C25888">
        <w:rPr>
          <w:rFonts w:eastAsia="Times New Roman" w:cs="Arial"/>
          <w:color w:val="000000"/>
        </w:rPr>
        <w:t xml:space="preserve"> </w:t>
      </w:r>
      <w:r w:rsidRPr="00C25888">
        <w:rPr>
          <w:rFonts w:eastAsia="Times New Roman" w:cs="Arial"/>
          <w:color w:val="000000"/>
          <w:lang w:val="en-US"/>
        </w:rPr>
        <w:t>Academic</w:t>
      </w:r>
      <w:r w:rsidRPr="00C25888">
        <w:rPr>
          <w:rFonts w:eastAsia="Times New Roman" w:cs="Arial"/>
          <w:color w:val="000000"/>
        </w:rPr>
        <w:t xml:space="preserve"> </w:t>
      </w:r>
      <w:r w:rsidRPr="00C25888">
        <w:rPr>
          <w:rFonts w:eastAsia="Times New Roman" w:cs="Arial"/>
          <w:color w:val="000000"/>
          <w:lang w:val="en-US"/>
        </w:rPr>
        <w:t>Research</w:t>
      </w:r>
      <w:r w:rsidRPr="00C25888">
        <w:rPr>
          <w:rFonts w:eastAsia="Times New Roman" w:cs="Arial"/>
          <w:color w:val="000000"/>
        </w:rPr>
        <w:t xml:space="preserve"> </w:t>
      </w:r>
      <w:r w:rsidRPr="00C25888">
        <w:rPr>
          <w:rFonts w:eastAsia="Times New Roman" w:cs="Arial"/>
          <w:color w:val="000000"/>
          <w:lang w:val="en-US"/>
        </w:rPr>
        <w:t>Consortium</w:t>
      </w:r>
      <w:r w:rsidRPr="00C25888">
        <w:rPr>
          <w:rFonts w:eastAsia="Times New Roman" w:cs="Arial"/>
          <w:color w:val="000000"/>
        </w:rPr>
        <w:t xml:space="preserve">) </w:t>
      </w:r>
      <w:r w:rsidRPr="00C25888">
        <w:rPr>
          <w:rFonts w:eastAsia="Times New Roman" w:cs="Arial"/>
          <w:color w:val="000000"/>
          <w:lang w:eastAsia="bg-BG"/>
        </w:rPr>
        <w:t>≥</w:t>
      </w:r>
      <w:r w:rsidRPr="00C25888">
        <w:rPr>
          <w:rFonts w:eastAsia="Times New Roman" w:cs="Arial"/>
          <w:color w:val="000000"/>
        </w:rPr>
        <w:t xml:space="preserve">2 </w:t>
      </w:r>
      <w:r w:rsidRPr="00C25888">
        <w:rPr>
          <w:rFonts w:eastAsia="Times New Roman" w:cs="Arial"/>
          <w:color w:val="000000"/>
          <w:lang w:eastAsia="bg-BG"/>
        </w:rPr>
        <w:t xml:space="preserve">на 1-вата година след </w:t>
      </w:r>
      <w:r w:rsidRPr="00C25888">
        <w:rPr>
          <w:rFonts w:eastAsia="Times New Roman" w:cs="Arial"/>
          <w:color w:val="000000"/>
          <w:lang w:val="en-US"/>
        </w:rPr>
        <w:t>ACS</w:t>
      </w:r>
      <w:r w:rsidRPr="00C25888">
        <w:rPr>
          <w:rFonts w:eastAsia="Times New Roman" w:cs="Arial"/>
          <w:color w:val="000000"/>
        </w:rPr>
        <w:t xml:space="preserve">, </w:t>
      </w:r>
      <w:r w:rsidRPr="00C25888">
        <w:rPr>
          <w:rFonts w:eastAsia="Times New Roman" w:cs="Arial"/>
          <w:color w:val="000000"/>
          <w:lang w:eastAsia="bg-BG"/>
        </w:rPr>
        <w:t xml:space="preserve">е настъпил при 43 пациенти (13,4%) в групата на деескалирана </w:t>
      </w:r>
      <w:r w:rsidRPr="00C25888">
        <w:rPr>
          <w:rFonts w:eastAsia="Times New Roman" w:cs="Arial"/>
          <w:color w:val="000000"/>
          <w:lang w:val="en-US"/>
        </w:rPr>
        <w:t>DAPT</w:t>
      </w:r>
      <w:r w:rsidRPr="00C25888">
        <w:rPr>
          <w:rFonts w:eastAsia="Times New Roman" w:cs="Arial"/>
          <w:color w:val="000000"/>
        </w:rPr>
        <w:t xml:space="preserve"> </w:t>
      </w:r>
      <w:r w:rsidRPr="00C25888">
        <w:rPr>
          <w:rFonts w:eastAsia="Times New Roman" w:cs="Arial"/>
          <w:color w:val="000000"/>
          <w:lang w:eastAsia="bg-BG"/>
        </w:rPr>
        <w:t xml:space="preserve">и 85 пациенти (26,3%) в групата на непроменена </w:t>
      </w:r>
      <w:r w:rsidRPr="00C25888">
        <w:rPr>
          <w:rFonts w:eastAsia="Times New Roman" w:cs="Arial"/>
          <w:color w:val="000000"/>
          <w:lang w:val="en-US"/>
        </w:rPr>
        <w:t>DAPT</w:t>
      </w:r>
      <w:r w:rsidRPr="00C25888">
        <w:rPr>
          <w:rFonts w:eastAsia="Times New Roman" w:cs="Arial"/>
          <w:color w:val="000000"/>
        </w:rPr>
        <w:t xml:space="preserve"> </w:t>
      </w:r>
      <w:r w:rsidRPr="00C25888">
        <w:rPr>
          <w:rFonts w:eastAsia="Times New Roman" w:cs="Arial"/>
          <w:color w:val="000000"/>
          <w:lang w:eastAsia="bg-BG"/>
        </w:rPr>
        <w:t>(р&lt;0,01). Тази статистически значима разлика се дължи основно на по- малко събития на кървене, без да се наблюдава разлика при крайните точки за исхемия (р=0,36), докато кървене по В</w:t>
      </w:r>
      <w:r w:rsidRPr="00C25888">
        <w:rPr>
          <w:rFonts w:eastAsia="Times New Roman" w:cs="Arial"/>
          <w:color w:val="000000"/>
          <w:lang w:val="en-US"/>
        </w:rPr>
        <w:t>ARC</w:t>
      </w:r>
      <w:r w:rsidRPr="00C25888">
        <w:rPr>
          <w:rFonts w:eastAsia="Times New Roman" w:cs="Arial"/>
          <w:color w:val="000000"/>
          <w:lang w:val="ru-RU"/>
        </w:rPr>
        <w:t xml:space="preserve"> </w:t>
      </w:r>
      <w:r w:rsidRPr="00C25888">
        <w:rPr>
          <w:rFonts w:eastAsia="Times New Roman" w:cs="Arial"/>
          <w:i/>
          <w:iCs/>
          <w:color w:val="000000"/>
          <w:lang w:eastAsia="bg-BG"/>
        </w:rPr>
        <w:t>≥2 се</w:t>
      </w:r>
      <w:r w:rsidRPr="00C25888">
        <w:rPr>
          <w:rFonts w:eastAsia="Times New Roman" w:cs="Arial"/>
          <w:color w:val="000000"/>
          <w:lang w:eastAsia="bg-BG"/>
        </w:rPr>
        <w:t xml:space="preserve"> наблюдава по-рядко в групата на деескалирана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 xml:space="preserve">(4,0%), спрямо 14,9% в групата на непроменена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(р&lt;0,01). Събития на кървене, определени като всички степени по В</w:t>
      </w:r>
      <w:r w:rsidRPr="00C25888">
        <w:rPr>
          <w:rFonts w:eastAsia="Times New Roman" w:cs="Arial"/>
          <w:color w:val="000000"/>
          <w:lang w:val="en-US"/>
        </w:rPr>
        <w:t>ARC</w:t>
      </w:r>
      <w:r w:rsidRPr="00C25888">
        <w:rPr>
          <w:rFonts w:eastAsia="Times New Roman" w:cs="Arial"/>
          <w:color w:val="000000"/>
          <w:lang w:val="ru-RU"/>
        </w:rPr>
        <w:t xml:space="preserve"> </w:t>
      </w:r>
      <w:r w:rsidRPr="00C25888">
        <w:rPr>
          <w:rFonts w:eastAsia="Times New Roman" w:cs="Arial"/>
          <w:color w:val="000000"/>
          <w:lang w:eastAsia="bg-BG"/>
        </w:rPr>
        <w:t xml:space="preserve">се наблюдават при 30 пациенти (9,3%) в групата на деескалирана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 xml:space="preserve">и 76 пациенти (23,5%) в групата на непроменена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(р&lt;0,01).</w:t>
      </w:r>
    </w:p>
    <w:p w14:paraId="33E3193C" w14:textId="77777777" w:rsidR="006E7B6D" w:rsidRPr="00C25888" w:rsidRDefault="006E7B6D" w:rsidP="006E7B6D">
      <w:pPr>
        <w:spacing w:line="240" w:lineRule="auto"/>
        <w:rPr>
          <w:rFonts w:eastAsia="Times New Roman" w:cs="Arial"/>
          <w:b/>
          <w:bCs/>
          <w:i/>
          <w:iCs/>
          <w:color w:val="000000"/>
          <w:lang w:val="en-US"/>
        </w:rPr>
      </w:pPr>
    </w:p>
    <w:p w14:paraId="10E4B988" w14:textId="26981825" w:rsidR="006E7B6D" w:rsidRPr="00C25888" w:rsidRDefault="006E7B6D" w:rsidP="006E7B6D">
      <w:pPr>
        <w:spacing w:line="240" w:lineRule="auto"/>
        <w:rPr>
          <w:rFonts w:eastAsia="Times New Roman" w:cs="Arial"/>
        </w:rPr>
      </w:pPr>
      <w:r w:rsidRPr="00C25888">
        <w:rPr>
          <w:rFonts w:eastAsia="Times New Roman" w:cs="Arial"/>
          <w:b/>
          <w:bCs/>
          <w:i/>
          <w:iCs/>
          <w:color w:val="000000"/>
          <w:lang w:val="en-US"/>
        </w:rPr>
        <w:t>TROPICAL</w:t>
      </w:r>
      <w:r w:rsidRPr="00C25888">
        <w:rPr>
          <w:rFonts w:eastAsia="Times New Roman" w:cs="Arial"/>
          <w:b/>
          <w:bCs/>
          <w:i/>
          <w:iCs/>
          <w:color w:val="000000"/>
        </w:rPr>
        <w:t>-</w:t>
      </w:r>
      <w:r w:rsidRPr="00C25888">
        <w:rPr>
          <w:rFonts w:eastAsia="Times New Roman" w:cs="Arial"/>
          <w:b/>
          <w:bCs/>
          <w:i/>
          <w:iCs/>
          <w:color w:val="000000"/>
          <w:lang w:val="en-US"/>
        </w:rPr>
        <w:t>A</w:t>
      </w:r>
      <w:r w:rsidRPr="00C25888">
        <w:rPr>
          <w:rFonts w:eastAsia="Times New Roman" w:cs="Arial"/>
          <w:b/>
          <w:bCs/>
          <w:i/>
          <w:iCs/>
          <w:color w:val="000000"/>
        </w:rPr>
        <w:t xml:space="preserve"> </w:t>
      </w:r>
      <w:r w:rsidRPr="00C25888">
        <w:rPr>
          <w:rFonts w:eastAsia="Times New Roman" w:cs="Arial"/>
          <w:b/>
          <w:bCs/>
          <w:i/>
          <w:iCs/>
          <w:color w:val="000000"/>
          <w:lang w:val="en-US"/>
        </w:rPr>
        <w:t>CS</w:t>
      </w:r>
      <w:r w:rsidRPr="00C25888">
        <w:rPr>
          <w:rFonts w:eastAsia="Times New Roman" w:cs="Arial"/>
          <w:b/>
          <w:bCs/>
          <w:i/>
          <w:iCs/>
          <w:color w:val="000000"/>
        </w:rPr>
        <w:t xml:space="preserve"> </w:t>
      </w:r>
      <w:r w:rsidRPr="00C25888">
        <w:rPr>
          <w:rFonts w:eastAsia="Times New Roman" w:cs="Arial"/>
          <w:i/>
          <w:iCs/>
          <w:color w:val="000000"/>
          <w:lang w:eastAsia="bg-BG"/>
        </w:rPr>
        <w:t xml:space="preserve">(Изследване на отговора към тромбоцитна инхибиция при хронична антитромбоцитна терапия за остър коронарен синдром - </w:t>
      </w:r>
      <w:r w:rsidRPr="00C25888">
        <w:rPr>
          <w:rFonts w:eastAsia="Times New Roman" w:cs="Arial"/>
          <w:i/>
          <w:iCs/>
          <w:color w:val="000000"/>
          <w:lang w:val="en-US"/>
        </w:rPr>
        <w:t>Testing</w:t>
      </w:r>
      <w:r w:rsidRPr="00C25888">
        <w:rPr>
          <w:rFonts w:eastAsia="Times New Roman" w:cs="Arial"/>
          <w:i/>
          <w:iCs/>
          <w:color w:val="000000"/>
        </w:rPr>
        <w:t xml:space="preserve"> </w:t>
      </w:r>
      <w:r w:rsidRPr="00C25888">
        <w:rPr>
          <w:rFonts w:eastAsia="Times New Roman" w:cs="Arial"/>
          <w:i/>
          <w:iCs/>
          <w:color w:val="000000"/>
          <w:lang w:val="en-US"/>
        </w:rPr>
        <w:t>Responsiveness</w:t>
      </w:r>
      <w:r w:rsidRPr="00C25888">
        <w:rPr>
          <w:rFonts w:eastAsia="Times New Roman" w:cs="Arial"/>
          <w:i/>
          <w:iCs/>
          <w:color w:val="000000"/>
        </w:rPr>
        <w:t xml:space="preserve"> </w:t>
      </w:r>
      <w:r w:rsidRPr="00C25888">
        <w:rPr>
          <w:rFonts w:eastAsia="Times New Roman" w:cs="Arial"/>
          <w:i/>
          <w:iCs/>
          <w:color w:val="000000"/>
          <w:lang w:val="en-US"/>
        </w:rPr>
        <w:t>to</w:t>
      </w:r>
      <w:r w:rsidRPr="00C25888">
        <w:rPr>
          <w:rFonts w:eastAsia="Times New Roman" w:cs="Arial"/>
          <w:i/>
          <w:iCs/>
          <w:color w:val="000000"/>
        </w:rPr>
        <w:t xml:space="preserve"> </w:t>
      </w:r>
      <w:r w:rsidRPr="00C25888">
        <w:rPr>
          <w:rFonts w:eastAsia="Times New Roman" w:cs="Arial"/>
          <w:i/>
          <w:iCs/>
          <w:color w:val="000000"/>
          <w:lang w:val="en-US"/>
        </w:rPr>
        <w:t>Platelet</w:t>
      </w:r>
      <w:r w:rsidRPr="00C25888">
        <w:rPr>
          <w:rFonts w:eastAsia="Times New Roman" w:cs="Arial"/>
          <w:i/>
          <w:iCs/>
          <w:color w:val="000000"/>
        </w:rPr>
        <w:t xml:space="preserve"> </w:t>
      </w:r>
      <w:r w:rsidRPr="00C25888">
        <w:rPr>
          <w:rFonts w:eastAsia="Times New Roman" w:cs="Arial"/>
          <w:i/>
          <w:iCs/>
          <w:color w:val="000000"/>
          <w:lang w:val="en-US"/>
        </w:rPr>
        <w:t>Inhibition</w:t>
      </w:r>
      <w:r w:rsidRPr="00C25888">
        <w:rPr>
          <w:rFonts w:eastAsia="Times New Roman" w:cs="Arial"/>
          <w:i/>
          <w:iCs/>
          <w:color w:val="000000"/>
        </w:rPr>
        <w:t xml:space="preserve"> </w:t>
      </w:r>
      <w:r w:rsidRPr="00C25888">
        <w:rPr>
          <w:rFonts w:eastAsia="Times New Roman" w:cs="Arial"/>
          <w:i/>
          <w:iCs/>
          <w:color w:val="000000"/>
          <w:lang w:val="en-US"/>
        </w:rPr>
        <w:t>on</w:t>
      </w:r>
      <w:r w:rsidRPr="00C25888">
        <w:rPr>
          <w:rFonts w:eastAsia="Times New Roman" w:cs="Arial"/>
          <w:i/>
          <w:iCs/>
          <w:color w:val="000000"/>
        </w:rPr>
        <w:t xml:space="preserve"> </w:t>
      </w:r>
      <w:r w:rsidRPr="00C25888">
        <w:rPr>
          <w:rFonts w:eastAsia="Times New Roman" w:cs="Arial"/>
          <w:i/>
          <w:iCs/>
          <w:color w:val="000000"/>
          <w:lang w:val="en-US"/>
        </w:rPr>
        <w:t>Chronic</w:t>
      </w:r>
      <w:r w:rsidRPr="00C25888">
        <w:rPr>
          <w:rFonts w:eastAsia="Times New Roman" w:cs="Arial"/>
          <w:i/>
          <w:iCs/>
          <w:color w:val="000000"/>
        </w:rPr>
        <w:t xml:space="preserve"> </w:t>
      </w:r>
      <w:r w:rsidRPr="00C25888">
        <w:rPr>
          <w:rFonts w:eastAsia="Times New Roman" w:cs="Arial"/>
          <w:i/>
          <w:iCs/>
          <w:color w:val="000000"/>
          <w:lang w:val="en-US"/>
        </w:rPr>
        <w:t>Antiplatelet</w:t>
      </w:r>
      <w:r w:rsidRPr="00C25888">
        <w:rPr>
          <w:rFonts w:eastAsia="Times New Roman" w:cs="Arial"/>
          <w:i/>
          <w:iCs/>
          <w:color w:val="000000"/>
        </w:rPr>
        <w:t xml:space="preserve"> </w:t>
      </w:r>
      <w:r w:rsidRPr="00C25888">
        <w:rPr>
          <w:rFonts w:eastAsia="Times New Roman" w:cs="Arial"/>
          <w:i/>
          <w:iCs/>
          <w:color w:val="000000"/>
          <w:lang w:val="en-US"/>
        </w:rPr>
        <w:t>Treatment</w:t>
      </w:r>
      <w:r w:rsidRPr="00C25888">
        <w:rPr>
          <w:rFonts w:eastAsia="Times New Roman" w:cs="Arial"/>
          <w:i/>
          <w:iCs/>
          <w:color w:val="000000"/>
        </w:rPr>
        <w:t xml:space="preserve"> </w:t>
      </w:r>
      <w:r w:rsidRPr="00C25888">
        <w:rPr>
          <w:rFonts w:eastAsia="Times New Roman" w:cs="Arial"/>
          <w:i/>
          <w:iCs/>
          <w:color w:val="000000"/>
          <w:lang w:val="en-US"/>
        </w:rPr>
        <w:t>for</w:t>
      </w:r>
      <w:r w:rsidRPr="00C25888">
        <w:rPr>
          <w:rFonts w:eastAsia="Times New Roman" w:cs="Arial"/>
          <w:i/>
          <w:iCs/>
          <w:color w:val="000000"/>
        </w:rPr>
        <w:t xml:space="preserve"> </w:t>
      </w:r>
      <w:r w:rsidRPr="00C25888">
        <w:rPr>
          <w:rFonts w:eastAsia="Times New Roman" w:cs="Arial"/>
          <w:i/>
          <w:iCs/>
          <w:color w:val="000000"/>
          <w:lang w:val="en-US"/>
        </w:rPr>
        <w:t>Acute</w:t>
      </w:r>
      <w:r w:rsidRPr="00C25888">
        <w:rPr>
          <w:rFonts w:eastAsia="Times New Roman" w:cs="Arial"/>
          <w:i/>
          <w:iCs/>
          <w:color w:val="000000"/>
        </w:rPr>
        <w:t xml:space="preserve"> </w:t>
      </w:r>
      <w:r w:rsidRPr="00C25888">
        <w:rPr>
          <w:rFonts w:eastAsia="Times New Roman" w:cs="Arial"/>
          <w:i/>
          <w:iCs/>
          <w:color w:val="000000"/>
          <w:lang w:val="en-US"/>
        </w:rPr>
        <w:t>Coronary</w:t>
      </w:r>
      <w:r w:rsidRPr="00C25888">
        <w:rPr>
          <w:rFonts w:eastAsia="Times New Roman" w:cs="Arial"/>
          <w:i/>
          <w:iCs/>
          <w:color w:val="000000"/>
        </w:rPr>
        <w:t xml:space="preserve"> </w:t>
      </w:r>
      <w:r w:rsidRPr="00C25888">
        <w:rPr>
          <w:rFonts w:eastAsia="Times New Roman" w:cs="Arial"/>
          <w:i/>
          <w:iCs/>
          <w:color w:val="000000"/>
          <w:lang w:val="en-US"/>
        </w:rPr>
        <w:t>Syndromes</w:t>
      </w:r>
      <w:r w:rsidRPr="00C25888">
        <w:rPr>
          <w:rFonts w:eastAsia="Times New Roman" w:cs="Arial"/>
          <w:i/>
          <w:iCs/>
          <w:color w:val="000000"/>
        </w:rPr>
        <w:t>)</w:t>
      </w:r>
    </w:p>
    <w:p w14:paraId="3DA25C4F" w14:textId="77777777" w:rsidR="006E7B6D" w:rsidRPr="00C25888" w:rsidRDefault="006E7B6D" w:rsidP="006E7B6D">
      <w:pPr>
        <w:spacing w:line="240" w:lineRule="auto"/>
        <w:rPr>
          <w:rFonts w:eastAsia="Times New Roman" w:cs="Arial"/>
          <w:color w:val="000000"/>
          <w:lang w:eastAsia="bg-BG"/>
        </w:rPr>
      </w:pPr>
    </w:p>
    <w:p w14:paraId="31AE5FFD" w14:textId="2A4BEBD0"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Това рандомизирано, открито проучване включва 2 610 положителни за биомаркер пациенти с </w:t>
      </w:r>
      <w:r w:rsidRPr="00C25888">
        <w:rPr>
          <w:rFonts w:eastAsia="Times New Roman" w:cs="Arial"/>
          <w:color w:val="000000"/>
          <w:lang w:val="en-US"/>
        </w:rPr>
        <w:t>ACS</w:t>
      </w:r>
      <w:r w:rsidRPr="00C25888">
        <w:rPr>
          <w:rFonts w:eastAsia="Times New Roman" w:cs="Arial"/>
          <w:color w:val="000000"/>
          <w:lang w:val="ru-RU"/>
        </w:rPr>
        <w:t xml:space="preserve"> </w:t>
      </w:r>
      <w:r w:rsidRPr="00C25888">
        <w:rPr>
          <w:rFonts w:eastAsia="Times New Roman" w:cs="Arial"/>
          <w:color w:val="000000"/>
          <w:lang w:eastAsia="bg-BG"/>
        </w:rPr>
        <w:t xml:space="preserve">след успешна </w:t>
      </w:r>
      <w:r w:rsidRPr="00C25888">
        <w:rPr>
          <w:rFonts w:eastAsia="Times New Roman" w:cs="Arial"/>
          <w:color w:val="000000"/>
          <w:lang w:val="en-US"/>
        </w:rPr>
        <w:t>PCI</w:t>
      </w:r>
      <w:r w:rsidRPr="00C25888">
        <w:rPr>
          <w:rFonts w:eastAsia="Times New Roman" w:cs="Arial"/>
          <w:color w:val="000000"/>
          <w:lang w:val="ru-RU"/>
        </w:rPr>
        <w:t xml:space="preserve">. </w:t>
      </w:r>
      <w:r w:rsidRPr="00C25888">
        <w:rPr>
          <w:rFonts w:eastAsia="Times New Roman" w:cs="Arial"/>
          <w:color w:val="000000"/>
          <w:lang w:eastAsia="bg-BG"/>
        </w:rPr>
        <w:t xml:space="preserve">Пациентите са рандомизирани да получават </w:t>
      </w:r>
      <w:r w:rsidRPr="00C25888">
        <w:rPr>
          <w:rFonts w:eastAsia="Times New Roman" w:cs="Arial"/>
          <w:color w:val="000000"/>
          <w:lang w:eastAsia="bg-BG"/>
        </w:rPr>
        <w:lastRenderedPageBreak/>
        <w:t xml:space="preserve">празугрел 5 или 10 </w:t>
      </w:r>
      <w:r w:rsidRPr="00C25888">
        <w:rPr>
          <w:rFonts w:eastAsia="Times New Roman" w:cs="Arial"/>
          <w:color w:val="000000"/>
          <w:lang w:val="en-US"/>
        </w:rPr>
        <w:t>mg</w:t>
      </w:r>
      <w:r w:rsidRPr="00C25888">
        <w:rPr>
          <w:rFonts w:eastAsia="Times New Roman" w:cs="Arial"/>
          <w:color w:val="000000"/>
          <w:lang w:val="ru-RU"/>
        </w:rPr>
        <w:t>/</w:t>
      </w:r>
      <w:r w:rsidRPr="00C25888">
        <w:rPr>
          <w:rFonts w:eastAsia="Times New Roman" w:cs="Arial"/>
          <w:color w:val="000000"/>
          <w:lang w:eastAsia="bg-BG"/>
        </w:rPr>
        <w:t>ден (дни 0-14) (</w:t>
      </w:r>
      <w:r w:rsidRPr="00C25888">
        <w:rPr>
          <w:rFonts w:eastAsia="Times New Roman" w:cs="Arial"/>
          <w:color w:val="000000"/>
          <w:lang w:val="en-US"/>
        </w:rPr>
        <w:t>n</w:t>
      </w:r>
      <w:r w:rsidRPr="00C25888">
        <w:rPr>
          <w:rFonts w:eastAsia="Times New Roman" w:cs="Arial"/>
          <w:color w:val="000000"/>
          <w:lang w:eastAsia="bg-BG"/>
        </w:rPr>
        <w:t xml:space="preserve">=1309), или празугрел 5 или 10 </w:t>
      </w:r>
      <w:r w:rsidRPr="00C25888">
        <w:rPr>
          <w:rFonts w:eastAsia="Times New Roman" w:cs="Arial"/>
          <w:color w:val="000000"/>
          <w:lang w:val="en-US"/>
        </w:rPr>
        <w:t>mg</w:t>
      </w:r>
      <w:r w:rsidRPr="00C25888">
        <w:rPr>
          <w:rFonts w:eastAsia="Times New Roman" w:cs="Arial"/>
          <w:color w:val="000000"/>
          <w:lang w:eastAsia="bg-BG"/>
        </w:rPr>
        <w:t xml:space="preserve">/ден (дни 0-7), след което са деескалирани на клопидогрел 75 </w:t>
      </w:r>
      <w:r w:rsidRPr="00C25888">
        <w:rPr>
          <w:rFonts w:eastAsia="Times New Roman" w:cs="Arial"/>
          <w:color w:val="000000"/>
          <w:lang w:val="en-US"/>
        </w:rPr>
        <w:t>mg</w:t>
      </w:r>
      <w:r w:rsidRPr="00C25888">
        <w:rPr>
          <w:rFonts w:eastAsia="Times New Roman" w:cs="Arial"/>
          <w:color w:val="000000"/>
          <w:lang w:eastAsia="bg-BG"/>
        </w:rPr>
        <w:t>/ден (дни 8-14) (</w:t>
      </w:r>
      <w:r w:rsidRPr="00C25888">
        <w:rPr>
          <w:rFonts w:eastAsia="Times New Roman" w:cs="Arial"/>
          <w:color w:val="000000"/>
          <w:lang w:val="en-US"/>
        </w:rPr>
        <w:t>n</w:t>
      </w:r>
      <w:r w:rsidRPr="00C25888">
        <w:rPr>
          <w:rFonts w:eastAsia="Times New Roman" w:cs="Arial"/>
          <w:color w:val="000000"/>
          <w:lang w:eastAsia="bg-BG"/>
        </w:rPr>
        <w:t xml:space="preserve">=1304), в комбинация с АСК (&lt;100 </w:t>
      </w:r>
      <w:r w:rsidRPr="00C25888">
        <w:rPr>
          <w:rFonts w:eastAsia="Times New Roman" w:cs="Arial"/>
          <w:color w:val="000000"/>
          <w:lang w:val="en-US"/>
        </w:rPr>
        <w:t>mg</w:t>
      </w:r>
      <w:r w:rsidRPr="00C25888">
        <w:rPr>
          <w:rFonts w:eastAsia="Times New Roman" w:cs="Arial"/>
          <w:color w:val="000000"/>
          <w:lang w:eastAsia="bg-BG"/>
        </w:rPr>
        <w:t xml:space="preserve">/ден). На 14-ия ден е проведено изследване на тромбоцитната функция </w:t>
      </w:r>
      <w:r w:rsidRPr="00C25888">
        <w:rPr>
          <w:rFonts w:eastAsia="Times New Roman" w:cs="Arial"/>
          <w:color w:val="000000"/>
          <w:lang w:val="ru-RU"/>
        </w:rPr>
        <w:t>(</w:t>
      </w:r>
      <w:r w:rsidRPr="00C25888">
        <w:rPr>
          <w:rFonts w:eastAsia="Times New Roman" w:cs="Arial"/>
          <w:color w:val="000000"/>
          <w:lang w:val="en-US"/>
        </w:rPr>
        <w:t>platelet</w:t>
      </w:r>
      <w:r w:rsidRPr="00C25888">
        <w:rPr>
          <w:rFonts w:eastAsia="Times New Roman" w:cs="Arial"/>
          <w:color w:val="000000"/>
          <w:lang w:val="ru-RU"/>
        </w:rPr>
        <w:t xml:space="preserve"> </w:t>
      </w:r>
      <w:r w:rsidRPr="00C25888">
        <w:rPr>
          <w:rFonts w:eastAsia="Times New Roman" w:cs="Arial"/>
          <w:color w:val="000000"/>
          <w:lang w:val="en-US"/>
        </w:rPr>
        <w:t>function</w:t>
      </w:r>
      <w:r w:rsidRPr="00C25888">
        <w:rPr>
          <w:rFonts w:eastAsia="Times New Roman" w:cs="Arial"/>
          <w:color w:val="000000"/>
          <w:lang w:val="ru-RU"/>
        </w:rPr>
        <w:t xml:space="preserve"> </w:t>
      </w:r>
      <w:r w:rsidRPr="00C25888">
        <w:rPr>
          <w:rFonts w:eastAsia="Times New Roman" w:cs="Arial"/>
          <w:color w:val="000000"/>
          <w:lang w:val="en-US"/>
        </w:rPr>
        <w:t>testing</w:t>
      </w:r>
      <w:r w:rsidRPr="00C25888">
        <w:rPr>
          <w:rFonts w:eastAsia="Times New Roman" w:cs="Arial"/>
          <w:color w:val="000000"/>
          <w:lang w:val="ru-RU"/>
        </w:rPr>
        <w:t xml:space="preserve">, </w:t>
      </w:r>
      <w:r w:rsidRPr="00C25888">
        <w:rPr>
          <w:rFonts w:eastAsia="Times New Roman" w:cs="Arial"/>
          <w:color w:val="000000"/>
          <w:lang w:val="en-US"/>
        </w:rPr>
        <w:t>PFT</w:t>
      </w:r>
      <w:r w:rsidRPr="00C25888">
        <w:rPr>
          <w:rFonts w:eastAsia="Times New Roman" w:cs="Arial"/>
          <w:color w:val="000000"/>
          <w:lang w:val="ru-RU"/>
        </w:rPr>
        <w:t xml:space="preserve">). </w:t>
      </w:r>
      <w:r w:rsidRPr="00C25888">
        <w:rPr>
          <w:rFonts w:eastAsia="Times New Roman" w:cs="Arial"/>
          <w:color w:val="000000"/>
          <w:lang w:eastAsia="bg-BG"/>
        </w:rPr>
        <w:t>Пациентите, лекувани само с празугрел, са продължили на празугрел в продължение на 11,5 месеца.</w:t>
      </w:r>
    </w:p>
    <w:p w14:paraId="0499C08F" w14:textId="77777777" w:rsidR="006E7B6D" w:rsidRPr="00C25888" w:rsidRDefault="006E7B6D" w:rsidP="006E7B6D">
      <w:pPr>
        <w:spacing w:line="240" w:lineRule="auto"/>
        <w:rPr>
          <w:rFonts w:eastAsia="Times New Roman" w:cs="Arial"/>
          <w:color w:val="000000"/>
          <w:lang w:eastAsia="bg-BG"/>
        </w:rPr>
      </w:pPr>
    </w:p>
    <w:p w14:paraId="09A52EA0" w14:textId="18BC230F"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Деескалираните пациенти са били подложени на високочувствителен тест на тромбоцитна реактивност </w:t>
      </w:r>
      <w:r w:rsidRPr="00C25888">
        <w:rPr>
          <w:rFonts w:eastAsia="Times New Roman" w:cs="Arial"/>
          <w:color w:val="000000"/>
          <w:lang w:val="ru-RU"/>
        </w:rPr>
        <w:t>(</w:t>
      </w:r>
      <w:r w:rsidRPr="00C25888">
        <w:rPr>
          <w:rFonts w:eastAsia="Times New Roman" w:cs="Arial"/>
          <w:color w:val="000000"/>
          <w:lang w:val="en-US"/>
        </w:rPr>
        <w:t>high</w:t>
      </w:r>
      <w:r w:rsidRPr="00C25888">
        <w:rPr>
          <w:rFonts w:eastAsia="Times New Roman" w:cs="Arial"/>
          <w:color w:val="000000"/>
          <w:lang w:val="ru-RU"/>
        </w:rPr>
        <w:t xml:space="preserve"> </w:t>
      </w:r>
      <w:r w:rsidRPr="00C25888">
        <w:rPr>
          <w:rFonts w:eastAsia="Times New Roman" w:cs="Arial"/>
          <w:color w:val="000000"/>
          <w:lang w:val="en-US"/>
        </w:rPr>
        <w:t>platelet</w:t>
      </w:r>
      <w:r w:rsidRPr="00C25888">
        <w:rPr>
          <w:rFonts w:eastAsia="Times New Roman" w:cs="Arial"/>
          <w:color w:val="000000"/>
          <w:lang w:val="ru-RU"/>
        </w:rPr>
        <w:t xml:space="preserve"> </w:t>
      </w:r>
      <w:r w:rsidRPr="00C25888">
        <w:rPr>
          <w:rFonts w:eastAsia="Times New Roman" w:cs="Arial"/>
          <w:color w:val="000000"/>
          <w:lang w:val="en-US"/>
        </w:rPr>
        <w:t>reactivity</w:t>
      </w:r>
      <w:r w:rsidRPr="00C25888">
        <w:rPr>
          <w:rFonts w:eastAsia="Times New Roman" w:cs="Arial"/>
          <w:color w:val="000000"/>
          <w:lang w:val="ru-RU"/>
        </w:rPr>
        <w:t xml:space="preserve">, </w:t>
      </w:r>
      <w:r w:rsidRPr="00C25888">
        <w:rPr>
          <w:rFonts w:eastAsia="Times New Roman" w:cs="Arial"/>
          <w:color w:val="000000"/>
          <w:lang w:val="en-US"/>
        </w:rPr>
        <w:t>HPR</w:t>
      </w:r>
      <w:r w:rsidRPr="00C25888">
        <w:rPr>
          <w:rFonts w:eastAsia="Times New Roman" w:cs="Arial"/>
          <w:color w:val="000000"/>
          <w:lang w:val="ru-RU"/>
        </w:rPr>
        <w:t xml:space="preserve">). </w:t>
      </w:r>
      <w:r w:rsidRPr="00C25888">
        <w:rPr>
          <w:rFonts w:eastAsia="Times New Roman" w:cs="Arial"/>
          <w:color w:val="000000"/>
          <w:lang w:eastAsia="bg-BG"/>
        </w:rPr>
        <w:t xml:space="preserve">Ако </w:t>
      </w:r>
      <w:r w:rsidRPr="00C25888">
        <w:rPr>
          <w:rFonts w:eastAsia="Times New Roman" w:cs="Arial"/>
          <w:color w:val="000000"/>
          <w:lang w:val="en-US"/>
        </w:rPr>
        <w:t>HPR</w:t>
      </w:r>
      <w:r w:rsidRPr="00C25888">
        <w:rPr>
          <w:rFonts w:eastAsia="Times New Roman" w:cs="Arial"/>
          <w:color w:val="000000"/>
          <w:lang w:val="ru-RU"/>
        </w:rPr>
        <w:t xml:space="preserve"> </w:t>
      </w:r>
      <w:r w:rsidRPr="00C25888">
        <w:rPr>
          <w:rFonts w:eastAsia="Times New Roman" w:cs="Arial"/>
          <w:color w:val="000000"/>
          <w:lang w:eastAsia="bg-BG"/>
        </w:rPr>
        <w:t>е ≥</w:t>
      </w:r>
      <w:r w:rsidRPr="00C25888">
        <w:rPr>
          <w:rFonts w:eastAsia="Times New Roman" w:cs="Arial"/>
          <w:color w:val="000000"/>
          <w:lang w:val="ru-RU"/>
        </w:rPr>
        <w:t xml:space="preserve">46 </w:t>
      </w:r>
      <w:r w:rsidRPr="00C25888">
        <w:rPr>
          <w:rFonts w:eastAsia="Times New Roman" w:cs="Arial"/>
          <w:color w:val="000000"/>
          <w:lang w:eastAsia="bg-BG"/>
        </w:rPr>
        <w:t xml:space="preserve">единици, пациентите са били ескалирани обратно на празугрел 5 или 10 </w:t>
      </w:r>
      <w:r w:rsidRPr="00C25888">
        <w:rPr>
          <w:rFonts w:eastAsia="Times New Roman" w:cs="Arial"/>
          <w:color w:val="000000"/>
          <w:lang w:val="en-US"/>
        </w:rPr>
        <w:t>mg</w:t>
      </w:r>
      <w:r w:rsidRPr="00C25888">
        <w:rPr>
          <w:rFonts w:eastAsia="Times New Roman" w:cs="Arial"/>
          <w:color w:val="000000"/>
          <w:lang w:eastAsia="bg-BG"/>
        </w:rPr>
        <w:t xml:space="preserve">/ден за 11,5 месеца; ако </w:t>
      </w:r>
      <w:r w:rsidRPr="00C25888">
        <w:rPr>
          <w:rFonts w:eastAsia="Times New Roman" w:cs="Arial"/>
          <w:color w:val="000000"/>
          <w:lang w:val="en-US"/>
        </w:rPr>
        <w:t>HPR</w:t>
      </w:r>
      <w:r w:rsidRPr="00C25888">
        <w:rPr>
          <w:rFonts w:eastAsia="Times New Roman" w:cs="Arial"/>
          <w:color w:val="000000"/>
          <w:lang w:val="ru-RU"/>
        </w:rPr>
        <w:t xml:space="preserve"> </w:t>
      </w:r>
      <w:r w:rsidRPr="00C25888">
        <w:rPr>
          <w:rFonts w:eastAsia="Times New Roman" w:cs="Arial"/>
          <w:color w:val="000000"/>
          <w:lang w:eastAsia="bg-BG"/>
        </w:rPr>
        <w:t xml:space="preserve">е &lt;46 единици, пациентите са продължили на клопидогрел 75 </w:t>
      </w:r>
      <w:r w:rsidRPr="00C25888">
        <w:rPr>
          <w:rFonts w:eastAsia="Times New Roman" w:cs="Arial"/>
          <w:color w:val="000000"/>
          <w:lang w:val="en-US"/>
        </w:rPr>
        <w:t>mg</w:t>
      </w:r>
      <w:r w:rsidRPr="00C25888">
        <w:rPr>
          <w:rFonts w:eastAsia="Times New Roman" w:cs="Arial"/>
          <w:color w:val="000000"/>
          <w:lang w:eastAsia="bg-BG"/>
        </w:rPr>
        <w:t>/ден за 11,5 месеца. Следователно, водещата група на деескалация включва пациенти на празугрел (40%) или клопидогрел (60%). Всички пациенти са продължили на аспирин и са проследени в продължение на една година.</w:t>
      </w:r>
    </w:p>
    <w:p w14:paraId="64D2DBEF" w14:textId="77777777" w:rsidR="006E7B6D" w:rsidRPr="00C25888" w:rsidRDefault="006E7B6D" w:rsidP="006E7B6D">
      <w:pPr>
        <w:spacing w:line="240" w:lineRule="auto"/>
        <w:rPr>
          <w:rFonts w:eastAsia="Times New Roman" w:cs="Arial"/>
          <w:color w:val="000000"/>
          <w:lang w:eastAsia="bg-BG"/>
        </w:rPr>
      </w:pPr>
    </w:p>
    <w:p w14:paraId="20FA6F11" w14:textId="197CD3B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Първичната крайна точка (комбинирана честота на сърдечносъдова смърт,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инсулт и кървене по В</w:t>
      </w:r>
      <w:r w:rsidRPr="00C25888">
        <w:rPr>
          <w:rFonts w:eastAsia="Times New Roman" w:cs="Arial"/>
          <w:color w:val="000000"/>
          <w:lang w:val="en-US"/>
        </w:rPr>
        <w:t>ARC</w:t>
      </w:r>
      <w:r w:rsidRPr="00C25888">
        <w:rPr>
          <w:rFonts w:eastAsia="Times New Roman" w:cs="Arial"/>
          <w:color w:val="000000"/>
          <w:lang w:val="ru-RU"/>
        </w:rPr>
        <w:t xml:space="preserve"> </w:t>
      </w:r>
      <w:r w:rsidRPr="00C25888">
        <w:rPr>
          <w:rFonts w:eastAsia="Times New Roman" w:cs="Arial"/>
          <w:color w:val="000000"/>
          <w:lang w:eastAsia="bg-BG"/>
        </w:rPr>
        <w:t xml:space="preserve">≥2 степен на 12 месеца) е изпълнена, което показва не по-малка ефикасност. Деветдесет и пет пациенти (7%) във водещата група на деескалация и 118 пациенти (9%) в контролната група (р на неинфериорност = 0,0004) са имали събитие. Водещата група на деескалация не е довела до повишен комбиниран риск от исхемични събития (2,5% в групата на деескалация спрямо 3,2% в контролната група; р на неинфериорност = 0,0115), нито на основната вторична крайна точка кървене по </w:t>
      </w:r>
      <w:r w:rsidRPr="00C25888">
        <w:rPr>
          <w:rFonts w:eastAsia="Times New Roman" w:cs="Arial"/>
          <w:color w:val="000000"/>
          <w:lang w:val="en-US"/>
        </w:rPr>
        <w:t>BARC</w:t>
      </w:r>
      <w:r w:rsidRPr="00C25888">
        <w:rPr>
          <w:rFonts w:eastAsia="Times New Roman" w:cs="Arial"/>
          <w:color w:val="000000"/>
          <w:lang w:val="ru-RU"/>
        </w:rPr>
        <w:t xml:space="preserve"> </w:t>
      </w:r>
      <w:r w:rsidRPr="00C25888">
        <w:rPr>
          <w:rFonts w:eastAsia="Times New Roman" w:cs="Arial"/>
          <w:color w:val="000000"/>
          <w:lang w:eastAsia="bg-BG"/>
        </w:rPr>
        <w:t xml:space="preserve">≥2 степен ((5%) в групата на деескалация спрямо 6% в контролната група (р=0,23)). Кумулативната честота на събития на кървене от всички степени (клас по </w:t>
      </w:r>
      <w:r w:rsidRPr="00C25888">
        <w:rPr>
          <w:rFonts w:eastAsia="Times New Roman" w:cs="Arial"/>
          <w:color w:val="000000"/>
          <w:lang w:val="en-US"/>
        </w:rPr>
        <w:t>BARC</w:t>
      </w:r>
      <w:r w:rsidRPr="00C25888">
        <w:rPr>
          <w:rFonts w:eastAsia="Times New Roman" w:cs="Arial"/>
          <w:color w:val="000000"/>
          <w:lang w:val="ru-RU"/>
        </w:rPr>
        <w:t xml:space="preserve"> </w:t>
      </w:r>
      <w:r w:rsidRPr="00C25888">
        <w:rPr>
          <w:rFonts w:eastAsia="Times New Roman" w:cs="Arial"/>
          <w:color w:val="000000"/>
          <w:lang w:eastAsia="bg-BG"/>
        </w:rPr>
        <w:t>1 до 5) е 9% (114 събития) във водещата група на деескалация, спрямо 11% (137 събития) в контролната група (р=0,14).</w:t>
      </w:r>
    </w:p>
    <w:p w14:paraId="4283A8D5" w14:textId="77777777" w:rsidR="006E7B6D" w:rsidRPr="00C25888" w:rsidRDefault="006E7B6D" w:rsidP="006E7B6D">
      <w:pPr>
        <w:spacing w:line="240" w:lineRule="auto"/>
        <w:rPr>
          <w:rFonts w:eastAsia="Times New Roman" w:cs="Arial"/>
        </w:rPr>
      </w:pPr>
    </w:p>
    <w:p w14:paraId="4FF0BC0F" w14:textId="77777777" w:rsidR="006E7B6D" w:rsidRPr="00C25888" w:rsidRDefault="006E7B6D" w:rsidP="006E7B6D">
      <w:pPr>
        <w:spacing w:line="240" w:lineRule="auto"/>
        <w:rPr>
          <w:rFonts w:eastAsia="Times New Roman" w:cs="Arial"/>
        </w:rPr>
      </w:pPr>
      <w:r w:rsidRPr="00C25888">
        <w:rPr>
          <w:rFonts w:eastAsia="Times New Roman" w:cs="Arial"/>
          <w:color w:val="000000"/>
          <w:u w:val="single"/>
          <w:lang w:eastAsia="bg-BG"/>
        </w:rPr>
        <w:t xml:space="preserve">Двойна антитромбоцитна терапия </w:t>
      </w:r>
      <w:r w:rsidRPr="00C25888">
        <w:rPr>
          <w:rFonts w:eastAsia="Times New Roman" w:cs="Arial"/>
          <w:color w:val="000000"/>
          <w:u w:val="single"/>
        </w:rPr>
        <w:t>(</w:t>
      </w:r>
      <w:r w:rsidRPr="00C25888">
        <w:rPr>
          <w:rFonts w:eastAsia="Times New Roman" w:cs="Arial"/>
          <w:color w:val="000000"/>
          <w:u w:val="single"/>
          <w:lang w:val="en-US"/>
        </w:rPr>
        <w:t>Dual</w:t>
      </w:r>
      <w:r w:rsidRPr="00C25888">
        <w:rPr>
          <w:rFonts w:eastAsia="Times New Roman" w:cs="Arial"/>
          <w:color w:val="000000"/>
          <w:u w:val="single"/>
        </w:rPr>
        <w:t xml:space="preserve"> </w:t>
      </w:r>
      <w:r w:rsidRPr="00C25888">
        <w:rPr>
          <w:rFonts w:eastAsia="Times New Roman" w:cs="Arial"/>
          <w:color w:val="000000"/>
          <w:u w:val="single"/>
          <w:lang w:val="en-US"/>
        </w:rPr>
        <w:t>Antiplatelet</w:t>
      </w:r>
      <w:r w:rsidRPr="00C25888">
        <w:rPr>
          <w:rFonts w:eastAsia="Times New Roman" w:cs="Arial"/>
          <w:color w:val="000000"/>
          <w:u w:val="single"/>
        </w:rPr>
        <w:t xml:space="preserve"> </w:t>
      </w:r>
      <w:r w:rsidRPr="00C25888">
        <w:rPr>
          <w:rFonts w:eastAsia="Times New Roman" w:cs="Arial"/>
          <w:color w:val="000000"/>
          <w:u w:val="single"/>
          <w:lang w:val="en-US"/>
        </w:rPr>
        <w:t>Therapy</w:t>
      </w:r>
      <w:r w:rsidRPr="00C25888">
        <w:rPr>
          <w:rFonts w:eastAsia="Times New Roman" w:cs="Arial"/>
          <w:color w:val="000000"/>
          <w:u w:val="single"/>
        </w:rPr>
        <w:t xml:space="preserve">, </w:t>
      </w:r>
      <w:r w:rsidRPr="00C25888">
        <w:rPr>
          <w:rFonts w:eastAsia="Times New Roman" w:cs="Arial"/>
          <w:color w:val="000000"/>
          <w:u w:val="single"/>
          <w:lang w:val="en-US"/>
        </w:rPr>
        <w:t>DAPT</w:t>
      </w:r>
      <w:r w:rsidRPr="00C25888">
        <w:rPr>
          <w:rFonts w:eastAsia="Times New Roman" w:cs="Arial"/>
          <w:color w:val="000000"/>
          <w:u w:val="single"/>
        </w:rPr>
        <w:t xml:space="preserve">) </w:t>
      </w:r>
      <w:r w:rsidRPr="00C25888">
        <w:rPr>
          <w:rFonts w:eastAsia="Times New Roman" w:cs="Arial"/>
          <w:color w:val="000000"/>
          <w:u w:val="single"/>
          <w:lang w:eastAsia="bg-BG"/>
        </w:rPr>
        <w:t xml:space="preserve">при остър лек </w:t>
      </w:r>
      <w:r w:rsidRPr="00C25888">
        <w:rPr>
          <w:rFonts w:eastAsia="Times New Roman" w:cs="Arial"/>
          <w:color w:val="000000"/>
          <w:u w:val="single"/>
          <w:lang w:val="en-US"/>
        </w:rPr>
        <w:t>IS</w:t>
      </w:r>
      <w:r w:rsidRPr="00C25888">
        <w:rPr>
          <w:rFonts w:eastAsia="Times New Roman" w:cs="Arial"/>
          <w:color w:val="000000"/>
          <w:u w:val="single"/>
        </w:rPr>
        <w:t xml:space="preserve"> </w:t>
      </w:r>
      <w:r w:rsidRPr="00C25888">
        <w:rPr>
          <w:rFonts w:eastAsia="Times New Roman" w:cs="Arial"/>
          <w:color w:val="000000"/>
          <w:u w:val="single"/>
          <w:lang w:eastAsia="bg-BG"/>
        </w:rPr>
        <w:t xml:space="preserve">или у </w:t>
      </w:r>
      <w:r w:rsidRPr="00C25888">
        <w:rPr>
          <w:rFonts w:eastAsia="Times New Roman" w:cs="Arial"/>
          <w:color w:val="000000"/>
          <w:u w:val="single"/>
          <w:lang w:val="en-US"/>
        </w:rPr>
        <w:t>TIA</w:t>
      </w:r>
      <w:r w:rsidRPr="00C25888">
        <w:rPr>
          <w:rFonts w:eastAsia="Times New Roman" w:cs="Arial"/>
          <w:color w:val="000000"/>
          <w:u w:val="single"/>
        </w:rPr>
        <w:t xml:space="preserve"> </w:t>
      </w:r>
      <w:r w:rsidRPr="00C25888">
        <w:rPr>
          <w:rFonts w:eastAsia="Times New Roman" w:cs="Arial"/>
          <w:color w:val="000000"/>
          <w:u w:val="single"/>
          <w:lang w:eastAsia="bg-BG"/>
        </w:rPr>
        <w:t>с умерен до висок риск</w:t>
      </w:r>
    </w:p>
    <w:p w14:paraId="3BFAC51F" w14:textId="77777777" w:rsidR="006E7B6D" w:rsidRPr="00C25888" w:rsidRDefault="006E7B6D" w:rsidP="006E7B6D">
      <w:pPr>
        <w:spacing w:line="240" w:lineRule="auto"/>
        <w:rPr>
          <w:rFonts w:eastAsia="Times New Roman" w:cs="Arial"/>
        </w:rPr>
      </w:pP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val="en-US"/>
        </w:rPr>
        <w:t>c</w:t>
      </w:r>
      <w:r w:rsidRPr="00C25888">
        <w:rPr>
          <w:rFonts w:eastAsia="Times New Roman" w:cs="Arial"/>
          <w:color w:val="000000"/>
          <w:lang w:val="ru-RU"/>
        </w:rPr>
        <w:t xml:space="preserve"> </w:t>
      </w:r>
      <w:r w:rsidRPr="00C25888">
        <w:rPr>
          <w:rFonts w:eastAsia="Times New Roman" w:cs="Arial"/>
          <w:color w:val="000000"/>
          <w:lang w:eastAsia="bg-BG"/>
        </w:rPr>
        <w:t xml:space="preserve">комбинация клопидогрел и АСК като лечение за предотвратяване на инсулт след остър лек </w:t>
      </w:r>
      <w:r w:rsidRPr="00C25888">
        <w:rPr>
          <w:rFonts w:eastAsia="Times New Roman" w:cs="Arial"/>
          <w:color w:val="000000"/>
          <w:lang w:val="en-US"/>
        </w:rPr>
        <w:t>IS</w:t>
      </w:r>
      <w:r w:rsidRPr="00C25888">
        <w:rPr>
          <w:rFonts w:eastAsia="Times New Roman" w:cs="Arial"/>
          <w:color w:val="000000"/>
          <w:lang w:val="ru-RU"/>
        </w:rPr>
        <w:t xml:space="preserve"> </w:t>
      </w:r>
      <w:r w:rsidRPr="00C25888">
        <w:rPr>
          <w:rFonts w:eastAsia="Times New Roman" w:cs="Arial"/>
          <w:color w:val="000000"/>
          <w:lang w:eastAsia="bg-BG"/>
        </w:rPr>
        <w:t xml:space="preserve">или </w:t>
      </w:r>
      <w:r w:rsidRPr="00C25888">
        <w:rPr>
          <w:rFonts w:eastAsia="Times New Roman" w:cs="Arial"/>
          <w:color w:val="000000"/>
          <w:lang w:val="en-US"/>
        </w:rPr>
        <w:t>TIA</w:t>
      </w:r>
      <w:r w:rsidRPr="00C25888">
        <w:rPr>
          <w:rFonts w:eastAsia="Times New Roman" w:cs="Arial"/>
          <w:color w:val="000000"/>
          <w:lang w:val="ru-RU"/>
        </w:rPr>
        <w:t xml:space="preserve"> </w:t>
      </w:r>
      <w:r w:rsidRPr="00C25888">
        <w:rPr>
          <w:rFonts w:eastAsia="Times New Roman" w:cs="Arial"/>
          <w:color w:val="000000"/>
          <w:lang w:eastAsia="bg-BG"/>
        </w:rPr>
        <w:t xml:space="preserve">с умерен до висок риск е оценена в две рандомизирани проучвания, спонсорирани от изследователя </w:t>
      </w:r>
      <w:r w:rsidRPr="00C25888">
        <w:rPr>
          <w:rFonts w:eastAsia="Times New Roman" w:cs="Arial"/>
          <w:color w:val="000000"/>
          <w:lang w:val="ru-RU"/>
        </w:rPr>
        <w:t>(</w:t>
      </w:r>
      <w:r w:rsidRPr="00C25888">
        <w:rPr>
          <w:rFonts w:eastAsia="Times New Roman" w:cs="Arial"/>
          <w:color w:val="000000"/>
          <w:lang w:val="en-US"/>
        </w:rPr>
        <w:t>investigator</w:t>
      </w:r>
      <w:r w:rsidRPr="00C25888">
        <w:rPr>
          <w:rFonts w:eastAsia="Times New Roman" w:cs="Arial"/>
          <w:color w:val="000000"/>
          <w:lang w:val="ru-RU"/>
        </w:rPr>
        <w:t>-</w:t>
      </w:r>
      <w:r w:rsidRPr="00C25888">
        <w:rPr>
          <w:rFonts w:eastAsia="Times New Roman" w:cs="Arial"/>
          <w:color w:val="000000"/>
          <w:lang w:val="en-US"/>
        </w:rPr>
        <w:t>sponsored</w:t>
      </w:r>
      <w:r w:rsidRPr="00C25888">
        <w:rPr>
          <w:rFonts w:eastAsia="Times New Roman" w:cs="Arial"/>
          <w:color w:val="000000"/>
          <w:lang w:val="ru-RU"/>
        </w:rPr>
        <w:t xml:space="preserve"> </w:t>
      </w:r>
      <w:r w:rsidRPr="00C25888">
        <w:rPr>
          <w:rFonts w:eastAsia="Times New Roman" w:cs="Arial"/>
          <w:color w:val="000000"/>
          <w:lang w:val="en-US"/>
        </w:rPr>
        <w:t>studies</w:t>
      </w:r>
      <w:r w:rsidRPr="00C25888">
        <w:rPr>
          <w:rFonts w:eastAsia="Times New Roman" w:cs="Arial"/>
          <w:color w:val="000000"/>
          <w:lang w:val="ru-RU"/>
        </w:rPr>
        <w:t xml:space="preserve">, </w:t>
      </w:r>
      <w:r w:rsidRPr="00C25888">
        <w:rPr>
          <w:rFonts w:eastAsia="Times New Roman" w:cs="Arial"/>
          <w:color w:val="000000"/>
          <w:lang w:val="en-US"/>
        </w:rPr>
        <w:t>ISS</w:t>
      </w:r>
      <w:r w:rsidRPr="00C25888">
        <w:rPr>
          <w:rFonts w:eastAsia="Times New Roman" w:cs="Arial"/>
          <w:color w:val="000000"/>
          <w:lang w:val="ru-RU"/>
        </w:rPr>
        <w:t xml:space="preserve">) </w:t>
      </w:r>
      <w:r w:rsidRPr="00C25888">
        <w:rPr>
          <w:rFonts w:eastAsia="Times New Roman" w:cs="Arial"/>
          <w:color w:val="000000"/>
          <w:lang w:eastAsia="bg-BG"/>
        </w:rPr>
        <w:t xml:space="preserve">- </w:t>
      </w:r>
      <w:r w:rsidRPr="00C25888">
        <w:rPr>
          <w:rFonts w:eastAsia="Times New Roman" w:cs="Arial"/>
          <w:color w:val="000000"/>
          <w:lang w:val="en-US"/>
        </w:rPr>
        <w:t>CHANCE</w:t>
      </w:r>
      <w:r w:rsidRPr="00C25888">
        <w:rPr>
          <w:rFonts w:eastAsia="Times New Roman" w:cs="Arial"/>
          <w:color w:val="000000"/>
          <w:lang w:val="ru-RU"/>
        </w:rPr>
        <w:t xml:space="preserve"> </w:t>
      </w:r>
      <w:r w:rsidRPr="00C25888">
        <w:rPr>
          <w:rFonts w:eastAsia="Times New Roman" w:cs="Arial"/>
          <w:color w:val="000000"/>
          <w:lang w:eastAsia="bg-BG"/>
        </w:rPr>
        <w:t xml:space="preserve">и </w:t>
      </w:r>
      <w:r w:rsidRPr="00C25888">
        <w:rPr>
          <w:rFonts w:eastAsia="Times New Roman" w:cs="Arial"/>
          <w:color w:val="000000"/>
          <w:lang w:val="en-US"/>
        </w:rPr>
        <w:t>POINT</w:t>
      </w:r>
      <w:r w:rsidRPr="00C25888">
        <w:rPr>
          <w:rFonts w:eastAsia="Times New Roman" w:cs="Arial"/>
          <w:color w:val="000000"/>
          <w:lang w:val="ru-RU"/>
        </w:rPr>
        <w:t xml:space="preserve"> - </w:t>
      </w:r>
      <w:r w:rsidRPr="00C25888">
        <w:rPr>
          <w:rFonts w:eastAsia="Times New Roman" w:cs="Arial"/>
          <w:color w:val="000000"/>
          <w:lang w:val="en-US"/>
        </w:rPr>
        <w:t>c</w:t>
      </w:r>
      <w:r w:rsidRPr="00C25888">
        <w:rPr>
          <w:rFonts w:eastAsia="Times New Roman" w:cs="Arial"/>
          <w:color w:val="000000"/>
          <w:lang w:val="ru-RU"/>
        </w:rPr>
        <w:t xml:space="preserve"> </w:t>
      </w:r>
      <w:r w:rsidRPr="00C25888">
        <w:rPr>
          <w:rFonts w:eastAsia="Times New Roman" w:cs="Arial"/>
          <w:color w:val="000000"/>
          <w:lang w:eastAsia="bg-BG"/>
        </w:rPr>
        <w:t>данни за клинични резултати за безопасност и ефикасност.</w:t>
      </w:r>
    </w:p>
    <w:p w14:paraId="10A4B56B" w14:textId="77777777" w:rsidR="006E7B6D" w:rsidRPr="00C25888" w:rsidRDefault="006E7B6D" w:rsidP="006E7B6D">
      <w:pPr>
        <w:spacing w:line="240" w:lineRule="auto"/>
        <w:rPr>
          <w:rFonts w:eastAsia="Times New Roman" w:cs="Arial"/>
          <w:b/>
          <w:bCs/>
          <w:color w:val="000000"/>
          <w:lang w:val="en-US"/>
        </w:rPr>
      </w:pPr>
    </w:p>
    <w:p w14:paraId="1E690F0E" w14:textId="019372B8" w:rsidR="006E7B6D" w:rsidRPr="00C25888" w:rsidRDefault="006E7B6D" w:rsidP="006E7B6D">
      <w:pPr>
        <w:spacing w:line="240" w:lineRule="auto"/>
        <w:rPr>
          <w:rFonts w:eastAsia="Times New Roman" w:cs="Arial"/>
        </w:rPr>
      </w:pPr>
      <w:r w:rsidRPr="00C25888">
        <w:rPr>
          <w:rFonts w:eastAsia="Times New Roman" w:cs="Arial"/>
          <w:b/>
          <w:bCs/>
          <w:color w:val="000000"/>
          <w:lang w:val="en-US"/>
        </w:rPr>
        <w:t>CHANCE</w:t>
      </w:r>
      <w:r w:rsidRPr="00C25888">
        <w:rPr>
          <w:rFonts w:eastAsia="Times New Roman" w:cs="Arial"/>
          <w:b/>
          <w:bCs/>
          <w:color w:val="000000"/>
        </w:rPr>
        <w:t xml:space="preserve"> </w:t>
      </w:r>
      <w:r w:rsidRPr="00C25888">
        <w:rPr>
          <w:rFonts w:eastAsia="Times New Roman" w:cs="Arial"/>
          <w:i/>
          <w:iCs/>
          <w:color w:val="000000"/>
          <w:lang w:eastAsia="bg-BG"/>
        </w:rPr>
        <w:t xml:space="preserve">(клопидогрел при високорискови пациенти с остри неинвалидизирагци мозъчносъдови събития - </w:t>
      </w:r>
      <w:r w:rsidRPr="00C25888">
        <w:rPr>
          <w:rFonts w:eastAsia="Times New Roman" w:cs="Arial"/>
          <w:i/>
          <w:iCs/>
          <w:color w:val="000000"/>
          <w:lang w:val="en-US"/>
        </w:rPr>
        <w:t>Clopidogyel</w:t>
      </w:r>
      <w:r w:rsidRPr="00C25888">
        <w:rPr>
          <w:rFonts w:eastAsia="Times New Roman" w:cs="Arial"/>
          <w:i/>
          <w:iCs/>
          <w:color w:val="000000"/>
        </w:rPr>
        <w:t xml:space="preserve"> </w:t>
      </w:r>
      <w:r w:rsidRPr="00C25888">
        <w:rPr>
          <w:rFonts w:eastAsia="Times New Roman" w:cs="Arial"/>
          <w:i/>
          <w:iCs/>
          <w:color w:val="000000"/>
          <w:lang w:val="en-US"/>
        </w:rPr>
        <w:t>in</w:t>
      </w:r>
      <w:r w:rsidRPr="00C25888">
        <w:rPr>
          <w:rFonts w:eastAsia="Times New Roman" w:cs="Arial"/>
          <w:i/>
          <w:iCs/>
          <w:color w:val="000000"/>
        </w:rPr>
        <w:t xml:space="preserve"> </w:t>
      </w:r>
      <w:r w:rsidRPr="00C25888">
        <w:rPr>
          <w:rFonts w:eastAsia="Times New Roman" w:cs="Arial"/>
          <w:i/>
          <w:iCs/>
          <w:color w:val="000000"/>
          <w:lang w:val="en-US"/>
        </w:rPr>
        <w:t>High</w:t>
      </w:r>
      <w:r w:rsidRPr="00C25888">
        <w:rPr>
          <w:rFonts w:eastAsia="Times New Roman" w:cs="Arial"/>
          <w:i/>
          <w:iCs/>
          <w:color w:val="000000"/>
        </w:rPr>
        <w:t>-</w:t>
      </w:r>
      <w:r w:rsidRPr="00C25888">
        <w:rPr>
          <w:rFonts w:eastAsia="Times New Roman" w:cs="Arial"/>
          <w:i/>
          <w:iCs/>
          <w:color w:val="000000"/>
          <w:lang w:val="en-US"/>
        </w:rPr>
        <w:t>risk</w:t>
      </w:r>
      <w:r w:rsidRPr="00C25888">
        <w:rPr>
          <w:rFonts w:eastAsia="Times New Roman" w:cs="Arial"/>
          <w:i/>
          <w:iCs/>
          <w:color w:val="000000"/>
        </w:rPr>
        <w:t xml:space="preserve"> </w:t>
      </w:r>
      <w:r w:rsidRPr="00C25888">
        <w:rPr>
          <w:rFonts w:eastAsia="Times New Roman" w:cs="Arial"/>
          <w:i/>
          <w:iCs/>
          <w:color w:val="000000"/>
          <w:lang w:val="en-US"/>
        </w:rPr>
        <w:t>patients</w:t>
      </w:r>
      <w:r w:rsidRPr="00C25888">
        <w:rPr>
          <w:rFonts w:eastAsia="Times New Roman" w:cs="Arial"/>
          <w:i/>
          <w:iCs/>
          <w:color w:val="000000"/>
        </w:rPr>
        <w:t xml:space="preserve"> </w:t>
      </w:r>
      <w:r w:rsidRPr="00C25888">
        <w:rPr>
          <w:rFonts w:eastAsia="Times New Roman" w:cs="Arial"/>
          <w:i/>
          <w:iCs/>
          <w:color w:val="000000"/>
          <w:lang w:val="en-US"/>
        </w:rPr>
        <w:t>with</w:t>
      </w:r>
      <w:r w:rsidRPr="00C25888">
        <w:rPr>
          <w:rFonts w:eastAsia="Times New Roman" w:cs="Arial"/>
          <w:i/>
          <w:iCs/>
          <w:color w:val="000000"/>
        </w:rPr>
        <w:t xml:space="preserve"> </w:t>
      </w:r>
      <w:r w:rsidRPr="00C25888">
        <w:rPr>
          <w:rFonts w:eastAsia="Times New Roman" w:cs="Arial"/>
          <w:i/>
          <w:iCs/>
          <w:color w:val="000000"/>
          <w:lang w:val="en-US"/>
        </w:rPr>
        <w:t>Acute</w:t>
      </w:r>
      <w:r w:rsidRPr="00C25888">
        <w:rPr>
          <w:rFonts w:eastAsia="Times New Roman" w:cs="Arial"/>
          <w:i/>
          <w:iCs/>
          <w:color w:val="000000"/>
        </w:rPr>
        <w:t xml:space="preserve"> </w:t>
      </w:r>
      <w:r w:rsidRPr="00C25888">
        <w:rPr>
          <w:rFonts w:eastAsia="Times New Roman" w:cs="Arial"/>
          <w:i/>
          <w:iCs/>
          <w:color w:val="000000"/>
          <w:lang w:val="en-US"/>
        </w:rPr>
        <w:t>Non</w:t>
      </w:r>
      <w:r w:rsidRPr="00C25888">
        <w:rPr>
          <w:rFonts w:eastAsia="Times New Roman" w:cs="Arial"/>
          <w:i/>
          <w:iCs/>
          <w:color w:val="000000"/>
        </w:rPr>
        <w:t>-</w:t>
      </w:r>
      <w:r w:rsidRPr="00C25888">
        <w:rPr>
          <w:rFonts w:eastAsia="Times New Roman" w:cs="Arial"/>
          <w:i/>
          <w:iCs/>
          <w:color w:val="000000"/>
          <w:lang w:val="en-US"/>
        </w:rPr>
        <w:t>disabling</w:t>
      </w:r>
      <w:r w:rsidRPr="00C25888">
        <w:rPr>
          <w:rFonts w:eastAsia="Times New Roman" w:cs="Arial"/>
          <w:i/>
          <w:iCs/>
          <w:color w:val="000000"/>
        </w:rPr>
        <w:t xml:space="preserve"> </w:t>
      </w:r>
      <w:r w:rsidRPr="00C25888">
        <w:rPr>
          <w:rFonts w:eastAsia="Times New Roman" w:cs="Arial"/>
          <w:i/>
          <w:iCs/>
          <w:color w:val="000000"/>
          <w:lang w:val="en-US"/>
        </w:rPr>
        <w:t>Cerebrovascular</w:t>
      </w:r>
      <w:r w:rsidRPr="00C25888">
        <w:rPr>
          <w:rFonts w:eastAsia="Times New Roman" w:cs="Arial"/>
          <w:i/>
          <w:iCs/>
          <w:color w:val="000000"/>
        </w:rPr>
        <w:t xml:space="preserve"> </w:t>
      </w:r>
      <w:r w:rsidRPr="00C25888">
        <w:rPr>
          <w:rFonts w:eastAsia="Times New Roman" w:cs="Arial"/>
          <w:i/>
          <w:iCs/>
          <w:color w:val="000000"/>
          <w:lang w:val="en-US"/>
        </w:rPr>
        <w:t>Events</w:t>
      </w:r>
      <w:r w:rsidRPr="00C25888">
        <w:rPr>
          <w:rFonts w:eastAsia="Times New Roman" w:cs="Arial"/>
          <w:i/>
          <w:iCs/>
          <w:color w:val="000000"/>
        </w:rPr>
        <w:t>)</w:t>
      </w:r>
    </w:p>
    <w:p w14:paraId="6F31B352" w14:textId="77777777" w:rsidR="006E7B6D" w:rsidRPr="00C25888" w:rsidRDefault="006E7B6D" w:rsidP="006E7B6D">
      <w:pPr>
        <w:spacing w:line="240" w:lineRule="auto"/>
        <w:rPr>
          <w:rFonts w:eastAsia="Times New Roman" w:cs="Arial"/>
          <w:color w:val="000000"/>
          <w:lang w:eastAsia="bg-BG"/>
        </w:rPr>
      </w:pPr>
    </w:p>
    <w:p w14:paraId="3F7348EE" w14:textId="19D082AC"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Това рандомизирано, двойносляпо, много центрове, плацебо-контролирано клинично изпитване включва 5 170 пациенти от Китай с остра </w:t>
      </w:r>
      <w:r w:rsidRPr="00C25888">
        <w:rPr>
          <w:rFonts w:eastAsia="Times New Roman" w:cs="Arial"/>
          <w:color w:val="000000"/>
          <w:lang w:val="en-US"/>
        </w:rPr>
        <w:t>TIA</w:t>
      </w:r>
      <w:r w:rsidRPr="00C25888">
        <w:rPr>
          <w:rFonts w:eastAsia="Times New Roman" w:cs="Arial"/>
          <w:color w:val="000000"/>
          <w:lang w:val="ru-RU"/>
        </w:rPr>
        <w:t xml:space="preserve"> (</w:t>
      </w:r>
      <w:r w:rsidRPr="00C25888">
        <w:rPr>
          <w:rFonts w:eastAsia="Times New Roman" w:cs="Arial"/>
          <w:color w:val="000000"/>
          <w:lang w:val="en-US"/>
        </w:rPr>
        <w:t>ABCD</w:t>
      </w:r>
      <w:r w:rsidRPr="00C25888">
        <w:rPr>
          <w:rFonts w:eastAsia="Times New Roman" w:cs="Arial"/>
          <w:color w:val="000000"/>
          <w:lang w:val="ru-RU"/>
        </w:rPr>
        <w:t xml:space="preserve">2 </w:t>
      </w:r>
      <w:r w:rsidRPr="00C25888">
        <w:rPr>
          <w:rFonts w:eastAsia="Times New Roman" w:cs="Arial"/>
          <w:color w:val="000000"/>
          <w:lang w:eastAsia="bg-BG"/>
        </w:rPr>
        <w:t xml:space="preserve">скор ≥4) или остър лек инсулт </w:t>
      </w:r>
      <w:r w:rsidRPr="00C25888">
        <w:rPr>
          <w:rFonts w:eastAsia="Times New Roman" w:cs="Arial"/>
          <w:color w:val="000000"/>
          <w:lang w:val="ru-RU"/>
        </w:rPr>
        <w:t>(</w:t>
      </w:r>
      <w:r w:rsidRPr="00C25888">
        <w:rPr>
          <w:rFonts w:eastAsia="Times New Roman" w:cs="Arial"/>
          <w:color w:val="000000"/>
          <w:lang w:val="en-US"/>
        </w:rPr>
        <w:t>NIHSS</w:t>
      </w:r>
      <w:r w:rsidRPr="00C25888">
        <w:rPr>
          <w:rFonts w:eastAsia="Times New Roman" w:cs="Arial"/>
          <w:color w:val="000000"/>
          <w:lang w:val="ru-RU"/>
        </w:rPr>
        <w:t xml:space="preserve"> </w:t>
      </w:r>
      <w:r w:rsidRPr="00C25888">
        <w:rPr>
          <w:rFonts w:eastAsia="Times New Roman" w:cs="Arial"/>
          <w:color w:val="000000"/>
          <w:lang w:eastAsia="bg-BG"/>
        </w:rPr>
        <w:t xml:space="preserve">&lt;3). Пациентите в двете групи са получили открито АСК на ден 1 (в доза, варираща от 75 до 300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по преценка на лекуващия лекар). Пациентите, рандомизирани в групата на клопидогрел-АСК, са получили натоварваща доза 300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на ден 1, последвана от доза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на ден в дните от 2-ри до 90-ти, и АСК в доза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на ден в дните от 2-ри до 21-ви. Пациентите, рандомизирани в групата на АСК, са получавали плацебо версия на клопидогрел в дните от 1-ви до 90-ти и АСК в доза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на ден в дните от 2-ри до 90-ти.</w:t>
      </w:r>
    </w:p>
    <w:p w14:paraId="3EEAF2FD" w14:textId="77777777" w:rsidR="006E7B6D" w:rsidRPr="00C25888" w:rsidRDefault="006E7B6D" w:rsidP="006E7B6D">
      <w:pPr>
        <w:spacing w:line="240" w:lineRule="auto"/>
        <w:rPr>
          <w:rFonts w:eastAsia="Times New Roman" w:cs="Arial"/>
          <w:color w:val="000000"/>
          <w:lang w:eastAsia="bg-BG"/>
        </w:rPr>
      </w:pPr>
    </w:p>
    <w:p w14:paraId="44C198D2" w14:textId="60B94723"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Първичният резултат за ефикасност е всяко ново събитие на инсулт (исхемичен и хеморагичен) пред първите 90 дни след остър лек </w:t>
      </w:r>
      <w:r w:rsidRPr="00C25888">
        <w:rPr>
          <w:rFonts w:eastAsia="Times New Roman" w:cs="Arial"/>
          <w:color w:val="000000"/>
          <w:lang w:val="en-US"/>
        </w:rPr>
        <w:t>IS</w:t>
      </w:r>
      <w:r w:rsidRPr="00C25888">
        <w:rPr>
          <w:rFonts w:eastAsia="Times New Roman" w:cs="Arial"/>
          <w:color w:val="000000"/>
          <w:lang w:val="ru-RU"/>
        </w:rPr>
        <w:t xml:space="preserve"> </w:t>
      </w:r>
      <w:r w:rsidRPr="00C25888">
        <w:rPr>
          <w:rFonts w:eastAsia="Times New Roman" w:cs="Arial"/>
          <w:color w:val="000000"/>
          <w:lang w:eastAsia="bg-BG"/>
        </w:rPr>
        <w:t xml:space="preserve">или </w:t>
      </w:r>
      <w:r w:rsidRPr="00C25888">
        <w:rPr>
          <w:rFonts w:eastAsia="Times New Roman" w:cs="Arial"/>
          <w:color w:val="000000"/>
          <w:lang w:val="en-US"/>
        </w:rPr>
        <w:t>TIA</w:t>
      </w:r>
      <w:r w:rsidRPr="00C25888">
        <w:rPr>
          <w:rFonts w:eastAsia="Times New Roman" w:cs="Arial"/>
          <w:color w:val="000000"/>
          <w:lang w:val="ru-RU"/>
        </w:rPr>
        <w:t xml:space="preserve"> </w:t>
      </w:r>
      <w:r w:rsidRPr="00C25888">
        <w:rPr>
          <w:rFonts w:eastAsia="Times New Roman" w:cs="Arial"/>
          <w:color w:val="000000"/>
          <w:lang w:eastAsia="bg-BG"/>
        </w:rPr>
        <w:t xml:space="preserve">с висок риск. Това е настъпило при 212 пациенти (8,2%) в групата на клопидогрел - АСК в сравнение с 303 пациенти (11,7%) в групата на АСК (коефициент на риск </w:t>
      </w:r>
      <w:r w:rsidRPr="00C25888">
        <w:rPr>
          <w:rFonts w:eastAsia="Times New Roman" w:cs="Arial"/>
          <w:color w:val="000000"/>
          <w:lang w:val="ru-RU"/>
        </w:rPr>
        <w:t>[</w:t>
      </w:r>
      <w:r w:rsidRPr="00C25888">
        <w:rPr>
          <w:rFonts w:eastAsia="Times New Roman" w:cs="Arial"/>
          <w:color w:val="000000"/>
          <w:lang w:val="en-US"/>
        </w:rPr>
        <w:t>HR</w:t>
      </w:r>
      <w:r w:rsidRPr="00C25888">
        <w:rPr>
          <w:rFonts w:eastAsia="Times New Roman" w:cs="Arial"/>
          <w:color w:val="000000"/>
          <w:lang w:val="ru-RU"/>
        </w:rPr>
        <w:t xml:space="preserve">], </w:t>
      </w:r>
      <w:r w:rsidRPr="00C25888">
        <w:rPr>
          <w:rFonts w:eastAsia="Times New Roman" w:cs="Arial"/>
          <w:color w:val="000000"/>
          <w:lang w:eastAsia="bg-BG"/>
        </w:rPr>
        <w:t xml:space="preserve">0,68; 95% доверителен </w:t>
      </w:r>
      <w:r w:rsidRPr="00C25888">
        <w:rPr>
          <w:rFonts w:eastAsia="Times New Roman" w:cs="Arial"/>
          <w:color w:val="000000"/>
          <w:lang w:eastAsia="bg-BG"/>
        </w:rPr>
        <w:lastRenderedPageBreak/>
        <w:t xml:space="preserve">интервал </w:t>
      </w:r>
      <w:r w:rsidRPr="00C25888">
        <w:rPr>
          <w:rFonts w:eastAsia="Times New Roman" w:cs="Arial"/>
          <w:color w:val="000000"/>
          <w:lang w:val="ru-RU"/>
        </w:rPr>
        <w:t>[</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0,57 до 0,81; Р&lt;0,001). </w:t>
      </w:r>
      <w:r w:rsidRPr="00C25888">
        <w:rPr>
          <w:rFonts w:eastAsia="Times New Roman" w:cs="Arial"/>
          <w:color w:val="000000"/>
          <w:lang w:val="en-US"/>
        </w:rPr>
        <w:t>IS</w:t>
      </w:r>
      <w:r w:rsidRPr="00C25888">
        <w:rPr>
          <w:rFonts w:eastAsia="Times New Roman" w:cs="Arial"/>
          <w:color w:val="000000"/>
          <w:lang w:val="ru-RU"/>
        </w:rPr>
        <w:t xml:space="preserve"> </w:t>
      </w:r>
      <w:r w:rsidRPr="00C25888">
        <w:rPr>
          <w:rFonts w:eastAsia="Times New Roman" w:cs="Arial"/>
          <w:color w:val="000000"/>
          <w:lang w:eastAsia="bg-BG"/>
        </w:rPr>
        <w:t>е настъпил при 204 пациенти (7</w:t>
      </w:r>
      <w:proofErr w:type="gramStart"/>
      <w:r w:rsidRPr="00C25888">
        <w:rPr>
          <w:rFonts w:eastAsia="Times New Roman" w:cs="Arial"/>
          <w:color w:val="000000"/>
          <w:lang w:eastAsia="bg-BG"/>
        </w:rPr>
        <w:t>,9</w:t>
      </w:r>
      <w:proofErr w:type="gramEnd"/>
      <w:r w:rsidRPr="00C25888">
        <w:rPr>
          <w:rFonts w:eastAsia="Times New Roman" w:cs="Arial"/>
          <w:color w:val="000000"/>
          <w:lang w:eastAsia="bg-BG"/>
        </w:rPr>
        <w:t xml:space="preserve">%) в групата на клопидогрел - АСК в сравнение с 295 (11,4%) в групата на АСК </w:t>
      </w:r>
      <w:r w:rsidRPr="00C25888">
        <w:rPr>
          <w:rFonts w:eastAsia="Times New Roman" w:cs="Arial"/>
          <w:color w:val="000000"/>
          <w:lang w:val="ru-RU"/>
        </w:rPr>
        <w:t>(</w:t>
      </w:r>
      <w:r w:rsidRPr="00C25888">
        <w:rPr>
          <w:rFonts w:eastAsia="Times New Roman" w:cs="Arial"/>
          <w:color w:val="000000"/>
          <w:lang w:val="en-US"/>
        </w:rPr>
        <w:t>HR</w:t>
      </w:r>
      <w:r w:rsidRPr="00C25888">
        <w:rPr>
          <w:rFonts w:eastAsia="Times New Roman" w:cs="Arial"/>
          <w:color w:val="000000"/>
          <w:lang w:val="ru-RU"/>
        </w:rPr>
        <w:t xml:space="preserve">, </w:t>
      </w:r>
      <w:r w:rsidRPr="00C25888">
        <w:rPr>
          <w:rFonts w:eastAsia="Times New Roman" w:cs="Arial"/>
          <w:color w:val="000000"/>
          <w:lang w:eastAsia="bg-BG"/>
        </w:rPr>
        <w:t xml:space="preserve">0,67;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0,56 до 0,81; Р &lt;0,001). Хеморагичен инсулт е наблюдаван при 8 пациенти във всяка от двете групи в изпитването (0,3% от всяка група).</w:t>
      </w:r>
    </w:p>
    <w:p w14:paraId="52107945" w14:textId="77777777"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Умерен или тежък кръвоизлив е наблюдаван при седем пациенти (0,3%) в групата на клопидогрел - АСК и при осем (0,3%) в групата на АСК (Р = 0,73). Честотата на всяко събитие на кървене е 2,3% в групата на клопидогрел - АСК, в сравнение с 1,6% в групата на АСК </w:t>
      </w:r>
      <w:r w:rsidRPr="00C25888">
        <w:rPr>
          <w:rFonts w:eastAsia="Times New Roman" w:cs="Arial"/>
          <w:color w:val="000000"/>
          <w:lang w:val="ru-RU"/>
        </w:rPr>
        <w:t>(</w:t>
      </w:r>
      <w:r w:rsidRPr="00C25888">
        <w:rPr>
          <w:rFonts w:eastAsia="Times New Roman" w:cs="Arial"/>
          <w:color w:val="000000"/>
          <w:lang w:val="en-US"/>
        </w:rPr>
        <w:t>HR</w:t>
      </w:r>
      <w:r w:rsidRPr="00C25888">
        <w:rPr>
          <w:rFonts w:eastAsia="Times New Roman" w:cs="Arial"/>
          <w:color w:val="000000"/>
          <w:lang w:val="ru-RU"/>
        </w:rPr>
        <w:t xml:space="preserve">, </w:t>
      </w:r>
      <w:r w:rsidRPr="00C25888">
        <w:rPr>
          <w:rFonts w:eastAsia="Times New Roman" w:cs="Arial"/>
          <w:color w:val="000000"/>
          <w:lang w:eastAsia="bg-BG"/>
        </w:rPr>
        <w:t xml:space="preserve">1,41;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0,95 до 2,10; Р = 0,09).</w:t>
      </w:r>
    </w:p>
    <w:p w14:paraId="71AEF495" w14:textId="77777777" w:rsidR="006E7B6D" w:rsidRPr="00C25888" w:rsidRDefault="006E7B6D" w:rsidP="006E7B6D">
      <w:pPr>
        <w:spacing w:line="240" w:lineRule="auto"/>
        <w:rPr>
          <w:rFonts w:eastAsia="Times New Roman" w:cs="Arial"/>
          <w:b/>
          <w:bCs/>
          <w:color w:val="000000"/>
        </w:rPr>
      </w:pPr>
    </w:p>
    <w:p w14:paraId="5D0922C2" w14:textId="16C07E03" w:rsidR="006E7B6D" w:rsidRPr="00C25888" w:rsidRDefault="006E7B6D" w:rsidP="006E7B6D">
      <w:pPr>
        <w:spacing w:line="240" w:lineRule="auto"/>
        <w:rPr>
          <w:rFonts w:eastAsia="Times New Roman" w:cs="Arial"/>
          <w:b/>
          <w:bCs/>
          <w:color w:val="000000"/>
        </w:rPr>
      </w:pPr>
      <w:r w:rsidRPr="00C25888">
        <w:rPr>
          <w:rFonts w:eastAsia="Times New Roman" w:cs="Arial"/>
          <w:b/>
          <w:bCs/>
          <w:color w:val="000000"/>
          <w:lang w:val="en-US"/>
        </w:rPr>
        <w:t>POINT</w:t>
      </w:r>
      <w:r w:rsidRPr="00C25888">
        <w:rPr>
          <w:rFonts w:eastAsia="Times New Roman" w:cs="Arial"/>
          <w:b/>
          <w:bCs/>
          <w:color w:val="000000"/>
        </w:rPr>
        <w:t xml:space="preserve"> </w:t>
      </w:r>
      <w:r w:rsidRPr="00C25888">
        <w:rPr>
          <w:rFonts w:eastAsia="Times New Roman" w:cs="Arial"/>
          <w:i/>
          <w:iCs/>
          <w:color w:val="000000"/>
          <w:lang w:eastAsia="bg-BG"/>
        </w:rPr>
        <w:t>(Инхибиране, насочено към тромбоцитите при новопоявила се Т</w:t>
      </w:r>
      <w:r w:rsidRPr="00C25888">
        <w:rPr>
          <w:rFonts w:eastAsia="Times New Roman" w:cs="Arial"/>
          <w:i/>
          <w:iCs/>
          <w:color w:val="000000"/>
          <w:lang w:val="en-US"/>
        </w:rPr>
        <w:t>I</w:t>
      </w:r>
      <w:r w:rsidRPr="00C25888">
        <w:rPr>
          <w:rFonts w:eastAsia="Times New Roman" w:cs="Arial"/>
          <w:i/>
          <w:iCs/>
          <w:color w:val="000000"/>
          <w:lang w:eastAsia="bg-BG"/>
        </w:rPr>
        <w:t xml:space="preserve">А и лек исхемичен инсулт - </w:t>
      </w:r>
      <w:r w:rsidRPr="00C25888">
        <w:rPr>
          <w:rFonts w:eastAsia="Times New Roman" w:cs="Arial"/>
          <w:i/>
          <w:iCs/>
          <w:color w:val="000000"/>
          <w:lang w:val="en-US"/>
        </w:rPr>
        <w:t>Platelet</w:t>
      </w:r>
      <w:r w:rsidRPr="00C25888">
        <w:rPr>
          <w:rFonts w:eastAsia="Times New Roman" w:cs="Arial"/>
          <w:i/>
          <w:iCs/>
          <w:color w:val="000000"/>
        </w:rPr>
        <w:t>-</w:t>
      </w:r>
      <w:r w:rsidRPr="00C25888">
        <w:rPr>
          <w:rFonts w:eastAsia="Times New Roman" w:cs="Arial"/>
          <w:i/>
          <w:iCs/>
          <w:color w:val="000000"/>
          <w:lang w:val="en-US"/>
        </w:rPr>
        <w:t>Oriented</w:t>
      </w:r>
      <w:r w:rsidRPr="00C25888">
        <w:rPr>
          <w:rFonts w:eastAsia="Times New Roman" w:cs="Arial"/>
          <w:i/>
          <w:iCs/>
          <w:color w:val="000000"/>
        </w:rPr>
        <w:t xml:space="preserve"> </w:t>
      </w:r>
      <w:r w:rsidRPr="00C25888">
        <w:rPr>
          <w:rFonts w:eastAsia="Times New Roman" w:cs="Arial"/>
          <w:i/>
          <w:iCs/>
          <w:color w:val="000000"/>
          <w:lang w:val="en-US"/>
        </w:rPr>
        <w:t>Inhibition</w:t>
      </w:r>
      <w:r w:rsidRPr="00C25888">
        <w:rPr>
          <w:rFonts w:eastAsia="Times New Roman" w:cs="Arial"/>
          <w:i/>
          <w:iCs/>
          <w:color w:val="000000"/>
        </w:rPr>
        <w:t xml:space="preserve"> </w:t>
      </w:r>
      <w:r w:rsidRPr="00C25888">
        <w:rPr>
          <w:rFonts w:eastAsia="Times New Roman" w:cs="Arial"/>
          <w:i/>
          <w:iCs/>
          <w:color w:val="000000"/>
          <w:lang w:val="en-US"/>
        </w:rPr>
        <w:t>in</w:t>
      </w:r>
      <w:r w:rsidRPr="00C25888">
        <w:rPr>
          <w:rFonts w:eastAsia="Times New Roman" w:cs="Arial"/>
          <w:i/>
          <w:iCs/>
          <w:color w:val="000000"/>
        </w:rPr>
        <w:t xml:space="preserve"> </w:t>
      </w:r>
      <w:r w:rsidRPr="00C25888">
        <w:rPr>
          <w:rFonts w:eastAsia="Times New Roman" w:cs="Arial"/>
          <w:i/>
          <w:iCs/>
          <w:color w:val="000000"/>
          <w:lang w:val="en-US"/>
        </w:rPr>
        <w:t>New</w:t>
      </w:r>
      <w:r w:rsidRPr="00C25888">
        <w:rPr>
          <w:rFonts w:eastAsia="Times New Roman" w:cs="Arial"/>
          <w:i/>
          <w:iCs/>
          <w:color w:val="000000"/>
        </w:rPr>
        <w:t xml:space="preserve"> </w:t>
      </w:r>
      <w:r w:rsidRPr="00C25888">
        <w:rPr>
          <w:rFonts w:eastAsia="Times New Roman" w:cs="Arial"/>
          <w:i/>
          <w:iCs/>
          <w:color w:val="000000"/>
          <w:lang w:val="en-US"/>
        </w:rPr>
        <w:t>TIA</w:t>
      </w:r>
      <w:r w:rsidRPr="00C25888">
        <w:rPr>
          <w:rFonts w:eastAsia="Times New Roman" w:cs="Arial"/>
          <w:i/>
          <w:iCs/>
          <w:color w:val="000000"/>
        </w:rPr>
        <w:t xml:space="preserve"> </w:t>
      </w:r>
      <w:r w:rsidRPr="00C25888">
        <w:rPr>
          <w:rFonts w:eastAsia="Times New Roman" w:cs="Arial"/>
          <w:i/>
          <w:iCs/>
          <w:color w:val="000000"/>
          <w:lang w:val="en-US"/>
        </w:rPr>
        <w:t>and</w:t>
      </w:r>
      <w:r w:rsidRPr="00C25888">
        <w:rPr>
          <w:rFonts w:eastAsia="Times New Roman" w:cs="Arial"/>
          <w:i/>
          <w:iCs/>
          <w:color w:val="000000"/>
        </w:rPr>
        <w:t xml:space="preserve"> </w:t>
      </w:r>
      <w:r w:rsidRPr="00C25888">
        <w:rPr>
          <w:rFonts w:eastAsia="Times New Roman" w:cs="Arial"/>
          <w:i/>
          <w:iCs/>
          <w:color w:val="000000"/>
          <w:lang w:val="en-US"/>
        </w:rPr>
        <w:t>Minor</w:t>
      </w:r>
      <w:r w:rsidRPr="00C25888">
        <w:rPr>
          <w:rFonts w:eastAsia="Times New Roman" w:cs="Arial"/>
          <w:i/>
          <w:iCs/>
          <w:color w:val="000000"/>
        </w:rPr>
        <w:t xml:space="preserve"> </w:t>
      </w:r>
      <w:r w:rsidRPr="00C25888">
        <w:rPr>
          <w:rFonts w:eastAsia="Times New Roman" w:cs="Arial"/>
          <w:i/>
          <w:iCs/>
          <w:color w:val="000000"/>
          <w:lang w:val="en-US"/>
        </w:rPr>
        <w:t>Ischemic</w:t>
      </w:r>
      <w:r w:rsidRPr="00C25888">
        <w:rPr>
          <w:rFonts w:eastAsia="Times New Roman" w:cs="Arial"/>
          <w:i/>
          <w:iCs/>
          <w:color w:val="000000"/>
        </w:rPr>
        <w:t xml:space="preserve"> </w:t>
      </w:r>
      <w:r w:rsidRPr="00C25888">
        <w:rPr>
          <w:rFonts w:eastAsia="Times New Roman" w:cs="Arial"/>
          <w:i/>
          <w:iCs/>
          <w:color w:val="000000"/>
          <w:lang w:val="en-US"/>
        </w:rPr>
        <w:t>Stroke</w:t>
      </w:r>
      <w:r w:rsidRPr="00C25888">
        <w:rPr>
          <w:rFonts w:eastAsia="Times New Roman" w:cs="Arial"/>
          <w:i/>
          <w:iCs/>
          <w:color w:val="000000"/>
        </w:rPr>
        <w:t>)</w:t>
      </w:r>
    </w:p>
    <w:p w14:paraId="29709A19" w14:textId="77777777" w:rsidR="006E7B6D" w:rsidRPr="00C25888" w:rsidRDefault="006E7B6D" w:rsidP="006E7B6D">
      <w:pPr>
        <w:spacing w:line="240" w:lineRule="auto"/>
        <w:rPr>
          <w:rFonts w:eastAsia="Times New Roman" w:cs="Arial"/>
          <w:color w:val="000000"/>
          <w:lang w:eastAsia="bg-BG"/>
        </w:rPr>
      </w:pPr>
    </w:p>
    <w:p w14:paraId="42874C63" w14:textId="5FE9DA82"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Това рандомизирано, двойносляпо, многоцентрово, плацебо-контролирано клинично изпитване включва 4 881 пациенти от цял свят с остра </w:t>
      </w:r>
      <w:r w:rsidRPr="00C25888">
        <w:rPr>
          <w:rFonts w:eastAsia="Times New Roman" w:cs="Arial"/>
          <w:color w:val="000000"/>
          <w:lang w:val="en-US"/>
        </w:rPr>
        <w:t>TIA</w:t>
      </w:r>
      <w:r w:rsidRPr="00C25888">
        <w:rPr>
          <w:rFonts w:eastAsia="Times New Roman" w:cs="Arial"/>
          <w:color w:val="000000"/>
          <w:lang w:val="ru-RU"/>
        </w:rPr>
        <w:t xml:space="preserve"> (</w:t>
      </w:r>
      <w:r w:rsidRPr="00C25888">
        <w:rPr>
          <w:rFonts w:eastAsia="Times New Roman" w:cs="Arial"/>
          <w:color w:val="000000"/>
          <w:lang w:val="en-US"/>
        </w:rPr>
        <w:t>ABCD</w:t>
      </w:r>
      <w:r w:rsidRPr="00C25888">
        <w:rPr>
          <w:rFonts w:eastAsia="Times New Roman" w:cs="Arial"/>
          <w:color w:val="000000"/>
          <w:lang w:val="ru-RU"/>
        </w:rPr>
        <w:t xml:space="preserve">2 </w:t>
      </w:r>
      <w:r w:rsidRPr="00C25888">
        <w:rPr>
          <w:rFonts w:eastAsia="Times New Roman" w:cs="Arial"/>
          <w:color w:val="000000"/>
          <w:lang w:eastAsia="bg-BG"/>
        </w:rPr>
        <w:t xml:space="preserve">скор ≥4) или лек инсулт </w:t>
      </w:r>
      <w:r w:rsidRPr="00C25888">
        <w:rPr>
          <w:rFonts w:eastAsia="Times New Roman" w:cs="Arial"/>
          <w:color w:val="000000"/>
          <w:lang w:val="ru-RU"/>
        </w:rPr>
        <w:t>(</w:t>
      </w:r>
      <w:r w:rsidRPr="00C25888">
        <w:rPr>
          <w:rFonts w:eastAsia="Times New Roman" w:cs="Arial"/>
          <w:color w:val="000000"/>
          <w:lang w:val="en-US"/>
        </w:rPr>
        <w:t>NIHSS</w:t>
      </w:r>
      <w:r w:rsidRPr="00C25888">
        <w:rPr>
          <w:rFonts w:eastAsia="Times New Roman" w:cs="Arial"/>
          <w:color w:val="000000"/>
          <w:lang w:val="ru-RU"/>
        </w:rPr>
        <w:t xml:space="preserve"> </w:t>
      </w:r>
      <w:r w:rsidRPr="00C25888">
        <w:rPr>
          <w:rFonts w:eastAsia="Times New Roman" w:cs="Arial"/>
          <w:color w:val="000000"/>
          <w:lang w:eastAsia="bg-BG"/>
        </w:rPr>
        <w:t xml:space="preserve">&lt;3). Всички пациенти в двете групи са получавали открито АСК в дните от 1-ви до 90-ти (50-325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по преценка на лекуващия лекар). Пациентите, рандомизирани в групата на клопидогрел, са получили натоварваща доза 600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на 1-ви ден, последвана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клопидогрел на ден в дните от 2-ри до 90-ти. Пациентите, рандомизирани в групата на плацебо, са получавали плацебо версия на клопидогрел в дните от 1-ви до 90-ти.</w:t>
      </w:r>
    </w:p>
    <w:p w14:paraId="77723672" w14:textId="77777777" w:rsidR="006E7B6D" w:rsidRPr="00C25888" w:rsidRDefault="006E7B6D" w:rsidP="006E7B6D">
      <w:pPr>
        <w:spacing w:line="240" w:lineRule="auto"/>
        <w:rPr>
          <w:rFonts w:eastAsia="Times New Roman" w:cs="Arial"/>
          <w:color w:val="000000"/>
          <w:lang w:eastAsia="bg-BG"/>
        </w:rPr>
      </w:pPr>
    </w:p>
    <w:p w14:paraId="5B8A389F" w14:textId="5FD487FF" w:rsidR="006E7B6D" w:rsidRPr="00C25888" w:rsidRDefault="006E7B6D" w:rsidP="006E7B6D">
      <w:pPr>
        <w:spacing w:line="240" w:lineRule="auto"/>
        <w:rPr>
          <w:rFonts w:eastAsia="Times New Roman" w:cs="Arial"/>
        </w:rPr>
      </w:pPr>
      <w:r w:rsidRPr="00C25888">
        <w:rPr>
          <w:rFonts w:eastAsia="Times New Roman" w:cs="Arial"/>
          <w:color w:val="000000"/>
          <w:lang w:eastAsia="bg-BG"/>
        </w:rPr>
        <w:t xml:space="preserve">Първичният резултат за ефикасност е съставна от големи исхемични събития </w:t>
      </w:r>
      <w:r w:rsidRPr="00C25888">
        <w:rPr>
          <w:rFonts w:eastAsia="Times New Roman" w:cs="Arial"/>
          <w:color w:val="000000"/>
          <w:lang w:val="ru-RU"/>
        </w:rPr>
        <w:t>(</w:t>
      </w:r>
      <w:r w:rsidRPr="00C25888">
        <w:rPr>
          <w:rFonts w:eastAsia="Times New Roman" w:cs="Arial"/>
          <w:color w:val="000000"/>
          <w:lang w:val="en-US"/>
        </w:rPr>
        <w:t>IS</w:t>
      </w:r>
      <w:r w:rsidRPr="00C25888">
        <w:rPr>
          <w:rFonts w:eastAsia="Times New Roman" w:cs="Arial"/>
          <w:color w:val="000000"/>
          <w:lang w:val="ru-RU"/>
        </w:rPr>
        <w:t xml:space="preserve">,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или смърт от исхемнчно съдово събитие) на ден 90. Това е настъпило при 121 пациенти (5,0%), получавали клопидогрел плюс АСК, в сравнение с 160 пациенти (6,5%), получавали АСК самостоятелно </w:t>
      </w:r>
      <w:r w:rsidRPr="00C25888">
        <w:rPr>
          <w:rFonts w:eastAsia="Times New Roman" w:cs="Arial"/>
          <w:color w:val="000000"/>
          <w:lang w:val="ru-RU"/>
        </w:rPr>
        <w:t>(</w:t>
      </w:r>
      <w:r w:rsidRPr="00C25888">
        <w:rPr>
          <w:rFonts w:eastAsia="Times New Roman" w:cs="Arial"/>
          <w:color w:val="000000"/>
          <w:lang w:val="en-US"/>
        </w:rPr>
        <w:t>HR</w:t>
      </w:r>
      <w:r w:rsidRPr="00C25888">
        <w:rPr>
          <w:rFonts w:eastAsia="Times New Roman" w:cs="Arial"/>
          <w:color w:val="000000"/>
          <w:lang w:val="ru-RU"/>
        </w:rPr>
        <w:t xml:space="preserve">, </w:t>
      </w:r>
      <w:r w:rsidRPr="00C25888">
        <w:rPr>
          <w:rFonts w:eastAsia="Times New Roman" w:cs="Arial"/>
          <w:color w:val="000000"/>
          <w:lang w:eastAsia="bg-BG"/>
        </w:rPr>
        <w:t xml:space="preserve">0,75;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0,59 до 0,95; Р = 0,02). Вторичният резултат </w:t>
      </w:r>
      <w:r w:rsidRPr="00C25888">
        <w:rPr>
          <w:rFonts w:eastAsia="Times New Roman" w:cs="Arial"/>
          <w:color w:val="000000"/>
          <w:lang w:val="en-US"/>
        </w:rPr>
        <w:t>IS</w:t>
      </w:r>
      <w:r w:rsidRPr="00C25888">
        <w:rPr>
          <w:rFonts w:eastAsia="Times New Roman" w:cs="Arial"/>
          <w:color w:val="000000"/>
          <w:lang w:val="ru-RU"/>
        </w:rPr>
        <w:t xml:space="preserve"> </w:t>
      </w:r>
      <w:r w:rsidRPr="00C25888">
        <w:rPr>
          <w:rFonts w:eastAsia="Times New Roman" w:cs="Arial"/>
          <w:color w:val="000000"/>
          <w:lang w:eastAsia="bg-BG"/>
        </w:rPr>
        <w:t xml:space="preserve">е настъпил при 112 пациенти (4,6%), получавали клопидогрел плюс АСК, в сравнение с 155 пациенти (6,3%), получавали АСК самостоятелно </w:t>
      </w:r>
      <w:r w:rsidRPr="00C25888">
        <w:rPr>
          <w:rFonts w:eastAsia="Times New Roman" w:cs="Arial"/>
          <w:color w:val="000000"/>
          <w:lang w:val="ru-RU"/>
        </w:rPr>
        <w:t>(</w:t>
      </w:r>
      <w:r w:rsidRPr="00C25888">
        <w:rPr>
          <w:rFonts w:eastAsia="Times New Roman" w:cs="Arial"/>
          <w:color w:val="000000"/>
          <w:lang w:val="en-US"/>
        </w:rPr>
        <w:t>HR</w:t>
      </w:r>
      <w:r w:rsidRPr="00C25888">
        <w:rPr>
          <w:rFonts w:eastAsia="Times New Roman" w:cs="Arial"/>
          <w:color w:val="000000"/>
          <w:lang w:val="ru-RU"/>
        </w:rPr>
        <w:t xml:space="preserve">, </w:t>
      </w:r>
      <w:r w:rsidRPr="00C25888">
        <w:rPr>
          <w:rFonts w:eastAsia="Times New Roman" w:cs="Arial"/>
          <w:color w:val="000000"/>
          <w:lang w:eastAsia="bg-BG"/>
        </w:rPr>
        <w:t xml:space="preserve">0,72;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0,56 до 0,92; Р = 0,01). Първичният резултат за безопасност голям кръвоизлив е настъпил при 23 от 2 432 пациенти (0,9%), получавали клопидогрел плюс АСК и при 10 от 2 449 пациенти (0,4%), получавали АСК самостоятелно </w:t>
      </w:r>
      <w:r w:rsidRPr="00C25888">
        <w:rPr>
          <w:rFonts w:eastAsia="Times New Roman" w:cs="Arial"/>
          <w:color w:val="000000"/>
          <w:lang w:val="ru-RU"/>
        </w:rPr>
        <w:t>(</w:t>
      </w:r>
      <w:r w:rsidRPr="00C25888">
        <w:rPr>
          <w:rFonts w:eastAsia="Times New Roman" w:cs="Arial"/>
          <w:color w:val="000000"/>
          <w:lang w:val="en-US"/>
        </w:rPr>
        <w:t>HR</w:t>
      </w:r>
      <w:r w:rsidRPr="00C25888">
        <w:rPr>
          <w:rFonts w:eastAsia="Times New Roman" w:cs="Arial"/>
          <w:color w:val="000000"/>
          <w:lang w:val="ru-RU"/>
        </w:rPr>
        <w:t xml:space="preserve">, </w:t>
      </w:r>
      <w:r w:rsidRPr="00C25888">
        <w:rPr>
          <w:rFonts w:eastAsia="Times New Roman" w:cs="Arial"/>
          <w:color w:val="000000"/>
          <w:lang w:eastAsia="bg-BG"/>
        </w:rPr>
        <w:t xml:space="preserve">2,32;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1,10 до 4,87; Р = 0,02). Неголям кръвоизлив е настъпил при 40 пациенти (1,6%), получавали клопидогрел плюс АСК и при 13 (0,5%), получавали АСК самостоятелно </w:t>
      </w:r>
      <w:r w:rsidRPr="00C25888">
        <w:rPr>
          <w:rFonts w:eastAsia="Times New Roman" w:cs="Arial"/>
          <w:color w:val="000000"/>
          <w:lang w:val="ru-RU"/>
        </w:rPr>
        <w:t>(</w:t>
      </w:r>
      <w:r w:rsidRPr="00C25888">
        <w:rPr>
          <w:rFonts w:eastAsia="Times New Roman" w:cs="Arial"/>
          <w:color w:val="000000"/>
          <w:lang w:val="en-US"/>
        </w:rPr>
        <w:t>HR</w:t>
      </w:r>
      <w:r w:rsidRPr="00C25888">
        <w:rPr>
          <w:rFonts w:eastAsia="Times New Roman" w:cs="Arial"/>
          <w:color w:val="000000"/>
          <w:lang w:val="ru-RU"/>
        </w:rPr>
        <w:t xml:space="preserve">, </w:t>
      </w:r>
      <w:r w:rsidRPr="00C25888">
        <w:rPr>
          <w:rFonts w:eastAsia="Times New Roman" w:cs="Arial"/>
          <w:color w:val="000000"/>
          <w:lang w:eastAsia="bg-BG"/>
        </w:rPr>
        <w:t xml:space="preserve">3,12;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1,67 до 5,83; Р &lt; 0,001).</w:t>
      </w:r>
    </w:p>
    <w:p w14:paraId="51C01A73" w14:textId="77777777" w:rsidR="006E7B6D" w:rsidRPr="00C25888" w:rsidRDefault="006E7B6D" w:rsidP="006E7B6D">
      <w:pPr>
        <w:spacing w:line="240" w:lineRule="auto"/>
        <w:rPr>
          <w:rFonts w:eastAsia="Times New Roman" w:cs="Arial"/>
          <w:i/>
          <w:iCs/>
          <w:color w:val="000000"/>
          <w:lang w:eastAsia="bg-BG"/>
        </w:rPr>
      </w:pPr>
    </w:p>
    <w:p w14:paraId="60AB109D" w14:textId="739FBA6F" w:rsidR="006E7B6D" w:rsidRPr="00C25888" w:rsidRDefault="006E7B6D" w:rsidP="006E7B6D">
      <w:pPr>
        <w:spacing w:line="240" w:lineRule="auto"/>
        <w:rPr>
          <w:rFonts w:eastAsia="Times New Roman" w:cs="Arial"/>
        </w:rPr>
      </w:pPr>
      <w:r w:rsidRPr="00C25888">
        <w:rPr>
          <w:rFonts w:eastAsia="Times New Roman" w:cs="Arial"/>
          <w:i/>
          <w:iCs/>
          <w:color w:val="000000"/>
          <w:lang w:eastAsia="bg-BG"/>
        </w:rPr>
        <w:t xml:space="preserve">Анализ във времето на проучванията </w:t>
      </w:r>
      <w:r w:rsidRPr="00C25888">
        <w:rPr>
          <w:rFonts w:eastAsia="Times New Roman" w:cs="Arial"/>
          <w:i/>
          <w:iCs/>
          <w:color w:val="000000"/>
          <w:lang w:val="en-US"/>
        </w:rPr>
        <w:t>CHANCE</w:t>
      </w:r>
      <w:r w:rsidRPr="00C25888">
        <w:rPr>
          <w:rFonts w:eastAsia="Times New Roman" w:cs="Arial"/>
          <w:i/>
          <w:iCs/>
          <w:color w:val="000000"/>
          <w:lang w:val="ru-RU"/>
        </w:rPr>
        <w:t xml:space="preserve"> </w:t>
      </w:r>
      <w:r w:rsidRPr="00C25888">
        <w:rPr>
          <w:rFonts w:eastAsia="Times New Roman" w:cs="Arial"/>
          <w:i/>
          <w:iCs/>
          <w:color w:val="000000"/>
          <w:lang w:eastAsia="bg-BG"/>
        </w:rPr>
        <w:t xml:space="preserve">и </w:t>
      </w:r>
      <w:r w:rsidRPr="00C25888">
        <w:rPr>
          <w:rFonts w:eastAsia="Times New Roman" w:cs="Arial"/>
          <w:i/>
          <w:iCs/>
          <w:color w:val="000000"/>
          <w:lang w:val="en-US"/>
        </w:rPr>
        <w:t>POINT</w:t>
      </w:r>
    </w:p>
    <w:p w14:paraId="3BD5F341" w14:textId="77777777" w:rsidR="00C25888" w:rsidRPr="00C25888" w:rsidRDefault="006E7B6D" w:rsidP="00C25888">
      <w:pPr>
        <w:rPr>
          <w:rFonts w:eastAsia="Times New Roman" w:cs="Arial"/>
        </w:rPr>
      </w:pPr>
      <w:r w:rsidRPr="00C25888">
        <w:rPr>
          <w:rFonts w:eastAsia="Times New Roman" w:cs="Arial"/>
          <w:color w:val="000000"/>
          <w:lang w:eastAsia="bg-BG"/>
        </w:rPr>
        <w:t xml:space="preserve">Не е наблюдавана полза по отношение на ефикасността от продължаването на </w:t>
      </w:r>
      <w:r w:rsidRPr="00C25888">
        <w:rPr>
          <w:rFonts w:eastAsia="Times New Roman" w:cs="Arial"/>
          <w:color w:val="000000"/>
          <w:lang w:val="en-US"/>
        </w:rPr>
        <w:t>DAPT</w:t>
      </w:r>
      <w:r w:rsidRPr="00C25888">
        <w:rPr>
          <w:rFonts w:eastAsia="Times New Roman" w:cs="Arial"/>
          <w:color w:val="000000"/>
          <w:lang w:val="ru-RU"/>
        </w:rPr>
        <w:t xml:space="preserve"> </w:t>
      </w:r>
      <w:r w:rsidRPr="00C25888">
        <w:rPr>
          <w:rFonts w:eastAsia="Times New Roman" w:cs="Arial"/>
          <w:color w:val="000000"/>
          <w:lang w:eastAsia="bg-BG"/>
        </w:rPr>
        <w:t>след 21 дни. Направено е разпределение във времето на големите исхемични събития и големи</w:t>
      </w:r>
      <w:r w:rsidR="00C25888" w:rsidRPr="00C25888">
        <w:rPr>
          <w:rFonts w:eastAsia="Times New Roman" w:cs="Arial"/>
          <w:color w:val="000000"/>
          <w:lang w:val="ru-RU" w:eastAsia="bg-BG"/>
        </w:rPr>
        <w:t xml:space="preserve"> </w:t>
      </w:r>
      <w:r w:rsidR="00C25888" w:rsidRPr="00C25888">
        <w:rPr>
          <w:rFonts w:eastAsia="Times New Roman" w:cs="Arial"/>
          <w:color w:val="000000"/>
          <w:lang w:eastAsia="bg-BG"/>
        </w:rPr>
        <w:t xml:space="preserve">кръвоизливи според назначеното лечение, за да се анализира влиянието на краткосрочнния курс на </w:t>
      </w:r>
      <w:r w:rsidR="00C25888" w:rsidRPr="00C25888">
        <w:rPr>
          <w:rFonts w:eastAsia="Times New Roman" w:cs="Arial"/>
          <w:color w:val="000000"/>
          <w:lang w:val="en-US"/>
        </w:rPr>
        <w:t>DAPT</w:t>
      </w:r>
      <w:r w:rsidR="00C25888" w:rsidRPr="00C25888">
        <w:rPr>
          <w:rFonts w:eastAsia="Times New Roman" w:cs="Arial"/>
          <w:color w:val="000000"/>
          <w:lang w:val="ru-RU"/>
        </w:rPr>
        <w:t>.</w:t>
      </w:r>
    </w:p>
    <w:p w14:paraId="1176DAA7" w14:textId="77777777" w:rsidR="00C25888" w:rsidRPr="00C25888" w:rsidRDefault="00C25888" w:rsidP="00C25888">
      <w:pPr>
        <w:spacing w:line="240" w:lineRule="auto"/>
        <w:rPr>
          <w:rFonts w:eastAsia="Times New Roman" w:cs="Arial"/>
          <w:b/>
          <w:bCs/>
          <w:color w:val="000000"/>
          <w:lang w:eastAsia="bg-BG"/>
        </w:rPr>
      </w:pPr>
      <w:bookmarkStart w:id="1" w:name="bookmark0"/>
    </w:p>
    <w:p w14:paraId="19E1CB93" w14:textId="150239FA" w:rsidR="00C25888" w:rsidRPr="00C25888" w:rsidRDefault="00C25888" w:rsidP="00C25888">
      <w:pPr>
        <w:spacing w:line="240" w:lineRule="auto"/>
        <w:rPr>
          <w:rFonts w:eastAsia="Times New Roman" w:cs="Arial"/>
        </w:rPr>
      </w:pPr>
      <w:r w:rsidRPr="00C25888">
        <w:rPr>
          <w:rFonts w:eastAsia="Times New Roman" w:cs="Arial"/>
          <w:b/>
          <w:bCs/>
          <w:color w:val="000000"/>
          <w:lang w:eastAsia="bg-BG"/>
        </w:rPr>
        <w:t xml:space="preserve">Таблица I- Разпределение във времето на големи исхемични събития и големи кръвоизливи според назначеното лечение в проучванията </w:t>
      </w:r>
      <w:r w:rsidRPr="00C25888">
        <w:rPr>
          <w:rFonts w:eastAsia="Times New Roman" w:cs="Arial"/>
          <w:b/>
          <w:bCs/>
          <w:color w:val="000000"/>
          <w:lang w:val="en-US"/>
        </w:rPr>
        <w:t>CHANCE</w:t>
      </w:r>
      <w:r w:rsidRPr="00C25888">
        <w:rPr>
          <w:rFonts w:eastAsia="Times New Roman" w:cs="Arial"/>
          <w:b/>
          <w:bCs/>
          <w:color w:val="000000"/>
          <w:lang w:val="ru-RU"/>
        </w:rPr>
        <w:t xml:space="preserve"> </w:t>
      </w:r>
      <w:r w:rsidRPr="00C25888">
        <w:rPr>
          <w:rFonts w:eastAsia="Times New Roman" w:cs="Arial"/>
          <w:i/>
          <w:iCs/>
          <w:color w:val="000000"/>
          <w:lang w:eastAsia="bg-BG"/>
        </w:rPr>
        <w:t>и</w:t>
      </w:r>
      <w:r w:rsidRPr="00C25888">
        <w:rPr>
          <w:rFonts w:eastAsia="Times New Roman" w:cs="Arial"/>
          <w:b/>
          <w:bCs/>
          <w:color w:val="000000"/>
          <w:lang w:eastAsia="bg-BG"/>
        </w:rPr>
        <w:t xml:space="preserve"> </w:t>
      </w:r>
      <w:r w:rsidRPr="00C25888">
        <w:rPr>
          <w:rFonts w:eastAsia="Times New Roman" w:cs="Arial"/>
          <w:b/>
          <w:bCs/>
          <w:color w:val="000000"/>
          <w:lang w:val="en-US"/>
        </w:rPr>
        <w:t>POINT</w:t>
      </w:r>
      <w:bookmarkEnd w:id="1"/>
    </w:p>
    <w:tbl>
      <w:tblPr>
        <w:tblStyle w:val="TableGrid"/>
        <w:tblW w:w="0" w:type="auto"/>
        <w:tblLook w:val="04A0" w:firstRow="1" w:lastRow="0" w:firstColumn="1" w:lastColumn="0" w:noHBand="0" w:noVBand="1"/>
      </w:tblPr>
      <w:tblGrid>
        <w:gridCol w:w="1579"/>
        <w:gridCol w:w="1577"/>
        <w:gridCol w:w="1526"/>
        <w:gridCol w:w="1556"/>
        <w:gridCol w:w="1556"/>
        <w:gridCol w:w="1556"/>
      </w:tblGrid>
      <w:tr w:rsidR="00C25888" w14:paraId="4734F66D" w14:textId="77777777" w:rsidTr="000925F1">
        <w:tc>
          <w:tcPr>
            <w:tcW w:w="9576" w:type="dxa"/>
            <w:gridSpan w:val="6"/>
          </w:tcPr>
          <w:p w14:paraId="72306F91" w14:textId="5FCA50A3" w:rsidR="00C25888" w:rsidRDefault="00C25888" w:rsidP="00C25888">
            <w:pPr>
              <w:jc w:val="center"/>
            </w:pPr>
            <w:r>
              <w:rPr>
                <w:b/>
                <w:bCs/>
                <w:lang w:val="en-US"/>
              </w:rPr>
              <w:t xml:space="preserve">No </w:t>
            </w:r>
            <w:r>
              <w:rPr>
                <w:b/>
                <w:bCs/>
              </w:rPr>
              <w:t>събития</w:t>
            </w:r>
          </w:p>
        </w:tc>
      </w:tr>
      <w:tr w:rsidR="00C25888" w14:paraId="3A11D33E" w14:textId="77777777" w:rsidTr="00C25888">
        <w:tc>
          <w:tcPr>
            <w:tcW w:w="1596" w:type="dxa"/>
          </w:tcPr>
          <w:p w14:paraId="55DE8B0A" w14:textId="51B806A7" w:rsidR="00C25888" w:rsidRDefault="00C25888" w:rsidP="00C25888">
            <w:r>
              <w:rPr>
                <w:b/>
                <w:bCs/>
              </w:rPr>
              <w:t xml:space="preserve">Резултати в </w:t>
            </w:r>
            <w:r>
              <w:rPr>
                <w:b/>
                <w:bCs/>
                <w:lang w:val="en-US"/>
              </w:rPr>
              <w:t>CHANCE</w:t>
            </w:r>
            <w:r w:rsidRPr="00C25888">
              <w:rPr>
                <w:b/>
                <w:bCs/>
                <w:lang w:val="ru-RU"/>
              </w:rPr>
              <w:t xml:space="preserve"> </w:t>
            </w:r>
            <w:r>
              <w:rPr>
                <w:b/>
                <w:bCs/>
              </w:rPr>
              <w:t xml:space="preserve">и </w:t>
            </w:r>
            <w:r>
              <w:rPr>
                <w:b/>
                <w:bCs/>
                <w:lang w:val="en-US"/>
              </w:rPr>
              <w:t>POINT</w:t>
            </w:r>
          </w:p>
        </w:tc>
        <w:tc>
          <w:tcPr>
            <w:tcW w:w="1596" w:type="dxa"/>
          </w:tcPr>
          <w:p w14:paraId="5588D77F" w14:textId="1BE415C7" w:rsidR="00C25888" w:rsidRDefault="00C25888" w:rsidP="00C25888">
            <w:r>
              <w:rPr>
                <w:b/>
                <w:bCs/>
              </w:rPr>
              <w:t>Назначено лечение</w:t>
            </w:r>
          </w:p>
        </w:tc>
        <w:tc>
          <w:tcPr>
            <w:tcW w:w="1596" w:type="dxa"/>
          </w:tcPr>
          <w:p w14:paraId="7DC00D4F" w14:textId="1824365B" w:rsidR="00C25888" w:rsidRDefault="00C25888" w:rsidP="00C25888">
            <w:r>
              <w:t>Общо</w:t>
            </w:r>
          </w:p>
        </w:tc>
        <w:tc>
          <w:tcPr>
            <w:tcW w:w="1596" w:type="dxa"/>
          </w:tcPr>
          <w:p w14:paraId="4BCB784C" w14:textId="40460A57" w:rsidR="00C25888" w:rsidRDefault="00C25888" w:rsidP="00C25888">
            <w:r>
              <w:rPr>
                <w:b/>
                <w:bCs/>
              </w:rPr>
              <w:t>1-ва седмица</w:t>
            </w:r>
          </w:p>
        </w:tc>
        <w:tc>
          <w:tcPr>
            <w:tcW w:w="1596" w:type="dxa"/>
          </w:tcPr>
          <w:p w14:paraId="57D2EB54" w14:textId="5A0777CE" w:rsidR="00C25888" w:rsidRDefault="00C25888" w:rsidP="00C25888">
            <w:r>
              <w:rPr>
                <w:b/>
                <w:bCs/>
              </w:rPr>
              <w:t>2-ра седмица</w:t>
            </w:r>
          </w:p>
        </w:tc>
        <w:tc>
          <w:tcPr>
            <w:tcW w:w="1596" w:type="dxa"/>
          </w:tcPr>
          <w:p w14:paraId="519AC8AF" w14:textId="6B8C0F9F" w:rsidR="00C25888" w:rsidRDefault="00C25888" w:rsidP="00C25888">
            <w:r>
              <w:rPr>
                <w:b/>
                <w:bCs/>
              </w:rPr>
              <w:t>3-та седмица</w:t>
            </w:r>
          </w:p>
        </w:tc>
      </w:tr>
      <w:tr w:rsidR="00C25888" w14:paraId="02B310A7" w14:textId="77777777" w:rsidTr="00C25888">
        <w:tc>
          <w:tcPr>
            <w:tcW w:w="1596" w:type="dxa"/>
            <w:vMerge w:val="restart"/>
          </w:tcPr>
          <w:p w14:paraId="58E1BA0E" w14:textId="7D4E0B4C" w:rsidR="00C25888" w:rsidRDefault="00C25888" w:rsidP="00C25888">
            <w:r>
              <w:t>Големи исхемични събития</w:t>
            </w:r>
          </w:p>
        </w:tc>
        <w:tc>
          <w:tcPr>
            <w:tcW w:w="1596" w:type="dxa"/>
          </w:tcPr>
          <w:p w14:paraId="66AB7E54" w14:textId="36145EFE" w:rsidR="00C25888" w:rsidRDefault="00C25888" w:rsidP="00C25888">
            <w:r>
              <w:t>АСК (</w:t>
            </w:r>
            <w:r>
              <w:rPr>
                <w:lang w:val="en-US"/>
              </w:rPr>
              <w:t>n</w:t>
            </w:r>
            <w:r>
              <w:t>=5 035)</w:t>
            </w:r>
          </w:p>
        </w:tc>
        <w:tc>
          <w:tcPr>
            <w:tcW w:w="1596" w:type="dxa"/>
          </w:tcPr>
          <w:p w14:paraId="5C1A5526" w14:textId="468D14E8" w:rsidR="00C25888" w:rsidRDefault="00C25888" w:rsidP="00C25888">
            <w:r>
              <w:t>458</w:t>
            </w:r>
          </w:p>
        </w:tc>
        <w:tc>
          <w:tcPr>
            <w:tcW w:w="1596" w:type="dxa"/>
          </w:tcPr>
          <w:p w14:paraId="79417D93" w14:textId="2D67F1EE" w:rsidR="00C25888" w:rsidRDefault="00C25888" w:rsidP="00C25888">
            <w:r>
              <w:t>330</w:t>
            </w:r>
          </w:p>
        </w:tc>
        <w:tc>
          <w:tcPr>
            <w:tcW w:w="1596" w:type="dxa"/>
          </w:tcPr>
          <w:p w14:paraId="607B6A62" w14:textId="07B915A6" w:rsidR="00C25888" w:rsidRDefault="00C25888" w:rsidP="00C25888">
            <w:r>
              <w:t>36</w:t>
            </w:r>
          </w:p>
        </w:tc>
        <w:tc>
          <w:tcPr>
            <w:tcW w:w="1596" w:type="dxa"/>
          </w:tcPr>
          <w:p w14:paraId="79AD26B6" w14:textId="62804124" w:rsidR="00C25888" w:rsidRDefault="00C25888" w:rsidP="00C25888">
            <w:r>
              <w:t>21</w:t>
            </w:r>
          </w:p>
        </w:tc>
      </w:tr>
      <w:tr w:rsidR="00C25888" w14:paraId="2BF1D391" w14:textId="77777777" w:rsidTr="00C25888">
        <w:tc>
          <w:tcPr>
            <w:tcW w:w="1596" w:type="dxa"/>
            <w:vMerge/>
          </w:tcPr>
          <w:p w14:paraId="2A9285F3" w14:textId="77777777" w:rsidR="00C25888" w:rsidRDefault="00C25888" w:rsidP="00C25888"/>
        </w:tc>
        <w:tc>
          <w:tcPr>
            <w:tcW w:w="1596" w:type="dxa"/>
          </w:tcPr>
          <w:p w14:paraId="5229865B" w14:textId="6D4FF8FD" w:rsidR="00C25888" w:rsidRDefault="00C25888" w:rsidP="00C25888">
            <w:r>
              <w:rPr>
                <w:lang w:val="en-US"/>
              </w:rPr>
              <w:t xml:space="preserve">CLP+ACK </w:t>
            </w:r>
            <w:r>
              <w:t>(</w:t>
            </w:r>
            <w:r>
              <w:rPr>
                <w:lang w:val="en-US"/>
              </w:rPr>
              <w:t>n</w:t>
            </w:r>
            <w:r>
              <w:t>=5 016)</w:t>
            </w:r>
          </w:p>
        </w:tc>
        <w:tc>
          <w:tcPr>
            <w:tcW w:w="1596" w:type="dxa"/>
          </w:tcPr>
          <w:p w14:paraId="1E14420E" w14:textId="300FE5DE" w:rsidR="00C25888" w:rsidRDefault="00C25888" w:rsidP="00C25888">
            <w:r>
              <w:t>328</w:t>
            </w:r>
          </w:p>
        </w:tc>
        <w:tc>
          <w:tcPr>
            <w:tcW w:w="1596" w:type="dxa"/>
          </w:tcPr>
          <w:p w14:paraId="0A36C345" w14:textId="6CF2351C" w:rsidR="00C25888" w:rsidRDefault="00C25888" w:rsidP="00C25888">
            <w:r>
              <w:t>217</w:t>
            </w:r>
          </w:p>
        </w:tc>
        <w:tc>
          <w:tcPr>
            <w:tcW w:w="1596" w:type="dxa"/>
          </w:tcPr>
          <w:p w14:paraId="71EDD9AC" w14:textId="22EC6D9B" w:rsidR="00C25888" w:rsidRDefault="00C25888" w:rsidP="00C25888">
            <w:r>
              <w:t>30</w:t>
            </w:r>
          </w:p>
        </w:tc>
        <w:tc>
          <w:tcPr>
            <w:tcW w:w="1596" w:type="dxa"/>
          </w:tcPr>
          <w:p w14:paraId="4CC490BF" w14:textId="6335A5A7" w:rsidR="00C25888" w:rsidRDefault="00C25888" w:rsidP="00C25888">
            <w:r>
              <w:t>14</w:t>
            </w:r>
          </w:p>
        </w:tc>
      </w:tr>
      <w:tr w:rsidR="00C25888" w14:paraId="527F77B4" w14:textId="77777777" w:rsidTr="00C25888">
        <w:tc>
          <w:tcPr>
            <w:tcW w:w="1596" w:type="dxa"/>
            <w:vMerge/>
          </w:tcPr>
          <w:p w14:paraId="774E35E4" w14:textId="77777777" w:rsidR="00C25888" w:rsidRDefault="00C25888" w:rsidP="00C25888"/>
        </w:tc>
        <w:tc>
          <w:tcPr>
            <w:tcW w:w="1596" w:type="dxa"/>
          </w:tcPr>
          <w:p w14:paraId="0E767254" w14:textId="1C20E969" w:rsidR="00C25888" w:rsidRDefault="00C25888" w:rsidP="00C25888">
            <w:r>
              <w:t>Разлика</w:t>
            </w:r>
          </w:p>
        </w:tc>
        <w:tc>
          <w:tcPr>
            <w:tcW w:w="1596" w:type="dxa"/>
          </w:tcPr>
          <w:p w14:paraId="710CB5C9" w14:textId="35A730A5" w:rsidR="00C25888" w:rsidRDefault="00C25888" w:rsidP="00C25888">
            <w:r>
              <w:t>130</w:t>
            </w:r>
          </w:p>
        </w:tc>
        <w:tc>
          <w:tcPr>
            <w:tcW w:w="1596" w:type="dxa"/>
          </w:tcPr>
          <w:p w14:paraId="0FA6E5D8" w14:textId="6A01F910" w:rsidR="00C25888" w:rsidRDefault="00C25888" w:rsidP="00C25888">
            <w:r>
              <w:t>113</w:t>
            </w:r>
          </w:p>
        </w:tc>
        <w:tc>
          <w:tcPr>
            <w:tcW w:w="1596" w:type="dxa"/>
          </w:tcPr>
          <w:p w14:paraId="10CC52D5" w14:textId="68BCD3D2" w:rsidR="00C25888" w:rsidRDefault="00C25888" w:rsidP="00C25888">
            <w:r>
              <w:t>6</w:t>
            </w:r>
          </w:p>
        </w:tc>
        <w:tc>
          <w:tcPr>
            <w:tcW w:w="1596" w:type="dxa"/>
          </w:tcPr>
          <w:p w14:paraId="0992742C" w14:textId="2F17068B" w:rsidR="00C25888" w:rsidRDefault="00C25888" w:rsidP="00C25888">
            <w:r>
              <w:t>7</w:t>
            </w:r>
          </w:p>
        </w:tc>
      </w:tr>
      <w:tr w:rsidR="00C25888" w14:paraId="5A26E0FF" w14:textId="77777777" w:rsidTr="00C25888">
        <w:tc>
          <w:tcPr>
            <w:tcW w:w="1596" w:type="dxa"/>
            <w:vMerge w:val="restart"/>
          </w:tcPr>
          <w:p w14:paraId="7F20054F" w14:textId="2162C183" w:rsidR="00C25888" w:rsidRDefault="00C25888" w:rsidP="00C25888">
            <w:r>
              <w:t>Голям кръвоизлив</w:t>
            </w:r>
          </w:p>
        </w:tc>
        <w:tc>
          <w:tcPr>
            <w:tcW w:w="1596" w:type="dxa"/>
          </w:tcPr>
          <w:p w14:paraId="0A78AE80" w14:textId="64A68F36" w:rsidR="00C25888" w:rsidRDefault="00C25888" w:rsidP="00C25888">
            <w:r>
              <w:t>АСК (</w:t>
            </w:r>
            <w:r>
              <w:rPr>
                <w:lang w:val="en-US"/>
              </w:rPr>
              <w:t>n</w:t>
            </w:r>
            <w:r>
              <w:t>=5 035)</w:t>
            </w:r>
          </w:p>
        </w:tc>
        <w:tc>
          <w:tcPr>
            <w:tcW w:w="1596" w:type="dxa"/>
          </w:tcPr>
          <w:p w14:paraId="52CB0F49" w14:textId="64D0F58A" w:rsidR="00C25888" w:rsidRDefault="00C25888" w:rsidP="00C25888">
            <w:r>
              <w:t>18</w:t>
            </w:r>
          </w:p>
        </w:tc>
        <w:tc>
          <w:tcPr>
            <w:tcW w:w="1596" w:type="dxa"/>
          </w:tcPr>
          <w:p w14:paraId="5316327E" w14:textId="3F6890B1" w:rsidR="00C25888" w:rsidRDefault="00C25888" w:rsidP="00C25888">
            <w:r>
              <w:t>4</w:t>
            </w:r>
          </w:p>
        </w:tc>
        <w:tc>
          <w:tcPr>
            <w:tcW w:w="1596" w:type="dxa"/>
          </w:tcPr>
          <w:p w14:paraId="159BF6D9" w14:textId="29839CCF" w:rsidR="00C25888" w:rsidRDefault="00C25888" w:rsidP="00C25888">
            <w:r>
              <w:t>2</w:t>
            </w:r>
          </w:p>
        </w:tc>
        <w:tc>
          <w:tcPr>
            <w:tcW w:w="1596" w:type="dxa"/>
          </w:tcPr>
          <w:p w14:paraId="1B59ABF7" w14:textId="3923881E" w:rsidR="00C25888" w:rsidRDefault="00C25888" w:rsidP="00C25888">
            <w:r>
              <w:t>1</w:t>
            </w:r>
          </w:p>
        </w:tc>
      </w:tr>
      <w:tr w:rsidR="00C25888" w14:paraId="0B911F6D" w14:textId="77777777" w:rsidTr="00C25888">
        <w:tc>
          <w:tcPr>
            <w:tcW w:w="1596" w:type="dxa"/>
            <w:vMerge/>
          </w:tcPr>
          <w:p w14:paraId="20926E4E" w14:textId="77777777" w:rsidR="00C25888" w:rsidRDefault="00C25888" w:rsidP="00C25888"/>
        </w:tc>
        <w:tc>
          <w:tcPr>
            <w:tcW w:w="1596" w:type="dxa"/>
          </w:tcPr>
          <w:p w14:paraId="2C9E6DBE" w14:textId="2329B55A" w:rsidR="00C25888" w:rsidRDefault="00C25888" w:rsidP="00C25888">
            <w:r>
              <w:rPr>
                <w:lang w:val="en-US"/>
              </w:rPr>
              <w:t xml:space="preserve">CLP+ACK </w:t>
            </w:r>
            <w:r>
              <w:t>(</w:t>
            </w:r>
            <w:r>
              <w:rPr>
                <w:lang w:val="en-US"/>
              </w:rPr>
              <w:t>n</w:t>
            </w:r>
            <w:r>
              <w:t>=5 016)</w:t>
            </w:r>
          </w:p>
        </w:tc>
        <w:tc>
          <w:tcPr>
            <w:tcW w:w="1596" w:type="dxa"/>
          </w:tcPr>
          <w:p w14:paraId="54E4EFD5" w14:textId="121EF7FE" w:rsidR="00C25888" w:rsidRDefault="00C25888" w:rsidP="00C25888">
            <w:r>
              <w:t>30</w:t>
            </w:r>
          </w:p>
        </w:tc>
        <w:tc>
          <w:tcPr>
            <w:tcW w:w="1596" w:type="dxa"/>
          </w:tcPr>
          <w:p w14:paraId="6DD1A81A" w14:textId="491C8AE3" w:rsidR="00C25888" w:rsidRDefault="00C25888" w:rsidP="00C25888">
            <w:r>
              <w:t>10</w:t>
            </w:r>
          </w:p>
        </w:tc>
        <w:tc>
          <w:tcPr>
            <w:tcW w:w="1596" w:type="dxa"/>
          </w:tcPr>
          <w:p w14:paraId="1F2AD29A" w14:textId="67090878" w:rsidR="00C25888" w:rsidRDefault="00C25888" w:rsidP="00C25888">
            <w:r>
              <w:t>4</w:t>
            </w:r>
          </w:p>
        </w:tc>
        <w:tc>
          <w:tcPr>
            <w:tcW w:w="1596" w:type="dxa"/>
          </w:tcPr>
          <w:p w14:paraId="48DE19D0" w14:textId="6096D3E9" w:rsidR="00C25888" w:rsidRDefault="00C25888" w:rsidP="00C25888">
            <w:r>
              <w:t>2</w:t>
            </w:r>
          </w:p>
        </w:tc>
      </w:tr>
      <w:tr w:rsidR="00C25888" w14:paraId="6B9762B3" w14:textId="77777777" w:rsidTr="00C25888">
        <w:tc>
          <w:tcPr>
            <w:tcW w:w="1596" w:type="dxa"/>
            <w:vMerge/>
          </w:tcPr>
          <w:p w14:paraId="596F4A6C" w14:textId="77777777" w:rsidR="00C25888" w:rsidRDefault="00C25888" w:rsidP="00C25888"/>
        </w:tc>
        <w:tc>
          <w:tcPr>
            <w:tcW w:w="1596" w:type="dxa"/>
          </w:tcPr>
          <w:p w14:paraId="1D87096C" w14:textId="154C7634" w:rsidR="00C25888" w:rsidRDefault="00C25888" w:rsidP="00C25888">
            <w:r>
              <w:t>Разлика</w:t>
            </w:r>
          </w:p>
        </w:tc>
        <w:tc>
          <w:tcPr>
            <w:tcW w:w="1596" w:type="dxa"/>
          </w:tcPr>
          <w:p w14:paraId="60813532" w14:textId="315F533A" w:rsidR="00C25888" w:rsidRDefault="00C25888" w:rsidP="00C25888">
            <w:r>
              <w:t>-12</w:t>
            </w:r>
          </w:p>
        </w:tc>
        <w:tc>
          <w:tcPr>
            <w:tcW w:w="1596" w:type="dxa"/>
          </w:tcPr>
          <w:p w14:paraId="57E2AB82" w14:textId="3108A399" w:rsidR="00C25888" w:rsidRDefault="00C25888" w:rsidP="00C25888">
            <w:r>
              <w:rPr>
                <w:b/>
                <w:bCs/>
              </w:rPr>
              <w:t>-6</w:t>
            </w:r>
          </w:p>
        </w:tc>
        <w:tc>
          <w:tcPr>
            <w:tcW w:w="1596" w:type="dxa"/>
          </w:tcPr>
          <w:p w14:paraId="2DDA8D18" w14:textId="33790205" w:rsidR="00C25888" w:rsidRDefault="00C25888" w:rsidP="00C25888">
            <w:r>
              <w:t>-2</w:t>
            </w:r>
          </w:p>
        </w:tc>
        <w:tc>
          <w:tcPr>
            <w:tcW w:w="1596" w:type="dxa"/>
          </w:tcPr>
          <w:p w14:paraId="346396A7" w14:textId="444F40B3" w:rsidR="00C25888" w:rsidRDefault="00C25888" w:rsidP="00C25888">
            <w:r>
              <w:t>-1</w:t>
            </w:r>
          </w:p>
        </w:tc>
      </w:tr>
    </w:tbl>
    <w:p w14:paraId="50946587" w14:textId="2F71E66D" w:rsidR="006E7B6D" w:rsidRDefault="006E7B6D" w:rsidP="006E7B6D"/>
    <w:p w14:paraId="0C82A594" w14:textId="77777777" w:rsidR="00C25888" w:rsidRPr="00C25888" w:rsidRDefault="00C25888" w:rsidP="00C25888">
      <w:pPr>
        <w:spacing w:line="240" w:lineRule="auto"/>
        <w:rPr>
          <w:rFonts w:eastAsia="Times New Roman" w:cs="Arial"/>
          <w:sz w:val="24"/>
          <w:szCs w:val="24"/>
        </w:rPr>
      </w:pPr>
      <w:r w:rsidRPr="00C25888">
        <w:rPr>
          <w:rFonts w:eastAsia="Times New Roman" w:cs="Arial"/>
          <w:i/>
          <w:iCs/>
          <w:color w:val="000000"/>
          <w:lang w:eastAsia="bg-BG"/>
        </w:rPr>
        <w:t>Предсърдно мъждене</w:t>
      </w:r>
    </w:p>
    <w:p w14:paraId="2FFF0857" w14:textId="77777777" w:rsidR="00C25888" w:rsidRPr="00C25888" w:rsidRDefault="00C25888" w:rsidP="00C25888">
      <w:pPr>
        <w:spacing w:line="240" w:lineRule="auto"/>
        <w:rPr>
          <w:rFonts w:eastAsia="Times New Roman" w:cs="Arial"/>
          <w:color w:val="000000"/>
          <w:lang w:eastAsia="bg-BG"/>
        </w:rPr>
      </w:pPr>
    </w:p>
    <w:p w14:paraId="0B16D64B" w14:textId="647678A4"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Проучванията </w:t>
      </w:r>
      <w:r w:rsidRPr="00C25888">
        <w:rPr>
          <w:rFonts w:eastAsia="Times New Roman" w:cs="Arial"/>
          <w:color w:val="000000"/>
          <w:lang w:val="en-US"/>
        </w:rPr>
        <w:t>ACTIVE</w:t>
      </w:r>
      <w:r w:rsidRPr="00C25888">
        <w:rPr>
          <w:rFonts w:eastAsia="Times New Roman" w:cs="Arial"/>
          <w:color w:val="000000"/>
        </w:rPr>
        <w:t>-</w:t>
      </w:r>
      <w:r w:rsidRPr="00C25888">
        <w:rPr>
          <w:rFonts w:eastAsia="Times New Roman" w:cs="Arial"/>
          <w:color w:val="000000"/>
          <w:lang w:val="en-US"/>
        </w:rPr>
        <w:t>W</w:t>
      </w:r>
      <w:r w:rsidRPr="00C25888">
        <w:rPr>
          <w:rFonts w:eastAsia="Times New Roman" w:cs="Arial"/>
          <w:color w:val="000000"/>
        </w:rPr>
        <w:t xml:space="preserve"> </w:t>
      </w:r>
      <w:r w:rsidRPr="00C25888">
        <w:rPr>
          <w:rFonts w:eastAsia="Times New Roman" w:cs="Arial"/>
          <w:color w:val="000000"/>
          <w:lang w:eastAsia="bg-BG"/>
        </w:rPr>
        <w:t xml:space="preserve">и </w:t>
      </w:r>
      <w:r w:rsidRPr="00C25888">
        <w:rPr>
          <w:rFonts w:eastAsia="Times New Roman" w:cs="Arial"/>
          <w:color w:val="000000"/>
          <w:lang w:val="en-US"/>
        </w:rPr>
        <w:t>ACTIVE</w:t>
      </w:r>
      <w:r w:rsidRPr="00C25888">
        <w:rPr>
          <w:rFonts w:eastAsia="Times New Roman" w:cs="Arial"/>
          <w:color w:val="000000"/>
        </w:rPr>
        <w:t>-</w:t>
      </w:r>
      <w:r w:rsidRPr="00C25888">
        <w:rPr>
          <w:rFonts w:eastAsia="Times New Roman" w:cs="Arial"/>
          <w:color w:val="000000"/>
          <w:lang w:val="en-US"/>
        </w:rPr>
        <w:t>A</w:t>
      </w:r>
      <w:r w:rsidRPr="00C25888">
        <w:rPr>
          <w:rFonts w:eastAsia="Times New Roman" w:cs="Arial"/>
          <w:color w:val="000000"/>
        </w:rPr>
        <w:t xml:space="preserve">, </w:t>
      </w:r>
      <w:r w:rsidRPr="00C25888">
        <w:rPr>
          <w:rFonts w:eastAsia="Times New Roman" w:cs="Arial"/>
          <w:color w:val="000000"/>
          <w:lang w:eastAsia="bg-BG"/>
        </w:rPr>
        <w:t xml:space="preserve">отделни изпитвания в програмата </w:t>
      </w:r>
      <w:r w:rsidRPr="00C25888">
        <w:rPr>
          <w:rFonts w:eastAsia="Times New Roman" w:cs="Arial"/>
          <w:color w:val="000000"/>
          <w:lang w:val="en-US"/>
        </w:rPr>
        <w:t>ACTIVE</w:t>
      </w:r>
      <w:r w:rsidRPr="00C25888">
        <w:rPr>
          <w:rFonts w:eastAsia="Times New Roman" w:cs="Arial"/>
          <w:color w:val="000000"/>
        </w:rPr>
        <w:t xml:space="preserve">, </w:t>
      </w:r>
      <w:r w:rsidRPr="00C25888">
        <w:rPr>
          <w:rFonts w:eastAsia="Times New Roman" w:cs="Arial"/>
          <w:color w:val="000000"/>
          <w:lang w:eastAsia="bg-BG"/>
        </w:rPr>
        <w:t xml:space="preserve">включват пациенти с предсърдно мъждене </w:t>
      </w:r>
      <w:r w:rsidRPr="00C25888">
        <w:rPr>
          <w:rFonts w:eastAsia="Times New Roman" w:cs="Arial"/>
          <w:color w:val="000000"/>
        </w:rPr>
        <w:t>(</w:t>
      </w:r>
      <w:r w:rsidRPr="00C25888">
        <w:rPr>
          <w:rFonts w:eastAsia="Times New Roman" w:cs="Arial"/>
          <w:color w:val="000000"/>
          <w:lang w:val="en-US"/>
        </w:rPr>
        <w:t>AF</w:t>
      </w:r>
      <w:r w:rsidRPr="00C25888">
        <w:rPr>
          <w:rFonts w:eastAsia="Times New Roman" w:cs="Arial"/>
          <w:color w:val="000000"/>
        </w:rPr>
        <w:t xml:space="preserve">), </w:t>
      </w:r>
      <w:r w:rsidRPr="00C25888">
        <w:rPr>
          <w:rFonts w:eastAsia="Times New Roman" w:cs="Arial"/>
          <w:color w:val="000000"/>
          <w:lang w:eastAsia="bg-BG"/>
        </w:rPr>
        <w:t xml:space="preserve">които имат поне един рисков фактор за съдови инциденти. Въз основа на включващите критерии, лекарите са включвали в </w:t>
      </w:r>
      <w:r w:rsidRPr="00C25888">
        <w:rPr>
          <w:rFonts w:eastAsia="Times New Roman" w:cs="Arial"/>
          <w:color w:val="000000"/>
          <w:lang w:val="en-US"/>
        </w:rPr>
        <w:t>ACTIVE</w:t>
      </w:r>
      <w:r w:rsidRPr="00C25888">
        <w:rPr>
          <w:rFonts w:eastAsia="Times New Roman" w:cs="Arial"/>
          <w:color w:val="000000"/>
          <w:lang w:val="ru-RU"/>
        </w:rPr>
        <w:t>-</w:t>
      </w:r>
      <w:r w:rsidRPr="00C25888">
        <w:rPr>
          <w:rFonts w:eastAsia="Times New Roman" w:cs="Arial"/>
          <w:color w:val="000000"/>
          <w:lang w:val="en-US"/>
        </w:rPr>
        <w:t>W</w:t>
      </w:r>
      <w:r w:rsidRPr="00C25888">
        <w:rPr>
          <w:rFonts w:eastAsia="Times New Roman" w:cs="Arial"/>
          <w:color w:val="000000"/>
          <w:lang w:val="ru-RU"/>
        </w:rPr>
        <w:t xml:space="preserve"> </w:t>
      </w:r>
      <w:r w:rsidRPr="00C25888">
        <w:rPr>
          <w:rFonts w:eastAsia="Times New Roman" w:cs="Arial"/>
          <w:color w:val="000000"/>
          <w:lang w:eastAsia="bg-BG"/>
        </w:rPr>
        <w:t xml:space="preserve">пациенти, ако са кандидати за терапия с антагонист на витамин К </w:t>
      </w:r>
      <w:r w:rsidRPr="00C25888">
        <w:rPr>
          <w:rFonts w:eastAsia="Times New Roman" w:cs="Arial"/>
          <w:color w:val="000000"/>
          <w:lang w:val="ru-RU"/>
        </w:rPr>
        <w:t>(</w:t>
      </w:r>
      <w:r w:rsidRPr="00C25888">
        <w:rPr>
          <w:rFonts w:eastAsia="Times New Roman" w:cs="Arial"/>
          <w:color w:val="000000"/>
          <w:lang w:val="en-US"/>
        </w:rPr>
        <w:t>VKA</w:t>
      </w:r>
      <w:r w:rsidRPr="00C25888">
        <w:rPr>
          <w:rFonts w:eastAsia="Times New Roman" w:cs="Arial"/>
          <w:color w:val="000000"/>
          <w:lang w:val="ru-RU"/>
        </w:rPr>
        <w:t xml:space="preserve">) </w:t>
      </w:r>
      <w:r w:rsidRPr="00C25888">
        <w:rPr>
          <w:rFonts w:eastAsia="Times New Roman" w:cs="Arial"/>
          <w:color w:val="000000"/>
          <w:lang w:eastAsia="bg-BG"/>
        </w:rPr>
        <w:t>(като варфарин).</w:t>
      </w:r>
    </w:p>
    <w:p w14:paraId="3A9EEE9F" w14:textId="77777777" w:rsidR="00C25888" w:rsidRPr="00C25888" w:rsidRDefault="00C25888" w:rsidP="00C25888">
      <w:pPr>
        <w:spacing w:line="240" w:lineRule="auto"/>
        <w:rPr>
          <w:rFonts w:eastAsia="Times New Roman" w:cs="Arial"/>
          <w:color w:val="000000"/>
          <w:lang w:eastAsia="bg-BG"/>
        </w:rPr>
      </w:pPr>
    </w:p>
    <w:p w14:paraId="06279F37" w14:textId="65EFC67F"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Проучването </w:t>
      </w:r>
      <w:r w:rsidRPr="00C25888">
        <w:rPr>
          <w:rFonts w:eastAsia="Times New Roman" w:cs="Arial"/>
          <w:color w:val="000000"/>
          <w:lang w:val="en-US"/>
        </w:rPr>
        <w:t>ACTIVE</w:t>
      </w:r>
      <w:r w:rsidRPr="00C25888">
        <w:rPr>
          <w:rFonts w:eastAsia="Times New Roman" w:cs="Arial"/>
          <w:color w:val="000000"/>
          <w:lang w:val="ru-RU"/>
        </w:rPr>
        <w:t>-</w:t>
      </w:r>
      <w:r w:rsidRPr="00C25888">
        <w:rPr>
          <w:rFonts w:eastAsia="Times New Roman" w:cs="Arial"/>
          <w:color w:val="000000"/>
          <w:lang w:val="en-US"/>
        </w:rPr>
        <w:t>A</w:t>
      </w:r>
      <w:r w:rsidRPr="00C25888">
        <w:rPr>
          <w:rFonts w:eastAsia="Times New Roman" w:cs="Arial"/>
          <w:color w:val="000000"/>
          <w:lang w:val="ru-RU"/>
        </w:rPr>
        <w:t xml:space="preserve"> </w:t>
      </w:r>
      <w:r w:rsidRPr="00C25888">
        <w:rPr>
          <w:rFonts w:eastAsia="Times New Roman" w:cs="Arial"/>
          <w:color w:val="000000"/>
          <w:lang w:eastAsia="bg-BG"/>
        </w:rPr>
        <w:t xml:space="preserve">включва пациенти, които не могат да получават лечение с </w:t>
      </w:r>
      <w:r w:rsidRPr="00C25888">
        <w:rPr>
          <w:rFonts w:eastAsia="Times New Roman" w:cs="Arial"/>
          <w:color w:val="000000"/>
          <w:lang w:val="en-US"/>
        </w:rPr>
        <w:t>VKA</w:t>
      </w:r>
      <w:r w:rsidRPr="00C25888">
        <w:rPr>
          <w:rFonts w:eastAsia="Times New Roman" w:cs="Arial"/>
          <w:color w:val="000000"/>
          <w:lang w:val="ru-RU"/>
        </w:rPr>
        <w:t xml:space="preserve"> </w:t>
      </w:r>
      <w:r w:rsidRPr="00C25888">
        <w:rPr>
          <w:rFonts w:eastAsia="Times New Roman" w:cs="Arial"/>
          <w:color w:val="000000"/>
          <w:lang w:eastAsia="bg-BG"/>
        </w:rPr>
        <w:t xml:space="preserve">поради невъзможност или нежелание. Проучването </w:t>
      </w:r>
      <w:r w:rsidRPr="00C25888">
        <w:rPr>
          <w:rFonts w:eastAsia="Times New Roman" w:cs="Arial"/>
          <w:color w:val="000000"/>
          <w:lang w:val="en-US"/>
        </w:rPr>
        <w:t>ACTIVE</w:t>
      </w:r>
      <w:r w:rsidRPr="00C25888">
        <w:rPr>
          <w:rFonts w:eastAsia="Times New Roman" w:cs="Arial"/>
          <w:color w:val="000000"/>
          <w:lang w:val="ru-RU"/>
        </w:rPr>
        <w:t>-</w:t>
      </w:r>
      <w:r w:rsidRPr="00C25888">
        <w:rPr>
          <w:rFonts w:eastAsia="Times New Roman" w:cs="Arial"/>
          <w:color w:val="000000"/>
          <w:lang w:val="en-US"/>
        </w:rPr>
        <w:t>W</w:t>
      </w:r>
      <w:r w:rsidRPr="00C25888">
        <w:rPr>
          <w:rFonts w:eastAsia="Times New Roman" w:cs="Arial"/>
          <w:color w:val="000000"/>
          <w:lang w:val="ru-RU"/>
        </w:rPr>
        <w:t xml:space="preserve"> </w:t>
      </w:r>
      <w:r w:rsidRPr="00C25888">
        <w:rPr>
          <w:rFonts w:eastAsia="Times New Roman" w:cs="Arial"/>
          <w:color w:val="000000"/>
          <w:lang w:eastAsia="bg-BG"/>
        </w:rPr>
        <w:t>показва, че лечението с антагонист на витамин К е по-ефективно от това с клопидогрел и АСК.</w:t>
      </w:r>
    </w:p>
    <w:p w14:paraId="58169771" w14:textId="77777777" w:rsidR="00C25888" w:rsidRPr="00C25888" w:rsidRDefault="00C25888" w:rsidP="00C25888">
      <w:pPr>
        <w:spacing w:line="240" w:lineRule="auto"/>
        <w:rPr>
          <w:rFonts w:eastAsia="Times New Roman" w:cs="Arial"/>
          <w:color w:val="000000"/>
          <w:lang w:eastAsia="bg-BG"/>
        </w:rPr>
      </w:pPr>
    </w:p>
    <w:p w14:paraId="3913BBA6" w14:textId="7E352698"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Проучването </w:t>
      </w:r>
      <w:r w:rsidRPr="00C25888">
        <w:rPr>
          <w:rFonts w:eastAsia="Times New Roman" w:cs="Arial"/>
          <w:color w:val="000000"/>
          <w:lang w:val="en-US"/>
        </w:rPr>
        <w:t>ACTIVE</w:t>
      </w:r>
      <w:r w:rsidRPr="00C25888">
        <w:rPr>
          <w:rFonts w:eastAsia="Times New Roman" w:cs="Arial"/>
          <w:color w:val="000000"/>
          <w:lang w:val="ru-RU"/>
        </w:rPr>
        <w:t>-</w:t>
      </w:r>
      <w:r w:rsidRPr="00C25888">
        <w:rPr>
          <w:rFonts w:eastAsia="Times New Roman" w:cs="Arial"/>
          <w:color w:val="000000"/>
          <w:lang w:val="en-US"/>
        </w:rPr>
        <w:t>A</w:t>
      </w:r>
      <w:r w:rsidRPr="00C25888">
        <w:rPr>
          <w:rFonts w:eastAsia="Times New Roman" w:cs="Arial"/>
          <w:color w:val="000000"/>
          <w:lang w:val="ru-RU"/>
        </w:rPr>
        <w:t xml:space="preserve"> (</w:t>
      </w:r>
      <w:r w:rsidRPr="00C25888">
        <w:rPr>
          <w:rFonts w:eastAsia="Times New Roman" w:cs="Arial"/>
          <w:color w:val="000000"/>
          <w:lang w:val="en-US"/>
        </w:rPr>
        <w:t>N</w:t>
      </w:r>
      <w:r w:rsidRPr="00C25888">
        <w:rPr>
          <w:rFonts w:eastAsia="Times New Roman" w:cs="Arial"/>
          <w:color w:val="000000"/>
          <w:lang w:val="ru-RU"/>
        </w:rPr>
        <w:t xml:space="preserve">=7 </w:t>
      </w:r>
      <w:r w:rsidRPr="00C25888">
        <w:rPr>
          <w:rFonts w:eastAsia="Times New Roman" w:cs="Arial"/>
          <w:color w:val="000000"/>
          <w:lang w:eastAsia="bg-BG"/>
        </w:rPr>
        <w:t xml:space="preserve">554) е многоцентрово, рандомизирано, двойно-сляпо, плацебо- контролирано проучване, което сравнява клопидогрел 75 </w:t>
      </w:r>
      <w:r w:rsidRPr="00C25888">
        <w:rPr>
          <w:rFonts w:eastAsia="Times New Roman" w:cs="Arial"/>
          <w:color w:val="000000"/>
          <w:lang w:val="en-US"/>
        </w:rPr>
        <w:t>mg</w:t>
      </w:r>
      <w:r w:rsidRPr="00C25888">
        <w:rPr>
          <w:rFonts w:eastAsia="Times New Roman" w:cs="Arial"/>
          <w:color w:val="000000"/>
          <w:lang w:eastAsia="bg-BG"/>
        </w:rPr>
        <w:t xml:space="preserve">/дневно + АСК </w:t>
      </w:r>
      <w:r w:rsidRPr="00C25888">
        <w:rPr>
          <w:rFonts w:eastAsia="Times New Roman" w:cs="Arial"/>
          <w:color w:val="000000"/>
          <w:lang w:val="ru-RU"/>
        </w:rPr>
        <w:t>(</w:t>
      </w:r>
      <w:r w:rsidRPr="00C25888">
        <w:rPr>
          <w:rFonts w:eastAsia="Times New Roman" w:cs="Arial"/>
          <w:color w:val="000000"/>
          <w:lang w:val="en-US"/>
        </w:rPr>
        <w:t>N</w:t>
      </w:r>
      <w:r w:rsidRPr="00C25888">
        <w:rPr>
          <w:rFonts w:eastAsia="Times New Roman" w:cs="Arial"/>
          <w:color w:val="000000"/>
          <w:lang w:val="ru-RU"/>
        </w:rPr>
        <w:t xml:space="preserve">=3 </w:t>
      </w:r>
      <w:r w:rsidRPr="00C25888">
        <w:rPr>
          <w:rFonts w:eastAsia="Times New Roman" w:cs="Arial"/>
          <w:color w:val="000000"/>
          <w:lang w:eastAsia="bg-BG"/>
        </w:rPr>
        <w:t xml:space="preserve">772) с плацебо + АСК </w:t>
      </w:r>
      <w:r w:rsidRPr="00C25888">
        <w:rPr>
          <w:rFonts w:eastAsia="Times New Roman" w:cs="Arial"/>
          <w:color w:val="000000"/>
          <w:lang w:val="ru-RU"/>
        </w:rPr>
        <w:t>(</w:t>
      </w:r>
      <w:r w:rsidRPr="00C25888">
        <w:rPr>
          <w:rFonts w:eastAsia="Times New Roman" w:cs="Arial"/>
          <w:color w:val="000000"/>
          <w:lang w:val="en-US"/>
        </w:rPr>
        <w:t>N</w:t>
      </w:r>
      <w:r w:rsidRPr="00C25888">
        <w:rPr>
          <w:rFonts w:eastAsia="Times New Roman" w:cs="Arial"/>
          <w:color w:val="000000"/>
          <w:lang w:val="ru-RU"/>
        </w:rPr>
        <w:t xml:space="preserve">=3 </w:t>
      </w:r>
      <w:r w:rsidRPr="00C25888">
        <w:rPr>
          <w:rFonts w:eastAsia="Times New Roman" w:cs="Arial"/>
          <w:color w:val="000000"/>
          <w:lang w:eastAsia="bg-BG"/>
        </w:rPr>
        <w:t xml:space="preserve">782). Препоръчителната доза за АСК е 75 до 100 </w:t>
      </w:r>
      <w:r w:rsidRPr="00C25888">
        <w:rPr>
          <w:rFonts w:eastAsia="Times New Roman" w:cs="Arial"/>
          <w:color w:val="000000"/>
          <w:lang w:val="en-US"/>
        </w:rPr>
        <w:t>mg</w:t>
      </w:r>
      <w:r w:rsidRPr="00C25888">
        <w:rPr>
          <w:rFonts w:eastAsia="Times New Roman" w:cs="Arial"/>
          <w:color w:val="000000"/>
          <w:lang w:eastAsia="bg-BG"/>
        </w:rPr>
        <w:t>/дневно. Пациентите са лекувани в продължение на 5 години.</w:t>
      </w:r>
    </w:p>
    <w:p w14:paraId="64E78575" w14:textId="77777777" w:rsidR="00C25888" w:rsidRPr="00C25888" w:rsidRDefault="00C25888" w:rsidP="00C25888">
      <w:pPr>
        <w:spacing w:line="240" w:lineRule="auto"/>
        <w:rPr>
          <w:rFonts w:eastAsia="Times New Roman" w:cs="Arial"/>
          <w:color w:val="000000"/>
          <w:lang w:eastAsia="bg-BG"/>
        </w:rPr>
      </w:pPr>
    </w:p>
    <w:p w14:paraId="4512B1C3" w14:textId="75BCBE90"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Пациентите, рандомизирани в програмата </w:t>
      </w:r>
      <w:r w:rsidRPr="00C25888">
        <w:rPr>
          <w:rFonts w:eastAsia="Times New Roman" w:cs="Arial"/>
          <w:color w:val="000000"/>
          <w:lang w:val="en-US"/>
        </w:rPr>
        <w:t>ACTIVE</w:t>
      </w:r>
      <w:r w:rsidRPr="00C25888">
        <w:rPr>
          <w:rFonts w:eastAsia="Times New Roman" w:cs="Arial"/>
          <w:color w:val="000000"/>
          <w:lang w:val="ru-RU"/>
        </w:rPr>
        <w:t xml:space="preserve">, </w:t>
      </w:r>
      <w:r w:rsidRPr="00C25888">
        <w:rPr>
          <w:rFonts w:eastAsia="Times New Roman" w:cs="Arial"/>
          <w:color w:val="000000"/>
          <w:lang w:eastAsia="bg-BG"/>
        </w:rPr>
        <w:t xml:space="preserve">са били пациенти с доказано предсърдно мъждене </w:t>
      </w:r>
      <w:r w:rsidRPr="00C25888">
        <w:rPr>
          <w:rFonts w:eastAsia="Times New Roman" w:cs="Arial"/>
          <w:color w:val="000000"/>
          <w:lang w:val="ru-RU"/>
        </w:rPr>
        <w:t>(</w:t>
      </w:r>
      <w:r w:rsidRPr="00C25888">
        <w:rPr>
          <w:rFonts w:eastAsia="Times New Roman" w:cs="Arial"/>
          <w:color w:val="000000"/>
          <w:lang w:val="en-US"/>
        </w:rPr>
        <w:t>AF</w:t>
      </w:r>
      <w:r w:rsidRPr="00C25888">
        <w:rPr>
          <w:rFonts w:eastAsia="Times New Roman" w:cs="Arial"/>
          <w:color w:val="000000"/>
          <w:lang w:val="ru-RU"/>
        </w:rPr>
        <w:t xml:space="preserve">), </w:t>
      </w:r>
      <w:r w:rsidRPr="00C25888">
        <w:rPr>
          <w:rFonts w:eastAsia="Times New Roman" w:cs="Arial"/>
          <w:color w:val="000000"/>
          <w:lang w:eastAsia="bg-BG"/>
        </w:rPr>
        <w:t xml:space="preserve">т.е. или персистиращо </w:t>
      </w:r>
      <w:r w:rsidRPr="00C25888">
        <w:rPr>
          <w:rFonts w:eastAsia="Times New Roman" w:cs="Arial"/>
          <w:color w:val="000000"/>
          <w:lang w:val="en-US"/>
        </w:rPr>
        <w:t>AF</w:t>
      </w:r>
      <w:r w:rsidRPr="00C25888">
        <w:rPr>
          <w:rFonts w:eastAsia="Times New Roman" w:cs="Arial"/>
          <w:color w:val="000000"/>
          <w:lang w:val="ru-RU"/>
        </w:rPr>
        <w:t xml:space="preserve"> </w:t>
      </w:r>
      <w:r w:rsidRPr="00C25888">
        <w:rPr>
          <w:rFonts w:eastAsia="Times New Roman" w:cs="Arial"/>
          <w:color w:val="000000"/>
          <w:lang w:eastAsia="bg-BG"/>
        </w:rPr>
        <w:t xml:space="preserve">или най-малко 2 епизода на интермитентно </w:t>
      </w:r>
      <w:r w:rsidRPr="00C25888">
        <w:rPr>
          <w:rFonts w:eastAsia="Times New Roman" w:cs="Arial"/>
          <w:color w:val="000000"/>
          <w:lang w:val="en-US"/>
        </w:rPr>
        <w:t>AF</w:t>
      </w:r>
      <w:r w:rsidRPr="00C25888">
        <w:rPr>
          <w:rFonts w:eastAsia="Times New Roman" w:cs="Arial"/>
          <w:color w:val="000000"/>
          <w:lang w:val="ru-RU"/>
        </w:rPr>
        <w:t xml:space="preserve"> </w:t>
      </w:r>
      <w:r w:rsidRPr="00C25888">
        <w:rPr>
          <w:rFonts w:eastAsia="Times New Roman" w:cs="Arial"/>
          <w:color w:val="000000"/>
          <w:lang w:eastAsia="bg-BG"/>
        </w:rPr>
        <w:t xml:space="preserve">през последните 6 месеца, и са имали поне един от следните рискови фактори: възраст 75 години или възраст 55 до 74 години; захарен диабет, изискващ лечение, или доказан прекаран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или доказано коронарно артериално заболяване; лекувани за системна хипертония; прекаран инсулт, преходна исхемична атака </w:t>
      </w:r>
      <w:r w:rsidRPr="00C25888">
        <w:rPr>
          <w:rFonts w:eastAsia="Times New Roman" w:cs="Arial"/>
          <w:color w:val="000000"/>
          <w:lang w:val="ru-RU"/>
        </w:rPr>
        <w:t>(</w:t>
      </w:r>
      <w:r w:rsidRPr="00C25888">
        <w:rPr>
          <w:rFonts w:eastAsia="Times New Roman" w:cs="Arial"/>
          <w:color w:val="000000"/>
          <w:lang w:val="en-US"/>
        </w:rPr>
        <w:t>TIA</w:t>
      </w:r>
      <w:r w:rsidRPr="00C25888">
        <w:rPr>
          <w:rFonts w:eastAsia="Times New Roman" w:cs="Arial"/>
          <w:color w:val="000000"/>
          <w:lang w:val="ru-RU"/>
        </w:rPr>
        <w:t xml:space="preserve">), </w:t>
      </w:r>
      <w:r w:rsidRPr="00C25888">
        <w:rPr>
          <w:rFonts w:eastAsia="Times New Roman" w:cs="Arial"/>
          <w:color w:val="000000"/>
          <w:lang w:eastAsia="bg-BG"/>
        </w:rPr>
        <w:t xml:space="preserve">или системен ембол, който не засяга ЦНС; левокамерна днсфункция с фракция на изтласкване на лява камера &lt;45%, или доказана периферна съдова болест. Средният </w:t>
      </w:r>
      <w:r w:rsidRPr="00C25888">
        <w:rPr>
          <w:rFonts w:eastAsia="Times New Roman" w:cs="Arial"/>
          <w:color w:val="000000"/>
          <w:lang w:val="en-US"/>
        </w:rPr>
        <w:t>CHADS</w:t>
      </w:r>
      <w:r w:rsidRPr="00C25888">
        <w:rPr>
          <w:rFonts w:eastAsia="Times New Roman" w:cs="Arial"/>
          <w:color w:val="000000"/>
          <w:lang w:val="ru-RU"/>
        </w:rPr>
        <w:t xml:space="preserve">2 </w:t>
      </w:r>
      <w:r w:rsidRPr="00C25888">
        <w:rPr>
          <w:rFonts w:eastAsia="Times New Roman" w:cs="Arial"/>
          <w:color w:val="000000"/>
          <w:lang w:eastAsia="bg-BG"/>
        </w:rPr>
        <w:t>резултат е 2,0 (граници 0-6).</w:t>
      </w:r>
    </w:p>
    <w:p w14:paraId="5DF7D6FA" w14:textId="77777777" w:rsidR="00C25888" w:rsidRPr="00C25888" w:rsidRDefault="00C25888" w:rsidP="00C25888">
      <w:pPr>
        <w:spacing w:line="240" w:lineRule="auto"/>
        <w:rPr>
          <w:rFonts w:eastAsia="Times New Roman" w:cs="Arial"/>
          <w:color w:val="000000"/>
          <w:lang w:eastAsia="bg-BG"/>
        </w:rPr>
      </w:pPr>
    </w:p>
    <w:p w14:paraId="793A533D" w14:textId="20F7D01E"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Главните изключващи критерии за пациентите са били доказана пептична язвена болест в рамките на предходните 6 месеца, предшестващ интрацеребрален кръвоизлив, значима тромбоцитопения (брой тромбоцити </w:t>
      </w:r>
      <w:r w:rsidRPr="00C25888">
        <w:rPr>
          <w:rFonts w:eastAsia="Times New Roman" w:cs="Arial"/>
          <w:color w:val="000000"/>
          <w:lang w:val="ru-RU"/>
        </w:rPr>
        <w:t>&lt;50</w:t>
      </w:r>
      <w:r w:rsidRPr="00C25888">
        <w:rPr>
          <w:rFonts w:eastAsia="Times New Roman" w:cs="Arial"/>
          <w:color w:val="000000"/>
          <w:lang w:val="en-US"/>
        </w:rPr>
        <w:t>x</w:t>
      </w:r>
      <w:r w:rsidRPr="00C25888">
        <w:rPr>
          <w:rFonts w:eastAsia="Times New Roman" w:cs="Arial"/>
          <w:color w:val="000000"/>
          <w:lang w:val="ru-RU"/>
        </w:rPr>
        <w:t xml:space="preserve"> 10</w:t>
      </w:r>
      <w:r w:rsidRPr="00C25888">
        <w:rPr>
          <w:rFonts w:eastAsia="Times New Roman" w:cs="Arial"/>
          <w:color w:val="000000"/>
          <w:vertAlign w:val="superscript"/>
          <w:lang w:eastAsia="bg-BG"/>
        </w:rPr>
        <w:t>9</w:t>
      </w:r>
      <w:r w:rsidRPr="00C25888">
        <w:rPr>
          <w:rFonts w:eastAsia="Times New Roman" w:cs="Arial"/>
          <w:color w:val="000000"/>
          <w:lang w:eastAsia="bg-BG"/>
        </w:rPr>
        <w:t>/1), необходимост от клопидогрел</w:t>
      </w:r>
      <w:r w:rsidRPr="00C25888">
        <w:rPr>
          <w:rFonts w:eastAsia="Times New Roman" w:cs="Arial"/>
          <w:color w:val="000000"/>
          <w:lang w:val="ru-RU"/>
        </w:rPr>
        <w:t xml:space="preserve"> </w:t>
      </w:r>
      <w:r w:rsidRPr="00C25888">
        <w:rPr>
          <w:rFonts w:eastAsia="Times New Roman" w:cs="Arial"/>
          <w:color w:val="000000"/>
          <w:lang w:eastAsia="bg-BG"/>
        </w:rPr>
        <w:t>или перорални антикоагуланти (ОАС) или непоносимост към някое от двете съединения.</w:t>
      </w:r>
    </w:p>
    <w:p w14:paraId="6320CA2E" w14:textId="77777777" w:rsidR="00C25888" w:rsidRPr="00C25888" w:rsidRDefault="00C25888" w:rsidP="00C25888">
      <w:pPr>
        <w:rPr>
          <w:rFonts w:eastAsia="Times New Roman" w:cs="Arial"/>
          <w:color w:val="000000"/>
          <w:lang w:eastAsia="bg-BG"/>
        </w:rPr>
      </w:pPr>
    </w:p>
    <w:p w14:paraId="78C846C4" w14:textId="77777777" w:rsidR="00C25888" w:rsidRPr="00C25888" w:rsidRDefault="00C25888" w:rsidP="00C25888">
      <w:pPr>
        <w:rPr>
          <w:rFonts w:eastAsia="Times New Roman" w:cs="Arial"/>
          <w:sz w:val="24"/>
          <w:szCs w:val="24"/>
        </w:rPr>
      </w:pPr>
      <w:r w:rsidRPr="00C25888">
        <w:rPr>
          <w:rFonts w:eastAsia="Times New Roman" w:cs="Arial"/>
          <w:color w:val="000000"/>
          <w:lang w:eastAsia="bg-BG"/>
        </w:rPr>
        <w:t xml:space="preserve">Седемдесет и три процента (73%) от пациентите, включени в проучването </w:t>
      </w:r>
      <w:r w:rsidRPr="00C25888">
        <w:rPr>
          <w:rFonts w:eastAsia="Times New Roman" w:cs="Arial"/>
          <w:color w:val="000000"/>
          <w:lang w:val="en-US"/>
        </w:rPr>
        <w:t>ACTIVE</w:t>
      </w:r>
      <w:r w:rsidRPr="00C25888">
        <w:rPr>
          <w:rFonts w:eastAsia="Times New Roman" w:cs="Arial"/>
          <w:color w:val="000000"/>
          <w:lang w:val="ru-RU"/>
        </w:rPr>
        <w:t>-</w:t>
      </w:r>
      <w:r w:rsidRPr="00C25888">
        <w:rPr>
          <w:rFonts w:eastAsia="Times New Roman" w:cs="Arial"/>
          <w:color w:val="000000"/>
          <w:lang w:val="en-US"/>
        </w:rPr>
        <w:t>A</w:t>
      </w:r>
      <w:r w:rsidRPr="00C25888">
        <w:rPr>
          <w:rFonts w:eastAsia="Times New Roman" w:cs="Arial"/>
          <w:color w:val="000000"/>
          <w:lang w:val="ru-RU"/>
        </w:rPr>
        <w:t xml:space="preserve">, </w:t>
      </w:r>
      <w:r w:rsidRPr="00C25888">
        <w:rPr>
          <w:rFonts w:eastAsia="Times New Roman" w:cs="Arial"/>
          <w:color w:val="000000"/>
          <w:lang w:eastAsia="bg-BG"/>
        </w:rPr>
        <w:t xml:space="preserve">не са били в състояние да приемат </w:t>
      </w:r>
      <w:r w:rsidRPr="00C25888">
        <w:rPr>
          <w:rFonts w:eastAsia="Times New Roman" w:cs="Arial"/>
          <w:color w:val="000000"/>
          <w:lang w:val="en-US"/>
        </w:rPr>
        <w:t>VKA</w:t>
      </w:r>
      <w:r w:rsidRPr="00C25888">
        <w:rPr>
          <w:rFonts w:eastAsia="Times New Roman" w:cs="Arial"/>
          <w:color w:val="000000"/>
          <w:lang w:val="ru-RU"/>
        </w:rPr>
        <w:t xml:space="preserve"> </w:t>
      </w:r>
      <w:r w:rsidRPr="00C25888">
        <w:rPr>
          <w:rFonts w:eastAsia="Times New Roman" w:cs="Arial"/>
          <w:color w:val="000000"/>
          <w:lang w:eastAsia="bg-BG"/>
        </w:rPr>
        <w:t xml:space="preserve">поради преценка на лекаря, невъзможност за мониториране на </w:t>
      </w:r>
      <w:r w:rsidRPr="00C25888">
        <w:rPr>
          <w:rFonts w:eastAsia="Times New Roman" w:cs="Arial"/>
          <w:color w:val="000000"/>
          <w:lang w:val="en-US"/>
        </w:rPr>
        <w:t>INR</w:t>
      </w:r>
      <w:r w:rsidRPr="00C25888">
        <w:rPr>
          <w:rFonts w:eastAsia="Times New Roman" w:cs="Arial"/>
          <w:color w:val="000000"/>
          <w:lang w:val="ru-RU"/>
        </w:rPr>
        <w:t xml:space="preserve"> </w:t>
      </w:r>
      <w:r w:rsidRPr="00C25888">
        <w:rPr>
          <w:rFonts w:eastAsia="Times New Roman" w:cs="Arial"/>
          <w:color w:val="000000"/>
          <w:lang w:eastAsia="bg-BG"/>
        </w:rPr>
        <w:t>(международно нормализирано съотношение), предиспозиция към падане или травма на</w:t>
      </w:r>
      <w:r w:rsidRPr="00C25888">
        <w:rPr>
          <w:rFonts w:eastAsia="Times New Roman" w:cs="Arial"/>
          <w:color w:val="000000"/>
          <w:lang w:val="ru-RU" w:eastAsia="bg-BG"/>
        </w:rPr>
        <w:t xml:space="preserve"> </w:t>
      </w:r>
      <w:r w:rsidRPr="00C25888">
        <w:rPr>
          <w:rFonts w:eastAsia="Times New Roman" w:cs="Arial"/>
          <w:color w:val="000000"/>
          <w:lang w:eastAsia="bg-BG"/>
        </w:rPr>
        <w:t xml:space="preserve">главата, или специфичен риск от кървене; за 26% от пациентите, решението на лекаря е било основано на нежеланието на пациента да приема </w:t>
      </w:r>
      <w:r w:rsidRPr="00C25888">
        <w:rPr>
          <w:rFonts w:eastAsia="Times New Roman" w:cs="Arial"/>
          <w:color w:val="000000"/>
          <w:lang w:val="en-US"/>
        </w:rPr>
        <w:t>VKA</w:t>
      </w:r>
      <w:r w:rsidRPr="00C25888">
        <w:rPr>
          <w:rFonts w:eastAsia="Times New Roman" w:cs="Arial"/>
          <w:color w:val="000000"/>
          <w:lang w:val="ru-RU"/>
        </w:rPr>
        <w:t>.</w:t>
      </w:r>
    </w:p>
    <w:p w14:paraId="07329436" w14:textId="77777777" w:rsidR="00C25888" w:rsidRPr="00C25888" w:rsidRDefault="00C25888" w:rsidP="00C25888">
      <w:pPr>
        <w:spacing w:line="240" w:lineRule="auto"/>
        <w:rPr>
          <w:rFonts w:eastAsia="Times New Roman" w:cs="Arial"/>
          <w:color w:val="000000"/>
          <w:lang w:eastAsia="bg-BG"/>
        </w:rPr>
      </w:pPr>
    </w:p>
    <w:p w14:paraId="364FC4F1" w14:textId="25E617FA"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Популацията пациенти е включвала 41,8 % жени. Средната възраст е била 71 години, 41,6% от пациентите са били ≥75 години. Общо 23,0% от пациентите са получавали антиаритмици, 52,1% бета-блокери, 54,6% АСЕ-инхибитори, и 25,4% статини.</w:t>
      </w:r>
    </w:p>
    <w:p w14:paraId="7158A1C9" w14:textId="77777777" w:rsidR="00C25888" w:rsidRPr="00C25888" w:rsidRDefault="00C25888" w:rsidP="00C25888">
      <w:pPr>
        <w:spacing w:line="240" w:lineRule="auto"/>
        <w:rPr>
          <w:rFonts w:eastAsia="Times New Roman" w:cs="Arial"/>
          <w:color w:val="000000"/>
          <w:lang w:eastAsia="bg-BG"/>
        </w:rPr>
      </w:pPr>
    </w:p>
    <w:p w14:paraId="2D430F38" w14:textId="3A6C8C8C"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lastRenderedPageBreak/>
        <w:t xml:space="preserve">Броят на пациентите, които са достигнали първичната крайна точка (време до първа поява на инсулт, </w:t>
      </w:r>
      <w:r w:rsidRPr="00C25888">
        <w:rPr>
          <w:rFonts w:eastAsia="Times New Roman" w:cs="Arial"/>
          <w:color w:val="000000"/>
          <w:lang w:val="en-US"/>
        </w:rPr>
        <w:t>MI</w:t>
      </w:r>
      <w:r w:rsidRPr="00C25888">
        <w:rPr>
          <w:rFonts w:eastAsia="Times New Roman" w:cs="Arial"/>
          <w:color w:val="000000"/>
          <w:lang w:val="ru-RU"/>
        </w:rPr>
        <w:t xml:space="preserve">, </w:t>
      </w:r>
      <w:r w:rsidRPr="00C25888">
        <w:rPr>
          <w:rFonts w:eastAsia="Times New Roman" w:cs="Arial"/>
          <w:color w:val="000000"/>
          <w:lang w:eastAsia="bg-BG"/>
        </w:rPr>
        <w:t xml:space="preserve">системен емболизъм, който не засяга ЦНС или съдова смърт) е бил 832 (22,1%) в групата, лекувана с клопидогрел + АСК и 924 (24,4%) в групата на плацебо + АСК (11,1% намаляване на относителния риск;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 xml:space="preserve">от 2,4% на 19,1%; р=0,013), главно поради голямо намаляване на честотата на инсултите. Инсулти са възникнали при 296 (7,8%) от пациентите, получаващи клопидогрел + АСК и 408 (10,8%) от пациентите, получаващи плацебо + АСК (28,4% намаляване на относителния риск; 95% </w:t>
      </w:r>
      <w:r w:rsidRPr="00C25888">
        <w:rPr>
          <w:rFonts w:eastAsia="Times New Roman" w:cs="Arial"/>
          <w:color w:val="000000"/>
          <w:lang w:val="en-US"/>
        </w:rPr>
        <w:t>CI</w:t>
      </w:r>
      <w:r w:rsidRPr="00C25888">
        <w:rPr>
          <w:rFonts w:eastAsia="Times New Roman" w:cs="Arial"/>
          <w:color w:val="000000"/>
          <w:lang w:val="ru-RU"/>
        </w:rPr>
        <w:t xml:space="preserve">, </w:t>
      </w:r>
      <w:r w:rsidRPr="00C25888">
        <w:rPr>
          <w:rFonts w:eastAsia="Times New Roman" w:cs="Arial"/>
          <w:color w:val="000000"/>
          <w:lang w:eastAsia="bg-BG"/>
        </w:rPr>
        <w:t>от 16,8% на 38,3%; р=0,00001).</w:t>
      </w:r>
    </w:p>
    <w:p w14:paraId="1AD88290" w14:textId="77777777" w:rsidR="00C25888" w:rsidRPr="00C25888" w:rsidRDefault="00C25888" w:rsidP="00C25888">
      <w:pPr>
        <w:spacing w:line="240" w:lineRule="auto"/>
        <w:rPr>
          <w:rFonts w:eastAsia="Times New Roman" w:cs="Arial"/>
          <w:color w:val="000000"/>
          <w:u w:val="single"/>
          <w:lang w:eastAsia="bg-BG"/>
        </w:rPr>
      </w:pPr>
    </w:p>
    <w:p w14:paraId="00AB9DA1" w14:textId="24F9B66F" w:rsidR="00C25888" w:rsidRPr="00C25888" w:rsidRDefault="00C25888" w:rsidP="00C25888">
      <w:pPr>
        <w:spacing w:line="240" w:lineRule="auto"/>
        <w:rPr>
          <w:rFonts w:eastAsia="Times New Roman" w:cs="Arial"/>
          <w:color w:val="000000"/>
          <w:u w:val="single"/>
          <w:lang w:eastAsia="bg-BG"/>
        </w:rPr>
      </w:pPr>
      <w:r w:rsidRPr="00C25888">
        <w:rPr>
          <w:rFonts w:eastAsia="Times New Roman" w:cs="Arial"/>
          <w:color w:val="000000"/>
          <w:u w:val="single"/>
          <w:lang w:eastAsia="bg-BG"/>
        </w:rPr>
        <w:t>Педиатрична популация</w:t>
      </w:r>
    </w:p>
    <w:p w14:paraId="52CAEB80"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В проучване с повишаване на дозата при 86 новородени или деца до 24 месеца с риск за тромбоза </w:t>
      </w:r>
      <w:r w:rsidRPr="00C25888">
        <w:rPr>
          <w:rFonts w:eastAsia="Times New Roman" w:cs="Arial"/>
          <w:color w:val="000000"/>
          <w:lang w:val="ru-RU"/>
        </w:rPr>
        <w:t>(</w:t>
      </w:r>
      <w:r w:rsidRPr="00C25888">
        <w:rPr>
          <w:rFonts w:eastAsia="Times New Roman" w:cs="Arial"/>
          <w:color w:val="000000"/>
          <w:lang w:val="en-US"/>
        </w:rPr>
        <w:t>PICOLO</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е оценяван в последователни дози от 0,01, 0,1 и 0,2 </w:t>
      </w:r>
      <w:r w:rsidRPr="00C25888">
        <w:rPr>
          <w:rFonts w:eastAsia="Times New Roman" w:cs="Arial"/>
          <w:color w:val="000000"/>
          <w:lang w:val="en-US"/>
        </w:rPr>
        <w:t>mg</w:t>
      </w:r>
      <w:r w:rsidRPr="00C25888">
        <w:rPr>
          <w:rFonts w:eastAsia="Times New Roman" w:cs="Arial"/>
          <w:color w:val="000000"/>
          <w:lang w:val="ru-RU"/>
        </w:rPr>
        <w:t>/</w:t>
      </w:r>
      <w:r w:rsidRPr="00C25888">
        <w:rPr>
          <w:rFonts w:eastAsia="Times New Roman" w:cs="Arial"/>
          <w:color w:val="000000"/>
          <w:lang w:val="en-US"/>
        </w:rPr>
        <w:t>kg</w:t>
      </w:r>
      <w:r w:rsidRPr="00C25888">
        <w:rPr>
          <w:rFonts w:eastAsia="Times New Roman" w:cs="Arial"/>
          <w:color w:val="000000"/>
          <w:lang w:val="ru-RU"/>
        </w:rPr>
        <w:t xml:space="preserve"> </w:t>
      </w:r>
      <w:r w:rsidRPr="00C25888">
        <w:rPr>
          <w:rFonts w:eastAsia="Times New Roman" w:cs="Arial"/>
          <w:color w:val="000000"/>
          <w:lang w:eastAsia="bg-BG"/>
        </w:rPr>
        <w:t xml:space="preserve">при новородени и деца и 0,15 </w:t>
      </w:r>
      <w:r w:rsidRPr="00C25888">
        <w:rPr>
          <w:rFonts w:eastAsia="Times New Roman" w:cs="Arial"/>
          <w:color w:val="000000"/>
          <w:lang w:val="en-US"/>
        </w:rPr>
        <w:t>mg</w:t>
      </w:r>
      <w:r w:rsidRPr="00C25888">
        <w:rPr>
          <w:rFonts w:eastAsia="Times New Roman" w:cs="Arial"/>
          <w:color w:val="000000"/>
          <w:lang w:val="ru-RU"/>
        </w:rPr>
        <w:t>/</w:t>
      </w:r>
      <w:r w:rsidRPr="00C25888">
        <w:rPr>
          <w:rFonts w:eastAsia="Times New Roman" w:cs="Arial"/>
          <w:color w:val="000000"/>
          <w:lang w:val="en-US"/>
        </w:rPr>
        <w:t>kg</w:t>
      </w:r>
      <w:r w:rsidRPr="00C25888">
        <w:rPr>
          <w:rFonts w:eastAsia="Times New Roman" w:cs="Arial"/>
          <w:color w:val="000000"/>
          <w:lang w:val="ru-RU"/>
        </w:rPr>
        <w:t xml:space="preserve"> </w:t>
      </w:r>
      <w:r w:rsidRPr="00C25888">
        <w:rPr>
          <w:rFonts w:eastAsia="Times New Roman" w:cs="Arial"/>
          <w:color w:val="000000"/>
          <w:lang w:eastAsia="bg-BG"/>
        </w:rPr>
        <w:t xml:space="preserve">само при новородени. Дозата от 0,2 </w:t>
      </w:r>
      <w:r w:rsidRPr="00C25888">
        <w:rPr>
          <w:rFonts w:eastAsia="Times New Roman" w:cs="Arial"/>
          <w:color w:val="000000"/>
          <w:lang w:val="en-US"/>
        </w:rPr>
        <w:t>mg</w:t>
      </w:r>
      <w:r w:rsidRPr="00C25888">
        <w:rPr>
          <w:rFonts w:eastAsia="Times New Roman" w:cs="Arial"/>
          <w:color w:val="000000"/>
          <w:lang w:val="ru-RU"/>
        </w:rPr>
        <w:t>/</w:t>
      </w:r>
      <w:r w:rsidRPr="00C25888">
        <w:rPr>
          <w:rFonts w:eastAsia="Times New Roman" w:cs="Arial"/>
          <w:color w:val="000000"/>
          <w:lang w:val="en-US"/>
        </w:rPr>
        <w:t>kg</w:t>
      </w:r>
      <w:r w:rsidRPr="00C25888">
        <w:rPr>
          <w:rFonts w:eastAsia="Times New Roman" w:cs="Arial"/>
          <w:color w:val="000000"/>
          <w:lang w:val="ru-RU"/>
        </w:rPr>
        <w:t xml:space="preserve"> </w:t>
      </w:r>
      <w:r w:rsidRPr="00C25888">
        <w:rPr>
          <w:rFonts w:eastAsia="Times New Roman" w:cs="Arial"/>
          <w:color w:val="000000"/>
          <w:lang w:eastAsia="bg-BG"/>
        </w:rPr>
        <w:t xml:space="preserve">достига среден процент на инхибиране 49,3% (5 μМ АДФ-индуцирана тромбоцитна агрегация), който е сравним с този при възрастни, приемащи клопидогрел 75 </w:t>
      </w:r>
      <w:r w:rsidRPr="00C25888">
        <w:rPr>
          <w:rFonts w:eastAsia="Times New Roman" w:cs="Arial"/>
          <w:color w:val="000000"/>
          <w:lang w:val="en-US"/>
        </w:rPr>
        <w:t>mg</w:t>
      </w:r>
      <w:r w:rsidRPr="00C25888">
        <w:rPr>
          <w:rFonts w:eastAsia="Times New Roman" w:cs="Arial"/>
          <w:color w:val="000000"/>
          <w:lang w:eastAsia="bg-BG"/>
        </w:rPr>
        <w:t>/дневно.</w:t>
      </w:r>
    </w:p>
    <w:p w14:paraId="7A684E4A" w14:textId="77777777" w:rsidR="00C25888" w:rsidRPr="00C25888" w:rsidRDefault="00C25888" w:rsidP="00C25888">
      <w:pPr>
        <w:spacing w:line="240" w:lineRule="auto"/>
        <w:rPr>
          <w:rFonts w:eastAsia="Times New Roman" w:cs="Arial"/>
          <w:color w:val="000000"/>
          <w:lang w:eastAsia="bg-BG"/>
        </w:rPr>
      </w:pPr>
    </w:p>
    <w:p w14:paraId="4DB96850" w14:textId="7F1597AA"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В рандомизирано двойно-сляпо, паралелно групово проучване </w:t>
      </w:r>
      <w:r w:rsidRPr="00C25888">
        <w:rPr>
          <w:rFonts w:eastAsia="Times New Roman" w:cs="Arial"/>
          <w:color w:val="000000"/>
          <w:lang w:val="ru-RU"/>
        </w:rPr>
        <w:t>(</w:t>
      </w:r>
      <w:r w:rsidRPr="00C25888">
        <w:rPr>
          <w:rFonts w:eastAsia="Times New Roman" w:cs="Arial"/>
          <w:color w:val="000000"/>
          <w:lang w:val="en-US"/>
        </w:rPr>
        <w:t>CLARINET</w:t>
      </w:r>
      <w:r w:rsidRPr="00C25888">
        <w:rPr>
          <w:rFonts w:eastAsia="Times New Roman" w:cs="Arial"/>
          <w:color w:val="000000"/>
          <w:lang w:val="ru-RU"/>
        </w:rPr>
        <w:t xml:space="preserve">) </w:t>
      </w:r>
      <w:r w:rsidRPr="00C25888">
        <w:rPr>
          <w:rFonts w:eastAsia="Times New Roman" w:cs="Arial"/>
          <w:color w:val="000000"/>
          <w:lang w:eastAsia="bg-BG"/>
        </w:rPr>
        <w:t xml:space="preserve">906 педиатрични пациенти (новородени и деца), с цианотично вродено сърдечно заболяване, с палиативно поставен системно-белодробен артериален шънт, са рандомизирани да приемат клопидогрел 0,2 </w:t>
      </w:r>
      <w:r w:rsidRPr="00C25888">
        <w:rPr>
          <w:rFonts w:eastAsia="Times New Roman" w:cs="Arial"/>
          <w:color w:val="000000"/>
          <w:lang w:val="en-US"/>
        </w:rPr>
        <w:t>mg</w:t>
      </w:r>
      <w:r w:rsidRPr="00C25888">
        <w:rPr>
          <w:rFonts w:eastAsia="Times New Roman" w:cs="Arial"/>
          <w:color w:val="000000"/>
          <w:lang w:val="ru-RU"/>
        </w:rPr>
        <w:t>/</w:t>
      </w:r>
      <w:r w:rsidRPr="00C25888">
        <w:rPr>
          <w:rFonts w:eastAsia="Times New Roman" w:cs="Arial"/>
          <w:color w:val="000000"/>
          <w:lang w:val="en-US"/>
        </w:rPr>
        <w:t>kg</w:t>
      </w:r>
      <w:r w:rsidRPr="00C25888">
        <w:rPr>
          <w:rFonts w:eastAsia="Times New Roman" w:cs="Arial"/>
          <w:color w:val="000000"/>
          <w:lang w:val="ru-RU"/>
        </w:rPr>
        <w:t xml:space="preserve"> </w:t>
      </w:r>
      <w:r w:rsidRPr="00C25888">
        <w:rPr>
          <w:rFonts w:eastAsia="Times New Roman" w:cs="Arial"/>
          <w:color w:val="000000"/>
          <w:lang w:eastAsia="bg-BG"/>
        </w:rPr>
        <w:t>(</w:t>
      </w:r>
      <w:r w:rsidRPr="00C25888">
        <w:rPr>
          <w:rFonts w:eastAsia="Times New Roman" w:cs="Arial"/>
          <w:color w:val="000000"/>
          <w:lang w:val="en-US"/>
        </w:rPr>
        <w:t>n</w:t>
      </w:r>
      <w:r w:rsidRPr="00C25888">
        <w:rPr>
          <w:rFonts w:eastAsia="Times New Roman" w:cs="Arial"/>
          <w:color w:val="000000"/>
          <w:lang w:eastAsia="bg-BG"/>
        </w:rPr>
        <w:t>=467) или плацебо (</w:t>
      </w:r>
      <w:r w:rsidRPr="00C25888">
        <w:rPr>
          <w:rFonts w:eastAsia="Times New Roman" w:cs="Arial"/>
          <w:color w:val="000000"/>
          <w:lang w:val="en-US"/>
        </w:rPr>
        <w:t>n</w:t>
      </w:r>
      <w:r w:rsidRPr="00C25888">
        <w:rPr>
          <w:rFonts w:eastAsia="Times New Roman" w:cs="Arial"/>
          <w:color w:val="000000"/>
          <w:lang w:eastAsia="bg-BG"/>
        </w:rPr>
        <w:t xml:space="preserve">=439) едновременно със съпътстващо основно лечение до момента на втория етап на операцията. Средният период между поставянето на палиативен шънт и първото приложение на изпитвания лекарствен продукт е 20 дни. Приблизително 88% от пациентите са получавали едновременно АСК (диапазон от 1 до 23 </w:t>
      </w:r>
      <w:r w:rsidRPr="00C25888">
        <w:rPr>
          <w:rFonts w:eastAsia="Times New Roman" w:cs="Arial"/>
          <w:color w:val="000000"/>
          <w:lang w:val="en-US"/>
        </w:rPr>
        <w:t>mg</w:t>
      </w:r>
      <w:r w:rsidRPr="00C25888">
        <w:rPr>
          <w:rFonts w:eastAsia="Times New Roman" w:cs="Arial"/>
          <w:color w:val="000000"/>
          <w:lang w:val="ru-RU"/>
        </w:rPr>
        <w:t>/</w:t>
      </w:r>
      <w:r w:rsidRPr="00C25888">
        <w:rPr>
          <w:rFonts w:eastAsia="Times New Roman" w:cs="Arial"/>
          <w:color w:val="000000"/>
          <w:lang w:val="en-US"/>
        </w:rPr>
        <w:t>kg</w:t>
      </w:r>
      <w:r w:rsidRPr="00C25888">
        <w:rPr>
          <w:rFonts w:eastAsia="Times New Roman" w:cs="Arial"/>
          <w:color w:val="000000"/>
          <w:lang w:eastAsia="bg-BG"/>
        </w:rPr>
        <w:t xml:space="preserve">/дневно). Не е наблюдавана значима разлика между групите по отношение на първичната съставна крайна точка на смърт, тромбоза </w:t>
      </w:r>
      <w:r w:rsidRPr="00C25888">
        <w:rPr>
          <w:rFonts w:eastAsia="Times New Roman" w:cs="Arial"/>
          <w:i/>
          <w:iCs/>
          <w:color w:val="000000"/>
          <w:lang w:eastAsia="bg-BG"/>
        </w:rPr>
        <w:t>на</w:t>
      </w:r>
      <w:r w:rsidRPr="00C25888">
        <w:rPr>
          <w:rFonts w:eastAsia="Times New Roman" w:cs="Arial"/>
          <w:color w:val="000000"/>
          <w:lang w:eastAsia="bg-BG"/>
        </w:rPr>
        <w:t xml:space="preserve"> шънта или сърдечна интервенция по-рано от 120-дневна възраст след събитие с определено тромботичен характер (89 [19,1%] за групата на клопидогрел и 90 [20,5%] за групата на плацебо) (вж. точка 4.2). Кървенето е най-често съобщаваната нежелана реакция и в двете групи - на клопидогрел и плацебо; като не е наблюдавана значима разлика в честотата на кървене между групите. При дългосрочно проследяване на безопасността при това проучване, 26 пациенти с все още наличен шънт на едногодишна възраст са получавали клопидогрел до 18-месечна възраст. Не са наблюдавани нови съображения относно безопасността по време на това дългосрочно проследяване.</w:t>
      </w:r>
    </w:p>
    <w:p w14:paraId="538DCF92" w14:textId="77777777" w:rsidR="00C25888" w:rsidRPr="00C25888" w:rsidRDefault="00C25888" w:rsidP="00C25888">
      <w:pPr>
        <w:rPr>
          <w:rFonts w:eastAsia="Times New Roman" w:cs="Arial"/>
          <w:color w:val="000000"/>
          <w:lang w:eastAsia="bg-BG"/>
        </w:rPr>
      </w:pPr>
    </w:p>
    <w:p w14:paraId="3FA19D71" w14:textId="0260E604" w:rsidR="00C25888" w:rsidRPr="00C25888" w:rsidRDefault="00C25888" w:rsidP="00C25888">
      <w:pPr>
        <w:rPr>
          <w:rFonts w:eastAsia="Times New Roman" w:cs="Arial"/>
          <w:color w:val="000000"/>
          <w:lang w:eastAsia="bg-BG"/>
        </w:rPr>
      </w:pPr>
      <w:r w:rsidRPr="00C25888">
        <w:rPr>
          <w:rFonts w:eastAsia="Times New Roman" w:cs="Arial"/>
          <w:color w:val="000000"/>
          <w:lang w:eastAsia="bg-BG"/>
        </w:rPr>
        <w:t xml:space="preserve">Изпитванията </w:t>
      </w:r>
      <w:r w:rsidRPr="00C25888">
        <w:rPr>
          <w:rFonts w:eastAsia="Times New Roman" w:cs="Arial"/>
          <w:color w:val="000000"/>
          <w:lang w:val="en-US"/>
        </w:rPr>
        <w:t>CLARINET</w:t>
      </w:r>
      <w:r w:rsidRPr="00C25888">
        <w:rPr>
          <w:rFonts w:eastAsia="Times New Roman" w:cs="Arial"/>
          <w:color w:val="000000"/>
          <w:lang w:val="ru-RU"/>
        </w:rPr>
        <w:t xml:space="preserve"> </w:t>
      </w:r>
      <w:r w:rsidRPr="00C25888">
        <w:rPr>
          <w:rFonts w:eastAsia="Times New Roman" w:cs="Arial"/>
          <w:color w:val="000000"/>
          <w:lang w:eastAsia="bg-BG"/>
        </w:rPr>
        <w:t xml:space="preserve">и </w:t>
      </w:r>
      <w:r w:rsidRPr="00C25888">
        <w:rPr>
          <w:rFonts w:eastAsia="Times New Roman" w:cs="Arial"/>
          <w:color w:val="000000"/>
          <w:lang w:val="en-US"/>
        </w:rPr>
        <w:t>PICOLO</w:t>
      </w:r>
      <w:r w:rsidRPr="00C25888">
        <w:rPr>
          <w:rFonts w:eastAsia="Times New Roman" w:cs="Arial"/>
          <w:color w:val="000000"/>
          <w:lang w:val="ru-RU"/>
        </w:rPr>
        <w:t xml:space="preserve"> </w:t>
      </w:r>
      <w:r w:rsidRPr="00C25888">
        <w:rPr>
          <w:rFonts w:eastAsia="Times New Roman" w:cs="Arial"/>
          <w:color w:val="000000"/>
          <w:lang w:eastAsia="bg-BG"/>
        </w:rPr>
        <w:t>са проведени с използване на приготвен разтвор на клопидогрел. В проучване на относителната бионаличност при възрастни, приготвеният разтвор на клопидогрел показва сходна степен и малко по-висока скорост на абсорбция на главния циркулиращ (неактивен) метаболит, в сравнение с разрешената за употреба таблетка.</w:t>
      </w:r>
    </w:p>
    <w:p w14:paraId="5A64CFFD" w14:textId="77777777" w:rsidR="00C25888" w:rsidRPr="00C25888" w:rsidRDefault="00C25888" w:rsidP="00C25888">
      <w:pPr>
        <w:rPr>
          <w:lang w:val="ru-RU"/>
        </w:rPr>
      </w:pPr>
    </w:p>
    <w:p w14:paraId="78DD93AA" w14:textId="21462CF2" w:rsidR="00B6672E" w:rsidRDefault="002C50EE" w:rsidP="00936AD0">
      <w:pPr>
        <w:pStyle w:val="Heading2"/>
      </w:pPr>
      <w:r>
        <w:t>5.2. Фармакокинетични свойства</w:t>
      </w:r>
    </w:p>
    <w:p w14:paraId="1C36F591" w14:textId="03777141" w:rsidR="00C25888" w:rsidRDefault="00C25888" w:rsidP="00C25888"/>
    <w:p w14:paraId="679C2442" w14:textId="77777777" w:rsidR="00C25888" w:rsidRPr="00C25888" w:rsidRDefault="00C25888" w:rsidP="00C25888">
      <w:pPr>
        <w:pStyle w:val="Heading3"/>
        <w:rPr>
          <w:rFonts w:eastAsia="Times New Roman"/>
          <w:u w:val="single"/>
        </w:rPr>
      </w:pPr>
      <w:r w:rsidRPr="00C25888">
        <w:rPr>
          <w:rFonts w:eastAsia="Times New Roman"/>
          <w:u w:val="single"/>
          <w:lang w:eastAsia="bg-BG"/>
        </w:rPr>
        <w:t>Абсорбция</w:t>
      </w:r>
    </w:p>
    <w:p w14:paraId="6C27EC90"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След еднократно и многократно перорално приложение на дози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дневно, клопидогрел се абсорбира бързо. Средните максимални плазмени нива на непроменения клопидогр</w:t>
      </w:r>
      <w:r w:rsidRPr="00C25888">
        <w:rPr>
          <w:rFonts w:eastAsia="Times New Roman" w:cs="Arial"/>
          <w:color w:val="000000"/>
          <w:u w:val="single"/>
          <w:lang w:eastAsia="bg-BG"/>
        </w:rPr>
        <w:t xml:space="preserve">ел </w:t>
      </w:r>
      <w:r w:rsidRPr="00C25888">
        <w:rPr>
          <w:rFonts w:eastAsia="Times New Roman" w:cs="Arial"/>
          <w:color w:val="000000"/>
          <w:lang w:eastAsia="bg-BG"/>
        </w:rPr>
        <w:t xml:space="preserve">(приблизително 2,2-2,5 </w:t>
      </w:r>
      <w:r w:rsidRPr="00C25888">
        <w:rPr>
          <w:rFonts w:eastAsia="Times New Roman" w:cs="Arial"/>
          <w:color w:val="000000"/>
          <w:lang w:val="en-US"/>
        </w:rPr>
        <w:t>ng</w:t>
      </w:r>
      <w:r w:rsidRPr="00C25888">
        <w:rPr>
          <w:rFonts w:eastAsia="Times New Roman" w:cs="Arial"/>
          <w:color w:val="000000"/>
          <w:lang w:val="ru-RU"/>
        </w:rPr>
        <w:t>/</w:t>
      </w:r>
      <w:r w:rsidRPr="00C25888">
        <w:rPr>
          <w:rFonts w:eastAsia="Times New Roman" w:cs="Arial"/>
          <w:color w:val="000000"/>
          <w:lang w:val="en-US"/>
        </w:rPr>
        <w:t>ml</w:t>
      </w:r>
      <w:r w:rsidRPr="00C25888">
        <w:rPr>
          <w:rFonts w:eastAsia="Times New Roman" w:cs="Arial"/>
          <w:color w:val="000000"/>
          <w:lang w:val="ru-RU"/>
        </w:rPr>
        <w:t xml:space="preserve"> </w:t>
      </w:r>
      <w:r w:rsidRPr="00C25888">
        <w:rPr>
          <w:rFonts w:eastAsia="Times New Roman" w:cs="Arial"/>
          <w:color w:val="000000"/>
          <w:lang w:eastAsia="bg-BG"/>
        </w:rPr>
        <w:t xml:space="preserve">след еднократна перорална доза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настьпват приблизително 45 минути след прием. Абсорбцията е най-малко 50 %, въз основа на екскрецията с урината на метаболитите на клопидогрел.</w:t>
      </w:r>
    </w:p>
    <w:p w14:paraId="639154F0" w14:textId="77777777" w:rsidR="00C25888" w:rsidRPr="00C25888" w:rsidRDefault="00C25888" w:rsidP="00C25888">
      <w:pPr>
        <w:spacing w:line="240" w:lineRule="auto"/>
        <w:rPr>
          <w:rFonts w:eastAsia="Times New Roman" w:cs="Arial"/>
          <w:color w:val="000000"/>
          <w:u w:val="single"/>
          <w:lang w:eastAsia="bg-BG"/>
        </w:rPr>
      </w:pPr>
    </w:p>
    <w:p w14:paraId="52AB426D" w14:textId="0F204204" w:rsidR="00C25888" w:rsidRPr="00C25888" w:rsidRDefault="00C25888" w:rsidP="00C25888">
      <w:pPr>
        <w:pStyle w:val="Heading3"/>
        <w:rPr>
          <w:rFonts w:eastAsia="Times New Roman"/>
          <w:u w:val="single"/>
        </w:rPr>
      </w:pPr>
      <w:r w:rsidRPr="00C25888">
        <w:rPr>
          <w:rFonts w:eastAsia="Times New Roman"/>
          <w:u w:val="single"/>
          <w:lang w:eastAsia="bg-BG"/>
        </w:rPr>
        <w:t>Разпределение</w:t>
      </w:r>
    </w:p>
    <w:p w14:paraId="6B6A79EF"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Клопидогрел и главният циркулиращ (неактивен) метаболит се свързват обратимо </w:t>
      </w:r>
      <w:r w:rsidRPr="00C25888">
        <w:rPr>
          <w:rFonts w:eastAsia="Times New Roman" w:cs="Arial"/>
          <w:i/>
          <w:iCs/>
          <w:color w:val="000000"/>
          <w:lang w:val="en-US"/>
        </w:rPr>
        <w:t>in</w:t>
      </w:r>
      <w:r w:rsidRPr="00C25888">
        <w:rPr>
          <w:rFonts w:eastAsia="Times New Roman" w:cs="Arial"/>
          <w:i/>
          <w:iCs/>
          <w:color w:val="000000"/>
          <w:lang w:val="ru-RU"/>
        </w:rPr>
        <w:t xml:space="preserve"> </w:t>
      </w:r>
      <w:r w:rsidRPr="00C25888">
        <w:rPr>
          <w:rFonts w:eastAsia="Times New Roman" w:cs="Arial"/>
          <w:i/>
          <w:iCs/>
          <w:color w:val="000000"/>
          <w:lang w:val="en-US"/>
        </w:rPr>
        <w:t>vitro</w:t>
      </w:r>
      <w:r w:rsidRPr="00C25888">
        <w:rPr>
          <w:rFonts w:eastAsia="Times New Roman" w:cs="Arial"/>
          <w:color w:val="000000"/>
          <w:lang w:val="ru-RU"/>
        </w:rPr>
        <w:t xml:space="preserve"> </w:t>
      </w:r>
      <w:r w:rsidRPr="00C25888">
        <w:rPr>
          <w:rFonts w:eastAsia="Times New Roman" w:cs="Arial"/>
          <w:color w:val="000000"/>
          <w:lang w:eastAsia="bg-BG"/>
        </w:rPr>
        <w:t xml:space="preserve">с човешките плазмени протеини (съответно 98 % и 94 %). </w:t>
      </w:r>
      <w:r w:rsidRPr="00C25888">
        <w:rPr>
          <w:rFonts w:eastAsia="Times New Roman" w:cs="Arial"/>
          <w:i/>
          <w:iCs/>
          <w:color w:val="000000"/>
          <w:lang w:val="en-US"/>
        </w:rPr>
        <w:t>In</w:t>
      </w:r>
      <w:r w:rsidRPr="00C25888">
        <w:rPr>
          <w:rFonts w:eastAsia="Times New Roman" w:cs="Arial"/>
          <w:i/>
          <w:iCs/>
          <w:color w:val="000000"/>
          <w:lang w:val="ru-RU"/>
        </w:rPr>
        <w:t xml:space="preserve"> </w:t>
      </w:r>
      <w:r w:rsidRPr="00C25888">
        <w:rPr>
          <w:rFonts w:eastAsia="Times New Roman" w:cs="Arial"/>
          <w:i/>
          <w:iCs/>
          <w:color w:val="000000"/>
          <w:lang w:val="en-US"/>
        </w:rPr>
        <w:t>vitro</w:t>
      </w:r>
      <w:r w:rsidRPr="00C25888">
        <w:rPr>
          <w:rFonts w:eastAsia="Times New Roman" w:cs="Arial"/>
          <w:i/>
          <w:iCs/>
          <w:color w:val="000000"/>
          <w:lang w:val="ru-RU"/>
        </w:rPr>
        <w:t>,</w:t>
      </w:r>
      <w:r w:rsidRPr="00C25888">
        <w:rPr>
          <w:rFonts w:eastAsia="Times New Roman" w:cs="Arial"/>
          <w:color w:val="000000"/>
          <w:lang w:val="ru-RU"/>
        </w:rPr>
        <w:t xml:space="preserve"> </w:t>
      </w:r>
      <w:r w:rsidRPr="00C25888">
        <w:rPr>
          <w:rFonts w:eastAsia="Times New Roman" w:cs="Arial"/>
          <w:color w:val="000000"/>
          <w:lang w:eastAsia="bg-BG"/>
        </w:rPr>
        <w:t>свързването не зависи от степента на насищане, при широки граници на концентрацията.</w:t>
      </w:r>
    </w:p>
    <w:p w14:paraId="2B3E7C2E" w14:textId="77777777" w:rsidR="00C25888" w:rsidRPr="00C25888" w:rsidRDefault="00C25888" w:rsidP="00C25888">
      <w:pPr>
        <w:spacing w:line="240" w:lineRule="auto"/>
        <w:rPr>
          <w:rFonts w:eastAsia="Times New Roman" w:cs="Arial"/>
          <w:color w:val="000000"/>
          <w:u w:val="single"/>
          <w:lang w:eastAsia="bg-BG"/>
        </w:rPr>
      </w:pPr>
    </w:p>
    <w:p w14:paraId="6ED4B8B0" w14:textId="2B1DA48D" w:rsidR="00C25888" w:rsidRPr="00C25888" w:rsidRDefault="00C25888" w:rsidP="00C25888">
      <w:pPr>
        <w:pStyle w:val="Heading3"/>
        <w:rPr>
          <w:rFonts w:eastAsia="Times New Roman"/>
          <w:u w:val="single"/>
        </w:rPr>
      </w:pPr>
      <w:r w:rsidRPr="00C25888">
        <w:rPr>
          <w:rFonts w:eastAsia="Times New Roman"/>
          <w:u w:val="single"/>
          <w:lang w:eastAsia="bg-BG"/>
        </w:rPr>
        <w:t>Биотрансформация</w:t>
      </w:r>
    </w:p>
    <w:p w14:paraId="71BE234F"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Клопидогрел екстензивно се метаболизира в черния дроб. </w:t>
      </w:r>
      <w:r w:rsidRPr="00C25888">
        <w:rPr>
          <w:rFonts w:eastAsia="Times New Roman" w:cs="Arial"/>
          <w:i/>
          <w:iCs/>
          <w:color w:val="000000"/>
          <w:lang w:val="en-US"/>
        </w:rPr>
        <w:t>In</w:t>
      </w:r>
      <w:r w:rsidRPr="00C25888">
        <w:rPr>
          <w:rFonts w:eastAsia="Times New Roman" w:cs="Arial"/>
          <w:i/>
          <w:iCs/>
          <w:color w:val="000000"/>
          <w:lang w:val="ru-RU"/>
        </w:rPr>
        <w:t xml:space="preserve"> </w:t>
      </w:r>
      <w:r w:rsidRPr="00C25888">
        <w:rPr>
          <w:rFonts w:eastAsia="Times New Roman" w:cs="Arial"/>
          <w:i/>
          <w:iCs/>
          <w:color w:val="000000"/>
          <w:lang w:val="en-US"/>
        </w:rPr>
        <w:t>vitro</w:t>
      </w:r>
      <w:r w:rsidRPr="00C25888">
        <w:rPr>
          <w:rFonts w:eastAsia="Times New Roman" w:cs="Arial"/>
          <w:color w:val="000000"/>
          <w:lang w:val="ru-RU"/>
        </w:rPr>
        <w:t xml:space="preserve"> </w:t>
      </w:r>
      <w:r w:rsidRPr="00C25888">
        <w:rPr>
          <w:rFonts w:eastAsia="Times New Roman" w:cs="Arial"/>
          <w:color w:val="000000"/>
          <w:lang w:eastAsia="bg-BG"/>
        </w:rPr>
        <w:t xml:space="preserve">и </w:t>
      </w:r>
      <w:r w:rsidRPr="00C25888">
        <w:rPr>
          <w:rFonts w:eastAsia="Times New Roman" w:cs="Arial"/>
          <w:i/>
          <w:iCs/>
          <w:color w:val="000000"/>
          <w:lang w:val="en-US"/>
        </w:rPr>
        <w:t>In</w:t>
      </w:r>
      <w:r w:rsidRPr="00C25888">
        <w:rPr>
          <w:rFonts w:eastAsia="Times New Roman" w:cs="Arial"/>
          <w:i/>
          <w:iCs/>
          <w:color w:val="000000"/>
          <w:lang w:val="ru-RU"/>
        </w:rPr>
        <w:t xml:space="preserve"> </w:t>
      </w:r>
      <w:r w:rsidRPr="00C25888">
        <w:rPr>
          <w:rFonts w:eastAsia="Times New Roman" w:cs="Arial"/>
          <w:i/>
          <w:iCs/>
          <w:color w:val="000000"/>
          <w:lang w:val="en-US"/>
        </w:rPr>
        <w:t>vivo</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се метаболизира по два основни метаболитни пътя: един, осъществяван от естерази и водещ до хидролиза и получаване на неактивни деривати на карбоксиловата киселина (85% от циркулиращите метаболити), и друг, осъществяван от множество цитохроми Р450. Клопидогрел първо се метаболизира до 2-оксо-клопидогрел междинен метаболит. Последващият метаболизъм на междинния метаболит 2-оксо-клопидогрел води до образуване на активния метаболит, тиолов дериват на клопидогрел. Активният метаболит се образува предимно от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eastAsia="bg-BG"/>
        </w:rPr>
        <w:t xml:space="preserve">19 с участието на няколко други </w:t>
      </w:r>
      <w:r w:rsidRPr="00C25888">
        <w:rPr>
          <w:rFonts w:eastAsia="Times New Roman" w:cs="Arial"/>
          <w:color w:val="000000"/>
          <w:lang w:val="en-US"/>
        </w:rPr>
        <w:t>CYP</w:t>
      </w:r>
      <w:r w:rsidRPr="00C25888">
        <w:rPr>
          <w:rFonts w:eastAsia="Times New Roman" w:cs="Arial"/>
          <w:color w:val="000000"/>
          <w:lang w:val="ru-RU"/>
        </w:rPr>
        <w:t xml:space="preserve"> </w:t>
      </w:r>
      <w:r w:rsidRPr="00C25888">
        <w:rPr>
          <w:rFonts w:eastAsia="Times New Roman" w:cs="Arial"/>
          <w:color w:val="000000"/>
          <w:lang w:eastAsia="bg-BG"/>
        </w:rPr>
        <w:t xml:space="preserve">ензими, включително </w:t>
      </w:r>
      <w:r w:rsidRPr="00C25888">
        <w:rPr>
          <w:rFonts w:eastAsia="Times New Roman" w:cs="Arial"/>
          <w:color w:val="000000"/>
          <w:lang w:val="en-US"/>
        </w:rPr>
        <w:t>CYP</w:t>
      </w:r>
      <w:r w:rsidRPr="00C25888">
        <w:rPr>
          <w:rFonts w:eastAsia="Times New Roman" w:cs="Arial"/>
          <w:color w:val="000000"/>
          <w:lang w:eastAsia="bg-BG"/>
        </w:rPr>
        <w:t xml:space="preserve">1А2,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B</w:t>
      </w:r>
      <w:r w:rsidRPr="00C25888">
        <w:rPr>
          <w:rFonts w:eastAsia="Times New Roman" w:cs="Arial"/>
          <w:color w:val="000000"/>
          <w:lang w:val="ru-RU"/>
        </w:rPr>
        <w:t xml:space="preserve">6 </w:t>
      </w:r>
      <w:r w:rsidRPr="00C25888">
        <w:rPr>
          <w:rFonts w:eastAsia="Times New Roman" w:cs="Arial"/>
          <w:color w:val="000000"/>
          <w:lang w:eastAsia="bg-BG"/>
        </w:rPr>
        <w:t xml:space="preserve">и </w:t>
      </w:r>
      <w:r w:rsidRPr="00C25888">
        <w:rPr>
          <w:rFonts w:eastAsia="Times New Roman" w:cs="Arial"/>
          <w:color w:val="000000"/>
          <w:lang w:val="en-US"/>
        </w:rPr>
        <w:t>CYP</w:t>
      </w:r>
      <w:r w:rsidRPr="00C25888">
        <w:rPr>
          <w:rFonts w:eastAsia="Times New Roman" w:cs="Arial"/>
          <w:color w:val="000000"/>
          <w:lang w:val="ru-RU"/>
        </w:rPr>
        <w:t>3</w:t>
      </w:r>
      <w:r w:rsidRPr="00C25888">
        <w:rPr>
          <w:rFonts w:eastAsia="Times New Roman" w:cs="Arial"/>
          <w:color w:val="000000"/>
          <w:lang w:val="en-US"/>
        </w:rPr>
        <w:t>A</w:t>
      </w:r>
      <w:r w:rsidRPr="00C25888">
        <w:rPr>
          <w:rFonts w:eastAsia="Times New Roman" w:cs="Arial"/>
          <w:color w:val="000000"/>
          <w:lang w:val="ru-RU"/>
        </w:rPr>
        <w:t xml:space="preserve">4. </w:t>
      </w:r>
      <w:r w:rsidRPr="00C25888">
        <w:rPr>
          <w:rFonts w:eastAsia="Times New Roman" w:cs="Arial"/>
          <w:color w:val="000000"/>
          <w:lang w:eastAsia="bg-BG"/>
        </w:rPr>
        <w:t xml:space="preserve">Активният тиолов метаболит, който е изолиран </w:t>
      </w:r>
      <w:r w:rsidRPr="00C25888">
        <w:rPr>
          <w:rFonts w:eastAsia="Times New Roman" w:cs="Arial"/>
          <w:i/>
          <w:iCs/>
          <w:color w:val="000000"/>
          <w:lang w:val="en-US"/>
        </w:rPr>
        <w:t>in</w:t>
      </w:r>
      <w:r w:rsidRPr="00C25888">
        <w:rPr>
          <w:rFonts w:eastAsia="Times New Roman" w:cs="Arial"/>
          <w:i/>
          <w:iCs/>
          <w:color w:val="000000"/>
          <w:lang w:val="ru-RU"/>
        </w:rPr>
        <w:t xml:space="preserve"> </w:t>
      </w:r>
      <w:r w:rsidRPr="00C25888">
        <w:rPr>
          <w:rFonts w:eastAsia="Times New Roman" w:cs="Arial"/>
          <w:i/>
          <w:iCs/>
          <w:color w:val="000000"/>
          <w:lang w:val="en-US"/>
        </w:rPr>
        <w:t>vitro</w:t>
      </w:r>
      <w:r w:rsidRPr="00C25888">
        <w:rPr>
          <w:rFonts w:eastAsia="Times New Roman" w:cs="Arial"/>
          <w:i/>
          <w:iCs/>
          <w:color w:val="000000"/>
          <w:lang w:val="ru-RU"/>
        </w:rPr>
        <w:t>,</w:t>
      </w:r>
      <w:r w:rsidRPr="00C25888">
        <w:rPr>
          <w:rFonts w:eastAsia="Times New Roman" w:cs="Arial"/>
          <w:color w:val="000000"/>
          <w:lang w:val="ru-RU"/>
        </w:rPr>
        <w:t xml:space="preserve"> </w:t>
      </w:r>
      <w:r w:rsidRPr="00C25888">
        <w:rPr>
          <w:rFonts w:eastAsia="Times New Roman" w:cs="Arial"/>
          <w:color w:val="000000"/>
          <w:lang w:eastAsia="bg-BG"/>
        </w:rPr>
        <w:t>се свързва бързо и необратимо към тромбоцитните рецептори, което инхибира тромбоцитната агрегация.</w:t>
      </w:r>
    </w:p>
    <w:p w14:paraId="265D72C8"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С</w:t>
      </w:r>
      <w:r w:rsidRPr="00C25888">
        <w:rPr>
          <w:rFonts w:eastAsia="Times New Roman" w:cs="Arial"/>
          <w:color w:val="000000"/>
          <w:vertAlign w:val="subscript"/>
          <w:lang w:val="en-US"/>
        </w:rPr>
        <w:t>max</w:t>
      </w:r>
      <w:r w:rsidRPr="00C25888">
        <w:rPr>
          <w:rFonts w:eastAsia="Times New Roman" w:cs="Arial"/>
          <w:color w:val="000000"/>
          <w:lang w:eastAsia="bg-BG"/>
        </w:rPr>
        <w:t xml:space="preserve"> на активния метаболит е два пъти по-висока след еднократна натоварваща доза от 300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отколкото след прилагане на поддържаща доза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за четири дни. С</w:t>
      </w:r>
      <w:r w:rsidRPr="00C25888">
        <w:rPr>
          <w:rFonts w:eastAsia="Times New Roman" w:cs="Arial"/>
          <w:color w:val="000000"/>
          <w:vertAlign w:val="subscript"/>
          <w:lang w:val="en-US"/>
        </w:rPr>
        <w:t>m</w:t>
      </w:r>
      <w:r w:rsidRPr="00C25888">
        <w:rPr>
          <w:rFonts w:eastAsia="Times New Roman" w:cs="Arial"/>
          <w:color w:val="000000"/>
          <w:vertAlign w:val="subscript"/>
          <w:lang w:eastAsia="bg-BG"/>
        </w:rPr>
        <w:t>ах</w:t>
      </w:r>
      <w:r w:rsidRPr="00C25888">
        <w:rPr>
          <w:rFonts w:eastAsia="Times New Roman" w:cs="Arial"/>
          <w:color w:val="000000"/>
          <w:lang w:eastAsia="bg-BG"/>
        </w:rPr>
        <w:t xml:space="preserve"> се достига приблизително 30 до 60 минути след прилагане.</w:t>
      </w:r>
    </w:p>
    <w:p w14:paraId="793173FC" w14:textId="77777777" w:rsidR="00C25888" w:rsidRPr="00C25888" w:rsidRDefault="00C25888" w:rsidP="00C25888">
      <w:pPr>
        <w:spacing w:line="240" w:lineRule="auto"/>
        <w:rPr>
          <w:rFonts w:eastAsia="Times New Roman" w:cs="Arial"/>
          <w:color w:val="000000"/>
          <w:u w:val="single"/>
          <w:lang w:eastAsia="bg-BG"/>
        </w:rPr>
      </w:pPr>
    </w:p>
    <w:p w14:paraId="6A09177A" w14:textId="172ECB14" w:rsidR="00C25888" w:rsidRPr="00C25888" w:rsidRDefault="00C25888" w:rsidP="00C25888">
      <w:pPr>
        <w:pStyle w:val="Heading3"/>
        <w:rPr>
          <w:rFonts w:eastAsia="Times New Roman"/>
          <w:u w:val="single"/>
        </w:rPr>
      </w:pPr>
      <w:r w:rsidRPr="00C25888">
        <w:rPr>
          <w:rFonts w:eastAsia="Times New Roman"/>
          <w:u w:val="single"/>
          <w:lang w:eastAsia="bg-BG"/>
        </w:rPr>
        <w:t>Елиминиране</w:t>
      </w:r>
    </w:p>
    <w:p w14:paraId="79D6A5B1"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След перорален прием на маркиран с С14 клопидогрел при хора, приблизително 50 % се екскретира в урината и около 46 % през фекалиите за 120 часов интервал след приема. След еднократна перорална доза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клопидогрел има полуживот от приблизително 6 часа. Елиминационният полуживот на основния циркулиращ (неактивен) метаболит е 8 часа след еднократно или многократно приложение.</w:t>
      </w:r>
    </w:p>
    <w:p w14:paraId="7DA289C5" w14:textId="77777777" w:rsidR="00C25888" w:rsidRPr="00C25888" w:rsidRDefault="00C25888" w:rsidP="00C25888">
      <w:pPr>
        <w:spacing w:line="240" w:lineRule="auto"/>
        <w:rPr>
          <w:rFonts w:eastAsia="Times New Roman" w:cs="Arial"/>
          <w:color w:val="000000"/>
          <w:u w:val="single"/>
          <w:lang w:eastAsia="bg-BG"/>
        </w:rPr>
      </w:pPr>
    </w:p>
    <w:p w14:paraId="3A9F799A" w14:textId="793B93D0" w:rsidR="00C25888" w:rsidRPr="00C25888" w:rsidRDefault="00C25888" w:rsidP="00C25888">
      <w:pPr>
        <w:pStyle w:val="Heading3"/>
        <w:rPr>
          <w:rFonts w:eastAsia="Times New Roman"/>
          <w:u w:val="single"/>
        </w:rPr>
      </w:pPr>
      <w:r w:rsidRPr="00C25888">
        <w:rPr>
          <w:rFonts w:eastAsia="Times New Roman"/>
          <w:u w:val="single"/>
          <w:lang w:eastAsia="bg-BG"/>
        </w:rPr>
        <w:t>Фармакогенетика</w:t>
      </w:r>
    </w:p>
    <w:p w14:paraId="1308DDFE"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 </w:t>
      </w:r>
      <w:r w:rsidRPr="00C25888">
        <w:rPr>
          <w:rFonts w:eastAsia="Times New Roman" w:cs="Arial"/>
          <w:color w:val="000000"/>
          <w:lang w:eastAsia="bg-BG"/>
        </w:rPr>
        <w:t xml:space="preserve">е включен във формирането на активния метаболит и на междинния метаболит </w:t>
      </w:r>
      <w:r w:rsidRPr="00C25888">
        <w:rPr>
          <w:rFonts w:eastAsia="Times New Roman" w:cs="Arial"/>
          <w:i/>
          <w:iCs/>
          <w:color w:val="000000"/>
          <w:lang w:eastAsia="bg-BG"/>
        </w:rPr>
        <w:t xml:space="preserve">2- </w:t>
      </w:r>
      <w:r w:rsidRPr="00C25888">
        <w:rPr>
          <w:rFonts w:eastAsia="Times New Roman" w:cs="Arial"/>
          <w:color w:val="000000"/>
          <w:lang w:eastAsia="bg-BG"/>
        </w:rPr>
        <w:t xml:space="preserve">оксо-клопидогрел. Фармакокинетиката и антитромбоцитните ефекти на клопидогрел, измерени чрез анализ на </w:t>
      </w:r>
      <w:r w:rsidRPr="00C25888">
        <w:rPr>
          <w:rFonts w:eastAsia="Times New Roman" w:cs="Arial"/>
          <w:i/>
          <w:iCs/>
          <w:color w:val="000000"/>
          <w:lang w:val="en-US"/>
        </w:rPr>
        <w:t>ex</w:t>
      </w:r>
      <w:r w:rsidRPr="00C25888">
        <w:rPr>
          <w:rFonts w:eastAsia="Times New Roman" w:cs="Arial"/>
          <w:i/>
          <w:iCs/>
          <w:color w:val="000000"/>
          <w:lang w:val="ru-RU"/>
        </w:rPr>
        <w:t xml:space="preserve"> </w:t>
      </w:r>
      <w:r w:rsidRPr="00C25888">
        <w:rPr>
          <w:rFonts w:eastAsia="Times New Roman" w:cs="Arial"/>
          <w:i/>
          <w:iCs/>
          <w:color w:val="000000"/>
          <w:lang w:val="en-US"/>
        </w:rPr>
        <w:t>vivo</w:t>
      </w:r>
      <w:r w:rsidRPr="00C25888">
        <w:rPr>
          <w:rFonts w:eastAsia="Times New Roman" w:cs="Arial"/>
          <w:color w:val="000000"/>
          <w:lang w:val="ru-RU"/>
        </w:rPr>
        <w:t xml:space="preserve"> </w:t>
      </w:r>
      <w:r w:rsidRPr="00C25888">
        <w:rPr>
          <w:rFonts w:eastAsia="Times New Roman" w:cs="Arial"/>
          <w:color w:val="000000"/>
          <w:lang w:eastAsia="bg-BG"/>
        </w:rPr>
        <w:t xml:space="preserve">тромбоцитна агрегация, се различават в зависимост от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 </w:t>
      </w:r>
      <w:r w:rsidRPr="00C25888">
        <w:rPr>
          <w:rFonts w:eastAsia="Times New Roman" w:cs="Arial"/>
          <w:color w:val="000000"/>
          <w:lang w:eastAsia="bg-BG"/>
        </w:rPr>
        <w:t>генотипа.</w:t>
      </w:r>
    </w:p>
    <w:p w14:paraId="2411B9D5" w14:textId="77777777" w:rsidR="00C25888" w:rsidRPr="00C25888" w:rsidRDefault="00C25888" w:rsidP="00C25888">
      <w:pPr>
        <w:spacing w:line="240" w:lineRule="auto"/>
        <w:rPr>
          <w:rFonts w:eastAsia="Times New Roman" w:cs="Arial"/>
          <w:color w:val="000000"/>
          <w:lang w:val="en-US"/>
        </w:rPr>
      </w:pPr>
    </w:p>
    <w:p w14:paraId="563912F8" w14:textId="5F8C4A78"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19*</w:t>
      </w:r>
      <w:proofErr w:type="gramStart"/>
      <w:r w:rsidRPr="00C25888">
        <w:rPr>
          <w:rFonts w:eastAsia="Times New Roman" w:cs="Arial"/>
          <w:color w:val="000000"/>
          <w:lang w:val="ru-RU"/>
        </w:rPr>
        <w:t>1</w:t>
      </w:r>
      <w:proofErr w:type="gramEnd"/>
      <w:r w:rsidRPr="00C25888">
        <w:rPr>
          <w:rFonts w:eastAsia="Times New Roman" w:cs="Arial"/>
          <w:color w:val="000000"/>
          <w:lang w:val="ru-RU"/>
        </w:rPr>
        <w:t xml:space="preserve"> </w:t>
      </w:r>
      <w:r w:rsidRPr="00C25888">
        <w:rPr>
          <w:rFonts w:eastAsia="Times New Roman" w:cs="Arial"/>
          <w:color w:val="000000"/>
          <w:lang w:eastAsia="bg-BG"/>
        </w:rPr>
        <w:t xml:space="preserve">алелът съответства на цялостен функционален метаболизъм, докато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19*2 </w:t>
      </w:r>
      <w:r w:rsidRPr="00C25888">
        <w:rPr>
          <w:rFonts w:eastAsia="Times New Roman" w:cs="Arial"/>
          <w:color w:val="000000"/>
          <w:lang w:eastAsia="bg-BG"/>
        </w:rPr>
        <w:t xml:space="preserve">и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19*3 </w:t>
      </w:r>
      <w:r w:rsidRPr="00C25888">
        <w:rPr>
          <w:rFonts w:eastAsia="Times New Roman" w:cs="Arial"/>
          <w:color w:val="000000"/>
          <w:lang w:eastAsia="bg-BG"/>
        </w:rPr>
        <w:t xml:space="preserve">алелите са нефункционални.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19*</w:t>
      </w:r>
      <w:proofErr w:type="gramStart"/>
      <w:r w:rsidRPr="00C25888">
        <w:rPr>
          <w:rFonts w:eastAsia="Times New Roman" w:cs="Arial"/>
          <w:color w:val="000000"/>
          <w:lang w:val="ru-RU"/>
        </w:rPr>
        <w:t>2</w:t>
      </w:r>
      <w:proofErr w:type="gramEnd"/>
      <w:r w:rsidRPr="00C25888">
        <w:rPr>
          <w:rFonts w:eastAsia="Times New Roman" w:cs="Arial"/>
          <w:color w:val="000000"/>
          <w:lang w:val="ru-RU"/>
        </w:rPr>
        <w:t xml:space="preserve"> </w:t>
      </w:r>
      <w:r w:rsidRPr="00C25888">
        <w:rPr>
          <w:rFonts w:eastAsia="Times New Roman" w:cs="Arial"/>
          <w:color w:val="000000"/>
          <w:lang w:eastAsia="bg-BG"/>
        </w:rPr>
        <w:t xml:space="preserve">и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19*3 </w:t>
      </w:r>
      <w:r w:rsidRPr="00C25888">
        <w:rPr>
          <w:rFonts w:eastAsia="Times New Roman" w:cs="Arial"/>
          <w:color w:val="000000"/>
          <w:lang w:eastAsia="bg-BG"/>
        </w:rPr>
        <w:t>алелите са отговорни за не</w:t>
      </w:r>
      <w:r w:rsidRPr="00C25888">
        <w:rPr>
          <w:rFonts w:eastAsia="Times New Roman" w:cs="Arial"/>
          <w:color w:val="000000"/>
          <w:lang w:eastAsia="bg-BG"/>
        </w:rPr>
        <w:softHyphen/>
        <w:t xml:space="preserve">голямата част от намалената функция при слабите метаболизатори от бялата (85%) и азиатската (99%) раса. Други алели, свързани с липсващ или намален метаболизъм, са по-малко чести и включват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19*4, </w:t>
      </w:r>
      <w:r w:rsidRPr="00C25888">
        <w:rPr>
          <w:rFonts w:eastAsia="Times New Roman" w:cs="Arial"/>
          <w:color w:val="000000"/>
          <w:lang w:eastAsia="bg-BG"/>
        </w:rPr>
        <w:t xml:space="preserve">*5,*6,*7и*8. Пациент със статус на слаб метаболизатор, ще притежава два алела, отговорни за загуба на функция, както е определено по-горе. Публикуваните честоти за слабите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 </w:t>
      </w:r>
      <w:r w:rsidRPr="00C25888">
        <w:rPr>
          <w:rFonts w:eastAsia="Times New Roman" w:cs="Arial"/>
          <w:color w:val="000000"/>
          <w:lang w:eastAsia="bg-BG"/>
        </w:rPr>
        <w:t>метаболизиращи генотипове са приблизително 2 % за бялата раса, 4 % за черната раса и 14 % за китайците. Съществуват тестове за определяне на С</w:t>
      </w:r>
      <w:r w:rsidRPr="00C25888">
        <w:rPr>
          <w:rFonts w:eastAsia="Times New Roman" w:cs="Arial"/>
          <w:color w:val="000000"/>
          <w:lang w:val="en-US"/>
        </w:rPr>
        <w:t>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eastAsia="bg-BG"/>
        </w:rPr>
        <w:t>19 генотипа на пациента.</w:t>
      </w:r>
    </w:p>
    <w:p w14:paraId="0BC8C288" w14:textId="77777777" w:rsidR="00C25888" w:rsidRPr="00C25888" w:rsidRDefault="00C25888" w:rsidP="00C25888">
      <w:pPr>
        <w:spacing w:line="240" w:lineRule="auto"/>
        <w:rPr>
          <w:rFonts w:eastAsia="Times New Roman" w:cs="Arial"/>
          <w:color w:val="000000"/>
          <w:lang w:eastAsia="bg-BG"/>
        </w:rPr>
      </w:pPr>
    </w:p>
    <w:p w14:paraId="5ED75515" w14:textId="77777777" w:rsidR="00C25888" w:rsidRPr="00C25888" w:rsidRDefault="00C25888" w:rsidP="00C25888">
      <w:pPr>
        <w:rPr>
          <w:rFonts w:eastAsia="Times New Roman" w:cs="Arial"/>
          <w:sz w:val="24"/>
          <w:szCs w:val="24"/>
        </w:rPr>
      </w:pPr>
      <w:r w:rsidRPr="00C25888">
        <w:rPr>
          <w:rFonts w:eastAsia="Times New Roman" w:cs="Arial"/>
          <w:color w:val="000000"/>
          <w:lang w:eastAsia="bg-BG"/>
        </w:rPr>
        <w:t xml:space="preserve">Кръстосано проучване при 40 здрави доброволци, по 10 във всяка от четирите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 </w:t>
      </w:r>
      <w:r w:rsidRPr="00C25888">
        <w:rPr>
          <w:rFonts w:eastAsia="Times New Roman" w:cs="Arial"/>
          <w:color w:val="000000"/>
          <w:lang w:eastAsia="bg-BG"/>
        </w:rPr>
        <w:t xml:space="preserve">метаболизиращи групи (крайно бързи, екстензивни, междинни и слаби метаболизатори) оценява фармакокинетиката и антитромбоцитните отговори при доза от 300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последвана от 75 </w:t>
      </w:r>
      <w:r w:rsidRPr="00C25888">
        <w:rPr>
          <w:rFonts w:eastAsia="Times New Roman" w:cs="Arial"/>
          <w:color w:val="000000"/>
          <w:lang w:val="en-US"/>
        </w:rPr>
        <w:t>mg</w:t>
      </w:r>
      <w:r w:rsidRPr="00C25888">
        <w:rPr>
          <w:rFonts w:eastAsia="Times New Roman" w:cs="Arial"/>
          <w:color w:val="000000"/>
          <w:lang w:eastAsia="bg-BG"/>
        </w:rPr>
        <w:t xml:space="preserve">/дневно и 600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последвана от 150 </w:t>
      </w:r>
      <w:r w:rsidRPr="00C25888">
        <w:rPr>
          <w:rFonts w:eastAsia="Times New Roman" w:cs="Arial"/>
          <w:color w:val="000000"/>
          <w:lang w:val="en-US"/>
        </w:rPr>
        <w:t>mg</w:t>
      </w:r>
      <w:r w:rsidRPr="00C25888">
        <w:rPr>
          <w:rFonts w:eastAsia="Times New Roman" w:cs="Arial"/>
          <w:color w:val="000000"/>
          <w:lang w:eastAsia="bg-BG"/>
        </w:rPr>
        <w:t xml:space="preserve">/дневно, всяка за общо 5 дни </w:t>
      </w:r>
      <w:r w:rsidRPr="00C25888">
        <w:rPr>
          <w:rFonts w:eastAsia="Times New Roman" w:cs="Arial"/>
          <w:color w:val="000000"/>
          <w:lang w:eastAsia="bg-BG"/>
        </w:rPr>
        <w:lastRenderedPageBreak/>
        <w:t>(стационарно състояние). Не са наблюдавани съществени разлики в експозицията на активния метаболит и средното инхибиране на тромбоцитната агрегация (1РА) между крайно бързите, екстензивните и междинните метаболизатори. При слабите метаболизатори експозицията на активния метаболит е намалена с 63-71 % в сравнение с екстензивните метаболизатори. След схема на</w:t>
      </w:r>
      <w:r w:rsidRPr="00C25888">
        <w:rPr>
          <w:rFonts w:eastAsia="Times New Roman" w:cs="Arial"/>
          <w:b/>
          <w:bCs/>
          <w:smallCaps/>
          <w:color w:val="000000"/>
          <w:sz w:val="17"/>
          <w:szCs w:val="17"/>
          <w:lang w:eastAsia="bg-BG"/>
        </w:rPr>
        <w:t xml:space="preserve"> </w:t>
      </w:r>
      <w:r w:rsidRPr="00C25888">
        <w:rPr>
          <w:rFonts w:eastAsia="Times New Roman" w:cs="Arial"/>
          <w:color w:val="000000"/>
          <w:lang w:eastAsia="bg-BG"/>
        </w:rPr>
        <w:t xml:space="preserve">дозиране 300 </w:t>
      </w:r>
      <w:r w:rsidRPr="00C25888">
        <w:rPr>
          <w:rFonts w:eastAsia="Times New Roman" w:cs="Arial"/>
          <w:color w:val="000000"/>
          <w:lang w:val="en-US"/>
        </w:rPr>
        <w:t>mg</w:t>
      </w:r>
      <w:r w:rsidRPr="00C25888">
        <w:rPr>
          <w:rFonts w:eastAsia="Times New Roman" w:cs="Arial"/>
          <w:color w:val="000000"/>
          <w:lang w:val="ru-RU"/>
        </w:rPr>
        <w:t xml:space="preserve">/75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антитромбоцитните отговори са понижени при слабите метаболизатори със средно </w:t>
      </w:r>
      <w:r w:rsidRPr="00C25888">
        <w:rPr>
          <w:rFonts w:eastAsia="Times New Roman" w:cs="Arial"/>
          <w:color w:val="000000"/>
          <w:lang w:val="en-US"/>
        </w:rPr>
        <w:t>IPA</w:t>
      </w:r>
      <w:r w:rsidRPr="00C25888">
        <w:rPr>
          <w:rFonts w:eastAsia="Times New Roman" w:cs="Arial"/>
          <w:color w:val="000000"/>
          <w:lang w:val="ru-RU"/>
        </w:rPr>
        <w:t xml:space="preserve"> </w:t>
      </w:r>
      <w:r w:rsidRPr="00C25888">
        <w:rPr>
          <w:rFonts w:eastAsia="Times New Roman" w:cs="Arial"/>
          <w:color w:val="000000"/>
          <w:lang w:eastAsia="bg-BG"/>
        </w:rPr>
        <w:t xml:space="preserve">(5 р.М </w:t>
      </w:r>
      <w:r w:rsidRPr="00C25888">
        <w:rPr>
          <w:rFonts w:eastAsia="Times New Roman" w:cs="Arial"/>
          <w:color w:val="000000"/>
          <w:lang w:val="en-US"/>
        </w:rPr>
        <w:t>ADP</w:t>
      </w:r>
      <w:r w:rsidRPr="00C25888">
        <w:rPr>
          <w:rFonts w:eastAsia="Times New Roman" w:cs="Arial"/>
          <w:color w:val="000000"/>
          <w:lang w:val="ru-RU"/>
        </w:rPr>
        <w:t xml:space="preserve">) </w:t>
      </w:r>
      <w:r w:rsidRPr="00C25888">
        <w:rPr>
          <w:rFonts w:eastAsia="Times New Roman" w:cs="Arial"/>
          <w:color w:val="000000"/>
          <w:lang w:eastAsia="bg-BG"/>
        </w:rPr>
        <w:t xml:space="preserve">от 24 % (24 час) и 37 % (ден 5) в сравнение </w:t>
      </w:r>
      <w:r w:rsidRPr="00C25888">
        <w:rPr>
          <w:rFonts w:eastAsia="Times New Roman" w:cs="Arial"/>
          <w:color w:val="000000"/>
          <w:lang w:val="en-US"/>
        </w:rPr>
        <w:t>c</w:t>
      </w:r>
      <w:r w:rsidRPr="00C25888">
        <w:rPr>
          <w:rFonts w:eastAsia="Times New Roman" w:cs="Arial"/>
          <w:color w:val="000000"/>
          <w:lang w:val="ru-RU"/>
        </w:rPr>
        <w:t xml:space="preserve"> </w:t>
      </w:r>
      <w:r w:rsidRPr="00C25888">
        <w:rPr>
          <w:rFonts w:eastAsia="Times New Roman" w:cs="Arial"/>
          <w:color w:val="000000"/>
          <w:lang w:val="en-US"/>
        </w:rPr>
        <w:t>IPA</w:t>
      </w:r>
      <w:r w:rsidRPr="00C25888">
        <w:rPr>
          <w:rFonts w:eastAsia="Times New Roman" w:cs="Arial"/>
          <w:color w:val="000000"/>
          <w:lang w:val="ru-RU"/>
        </w:rPr>
        <w:t xml:space="preserve"> </w:t>
      </w:r>
      <w:r w:rsidRPr="00C25888">
        <w:rPr>
          <w:rFonts w:eastAsia="Times New Roman" w:cs="Arial"/>
          <w:color w:val="000000"/>
          <w:lang w:eastAsia="bg-BG"/>
        </w:rPr>
        <w:t>от 39% (24 часа) и</w:t>
      </w:r>
      <w:r w:rsidRPr="00C25888">
        <w:rPr>
          <w:rFonts w:eastAsia="Times New Roman" w:cs="Arial"/>
          <w:color w:val="000000"/>
          <w:sz w:val="20"/>
          <w:szCs w:val="20"/>
          <w:lang w:eastAsia="bg-BG"/>
        </w:rPr>
        <w:t xml:space="preserve"> </w:t>
      </w:r>
      <w:r w:rsidRPr="00C25888">
        <w:rPr>
          <w:rFonts w:eastAsia="Times New Roman" w:cs="Arial"/>
          <w:color w:val="000000"/>
          <w:lang w:eastAsia="bg-BG"/>
        </w:rPr>
        <w:t xml:space="preserve">58 % (ден 5) при екстензивните метаболизатори и 37 % (24 час) и 60 % (ден 5) при междинните метаболизатори. Когато слабите метаболизатори приемат по схема 600 </w:t>
      </w:r>
      <w:r w:rsidRPr="00C25888">
        <w:rPr>
          <w:rFonts w:eastAsia="Times New Roman" w:cs="Arial"/>
          <w:color w:val="000000"/>
          <w:lang w:val="en-US"/>
        </w:rPr>
        <w:t>mg</w:t>
      </w:r>
      <w:r w:rsidRPr="00C25888">
        <w:rPr>
          <w:rFonts w:eastAsia="Times New Roman" w:cs="Arial"/>
          <w:color w:val="000000"/>
          <w:lang w:val="ru-RU"/>
        </w:rPr>
        <w:t>/1</w:t>
      </w:r>
      <w:r w:rsidRPr="00C25888">
        <w:rPr>
          <w:rFonts w:eastAsia="Times New Roman" w:cs="Arial"/>
          <w:color w:val="000000"/>
          <w:lang w:eastAsia="bg-BG"/>
        </w:rPr>
        <w:t xml:space="preserve">50 </w:t>
      </w:r>
      <w:r w:rsidRPr="00C25888">
        <w:rPr>
          <w:rFonts w:eastAsia="Times New Roman" w:cs="Arial"/>
          <w:color w:val="000000"/>
          <w:lang w:val="en-US"/>
        </w:rPr>
        <w:t>mg</w:t>
      </w:r>
      <w:r w:rsidRPr="00C25888">
        <w:rPr>
          <w:rFonts w:eastAsia="Times New Roman" w:cs="Arial"/>
          <w:color w:val="000000"/>
          <w:lang w:eastAsia="bg-BG"/>
        </w:rPr>
        <w:t xml:space="preserve"> експозицията на активния метаболит е по-голяма отколкото при схемата 300 </w:t>
      </w:r>
      <w:r w:rsidRPr="00C25888">
        <w:rPr>
          <w:rFonts w:eastAsia="Times New Roman" w:cs="Arial"/>
          <w:color w:val="000000"/>
          <w:lang w:val="en-US"/>
        </w:rPr>
        <w:t>mg</w:t>
      </w:r>
      <w:r w:rsidRPr="00C25888">
        <w:rPr>
          <w:rFonts w:eastAsia="Times New Roman" w:cs="Arial"/>
          <w:color w:val="000000"/>
          <w:lang w:val="ru-RU"/>
        </w:rPr>
        <w:t xml:space="preserve">/75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В</w:t>
      </w:r>
      <w:r w:rsidRPr="00C25888">
        <w:rPr>
          <w:rFonts w:eastAsia="Times New Roman" w:cs="Arial"/>
          <w:color w:val="000000"/>
          <w:lang w:val="ru-RU" w:eastAsia="bg-BG"/>
        </w:rPr>
        <w:t xml:space="preserve"> </w:t>
      </w:r>
      <w:r w:rsidRPr="00C25888">
        <w:rPr>
          <w:rFonts w:eastAsia="Times New Roman" w:cs="Arial"/>
          <w:color w:val="000000"/>
          <w:lang w:eastAsia="bg-BG"/>
        </w:rPr>
        <w:t xml:space="preserve">допълнение, </w:t>
      </w:r>
      <w:r w:rsidRPr="00C25888">
        <w:rPr>
          <w:rFonts w:eastAsia="Times New Roman" w:cs="Arial"/>
          <w:color w:val="000000"/>
          <w:lang w:val="en-US"/>
        </w:rPr>
        <w:t>IPA</w:t>
      </w:r>
      <w:r w:rsidRPr="00C25888">
        <w:rPr>
          <w:rFonts w:eastAsia="Times New Roman" w:cs="Arial"/>
          <w:color w:val="000000"/>
          <w:lang w:val="ru-RU"/>
        </w:rPr>
        <w:t xml:space="preserve"> </w:t>
      </w:r>
      <w:r w:rsidRPr="00C25888">
        <w:rPr>
          <w:rFonts w:eastAsia="Times New Roman" w:cs="Arial"/>
          <w:color w:val="000000"/>
          <w:lang w:eastAsia="bg-BG"/>
        </w:rPr>
        <w:t xml:space="preserve">е 32 % (24 час) и 61 % (ден 5), стойности, по-големи отколкото при слабите метаболизатори, получаващи по схема 300 </w:t>
      </w:r>
      <w:r w:rsidRPr="00C25888">
        <w:rPr>
          <w:rFonts w:eastAsia="Times New Roman" w:cs="Arial"/>
          <w:color w:val="000000"/>
          <w:lang w:val="en-US"/>
        </w:rPr>
        <w:t>mg</w:t>
      </w:r>
      <w:r w:rsidRPr="00C25888">
        <w:rPr>
          <w:rFonts w:eastAsia="Times New Roman" w:cs="Arial"/>
          <w:color w:val="000000"/>
          <w:lang w:val="ru-RU"/>
        </w:rPr>
        <w:t xml:space="preserve">/75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и сходни на тези при другите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 </w:t>
      </w:r>
      <w:r w:rsidRPr="00C25888">
        <w:rPr>
          <w:rFonts w:eastAsia="Times New Roman" w:cs="Arial"/>
          <w:color w:val="000000"/>
          <w:lang w:eastAsia="bg-BG"/>
        </w:rPr>
        <w:t xml:space="preserve">метаболизиращи групи, получаващи по схема 300 </w:t>
      </w:r>
      <w:r w:rsidRPr="00C25888">
        <w:rPr>
          <w:rFonts w:eastAsia="Times New Roman" w:cs="Arial"/>
          <w:color w:val="000000"/>
          <w:lang w:val="en-US"/>
        </w:rPr>
        <w:t>mg</w:t>
      </w:r>
      <w:r w:rsidRPr="00C25888">
        <w:rPr>
          <w:rFonts w:eastAsia="Times New Roman" w:cs="Arial"/>
          <w:color w:val="000000"/>
          <w:lang w:val="ru-RU"/>
        </w:rPr>
        <w:t xml:space="preserve">/75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Подходяща схема на дозиране при тази популация пациенти все още не е определена в изпитвания за клинични резултати.</w:t>
      </w:r>
    </w:p>
    <w:p w14:paraId="22D79D63" w14:textId="77777777" w:rsidR="00C25888" w:rsidRPr="00C25888" w:rsidRDefault="00C25888" w:rsidP="00C25888">
      <w:pPr>
        <w:spacing w:line="240" w:lineRule="auto"/>
        <w:rPr>
          <w:rFonts w:eastAsia="Times New Roman" w:cs="Arial"/>
          <w:color w:val="000000"/>
          <w:lang w:eastAsia="bg-BG"/>
        </w:rPr>
      </w:pPr>
    </w:p>
    <w:p w14:paraId="05E7E2DF" w14:textId="1119B8EA"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В съответствие с горните резултати, при мета-анализ, включващ 6 проучвания на 335 пациенти, лекувани с клопидогрел в стационарно състояние, е показано, че експозицията на активния метаболит е понижена с </w:t>
      </w:r>
      <w:r w:rsidRPr="00C25888">
        <w:rPr>
          <w:rFonts w:eastAsia="Times New Roman" w:cs="Arial"/>
          <w:i/>
          <w:iCs/>
          <w:color w:val="000000"/>
          <w:lang w:eastAsia="bg-BG"/>
        </w:rPr>
        <w:t>28</w:t>
      </w:r>
      <w:r w:rsidRPr="00C25888">
        <w:rPr>
          <w:rFonts w:eastAsia="Times New Roman" w:cs="Arial"/>
          <w:color w:val="000000"/>
          <w:lang w:eastAsia="bg-BG"/>
        </w:rPr>
        <w:t xml:space="preserve"> % за междинните метаболизатори и 72 % за слабите метаболизатори, докато инхибирането на тромбоцитната агрегация (5 μМ </w:t>
      </w:r>
      <w:r w:rsidRPr="00C25888">
        <w:rPr>
          <w:rFonts w:eastAsia="Times New Roman" w:cs="Arial"/>
          <w:color w:val="000000"/>
          <w:lang w:val="en-US"/>
        </w:rPr>
        <w:t>ADP</w:t>
      </w:r>
      <w:r w:rsidRPr="00C25888">
        <w:rPr>
          <w:rFonts w:eastAsia="Times New Roman" w:cs="Arial"/>
          <w:color w:val="000000"/>
          <w:lang w:val="ru-RU"/>
        </w:rPr>
        <w:t xml:space="preserve">) </w:t>
      </w:r>
      <w:r w:rsidRPr="00C25888">
        <w:rPr>
          <w:rFonts w:eastAsia="Times New Roman" w:cs="Arial"/>
          <w:color w:val="000000"/>
          <w:lang w:eastAsia="bg-BG"/>
        </w:rPr>
        <w:t xml:space="preserve">е понижено с разлики в </w:t>
      </w:r>
      <w:r w:rsidRPr="00C25888">
        <w:rPr>
          <w:rFonts w:eastAsia="Times New Roman" w:cs="Arial"/>
          <w:color w:val="000000"/>
          <w:lang w:val="en-US"/>
        </w:rPr>
        <w:t>IP</w:t>
      </w:r>
      <w:r w:rsidRPr="00C25888">
        <w:rPr>
          <w:rFonts w:eastAsia="Times New Roman" w:cs="Arial"/>
          <w:color w:val="000000"/>
          <w:lang w:eastAsia="bg-BG"/>
        </w:rPr>
        <w:t>А от 5,9 % и 21,4 % съответно, в сравнение с екстензивните метаболизатори.</w:t>
      </w:r>
    </w:p>
    <w:p w14:paraId="3776ECEC" w14:textId="77777777" w:rsidR="00C25888" w:rsidRPr="00C25888" w:rsidRDefault="00C25888" w:rsidP="00C25888">
      <w:pPr>
        <w:spacing w:line="240" w:lineRule="auto"/>
        <w:rPr>
          <w:rFonts w:eastAsia="Times New Roman" w:cs="Arial"/>
          <w:color w:val="000000"/>
          <w:lang w:eastAsia="bg-BG"/>
        </w:rPr>
      </w:pPr>
    </w:p>
    <w:p w14:paraId="2BF72921" w14:textId="44BD912B"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Влиянието на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eastAsia="bg-BG"/>
        </w:rPr>
        <w:t xml:space="preserve">19 генотипа върху клиничния изход при пациенти, лекувани с клопидогрел, не е оценявано в проспективни, рандомизирани, контролирани изпитвания. Съществуват обаче редица ретроспективни анализи за оценка на този ефект при пациенти, лекувани с клопидогрел, за които има резултати за генотипа: </w:t>
      </w:r>
      <w:r w:rsidRPr="00C25888">
        <w:rPr>
          <w:rFonts w:eastAsia="Times New Roman" w:cs="Arial"/>
          <w:color w:val="000000"/>
          <w:lang w:val="en-US"/>
        </w:rPr>
        <w:t>CURE</w:t>
      </w:r>
      <w:r w:rsidRPr="00C25888">
        <w:rPr>
          <w:rFonts w:eastAsia="Times New Roman" w:cs="Arial"/>
          <w:color w:val="000000"/>
        </w:rPr>
        <w:t xml:space="preserve"> </w:t>
      </w:r>
      <w:r w:rsidRPr="00C25888">
        <w:rPr>
          <w:rFonts w:eastAsia="Times New Roman" w:cs="Arial"/>
          <w:color w:val="000000"/>
          <w:lang w:eastAsia="bg-BG"/>
        </w:rPr>
        <w:t>(</w:t>
      </w:r>
      <w:r w:rsidRPr="00C25888">
        <w:rPr>
          <w:rFonts w:eastAsia="Times New Roman" w:cs="Arial"/>
          <w:color w:val="000000"/>
          <w:lang w:val="en-US"/>
        </w:rPr>
        <w:t>n</w:t>
      </w:r>
      <w:r w:rsidRPr="00C25888">
        <w:rPr>
          <w:rFonts w:eastAsia="Times New Roman" w:cs="Arial"/>
          <w:color w:val="000000"/>
          <w:lang w:eastAsia="bg-BG"/>
        </w:rPr>
        <w:t>=2 72</w:t>
      </w:r>
      <w:r w:rsidRPr="00C25888">
        <w:rPr>
          <w:rFonts w:eastAsia="Times New Roman" w:cs="Arial"/>
          <w:color w:val="000000"/>
        </w:rPr>
        <w:t>1</w:t>
      </w:r>
      <w:r w:rsidRPr="00C25888">
        <w:rPr>
          <w:rFonts w:eastAsia="Times New Roman" w:cs="Arial"/>
          <w:color w:val="000000"/>
          <w:lang w:eastAsia="bg-BG"/>
        </w:rPr>
        <w:t xml:space="preserve">), </w:t>
      </w:r>
      <w:r w:rsidRPr="00C25888">
        <w:rPr>
          <w:rFonts w:eastAsia="Times New Roman" w:cs="Arial"/>
          <w:color w:val="000000"/>
          <w:lang w:val="en-US"/>
        </w:rPr>
        <w:t>CHARISMA</w:t>
      </w:r>
      <w:r w:rsidRPr="00C25888">
        <w:rPr>
          <w:rFonts w:eastAsia="Times New Roman" w:cs="Arial"/>
          <w:color w:val="000000"/>
        </w:rPr>
        <w:t xml:space="preserve"> </w:t>
      </w:r>
      <w:r w:rsidRPr="00C25888">
        <w:rPr>
          <w:rFonts w:eastAsia="Times New Roman" w:cs="Arial"/>
          <w:color w:val="000000"/>
          <w:lang w:eastAsia="bg-BG"/>
        </w:rPr>
        <w:t>(</w:t>
      </w:r>
      <w:r w:rsidRPr="00C25888">
        <w:rPr>
          <w:rFonts w:eastAsia="Times New Roman" w:cs="Arial"/>
          <w:color w:val="000000"/>
          <w:lang w:val="en-US"/>
        </w:rPr>
        <w:t>n</w:t>
      </w:r>
      <w:r w:rsidRPr="00C25888">
        <w:rPr>
          <w:rFonts w:eastAsia="Times New Roman" w:cs="Arial"/>
          <w:color w:val="000000"/>
          <w:lang w:eastAsia="bg-BG"/>
        </w:rPr>
        <w:t xml:space="preserve">=2 428), </w:t>
      </w:r>
      <w:r w:rsidRPr="00C25888">
        <w:rPr>
          <w:rFonts w:eastAsia="Times New Roman" w:cs="Arial"/>
          <w:color w:val="000000"/>
          <w:lang w:val="en-US"/>
        </w:rPr>
        <w:t>CLARITY</w:t>
      </w:r>
      <w:r w:rsidRPr="00C25888">
        <w:rPr>
          <w:rFonts w:eastAsia="Times New Roman" w:cs="Arial"/>
          <w:color w:val="000000"/>
        </w:rPr>
        <w:t>-</w:t>
      </w:r>
      <w:r w:rsidRPr="00C25888">
        <w:rPr>
          <w:rFonts w:eastAsia="Times New Roman" w:cs="Arial"/>
          <w:color w:val="000000"/>
          <w:lang w:val="en-US"/>
        </w:rPr>
        <w:t>TIMI</w:t>
      </w:r>
      <w:r w:rsidRPr="00C25888">
        <w:rPr>
          <w:rFonts w:eastAsia="Times New Roman" w:cs="Arial"/>
          <w:color w:val="000000"/>
        </w:rPr>
        <w:t xml:space="preserve"> </w:t>
      </w:r>
      <w:r w:rsidRPr="00C25888">
        <w:rPr>
          <w:rFonts w:eastAsia="Times New Roman" w:cs="Arial"/>
          <w:color w:val="000000"/>
          <w:lang w:eastAsia="bg-BG"/>
        </w:rPr>
        <w:t>28 (</w:t>
      </w:r>
      <w:r w:rsidRPr="00C25888">
        <w:rPr>
          <w:rFonts w:eastAsia="Times New Roman" w:cs="Arial"/>
          <w:color w:val="000000"/>
          <w:lang w:val="en-US"/>
        </w:rPr>
        <w:t>n</w:t>
      </w:r>
      <w:r w:rsidRPr="00C25888">
        <w:rPr>
          <w:rFonts w:eastAsia="Times New Roman" w:cs="Arial"/>
          <w:color w:val="000000"/>
        </w:rPr>
        <w:t>=</w:t>
      </w:r>
      <w:r w:rsidRPr="00C25888">
        <w:rPr>
          <w:rFonts w:eastAsia="Times New Roman" w:cs="Arial"/>
          <w:color w:val="000000"/>
          <w:lang w:eastAsia="bg-BG"/>
        </w:rPr>
        <w:t xml:space="preserve">227), </w:t>
      </w:r>
      <w:r w:rsidRPr="00C25888">
        <w:rPr>
          <w:rFonts w:eastAsia="Times New Roman" w:cs="Arial"/>
          <w:color w:val="000000"/>
          <w:lang w:val="en-US"/>
        </w:rPr>
        <w:t>TRITON</w:t>
      </w:r>
      <w:r w:rsidRPr="00C25888">
        <w:rPr>
          <w:rFonts w:eastAsia="Times New Roman" w:cs="Arial"/>
          <w:color w:val="000000"/>
        </w:rPr>
        <w:t>-</w:t>
      </w:r>
      <w:r w:rsidRPr="00C25888">
        <w:rPr>
          <w:rFonts w:eastAsia="Times New Roman" w:cs="Arial"/>
          <w:color w:val="000000"/>
          <w:lang w:val="en-US"/>
        </w:rPr>
        <w:t>TIMI</w:t>
      </w:r>
      <w:r w:rsidRPr="00C25888">
        <w:rPr>
          <w:rFonts w:eastAsia="Times New Roman" w:cs="Arial"/>
          <w:color w:val="000000"/>
        </w:rPr>
        <w:t xml:space="preserve"> </w:t>
      </w:r>
      <w:r w:rsidRPr="00C25888">
        <w:rPr>
          <w:rFonts w:eastAsia="Times New Roman" w:cs="Arial"/>
          <w:color w:val="000000"/>
          <w:lang w:eastAsia="bg-BG"/>
        </w:rPr>
        <w:t>38 (</w:t>
      </w:r>
      <w:r w:rsidRPr="00C25888">
        <w:rPr>
          <w:rFonts w:eastAsia="Times New Roman" w:cs="Arial"/>
          <w:color w:val="000000"/>
          <w:lang w:val="en-US"/>
        </w:rPr>
        <w:t>n</w:t>
      </w:r>
      <w:r w:rsidRPr="00C25888">
        <w:rPr>
          <w:rFonts w:eastAsia="Times New Roman" w:cs="Arial"/>
          <w:color w:val="000000"/>
          <w:lang w:eastAsia="bg-BG"/>
        </w:rPr>
        <w:t xml:space="preserve">=1 477), и </w:t>
      </w:r>
      <w:r w:rsidRPr="00C25888">
        <w:rPr>
          <w:rFonts w:eastAsia="Times New Roman" w:cs="Arial"/>
          <w:color w:val="000000"/>
          <w:lang w:val="en-US"/>
        </w:rPr>
        <w:t>ACTIVE</w:t>
      </w:r>
      <w:r w:rsidRPr="00C25888">
        <w:rPr>
          <w:rFonts w:eastAsia="Times New Roman" w:cs="Arial"/>
          <w:color w:val="000000"/>
        </w:rPr>
        <w:t>-</w:t>
      </w:r>
      <w:r w:rsidRPr="00C25888">
        <w:rPr>
          <w:rFonts w:eastAsia="Times New Roman" w:cs="Arial"/>
          <w:color w:val="000000"/>
          <w:lang w:val="en-US"/>
        </w:rPr>
        <w:t>A</w:t>
      </w:r>
      <w:r w:rsidRPr="00C25888">
        <w:rPr>
          <w:rFonts w:eastAsia="Times New Roman" w:cs="Arial"/>
          <w:color w:val="000000"/>
        </w:rPr>
        <w:t xml:space="preserve"> </w:t>
      </w:r>
      <w:r w:rsidRPr="00C25888">
        <w:rPr>
          <w:rFonts w:eastAsia="Times New Roman" w:cs="Arial"/>
          <w:color w:val="000000"/>
          <w:lang w:eastAsia="bg-BG"/>
        </w:rPr>
        <w:t>(</w:t>
      </w:r>
      <w:r w:rsidRPr="00C25888">
        <w:rPr>
          <w:rFonts w:eastAsia="Times New Roman" w:cs="Arial"/>
          <w:color w:val="000000"/>
          <w:lang w:val="en-US"/>
        </w:rPr>
        <w:t>n</w:t>
      </w:r>
      <w:r w:rsidRPr="00C25888">
        <w:rPr>
          <w:rFonts w:eastAsia="Times New Roman" w:cs="Arial"/>
          <w:color w:val="000000"/>
          <w:lang w:eastAsia="bg-BG"/>
        </w:rPr>
        <w:t>=601), както и известен брой публикувани кохортни проучвания.</w:t>
      </w:r>
    </w:p>
    <w:p w14:paraId="0F5B0C5D" w14:textId="77777777" w:rsidR="00C25888" w:rsidRPr="00C25888" w:rsidRDefault="00C25888" w:rsidP="00C25888">
      <w:pPr>
        <w:spacing w:line="240" w:lineRule="auto"/>
        <w:rPr>
          <w:rFonts w:eastAsia="Times New Roman" w:cs="Arial"/>
          <w:color w:val="000000"/>
          <w:lang w:eastAsia="bg-BG"/>
        </w:rPr>
      </w:pPr>
    </w:p>
    <w:p w14:paraId="43F19F98" w14:textId="686BEC74"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В </w:t>
      </w:r>
      <w:r w:rsidRPr="00C25888">
        <w:rPr>
          <w:rFonts w:eastAsia="Times New Roman" w:cs="Arial"/>
          <w:color w:val="000000"/>
          <w:lang w:val="en-US"/>
        </w:rPr>
        <w:t>TRITON</w:t>
      </w:r>
      <w:r w:rsidRPr="00C25888">
        <w:rPr>
          <w:rFonts w:eastAsia="Times New Roman" w:cs="Arial"/>
          <w:color w:val="000000"/>
          <w:lang w:val="ru-RU"/>
        </w:rPr>
        <w:t>-</w:t>
      </w:r>
      <w:r w:rsidRPr="00C25888">
        <w:rPr>
          <w:rFonts w:eastAsia="Times New Roman" w:cs="Arial"/>
          <w:color w:val="000000"/>
          <w:lang w:val="en-US"/>
        </w:rPr>
        <w:t>TIMI</w:t>
      </w:r>
      <w:r w:rsidRPr="00C25888">
        <w:rPr>
          <w:rFonts w:eastAsia="Times New Roman" w:cs="Arial"/>
          <w:color w:val="000000"/>
          <w:lang w:val="ru-RU"/>
        </w:rPr>
        <w:t xml:space="preserve"> </w:t>
      </w:r>
      <w:r w:rsidRPr="00C25888">
        <w:rPr>
          <w:rFonts w:eastAsia="Times New Roman" w:cs="Arial"/>
          <w:color w:val="000000"/>
          <w:lang w:eastAsia="bg-BG"/>
        </w:rPr>
        <w:t xml:space="preserve">38 и 3 от кохортните проучвания </w:t>
      </w:r>
      <w:r w:rsidRPr="00C25888">
        <w:rPr>
          <w:rFonts w:eastAsia="Times New Roman" w:cs="Arial"/>
          <w:color w:val="000000"/>
          <w:lang w:val="ru-RU"/>
        </w:rPr>
        <w:t>(</w:t>
      </w:r>
      <w:r w:rsidRPr="00C25888">
        <w:rPr>
          <w:rFonts w:eastAsia="Times New Roman" w:cs="Arial"/>
          <w:color w:val="000000"/>
          <w:lang w:val="en-US"/>
        </w:rPr>
        <w:t>Collet</w:t>
      </w:r>
      <w:r w:rsidRPr="00C25888">
        <w:rPr>
          <w:rFonts w:eastAsia="Times New Roman" w:cs="Arial"/>
          <w:color w:val="000000"/>
          <w:lang w:val="ru-RU"/>
        </w:rPr>
        <w:t xml:space="preserve">, </w:t>
      </w:r>
      <w:r w:rsidRPr="00C25888">
        <w:rPr>
          <w:rFonts w:eastAsia="Times New Roman" w:cs="Arial"/>
          <w:color w:val="000000"/>
          <w:lang w:val="en-US"/>
        </w:rPr>
        <w:t>Sibbing</w:t>
      </w:r>
      <w:r w:rsidRPr="00C25888">
        <w:rPr>
          <w:rFonts w:eastAsia="Times New Roman" w:cs="Arial"/>
          <w:color w:val="000000"/>
          <w:lang w:val="ru-RU"/>
        </w:rPr>
        <w:t xml:space="preserve">, </w:t>
      </w:r>
      <w:r w:rsidRPr="00C25888">
        <w:rPr>
          <w:rFonts w:eastAsia="Times New Roman" w:cs="Arial"/>
          <w:color w:val="000000"/>
          <w:lang w:val="en-US"/>
        </w:rPr>
        <w:t>Giusti</w:t>
      </w:r>
      <w:r w:rsidRPr="00C25888">
        <w:rPr>
          <w:rFonts w:eastAsia="Times New Roman" w:cs="Arial"/>
          <w:color w:val="000000"/>
          <w:lang w:val="ru-RU"/>
        </w:rPr>
        <w:t xml:space="preserve">) </w:t>
      </w:r>
      <w:r w:rsidRPr="00C25888">
        <w:rPr>
          <w:rFonts w:eastAsia="Times New Roman" w:cs="Arial"/>
          <w:color w:val="000000"/>
          <w:lang w:eastAsia="bg-BG"/>
        </w:rPr>
        <w:t>комбинираната група пациенти с междинен или слаб метаболизиращ статус са имали по-висока честота на сърдечно</w:t>
      </w:r>
      <w:r w:rsidRPr="00C25888">
        <w:rPr>
          <w:rFonts w:eastAsia="Times New Roman" w:cs="Arial"/>
          <w:color w:val="000000"/>
          <w:lang w:eastAsia="bg-BG"/>
        </w:rPr>
        <w:softHyphen/>
        <w:t>съдови инциденти (смърт, миокарден инфаркт и инсулт) или тромбоза на стента, в сравнение с екстензивните метаболизатори.</w:t>
      </w:r>
    </w:p>
    <w:p w14:paraId="236B1236" w14:textId="77777777" w:rsidR="00C25888" w:rsidRPr="00C25888" w:rsidRDefault="00C25888" w:rsidP="00C25888">
      <w:pPr>
        <w:spacing w:line="240" w:lineRule="auto"/>
        <w:rPr>
          <w:rFonts w:eastAsia="Times New Roman" w:cs="Arial"/>
          <w:color w:val="000000"/>
          <w:lang w:eastAsia="bg-BG"/>
        </w:rPr>
      </w:pPr>
    </w:p>
    <w:p w14:paraId="2784646F" w14:textId="32F606AE"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В </w:t>
      </w:r>
      <w:r w:rsidRPr="00C25888">
        <w:rPr>
          <w:rFonts w:eastAsia="Times New Roman" w:cs="Arial"/>
          <w:color w:val="000000"/>
          <w:lang w:val="en-US"/>
        </w:rPr>
        <w:t>CHARISMA</w:t>
      </w:r>
      <w:r w:rsidRPr="00C25888">
        <w:rPr>
          <w:rFonts w:eastAsia="Times New Roman" w:cs="Arial"/>
          <w:color w:val="000000"/>
          <w:lang w:val="ru-RU"/>
        </w:rPr>
        <w:t xml:space="preserve"> </w:t>
      </w:r>
      <w:r w:rsidRPr="00C25888">
        <w:rPr>
          <w:rFonts w:eastAsia="Times New Roman" w:cs="Arial"/>
          <w:color w:val="000000"/>
          <w:lang w:eastAsia="bg-BG"/>
        </w:rPr>
        <w:t xml:space="preserve">и едно кохортно проучване </w:t>
      </w:r>
      <w:r w:rsidRPr="00C25888">
        <w:rPr>
          <w:rFonts w:eastAsia="Times New Roman" w:cs="Arial"/>
          <w:color w:val="000000"/>
          <w:lang w:val="ru-RU"/>
        </w:rPr>
        <w:t>(</w:t>
      </w:r>
      <w:r w:rsidRPr="00C25888">
        <w:rPr>
          <w:rFonts w:eastAsia="Times New Roman" w:cs="Arial"/>
          <w:color w:val="000000"/>
          <w:lang w:val="en-US"/>
        </w:rPr>
        <w:t>Simon</w:t>
      </w:r>
      <w:r w:rsidRPr="00C25888">
        <w:rPr>
          <w:rFonts w:eastAsia="Times New Roman" w:cs="Arial"/>
          <w:color w:val="000000"/>
          <w:lang w:val="ru-RU"/>
        </w:rPr>
        <w:t xml:space="preserve">) </w:t>
      </w:r>
      <w:r w:rsidRPr="00C25888">
        <w:rPr>
          <w:rFonts w:eastAsia="Times New Roman" w:cs="Arial"/>
          <w:color w:val="000000"/>
          <w:lang w:eastAsia="bg-BG"/>
        </w:rPr>
        <w:t>повишена честота на инциденти е наблюдавана само при слаби метаболизатори в сравнение с екстензивните метаболизатори,</w:t>
      </w:r>
    </w:p>
    <w:p w14:paraId="532393FB" w14:textId="77777777" w:rsidR="00C25888" w:rsidRPr="00C25888" w:rsidRDefault="00C25888" w:rsidP="00C25888">
      <w:pPr>
        <w:spacing w:line="240" w:lineRule="auto"/>
        <w:rPr>
          <w:rFonts w:eastAsia="Times New Roman" w:cs="Arial"/>
          <w:color w:val="000000"/>
          <w:lang w:eastAsia="bg-BG"/>
        </w:rPr>
      </w:pPr>
    </w:p>
    <w:p w14:paraId="1D0DC47A" w14:textId="5DA662A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В </w:t>
      </w:r>
      <w:r w:rsidRPr="00C25888">
        <w:rPr>
          <w:rFonts w:eastAsia="Times New Roman" w:cs="Arial"/>
          <w:color w:val="000000"/>
          <w:lang w:val="en-US"/>
        </w:rPr>
        <w:t>CURE</w:t>
      </w:r>
      <w:r w:rsidRPr="00C25888">
        <w:rPr>
          <w:rFonts w:eastAsia="Times New Roman" w:cs="Arial"/>
          <w:color w:val="000000"/>
          <w:lang w:val="ru-RU"/>
        </w:rPr>
        <w:t xml:space="preserve">, </w:t>
      </w:r>
      <w:r w:rsidRPr="00C25888">
        <w:rPr>
          <w:rFonts w:eastAsia="Times New Roman" w:cs="Arial"/>
          <w:color w:val="000000"/>
          <w:lang w:val="en-US"/>
        </w:rPr>
        <w:t>CLARITY</w:t>
      </w:r>
      <w:r w:rsidRPr="00C25888">
        <w:rPr>
          <w:rFonts w:eastAsia="Times New Roman" w:cs="Arial"/>
          <w:color w:val="000000"/>
          <w:lang w:val="ru-RU"/>
        </w:rPr>
        <w:t xml:space="preserve">, </w:t>
      </w:r>
      <w:r w:rsidRPr="00C25888">
        <w:rPr>
          <w:rFonts w:eastAsia="Times New Roman" w:cs="Arial"/>
          <w:color w:val="000000"/>
          <w:lang w:val="en-US"/>
        </w:rPr>
        <w:t>ACTIVE</w:t>
      </w:r>
      <w:r w:rsidRPr="00C25888">
        <w:rPr>
          <w:rFonts w:eastAsia="Times New Roman" w:cs="Arial"/>
          <w:color w:val="000000"/>
          <w:lang w:val="ru-RU"/>
        </w:rPr>
        <w:t>-</w:t>
      </w:r>
      <w:r w:rsidRPr="00C25888">
        <w:rPr>
          <w:rFonts w:eastAsia="Times New Roman" w:cs="Arial"/>
          <w:color w:val="000000"/>
          <w:lang w:val="en-US"/>
        </w:rPr>
        <w:t>A</w:t>
      </w:r>
      <w:r w:rsidRPr="00C25888">
        <w:rPr>
          <w:rFonts w:eastAsia="Times New Roman" w:cs="Arial"/>
          <w:color w:val="000000"/>
          <w:lang w:val="ru-RU"/>
        </w:rPr>
        <w:t xml:space="preserve"> </w:t>
      </w:r>
      <w:r w:rsidRPr="00C25888">
        <w:rPr>
          <w:rFonts w:eastAsia="Times New Roman" w:cs="Arial"/>
          <w:color w:val="000000"/>
          <w:lang w:eastAsia="bg-BG"/>
        </w:rPr>
        <w:t xml:space="preserve">и едно от кохортните проучвания </w:t>
      </w:r>
      <w:r w:rsidRPr="00C25888">
        <w:rPr>
          <w:rFonts w:eastAsia="Times New Roman" w:cs="Arial"/>
          <w:color w:val="000000"/>
          <w:lang w:val="ru-RU"/>
        </w:rPr>
        <w:t>(</w:t>
      </w:r>
      <w:r w:rsidRPr="00C25888">
        <w:rPr>
          <w:rFonts w:eastAsia="Times New Roman" w:cs="Arial"/>
          <w:color w:val="000000"/>
          <w:lang w:val="en-US"/>
        </w:rPr>
        <w:t>Trenk</w:t>
      </w:r>
      <w:r w:rsidRPr="00C25888">
        <w:rPr>
          <w:rFonts w:eastAsia="Times New Roman" w:cs="Arial"/>
          <w:color w:val="000000"/>
          <w:lang w:val="ru-RU"/>
        </w:rPr>
        <w:t xml:space="preserve">) </w:t>
      </w:r>
      <w:r w:rsidRPr="00C25888">
        <w:rPr>
          <w:rFonts w:eastAsia="Times New Roman" w:cs="Arial"/>
          <w:color w:val="000000"/>
          <w:lang w:eastAsia="bg-BG"/>
        </w:rPr>
        <w:t>не е наблюдавана повишена честота на инцидентите въз основа на статуса на метаболизатора, Нито един от тези анализи не е бил с адекватен брой пациенти, за да открие разлики в изхода при слабите метаболизатори.</w:t>
      </w:r>
    </w:p>
    <w:p w14:paraId="34A459C5" w14:textId="77777777" w:rsidR="00C25888" w:rsidRPr="00C25888" w:rsidRDefault="00C25888" w:rsidP="00C25888">
      <w:pPr>
        <w:spacing w:line="240" w:lineRule="auto"/>
        <w:rPr>
          <w:rFonts w:eastAsia="Times New Roman" w:cs="Arial"/>
          <w:color w:val="000000"/>
          <w:u w:val="single"/>
          <w:lang w:eastAsia="bg-BG"/>
        </w:rPr>
      </w:pPr>
    </w:p>
    <w:p w14:paraId="3437411B" w14:textId="16F0F2EE" w:rsidR="00C25888" w:rsidRPr="00C25888" w:rsidRDefault="00C25888" w:rsidP="00C25888">
      <w:pPr>
        <w:spacing w:line="240" w:lineRule="auto"/>
        <w:rPr>
          <w:rFonts w:eastAsia="Times New Roman" w:cs="Arial"/>
          <w:sz w:val="24"/>
          <w:szCs w:val="24"/>
        </w:rPr>
      </w:pPr>
      <w:r w:rsidRPr="00C25888">
        <w:rPr>
          <w:rFonts w:eastAsia="Times New Roman" w:cs="Arial"/>
          <w:color w:val="000000"/>
          <w:u w:val="single"/>
          <w:lang w:eastAsia="bg-BG"/>
        </w:rPr>
        <w:t>Специални популации</w:t>
      </w:r>
    </w:p>
    <w:p w14:paraId="46C978E8"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Фармакокинетиката на активния метаболит на клопидогрел не е известна при тези специални популации.</w:t>
      </w:r>
    </w:p>
    <w:p w14:paraId="5573AA4A" w14:textId="77777777" w:rsidR="00C25888" w:rsidRPr="00C25888" w:rsidRDefault="00C25888" w:rsidP="00C25888">
      <w:pPr>
        <w:spacing w:line="240" w:lineRule="auto"/>
        <w:rPr>
          <w:rFonts w:eastAsia="Times New Roman" w:cs="Arial"/>
          <w:i/>
          <w:iCs/>
          <w:color w:val="000000"/>
          <w:lang w:eastAsia="bg-BG"/>
        </w:rPr>
      </w:pPr>
    </w:p>
    <w:p w14:paraId="3A303CCA" w14:textId="2014B515" w:rsidR="00C25888" w:rsidRPr="00C25888" w:rsidRDefault="00C25888" w:rsidP="00C25888">
      <w:pPr>
        <w:spacing w:line="240" w:lineRule="auto"/>
        <w:rPr>
          <w:rFonts w:eastAsia="Times New Roman" w:cs="Arial"/>
          <w:sz w:val="24"/>
          <w:szCs w:val="24"/>
        </w:rPr>
      </w:pPr>
      <w:r w:rsidRPr="00C25888">
        <w:rPr>
          <w:rFonts w:eastAsia="Times New Roman" w:cs="Arial"/>
          <w:i/>
          <w:iCs/>
          <w:color w:val="000000"/>
          <w:lang w:eastAsia="bg-BG"/>
        </w:rPr>
        <w:t>Бъбречно увреждане</w:t>
      </w:r>
    </w:p>
    <w:p w14:paraId="6798E96C"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lastRenderedPageBreak/>
        <w:t xml:space="preserve">След многократно приложение на дози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 xml:space="preserve">клопидогрел дневно при пациенти с тежка бъбречна недостатъчност (креатининов клирънс между 5 и 15 </w:t>
      </w:r>
      <w:r w:rsidRPr="00C25888">
        <w:rPr>
          <w:rFonts w:eastAsia="Times New Roman" w:cs="Arial"/>
          <w:color w:val="000000"/>
          <w:lang w:val="en-US"/>
        </w:rPr>
        <w:t>ml</w:t>
      </w:r>
      <w:r w:rsidRPr="00C25888">
        <w:rPr>
          <w:rFonts w:eastAsia="Times New Roman" w:cs="Arial"/>
          <w:color w:val="000000"/>
          <w:lang w:val="ru-RU"/>
        </w:rPr>
        <w:t>/</w:t>
      </w:r>
      <w:r w:rsidRPr="00C25888">
        <w:rPr>
          <w:rFonts w:eastAsia="Times New Roman" w:cs="Arial"/>
          <w:color w:val="000000"/>
          <w:lang w:val="en-US"/>
        </w:rPr>
        <w:t>min</w:t>
      </w:r>
      <w:r w:rsidRPr="00C25888">
        <w:rPr>
          <w:rFonts w:eastAsia="Times New Roman" w:cs="Arial"/>
          <w:color w:val="000000"/>
          <w:lang w:val="ru-RU"/>
        </w:rPr>
        <w:t xml:space="preserve">), </w:t>
      </w:r>
      <w:r w:rsidRPr="00C25888">
        <w:rPr>
          <w:rFonts w:eastAsia="Times New Roman" w:cs="Arial"/>
          <w:color w:val="000000"/>
          <w:lang w:eastAsia="bg-BG"/>
        </w:rPr>
        <w:t xml:space="preserve">инхибирането на АДФ- индуцираната тромбоцитна агрегация е по-ниско (25%), отколкото наблюдаваното при здрави индивиди, въпреки това удължаването на времето на кървене е сходно с това, наблюдавано при здрави индивиди, приемащи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клопидрогел дневно. Освен това, при всички пациенти клиничната поносимост е била добра.</w:t>
      </w:r>
    </w:p>
    <w:p w14:paraId="52ECD375" w14:textId="77777777" w:rsidR="00C25888" w:rsidRPr="00C25888" w:rsidRDefault="00C25888" w:rsidP="00C25888">
      <w:pPr>
        <w:spacing w:line="240" w:lineRule="auto"/>
        <w:rPr>
          <w:rFonts w:eastAsia="Times New Roman" w:cs="Arial"/>
          <w:i/>
          <w:iCs/>
          <w:color w:val="000000"/>
          <w:lang w:eastAsia="bg-BG"/>
        </w:rPr>
      </w:pPr>
    </w:p>
    <w:p w14:paraId="703FBE7B" w14:textId="5158B38C" w:rsidR="00C25888" w:rsidRPr="00C25888" w:rsidRDefault="00C25888" w:rsidP="00C25888">
      <w:pPr>
        <w:spacing w:line="240" w:lineRule="auto"/>
        <w:rPr>
          <w:rFonts w:eastAsia="Times New Roman" w:cs="Arial"/>
          <w:sz w:val="24"/>
          <w:szCs w:val="24"/>
        </w:rPr>
      </w:pPr>
      <w:r w:rsidRPr="00C25888">
        <w:rPr>
          <w:rFonts w:eastAsia="Times New Roman" w:cs="Arial"/>
          <w:i/>
          <w:iCs/>
          <w:color w:val="000000"/>
          <w:lang w:eastAsia="bg-BG"/>
        </w:rPr>
        <w:t>Чернодробно увреждане</w:t>
      </w:r>
    </w:p>
    <w:p w14:paraId="587B6440"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След многократно прилагане на доза от 75 </w:t>
      </w:r>
      <w:r w:rsidRPr="00C25888">
        <w:rPr>
          <w:rFonts w:eastAsia="Times New Roman" w:cs="Arial"/>
          <w:color w:val="000000"/>
          <w:lang w:val="en-US"/>
        </w:rPr>
        <w:t>mg</w:t>
      </w:r>
      <w:r w:rsidRPr="00C25888">
        <w:rPr>
          <w:rFonts w:eastAsia="Times New Roman" w:cs="Arial"/>
          <w:color w:val="000000"/>
          <w:lang w:val="ru-RU"/>
        </w:rPr>
        <w:t xml:space="preserve"> </w:t>
      </w:r>
      <w:r w:rsidRPr="00C25888">
        <w:rPr>
          <w:rFonts w:eastAsia="Times New Roman" w:cs="Arial"/>
          <w:color w:val="000000"/>
          <w:lang w:eastAsia="bg-BG"/>
        </w:rPr>
        <w:t>клопидогрел дневно в продължение на 10 дни при пациенти с тежко чернодробно увреждане, инхибирането на АДФ-индуцираната тромбоцитна агрегация е сходна с това наблюдавано при здрави индивиди. Удължаването на средното време на кървене също е било сходно в двете групи,</w:t>
      </w:r>
    </w:p>
    <w:p w14:paraId="574BB371" w14:textId="77777777" w:rsidR="00C25888" w:rsidRPr="00C25888" w:rsidRDefault="00C25888" w:rsidP="00C25888">
      <w:pPr>
        <w:spacing w:line="240" w:lineRule="auto"/>
        <w:rPr>
          <w:rFonts w:eastAsia="Times New Roman" w:cs="Arial"/>
          <w:color w:val="000000"/>
          <w:lang w:eastAsia="bg-BG"/>
        </w:rPr>
      </w:pPr>
    </w:p>
    <w:p w14:paraId="10C1D6ED" w14:textId="627901EC"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Раса</w:t>
      </w:r>
    </w:p>
    <w:p w14:paraId="775EF63F" w14:textId="77777777" w:rsidR="00C25888" w:rsidRPr="00C25888" w:rsidRDefault="00C25888" w:rsidP="00C25888">
      <w:pPr>
        <w:spacing w:line="240" w:lineRule="auto"/>
        <w:rPr>
          <w:rFonts w:eastAsia="Times New Roman" w:cs="Arial"/>
          <w:sz w:val="24"/>
          <w:szCs w:val="24"/>
        </w:rPr>
      </w:pPr>
      <w:r w:rsidRPr="00C25888">
        <w:rPr>
          <w:rFonts w:eastAsia="Times New Roman" w:cs="Arial"/>
          <w:color w:val="000000"/>
          <w:lang w:eastAsia="bg-BG"/>
        </w:rPr>
        <w:t xml:space="preserve">Преобладаването на алелите на </w:t>
      </w:r>
      <w:r w:rsidRPr="00C25888">
        <w:rPr>
          <w:rFonts w:eastAsia="Times New Roman" w:cs="Arial"/>
          <w:color w:val="000000"/>
          <w:lang w:val="en-US"/>
        </w:rPr>
        <w:t>CYP</w:t>
      </w:r>
      <w:r w:rsidRPr="00C25888">
        <w:rPr>
          <w:rFonts w:eastAsia="Times New Roman" w:cs="Arial"/>
          <w:color w:val="000000"/>
          <w:lang w:val="ru-RU"/>
        </w:rPr>
        <w:t>2</w:t>
      </w:r>
      <w:r w:rsidRPr="00C25888">
        <w:rPr>
          <w:rFonts w:eastAsia="Times New Roman" w:cs="Arial"/>
          <w:color w:val="000000"/>
          <w:lang w:val="en-US"/>
        </w:rPr>
        <w:t>C</w:t>
      </w:r>
      <w:r w:rsidRPr="00C25888">
        <w:rPr>
          <w:rFonts w:eastAsia="Times New Roman" w:cs="Arial"/>
          <w:color w:val="000000"/>
          <w:lang w:val="ru-RU"/>
        </w:rPr>
        <w:t xml:space="preserve">19, </w:t>
      </w:r>
      <w:r w:rsidRPr="00C25888">
        <w:rPr>
          <w:rFonts w:eastAsia="Times New Roman" w:cs="Arial"/>
          <w:color w:val="000000"/>
          <w:lang w:eastAsia="bg-BG"/>
        </w:rPr>
        <w:t xml:space="preserve">определящи междинен и слаб СУР2С19 метаболизъм се различават в зависимост от расата/етноса (вж. Фармакогенетика). Налични са ограничени данни от литературата за азиатските популации за оценяване на клиничната значимост на това </w:t>
      </w:r>
      <w:r w:rsidRPr="00C25888">
        <w:rPr>
          <w:rFonts w:eastAsia="Times New Roman" w:cs="Arial"/>
          <w:color w:val="000000"/>
          <w:lang w:val="en-US"/>
        </w:rPr>
        <w:t>CYP</w:t>
      </w:r>
      <w:r w:rsidRPr="00C25888">
        <w:rPr>
          <w:rFonts w:eastAsia="Times New Roman" w:cs="Arial"/>
          <w:color w:val="000000"/>
          <w:lang w:val="ru-RU"/>
        </w:rPr>
        <w:t xml:space="preserve"> </w:t>
      </w:r>
      <w:r w:rsidRPr="00C25888">
        <w:rPr>
          <w:rFonts w:eastAsia="Times New Roman" w:cs="Arial"/>
          <w:color w:val="000000"/>
          <w:lang w:eastAsia="bg-BG"/>
        </w:rPr>
        <w:t>генотипизиране по отношение на изхода от клиничните инциденти.</w:t>
      </w:r>
    </w:p>
    <w:p w14:paraId="18407939" w14:textId="0E2FE7CC" w:rsidR="00C25888" w:rsidRPr="00C25888" w:rsidRDefault="00C25888" w:rsidP="00C25888"/>
    <w:p w14:paraId="4FB791BE" w14:textId="1C8A5BBD" w:rsidR="00B6672E" w:rsidRDefault="002C50EE" w:rsidP="00936AD0">
      <w:pPr>
        <w:pStyle w:val="Heading2"/>
      </w:pPr>
      <w:r>
        <w:t>5.3. Предклинични данни за безопасност</w:t>
      </w:r>
    </w:p>
    <w:p w14:paraId="02EE228D" w14:textId="04B03A3E" w:rsidR="00C25888" w:rsidRDefault="00C25888" w:rsidP="00C25888"/>
    <w:p w14:paraId="5E4E892B" w14:textId="77777777" w:rsidR="00C25888" w:rsidRPr="00C25888" w:rsidRDefault="00C25888" w:rsidP="00C25888">
      <w:pPr>
        <w:rPr>
          <w:sz w:val="24"/>
          <w:szCs w:val="24"/>
        </w:rPr>
      </w:pPr>
      <w:r w:rsidRPr="00C25888">
        <w:rPr>
          <w:lang w:eastAsia="bg-BG"/>
        </w:rPr>
        <w:t xml:space="preserve">Предклиничните проучвания при плъхове и маймуни най-често установяват чернодробни промени при дози, надвишаващи най-малко 25 пъти експозицията при хора, приемащи терапевтичната доза от 75 </w:t>
      </w:r>
      <w:r w:rsidRPr="00C25888">
        <w:rPr>
          <w:lang w:val="en-US"/>
        </w:rPr>
        <w:t>mg</w:t>
      </w:r>
      <w:r w:rsidRPr="00C25888">
        <w:rPr>
          <w:lang w:eastAsia="bg-BG"/>
        </w:rPr>
        <w:t>/дневно, които са в резултат на ефект върху чернодробните метаболйзиращи ензими. Такъв ефект не е установен при хора, приемащи терапевтична доза клопидогрел.</w:t>
      </w:r>
    </w:p>
    <w:p w14:paraId="2A97BFEA" w14:textId="77777777" w:rsidR="00C25888" w:rsidRDefault="00C25888" w:rsidP="00C25888">
      <w:pPr>
        <w:rPr>
          <w:lang w:eastAsia="bg-BG"/>
        </w:rPr>
      </w:pPr>
    </w:p>
    <w:p w14:paraId="05F114BC" w14:textId="4B522D11" w:rsidR="00C25888" w:rsidRPr="00C25888" w:rsidRDefault="00C25888" w:rsidP="00C25888">
      <w:pPr>
        <w:rPr>
          <w:sz w:val="24"/>
          <w:szCs w:val="24"/>
        </w:rPr>
      </w:pPr>
      <w:r w:rsidRPr="00C25888">
        <w:rPr>
          <w:lang w:eastAsia="bg-BG"/>
        </w:rPr>
        <w:t>При много високи дози при същите животни е установена и нарушена стомашна поносимост (гастрит, стомашни ерозии и/или повръщане).</w:t>
      </w:r>
    </w:p>
    <w:p w14:paraId="124871B5" w14:textId="77777777" w:rsidR="00C25888" w:rsidRDefault="00C25888" w:rsidP="00C25888">
      <w:pPr>
        <w:rPr>
          <w:lang w:eastAsia="bg-BG"/>
        </w:rPr>
      </w:pPr>
    </w:p>
    <w:p w14:paraId="0CB5292C" w14:textId="1AAA4C93" w:rsidR="00C25888" w:rsidRPr="00C25888" w:rsidRDefault="00C25888" w:rsidP="00C25888">
      <w:pPr>
        <w:rPr>
          <w:sz w:val="24"/>
          <w:szCs w:val="24"/>
        </w:rPr>
      </w:pPr>
      <w:r w:rsidRPr="00C25888">
        <w:rPr>
          <w:lang w:eastAsia="bg-BG"/>
        </w:rPr>
        <w:t xml:space="preserve">Няма доказателства за карциногенен ефект при прилагане на клопидогрел 78 седмици на мишки и 104 седмици на плъхове в дози до 77 </w:t>
      </w:r>
      <w:r w:rsidRPr="00C25888">
        <w:rPr>
          <w:lang w:val="en-US"/>
        </w:rPr>
        <w:t>mg</w:t>
      </w:r>
      <w:r w:rsidRPr="00C25888">
        <w:rPr>
          <w:lang w:val="ru-RU"/>
        </w:rPr>
        <w:t>/</w:t>
      </w:r>
      <w:r w:rsidRPr="00C25888">
        <w:rPr>
          <w:lang w:val="en-US"/>
        </w:rPr>
        <w:t>kg</w:t>
      </w:r>
      <w:r w:rsidRPr="00C25888">
        <w:rPr>
          <w:lang w:val="ru-RU"/>
        </w:rPr>
        <w:t xml:space="preserve"> </w:t>
      </w:r>
      <w:r w:rsidRPr="00C25888">
        <w:rPr>
          <w:lang w:eastAsia="bg-BG"/>
        </w:rPr>
        <w:t xml:space="preserve">дневно (съответстващо на най-малко 25- пъти експозицията при хора, приемащи терапевтичната доза от 75 </w:t>
      </w:r>
      <w:r w:rsidRPr="00C25888">
        <w:rPr>
          <w:lang w:val="en-US"/>
        </w:rPr>
        <w:t>mg</w:t>
      </w:r>
      <w:r w:rsidRPr="00C25888">
        <w:rPr>
          <w:lang w:eastAsia="bg-BG"/>
        </w:rPr>
        <w:t>/дневно).</w:t>
      </w:r>
    </w:p>
    <w:p w14:paraId="1CF92B4B" w14:textId="77777777" w:rsidR="00C25888" w:rsidRPr="00C25888" w:rsidRDefault="00C25888" w:rsidP="00C25888">
      <w:pPr>
        <w:rPr>
          <w:sz w:val="24"/>
          <w:szCs w:val="24"/>
        </w:rPr>
      </w:pPr>
      <w:r w:rsidRPr="00C25888">
        <w:rPr>
          <w:lang w:eastAsia="bg-BG"/>
        </w:rPr>
        <w:t xml:space="preserve">Множеството </w:t>
      </w:r>
      <w:r w:rsidRPr="00C25888">
        <w:rPr>
          <w:i/>
          <w:iCs/>
          <w:lang w:val="en-US"/>
        </w:rPr>
        <w:t>in</w:t>
      </w:r>
      <w:r w:rsidRPr="00C25888">
        <w:rPr>
          <w:i/>
          <w:iCs/>
          <w:lang w:val="ru-RU"/>
        </w:rPr>
        <w:t xml:space="preserve"> </w:t>
      </w:r>
      <w:r w:rsidRPr="00C25888">
        <w:rPr>
          <w:i/>
          <w:iCs/>
          <w:lang w:val="en-US"/>
        </w:rPr>
        <w:t>vitro</w:t>
      </w:r>
      <w:r w:rsidRPr="00C25888">
        <w:rPr>
          <w:lang w:val="ru-RU"/>
        </w:rPr>
        <w:t xml:space="preserve"> </w:t>
      </w:r>
      <w:r w:rsidRPr="00C25888">
        <w:rPr>
          <w:lang w:eastAsia="bg-BG"/>
        </w:rPr>
        <w:t>и</w:t>
      </w:r>
      <w:r w:rsidRPr="00C25888">
        <w:rPr>
          <w:lang w:val="ru-RU"/>
        </w:rPr>
        <w:t xml:space="preserve"> </w:t>
      </w:r>
      <w:r w:rsidRPr="00C25888">
        <w:rPr>
          <w:i/>
          <w:iCs/>
          <w:lang w:val="en-US"/>
        </w:rPr>
        <w:t>in</w:t>
      </w:r>
      <w:r w:rsidRPr="00C25888">
        <w:rPr>
          <w:i/>
          <w:iCs/>
          <w:lang w:val="ru-RU"/>
        </w:rPr>
        <w:t xml:space="preserve"> </w:t>
      </w:r>
      <w:r w:rsidRPr="00C25888">
        <w:rPr>
          <w:i/>
          <w:iCs/>
          <w:lang w:val="en-US"/>
        </w:rPr>
        <w:t>vivo</w:t>
      </w:r>
      <w:r w:rsidRPr="00C25888">
        <w:rPr>
          <w:lang w:val="ru-RU"/>
        </w:rPr>
        <w:t xml:space="preserve"> </w:t>
      </w:r>
      <w:r w:rsidRPr="00C25888">
        <w:rPr>
          <w:lang w:eastAsia="bg-BG"/>
        </w:rPr>
        <w:t>проучвания за генотоксичност показват, че клопидогрел няма такъв ефект.</w:t>
      </w:r>
    </w:p>
    <w:p w14:paraId="061BF565" w14:textId="77777777" w:rsidR="00C25888" w:rsidRDefault="00C25888" w:rsidP="00C25888">
      <w:pPr>
        <w:rPr>
          <w:lang w:eastAsia="bg-BG"/>
        </w:rPr>
      </w:pPr>
    </w:p>
    <w:p w14:paraId="1DFE9977" w14:textId="003ED91E" w:rsidR="00C25888" w:rsidRPr="00C25888" w:rsidRDefault="00C25888" w:rsidP="00C25888">
      <w:pPr>
        <w:rPr>
          <w:sz w:val="24"/>
          <w:szCs w:val="24"/>
        </w:rPr>
      </w:pPr>
      <w:r w:rsidRPr="00C25888">
        <w:rPr>
          <w:lang w:eastAsia="bg-BG"/>
        </w:rPr>
        <w:t>Клопидрогел не влияе върху фертилитета на мъжки и женски плъхове и няма тератогенен ефект върху плъхове и зайци. Когато се прилага при лактиращи плъхове, предизвиква слабо забавяне на развитието на поколението. Специфични фармакокинетични проучвания с маркиран клопидогрел показват, че първичната субстанция или нейни метаболити се екскретират в млякото, следователно пряк (слаба токсичност) или косвен ефект (леко вкусово усещане) не може да се изключи.</w:t>
      </w:r>
    </w:p>
    <w:p w14:paraId="77B706C8" w14:textId="77777777" w:rsidR="00C25888" w:rsidRPr="00C25888" w:rsidRDefault="00C25888" w:rsidP="00C25888"/>
    <w:p w14:paraId="1BA6531D" w14:textId="79A1DE95" w:rsidR="00B6672E" w:rsidRDefault="002C50EE" w:rsidP="00936AD0">
      <w:pPr>
        <w:pStyle w:val="Heading1"/>
      </w:pPr>
      <w:r>
        <w:t>7. ПРИТЕЖАТЕЛ НА РАЗРЕШЕНИЕТО ЗА УПОТРЕБА</w:t>
      </w:r>
    </w:p>
    <w:p w14:paraId="51E4FFDC" w14:textId="59388D09" w:rsidR="00C25888" w:rsidRDefault="00C25888" w:rsidP="00C25888"/>
    <w:p w14:paraId="1ADE67E6" w14:textId="77777777" w:rsidR="00C25888" w:rsidRPr="00C25888" w:rsidRDefault="00C25888" w:rsidP="00C25888">
      <w:pPr>
        <w:rPr>
          <w:sz w:val="24"/>
          <w:szCs w:val="24"/>
        </w:rPr>
      </w:pPr>
      <w:r w:rsidRPr="00C25888">
        <w:rPr>
          <w:lang w:eastAsia="bg-BG"/>
        </w:rPr>
        <w:t>Екофарм Груп АД</w:t>
      </w:r>
    </w:p>
    <w:p w14:paraId="50031747" w14:textId="77777777" w:rsidR="00C25888" w:rsidRDefault="00C25888" w:rsidP="00C25888">
      <w:pPr>
        <w:rPr>
          <w:lang w:eastAsia="bg-BG"/>
        </w:rPr>
      </w:pPr>
      <w:r w:rsidRPr="00C25888">
        <w:rPr>
          <w:lang w:eastAsia="bg-BG"/>
        </w:rPr>
        <w:lastRenderedPageBreak/>
        <w:t xml:space="preserve">ул. Атанас Дуков №29, ет. 3, </w:t>
      </w:r>
    </w:p>
    <w:p w14:paraId="3380E691" w14:textId="77777777" w:rsidR="00C25888" w:rsidRDefault="00C25888" w:rsidP="00C25888">
      <w:pPr>
        <w:rPr>
          <w:lang w:eastAsia="bg-BG"/>
        </w:rPr>
      </w:pPr>
      <w:r w:rsidRPr="00C25888">
        <w:rPr>
          <w:lang w:eastAsia="bg-BG"/>
        </w:rPr>
        <w:t xml:space="preserve">1407 София, България </w:t>
      </w:r>
    </w:p>
    <w:p w14:paraId="4B0A2660" w14:textId="77777777" w:rsidR="00C25888" w:rsidRDefault="00C25888" w:rsidP="00C25888">
      <w:pPr>
        <w:rPr>
          <w:lang w:eastAsia="bg-BG"/>
        </w:rPr>
      </w:pPr>
      <w:r w:rsidRPr="00C25888">
        <w:rPr>
          <w:lang w:eastAsia="bg-BG"/>
        </w:rPr>
        <w:t xml:space="preserve">тел.: (02) 906 90 70 </w:t>
      </w:r>
    </w:p>
    <w:p w14:paraId="6987849C" w14:textId="731A17A6" w:rsidR="00C25888" w:rsidRPr="00C25888" w:rsidRDefault="00C25888" w:rsidP="00C25888">
      <w:r w:rsidRPr="00C25888">
        <w:rPr>
          <w:lang w:eastAsia="bg-BG"/>
        </w:rPr>
        <w:t>факс: (02) 906 90 71</w:t>
      </w:r>
    </w:p>
    <w:p w14:paraId="508F3A54" w14:textId="5F6F2071" w:rsidR="00B6672E" w:rsidRDefault="00936AD0" w:rsidP="00936AD0">
      <w:pPr>
        <w:pStyle w:val="Heading1"/>
      </w:pPr>
      <w:r>
        <w:t>8.</w:t>
      </w:r>
      <w:r w:rsidR="002C50EE">
        <w:t>НОМЕР НА РАЗРЕШЕНИЕТО ЗА УПОТРЕБА</w:t>
      </w:r>
    </w:p>
    <w:p w14:paraId="453C7AA6" w14:textId="3C3A05DA" w:rsidR="00C25888" w:rsidRDefault="00C25888" w:rsidP="00C25888"/>
    <w:p w14:paraId="18FF43FB" w14:textId="7604AFE0" w:rsidR="00C25888" w:rsidRPr="00C25888" w:rsidRDefault="00C25888" w:rsidP="00C25888">
      <w:r>
        <w:rPr>
          <w:lang w:val="en-US"/>
        </w:rPr>
        <w:t>Pe</w:t>
      </w:r>
      <w:r>
        <w:t>г</w:t>
      </w:r>
      <w:r w:rsidRPr="00C25888">
        <w:rPr>
          <w:lang w:val="ru-RU"/>
        </w:rPr>
        <w:t xml:space="preserve">. </w:t>
      </w:r>
      <w:r>
        <w:t>№: 20190040</w:t>
      </w:r>
    </w:p>
    <w:p w14:paraId="2CCB5832" w14:textId="2CDC1285" w:rsidR="007C605B" w:rsidRDefault="002C50EE" w:rsidP="007C605B">
      <w:pPr>
        <w:pStyle w:val="Heading1"/>
      </w:pPr>
      <w:r>
        <w:t>9. ДАТА НА ПЪРВО РАЗРЕШАВАНЕ/ПОДНОВЯВАНЕ НА РАЗРЕШЕНИЕТО ЗА УПОТРЕБА</w:t>
      </w:r>
    </w:p>
    <w:p w14:paraId="11BF52C2" w14:textId="73D6992A" w:rsidR="00C25888" w:rsidRDefault="00C25888" w:rsidP="00C25888"/>
    <w:p w14:paraId="0ABEE569" w14:textId="64A6FCF8" w:rsidR="00C25888" w:rsidRPr="00C25888" w:rsidRDefault="00C25888" w:rsidP="00C25888">
      <w:r>
        <w:t>Дата на първо разрешаване: 18 Февруари 2019 г.</w:t>
      </w:r>
      <w:bookmarkStart w:id="2" w:name="_GoBack"/>
      <w:bookmarkEnd w:id="2"/>
    </w:p>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F56C7"/>
    <w:multiLevelType w:val="hybridMultilevel"/>
    <w:tmpl w:val="6294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25B74"/>
    <w:multiLevelType w:val="hybridMultilevel"/>
    <w:tmpl w:val="077099A2"/>
    <w:lvl w:ilvl="0" w:tplc="DF78C0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0638F"/>
    <w:multiLevelType w:val="hybridMultilevel"/>
    <w:tmpl w:val="A8F2C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A37A2"/>
    <w:multiLevelType w:val="hybridMultilevel"/>
    <w:tmpl w:val="F32A5D12"/>
    <w:lvl w:ilvl="0" w:tplc="DF78C0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1" w15:restartNumberingAfterBreak="0">
    <w:nsid w:val="14BC16F3"/>
    <w:multiLevelType w:val="hybridMultilevel"/>
    <w:tmpl w:val="5F08327C"/>
    <w:lvl w:ilvl="0" w:tplc="DF78C0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7"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66E114E"/>
    <w:multiLevelType w:val="hybridMultilevel"/>
    <w:tmpl w:val="0A5A9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8"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26920"/>
    <w:multiLevelType w:val="hybridMultilevel"/>
    <w:tmpl w:val="8582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405D"/>
    <w:multiLevelType w:val="hybridMultilevel"/>
    <w:tmpl w:val="FA1A3B7E"/>
    <w:lvl w:ilvl="0" w:tplc="DF78C0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5"/>
  </w:num>
  <w:num w:numId="2">
    <w:abstractNumId w:val="0"/>
  </w:num>
  <w:num w:numId="3">
    <w:abstractNumId w:val="20"/>
  </w:num>
  <w:num w:numId="4">
    <w:abstractNumId w:val="3"/>
  </w:num>
  <w:num w:numId="5">
    <w:abstractNumId w:val="1"/>
  </w:num>
  <w:num w:numId="6">
    <w:abstractNumId w:val="23"/>
  </w:num>
  <w:num w:numId="7">
    <w:abstractNumId w:val="17"/>
  </w:num>
  <w:num w:numId="8">
    <w:abstractNumId w:val="22"/>
  </w:num>
  <w:num w:numId="9">
    <w:abstractNumId w:val="2"/>
  </w:num>
  <w:num w:numId="10">
    <w:abstractNumId w:val="6"/>
  </w:num>
  <w:num w:numId="11">
    <w:abstractNumId w:val="38"/>
  </w:num>
  <w:num w:numId="12">
    <w:abstractNumId w:val="21"/>
  </w:num>
  <w:num w:numId="13">
    <w:abstractNumId w:val="26"/>
  </w:num>
  <w:num w:numId="14">
    <w:abstractNumId w:val="19"/>
  </w:num>
  <w:num w:numId="15">
    <w:abstractNumId w:val="37"/>
  </w:num>
  <w:num w:numId="16">
    <w:abstractNumId w:val="16"/>
  </w:num>
  <w:num w:numId="17">
    <w:abstractNumId w:val="31"/>
  </w:num>
  <w:num w:numId="18">
    <w:abstractNumId w:val="13"/>
  </w:num>
  <w:num w:numId="19">
    <w:abstractNumId w:val="33"/>
  </w:num>
  <w:num w:numId="20">
    <w:abstractNumId w:val="30"/>
  </w:num>
  <w:num w:numId="21">
    <w:abstractNumId w:val="24"/>
  </w:num>
  <w:num w:numId="22">
    <w:abstractNumId w:val="32"/>
  </w:num>
  <w:num w:numId="23">
    <w:abstractNumId w:val="25"/>
  </w:num>
  <w:num w:numId="24">
    <w:abstractNumId w:val="14"/>
  </w:num>
  <w:num w:numId="25">
    <w:abstractNumId w:val="29"/>
  </w:num>
  <w:num w:numId="26">
    <w:abstractNumId w:val="28"/>
  </w:num>
  <w:num w:numId="27">
    <w:abstractNumId w:val="39"/>
  </w:num>
  <w:num w:numId="28">
    <w:abstractNumId w:val="10"/>
  </w:num>
  <w:num w:numId="29">
    <w:abstractNumId w:val="27"/>
  </w:num>
  <w:num w:numId="30">
    <w:abstractNumId w:val="43"/>
  </w:num>
  <w:num w:numId="31">
    <w:abstractNumId w:val="7"/>
  </w:num>
  <w:num w:numId="32">
    <w:abstractNumId w:val="42"/>
  </w:num>
  <w:num w:numId="33">
    <w:abstractNumId w:val="36"/>
  </w:num>
  <w:num w:numId="34">
    <w:abstractNumId w:val="40"/>
  </w:num>
  <w:num w:numId="35">
    <w:abstractNumId w:val="12"/>
  </w:num>
  <w:num w:numId="36">
    <w:abstractNumId w:val="15"/>
  </w:num>
  <w:num w:numId="37">
    <w:abstractNumId w:val="4"/>
  </w:num>
  <w:num w:numId="38">
    <w:abstractNumId w:val="5"/>
  </w:num>
  <w:num w:numId="39">
    <w:abstractNumId w:val="11"/>
  </w:num>
  <w:num w:numId="40">
    <w:abstractNumId w:val="9"/>
  </w:num>
  <w:num w:numId="41">
    <w:abstractNumId w:val="41"/>
  </w:num>
  <w:num w:numId="42">
    <w:abstractNumId w:val="34"/>
  </w:num>
  <w:num w:numId="43">
    <w:abstractNumId w:val="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6E7B6D"/>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25888"/>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9760</Words>
  <Characters>55637</Characters>
  <Application>Microsoft Office Word</Application>
  <DocSecurity>0</DocSecurity>
  <Lines>463</Lines>
  <Paragraphs>130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2022-07-04T23:07:00Z</dcterms:created>
  <dcterms:modified xsi:type="dcterms:W3CDTF">2022-07-04T23:07:00Z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