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7E25AD2B" w:rsidR="002C50EE" w:rsidRDefault="002C50EE" w:rsidP="002C50EE">
      <w:pPr>
        <w:pStyle w:val="Heading1"/>
        <w:jc w:val="center"/>
      </w:pPr>
      <w:bookmarkStart w:id="0" w:name="_Hlk63124480"/>
      <w:r>
        <w:t>КРАТКА ХАРАКТЕРИСТИКА НА ПРОДУКТА</w:t>
      </w:r>
    </w:p>
    <w:p w14:paraId="0671382C" w14:textId="408492AD" w:rsidR="00BE4B21" w:rsidRDefault="00BE4B21" w:rsidP="00BE4B21"/>
    <w:tbl>
      <w:tblPr>
        <w:tblStyle w:val="TableGrid"/>
        <w:tblW w:w="0" w:type="auto"/>
        <w:tblLook w:val="04A0" w:firstRow="1" w:lastRow="0" w:firstColumn="1" w:lastColumn="0" w:noHBand="0" w:noVBand="1"/>
      </w:tblPr>
      <w:tblGrid>
        <w:gridCol w:w="9350"/>
      </w:tblGrid>
      <w:tr w:rsidR="00BE4B21" w14:paraId="381E0EEC" w14:textId="77777777" w:rsidTr="00BE4B21">
        <w:tc>
          <w:tcPr>
            <w:tcW w:w="9576" w:type="dxa"/>
          </w:tcPr>
          <w:p w14:paraId="2770488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може да причини агранулоцитоза. Употребата му трябва да бъде ограничена до пациенти:</w:t>
            </w:r>
          </w:p>
          <w:p w14:paraId="3C56B5C6" w14:textId="77777777"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с шизофрения, които не отговарят или не понасят лечението с антипсихотични лекарства или са с психоза при болест на Паркиисон, когато всички останали терапевтични стратегии са били неуспешни (вж. точка 4.1),</w:t>
            </w:r>
          </w:p>
          <w:p w14:paraId="207225C9" w14:textId="77777777"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които първоначално имат нормален брой левкоцити (левкоцити &gt;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lang w:val="ru-RU"/>
              </w:rPr>
              <w:t>3(3,5</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абсолютен брой неутрофнли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2000/</w:t>
            </w:r>
            <w:r w:rsidRPr="00BE4B21">
              <w:rPr>
                <w:rFonts w:eastAsia="Times New Roman" w:cs="Arial"/>
                <w:color w:val="000000"/>
                <w:szCs w:val="20"/>
                <w:lang w:val="en-US"/>
              </w:rPr>
              <w:t>mm</w:t>
            </w:r>
            <w:r w:rsidRPr="00BE4B21">
              <w:rPr>
                <w:rFonts w:eastAsia="Times New Roman" w:cs="Arial"/>
                <w:color w:val="000000"/>
                <w:szCs w:val="20"/>
                <w:lang w:eastAsia="bg-BG"/>
              </w:rPr>
              <w:t xml:space="preserve">З </w:t>
            </w:r>
            <w:r w:rsidRPr="00BE4B21">
              <w:rPr>
                <w:rFonts w:eastAsia="Times New Roman" w:cs="Arial"/>
                <w:color w:val="000000"/>
                <w:szCs w:val="20"/>
                <w:lang w:val="ru-RU"/>
              </w:rPr>
              <w:t>(</w:t>
            </w:r>
            <w:r w:rsidRPr="00BE4B21">
              <w:rPr>
                <w:rFonts w:eastAsia="Times New Roman" w:cs="Arial"/>
                <w:color w:val="000000"/>
                <w:szCs w:val="20"/>
                <w:lang w:eastAsia="bg-BG"/>
              </w:rPr>
              <w:t>≥</w:t>
            </w:r>
            <w:r w:rsidRPr="00BE4B21">
              <w:rPr>
                <w:rFonts w:eastAsia="Times New Roman" w:cs="Arial"/>
                <w:color w:val="000000"/>
                <w:szCs w:val="20"/>
                <w:lang w:val="ru-RU"/>
              </w:rPr>
              <w:t>2.0</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6028815A" w14:textId="5940A7CC"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при които редовно може да се определят общия брой левкоцити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абсолютния брой неутрофнли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както следва: всяка седмица през първите 18 седмици от терапията и поне веднъж на всеки 4 седмици след това, по време на лечението. Мониториането трябва да продължи по време на лечението и 4 седмици след пълното прекратяване на приема на клозапин (вж. точка 4.4).</w:t>
            </w:r>
          </w:p>
          <w:p w14:paraId="1BA62273" w14:textId="77777777" w:rsidR="00BE4B21" w:rsidRPr="00BE4B21" w:rsidRDefault="00BE4B21" w:rsidP="00BE4B21">
            <w:pPr>
              <w:spacing w:line="240" w:lineRule="auto"/>
              <w:rPr>
                <w:rFonts w:eastAsia="Times New Roman" w:cs="Arial"/>
                <w:color w:val="000000"/>
                <w:szCs w:val="20"/>
                <w:lang w:eastAsia="bg-BG"/>
              </w:rPr>
            </w:pPr>
          </w:p>
          <w:p w14:paraId="0CF749DE" w14:textId="669C77A0"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Лекарите, предписващи лекарството, трябва да следват напълно изискваните мерки за безопасност. При всяка консултация на пациента, приемащ клозапин, трябва да се напомня да се свърже незабавно с лекуващия лекар, ако започне развитие на някакъв вид инфекция. Особено внимание трябва да се обръща на грипоподобни оплаквания като повишена температура или възпалено гърло и други белези на инфекция, която може да са показателни за неутропения (вж. точка 4.4).</w:t>
            </w:r>
          </w:p>
          <w:p w14:paraId="40A6A34A" w14:textId="77777777" w:rsidR="00BE4B21" w:rsidRPr="00BE4B21" w:rsidRDefault="00BE4B21" w:rsidP="00BE4B21">
            <w:pPr>
              <w:spacing w:line="240" w:lineRule="auto"/>
              <w:rPr>
                <w:rFonts w:eastAsia="Times New Roman" w:cs="Arial"/>
                <w:color w:val="000000"/>
                <w:szCs w:val="20"/>
                <w:lang w:eastAsia="bg-BG"/>
              </w:rPr>
            </w:pPr>
          </w:p>
          <w:p w14:paraId="05D979E8" w14:textId="5F32F32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трябва да се отпуска под строг медицински контрол, в съответствие с официалните препоръки (вж. точка 4.4).</w:t>
            </w:r>
          </w:p>
          <w:p w14:paraId="210F3362" w14:textId="77777777" w:rsidR="00BE4B21" w:rsidRPr="00BE4B21" w:rsidRDefault="00BE4B21" w:rsidP="00BE4B21">
            <w:pPr>
              <w:spacing w:line="240" w:lineRule="auto"/>
              <w:rPr>
                <w:rFonts w:eastAsia="Times New Roman" w:cs="Arial"/>
                <w:color w:val="000000"/>
                <w:szCs w:val="20"/>
                <w:u w:val="single"/>
                <w:lang w:eastAsia="bg-BG"/>
              </w:rPr>
            </w:pPr>
          </w:p>
          <w:p w14:paraId="03266BDD" w14:textId="4F8449C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Миокардит</w:t>
            </w:r>
          </w:p>
          <w:p w14:paraId="7404A1B3"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Употребата на клозапин е свързана с повишен риск от миокардит, който в редки случаи може да бъде фатален. Повишеният риск от миокардит е по-голям през първите два месеца от лечението. В редки случаи се съобщава и за кардиомиопатия с фатален изход.</w:t>
            </w:r>
          </w:p>
          <w:p w14:paraId="66995686" w14:textId="77777777" w:rsidR="00BE4B21" w:rsidRPr="00BE4B21" w:rsidRDefault="00BE4B21" w:rsidP="00BE4B21">
            <w:pPr>
              <w:spacing w:line="240" w:lineRule="auto"/>
              <w:rPr>
                <w:rFonts w:eastAsia="Times New Roman" w:cs="Arial"/>
                <w:color w:val="000000"/>
                <w:szCs w:val="20"/>
                <w:lang w:eastAsia="bg-BG"/>
              </w:rPr>
            </w:pPr>
          </w:p>
          <w:p w14:paraId="70BC3482" w14:textId="53D32759"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Миокардит или кардиомиопатия трябва да се подозират при пациентите, които получават персистираща тахикардия в покой, особено през първите два месеца от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w:t>
            </w:r>
          </w:p>
          <w:p w14:paraId="4952F933" w14:textId="77777777" w:rsidR="00BE4B21" w:rsidRPr="00BE4B21" w:rsidRDefault="00BE4B21" w:rsidP="00BE4B21">
            <w:pPr>
              <w:spacing w:line="240" w:lineRule="auto"/>
              <w:rPr>
                <w:rFonts w:eastAsia="Times New Roman" w:cs="Arial"/>
                <w:color w:val="000000"/>
                <w:szCs w:val="20"/>
                <w:lang w:eastAsia="bg-BG"/>
              </w:rPr>
            </w:pPr>
          </w:p>
          <w:p w14:paraId="7F373FF5" w14:textId="239940A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Ако се подозират миокадит или кардиомиопатия, лечението с клозапин трябва бързо да се преустанови и пациентът незабавно да се насочи към кардиолог.</w:t>
            </w:r>
          </w:p>
          <w:p w14:paraId="17C248BF" w14:textId="77777777" w:rsidR="00BE4B21" w:rsidRPr="00BE4B21" w:rsidRDefault="00BE4B21" w:rsidP="00BE4B21">
            <w:pPr>
              <w:rPr>
                <w:rFonts w:eastAsia="Times New Roman" w:cs="Arial"/>
                <w:color w:val="000000"/>
                <w:szCs w:val="20"/>
                <w:lang w:eastAsia="bg-BG"/>
              </w:rPr>
            </w:pPr>
          </w:p>
          <w:p w14:paraId="068BB150" w14:textId="0F2EF6E4" w:rsidR="00BE4B21" w:rsidRDefault="00BE4B21" w:rsidP="00BE4B21">
            <w:r w:rsidRPr="00BE4B21">
              <w:rPr>
                <w:rFonts w:eastAsia="Times New Roman" w:cs="Arial"/>
                <w:color w:val="000000"/>
                <w:szCs w:val="20"/>
                <w:lang w:eastAsia="bg-BG"/>
              </w:rPr>
              <w:t>Пациентите, които са развили клозапин-индуциран миокардит или кардиомиопатия, не трябва да бъдат повторно лекувани с клозапин.</w:t>
            </w:r>
          </w:p>
        </w:tc>
      </w:tr>
    </w:tbl>
    <w:p w14:paraId="38FBD482" w14:textId="77777777" w:rsidR="00BE4B21" w:rsidRPr="00BE4B21" w:rsidRDefault="00BE4B21" w:rsidP="00BE4B21"/>
    <w:p w14:paraId="2BE34EF6" w14:textId="2C65B23E" w:rsidR="007122AD" w:rsidRDefault="00DD466D" w:rsidP="00936AD0">
      <w:pPr>
        <w:pStyle w:val="Heading1"/>
      </w:pPr>
      <w:r>
        <w:t>1.ИМЕ НА ЛЕКАРСТВЕНИЯ ПРОДУКТ</w:t>
      </w:r>
    </w:p>
    <w:p w14:paraId="5473C90B" w14:textId="78F480A3" w:rsidR="00BE4B21" w:rsidRDefault="00BE4B21" w:rsidP="00BE4B21"/>
    <w:p w14:paraId="30D937FC" w14:textId="77777777" w:rsidR="00BE4B21" w:rsidRPr="00BE4B21" w:rsidRDefault="00BE4B21" w:rsidP="00BE4B21">
      <w:pPr>
        <w:rPr>
          <w:sz w:val="24"/>
          <w:szCs w:val="24"/>
          <w:lang w:val="ru-RU"/>
        </w:rPr>
      </w:pPr>
      <w:r w:rsidRPr="00BE4B21">
        <w:rPr>
          <w:lang w:eastAsia="bg-BG"/>
        </w:rPr>
        <w:t xml:space="preserve">Клозапин Акорд 25 </w:t>
      </w:r>
      <w:r w:rsidRPr="00BE4B21">
        <w:rPr>
          <w:lang w:val="en-US"/>
        </w:rPr>
        <w:t>mg</w:t>
      </w:r>
      <w:r w:rsidRPr="00BE4B21">
        <w:rPr>
          <w:lang w:val="ru-RU"/>
        </w:rPr>
        <w:t xml:space="preserve"> </w:t>
      </w:r>
      <w:r w:rsidRPr="00BE4B21">
        <w:rPr>
          <w:lang w:eastAsia="bg-BG"/>
        </w:rPr>
        <w:t>таблетки</w:t>
      </w:r>
    </w:p>
    <w:p w14:paraId="184592FE" w14:textId="77777777" w:rsidR="00BE4B21" w:rsidRPr="00BE4B21" w:rsidRDefault="00BE4B21" w:rsidP="00BE4B21">
      <w:pPr>
        <w:rPr>
          <w:sz w:val="24"/>
          <w:szCs w:val="24"/>
          <w:lang w:val="ru-RU"/>
        </w:rPr>
      </w:pPr>
      <w:r w:rsidRPr="00BE4B21">
        <w:rPr>
          <w:lang w:eastAsia="bg-BG"/>
        </w:rPr>
        <w:lastRenderedPageBreak/>
        <w:t xml:space="preserve">Клозапин Акорд 100 </w:t>
      </w:r>
      <w:r w:rsidRPr="00BE4B21">
        <w:rPr>
          <w:lang w:val="en-US"/>
        </w:rPr>
        <w:t>mg</w:t>
      </w:r>
      <w:r w:rsidRPr="00BE4B21">
        <w:rPr>
          <w:lang w:val="ru-RU"/>
        </w:rPr>
        <w:t xml:space="preserve"> </w:t>
      </w:r>
      <w:r w:rsidRPr="00BE4B21">
        <w:rPr>
          <w:lang w:eastAsia="bg-BG"/>
        </w:rPr>
        <w:t>таблетки</w:t>
      </w:r>
    </w:p>
    <w:p w14:paraId="4024E8F3" w14:textId="77777777" w:rsidR="00BE4B21" w:rsidRPr="00BE4B21" w:rsidRDefault="00BE4B21" w:rsidP="00BE4B21">
      <w:pPr>
        <w:rPr>
          <w:sz w:val="24"/>
          <w:szCs w:val="24"/>
          <w:lang w:val="ru-RU"/>
        </w:rPr>
      </w:pPr>
      <w:r w:rsidRPr="00BE4B21">
        <w:rPr>
          <w:lang w:eastAsia="bg-BG"/>
        </w:rPr>
        <w:t xml:space="preserve">Клозапин Акорд 200 </w:t>
      </w:r>
      <w:r w:rsidRPr="00BE4B21">
        <w:rPr>
          <w:lang w:val="en-US"/>
        </w:rPr>
        <w:t>mg</w:t>
      </w:r>
      <w:r w:rsidRPr="00BE4B21">
        <w:rPr>
          <w:lang w:val="ru-RU"/>
        </w:rPr>
        <w:t xml:space="preserve"> </w:t>
      </w:r>
      <w:r w:rsidRPr="00BE4B21">
        <w:rPr>
          <w:lang w:eastAsia="bg-BG"/>
        </w:rPr>
        <w:t>таблетки</w:t>
      </w:r>
    </w:p>
    <w:p w14:paraId="080B2EAB" w14:textId="77777777" w:rsidR="00BE4B21" w:rsidRDefault="00BE4B21" w:rsidP="00BE4B21">
      <w:pPr>
        <w:rPr>
          <w:lang w:val="en-US"/>
        </w:rPr>
      </w:pPr>
    </w:p>
    <w:p w14:paraId="6309817A" w14:textId="4B39EB78" w:rsidR="00BE4B21" w:rsidRPr="00BE4B21" w:rsidRDefault="00BE4B21" w:rsidP="00BE4B21">
      <w:pPr>
        <w:rPr>
          <w:sz w:val="24"/>
          <w:szCs w:val="24"/>
          <w:lang w:val="ru-RU"/>
        </w:rPr>
      </w:pPr>
      <w:r w:rsidRPr="00BE4B21">
        <w:rPr>
          <w:lang w:val="en-US"/>
        </w:rPr>
        <w:t>Clozapine</w:t>
      </w:r>
      <w:r w:rsidRPr="00BE4B21">
        <w:rPr>
          <w:lang w:val="ru-RU"/>
        </w:rPr>
        <w:t xml:space="preserve"> </w:t>
      </w:r>
      <w:r w:rsidRPr="00BE4B21">
        <w:rPr>
          <w:lang w:val="en-US"/>
        </w:rPr>
        <w:t>Accord</w:t>
      </w:r>
      <w:r w:rsidRPr="00BE4B21">
        <w:rPr>
          <w:lang w:val="ru-RU"/>
        </w:rPr>
        <w:t xml:space="preserve"> </w:t>
      </w:r>
      <w:r w:rsidRPr="00BE4B21">
        <w:rPr>
          <w:lang w:eastAsia="bg-BG"/>
        </w:rPr>
        <w:t xml:space="preserve">25 </w:t>
      </w:r>
      <w:r w:rsidRPr="00BE4B21">
        <w:rPr>
          <w:lang w:val="en-US"/>
        </w:rPr>
        <w:t>mg</w:t>
      </w:r>
      <w:r w:rsidRPr="00BE4B21">
        <w:rPr>
          <w:lang w:val="ru-RU"/>
        </w:rPr>
        <w:t xml:space="preserve"> </w:t>
      </w:r>
      <w:r w:rsidRPr="00BE4B21">
        <w:rPr>
          <w:lang w:val="en-US"/>
        </w:rPr>
        <w:t>tablets</w:t>
      </w:r>
    </w:p>
    <w:p w14:paraId="7EB8FEEE" w14:textId="77777777" w:rsidR="00BE4B21" w:rsidRPr="00BE4B21" w:rsidRDefault="00BE4B21" w:rsidP="00BE4B21">
      <w:pPr>
        <w:rPr>
          <w:sz w:val="24"/>
          <w:szCs w:val="24"/>
          <w:lang w:val="en-US"/>
        </w:rPr>
      </w:pPr>
      <w:r w:rsidRPr="00BE4B21">
        <w:rPr>
          <w:lang w:val="en-US"/>
        </w:rPr>
        <w:t>Clozapine Accord 100 mg tablets</w:t>
      </w:r>
    </w:p>
    <w:p w14:paraId="1A18F9F5" w14:textId="77777777" w:rsidR="00BE4B21" w:rsidRPr="00BE4B21" w:rsidRDefault="00BE4B21" w:rsidP="00BE4B21">
      <w:pPr>
        <w:rPr>
          <w:sz w:val="24"/>
          <w:szCs w:val="24"/>
          <w:lang w:val="en-US"/>
        </w:rPr>
      </w:pPr>
      <w:r w:rsidRPr="00BE4B21">
        <w:rPr>
          <w:lang w:val="en-US"/>
        </w:rPr>
        <w:t>Clozapine Accord 200 mg tablets</w:t>
      </w:r>
    </w:p>
    <w:p w14:paraId="793693A1" w14:textId="3DCA73AF" w:rsidR="00BE4B21" w:rsidRPr="00BE4B21" w:rsidRDefault="00BE4B21" w:rsidP="00BE4B21">
      <w:pPr>
        <w:rPr>
          <w:lang w:val="en-US"/>
        </w:rPr>
      </w:pPr>
    </w:p>
    <w:p w14:paraId="6920A680" w14:textId="300A01F5" w:rsidR="00C40420" w:rsidRDefault="00DD466D" w:rsidP="004A448E">
      <w:pPr>
        <w:pStyle w:val="Heading1"/>
      </w:pPr>
      <w:r>
        <w:t>2. КАЧЕСТВЕН И КОЛИЧЕСТВЕН СЪСТАВ</w:t>
      </w:r>
    </w:p>
    <w:p w14:paraId="0AF9D173" w14:textId="2CE4DA28" w:rsidR="00BE4B21" w:rsidRDefault="00BE4B21" w:rsidP="00BE4B21"/>
    <w:p w14:paraId="779BC181" w14:textId="7F608F9B" w:rsidR="00BE4B21" w:rsidRPr="00BE4B21" w:rsidRDefault="00BE4B21" w:rsidP="00BE4B21">
      <w:r w:rsidRPr="00BE4B21">
        <w:t xml:space="preserve">25 </w:t>
      </w:r>
      <w:r w:rsidRPr="00BE4B21">
        <w:rPr>
          <w:lang w:val="en-US"/>
        </w:rPr>
        <w:t>mg</w:t>
      </w:r>
      <w:r w:rsidRPr="00BE4B21">
        <w:t xml:space="preserve">: </w:t>
      </w:r>
      <w:r w:rsidRPr="00BE4B21">
        <w:rPr>
          <w:lang w:eastAsia="bg-BG"/>
        </w:rPr>
        <w:t xml:space="preserve">Всяка таблетка съдържа 25 </w:t>
      </w:r>
      <w:r w:rsidRPr="00BE4B21">
        <w:rPr>
          <w:lang w:val="en-US"/>
        </w:rPr>
        <w:t>mg</w:t>
      </w:r>
      <w:r w:rsidRPr="00BE4B21">
        <w:t xml:space="preserve"> </w:t>
      </w:r>
      <w:r w:rsidRPr="00BE4B21">
        <w:rPr>
          <w:lang w:eastAsia="bg-BG"/>
        </w:rPr>
        <w:t xml:space="preserve">клозапин </w:t>
      </w:r>
      <w:r w:rsidRPr="00BE4B21">
        <w:rPr>
          <w:iCs/>
        </w:rPr>
        <w:t>(</w:t>
      </w:r>
      <w:r w:rsidRPr="00BE4B21">
        <w:rPr>
          <w:iCs/>
          <w:lang w:val="en-US"/>
        </w:rPr>
        <w:t>clozapine</w:t>
      </w:r>
      <w:r w:rsidRPr="00BE4B21">
        <w:rPr>
          <w:iCs/>
        </w:rPr>
        <w:t>).</w:t>
      </w:r>
    </w:p>
    <w:p w14:paraId="2D5B6BFF" w14:textId="77777777" w:rsidR="00BE4B21" w:rsidRPr="00BE4B21" w:rsidRDefault="00BE4B21" w:rsidP="00BE4B21">
      <w:pPr>
        <w:rPr>
          <w:sz w:val="24"/>
          <w:szCs w:val="24"/>
        </w:rPr>
      </w:pPr>
      <w:r w:rsidRPr="00BE4B21">
        <w:rPr>
          <w:lang w:eastAsia="bg-BG"/>
        </w:rPr>
        <w:t xml:space="preserve">100 </w:t>
      </w:r>
      <w:r w:rsidRPr="00BE4B21">
        <w:rPr>
          <w:lang w:val="en-US"/>
        </w:rPr>
        <w:t>mg</w:t>
      </w:r>
      <w:r w:rsidRPr="00BE4B21">
        <w:t xml:space="preserve">: </w:t>
      </w:r>
      <w:r w:rsidRPr="00BE4B21">
        <w:rPr>
          <w:lang w:eastAsia="bg-BG"/>
        </w:rPr>
        <w:t xml:space="preserve">Всяка таблетка съдържа 100 </w:t>
      </w:r>
      <w:r w:rsidRPr="00BE4B21">
        <w:rPr>
          <w:lang w:val="en-US"/>
        </w:rPr>
        <w:t>mg</w:t>
      </w:r>
      <w:r w:rsidRPr="00BE4B21">
        <w:t xml:space="preserve"> </w:t>
      </w:r>
      <w:r w:rsidRPr="00BE4B21">
        <w:rPr>
          <w:lang w:eastAsia="bg-BG"/>
        </w:rPr>
        <w:t xml:space="preserve">клозапин </w:t>
      </w:r>
      <w:r w:rsidRPr="00BE4B21">
        <w:rPr>
          <w:i/>
          <w:iCs/>
        </w:rPr>
        <w:t>(</w:t>
      </w:r>
      <w:r w:rsidRPr="00BE4B21">
        <w:rPr>
          <w:i/>
          <w:iCs/>
          <w:lang w:val="en-US"/>
        </w:rPr>
        <w:t>clozapine</w:t>
      </w:r>
      <w:r w:rsidRPr="00BE4B21">
        <w:rPr>
          <w:i/>
          <w:iCs/>
        </w:rPr>
        <w:t>).</w:t>
      </w:r>
    </w:p>
    <w:p w14:paraId="274AF27A" w14:textId="77777777" w:rsidR="00BE4B21" w:rsidRPr="00BE4B21" w:rsidRDefault="00BE4B21" w:rsidP="00BE4B21">
      <w:pPr>
        <w:rPr>
          <w:sz w:val="24"/>
          <w:szCs w:val="24"/>
        </w:rPr>
      </w:pPr>
      <w:r w:rsidRPr="00BE4B21">
        <w:rPr>
          <w:lang w:eastAsia="bg-BG"/>
        </w:rPr>
        <w:t xml:space="preserve">200 </w:t>
      </w:r>
      <w:r w:rsidRPr="00BE4B21">
        <w:rPr>
          <w:lang w:val="en-US"/>
        </w:rPr>
        <w:t>mg</w:t>
      </w:r>
      <w:r w:rsidRPr="00BE4B21">
        <w:t xml:space="preserve"> </w:t>
      </w:r>
      <w:r w:rsidRPr="00BE4B21">
        <w:rPr>
          <w:lang w:eastAsia="bg-BG"/>
        </w:rPr>
        <w:t xml:space="preserve">Всяка таблетка съдържа 200 </w:t>
      </w:r>
      <w:r w:rsidRPr="00BE4B21">
        <w:rPr>
          <w:lang w:val="en-US"/>
        </w:rPr>
        <w:t>mg</w:t>
      </w:r>
      <w:r w:rsidRPr="00BE4B21">
        <w:t xml:space="preserve"> </w:t>
      </w:r>
      <w:r w:rsidRPr="00BE4B21">
        <w:rPr>
          <w:lang w:eastAsia="bg-BG"/>
        </w:rPr>
        <w:t xml:space="preserve">клозапин </w:t>
      </w:r>
      <w:r w:rsidRPr="00BE4B21">
        <w:rPr>
          <w:i/>
          <w:iCs/>
        </w:rPr>
        <w:t>(</w:t>
      </w:r>
      <w:r w:rsidRPr="00BE4B21">
        <w:rPr>
          <w:i/>
          <w:iCs/>
          <w:lang w:val="en-US"/>
        </w:rPr>
        <w:t>clozapine</w:t>
      </w:r>
      <w:r w:rsidRPr="00BE4B21">
        <w:rPr>
          <w:i/>
          <w:iCs/>
        </w:rPr>
        <w:t>).</w:t>
      </w:r>
    </w:p>
    <w:p w14:paraId="7FE90DF4" w14:textId="77777777" w:rsidR="00BE4B21" w:rsidRDefault="00BE4B21" w:rsidP="00BE4B21">
      <w:pPr>
        <w:rPr>
          <w:u w:val="single"/>
          <w:lang w:eastAsia="bg-BG"/>
        </w:rPr>
      </w:pPr>
    </w:p>
    <w:p w14:paraId="0144E7D3" w14:textId="2C70D6B1" w:rsidR="00BE4B21" w:rsidRPr="00BE4B21" w:rsidRDefault="00BE4B21" w:rsidP="00BE4B21">
      <w:pPr>
        <w:rPr>
          <w:sz w:val="24"/>
          <w:szCs w:val="24"/>
        </w:rPr>
      </w:pPr>
      <w:r w:rsidRPr="00BE4B21">
        <w:rPr>
          <w:u w:val="single"/>
          <w:lang w:eastAsia="bg-BG"/>
        </w:rPr>
        <w:t>Помощно вещество с известно действие:</w:t>
      </w:r>
    </w:p>
    <w:p w14:paraId="2D0B7AC0" w14:textId="77777777" w:rsidR="00BE4B21" w:rsidRDefault="00BE4B21" w:rsidP="00BE4B21">
      <w:pPr>
        <w:rPr>
          <w:lang w:eastAsia="bg-BG"/>
        </w:rPr>
      </w:pPr>
    </w:p>
    <w:p w14:paraId="4B7E314A" w14:textId="2A6CDA9D" w:rsidR="00BE4B21" w:rsidRPr="00BE4B21" w:rsidRDefault="00BE4B21" w:rsidP="00BE4B21">
      <w:pPr>
        <w:rPr>
          <w:sz w:val="24"/>
          <w:szCs w:val="24"/>
        </w:rPr>
      </w:pPr>
      <w:r w:rsidRPr="00BE4B21">
        <w:rPr>
          <w:lang w:eastAsia="bg-BG"/>
        </w:rPr>
        <w:t>Лактоза:</w:t>
      </w:r>
    </w:p>
    <w:p w14:paraId="4335C118" w14:textId="77777777" w:rsidR="00BE4B21" w:rsidRPr="00BE4B21" w:rsidRDefault="00BE4B21" w:rsidP="00BE4B21">
      <w:pPr>
        <w:rPr>
          <w:sz w:val="24"/>
          <w:szCs w:val="24"/>
        </w:rPr>
      </w:pPr>
      <w:r w:rsidRPr="00BE4B21">
        <w:rPr>
          <w:lang w:eastAsia="bg-BG"/>
        </w:rPr>
        <w:t xml:space="preserve">25 </w:t>
      </w:r>
      <w:r w:rsidRPr="00BE4B21">
        <w:rPr>
          <w:lang w:val="en-US"/>
        </w:rPr>
        <w:t>mg</w:t>
      </w:r>
      <w:r w:rsidRPr="00BE4B21">
        <w:t xml:space="preserve">: </w:t>
      </w:r>
      <w:r w:rsidRPr="00BE4B21">
        <w:rPr>
          <w:lang w:eastAsia="bg-BG"/>
        </w:rPr>
        <w:t xml:space="preserve">Всяка таблетка съдържа 46 </w:t>
      </w:r>
      <w:r w:rsidRPr="00BE4B21">
        <w:rPr>
          <w:lang w:val="en-US"/>
        </w:rPr>
        <w:t>mg</w:t>
      </w:r>
      <w:r w:rsidRPr="00BE4B21">
        <w:t xml:space="preserve"> </w:t>
      </w:r>
      <w:r w:rsidRPr="00BE4B21">
        <w:rPr>
          <w:lang w:eastAsia="bg-BG"/>
        </w:rPr>
        <w:t>лактоза.</w:t>
      </w:r>
    </w:p>
    <w:p w14:paraId="003D9987" w14:textId="77777777" w:rsidR="00BE4B21" w:rsidRPr="00BE4B21" w:rsidRDefault="00BE4B21" w:rsidP="00BE4B21">
      <w:pPr>
        <w:rPr>
          <w:sz w:val="24"/>
          <w:szCs w:val="24"/>
        </w:rPr>
      </w:pPr>
      <w:r w:rsidRPr="00BE4B21">
        <w:rPr>
          <w:lang w:eastAsia="bg-BG"/>
        </w:rPr>
        <w:t xml:space="preserve">100 </w:t>
      </w:r>
      <w:r w:rsidRPr="00BE4B21">
        <w:rPr>
          <w:lang w:val="en-US"/>
        </w:rPr>
        <w:t>mg</w:t>
      </w:r>
      <w:r w:rsidRPr="00BE4B21">
        <w:rPr>
          <w:lang w:val="ru-RU"/>
        </w:rPr>
        <w:t xml:space="preserve">: </w:t>
      </w:r>
      <w:r w:rsidRPr="00BE4B21">
        <w:rPr>
          <w:lang w:eastAsia="bg-BG"/>
        </w:rPr>
        <w:t xml:space="preserve">Всяка таблетка съдържа 182 </w:t>
      </w:r>
      <w:r w:rsidRPr="00BE4B21">
        <w:rPr>
          <w:lang w:val="en-US"/>
        </w:rPr>
        <w:t>mg</w:t>
      </w:r>
      <w:r w:rsidRPr="00BE4B21">
        <w:rPr>
          <w:lang w:val="ru-RU"/>
        </w:rPr>
        <w:t xml:space="preserve"> </w:t>
      </w:r>
      <w:r w:rsidRPr="00BE4B21">
        <w:rPr>
          <w:lang w:eastAsia="bg-BG"/>
        </w:rPr>
        <w:t>лактоза.</w:t>
      </w:r>
    </w:p>
    <w:p w14:paraId="5637816B" w14:textId="77777777" w:rsidR="00BE4B21" w:rsidRPr="00BE4B21" w:rsidRDefault="00BE4B21" w:rsidP="00BE4B21">
      <w:pPr>
        <w:rPr>
          <w:sz w:val="24"/>
          <w:szCs w:val="24"/>
        </w:rPr>
      </w:pPr>
      <w:r w:rsidRPr="00BE4B21">
        <w:rPr>
          <w:lang w:eastAsia="bg-BG"/>
        </w:rPr>
        <w:t xml:space="preserve">200 </w:t>
      </w:r>
      <w:r w:rsidRPr="00BE4B21">
        <w:rPr>
          <w:lang w:val="en-US"/>
        </w:rPr>
        <w:t>mg</w:t>
      </w:r>
      <w:r w:rsidRPr="00BE4B21">
        <w:rPr>
          <w:lang w:val="ru-RU"/>
        </w:rPr>
        <w:t xml:space="preserve">: </w:t>
      </w:r>
      <w:r w:rsidRPr="00BE4B21">
        <w:rPr>
          <w:lang w:eastAsia="bg-BG"/>
        </w:rPr>
        <w:t xml:space="preserve">Всяка таблетка съдържа 365 </w:t>
      </w:r>
      <w:r w:rsidRPr="00BE4B21">
        <w:rPr>
          <w:lang w:val="en-US"/>
        </w:rPr>
        <w:t>mg</w:t>
      </w:r>
      <w:r w:rsidRPr="00BE4B21">
        <w:rPr>
          <w:lang w:val="ru-RU"/>
        </w:rPr>
        <w:t xml:space="preserve"> </w:t>
      </w:r>
      <w:r w:rsidRPr="00BE4B21">
        <w:rPr>
          <w:lang w:eastAsia="bg-BG"/>
        </w:rPr>
        <w:t>лактоза.</w:t>
      </w:r>
    </w:p>
    <w:p w14:paraId="6291FEE8" w14:textId="77777777" w:rsidR="00BE4B21" w:rsidRPr="00BE4B21" w:rsidRDefault="00BE4B21" w:rsidP="00BE4B21"/>
    <w:p w14:paraId="614984C4" w14:textId="36723262" w:rsidR="008A6AF2" w:rsidRDefault="00DD466D" w:rsidP="002C50EE">
      <w:pPr>
        <w:pStyle w:val="Heading1"/>
      </w:pPr>
      <w:r>
        <w:t>3. ЛЕКАРСТВЕНА ФОРМА</w:t>
      </w:r>
    </w:p>
    <w:p w14:paraId="5603A3DB" w14:textId="64B1E29F" w:rsidR="00BE4B21" w:rsidRDefault="00BE4B21" w:rsidP="00BE4B21"/>
    <w:p w14:paraId="327845B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Таблетки.</w:t>
      </w:r>
    </w:p>
    <w:p w14:paraId="782A05D4" w14:textId="77777777" w:rsidR="00BE4B21" w:rsidRPr="00BE4B21" w:rsidRDefault="00BE4B21" w:rsidP="00BE4B21">
      <w:pPr>
        <w:spacing w:line="240" w:lineRule="auto"/>
        <w:rPr>
          <w:rFonts w:eastAsia="Times New Roman" w:cs="Arial"/>
          <w:color w:val="000000"/>
          <w:szCs w:val="20"/>
          <w:lang w:eastAsia="bg-BG"/>
        </w:rPr>
      </w:pPr>
    </w:p>
    <w:p w14:paraId="4B1770DF" w14:textId="16A5F80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25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кръгла,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„1” от двете страни на делителната черта, и гладка от другата страна на таблетката, с диаметър приблизително 6,0 </w:t>
      </w:r>
      <w:r w:rsidRPr="00BE4B21">
        <w:rPr>
          <w:rFonts w:eastAsia="Times New Roman" w:cs="Arial"/>
          <w:color w:val="000000"/>
          <w:szCs w:val="20"/>
          <w:lang w:val="en-US"/>
        </w:rPr>
        <w:t>mm</w:t>
      </w:r>
      <w:r w:rsidRPr="00BE4B21">
        <w:rPr>
          <w:rFonts w:eastAsia="Times New Roman" w:cs="Arial"/>
          <w:color w:val="000000"/>
          <w:szCs w:val="20"/>
          <w:lang w:val="ru-RU"/>
        </w:rPr>
        <w:t>.</w:t>
      </w:r>
    </w:p>
    <w:p w14:paraId="4B0313BF" w14:textId="77777777" w:rsidR="00BE4B21" w:rsidRPr="00BE4B21" w:rsidRDefault="00BE4B21" w:rsidP="00BE4B21">
      <w:pPr>
        <w:spacing w:line="240" w:lineRule="auto"/>
        <w:rPr>
          <w:rFonts w:eastAsia="Times New Roman" w:cs="Arial"/>
          <w:color w:val="000000"/>
          <w:szCs w:val="20"/>
          <w:lang w:eastAsia="bg-BG"/>
        </w:rPr>
      </w:pPr>
    </w:p>
    <w:p w14:paraId="5D51EA5C" w14:textId="44A00C4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100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кръгла,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”3” от двете страни на делителната черта, и гладка от другата страна на таблетката, с диаметър приблизително 10,0 </w:t>
      </w:r>
      <w:r w:rsidRPr="00BE4B21">
        <w:rPr>
          <w:rFonts w:eastAsia="Times New Roman" w:cs="Arial"/>
          <w:color w:val="000000"/>
          <w:szCs w:val="20"/>
          <w:lang w:val="en-US"/>
        </w:rPr>
        <w:t>mm</w:t>
      </w:r>
      <w:r w:rsidRPr="00BE4B21">
        <w:rPr>
          <w:rFonts w:eastAsia="Times New Roman" w:cs="Arial"/>
          <w:color w:val="000000"/>
          <w:szCs w:val="20"/>
          <w:lang w:val="ru-RU"/>
        </w:rPr>
        <w:t>.</w:t>
      </w:r>
    </w:p>
    <w:p w14:paraId="3606F98B" w14:textId="77777777" w:rsidR="00BE4B21" w:rsidRPr="00BE4B21" w:rsidRDefault="00BE4B21" w:rsidP="00BE4B21">
      <w:pPr>
        <w:spacing w:line="240" w:lineRule="auto"/>
        <w:rPr>
          <w:rFonts w:eastAsia="Times New Roman" w:cs="Arial"/>
          <w:color w:val="000000"/>
          <w:szCs w:val="20"/>
          <w:lang w:eastAsia="bg-BG"/>
        </w:rPr>
      </w:pPr>
    </w:p>
    <w:p w14:paraId="2A98B2F9" w14:textId="7F2E808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продълговата,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w:t>
      </w:r>
      <w:r w:rsidRPr="00BE4B21">
        <w:rPr>
          <w:rFonts w:eastAsia="Times New Roman" w:cs="Arial"/>
          <w:color w:val="000000"/>
          <w:szCs w:val="20"/>
          <w:lang w:val="ru-RU"/>
        </w:rPr>
        <w:t xml:space="preserve">” </w:t>
      </w:r>
      <w:r w:rsidRPr="00BE4B21">
        <w:rPr>
          <w:rFonts w:eastAsia="Times New Roman" w:cs="Arial"/>
          <w:color w:val="000000"/>
          <w:szCs w:val="20"/>
          <w:lang w:eastAsia="bg-BG"/>
        </w:rPr>
        <w:t>и „С” и три делителни черти от едната страна на таблетката, и с релефно изображение „7” и три делителни черти от другата страна, с дължина приблизително</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17,00 </w:t>
      </w:r>
      <w:r w:rsidRPr="00BE4B21">
        <w:rPr>
          <w:rFonts w:eastAsia="Times New Roman" w:cs="Arial"/>
          <w:color w:val="000000"/>
          <w:szCs w:val="20"/>
          <w:lang w:val="en-US"/>
        </w:rPr>
        <w:t>mm</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ширина приблизително 8,0 </w:t>
      </w:r>
      <w:r w:rsidRPr="00BE4B21">
        <w:rPr>
          <w:rFonts w:eastAsia="Times New Roman" w:cs="Arial"/>
          <w:color w:val="000000"/>
          <w:szCs w:val="20"/>
          <w:lang w:val="en-US"/>
        </w:rPr>
        <w:t>mm</w:t>
      </w:r>
      <w:r w:rsidRPr="00BE4B21">
        <w:rPr>
          <w:rFonts w:eastAsia="Times New Roman" w:cs="Arial"/>
          <w:color w:val="000000"/>
          <w:szCs w:val="20"/>
          <w:lang w:val="ru-RU"/>
        </w:rPr>
        <w:t>.</w:t>
      </w:r>
    </w:p>
    <w:p w14:paraId="7DADFBE8" w14:textId="77777777" w:rsidR="00BE4B21" w:rsidRPr="00BE4B21" w:rsidRDefault="00BE4B21" w:rsidP="00BE4B21">
      <w:pPr>
        <w:spacing w:line="240" w:lineRule="auto"/>
        <w:rPr>
          <w:rFonts w:eastAsia="Times New Roman" w:cs="Arial"/>
          <w:color w:val="000000"/>
          <w:szCs w:val="20"/>
          <w:lang w:eastAsia="bg-BG"/>
        </w:rPr>
      </w:pPr>
    </w:p>
    <w:p w14:paraId="3F16D558" w14:textId="204B23E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25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Таблетката може да бъде разделена на две равни дози.</w:t>
      </w:r>
    </w:p>
    <w:p w14:paraId="6A03777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100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Таблетката може да бъде разделена на две равни дози.</w:t>
      </w:r>
    </w:p>
    <w:p w14:paraId="220B2304"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174FD457" w14:textId="77777777" w:rsidR="00BE4B21" w:rsidRPr="00BE4B21" w:rsidRDefault="00BE4B21" w:rsidP="00BE4B21"/>
    <w:p w14:paraId="490FC2C4" w14:textId="0F4A4A75" w:rsidR="002C50EE" w:rsidRDefault="002C50EE" w:rsidP="002C50EE">
      <w:pPr>
        <w:pStyle w:val="Heading1"/>
      </w:pPr>
      <w:r>
        <w:lastRenderedPageBreak/>
        <w:t>4. КЛИНИЧНИ ДАННИ</w:t>
      </w:r>
    </w:p>
    <w:p w14:paraId="74330405" w14:textId="4185A442" w:rsidR="007122AD" w:rsidRDefault="002C50EE" w:rsidP="00936AD0">
      <w:pPr>
        <w:pStyle w:val="Heading2"/>
      </w:pPr>
      <w:r>
        <w:t>4.1. Терапевтични показания</w:t>
      </w:r>
    </w:p>
    <w:p w14:paraId="3EFB5483" w14:textId="4AE60BF1" w:rsidR="00BE4B21" w:rsidRDefault="00BE4B21" w:rsidP="00BE4B21"/>
    <w:p w14:paraId="0A3C1CE4"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Лечение на терапевтично резистентна шизофрения</w:t>
      </w:r>
    </w:p>
    <w:p w14:paraId="2F8995D4" w14:textId="77777777" w:rsidR="00BE4B21" w:rsidRPr="00BE4B21" w:rsidRDefault="00BE4B21" w:rsidP="00BE4B21">
      <w:pPr>
        <w:spacing w:line="240" w:lineRule="auto"/>
        <w:rPr>
          <w:rFonts w:eastAsia="Times New Roman" w:cs="Arial"/>
          <w:color w:val="000000"/>
          <w:szCs w:val="20"/>
          <w:lang w:eastAsia="bg-BG"/>
        </w:rPr>
      </w:pPr>
    </w:p>
    <w:p w14:paraId="3F2D0163" w14:textId="3B79178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е показан при пациенти с терапевтично резистентна шизофрения, които имат тежки, неповлияващи се от лечението пристъпи или нежелани реакции от други антипсихотични лекарства, включително атипични антипсихотици.</w:t>
      </w:r>
    </w:p>
    <w:p w14:paraId="2734F064" w14:textId="77777777" w:rsidR="00BE4B21" w:rsidRPr="00BE4B21" w:rsidRDefault="00BE4B21" w:rsidP="00BE4B21">
      <w:pPr>
        <w:spacing w:line="240" w:lineRule="auto"/>
        <w:rPr>
          <w:rFonts w:eastAsia="Times New Roman" w:cs="Arial"/>
          <w:color w:val="000000"/>
          <w:szCs w:val="20"/>
          <w:lang w:eastAsia="bg-BG"/>
        </w:rPr>
      </w:pPr>
    </w:p>
    <w:p w14:paraId="3C9B1366" w14:textId="4C45A76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Резнстентност към лечението се дефинира като липса на задоволително клинично подобрение, независимо от достатъчните дози от поне две различни антипсихотични лекарства, включително атипичен антипсихотик, предписван за достатъчно продължителен период от време.</w:t>
      </w:r>
    </w:p>
    <w:p w14:paraId="03BFF0C8" w14:textId="77777777" w:rsidR="00BE4B21" w:rsidRPr="00BE4B21" w:rsidRDefault="00BE4B21" w:rsidP="00BE4B21">
      <w:pPr>
        <w:spacing w:line="240" w:lineRule="auto"/>
        <w:rPr>
          <w:rFonts w:eastAsia="Times New Roman" w:cs="Arial"/>
          <w:color w:val="000000"/>
          <w:szCs w:val="20"/>
          <w:u w:val="single"/>
          <w:lang w:eastAsia="bg-BG"/>
        </w:rPr>
      </w:pPr>
    </w:p>
    <w:p w14:paraId="24440121" w14:textId="34F7067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Само за таблетки от 25 </w:t>
      </w:r>
      <w:r w:rsidRPr="00BE4B21">
        <w:rPr>
          <w:rFonts w:eastAsia="Times New Roman" w:cs="Arial"/>
          <w:color w:val="000000"/>
          <w:szCs w:val="20"/>
          <w:u w:val="single"/>
          <w:lang w:val="en-US"/>
        </w:rPr>
        <w:t>mg</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и 100 </w:t>
      </w:r>
      <w:r w:rsidRPr="00BE4B21">
        <w:rPr>
          <w:rFonts w:eastAsia="Times New Roman" w:cs="Arial"/>
          <w:color w:val="000000"/>
          <w:szCs w:val="20"/>
          <w:u w:val="single"/>
          <w:lang w:val="en-US"/>
        </w:rPr>
        <w:t>mg</w:t>
      </w:r>
      <w:r w:rsidRPr="00BE4B21">
        <w:rPr>
          <w:rFonts w:eastAsia="Times New Roman" w:cs="Arial"/>
          <w:color w:val="000000"/>
          <w:szCs w:val="20"/>
          <w:u w:val="single"/>
          <w:lang w:val="ru-RU"/>
        </w:rPr>
        <w:t>:</w:t>
      </w:r>
    </w:p>
    <w:p w14:paraId="02743341" w14:textId="77777777" w:rsidR="00BE4B21" w:rsidRPr="00BE4B21" w:rsidRDefault="00BE4B21" w:rsidP="00BE4B21">
      <w:pPr>
        <w:spacing w:line="240" w:lineRule="auto"/>
        <w:rPr>
          <w:rFonts w:eastAsia="Times New Roman" w:cs="Arial"/>
          <w:color w:val="000000"/>
          <w:szCs w:val="20"/>
          <w:u w:val="single"/>
          <w:lang w:eastAsia="bg-BG"/>
        </w:rPr>
      </w:pPr>
    </w:p>
    <w:p w14:paraId="5FEC16FE" w14:textId="7584CB3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Психоза при болест на Паркинсон</w:t>
      </w:r>
    </w:p>
    <w:p w14:paraId="7F3AFD77" w14:textId="719FAA10"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е показан също при психотични нарушения, възникващи в хода на болестта на</w:t>
      </w:r>
    </w:p>
    <w:p w14:paraId="7664FB08" w14:textId="154C1FED" w:rsidR="00BE4B21" w:rsidRPr="00BE4B21" w:rsidRDefault="00BE4B21" w:rsidP="00BE4B21">
      <w:pPr>
        <w:rPr>
          <w:rFonts w:eastAsia="Times New Roman" w:cs="Arial"/>
          <w:color w:val="000000"/>
          <w:szCs w:val="20"/>
          <w:lang w:eastAsia="bg-BG"/>
        </w:rPr>
      </w:pPr>
      <w:r w:rsidRPr="00BE4B21">
        <w:rPr>
          <w:rFonts w:eastAsia="Times New Roman" w:cs="Arial"/>
          <w:color w:val="000000"/>
          <w:szCs w:val="20"/>
          <w:lang w:eastAsia="bg-BG"/>
        </w:rPr>
        <w:t>Паркинсон в случаите, когато стандартното лечение е било неуспешно.</w:t>
      </w:r>
    </w:p>
    <w:p w14:paraId="2471812B" w14:textId="77777777" w:rsidR="00BE4B21" w:rsidRPr="00BE4B21" w:rsidRDefault="00BE4B21" w:rsidP="00BE4B21"/>
    <w:p w14:paraId="53F5B866" w14:textId="418C0A51" w:rsidR="007122AD" w:rsidRDefault="002C50EE" w:rsidP="00936AD0">
      <w:pPr>
        <w:pStyle w:val="Heading2"/>
      </w:pPr>
      <w:r>
        <w:t>4.2. Дозировка и начин на приложение</w:t>
      </w:r>
    </w:p>
    <w:p w14:paraId="34748E2F" w14:textId="767F62DC" w:rsidR="00BE4B21" w:rsidRDefault="00BE4B21" w:rsidP="00BE4B21"/>
    <w:p w14:paraId="56913C89" w14:textId="77777777" w:rsidR="00BE4B21" w:rsidRPr="00BE4B21" w:rsidRDefault="00BE4B21" w:rsidP="00BE4B21">
      <w:pPr>
        <w:pStyle w:val="Heading3"/>
        <w:rPr>
          <w:rFonts w:eastAsia="Times New Roman"/>
          <w:u w:val="single"/>
        </w:rPr>
      </w:pPr>
      <w:r w:rsidRPr="00BE4B21">
        <w:rPr>
          <w:rFonts w:eastAsia="Times New Roman"/>
          <w:u w:val="single"/>
          <w:lang w:eastAsia="bg-BG"/>
        </w:rPr>
        <w:t>Дозировка</w:t>
      </w:r>
    </w:p>
    <w:p w14:paraId="2D0E9CAC" w14:textId="77777777" w:rsidR="00BE4B21" w:rsidRPr="00BE4B21" w:rsidRDefault="00BE4B21" w:rsidP="00BE4B21">
      <w:pPr>
        <w:spacing w:line="240" w:lineRule="auto"/>
        <w:rPr>
          <w:rFonts w:eastAsia="Times New Roman" w:cs="Arial"/>
          <w:color w:val="000000"/>
          <w:lang w:eastAsia="bg-BG"/>
        </w:rPr>
      </w:pPr>
    </w:p>
    <w:p w14:paraId="1CCC4729" w14:textId="24DC289C" w:rsidR="00BE4B21" w:rsidRPr="00BE4B21" w:rsidRDefault="00BE4B21" w:rsidP="00BE4B21">
      <w:pPr>
        <w:spacing w:line="240" w:lineRule="auto"/>
        <w:rPr>
          <w:rFonts w:eastAsia="Times New Roman" w:cs="Arial"/>
        </w:rPr>
      </w:pPr>
      <w:r w:rsidRPr="00BE4B21">
        <w:rPr>
          <w:rFonts w:eastAsia="Times New Roman" w:cs="Arial"/>
          <w:color w:val="000000"/>
          <w:lang w:eastAsia="bg-BG"/>
        </w:rPr>
        <w:t>Дозировката трябва да бъде определяна индивидуално. При всеки пациент трябва да се прилага най-ниската ефективна доза. За дози, които не могат да се постигнат с тази концентрация или нейното използване е непрактично, са налични други концентрации на този лекарствен продукт. Внимателно титриране и схема на дозиране са необходими за минимизиране на рисковете от хипотония, гърчове и седация.</w:t>
      </w:r>
    </w:p>
    <w:p w14:paraId="41DC19F2" w14:textId="77777777" w:rsidR="00BE4B21" w:rsidRPr="00BE4B21" w:rsidRDefault="00BE4B21" w:rsidP="00BE4B21">
      <w:pPr>
        <w:spacing w:line="240" w:lineRule="auto"/>
        <w:rPr>
          <w:rFonts w:eastAsia="Times New Roman" w:cs="Arial"/>
          <w:color w:val="000000"/>
          <w:lang w:eastAsia="bg-BG"/>
        </w:rPr>
      </w:pPr>
    </w:p>
    <w:p w14:paraId="63D2BF3E" w14:textId="249D4E93"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Започването на лечението с клозапин трябва да бъде ограничено до пациентите с левкоцитен брой </w:t>
      </w:r>
      <w:r w:rsidRPr="00BE4B21">
        <w:rPr>
          <w:rFonts w:eastAsia="Times New Roman" w:cs="Arial"/>
          <w:color w:val="000000"/>
          <w:lang w:val="en-US"/>
        </w:rPr>
        <w:t>WBC</w:t>
      </w:r>
      <w:r w:rsidRPr="00BE4B21">
        <w:rPr>
          <w:rFonts w:eastAsia="Times New Roman" w:cs="Arial"/>
          <w:color w:val="000000"/>
          <w:lang w:val="ru-RU"/>
        </w:rPr>
        <w:t xml:space="preserve"> </w:t>
      </w:r>
      <w:r w:rsidRPr="00BE4B21">
        <w:rPr>
          <w:rFonts w:eastAsia="Times New Roman" w:cs="Arial"/>
          <w:color w:val="000000"/>
          <w:lang w:eastAsia="bg-BG"/>
        </w:rPr>
        <w:t xml:space="preserve">≥ 3 </w:t>
      </w:r>
      <w:r w:rsidRPr="00BE4B21">
        <w:rPr>
          <w:rFonts w:eastAsia="Times New Roman" w:cs="Arial"/>
          <w:color w:val="000000"/>
          <w:lang w:val="ru-RU"/>
        </w:rPr>
        <w:t>500/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(3,5</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 xml:space="preserve">/1) 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 xml:space="preserve">≥2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w:t>
      </w:r>
      <w:r w:rsidRPr="00BE4B21">
        <w:rPr>
          <w:rFonts w:eastAsia="Times New Roman" w:cs="Arial"/>
          <w:color w:val="000000"/>
          <w:lang w:eastAsia="bg-BG"/>
        </w:rPr>
        <w:t>(2,0х10</w:t>
      </w:r>
      <w:r w:rsidRPr="00BE4B21">
        <w:rPr>
          <w:rFonts w:eastAsia="Times New Roman" w:cs="Arial"/>
          <w:color w:val="000000"/>
          <w:vertAlign w:val="superscript"/>
          <w:lang w:eastAsia="bg-BG"/>
        </w:rPr>
        <w:t>9</w:t>
      </w:r>
      <w:r w:rsidRPr="00BE4B21">
        <w:rPr>
          <w:rFonts w:eastAsia="Times New Roman" w:cs="Arial"/>
          <w:color w:val="000000"/>
          <w:lang w:eastAsia="bg-BG"/>
        </w:rPr>
        <w:t>/1) в рамките на референтните стойности.</w:t>
      </w:r>
    </w:p>
    <w:p w14:paraId="203AF74E" w14:textId="77777777" w:rsidR="00BE4B21" w:rsidRPr="00BE4B21" w:rsidRDefault="00BE4B21" w:rsidP="00BE4B21">
      <w:pPr>
        <w:spacing w:line="240" w:lineRule="auto"/>
        <w:rPr>
          <w:rFonts w:eastAsia="Times New Roman" w:cs="Arial"/>
          <w:color w:val="000000"/>
          <w:lang w:eastAsia="bg-BG"/>
        </w:rPr>
      </w:pPr>
    </w:p>
    <w:p w14:paraId="26FF9514" w14:textId="33DC29C3"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Промени в дозировката са показани при пациенти, които получават едновременно и лекарствени продукти, които показват фармакодинамични и фармакокинетични взаимодействия с клозапин, като бензодиазепини и селективни инхибитори на обратното захващане на серотонина (вж. точка 4.5).</w:t>
      </w:r>
    </w:p>
    <w:p w14:paraId="366E690A" w14:textId="77777777" w:rsidR="00BE4B21" w:rsidRPr="00BE4B21" w:rsidRDefault="00BE4B21" w:rsidP="00BE4B21">
      <w:pPr>
        <w:spacing w:line="240" w:lineRule="auto"/>
        <w:rPr>
          <w:rFonts w:eastAsia="Times New Roman" w:cs="Arial"/>
          <w:i/>
          <w:iCs/>
          <w:color w:val="000000"/>
          <w:u w:val="single"/>
          <w:lang w:eastAsia="bg-BG"/>
        </w:rPr>
      </w:pPr>
    </w:p>
    <w:p w14:paraId="3606D4CB" w14:textId="112E4088"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Преминаване на лечение с клозапин от предхождаща антипсихотична терапия</w:t>
      </w:r>
    </w:p>
    <w:p w14:paraId="3F1E2FE3"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Обиковено се препоръчва клозапин да не се използва в комбинация с други антипсихотични лекарства. При започване на лечение с клозапин, при пациент на перорално лечение с антипсихотични лекарства, се препоръчва първо да се спре приложението на останалите антипсихотици чрез постепенно понижаване на дозата.</w:t>
      </w:r>
    </w:p>
    <w:p w14:paraId="25BB50E9" w14:textId="77777777" w:rsidR="00BE4B21" w:rsidRPr="00BE4B21" w:rsidRDefault="00BE4B21" w:rsidP="00BE4B21">
      <w:pPr>
        <w:spacing w:line="240" w:lineRule="auto"/>
        <w:rPr>
          <w:rFonts w:eastAsia="Times New Roman" w:cs="Arial"/>
          <w:color w:val="000000"/>
          <w:lang w:eastAsia="bg-BG"/>
        </w:rPr>
      </w:pPr>
    </w:p>
    <w:p w14:paraId="041FDD87" w14:textId="44C070FC"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Препоръчват се следните дози:</w:t>
      </w:r>
    </w:p>
    <w:p w14:paraId="28D0D778" w14:textId="77777777" w:rsidR="00BE4B21" w:rsidRPr="00BE4B21" w:rsidRDefault="00BE4B21" w:rsidP="00BE4B21">
      <w:pPr>
        <w:spacing w:line="240" w:lineRule="auto"/>
        <w:rPr>
          <w:rFonts w:eastAsia="Times New Roman" w:cs="Arial"/>
          <w:i/>
          <w:iCs/>
          <w:color w:val="000000"/>
          <w:u w:val="single"/>
          <w:lang w:eastAsia="bg-BG"/>
        </w:rPr>
      </w:pPr>
    </w:p>
    <w:p w14:paraId="55823126" w14:textId="1E1BBA90"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Паииенти с терапевтично резистентна шизофрения</w:t>
      </w:r>
    </w:p>
    <w:p w14:paraId="27C8DBDE" w14:textId="77777777" w:rsidR="00BE4B21" w:rsidRPr="00BE4B21" w:rsidRDefault="00BE4B21" w:rsidP="00BE4B21">
      <w:pPr>
        <w:spacing w:line="240" w:lineRule="auto"/>
        <w:rPr>
          <w:rFonts w:eastAsia="Times New Roman" w:cs="Arial"/>
          <w:i/>
          <w:iCs/>
          <w:color w:val="000000"/>
          <w:lang w:eastAsia="bg-BG"/>
        </w:rPr>
      </w:pPr>
    </w:p>
    <w:p w14:paraId="7EA465FA" w14:textId="6EE6D010"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lastRenderedPageBreak/>
        <w:t>Начална терапия</w:t>
      </w:r>
    </w:p>
    <w:p w14:paraId="03E92C9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веднъж или два пъти на ден през първия ден, последвана от една или две таблетки от 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на втория ден. При добра поносимост, дневната доза след това може да се повиши бавно на стъпки от 25 до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за да се постигне дозово ниво до 300 </w:t>
      </w:r>
      <w:r w:rsidRPr="00BE4B21">
        <w:rPr>
          <w:rFonts w:eastAsia="Times New Roman" w:cs="Arial"/>
          <w:color w:val="000000"/>
          <w:lang w:val="en-US"/>
        </w:rPr>
        <w:t>mg</w:t>
      </w:r>
      <w:r w:rsidRPr="00BE4B21">
        <w:rPr>
          <w:rFonts w:eastAsia="Times New Roman" w:cs="Arial"/>
          <w:color w:val="000000"/>
          <w:lang w:eastAsia="bg-BG"/>
        </w:rPr>
        <w:t xml:space="preserve">/ден в рамките на 2 до 3 седмици. След това, ако се налага, дневната доза може допълнително да се повиши постепенно с 50 до 100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през интервали от половин или, за предпочитане, една седмица.</w:t>
      </w:r>
    </w:p>
    <w:p w14:paraId="3B420DEA" w14:textId="77777777" w:rsidR="00BE4B21" w:rsidRPr="00BE4B21" w:rsidRDefault="00BE4B21" w:rsidP="00BE4B21">
      <w:pPr>
        <w:spacing w:line="240" w:lineRule="auto"/>
        <w:rPr>
          <w:rFonts w:eastAsia="Times New Roman" w:cs="Arial"/>
          <w:i/>
          <w:iCs/>
          <w:color w:val="000000"/>
          <w:lang w:eastAsia="bg-BG"/>
        </w:rPr>
      </w:pPr>
    </w:p>
    <w:p w14:paraId="236097F7" w14:textId="5FA7966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Терапевтичен обхват на дозата</w:t>
      </w:r>
    </w:p>
    <w:p w14:paraId="4BB2A2EA"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повечето пациенти може да се очаква антипсихотична ефикасност с дози от 300 до 450 </w:t>
      </w:r>
      <w:r w:rsidRPr="00BE4B21">
        <w:rPr>
          <w:rFonts w:eastAsia="Times New Roman" w:cs="Arial"/>
          <w:color w:val="000000"/>
          <w:lang w:val="en-US"/>
        </w:rPr>
        <w:t>mg</w:t>
      </w:r>
      <w:r w:rsidRPr="00BE4B21">
        <w:rPr>
          <w:rFonts w:eastAsia="Times New Roman" w:cs="Arial"/>
          <w:color w:val="000000"/>
          <w:lang w:eastAsia="bg-BG"/>
        </w:rPr>
        <w:t>/ден, давани в отделни дози. Общата дневна доза може да не бъде разделена поравно, като по-голямата част се дава преди лягане.</w:t>
      </w:r>
    </w:p>
    <w:p w14:paraId="1633C898" w14:textId="77777777" w:rsidR="00BE4B21" w:rsidRPr="00BE4B21" w:rsidRDefault="00BE4B21" w:rsidP="00BE4B21">
      <w:pPr>
        <w:spacing w:line="240" w:lineRule="auto"/>
        <w:rPr>
          <w:rFonts w:eastAsia="Times New Roman" w:cs="Arial"/>
          <w:i/>
          <w:iCs/>
          <w:color w:val="000000"/>
          <w:lang w:eastAsia="bg-BG"/>
        </w:rPr>
      </w:pPr>
    </w:p>
    <w:p w14:paraId="1F20D017" w14:textId="701CA6B1"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Максимална доза</w:t>
      </w:r>
    </w:p>
    <w:p w14:paraId="48DBB71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За да се постигне максимален терапевтичен ефект, малък брой пациенти могат да изискват по- големи дози, като в този случай е допустимо разумно повишаване на дозата (с не повече от 100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на една стъпка) до 900 </w:t>
      </w:r>
      <w:r w:rsidRPr="00BE4B21">
        <w:rPr>
          <w:rFonts w:eastAsia="Times New Roman" w:cs="Arial"/>
          <w:color w:val="000000"/>
          <w:lang w:val="en-US"/>
        </w:rPr>
        <w:t>mg</w:t>
      </w:r>
      <w:r w:rsidRPr="00BE4B21">
        <w:rPr>
          <w:rFonts w:eastAsia="Times New Roman" w:cs="Arial"/>
          <w:color w:val="000000"/>
          <w:lang w:eastAsia="bg-BG"/>
        </w:rPr>
        <w:t xml:space="preserve">/ден. Трябва да се има пред вид вероятността за повишена честота на нежеланите реакции (особено гърчове), възникващи при дози над 450 </w:t>
      </w:r>
      <w:r w:rsidRPr="00BE4B21">
        <w:rPr>
          <w:rFonts w:eastAsia="Times New Roman" w:cs="Arial"/>
          <w:color w:val="000000"/>
          <w:lang w:val="en-US"/>
        </w:rPr>
        <w:t>mg</w:t>
      </w:r>
      <w:r w:rsidRPr="00BE4B21">
        <w:rPr>
          <w:rFonts w:eastAsia="Times New Roman" w:cs="Arial"/>
          <w:color w:val="000000"/>
          <w:lang w:eastAsia="bg-BG"/>
        </w:rPr>
        <w:t>/ден.</w:t>
      </w:r>
    </w:p>
    <w:p w14:paraId="1BECDE8C" w14:textId="77777777" w:rsidR="00BE4B21" w:rsidRPr="00BE4B21" w:rsidRDefault="00BE4B21" w:rsidP="00BE4B21">
      <w:pPr>
        <w:spacing w:line="240" w:lineRule="auto"/>
        <w:rPr>
          <w:rFonts w:eastAsia="Times New Roman" w:cs="Arial"/>
          <w:i/>
          <w:iCs/>
          <w:color w:val="000000"/>
          <w:lang w:eastAsia="bg-BG"/>
        </w:rPr>
      </w:pPr>
    </w:p>
    <w:p w14:paraId="300C5BDA" w14:textId="5BA31F19"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Поддържаща доза</w:t>
      </w:r>
    </w:p>
    <w:p w14:paraId="652C9A40"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След постигане на максималната терапевтична ефективност, много пациенти могат да останат на ефективна поддържаща терапия с по-ниски дози. Затова се препоръчва внимателно титриране с цел понижаване на дозата. Лечението трябва да продължи поне 6 месеца. Ако дневната доза не превишава 200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може да е подходящо еднократното дневно приложение вечер.</w:t>
      </w:r>
    </w:p>
    <w:p w14:paraId="65DEEF58" w14:textId="77777777" w:rsidR="00BE4B21" w:rsidRPr="00BE4B21" w:rsidRDefault="00BE4B21" w:rsidP="00BE4B21">
      <w:pPr>
        <w:spacing w:line="240" w:lineRule="auto"/>
        <w:rPr>
          <w:rFonts w:eastAsia="Times New Roman" w:cs="Arial"/>
          <w:i/>
          <w:iCs/>
          <w:color w:val="000000"/>
          <w:lang w:eastAsia="bg-BG"/>
        </w:rPr>
      </w:pPr>
    </w:p>
    <w:p w14:paraId="7B268434" w14:textId="692259E1"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Приключване на терапията</w:t>
      </w:r>
    </w:p>
    <w:p w14:paraId="10007E32" w14:textId="0E1A4BD4" w:rsidR="00BE4B21" w:rsidRPr="00BE4B21" w:rsidRDefault="00BE4B21" w:rsidP="00BE4B21">
      <w:pPr>
        <w:rPr>
          <w:rFonts w:eastAsia="Times New Roman" w:cs="Arial"/>
          <w:color w:val="000000"/>
          <w:lang w:val="ru-RU"/>
        </w:rPr>
      </w:pPr>
      <w:r w:rsidRPr="00BE4B21">
        <w:rPr>
          <w:rFonts w:eastAsia="Times New Roman" w:cs="Arial"/>
          <w:color w:val="000000"/>
          <w:lang w:eastAsia="bg-BG"/>
        </w:rPr>
        <w:t>В случай на планирано прекратяване на терапията с клозапин, се препоръчва понижени</w:t>
      </w:r>
      <w:r w:rsidRPr="00BE4B21">
        <w:rPr>
          <w:rFonts w:eastAsia="Times New Roman" w:cs="Arial"/>
          <w:color w:val="000000"/>
          <w:u w:val="single"/>
          <w:lang w:eastAsia="bg-BG"/>
        </w:rPr>
        <w:t>е на доз</w:t>
      </w:r>
      <w:r w:rsidRPr="00BE4B21">
        <w:rPr>
          <w:rFonts w:eastAsia="Times New Roman" w:cs="Arial"/>
          <w:color w:val="000000"/>
          <w:lang w:eastAsia="bg-BG"/>
        </w:rPr>
        <w:t xml:space="preserve">ата за период от 1 до 2 седмици. Ако се налага внезапно спиране на лекарството, пациентът трябва да се наблюдава внимателно за възникване на реакции на отнемане (вж. точка </w:t>
      </w:r>
      <w:r w:rsidRPr="00BE4B21">
        <w:rPr>
          <w:rFonts w:eastAsia="Times New Roman" w:cs="Arial"/>
          <w:color w:val="000000"/>
          <w:lang w:val="ru-RU"/>
        </w:rPr>
        <w:t>4.4).</w:t>
      </w:r>
    </w:p>
    <w:p w14:paraId="34AD4049" w14:textId="75880436" w:rsidR="00BE4B21" w:rsidRPr="00BE4B21" w:rsidRDefault="00BE4B21" w:rsidP="00BE4B21">
      <w:pPr>
        <w:rPr>
          <w:rFonts w:eastAsia="Times New Roman" w:cs="Arial"/>
          <w:color w:val="000000"/>
          <w:lang w:val="ru-RU"/>
        </w:rPr>
      </w:pPr>
    </w:p>
    <w:p w14:paraId="524F5B46" w14:textId="77777777"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Повторно започване на терапия</w:t>
      </w:r>
    </w:p>
    <w:p w14:paraId="496D724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пациентите, при които интервалът от последната доза клозапин е повече от 2 дни, лечението трябва да се възобнови с доза от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дадена еднократно или двукратно през пърия ден. Ако дозата е с добра поносимост, е възможно титриране на дозата до терапевтичното ниво по-бързо, отколкото се препоръчва при първоначалното лечение. Въпреки това, ако пациентът е получил спиране на дишането или сърдечната дейност при първоначалното титриране (вж. точка 4.4), но след това дозата е била титрирана успешно до терапевтичната, повторното титриране трябва да се извърши изключително внимателно.</w:t>
      </w:r>
    </w:p>
    <w:p w14:paraId="05DBC5C9" w14:textId="77777777" w:rsidR="00BE4B21" w:rsidRPr="00BE4B21" w:rsidRDefault="00BE4B21" w:rsidP="00BE4B21">
      <w:pPr>
        <w:spacing w:line="240" w:lineRule="auto"/>
        <w:rPr>
          <w:rFonts w:eastAsia="Times New Roman" w:cs="Arial"/>
          <w:color w:val="000000"/>
          <w:u w:val="single"/>
          <w:lang w:eastAsia="bg-BG"/>
        </w:rPr>
      </w:pPr>
    </w:p>
    <w:p w14:paraId="06C5220D" w14:textId="21DBBC8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 xml:space="preserve">Само за таблетки от 25 </w:t>
      </w:r>
      <w:r w:rsidRPr="00BE4B21">
        <w:rPr>
          <w:rFonts w:eastAsia="Times New Roman" w:cs="Arial"/>
          <w:color w:val="000000"/>
          <w:u w:val="single"/>
          <w:lang w:val="en-US"/>
        </w:rPr>
        <w:t>mg</w:t>
      </w:r>
      <w:r w:rsidRPr="00BE4B21">
        <w:rPr>
          <w:rFonts w:eastAsia="Times New Roman" w:cs="Arial"/>
          <w:color w:val="000000"/>
          <w:u w:val="single"/>
          <w:lang w:val="ru-RU"/>
        </w:rPr>
        <w:t xml:space="preserve"> </w:t>
      </w:r>
      <w:r w:rsidRPr="00BE4B21">
        <w:rPr>
          <w:rFonts w:eastAsia="Times New Roman" w:cs="Arial"/>
          <w:color w:val="000000"/>
          <w:u w:val="single"/>
          <w:lang w:eastAsia="bg-BG"/>
        </w:rPr>
        <w:t xml:space="preserve">и 100 </w:t>
      </w:r>
      <w:r w:rsidRPr="00BE4B21">
        <w:rPr>
          <w:rFonts w:eastAsia="Times New Roman" w:cs="Arial"/>
          <w:color w:val="000000"/>
          <w:u w:val="single"/>
          <w:lang w:val="en-US"/>
        </w:rPr>
        <w:t>mg</w:t>
      </w:r>
      <w:r w:rsidRPr="00BE4B21">
        <w:rPr>
          <w:rFonts w:eastAsia="Times New Roman" w:cs="Arial"/>
          <w:color w:val="000000"/>
          <w:u w:val="single"/>
          <w:lang w:val="ru-RU"/>
        </w:rPr>
        <w:t>:</w:t>
      </w:r>
    </w:p>
    <w:p w14:paraId="28A53EA6" w14:textId="77777777" w:rsidR="00BE4B21" w:rsidRPr="00BE4B21" w:rsidRDefault="00BE4B21" w:rsidP="00BE4B21">
      <w:pPr>
        <w:spacing w:line="240" w:lineRule="auto"/>
        <w:rPr>
          <w:rFonts w:eastAsia="Times New Roman" w:cs="Arial"/>
          <w:i/>
          <w:iCs/>
          <w:color w:val="000000"/>
          <w:u w:val="single"/>
          <w:lang w:eastAsia="bg-BG"/>
        </w:rPr>
      </w:pPr>
    </w:p>
    <w:p w14:paraId="53B7F88E" w14:textId="5B3F5B7A"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Психотични разстройства, възникващи в хода на болестта на Паркинсон, в случаите, когато стандартното лечение е било неуспешно</w:t>
      </w:r>
    </w:p>
    <w:p w14:paraId="09299F33" w14:textId="77777777" w:rsidR="00BE4B21" w:rsidRPr="00BE4B21" w:rsidRDefault="00BE4B21" w:rsidP="00BE4B21">
      <w:pPr>
        <w:spacing w:line="240" w:lineRule="auto"/>
        <w:rPr>
          <w:rFonts w:eastAsia="Times New Roman" w:cs="Arial"/>
          <w:i/>
          <w:iCs/>
          <w:color w:val="000000"/>
          <w:lang w:eastAsia="bg-BG"/>
        </w:rPr>
      </w:pPr>
    </w:p>
    <w:p w14:paraId="53C74364" w14:textId="00B05E9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Начална терапия</w:t>
      </w:r>
    </w:p>
    <w:p w14:paraId="1E712B12" w14:textId="72429DE5" w:rsidR="00BE4B21" w:rsidRPr="00BE4B21" w:rsidRDefault="00BE4B21" w:rsidP="00BE4B21">
      <w:pPr>
        <w:spacing w:line="240" w:lineRule="auto"/>
        <w:rPr>
          <w:rFonts w:eastAsia="Times New Roman" w:cs="Arial"/>
        </w:rPr>
      </w:pPr>
      <w:r w:rsidRPr="00BE4B21">
        <w:rPr>
          <w:rFonts w:eastAsia="Times New Roman" w:cs="Arial"/>
          <w:color w:val="000000"/>
          <w:lang w:eastAsia="bg-BG"/>
        </w:rPr>
        <w:lastRenderedPageBreak/>
        <w:t xml:space="preserve">Началната доза не трябва да превишава 12,5 </w:t>
      </w:r>
      <w:r w:rsidRPr="00BE4B21">
        <w:rPr>
          <w:rFonts w:eastAsia="Times New Roman" w:cs="Arial"/>
          <w:color w:val="000000"/>
          <w:lang w:val="en-US"/>
        </w:rPr>
        <w:t>mg</w:t>
      </w:r>
      <w:r w:rsidRPr="00BE4B21">
        <w:rPr>
          <w:rFonts w:eastAsia="Times New Roman" w:cs="Arial"/>
          <w:color w:val="000000"/>
          <w:lang w:eastAsia="bg-BG"/>
        </w:rPr>
        <w:t xml:space="preserve">/ден, приемана вечер. Последващите повишения на дозата трябва да бъдат с по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с максимално две повишения седмично, до максимална доза от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която не може да бъде достиганата до края на втората седмица. За предпочитане е цялото количество за деня да се дава като единична доза вечер.</w:t>
      </w:r>
    </w:p>
    <w:p w14:paraId="0474E853" w14:textId="77777777" w:rsidR="00BE4B21" w:rsidRPr="00BE4B21" w:rsidRDefault="00BE4B21" w:rsidP="00BE4B21">
      <w:pPr>
        <w:spacing w:line="240" w:lineRule="auto"/>
        <w:rPr>
          <w:rFonts w:eastAsia="Times New Roman" w:cs="Arial"/>
          <w:i/>
          <w:iCs/>
          <w:color w:val="000000"/>
          <w:lang w:eastAsia="bg-BG"/>
        </w:rPr>
      </w:pPr>
    </w:p>
    <w:p w14:paraId="768E1FE9" w14:textId="1CCD20ED"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Терапевтичен обхват на дозата</w:t>
      </w:r>
    </w:p>
    <w:p w14:paraId="456B2DB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Средната ефективна доза обикновено е между 25 и 37,5 </w:t>
      </w:r>
      <w:r w:rsidRPr="00BE4B21">
        <w:rPr>
          <w:rFonts w:eastAsia="Times New Roman" w:cs="Arial"/>
          <w:color w:val="000000"/>
          <w:lang w:val="en-US"/>
        </w:rPr>
        <w:t>mg</w:t>
      </w:r>
      <w:r w:rsidRPr="00BE4B21">
        <w:rPr>
          <w:rFonts w:eastAsia="Times New Roman" w:cs="Arial"/>
          <w:color w:val="000000"/>
          <w:lang w:eastAsia="bg-BG"/>
        </w:rPr>
        <w:t xml:space="preserve">/ден. В случай, че лечението за поне една седмица с доза от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не даде задоволителен терапевтичен отговор, дозировката може да се повиши вниматено със стъпка от 12,5 </w:t>
      </w:r>
      <w:r w:rsidRPr="00BE4B21">
        <w:rPr>
          <w:rFonts w:eastAsia="Times New Roman" w:cs="Arial"/>
          <w:color w:val="000000"/>
          <w:lang w:val="en-US"/>
        </w:rPr>
        <w:t>mg</w:t>
      </w:r>
      <w:r w:rsidRPr="00BE4B21">
        <w:rPr>
          <w:rFonts w:eastAsia="Times New Roman" w:cs="Arial"/>
          <w:color w:val="000000"/>
          <w:lang w:eastAsia="bg-BG"/>
        </w:rPr>
        <w:t>/седмица.</w:t>
      </w:r>
    </w:p>
    <w:p w14:paraId="14DFC8DC" w14:textId="77777777" w:rsidR="00BE4B21" w:rsidRPr="00BE4B21" w:rsidRDefault="00BE4B21" w:rsidP="00BE4B21">
      <w:pPr>
        <w:spacing w:line="240" w:lineRule="auto"/>
        <w:rPr>
          <w:rFonts w:eastAsia="Times New Roman" w:cs="Arial"/>
          <w:i/>
          <w:iCs/>
          <w:color w:val="000000"/>
          <w:lang w:eastAsia="bg-BG"/>
        </w:rPr>
      </w:pPr>
    </w:p>
    <w:p w14:paraId="3BC4EFD7" w14:textId="1401672C"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Максимална доза</w:t>
      </w:r>
    </w:p>
    <w:p w14:paraId="0D31CD5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Дозата от 50 </w:t>
      </w:r>
      <w:r w:rsidRPr="00BE4B21">
        <w:rPr>
          <w:rFonts w:eastAsia="Times New Roman" w:cs="Arial"/>
          <w:color w:val="000000"/>
          <w:lang w:val="en-US"/>
        </w:rPr>
        <w:t>mg</w:t>
      </w:r>
      <w:r w:rsidRPr="00BE4B21">
        <w:rPr>
          <w:rFonts w:eastAsia="Times New Roman" w:cs="Arial"/>
          <w:color w:val="000000"/>
          <w:lang w:eastAsia="bg-BG"/>
        </w:rPr>
        <w:t xml:space="preserve">/ден трябва да бъде превишавана само в изключителни случаи и никога не трябва да се превишава максималната доза от 100 </w:t>
      </w:r>
      <w:r w:rsidRPr="00BE4B21">
        <w:rPr>
          <w:rFonts w:eastAsia="Times New Roman" w:cs="Arial"/>
          <w:color w:val="000000"/>
          <w:lang w:val="en-US"/>
        </w:rPr>
        <w:t>mg</w:t>
      </w:r>
      <w:r w:rsidRPr="00BE4B21">
        <w:rPr>
          <w:rFonts w:eastAsia="Times New Roman" w:cs="Arial"/>
          <w:color w:val="000000"/>
          <w:lang w:eastAsia="bg-BG"/>
        </w:rPr>
        <w:t>/ден.</w:t>
      </w:r>
    </w:p>
    <w:p w14:paraId="13C079AF" w14:textId="7777777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Повишенията на дозата трябва да бъдат ограничени или отложени, ако се появят ортостатична хипотония, прекомерно седиране или обърканост. През първите седмици от лечението трябва да се следи артериалното </w:t>
      </w:r>
    </w:p>
    <w:p w14:paraId="4A9F7253" w14:textId="68294ECA" w:rsidR="00BE4B21" w:rsidRPr="00BE4B21" w:rsidRDefault="00BE4B21" w:rsidP="00BE4B21">
      <w:pPr>
        <w:spacing w:line="240" w:lineRule="auto"/>
        <w:rPr>
          <w:rFonts w:eastAsia="Times New Roman" w:cs="Arial"/>
        </w:rPr>
      </w:pPr>
      <w:r w:rsidRPr="00BE4B21">
        <w:rPr>
          <w:rFonts w:eastAsia="Times New Roman" w:cs="Arial"/>
          <w:color w:val="000000"/>
          <w:lang w:eastAsia="bg-BG"/>
        </w:rPr>
        <w:t>налягане.</w:t>
      </w:r>
    </w:p>
    <w:p w14:paraId="2261B80F" w14:textId="77777777" w:rsidR="00BE4B21" w:rsidRPr="00BE4B21" w:rsidRDefault="00BE4B21" w:rsidP="00BE4B21">
      <w:pPr>
        <w:spacing w:line="240" w:lineRule="auto"/>
        <w:rPr>
          <w:rFonts w:eastAsia="Times New Roman" w:cs="Arial"/>
          <w:i/>
          <w:iCs/>
          <w:color w:val="000000"/>
          <w:lang w:eastAsia="bg-BG"/>
        </w:rPr>
      </w:pPr>
    </w:p>
    <w:p w14:paraId="61F1AD52" w14:textId="5A08E5B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Поддържаща доза</w:t>
      </w:r>
    </w:p>
    <w:p w14:paraId="0F931475"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Ако е имало пълна ремисия на психотичните симпоми за поне 2 седмици, е възможно повишаване на дозите на антипаркинсоновите лекарства, ако това е показано въз основа на моторния статус. Ако този подход доведе до повторна поява на психотичните симптоми, дозата на клозапин може да се повиши с по 12,5 </w:t>
      </w:r>
      <w:r w:rsidRPr="00BE4B21">
        <w:rPr>
          <w:rFonts w:eastAsia="Times New Roman" w:cs="Arial"/>
          <w:color w:val="000000"/>
          <w:lang w:val="en-US"/>
        </w:rPr>
        <w:t>mg</w:t>
      </w:r>
      <w:r w:rsidRPr="00BE4B21">
        <w:rPr>
          <w:rFonts w:eastAsia="Times New Roman" w:cs="Arial"/>
          <w:color w:val="000000"/>
          <w:lang w:eastAsia="bg-BG"/>
        </w:rPr>
        <w:t xml:space="preserve">/седмица до максимум 100 </w:t>
      </w:r>
      <w:r w:rsidRPr="00BE4B21">
        <w:rPr>
          <w:rFonts w:eastAsia="Times New Roman" w:cs="Arial"/>
          <w:color w:val="000000"/>
          <w:lang w:val="en-US"/>
        </w:rPr>
        <w:t>mg</w:t>
      </w:r>
      <w:r w:rsidRPr="00BE4B21">
        <w:rPr>
          <w:rFonts w:eastAsia="Times New Roman" w:cs="Arial"/>
          <w:color w:val="000000"/>
          <w:lang w:eastAsia="bg-BG"/>
        </w:rPr>
        <w:t>/ден, приемани в една или две отделни дози (виж по-горе).</w:t>
      </w:r>
    </w:p>
    <w:p w14:paraId="174627CB" w14:textId="77777777" w:rsidR="00BE4B21" w:rsidRPr="00BE4B21" w:rsidRDefault="00BE4B21" w:rsidP="00BE4B21">
      <w:pPr>
        <w:spacing w:line="240" w:lineRule="auto"/>
        <w:rPr>
          <w:rFonts w:eastAsia="Times New Roman" w:cs="Arial"/>
          <w:i/>
          <w:iCs/>
          <w:color w:val="000000"/>
          <w:lang w:eastAsia="bg-BG"/>
        </w:rPr>
      </w:pPr>
    </w:p>
    <w:p w14:paraId="1884950A" w14:textId="19DEE6BA"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Приключване на терапията</w:t>
      </w:r>
    </w:p>
    <w:p w14:paraId="31564D84"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Препоръчва се постепенно намаляване на дозата със стъпки от по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за период от поне една седмица (за предпочитане две).</w:t>
      </w:r>
    </w:p>
    <w:p w14:paraId="73EFB492" w14:textId="7777777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Лечението трябва да се прекрати незабавно в случай на неутропения или агранулоцитоза, както е показано в точка 4.4. В този случай от основно значение е внимателното проследяване на психиатричния статус на пациента, тъй като симптомите могат бързо да се появят отново. </w:t>
      </w:r>
    </w:p>
    <w:p w14:paraId="56E89339" w14:textId="0A157329"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Спеииални популации</w:t>
      </w:r>
    </w:p>
    <w:p w14:paraId="0AFF9575" w14:textId="77777777" w:rsidR="00BE4B21" w:rsidRPr="00BE4B21" w:rsidRDefault="00BE4B21" w:rsidP="00BE4B21">
      <w:pPr>
        <w:spacing w:line="240" w:lineRule="auto"/>
        <w:rPr>
          <w:rFonts w:eastAsia="Times New Roman" w:cs="Arial"/>
          <w:i/>
          <w:iCs/>
          <w:color w:val="000000"/>
          <w:lang w:eastAsia="bg-BG"/>
        </w:rPr>
      </w:pPr>
    </w:p>
    <w:p w14:paraId="3364DC7B" w14:textId="79714F64"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Чернодробно увреждане</w:t>
      </w:r>
    </w:p>
    <w:p w14:paraId="3F6B2E4E"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При пациенти с чернодробно увреждане, клозапин трябва да се прилага с повишено внимание, при редовно проследяване на чернодробните функции (вж. точка 4.4).</w:t>
      </w:r>
    </w:p>
    <w:p w14:paraId="7059E098" w14:textId="77777777" w:rsidR="00BE4B21" w:rsidRPr="00BE4B21" w:rsidRDefault="00BE4B21" w:rsidP="00BE4B21">
      <w:pPr>
        <w:spacing w:line="240" w:lineRule="auto"/>
        <w:rPr>
          <w:rFonts w:eastAsia="Times New Roman" w:cs="Arial"/>
          <w:i/>
          <w:iCs/>
          <w:color w:val="000000"/>
          <w:lang w:eastAsia="bg-BG"/>
        </w:rPr>
      </w:pPr>
    </w:p>
    <w:p w14:paraId="0DDC3517" w14:textId="4DEF4C95"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Педиатрична популация</w:t>
      </w:r>
    </w:p>
    <w:p w14:paraId="7E1687B2" w14:textId="430A19B6" w:rsidR="00BE4B21" w:rsidRPr="00BE4B21" w:rsidRDefault="00BE4B21" w:rsidP="00BE4B21">
      <w:pPr>
        <w:rPr>
          <w:rFonts w:eastAsia="Times New Roman" w:cs="Arial"/>
          <w:color w:val="000000"/>
          <w:lang w:eastAsia="bg-BG"/>
        </w:rPr>
      </w:pPr>
      <w:r w:rsidRPr="00BE4B21">
        <w:rPr>
          <w:rFonts w:eastAsia="Times New Roman" w:cs="Arial"/>
          <w:color w:val="000000"/>
          <w:lang w:eastAsia="bg-BG"/>
        </w:rPr>
        <w:t>Педиатрични изпитвания не са провеждани. Безопасността и ефикасността при деца и</w:t>
      </w:r>
      <w:r w:rsidRPr="00BE4B21">
        <w:rPr>
          <w:rFonts w:eastAsia="Times New Roman" w:cs="Arial"/>
          <w:b/>
          <w:bCs/>
          <w:color w:val="000000"/>
          <w:lang w:eastAsia="bg-BG"/>
        </w:rPr>
        <w:t xml:space="preserve"> </w:t>
      </w:r>
      <w:r w:rsidRPr="00BE4B21">
        <w:rPr>
          <w:rFonts w:eastAsia="Times New Roman" w:cs="Arial"/>
          <w:color w:val="000000"/>
          <w:lang w:eastAsia="bg-BG"/>
        </w:rPr>
        <w:t>подрастващи под 16-годишна възраст не е установена. Лекарственият продукт не трябва да е използва в тази възрастова група, докато не се получат допълнителни данни.</w:t>
      </w:r>
    </w:p>
    <w:p w14:paraId="75892392" w14:textId="29268AAE" w:rsidR="00BE4B21" w:rsidRPr="00BE4B21" w:rsidRDefault="00BE4B21" w:rsidP="00BE4B21">
      <w:pPr>
        <w:rPr>
          <w:rFonts w:eastAsia="Times New Roman" w:cs="Arial"/>
          <w:color w:val="000000"/>
          <w:lang w:eastAsia="bg-BG"/>
        </w:rPr>
      </w:pPr>
    </w:p>
    <w:p w14:paraId="2B9E44F9" w14:textId="77777777"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Пациенти на възраст 60 и повече години</w:t>
      </w:r>
    </w:p>
    <w:p w14:paraId="71C8CF2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Препоръчва лечението при пациенти на възраст 60 и повече години да започне в особено ниска доза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еднократно на първия ден), с последващи повишения на дозата, ограничени до 25 </w:t>
      </w:r>
      <w:r w:rsidRPr="00BE4B21">
        <w:rPr>
          <w:rFonts w:eastAsia="Times New Roman" w:cs="Arial"/>
          <w:color w:val="000000"/>
          <w:lang w:val="en-US"/>
        </w:rPr>
        <w:t>mg</w:t>
      </w:r>
      <w:r w:rsidRPr="00BE4B21">
        <w:rPr>
          <w:rFonts w:eastAsia="Times New Roman" w:cs="Arial"/>
          <w:color w:val="000000"/>
          <w:lang w:eastAsia="bg-BG"/>
        </w:rPr>
        <w:t>/ден.</w:t>
      </w:r>
    </w:p>
    <w:p w14:paraId="2B586E36" w14:textId="77777777" w:rsidR="00BE4B21" w:rsidRPr="00BE4B21" w:rsidRDefault="00BE4B21" w:rsidP="00BE4B21">
      <w:pPr>
        <w:spacing w:line="240" w:lineRule="auto"/>
        <w:rPr>
          <w:rFonts w:eastAsia="Times New Roman" w:cs="Arial"/>
          <w:color w:val="000000"/>
          <w:u w:val="single"/>
          <w:lang w:eastAsia="bg-BG"/>
        </w:rPr>
      </w:pPr>
    </w:p>
    <w:p w14:paraId="3FC03568" w14:textId="2B31AA21" w:rsidR="00BE4B21" w:rsidRPr="00BE4B21" w:rsidRDefault="00BE4B21" w:rsidP="00BE4B21">
      <w:pPr>
        <w:pStyle w:val="Heading3"/>
        <w:rPr>
          <w:rFonts w:eastAsia="Times New Roman"/>
          <w:u w:val="single"/>
        </w:rPr>
      </w:pPr>
      <w:r w:rsidRPr="00BE4B21">
        <w:rPr>
          <w:rFonts w:eastAsia="Times New Roman"/>
          <w:u w:val="single"/>
          <w:lang w:eastAsia="bg-BG"/>
        </w:rPr>
        <w:lastRenderedPageBreak/>
        <w:t>Начин на приложение</w:t>
      </w:r>
    </w:p>
    <w:p w14:paraId="4BCDA4A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таблетки са предназначени за перорално приложение.</w:t>
      </w:r>
    </w:p>
    <w:p w14:paraId="46A30BC1" w14:textId="77777777" w:rsidR="00BE4B21" w:rsidRPr="00BE4B21" w:rsidRDefault="00BE4B21" w:rsidP="00BE4B21"/>
    <w:p w14:paraId="0F253247" w14:textId="564DF183" w:rsidR="007122AD" w:rsidRDefault="002C50EE" w:rsidP="00936AD0">
      <w:pPr>
        <w:pStyle w:val="Heading2"/>
      </w:pPr>
      <w:r>
        <w:t>4.3. Противопоказания</w:t>
      </w:r>
    </w:p>
    <w:p w14:paraId="07371ADD" w14:textId="680E55D1" w:rsidR="00BE4B21" w:rsidRDefault="00BE4B21" w:rsidP="00BE4B21"/>
    <w:p w14:paraId="4301D326" w14:textId="77777777" w:rsidR="00BE4B21" w:rsidRPr="00BE4B21" w:rsidRDefault="00BE4B21" w:rsidP="00BE4B21">
      <w:pPr>
        <w:pStyle w:val="ListParagraph"/>
        <w:numPr>
          <w:ilvl w:val="0"/>
          <w:numId w:val="41"/>
        </w:numPr>
        <w:rPr>
          <w:lang w:eastAsia="bg-BG"/>
        </w:rPr>
      </w:pPr>
      <w:r w:rsidRPr="00BE4B21">
        <w:rPr>
          <w:lang w:eastAsia="bg-BG"/>
        </w:rPr>
        <w:t>Свръхчувствителност към активното вещество или към някое от помощните вещества, изброени в точка 6.1.</w:t>
      </w:r>
    </w:p>
    <w:p w14:paraId="380E36B1" w14:textId="77777777" w:rsidR="00BE4B21" w:rsidRPr="00BE4B21" w:rsidRDefault="00BE4B21" w:rsidP="00BE4B21">
      <w:pPr>
        <w:pStyle w:val="ListParagraph"/>
        <w:numPr>
          <w:ilvl w:val="0"/>
          <w:numId w:val="41"/>
        </w:numPr>
        <w:rPr>
          <w:lang w:eastAsia="bg-BG"/>
        </w:rPr>
      </w:pPr>
      <w:r w:rsidRPr="00BE4B21">
        <w:rPr>
          <w:lang w:eastAsia="bg-BG"/>
        </w:rPr>
        <w:t>Пациенти, които не могат да бъдат подлагани на редовни кръвни изследвания.</w:t>
      </w:r>
    </w:p>
    <w:p w14:paraId="19537786" w14:textId="0D04B1E7" w:rsidR="00BE4B21" w:rsidRPr="00BE4B21" w:rsidRDefault="00BE4B21" w:rsidP="00BE4B21">
      <w:pPr>
        <w:pStyle w:val="ListParagraph"/>
        <w:numPr>
          <w:ilvl w:val="0"/>
          <w:numId w:val="41"/>
        </w:numPr>
        <w:rPr>
          <w:lang w:eastAsia="bg-BG"/>
        </w:rPr>
      </w:pPr>
      <w:r w:rsidRPr="00BE4B21">
        <w:rPr>
          <w:lang w:eastAsia="bg-BG"/>
        </w:rPr>
        <w:t>Анамнеза за токсична или идиосинкразна гранулоцитопения/агранулоцитоза (с</w:t>
      </w:r>
      <w:r w:rsidRPr="00BE4B21">
        <w:rPr>
          <w:lang w:val="ru-RU" w:eastAsia="bg-BG"/>
        </w:rPr>
        <w:t xml:space="preserve"> </w:t>
      </w:r>
      <w:r w:rsidRPr="00BE4B21">
        <w:rPr>
          <w:lang w:eastAsia="bg-BG"/>
        </w:rPr>
        <w:t>изключение на фанулоцитопения/агранулоцитоза при предхождаща химиотерапия).</w:t>
      </w:r>
    </w:p>
    <w:p w14:paraId="321D0BC6" w14:textId="77777777" w:rsidR="00BE4B21" w:rsidRPr="00BE4B21" w:rsidRDefault="00BE4B21" w:rsidP="00BE4B21">
      <w:pPr>
        <w:pStyle w:val="ListParagraph"/>
        <w:numPr>
          <w:ilvl w:val="0"/>
          <w:numId w:val="41"/>
        </w:numPr>
        <w:rPr>
          <w:lang w:eastAsia="bg-BG"/>
        </w:rPr>
      </w:pPr>
      <w:r w:rsidRPr="00BE4B21">
        <w:rPr>
          <w:lang w:eastAsia="bg-BG"/>
        </w:rPr>
        <w:t>Анамнеза за клозапин-индуцирана агранулоцитоза.</w:t>
      </w:r>
    </w:p>
    <w:p w14:paraId="1F597855" w14:textId="77777777" w:rsidR="00BE4B21" w:rsidRPr="00BE4B21" w:rsidRDefault="00BE4B21" w:rsidP="00BE4B21">
      <w:pPr>
        <w:pStyle w:val="ListParagraph"/>
        <w:numPr>
          <w:ilvl w:val="0"/>
          <w:numId w:val="41"/>
        </w:numPr>
        <w:rPr>
          <w:lang w:eastAsia="bg-BG"/>
        </w:rPr>
      </w:pPr>
      <w:r w:rsidRPr="00BE4B21">
        <w:rPr>
          <w:lang w:eastAsia="bg-BG"/>
        </w:rPr>
        <w:t>Лечението с клозапин не трябва да се започва едновременно с вещества, които притежават значителен потенциал за причиняване на агранулоцитоза; не се препоръчва едновременната употреба на депо антипсихотици.</w:t>
      </w:r>
    </w:p>
    <w:p w14:paraId="466A20B5" w14:textId="77777777" w:rsidR="00BE4B21" w:rsidRPr="00BE4B21" w:rsidRDefault="00BE4B21" w:rsidP="00BE4B21">
      <w:pPr>
        <w:pStyle w:val="ListParagraph"/>
        <w:numPr>
          <w:ilvl w:val="0"/>
          <w:numId w:val="41"/>
        </w:numPr>
        <w:rPr>
          <w:lang w:eastAsia="bg-BG"/>
        </w:rPr>
      </w:pPr>
      <w:r w:rsidRPr="00BE4B21">
        <w:rPr>
          <w:lang w:eastAsia="bg-BG"/>
        </w:rPr>
        <w:t>Нарушена функция на костния мозък,</w:t>
      </w:r>
    </w:p>
    <w:p w14:paraId="707592B2" w14:textId="77777777" w:rsidR="00BE4B21" w:rsidRPr="00BE4B21" w:rsidRDefault="00BE4B21" w:rsidP="00BE4B21">
      <w:pPr>
        <w:pStyle w:val="ListParagraph"/>
        <w:numPr>
          <w:ilvl w:val="0"/>
          <w:numId w:val="41"/>
        </w:numPr>
        <w:rPr>
          <w:lang w:eastAsia="bg-BG"/>
        </w:rPr>
      </w:pPr>
      <w:r w:rsidRPr="00BE4B21">
        <w:rPr>
          <w:lang w:eastAsia="bg-BG"/>
        </w:rPr>
        <w:t>Неконтролирана епилепсия.</w:t>
      </w:r>
    </w:p>
    <w:p w14:paraId="6989B9C9" w14:textId="77777777" w:rsidR="00BE4B21" w:rsidRPr="00BE4B21" w:rsidRDefault="00BE4B21" w:rsidP="00BE4B21">
      <w:pPr>
        <w:pStyle w:val="ListParagraph"/>
        <w:numPr>
          <w:ilvl w:val="0"/>
          <w:numId w:val="41"/>
        </w:numPr>
        <w:rPr>
          <w:lang w:eastAsia="bg-BG"/>
        </w:rPr>
      </w:pPr>
      <w:r w:rsidRPr="00BE4B21">
        <w:rPr>
          <w:lang w:eastAsia="bg-BG"/>
        </w:rPr>
        <w:t>Алкохолна или друг вид токсична психоза, лекарствени интоксикации, коматозни състояния.</w:t>
      </w:r>
    </w:p>
    <w:p w14:paraId="63A94F6D" w14:textId="77777777" w:rsidR="00BE4B21" w:rsidRPr="00BE4B21" w:rsidRDefault="00BE4B21" w:rsidP="00BE4B21">
      <w:pPr>
        <w:pStyle w:val="ListParagraph"/>
        <w:numPr>
          <w:ilvl w:val="0"/>
          <w:numId w:val="41"/>
        </w:numPr>
        <w:rPr>
          <w:lang w:eastAsia="bg-BG"/>
        </w:rPr>
      </w:pPr>
      <w:r w:rsidRPr="00BE4B21">
        <w:rPr>
          <w:lang w:eastAsia="bg-BG"/>
        </w:rPr>
        <w:t>Циркулаторен колапс и/или потискане на ЦНС от всякакви причини.</w:t>
      </w:r>
    </w:p>
    <w:p w14:paraId="7158E8A7" w14:textId="77777777" w:rsidR="00BE4B21" w:rsidRPr="00BE4B21" w:rsidRDefault="00BE4B21" w:rsidP="00BE4B21">
      <w:pPr>
        <w:pStyle w:val="ListParagraph"/>
        <w:numPr>
          <w:ilvl w:val="0"/>
          <w:numId w:val="41"/>
        </w:numPr>
        <w:rPr>
          <w:lang w:eastAsia="bg-BG"/>
        </w:rPr>
      </w:pPr>
      <w:r w:rsidRPr="00BE4B21">
        <w:rPr>
          <w:lang w:eastAsia="bg-BG"/>
        </w:rPr>
        <w:t>Тежки бъбречни или сърдечни заболявания (напр. миокардит).</w:t>
      </w:r>
    </w:p>
    <w:p w14:paraId="7AE2499F" w14:textId="77777777" w:rsidR="00BE4B21" w:rsidRPr="00BE4B21" w:rsidRDefault="00BE4B21" w:rsidP="00BE4B21">
      <w:pPr>
        <w:pStyle w:val="ListParagraph"/>
        <w:numPr>
          <w:ilvl w:val="0"/>
          <w:numId w:val="41"/>
        </w:numPr>
        <w:rPr>
          <w:lang w:eastAsia="bg-BG"/>
        </w:rPr>
      </w:pPr>
      <w:r w:rsidRPr="00BE4B21">
        <w:rPr>
          <w:lang w:eastAsia="bg-BG"/>
        </w:rPr>
        <w:t>Активно чернодробно заболяване, свързано с гадене, анорексия или жълтеница; прогресивно чернодробно заболяване, чернодробна недостатъчност.</w:t>
      </w:r>
    </w:p>
    <w:p w14:paraId="562F5BCF" w14:textId="77777777" w:rsidR="00BE4B21" w:rsidRPr="00BE4B21" w:rsidRDefault="00BE4B21" w:rsidP="00BE4B21">
      <w:pPr>
        <w:pStyle w:val="ListParagraph"/>
        <w:numPr>
          <w:ilvl w:val="0"/>
          <w:numId w:val="41"/>
        </w:numPr>
        <w:rPr>
          <w:lang w:eastAsia="bg-BG"/>
        </w:rPr>
      </w:pPr>
      <w:r w:rsidRPr="00BE4B21">
        <w:rPr>
          <w:lang w:eastAsia="bg-BG"/>
        </w:rPr>
        <w:t>Паралитичен илеус.</w:t>
      </w:r>
    </w:p>
    <w:p w14:paraId="08FF2259" w14:textId="77777777" w:rsidR="00BE4B21" w:rsidRPr="00BE4B21" w:rsidRDefault="00BE4B21" w:rsidP="00BE4B21"/>
    <w:p w14:paraId="0E0BDCC7" w14:textId="0829B04E" w:rsidR="007122AD" w:rsidRDefault="002C50EE" w:rsidP="00936AD0">
      <w:pPr>
        <w:pStyle w:val="Heading2"/>
      </w:pPr>
      <w:r>
        <w:t>4.4. Специални предупреждения и предпазни мерки при употреба</w:t>
      </w:r>
    </w:p>
    <w:p w14:paraId="425D5B74" w14:textId="128A570C" w:rsidR="00BE4B21" w:rsidRDefault="00BE4B21" w:rsidP="00BE4B21"/>
    <w:p w14:paraId="39369FA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Агранулоцитоза</w:t>
      </w:r>
    </w:p>
    <w:p w14:paraId="7F98DE5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Клозапин може да причини агранулоцитоза. Честотата на агранулоцитоза и процентът на смъртност сред развилите агранулоцитоза са намалели значителни след въвеждане на мониторирането на броя на левкоцитите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абсолютния брой на неутрофилите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Следните предпазни мерки следователно са задължителни и трябва да се извършват в съответствие с официалните препоръки.</w:t>
      </w:r>
    </w:p>
    <w:p w14:paraId="196433A9" w14:textId="77777777" w:rsidR="00BE4B21" w:rsidRPr="00BE4B21" w:rsidRDefault="00BE4B21" w:rsidP="00BE4B21">
      <w:pPr>
        <w:spacing w:line="240" w:lineRule="auto"/>
        <w:rPr>
          <w:rFonts w:eastAsia="Times New Roman" w:cs="Arial"/>
          <w:color w:val="000000"/>
          <w:szCs w:val="20"/>
          <w:lang w:eastAsia="bg-BG"/>
        </w:rPr>
      </w:pPr>
    </w:p>
    <w:p w14:paraId="26972479" w14:textId="3F2213F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Поради рисковете, свързани с употребата на клозапин, приложението му се ограничава до пациентите, при които е показана терапията, както е посочено в точка 4.1 и:</w:t>
      </w:r>
    </w:p>
    <w:p w14:paraId="64463688" w14:textId="77777777" w:rsidR="00BE4B21" w:rsidRPr="00BE4B21" w:rsidRDefault="00BE4B21" w:rsidP="00BE4B21">
      <w:pPr>
        <w:pStyle w:val="ListParagraph"/>
        <w:numPr>
          <w:ilvl w:val="0"/>
          <w:numId w:val="42"/>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които първоначално имат нормален брой левкоцити (брой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 xml:space="preserve">3 </w:t>
      </w:r>
      <w:r w:rsidRPr="00BE4B21">
        <w:rPr>
          <w:rFonts w:eastAsia="Times New Roman" w:cs="Arial"/>
          <w:color w:val="000000"/>
          <w:szCs w:val="20"/>
          <w:lang w:eastAsia="bg-BG"/>
        </w:rPr>
        <w:t>(&gt;3,5х10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 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(2,0х 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4AA3712A" w14:textId="4FC56F28" w:rsidR="00BE4B21" w:rsidRPr="00BE4B21" w:rsidRDefault="00BE4B21" w:rsidP="00BE4B21">
      <w:pPr>
        <w:pStyle w:val="ListParagraph"/>
        <w:numPr>
          <w:ilvl w:val="0"/>
          <w:numId w:val="42"/>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при които редовно могат да се определят брой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всяка седмица през първите 18 седмици и поне на всеки 4 седмици след това. Мониторирането трябва да продължи по време на лечението и 4 седмици след пълното прекратяване приема на клозапин.</w:t>
      </w:r>
    </w:p>
    <w:p w14:paraId="239FA8F9" w14:textId="77777777" w:rsidR="00BE4B21" w:rsidRPr="00BE4B21" w:rsidRDefault="00BE4B21" w:rsidP="00BE4B21">
      <w:pPr>
        <w:spacing w:line="240" w:lineRule="auto"/>
        <w:rPr>
          <w:rFonts w:eastAsia="Times New Roman" w:cs="Arial"/>
          <w:color w:val="000000"/>
          <w:szCs w:val="20"/>
          <w:lang w:eastAsia="bg-BG"/>
        </w:rPr>
      </w:pPr>
    </w:p>
    <w:p w14:paraId="7B392E59" w14:textId="53CFA4CB" w:rsid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Преди започване на лечението с клозапин трябва да се вземе кръвна проба (вж. "агранулоцитоза") и да се направи снемане на анамнеза и физикален преглед. Пациентите с анамнеза за сърдечно заболяване и абнормен сърдечен статус от физикалния преглед, трябва да бъдат насочени към специалист за допълнителни </w:t>
      </w:r>
      <w:r w:rsidRPr="00BE4B21">
        <w:rPr>
          <w:rFonts w:eastAsia="Times New Roman" w:cs="Arial"/>
          <w:color w:val="000000"/>
          <w:szCs w:val="20"/>
          <w:lang w:eastAsia="bg-BG"/>
        </w:rPr>
        <w:lastRenderedPageBreak/>
        <w:t>изследвания, които могат да включват ЕКГ, и пациентите трябва да бъдат лекувани единствено, ако очакваните ползи явно превишават рисковете (вж. точка 4.3). Лекуващият лекар трябва да обмисли извършването на ЕКГ преди лечението.</w:t>
      </w:r>
    </w:p>
    <w:p w14:paraId="5FF1EBF1" w14:textId="5EF5617A" w:rsidR="00BE4B21" w:rsidRDefault="00BE4B21" w:rsidP="00BE4B21">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9350"/>
      </w:tblGrid>
      <w:tr w:rsidR="00BE4B21" w14:paraId="61B35365" w14:textId="77777777" w:rsidTr="00BE4B21">
        <w:tc>
          <w:tcPr>
            <w:tcW w:w="9576" w:type="dxa"/>
          </w:tcPr>
          <w:p w14:paraId="5BCFE07B"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Лекуващите лекари трябва да спазват изцяло необходимите мерки за безопасност.</w:t>
            </w:r>
          </w:p>
          <w:p w14:paraId="0CA0EA50" w14:textId="77777777" w:rsidR="00BE4B21" w:rsidRPr="00BE4B21" w:rsidRDefault="00BE4B21" w:rsidP="00BE4B21">
            <w:pPr>
              <w:spacing w:line="240" w:lineRule="auto"/>
              <w:rPr>
                <w:rFonts w:eastAsia="Times New Roman" w:cs="Arial"/>
                <w:color w:val="000000"/>
                <w:szCs w:val="20"/>
                <w:lang w:eastAsia="bg-BG"/>
              </w:rPr>
            </w:pPr>
          </w:p>
          <w:p w14:paraId="79DAF882" w14:textId="77777777" w:rsidR="00BE4B21" w:rsidRPr="00BE4B21" w:rsidRDefault="00BE4B21" w:rsidP="00BE4B21">
            <w:pPr>
              <w:rPr>
                <w:rFonts w:eastAsia="Times New Roman" w:cs="Arial"/>
                <w:sz w:val="28"/>
                <w:szCs w:val="24"/>
              </w:rPr>
            </w:pPr>
            <w:r w:rsidRPr="00BE4B21">
              <w:rPr>
                <w:rFonts w:eastAsia="Times New Roman" w:cs="Arial"/>
                <w:color w:val="000000"/>
                <w:szCs w:val="20"/>
                <w:lang w:eastAsia="bg-BG"/>
              </w:rPr>
              <w:t>Преди започване на лечението, лекарите трябва да се уверят, доколкото това им е известно, че пациентът не е имал преди нежелана хематологична реакция към клозапин, която е наложила</w:t>
            </w:r>
            <w:r w:rsidRPr="00BE4B21">
              <w:rPr>
                <w:rFonts w:eastAsia="Times New Roman" w:cs="Arial"/>
                <w:color w:val="000000"/>
                <w:szCs w:val="20"/>
                <w:lang w:val="ru-RU" w:eastAsia="bg-BG"/>
              </w:rPr>
              <w:t xml:space="preserve"> </w:t>
            </w:r>
            <w:r w:rsidRPr="00BE4B21">
              <w:rPr>
                <w:rFonts w:eastAsia="Times New Roman" w:cs="Arial"/>
                <w:color w:val="000000"/>
                <w:szCs w:val="20"/>
                <w:lang w:eastAsia="bg-BG"/>
              </w:rPr>
              <w:t>спиране на лечението. Лекарството не трябва да се предписва за периоди по-дълги от интервала между две определяния на броя на кръвните клетки.</w:t>
            </w:r>
          </w:p>
          <w:p w14:paraId="5D7CDB89" w14:textId="77777777" w:rsidR="00BE4B21" w:rsidRPr="00BE4B21" w:rsidRDefault="00BE4B21" w:rsidP="00BE4B21">
            <w:pPr>
              <w:spacing w:line="240" w:lineRule="auto"/>
              <w:rPr>
                <w:rFonts w:eastAsia="Times New Roman" w:cs="Arial"/>
                <w:color w:val="000000"/>
                <w:szCs w:val="20"/>
                <w:lang w:eastAsia="bg-BG"/>
              </w:rPr>
            </w:pPr>
          </w:p>
          <w:p w14:paraId="607C9C58" w14:textId="364DB09A"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Незабавното спиране на приема на Клозапин Акорд е задължително или ако левкоцитният брой е под 3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е под 1 500/тт</w:t>
            </w:r>
            <w:r w:rsidRPr="00BE4B21">
              <w:rPr>
                <w:rFonts w:eastAsia="Times New Roman" w:cs="Arial"/>
                <w:color w:val="000000"/>
                <w:szCs w:val="20"/>
                <w:vertAlign w:val="superscript"/>
                <w:lang w:eastAsia="bg-BG"/>
              </w:rPr>
              <w:t>3</w:t>
            </w:r>
            <w:r w:rsidRPr="00BE4B21">
              <w:rPr>
                <w:rFonts w:eastAsia="Times New Roman" w:cs="Arial"/>
                <w:color w:val="000000"/>
                <w:szCs w:val="20"/>
                <w:lang w:eastAsia="bg-BG"/>
              </w:rPr>
              <w:t xml:space="preserve"> (1,5х10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в който и да е момент от лечението с клозапин. Пациентите, при които Клозапин Акорд е спрян в резултат на дефицитни стойности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не трябва да получават повторно клозапин.</w:t>
            </w:r>
          </w:p>
          <w:p w14:paraId="6652ABF8" w14:textId="77777777" w:rsidR="00BE4B21" w:rsidRPr="00BE4B21" w:rsidRDefault="00BE4B21" w:rsidP="00BE4B21">
            <w:pPr>
              <w:spacing w:line="240" w:lineRule="auto"/>
              <w:rPr>
                <w:rFonts w:eastAsia="Times New Roman" w:cs="Arial"/>
                <w:color w:val="000000"/>
                <w:szCs w:val="20"/>
                <w:lang w:eastAsia="bg-BG"/>
              </w:rPr>
            </w:pPr>
          </w:p>
          <w:p w14:paraId="2786C565" w14:textId="19FEFD9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всяка консултация, на пациента, приемащ клозапин, трябва да се напомня да се свърже незабавно с лекуващия лекар, ако започне развитието на някакъв вид инфекция. Особено внимание трябва да се обръща на грипоподобните оплаквания, като повишена температура или възпалено гърло и други белези на инфекция, които може да са показателни за неутропения. Пациентите и грижещите се за тях трябва да бъдат информирани, че в случай на поява на някой от тези симптоми, незабавно трябва да бъде определен броят на кръвните им клетки. Препоръчително е лекарите, предписващи лекарството, да съхраняват списък с резултатите от всички кръвни проби на пациентите и да предприемат всички необходими стъпки, за да предпазят тези пациенти от случайно повторно получаване на лекарството в бъдеще.</w:t>
            </w:r>
          </w:p>
          <w:p w14:paraId="3A367C3E" w14:textId="77777777" w:rsidR="00BE4B21" w:rsidRPr="00BE4B21" w:rsidRDefault="00BE4B21" w:rsidP="00BE4B21">
            <w:pPr>
              <w:spacing w:line="240" w:lineRule="auto"/>
              <w:rPr>
                <w:rFonts w:eastAsia="Times New Roman" w:cs="Arial"/>
                <w:color w:val="000000"/>
                <w:szCs w:val="20"/>
                <w:lang w:eastAsia="bg-BG"/>
              </w:rPr>
            </w:pPr>
          </w:p>
          <w:p w14:paraId="784F7CF8" w14:textId="68770CE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пациентите с анамнеза за първични нарушения на костния мозък, провеждане на лечение е възможно, само ако ползата не надвишава риска. Преди започване на прием на клозапин, те трябва да бъдат внимателно прегледани от хематолог.</w:t>
            </w:r>
          </w:p>
          <w:p w14:paraId="5F4801B9" w14:textId="77777777" w:rsidR="00BE4B21" w:rsidRPr="00BE4B21" w:rsidRDefault="00BE4B21" w:rsidP="00BE4B21">
            <w:pPr>
              <w:spacing w:line="240" w:lineRule="auto"/>
              <w:rPr>
                <w:rFonts w:eastAsia="Times New Roman" w:cs="Arial"/>
                <w:color w:val="000000"/>
                <w:szCs w:val="20"/>
                <w:lang w:eastAsia="bg-BG"/>
              </w:rPr>
            </w:pPr>
          </w:p>
          <w:p w14:paraId="74C9183A" w14:textId="0C9C3272" w:rsidR="00BE4B21" w:rsidRPr="00BE4B21" w:rsidRDefault="00BE4B21" w:rsidP="00BE4B21">
            <w:pPr>
              <w:spacing w:line="240" w:lineRule="auto"/>
              <w:rPr>
                <w:rFonts w:ascii="Times New Roman" w:eastAsia="Times New Roman" w:hAnsi="Times New Roman" w:cs="Times New Roman"/>
                <w:sz w:val="24"/>
                <w:szCs w:val="24"/>
              </w:rPr>
            </w:pPr>
            <w:r w:rsidRPr="00BE4B21">
              <w:rPr>
                <w:rFonts w:eastAsia="Times New Roman" w:cs="Arial"/>
                <w:color w:val="000000"/>
                <w:szCs w:val="20"/>
                <w:lang w:eastAsia="bg-BG"/>
              </w:rPr>
              <w:t xml:space="preserve">Пациентите, които имат нисък брой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поради доброкачествена етнически обусловена неутропения трябва да бъдат обсъдени специално и могат да започнат лечение с клозапин само със съгласието на хематолог.</w:t>
            </w:r>
          </w:p>
        </w:tc>
      </w:tr>
    </w:tbl>
    <w:p w14:paraId="06A978DD" w14:textId="77777777" w:rsidR="00BE4B21" w:rsidRPr="00BE4B21" w:rsidRDefault="00BE4B21" w:rsidP="00BE4B21">
      <w:pPr>
        <w:spacing w:line="240" w:lineRule="auto"/>
        <w:rPr>
          <w:rFonts w:eastAsia="Times New Roman" w:cs="Arial"/>
          <w:sz w:val="28"/>
          <w:szCs w:val="24"/>
        </w:rPr>
      </w:pPr>
    </w:p>
    <w:p w14:paraId="2AF0725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Мониториране на броя на левкоцитите </w:t>
      </w:r>
      <w:r w:rsidRPr="00BE4B21">
        <w:rPr>
          <w:rFonts w:eastAsia="Times New Roman" w:cs="Arial"/>
          <w:color w:val="000000"/>
          <w:szCs w:val="20"/>
          <w:u w:val="single"/>
          <w:lang w:val="ru-RU"/>
        </w:rPr>
        <w:t>(</w:t>
      </w:r>
      <w:r w:rsidRPr="00BE4B21">
        <w:rPr>
          <w:rFonts w:eastAsia="Times New Roman" w:cs="Arial"/>
          <w:color w:val="000000"/>
          <w:szCs w:val="20"/>
          <w:u w:val="single"/>
          <w:lang w:val="en-US"/>
        </w:rPr>
        <w:t>WBC</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и абсолютния брой неутрофили </w:t>
      </w:r>
      <w:r w:rsidRPr="00BE4B21">
        <w:rPr>
          <w:rFonts w:eastAsia="Times New Roman" w:cs="Arial"/>
          <w:color w:val="000000"/>
          <w:szCs w:val="20"/>
          <w:u w:val="single"/>
          <w:lang w:val="ru-RU"/>
        </w:rPr>
        <w:t>(</w:t>
      </w:r>
      <w:r w:rsidRPr="00BE4B21">
        <w:rPr>
          <w:rFonts w:eastAsia="Times New Roman" w:cs="Arial"/>
          <w:color w:val="000000"/>
          <w:szCs w:val="20"/>
          <w:u w:val="single"/>
          <w:lang w:val="en-US"/>
        </w:rPr>
        <w:t>ANC</w:t>
      </w:r>
      <w:r w:rsidRPr="00BE4B21">
        <w:rPr>
          <w:rFonts w:eastAsia="Times New Roman" w:cs="Arial"/>
          <w:color w:val="000000"/>
          <w:szCs w:val="20"/>
          <w:u w:val="single"/>
          <w:lang w:val="ru-RU"/>
        </w:rPr>
        <w:t>)</w:t>
      </w:r>
    </w:p>
    <w:p w14:paraId="655F571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Общият левкоцитен брой и диференциалната кръвна картина трябва да се определят в рамките на 10 дни преди започване на лечение с клозапин, за да е сигурно, че само пациенти с нормален брой левкоцити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брой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(2,0х10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ще получават лекарството. След започване на лечението с клозапин броят на левкоцитите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трябва да се мониторират редовно всяка седмица през първите 18 седмици и поне на всеки четири седмици след това.</w:t>
      </w:r>
    </w:p>
    <w:p w14:paraId="6B3E9351" w14:textId="77777777" w:rsidR="00BE4B21" w:rsidRPr="00BE4B21" w:rsidRDefault="00BE4B21" w:rsidP="00BE4B21">
      <w:pPr>
        <w:spacing w:line="240" w:lineRule="auto"/>
        <w:rPr>
          <w:rFonts w:eastAsia="Times New Roman" w:cs="Arial"/>
          <w:color w:val="000000"/>
          <w:szCs w:val="20"/>
          <w:lang w:eastAsia="bg-BG"/>
        </w:rPr>
      </w:pPr>
    </w:p>
    <w:p w14:paraId="159DAF68" w14:textId="551394C1"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Мониторирането трябва да продължи по време на лечението и за 4 седмици след пълното спиране на клозапин или до настъпване на възстановяване на хематологичните показатели (виж по-долу „Нисък левкоцитен брой</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При всяка консултация на пациента трябва да се напомня да се свърже незабавно с лекуващия лекар, ако започне развитие на някакъв вид инфекция, повишена температура, възпалено гърло или други </w:t>
      </w:r>
      <w:r w:rsidRPr="00BE4B21">
        <w:rPr>
          <w:rFonts w:eastAsia="Times New Roman" w:cs="Arial"/>
          <w:color w:val="000000"/>
          <w:szCs w:val="20"/>
          <w:lang w:eastAsia="bg-BG"/>
        </w:rPr>
        <w:lastRenderedPageBreak/>
        <w:t>грипоподобни симптоми. При поява на някакви признаци на инфекция, общият брой левкоцити и диференциалната кръвна картина трябва незабавно да се изследват.</w:t>
      </w:r>
    </w:p>
    <w:p w14:paraId="3F35B5DC" w14:textId="77777777" w:rsidR="00BE4B21" w:rsidRPr="00BE4B21" w:rsidRDefault="00BE4B21" w:rsidP="00BE4B21">
      <w:pPr>
        <w:spacing w:line="240" w:lineRule="auto"/>
        <w:rPr>
          <w:rFonts w:eastAsia="Times New Roman" w:cs="Arial"/>
          <w:color w:val="000000"/>
          <w:szCs w:val="20"/>
          <w:u w:val="single"/>
          <w:lang w:eastAsia="bg-BG"/>
        </w:rPr>
      </w:pPr>
    </w:p>
    <w:p w14:paraId="5D5EE147" w14:textId="5AA6772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Нисък </w:t>
      </w:r>
      <w:r w:rsidRPr="00BE4B21">
        <w:rPr>
          <w:rFonts w:eastAsia="Times New Roman" w:cs="Arial"/>
          <w:color w:val="000000"/>
          <w:szCs w:val="20"/>
          <w:u w:val="single"/>
          <w:lang w:val="en-US"/>
        </w:rPr>
        <w:t>WBC</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брой/ </w:t>
      </w:r>
      <w:r w:rsidRPr="00BE4B21">
        <w:rPr>
          <w:rFonts w:eastAsia="Times New Roman" w:cs="Arial"/>
          <w:color w:val="000000"/>
          <w:szCs w:val="20"/>
          <w:u w:val="single"/>
          <w:lang w:val="en-US"/>
        </w:rPr>
        <w:t>ANC</w:t>
      </w:r>
    </w:p>
    <w:p w14:paraId="1BF538F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Ако по време на лечението с клозапин броят на левкоцитите спадне между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(3,5</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2997ED5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footnoteRef/>
      </w:r>
      <w:r w:rsidRPr="00BE4B21">
        <w:rPr>
          <w:rFonts w:eastAsia="Times New Roman" w:cs="Arial"/>
          <w:color w:val="000000"/>
          <w:szCs w:val="20"/>
          <w:lang w:eastAsia="bg-BG"/>
        </w:rPr>
        <w:t xml:space="preserve">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между 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(2,0</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1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w:t>
      </w:r>
    </w:p>
    <w:p w14:paraId="447A1679"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хематологичните изследвания трябва да се извършват поне два пъти седмично, докато броят на</w:t>
      </w:r>
    </w:p>
    <w:p w14:paraId="1ABD0C4E"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левкоцитите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на пациента се стабилизират съответно в границите 3 000-3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(3,0-</w:t>
      </w:r>
    </w:p>
    <w:p w14:paraId="618DD8D6"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w:t>
      </w:r>
      <w:r w:rsidRPr="00BE4B21">
        <w:rPr>
          <w:rFonts w:eastAsia="Times New Roman" w:cs="Arial"/>
          <w:smallCaps/>
          <w:color w:val="000000"/>
          <w:szCs w:val="20"/>
          <w:lang w:eastAsia="bg-BG"/>
        </w:rPr>
        <w:t>и</w:t>
      </w:r>
      <w:r w:rsidRPr="00BE4B21">
        <w:rPr>
          <w:rFonts w:eastAsia="Times New Roman" w:cs="Arial"/>
          <w:color w:val="000000"/>
          <w:szCs w:val="20"/>
          <w:lang w:eastAsia="bg-BG"/>
        </w:rPr>
        <w:t xml:space="preserve"> 1 500-2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,5-2,0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или над тях.</w:t>
      </w:r>
    </w:p>
    <w:p w14:paraId="1B33ADEB" w14:textId="77777777" w:rsidR="00BE4B21" w:rsidRPr="00BE4B21" w:rsidRDefault="00BE4B21" w:rsidP="00BE4B21">
      <w:pPr>
        <w:spacing w:line="240" w:lineRule="auto"/>
        <w:rPr>
          <w:rFonts w:eastAsia="Times New Roman" w:cs="Arial"/>
          <w:color w:val="000000"/>
          <w:szCs w:val="20"/>
          <w:lang w:eastAsia="bg-BG"/>
        </w:rPr>
      </w:pPr>
    </w:p>
    <w:p w14:paraId="19C4750B" w14:textId="0A8E9696"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Незабавното спиране на лечението с Клозапин Акорд е задължително, ако левкоцитният брой е под 3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е под 1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в който и да е момент от лечението</w:t>
      </w:r>
    </w:p>
    <w:p w14:paraId="20CADEA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 клозапин. Левкоцитният брой и диференциалнта кръвна картина след това трябва да се</w:t>
      </w:r>
    </w:p>
    <w:p w14:paraId="01B39F19" w14:textId="28A3D768" w:rsidR="00BE4B21" w:rsidRPr="00BE4B21" w:rsidRDefault="00BE4B21" w:rsidP="00BE4B21">
      <w:pPr>
        <w:rPr>
          <w:rFonts w:eastAsia="Times New Roman" w:cs="Arial"/>
          <w:color w:val="000000"/>
          <w:szCs w:val="20"/>
          <w:lang w:eastAsia="bg-BG"/>
        </w:rPr>
      </w:pPr>
      <w:r w:rsidRPr="00BE4B21">
        <w:rPr>
          <w:rFonts w:eastAsia="Times New Roman" w:cs="Arial"/>
          <w:color w:val="000000"/>
          <w:szCs w:val="20"/>
          <w:lang w:eastAsia="bg-BG"/>
        </w:rPr>
        <w:t>определят ежедневно и пациентите трябва внимателно да се проследяват за поява на грипоподобни симптоми или други симптоми, предполагащи инфекция. Препоръчва се потвърждаване на стойностите на хематологичните показатели чрез провеждане на кръвни изледвания в два последователни дни; въпреки това приемът на клозапин трябва да се спре след получаване на първите показатели.</w:t>
      </w:r>
    </w:p>
    <w:p w14:paraId="308B6BC0" w14:textId="6FB17CB7" w:rsidR="00BE4B21" w:rsidRPr="00BE4B21" w:rsidRDefault="00BE4B21" w:rsidP="00BE4B21">
      <w:pPr>
        <w:rPr>
          <w:rFonts w:eastAsia="Times New Roman" w:cs="Arial"/>
          <w:color w:val="000000"/>
          <w:szCs w:val="20"/>
          <w:lang w:eastAsia="bg-BG"/>
        </w:rPr>
      </w:pPr>
    </w:p>
    <w:p w14:paraId="75BEEA72"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След спиране на лечението с клозапин се налага хематологична оценка до възстановяване на хематологичните показатели.</w:t>
      </w:r>
    </w:p>
    <w:p w14:paraId="2BB1DCA5" w14:textId="77777777" w:rsidR="00BE4B21" w:rsidRPr="00BE4B21" w:rsidRDefault="00BE4B21" w:rsidP="00BE4B21">
      <w:pPr>
        <w:rPr>
          <w:rFonts w:eastAsia="Times New Roman" w:cs="Arial"/>
          <w:b/>
          <w:bCs/>
          <w:color w:val="000000"/>
          <w:szCs w:val="20"/>
          <w:lang w:eastAsia="bg-BG"/>
        </w:rPr>
      </w:pPr>
    </w:p>
    <w:p w14:paraId="070A5BC4" w14:textId="51120F85" w:rsidR="00BE4B21" w:rsidRDefault="00BE4B21" w:rsidP="00BE4B21">
      <w:pPr>
        <w:rPr>
          <w:rFonts w:eastAsia="Times New Roman" w:cs="Arial"/>
          <w:b/>
          <w:bCs/>
          <w:color w:val="000000"/>
          <w:szCs w:val="20"/>
          <w:lang w:eastAsia="bg-BG"/>
        </w:rPr>
      </w:pPr>
      <w:r w:rsidRPr="00BE4B21">
        <w:rPr>
          <w:rFonts w:eastAsia="Times New Roman" w:cs="Arial"/>
          <w:b/>
          <w:bCs/>
          <w:color w:val="000000"/>
          <w:szCs w:val="20"/>
          <w:lang w:eastAsia="bg-BG"/>
        </w:rPr>
        <w:t>Таблица 1</w:t>
      </w:r>
    </w:p>
    <w:tbl>
      <w:tblPr>
        <w:tblStyle w:val="TableGrid"/>
        <w:tblW w:w="0" w:type="auto"/>
        <w:tblLook w:val="04A0" w:firstRow="1" w:lastRow="0" w:firstColumn="1" w:lastColumn="0" w:noHBand="0" w:noVBand="1"/>
      </w:tblPr>
      <w:tblGrid>
        <w:gridCol w:w="3107"/>
        <w:gridCol w:w="3104"/>
        <w:gridCol w:w="3139"/>
      </w:tblGrid>
      <w:tr w:rsidR="00BE4B21" w14:paraId="6840739F" w14:textId="77777777" w:rsidTr="00BE4B21">
        <w:tc>
          <w:tcPr>
            <w:tcW w:w="6384" w:type="dxa"/>
            <w:gridSpan w:val="2"/>
          </w:tcPr>
          <w:p w14:paraId="26B8EE89" w14:textId="0B268868" w:rsidR="00BE4B21" w:rsidRPr="00BE4B21" w:rsidRDefault="00BE4B21" w:rsidP="00BE4B21">
            <w:pPr>
              <w:spacing w:line="240" w:lineRule="auto"/>
              <w:rPr>
                <w:rFonts w:eastAsia="Times New Roman" w:cs="Arial"/>
                <w:szCs w:val="24"/>
              </w:rPr>
            </w:pPr>
            <w:r w:rsidRPr="00BE4B21">
              <w:rPr>
                <w:rFonts w:eastAsia="Times New Roman" w:cs="Arial"/>
                <w:b/>
                <w:bCs/>
                <w:color w:val="000000"/>
                <w:szCs w:val="20"/>
                <w:lang w:eastAsia="bg-BG"/>
              </w:rPr>
              <w:t>Брой кръвни клетки</w:t>
            </w:r>
          </w:p>
        </w:tc>
        <w:tc>
          <w:tcPr>
            <w:tcW w:w="3192" w:type="dxa"/>
            <w:vMerge w:val="restart"/>
          </w:tcPr>
          <w:p w14:paraId="1FA3C16F" w14:textId="5014C139" w:rsidR="00BE4B21" w:rsidRPr="00BE4B21" w:rsidRDefault="00BE4B21" w:rsidP="00BE4B21">
            <w:pPr>
              <w:spacing w:line="240" w:lineRule="auto"/>
              <w:rPr>
                <w:rFonts w:eastAsia="Times New Roman" w:cs="Arial"/>
                <w:szCs w:val="24"/>
              </w:rPr>
            </w:pPr>
            <w:r w:rsidRPr="00BE4B21">
              <w:rPr>
                <w:rFonts w:eastAsia="Times New Roman" w:cs="Arial"/>
                <w:b/>
                <w:bCs/>
                <w:color w:val="000000"/>
                <w:szCs w:val="20"/>
                <w:lang w:eastAsia="bg-BG"/>
              </w:rPr>
              <w:t>Необходими действия</w:t>
            </w:r>
          </w:p>
        </w:tc>
      </w:tr>
      <w:tr w:rsidR="00BE4B21" w14:paraId="6C2BC41E" w14:textId="77777777" w:rsidTr="00BE4B21">
        <w:tc>
          <w:tcPr>
            <w:tcW w:w="3192" w:type="dxa"/>
          </w:tcPr>
          <w:p w14:paraId="0BA092BA" w14:textId="0EEBF743" w:rsidR="00BE4B21" w:rsidRPr="00BE4B21" w:rsidRDefault="00BE4B21" w:rsidP="00BE4B21">
            <w:pPr>
              <w:rPr>
                <w:rFonts w:cs="Arial"/>
              </w:rPr>
            </w:pPr>
            <w:r w:rsidRPr="00BE4B21">
              <w:rPr>
                <w:rFonts w:cs="Arial"/>
                <w:szCs w:val="20"/>
              </w:rPr>
              <w:t>WBC/mm</w:t>
            </w:r>
            <w:r w:rsidRPr="00BE4B21">
              <w:rPr>
                <w:rFonts w:cs="Arial"/>
                <w:szCs w:val="20"/>
                <w:vertAlign w:val="superscript"/>
              </w:rPr>
              <w:t>3</w:t>
            </w:r>
            <w:r w:rsidRPr="00BE4B21">
              <w:rPr>
                <w:rFonts w:cs="Arial"/>
                <w:szCs w:val="20"/>
              </w:rPr>
              <w:t xml:space="preserve"> (/L)</w:t>
            </w:r>
          </w:p>
        </w:tc>
        <w:tc>
          <w:tcPr>
            <w:tcW w:w="3192" w:type="dxa"/>
          </w:tcPr>
          <w:p w14:paraId="2A2995A1" w14:textId="0D798016" w:rsidR="00BE4B21" w:rsidRPr="00BE4B21" w:rsidRDefault="00BE4B21" w:rsidP="00BE4B21">
            <w:pPr>
              <w:rPr>
                <w:rFonts w:cs="Arial"/>
              </w:rPr>
            </w:pPr>
            <w:r w:rsidRPr="00BE4B21">
              <w:rPr>
                <w:rFonts w:cs="Arial"/>
                <w:szCs w:val="20"/>
              </w:rPr>
              <w:t>ANC/mm</w:t>
            </w:r>
            <w:r w:rsidRPr="00BE4B21">
              <w:rPr>
                <w:rFonts w:cs="Arial"/>
                <w:szCs w:val="20"/>
                <w:vertAlign w:val="superscript"/>
              </w:rPr>
              <w:t>3</w:t>
            </w:r>
            <w:r w:rsidRPr="00BE4B21">
              <w:rPr>
                <w:rFonts w:cs="Arial"/>
                <w:szCs w:val="20"/>
              </w:rPr>
              <w:t xml:space="preserve"> (/L)</w:t>
            </w:r>
          </w:p>
        </w:tc>
        <w:tc>
          <w:tcPr>
            <w:tcW w:w="3192" w:type="dxa"/>
            <w:vMerge/>
          </w:tcPr>
          <w:p w14:paraId="185E13D6" w14:textId="77777777" w:rsidR="00BE4B21" w:rsidRPr="00BE4B21" w:rsidRDefault="00BE4B21" w:rsidP="00BE4B21">
            <w:pPr>
              <w:rPr>
                <w:rFonts w:cs="Arial"/>
              </w:rPr>
            </w:pPr>
          </w:p>
        </w:tc>
      </w:tr>
      <w:tr w:rsidR="00BE4B21" w14:paraId="15F93906" w14:textId="77777777" w:rsidTr="00BE4B21">
        <w:tc>
          <w:tcPr>
            <w:tcW w:w="3192" w:type="dxa"/>
          </w:tcPr>
          <w:p w14:paraId="660FA8C2" w14:textId="09338F0F" w:rsidR="00BE4B21" w:rsidRPr="00BE4B21" w:rsidRDefault="00BE4B21" w:rsidP="00BE4B21">
            <w:pPr>
              <w:rPr>
                <w:rFonts w:cs="Arial"/>
              </w:rPr>
            </w:pPr>
            <w:r w:rsidRPr="00BE4B21">
              <w:rPr>
                <w:rFonts w:cs="Arial"/>
                <w:szCs w:val="20"/>
                <w:lang w:eastAsia="bg-BG"/>
              </w:rPr>
              <w:t xml:space="preserve">≥3500 (≥ </w:t>
            </w:r>
            <w:r w:rsidRPr="00BE4B21">
              <w:rPr>
                <w:rFonts w:cs="Arial"/>
                <w:szCs w:val="20"/>
              </w:rPr>
              <w:t>3,5x10</w:t>
            </w:r>
            <w:r w:rsidRPr="00BE4B21">
              <w:rPr>
                <w:rFonts w:cs="Arial"/>
                <w:szCs w:val="20"/>
                <w:vertAlign w:val="superscript"/>
              </w:rPr>
              <w:t>9</w:t>
            </w:r>
            <w:r w:rsidRPr="00BE4B21">
              <w:rPr>
                <w:rFonts w:cs="Arial"/>
                <w:szCs w:val="20"/>
              </w:rPr>
              <w:t>)</w:t>
            </w:r>
          </w:p>
        </w:tc>
        <w:tc>
          <w:tcPr>
            <w:tcW w:w="3192" w:type="dxa"/>
          </w:tcPr>
          <w:p w14:paraId="01CA100B" w14:textId="1A03D55E" w:rsidR="00BE4B21" w:rsidRPr="00BE4B21" w:rsidRDefault="00BE4B21" w:rsidP="00BE4B21">
            <w:pPr>
              <w:rPr>
                <w:rFonts w:cs="Arial"/>
              </w:rPr>
            </w:pPr>
            <w:r w:rsidRPr="00BE4B21">
              <w:rPr>
                <w:rFonts w:cs="Arial"/>
                <w:szCs w:val="20"/>
                <w:lang w:eastAsia="bg-BG"/>
              </w:rPr>
              <w:t>≥</w:t>
            </w:r>
            <w:r w:rsidRPr="00BE4B21">
              <w:rPr>
                <w:rFonts w:cs="Arial"/>
                <w:szCs w:val="20"/>
              </w:rPr>
              <w:t xml:space="preserve"> 2000 (</w:t>
            </w:r>
            <w:r w:rsidRPr="00BE4B21">
              <w:rPr>
                <w:rFonts w:cs="Arial"/>
                <w:szCs w:val="20"/>
                <w:lang w:eastAsia="bg-BG"/>
              </w:rPr>
              <w:t>≥</w:t>
            </w:r>
            <w:r w:rsidRPr="00BE4B21">
              <w:rPr>
                <w:rFonts w:cs="Arial"/>
                <w:szCs w:val="20"/>
              </w:rPr>
              <w:t xml:space="preserve"> </w:t>
            </w:r>
            <w:r w:rsidRPr="00BE4B21">
              <w:rPr>
                <w:rFonts w:cs="Arial"/>
                <w:smallCaps/>
                <w:szCs w:val="20"/>
              </w:rPr>
              <w:t>2,0x10</w:t>
            </w:r>
            <w:r w:rsidRPr="00BE4B21">
              <w:rPr>
                <w:rFonts w:cs="Arial"/>
                <w:smallCaps/>
                <w:szCs w:val="20"/>
                <w:vertAlign w:val="superscript"/>
              </w:rPr>
              <w:t>9</w:t>
            </w:r>
            <w:r w:rsidRPr="00BE4B21">
              <w:rPr>
                <w:rFonts w:cs="Arial"/>
                <w:smallCaps/>
                <w:szCs w:val="20"/>
              </w:rPr>
              <w:t>)</w:t>
            </w:r>
          </w:p>
        </w:tc>
        <w:tc>
          <w:tcPr>
            <w:tcW w:w="3192" w:type="dxa"/>
          </w:tcPr>
          <w:p w14:paraId="3FD6293F" w14:textId="173AA0C5" w:rsidR="00BE4B21" w:rsidRPr="00BE4B21" w:rsidRDefault="00BE4B21" w:rsidP="00BE4B21">
            <w:pPr>
              <w:rPr>
                <w:rFonts w:cs="Arial"/>
              </w:rPr>
            </w:pPr>
            <w:r w:rsidRPr="00BE4B21">
              <w:rPr>
                <w:rFonts w:cs="Arial"/>
                <w:szCs w:val="20"/>
              </w:rPr>
              <w:t>Да се продължи лечението с клозапин</w:t>
            </w:r>
          </w:p>
        </w:tc>
      </w:tr>
      <w:tr w:rsidR="00BE4B21" w14:paraId="41A49B8E" w14:textId="77777777" w:rsidTr="00BE4B21">
        <w:tc>
          <w:tcPr>
            <w:tcW w:w="3192" w:type="dxa"/>
          </w:tcPr>
          <w:p w14:paraId="150D4B36" w14:textId="201D435A" w:rsidR="00BE4B21" w:rsidRPr="00BE4B21" w:rsidRDefault="00BE4B21" w:rsidP="00BE4B21">
            <w:pPr>
              <w:rPr>
                <w:rFonts w:cs="Arial"/>
              </w:rPr>
            </w:pPr>
            <w:r w:rsidRPr="00BE4B21">
              <w:rPr>
                <w:rFonts w:cs="Arial"/>
                <w:szCs w:val="20"/>
                <w:lang w:eastAsia="bg-BG"/>
              </w:rPr>
              <w:t>Между ≥ 3000 и &lt; 3500 (≥ 3,0х10</w:t>
            </w:r>
            <w:r w:rsidRPr="00BE4B21">
              <w:rPr>
                <w:rFonts w:cs="Arial"/>
                <w:szCs w:val="20"/>
                <w:vertAlign w:val="superscript"/>
                <w:lang w:eastAsia="bg-BG"/>
              </w:rPr>
              <w:t>9</w:t>
            </w:r>
            <w:r w:rsidRPr="00BE4B21">
              <w:rPr>
                <w:rFonts w:cs="Arial"/>
                <w:szCs w:val="20"/>
                <w:lang w:eastAsia="bg-BG"/>
              </w:rPr>
              <w:t xml:space="preserve"> и &lt; </w:t>
            </w:r>
            <w:r w:rsidRPr="00BE4B21">
              <w:rPr>
                <w:rFonts w:cs="Arial"/>
                <w:szCs w:val="20"/>
              </w:rPr>
              <w:t>3,5x10</w:t>
            </w:r>
            <w:r w:rsidRPr="00BE4B21">
              <w:rPr>
                <w:rFonts w:cs="Arial"/>
                <w:szCs w:val="20"/>
                <w:vertAlign w:val="superscript"/>
              </w:rPr>
              <w:t>s</w:t>
            </w:r>
            <w:r w:rsidRPr="00BE4B21">
              <w:rPr>
                <w:rFonts w:cs="Arial"/>
                <w:szCs w:val="20"/>
              </w:rPr>
              <w:t>)</w:t>
            </w:r>
          </w:p>
        </w:tc>
        <w:tc>
          <w:tcPr>
            <w:tcW w:w="3192" w:type="dxa"/>
          </w:tcPr>
          <w:p w14:paraId="3A0B1AA7" w14:textId="1DADA31F" w:rsidR="00BE4B21" w:rsidRPr="00BE4B21" w:rsidRDefault="00BE4B21" w:rsidP="00BE4B21">
            <w:pPr>
              <w:rPr>
                <w:rFonts w:cs="Arial"/>
              </w:rPr>
            </w:pPr>
            <w:r w:rsidRPr="00BE4B21">
              <w:rPr>
                <w:rFonts w:cs="Arial"/>
                <w:szCs w:val="20"/>
                <w:lang w:eastAsia="bg-BG"/>
              </w:rPr>
              <w:t>Между ≥</w:t>
            </w:r>
            <w:r w:rsidRPr="00BE4B21">
              <w:rPr>
                <w:rFonts w:cs="Arial"/>
                <w:szCs w:val="20"/>
              </w:rPr>
              <w:t xml:space="preserve"> 1500 </w:t>
            </w:r>
            <w:r w:rsidRPr="00BE4B21">
              <w:rPr>
                <w:rFonts w:cs="Arial"/>
                <w:szCs w:val="20"/>
                <w:lang w:eastAsia="bg-BG"/>
              </w:rPr>
              <w:t xml:space="preserve">и </w:t>
            </w:r>
            <w:r w:rsidRPr="00BE4B21">
              <w:rPr>
                <w:rFonts w:cs="Arial"/>
                <w:szCs w:val="20"/>
              </w:rPr>
              <w:t>&lt; 2000 (</w:t>
            </w:r>
            <w:r w:rsidRPr="00BE4B21">
              <w:rPr>
                <w:rFonts w:cs="Arial"/>
                <w:szCs w:val="20"/>
                <w:lang w:eastAsia="bg-BG"/>
              </w:rPr>
              <w:t>≥</w:t>
            </w:r>
            <w:r w:rsidRPr="00BE4B21">
              <w:rPr>
                <w:rFonts w:cs="Arial"/>
                <w:szCs w:val="20"/>
              </w:rPr>
              <w:t xml:space="preserve"> </w:t>
            </w:r>
            <w:r w:rsidRPr="00BE4B21">
              <w:rPr>
                <w:rFonts w:cs="Arial"/>
                <w:szCs w:val="20"/>
                <w:lang w:eastAsia="bg-BG"/>
              </w:rPr>
              <w:t>1,5х10</w:t>
            </w:r>
            <w:r w:rsidRPr="00BE4B21">
              <w:rPr>
                <w:rFonts w:cs="Arial"/>
                <w:szCs w:val="20"/>
                <w:vertAlign w:val="superscript"/>
                <w:lang w:eastAsia="bg-BG"/>
              </w:rPr>
              <w:t>9</w:t>
            </w:r>
            <w:r w:rsidRPr="00BE4B21">
              <w:rPr>
                <w:rFonts w:cs="Arial"/>
                <w:szCs w:val="20"/>
                <w:lang w:eastAsia="bg-BG"/>
              </w:rPr>
              <w:t xml:space="preserve"> и </w:t>
            </w:r>
            <w:r w:rsidRPr="00BE4B21">
              <w:rPr>
                <w:rFonts w:cs="Arial"/>
                <w:szCs w:val="20"/>
              </w:rPr>
              <w:t>&lt; 2,0x10</w:t>
            </w:r>
            <w:r w:rsidRPr="00BE4B21">
              <w:rPr>
                <w:rFonts w:cs="Arial"/>
                <w:szCs w:val="20"/>
                <w:vertAlign w:val="superscript"/>
              </w:rPr>
              <w:t>s</w:t>
            </w:r>
            <w:r w:rsidRPr="00BE4B21">
              <w:rPr>
                <w:rFonts w:cs="Arial"/>
                <w:szCs w:val="20"/>
              </w:rPr>
              <w:t>)</w:t>
            </w:r>
          </w:p>
        </w:tc>
        <w:tc>
          <w:tcPr>
            <w:tcW w:w="3192" w:type="dxa"/>
          </w:tcPr>
          <w:p w14:paraId="570A4FCF" w14:textId="3F366E66" w:rsidR="00BE4B21" w:rsidRPr="00BE4B21" w:rsidRDefault="00BE4B21" w:rsidP="00BE4B21">
            <w:pPr>
              <w:rPr>
                <w:rFonts w:cs="Arial"/>
              </w:rPr>
            </w:pPr>
            <w:r w:rsidRPr="00BE4B21">
              <w:rPr>
                <w:rFonts w:cs="Arial"/>
                <w:szCs w:val="20"/>
              </w:rPr>
              <w:t>Да се продължи лечението с клозапин, да вземат кръвни проби два пъти седмично до стабилизиране на броя на кръвните показатели или повишаването им</w:t>
            </w:r>
          </w:p>
        </w:tc>
      </w:tr>
      <w:tr w:rsidR="00BE4B21" w14:paraId="6E7C66B9" w14:textId="77777777" w:rsidTr="00BE4B21">
        <w:tc>
          <w:tcPr>
            <w:tcW w:w="3192" w:type="dxa"/>
          </w:tcPr>
          <w:p w14:paraId="62F06AE1" w14:textId="2957A46B" w:rsidR="00BE4B21" w:rsidRPr="00BE4B21" w:rsidRDefault="00BE4B21" w:rsidP="00BE4B21">
            <w:pPr>
              <w:rPr>
                <w:rFonts w:cs="Arial"/>
              </w:rPr>
            </w:pPr>
            <w:r w:rsidRPr="00BE4B21">
              <w:rPr>
                <w:rFonts w:cs="Arial"/>
                <w:szCs w:val="20"/>
                <w:lang w:eastAsia="bg-BG"/>
              </w:rPr>
              <w:t xml:space="preserve">&lt;3000 (&lt; </w:t>
            </w:r>
            <w:r w:rsidRPr="00BE4B21">
              <w:rPr>
                <w:rFonts w:cs="Arial"/>
                <w:szCs w:val="20"/>
              </w:rPr>
              <w:t>3,0x10</w:t>
            </w:r>
            <w:r w:rsidRPr="00BE4B21">
              <w:rPr>
                <w:rFonts w:cs="Arial"/>
                <w:szCs w:val="20"/>
                <w:vertAlign w:val="superscript"/>
              </w:rPr>
              <w:t>9</w:t>
            </w:r>
            <w:r w:rsidRPr="00BE4B21">
              <w:rPr>
                <w:rFonts w:cs="Arial"/>
                <w:szCs w:val="20"/>
              </w:rPr>
              <w:t>)</w:t>
            </w:r>
          </w:p>
        </w:tc>
        <w:tc>
          <w:tcPr>
            <w:tcW w:w="3192" w:type="dxa"/>
          </w:tcPr>
          <w:p w14:paraId="3C4120D7" w14:textId="224B73A4" w:rsidR="00BE4B21" w:rsidRPr="00BE4B21" w:rsidRDefault="00BE4B21" w:rsidP="00BE4B21">
            <w:pPr>
              <w:rPr>
                <w:rFonts w:cs="Arial"/>
              </w:rPr>
            </w:pPr>
            <w:r w:rsidRPr="00BE4B21">
              <w:rPr>
                <w:rFonts w:cs="Arial"/>
                <w:szCs w:val="20"/>
                <w:lang w:eastAsia="bg-BG"/>
              </w:rPr>
              <w:t xml:space="preserve">&lt; 1500 (&lt; </w:t>
            </w:r>
            <w:r w:rsidRPr="00BE4B21">
              <w:rPr>
                <w:rFonts w:cs="Arial"/>
                <w:szCs w:val="20"/>
              </w:rPr>
              <w:t>1,5x1</w:t>
            </w:r>
            <w:r w:rsidRPr="00BE4B21">
              <w:rPr>
                <w:rFonts w:cs="Arial"/>
                <w:szCs w:val="20"/>
                <w:lang w:eastAsia="bg-BG"/>
              </w:rPr>
              <w:t>0</w:t>
            </w:r>
            <w:r w:rsidRPr="00BE4B21">
              <w:rPr>
                <w:rFonts w:cs="Arial"/>
                <w:szCs w:val="20"/>
                <w:vertAlign w:val="superscript"/>
                <w:lang w:eastAsia="bg-BG"/>
              </w:rPr>
              <w:t>9</w:t>
            </w:r>
            <w:r w:rsidRPr="00BE4B21">
              <w:rPr>
                <w:rFonts w:cs="Arial"/>
                <w:szCs w:val="20"/>
                <w:lang w:eastAsia="bg-BG"/>
              </w:rPr>
              <w:t>)</w:t>
            </w:r>
          </w:p>
        </w:tc>
        <w:tc>
          <w:tcPr>
            <w:tcW w:w="3192" w:type="dxa"/>
          </w:tcPr>
          <w:p w14:paraId="2995AF8C" w14:textId="263607D0" w:rsidR="00BE4B21" w:rsidRPr="00BE4B21" w:rsidRDefault="00BE4B21" w:rsidP="00BE4B21">
            <w:pPr>
              <w:rPr>
                <w:rFonts w:cs="Arial"/>
              </w:rPr>
            </w:pPr>
            <w:r w:rsidRPr="00BE4B21">
              <w:rPr>
                <w:rFonts w:cs="Arial"/>
                <w:szCs w:val="20"/>
              </w:rPr>
              <w:t>Незабавно да се прекрати лечението с клозапин, ежедневно да се взема кръвна проба, докато се преодолее хематологичното нарушение, да се следи за инфекции. Лекарството да не се дава повторно.</w:t>
            </w:r>
          </w:p>
        </w:tc>
      </w:tr>
    </w:tbl>
    <w:p w14:paraId="3CEA44F9" w14:textId="681D0EF8" w:rsidR="00BE4B21" w:rsidRDefault="00BE4B21" w:rsidP="00BE4B21"/>
    <w:p w14:paraId="1750DCE7" w14:textId="77777777" w:rsidR="00BE4B21" w:rsidRPr="00BE4B21" w:rsidRDefault="00BE4B21" w:rsidP="00BE4B21">
      <w:pPr>
        <w:spacing w:line="240" w:lineRule="auto"/>
        <w:rPr>
          <w:rFonts w:eastAsia="Times New Roman" w:cs="Arial"/>
        </w:rPr>
      </w:pPr>
      <w:r w:rsidRPr="00BE4B21">
        <w:rPr>
          <w:rFonts w:eastAsia="Times New Roman" w:cs="Arial"/>
          <w:b/>
          <w:bCs/>
          <w:color w:val="000000"/>
          <w:lang w:eastAsia="bg-BG"/>
        </w:rPr>
        <w:lastRenderedPageBreak/>
        <w:t xml:space="preserve">Ако приложението на клозапин е преустановено и отново се появи спад на броя на левкоцитите под 2 </w:t>
      </w:r>
      <w:r w:rsidRPr="00BE4B21">
        <w:rPr>
          <w:rFonts w:eastAsia="Times New Roman" w:cs="Arial"/>
          <w:b/>
          <w:bCs/>
          <w:color w:val="000000"/>
          <w:lang w:val="ru-RU"/>
        </w:rPr>
        <w:t>000/</w:t>
      </w:r>
      <w:r w:rsidRPr="00BE4B21">
        <w:rPr>
          <w:rFonts w:eastAsia="Times New Roman" w:cs="Arial"/>
          <w:b/>
          <w:bCs/>
          <w:color w:val="000000"/>
          <w:lang w:val="en-US"/>
        </w:rPr>
        <w:t>mm</w:t>
      </w:r>
      <w:r w:rsidRPr="00BE4B21">
        <w:rPr>
          <w:rFonts w:eastAsia="Times New Roman" w:cs="Arial"/>
          <w:b/>
          <w:bCs/>
          <w:color w:val="000000"/>
          <w:vertAlign w:val="superscript"/>
          <w:lang w:val="ru-RU"/>
        </w:rPr>
        <w:t>3</w:t>
      </w:r>
      <w:r w:rsidRPr="00BE4B21">
        <w:rPr>
          <w:rFonts w:eastAsia="Times New Roman" w:cs="Arial"/>
          <w:b/>
          <w:bCs/>
          <w:color w:val="000000"/>
          <w:lang w:val="ru-RU"/>
        </w:rPr>
        <w:t xml:space="preserve"> (2,0</w:t>
      </w:r>
      <w:r w:rsidRPr="00BE4B21">
        <w:rPr>
          <w:rFonts w:eastAsia="Times New Roman" w:cs="Arial"/>
          <w:b/>
          <w:bCs/>
          <w:color w:val="000000"/>
          <w:lang w:val="en-US"/>
        </w:rPr>
        <w:t>x</w:t>
      </w:r>
      <w:r w:rsidRPr="00BE4B21">
        <w:rPr>
          <w:rFonts w:eastAsia="Times New Roman" w:cs="Arial"/>
          <w:b/>
          <w:bCs/>
          <w:color w:val="000000"/>
          <w:lang w:val="ru-RU"/>
        </w:rPr>
        <w:t>1</w:t>
      </w:r>
      <w:r w:rsidRPr="00BE4B21">
        <w:rPr>
          <w:rFonts w:eastAsia="Times New Roman" w:cs="Arial"/>
          <w:b/>
          <w:bCs/>
          <w:color w:val="000000"/>
          <w:lang w:eastAsia="bg-BG"/>
        </w:rPr>
        <w:t>0</w:t>
      </w:r>
      <w:r w:rsidRPr="00BE4B21">
        <w:rPr>
          <w:rFonts w:eastAsia="Times New Roman" w:cs="Arial"/>
          <w:b/>
          <w:bCs/>
          <w:color w:val="000000"/>
          <w:vertAlign w:val="superscript"/>
          <w:lang w:eastAsia="bg-BG"/>
        </w:rPr>
        <w:t>9</w:t>
      </w:r>
      <w:r w:rsidRPr="00BE4B21">
        <w:rPr>
          <w:rFonts w:eastAsia="Times New Roman" w:cs="Arial"/>
          <w:b/>
          <w:bCs/>
          <w:color w:val="000000"/>
          <w:lang w:eastAsia="bg-BG"/>
        </w:rPr>
        <w:t>/</w:t>
      </w:r>
      <w:r w:rsidRPr="00BE4B21">
        <w:rPr>
          <w:rFonts w:eastAsia="Times New Roman" w:cs="Arial"/>
          <w:b/>
          <w:bCs/>
          <w:color w:val="000000"/>
          <w:lang w:val="en-US"/>
        </w:rPr>
        <w:t>l</w:t>
      </w:r>
      <w:r w:rsidRPr="00BE4B21">
        <w:rPr>
          <w:rFonts w:eastAsia="Times New Roman" w:cs="Arial"/>
          <w:b/>
          <w:bCs/>
          <w:color w:val="000000"/>
          <w:lang w:eastAsia="bg-BG"/>
        </w:rPr>
        <w:t xml:space="preserve">), или на </w:t>
      </w:r>
      <w:r w:rsidRPr="00BE4B21">
        <w:rPr>
          <w:rFonts w:eastAsia="Times New Roman" w:cs="Arial"/>
          <w:b/>
          <w:bCs/>
          <w:color w:val="000000"/>
          <w:lang w:val="en-US"/>
        </w:rPr>
        <w:t>ANC</w:t>
      </w:r>
      <w:r w:rsidRPr="00BE4B21">
        <w:rPr>
          <w:rFonts w:eastAsia="Times New Roman" w:cs="Arial"/>
          <w:b/>
          <w:bCs/>
          <w:color w:val="000000"/>
          <w:lang w:val="ru-RU"/>
        </w:rPr>
        <w:t xml:space="preserve"> </w:t>
      </w:r>
      <w:r w:rsidRPr="00BE4B21">
        <w:rPr>
          <w:rFonts w:eastAsia="Times New Roman" w:cs="Arial"/>
          <w:b/>
          <w:bCs/>
          <w:color w:val="000000"/>
          <w:lang w:eastAsia="bg-BG"/>
        </w:rPr>
        <w:t xml:space="preserve">под 1 000/ </w:t>
      </w:r>
      <w:r w:rsidRPr="00BE4B21">
        <w:rPr>
          <w:rFonts w:eastAsia="Times New Roman" w:cs="Arial"/>
          <w:b/>
          <w:bCs/>
          <w:color w:val="000000"/>
          <w:lang w:val="en-US"/>
        </w:rPr>
        <w:t>mm</w:t>
      </w:r>
      <w:r w:rsidRPr="00BE4B21">
        <w:rPr>
          <w:rFonts w:eastAsia="Times New Roman" w:cs="Arial"/>
          <w:b/>
          <w:bCs/>
          <w:color w:val="000000"/>
          <w:vertAlign w:val="superscript"/>
          <w:lang w:val="ru-RU"/>
        </w:rPr>
        <w:t>3</w:t>
      </w:r>
      <w:r w:rsidRPr="00BE4B21">
        <w:rPr>
          <w:rFonts w:eastAsia="Times New Roman" w:cs="Arial"/>
          <w:b/>
          <w:bCs/>
          <w:color w:val="000000"/>
          <w:lang w:val="ru-RU"/>
        </w:rPr>
        <w:t xml:space="preserve"> </w:t>
      </w:r>
      <w:r w:rsidRPr="00BE4B21">
        <w:rPr>
          <w:rFonts w:eastAsia="Times New Roman" w:cs="Arial"/>
          <w:b/>
          <w:bCs/>
          <w:color w:val="000000"/>
          <w:lang w:eastAsia="bg-BG"/>
        </w:rPr>
        <w:t>(1,0х10</w:t>
      </w:r>
      <w:r w:rsidRPr="00BE4B21">
        <w:rPr>
          <w:rFonts w:eastAsia="Times New Roman" w:cs="Arial"/>
          <w:b/>
          <w:bCs/>
          <w:color w:val="000000"/>
          <w:vertAlign w:val="superscript"/>
          <w:lang w:eastAsia="bg-BG"/>
        </w:rPr>
        <w:t>9</w:t>
      </w:r>
      <w:r w:rsidRPr="00BE4B21">
        <w:rPr>
          <w:rFonts w:eastAsia="Times New Roman" w:cs="Arial"/>
          <w:b/>
          <w:bCs/>
          <w:color w:val="000000"/>
          <w:lang w:eastAsia="bg-BG"/>
        </w:rPr>
        <w:t>/1), третирането на това състояние трябва да се ръководи от опитен хематолог.</w:t>
      </w:r>
    </w:p>
    <w:p w14:paraId="04B08E82" w14:textId="77777777" w:rsidR="00BE4B21" w:rsidRPr="00BE4B21" w:rsidRDefault="00BE4B21" w:rsidP="00BE4B21">
      <w:pPr>
        <w:spacing w:line="240" w:lineRule="auto"/>
        <w:rPr>
          <w:rFonts w:eastAsia="Times New Roman" w:cs="Arial"/>
          <w:color w:val="000000"/>
          <w:u w:val="single"/>
          <w:lang w:eastAsia="bg-BG"/>
        </w:rPr>
      </w:pPr>
    </w:p>
    <w:p w14:paraId="143741BE" w14:textId="6792C586"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Спиране на лечението поради хематологични причини</w:t>
      </w:r>
    </w:p>
    <w:p w14:paraId="26E1D5D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Пациентите, при които лечението с Клозапин Акорд е било спряно в резултат на дефицит на </w:t>
      </w:r>
      <w:r w:rsidRPr="00BE4B21">
        <w:rPr>
          <w:rFonts w:eastAsia="Times New Roman" w:cs="Arial"/>
          <w:color w:val="000000"/>
          <w:lang w:val="en-US"/>
        </w:rPr>
        <w:t>WBC</w:t>
      </w:r>
      <w:r w:rsidRPr="00BE4B21">
        <w:rPr>
          <w:rFonts w:eastAsia="Times New Roman" w:cs="Arial"/>
          <w:color w:val="000000"/>
          <w:lang w:val="ru-RU"/>
        </w:rPr>
        <w:t xml:space="preserve"> </w:t>
      </w:r>
      <w:r w:rsidRPr="00BE4B21">
        <w:rPr>
          <w:rFonts w:eastAsia="Times New Roman" w:cs="Arial"/>
          <w:color w:val="000000"/>
          <w:lang w:eastAsia="bg-BG"/>
        </w:rPr>
        <w:t xml:space="preserve">или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(виж по-горе) не трябва да получават отново лекарството.</w:t>
      </w:r>
    </w:p>
    <w:p w14:paraId="36CB976F" w14:textId="77777777" w:rsidR="00BE4B21" w:rsidRPr="00BE4B21" w:rsidRDefault="00BE4B21" w:rsidP="00BE4B21">
      <w:pPr>
        <w:spacing w:line="240" w:lineRule="auto"/>
        <w:rPr>
          <w:rFonts w:eastAsia="Times New Roman" w:cs="Arial"/>
          <w:color w:val="000000"/>
          <w:lang w:eastAsia="bg-BG"/>
        </w:rPr>
      </w:pPr>
    </w:p>
    <w:p w14:paraId="40D64FD5" w14:textId="0457C921"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Препоръчително е лекарите, предписващи лекарството, да съхраняват списък с резултатите от всички кръвни проби на пациентите и да предприемат всички необходими стъпки, за да предпазят тези пациенти от случайно повторно получаване на лекарството в бъдеще.</w:t>
      </w:r>
    </w:p>
    <w:p w14:paraId="50832F14" w14:textId="77777777" w:rsidR="00BE4B21" w:rsidRPr="00BE4B21" w:rsidRDefault="00BE4B21" w:rsidP="00BE4B21">
      <w:pPr>
        <w:spacing w:line="240" w:lineRule="auto"/>
        <w:rPr>
          <w:rFonts w:eastAsia="Times New Roman" w:cs="Arial"/>
          <w:color w:val="000000"/>
          <w:u w:val="single"/>
          <w:lang w:eastAsia="bg-BG"/>
        </w:rPr>
      </w:pPr>
    </w:p>
    <w:p w14:paraId="78C18255" w14:textId="3B7D49C0"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Спиране на лечението поради други причини</w:t>
      </w:r>
    </w:p>
    <w:p w14:paraId="32B1DC8F"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 третирани с клозапин в продължение на повече от 18 седмици и при които лечението е било прекъснато за повече от 3 дни, но по-малко от 4 седмици, броят на левкоцитите 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трябва да се контролира ежеседмично в продължение на още 6 седмици. Ако не се развие хематологично нарушение, може да се възобновят интервалите на мониториране не по-дълги от 4 седмици. Ако лечението с клозапин е било спряно за 4 или повече седмици, се налага мониториране за следващите 18 седмици от лечението и дозата трябва да се титрира отново (вж. точка 4.2).</w:t>
      </w:r>
    </w:p>
    <w:p w14:paraId="6CFAAB1F" w14:textId="77777777" w:rsidR="00BE4B21" w:rsidRPr="00BE4B21" w:rsidRDefault="00BE4B21" w:rsidP="00BE4B21">
      <w:pPr>
        <w:spacing w:line="240" w:lineRule="auto"/>
        <w:rPr>
          <w:rFonts w:eastAsia="Times New Roman" w:cs="Arial"/>
          <w:color w:val="000000"/>
          <w:u w:val="single"/>
          <w:lang w:eastAsia="bg-BG"/>
        </w:rPr>
      </w:pPr>
    </w:p>
    <w:p w14:paraId="6C672028" w14:textId="53B1F46C"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Други предпазни мерки</w:t>
      </w:r>
    </w:p>
    <w:p w14:paraId="4573B6A2" w14:textId="77777777" w:rsidR="00BE4B21" w:rsidRPr="00BE4B21" w:rsidRDefault="00BE4B21" w:rsidP="00BE4B21">
      <w:pPr>
        <w:spacing w:line="240" w:lineRule="auto"/>
        <w:rPr>
          <w:rFonts w:eastAsia="Times New Roman" w:cs="Arial"/>
          <w:color w:val="000000"/>
          <w:u w:val="single"/>
          <w:lang w:eastAsia="bg-BG"/>
        </w:rPr>
      </w:pPr>
    </w:p>
    <w:p w14:paraId="4B497FF0" w14:textId="6783C6EF"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Този лекарствен продукт съдържа лактоза</w:t>
      </w:r>
    </w:p>
    <w:p w14:paraId="5DBDF91F"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редки наследствени проблеми на галактозна непоносимост, пълен лактазен дефицит на или глюкозо-галактозна малабсорбция, не трябва да приемат това лекарство.</w:t>
      </w:r>
    </w:p>
    <w:p w14:paraId="3C28609E" w14:textId="77777777" w:rsidR="00BE4B21" w:rsidRPr="00BE4B21" w:rsidRDefault="00BE4B21" w:rsidP="00BE4B21">
      <w:pPr>
        <w:spacing w:line="240" w:lineRule="auto"/>
        <w:rPr>
          <w:rFonts w:eastAsia="Times New Roman" w:cs="Arial"/>
          <w:color w:val="000000"/>
          <w:u w:val="single"/>
          <w:lang w:eastAsia="bg-BG"/>
        </w:rPr>
      </w:pPr>
    </w:p>
    <w:p w14:paraId="5C0AF96B" w14:textId="03324FB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Еозинофилия</w:t>
      </w:r>
    </w:p>
    <w:p w14:paraId="2C0F71F0" w14:textId="740F580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В случай на </w:t>
      </w:r>
      <w:r w:rsidRPr="00BE4B21">
        <w:rPr>
          <w:rFonts w:eastAsia="Times New Roman" w:cs="Arial"/>
          <w:b/>
          <w:bCs/>
          <w:color w:val="000000"/>
          <w:lang w:eastAsia="bg-BG"/>
        </w:rPr>
        <w:t xml:space="preserve">еозинофилия </w:t>
      </w:r>
      <w:r w:rsidRPr="00BE4B21">
        <w:rPr>
          <w:rFonts w:eastAsia="Times New Roman" w:cs="Arial"/>
          <w:color w:val="000000"/>
          <w:lang w:eastAsia="bg-BG"/>
        </w:rPr>
        <w:t xml:space="preserve">се препоръчва спиране на лечението с клозапин, ако броят на еозинофилите се повиши над 3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(3,0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 xml:space="preserve">/1). Терапията трябва да се възобнови </w:t>
      </w:r>
      <w:r w:rsidRPr="00BE4B21">
        <w:rPr>
          <w:rFonts w:eastAsia="Times New Roman" w:cs="Arial"/>
          <w:color w:val="000000"/>
          <w:u w:val="single"/>
          <w:lang w:eastAsia="bg-BG"/>
        </w:rPr>
        <w:t>единстве</w:t>
      </w:r>
      <w:r w:rsidRPr="00BE4B21">
        <w:rPr>
          <w:rFonts w:eastAsia="Times New Roman" w:cs="Arial"/>
          <w:color w:val="000000"/>
          <w:lang w:eastAsia="bg-BG"/>
        </w:rPr>
        <w:t xml:space="preserve">но след като броят на еозинофилите спадне под 1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w:t>
      </w:r>
      <w:r w:rsidRPr="00BE4B21">
        <w:rPr>
          <w:rFonts w:eastAsia="Times New Roman" w:cs="Arial"/>
          <w:color w:val="000000"/>
          <w:lang w:eastAsia="bg-BG"/>
        </w:rPr>
        <w:t>(1</w:t>
      </w:r>
      <w:r w:rsidRPr="00BE4B21">
        <w:rPr>
          <w:rFonts w:eastAsia="Times New Roman" w:cs="Arial"/>
          <w:color w:val="000000"/>
          <w:lang w:val="ru-RU"/>
        </w:rPr>
        <w:t>,0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/1).</w:t>
      </w:r>
    </w:p>
    <w:p w14:paraId="0BB0F217" w14:textId="1E44256A" w:rsidR="00BE4B21" w:rsidRPr="00BE4B21" w:rsidRDefault="00BE4B21" w:rsidP="00BE4B21">
      <w:pPr>
        <w:spacing w:line="240" w:lineRule="auto"/>
        <w:rPr>
          <w:rFonts w:eastAsia="Times New Roman" w:cs="Arial"/>
          <w:color w:val="000000"/>
          <w:lang w:eastAsia="bg-BG"/>
        </w:rPr>
      </w:pPr>
    </w:p>
    <w:p w14:paraId="6C6ABBED" w14:textId="7777777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Тромбоцитопения</w:t>
      </w:r>
    </w:p>
    <w:p w14:paraId="55B860C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В случай на </w:t>
      </w:r>
      <w:r w:rsidRPr="00BE4B21">
        <w:rPr>
          <w:rFonts w:eastAsia="Times New Roman" w:cs="Arial"/>
          <w:b/>
          <w:bCs/>
          <w:color w:val="000000"/>
          <w:lang w:eastAsia="bg-BG"/>
        </w:rPr>
        <w:t xml:space="preserve">тромбоцитопения </w:t>
      </w:r>
      <w:r w:rsidRPr="00BE4B21">
        <w:rPr>
          <w:rFonts w:eastAsia="Times New Roman" w:cs="Arial"/>
          <w:color w:val="000000"/>
          <w:lang w:eastAsia="bg-BG"/>
        </w:rPr>
        <w:t xml:space="preserve">се препоръчва спиране </w:t>
      </w:r>
      <w:r w:rsidRPr="00BE4B21">
        <w:rPr>
          <w:rFonts w:eastAsia="Times New Roman" w:cs="Arial"/>
          <w:b/>
          <w:bCs/>
          <w:color w:val="000000"/>
          <w:lang w:eastAsia="bg-BG"/>
        </w:rPr>
        <w:t xml:space="preserve">на </w:t>
      </w:r>
      <w:r w:rsidRPr="00BE4B21">
        <w:rPr>
          <w:rFonts w:eastAsia="Times New Roman" w:cs="Arial"/>
          <w:color w:val="000000"/>
          <w:lang w:eastAsia="bg-BG"/>
        </w:rPr>
        <w:t xml:space="preserve">лечението с клозапин, ако броят на тромбоцитите спадне под 50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(50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/1).</w:t>
      </w:r>
    </w:p>
    <w:p w14:paraId="0EE741B7" w14:textId="77777777" w:rsidR="00BE4B21" w:rsidRPr="00BE4B21" w:rsidRDefault="00BE4B21" w:rsidP="00BE4B21">
      <w:pPr>
        <w:spacing w:line="240" w:lineRule="auto"/>
        <w:rPr>
          <w:rFonts w:eastAsia="Times New Roman" w:cs="Arial"/>
          <w:color w:val="000000"/>
          <w:u w:val="single"/>
          <w:lang w:eastAsia="bg-BG"/>
        </w:rPr>
      </w:pPr>
    </w:p>
    <w:p w14:paraId="1D662297" w14:textId="753860D2"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Сърдечносъдови нарушения</w:t>
      </w:r>
    </w:p>
    <w:p w14:paraId="7249C256"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По време на лечението с клозапин може да възникне </w:t>
      </w:r>
      <w:r w:rsidRPr="00BE4B21">
        <w:rPr>
          <w:rFonts w:eastAsia="Times New Roman" w:cs="Arial"/>
          <w:b/>
          <w:bCs/>
          <w:color w:val="000000"/>
          <w:lang w:eastAsia="bg-BG"/>
        </w:rPr>
        <w:t xml:space="preserve">ортосгатична хипотония, </w:t>
      </w:r>
      <w:r w:rsidRPr="00BE4B21">
        <w:rPr>
          <w:rFonts w:eastAsia="Times New Roman" w:cs="Arial"/>
          <w:color w:val="000000"/>
          <w:lang w:eastAsia="bg-BG"/>
        </w:rPr>
        <w:t>със или без синкоп. В редки случаи колапсът може да е тежък и може да се съпровожда от спиране на сърдечната дейност и/или дишането. Такива реакции е по-вероятно да възникнат при съвместна употреба на бензодиазепини или други психотропни средства (вж. точка 4.5) и по време на първоначалното титриране във връзка с бързо увеличаване на дозата, а в много редки случаи те могат да възникнат след първата доза. Затова пациентите, започващи лечение с клозапин, изискват внимателно медицинско проследяване. Необходимо е мониториране на артериалното налягане в изправено или легнало положение през първите няколко седмици от лечението при пациенти с болест на Паркинсон.</w:t>
      </w:r>
    </w:p>
    <w:p w14:paraId="5E352EE9" w14:textId="77777777" w:rsidR="00BE4B21" w:rsidRPr="00BE4B21" w:rsidRDefault="00BE4B21" w:rsidP="00BE4B21">
      <w:pPr>
        <w:spacing w:line="240" w:lineRule="auto"/>
        <w:rPr>
          <w:rFonts w:eastAsia="Times New Roman" w:cs="Arial"/>
          <w:color w:val="000000"/>
          <w:lang w:eastAsia="bg-BG"/>
        </w:rPr>
      </w:pPr>
    </w:p>
    <w:p w14:paraId="12B14206" w14:textId="58D0D2D6"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Анализът на базата данни за безопасност дава основания да се предполага, че употребата на клозапин е свързана с повишен риск от </w:t>
      </w:r>
      <w:r w:rsidRPr="00BE4B21">
        <w:rPr>
          <w:rFonts w:eastAsia="Times New Roman" w:cs="Arial"/>
          <w:b/>
          <w:bCs/>
          <w:color w:val="000000"/>
          <w:lang w:eastAsia="bg-BG"/>
        </w:rPr>
        <w:t xml:space="preserve">миокардит, </w:t>
      </w:r>
      <w:r w:rsidRPr="00BE4B21">
        <w:rPr>
          <w:rFonts w:eastAsia="Times New Roman" w:cs="Arial"/>
          <w:color w:val="000000"/>
          <w:lang w:eastAsia="bg-BG"/>
        </w:rPr>
        <w:t xml:space="preserve">предимно, но не </w:t>
      </w:r>
      <w:r w:rsidRPr="00BE4B21">
        <w:rPr>
          <w:rFonts w:eastAsia="Times New Roman" w:cs="Arial"/>
          <w:color w:val="000000"/>
          <w:lang w:eastAsia="bg-BG"/>
        </w:rPr>
        <w:lastRenderedPageBreak/>
        <w:t xml:space="preserve">единствено, през първите два месеца от началото на лечението. Някои от случаите на миокардит са били фатални. Съобщават се също случаи на </w:t>
      </w:r>
      <w:r w:rsidRPr="00BE4B21">
        <w:rPr>
          <w:rFonts w:eastAsia="Times New Roman" w:cs="Arial"/>
          <w:b/>
          <w:bCs/>
          <w:color w:val="000000"/>
          <w:lang w:eastAsia="bg-BG"/>
        </w:rPr>
        <w:t xml:space="preserve">перикардит/перикарден излив и кардиомиопатия </w:t>
      </w:r>
      <w:r w:rsidRPr="00BE4B21">
        <w:rPr>
          <w:rFonts w:eastAsia="Times New Roman" w:cs="Arial"/>
          <w:color w:val="000000"/>
          <w:lang w:eastAsia="bg-BG"/>
        </w:rPr>
        <w:t>във връзка с употребата на клозапин; някои от тях също с фатален изход. Наличие на миокардит или кардиомиопатия трябва да се подозират при пациенти, които получават персистираща тахикардия в покой, особено през първите два месеца от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които могат да са налице, освен посочените по-горе, включват грипоподобни симптоми. Ако се подозират миокардит или кардиомиопатия, лечението с клозапин трябва бързо да се преустанови и пациентът незабавно да се насочи към кардиолог.</w:t>
      </w:r>
    </w:p>
    <w:p w14:paraId="22DACF98" w14:textId="77777777" w:rsidR="00BE4B21" w:rsidRPr="00BE4B21" w:rsidRDefault="00BE4B21" w:rsidP="00BE4B21">
      <w:pPr>
        <w:spacing w:line="240" w:lineRule="auto"/>
        <w:rPr>
          <w:rFonts w:eastAsia="Times New Roman" w:cs="Arial"/>
          <w:color w:val="000000"/>
          <w:lang w:eastAsia="bg-BG"/>
        </w:rPr>
      </w:pPr>
    </w:p>
    <w:p w14:paraId="353E9F7F" w14:textId="39559250"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 които са диагностицирани с кардиомиопатия по време на лечението с клозапин, съществува потенциал за развитие на недостатъчност на митралната клапа. Съобщава се за недостатъчност на митралната клапа в случаи на кардиомиопатия, свързана с лечение с клозапин. При тези случаи на недостатъчност на митралната клапа се съобщава за лека или умерена митрална регургитация при двуизмерна ехокардиография </w:t>
      </w:r>
      <w:r w:rsidRPr="00BE4B21">
        <w:rPr>
          <w:rFonts w:eastAsia="Times New Roman" w:cs="Arial"/>
          <w:color w:val="000000"/>
          <w:lang w:val="ru-RU"/>
        </w:rPr>
        <w:t>(2</w:t>
      </w:r>
      <w:proofErr w:type="spellStart"/>
      <w:r w:rsidRPr="00BE4B21">
        <w:rPr>
          <w:rFonts w:eastAsia="Times New Roman" w:cs="Arial"/>
          <w:color w:val="000000"/>
          <w:lang w:val="en-US"/>
        </w:rPr>
        <w:t>DEcho</w:t>
      </w:r>
      <w:proofErr w:type="spellEnd"/>
      <w:r w:rsidRPr="00BE4B21">
        <w:rPr>
          <w:rFonts w:eastAsia="Times New Roman" w:cs="Arial"/>
          <w:color w:val="000000"/>
          <w:lang w:val="ru-RU"/>
        </w:rPr>
        <w:t xml:space="preserve">) </w:t>
      </w:r>
      <w:r w:rsidRPr="00BE4B21">
        <w:rPr>
          <w:rFonts w:eastAsia="Times New Roman" w:cs="Arial"/>
          <w:color w:val="000000"/>
          <w:lang w:eastAsia="bg-BG"/>
        </w:rPr>
        <w:t>(вж. точка 4.8).</w:t>
      </w:r>
    </w:p>
    <w:p w14:paraId="19892081" w14:textId="77777777" w:rsidR="00BE4B21" w:rsidRPr="00BE4B21" w:rsidRDefault="00BE4B21" w:rsidP="00BE4B21">
      <w:pPr>
        <w:spacing w:line="240" w:lineRule="auto"/>
        <w:rPr>
          <w:rFonts w:eastAsia="Times New Roman" w:cs="Arial"/>
          <w:color w:val="000000"/>
          <w:lang w:eastAsia="bg-BG"/>
        </w:rPr>
      </w:pPr>
    </w:p>
    <w:p w14:paraId="3E799145" w14:textId="3F5ACD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индуцирани от клозапин миокардит или кардиомиопатия не трябва да получават повторно клозапин.</w:t>
      </w:r>
    </w:p>
    <w:p w14:paraId="62C0860C" w14:textId="77777777" w:rsidR="00BE4B21" w:rsidRPr="00BE4B21" w:rsidRDefault="00BE4B21" w:rsidP="00BE4B21">
      <w:pPr>
        <w:spacing w:line="240" w:lineRule="auto"/>
        <w:rPr>
          <w:rFonts w:eastAsia="Times New Roman" w:cs="Arial"/>
          <w:color w:val="000000"/>
          <w:u w:val="single"/>
          <w:lang w:eastAsia="bg-BG"/>
        </w:rPr>
      </w:pPr>
    </w:p>
    <w:p w14:paraId="58C6DE81" w14:textId="3CB0B946"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Инфаркт на миокарда</w:t>
      </w:r>
    </w:p>
    <w:p w14:paraId="6052DDE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Има постмаркетингови съобщения за </w:t>
      </w:r>
      <w:r w:rsidRPr="00BE4B21">
        <w:rPr>
          <w:rFonts w:eastAsia="Times New Roman" w:cs="Arial"/>
          <w:b/>
          <w:bCs/>
          <w:color w:val="000000"/>
          <w:lang w:eastAsia="bg-BG"/>
        </w:rPr>
        <w:t xml:space="preserve">инфаркт на миокарда, </w:t>
      </w:r>
      <w:r w:rsidRPr="00BE4B21">
        <w:rPr>
          <w:rFonts w:eastAsia="Times New Roman" w:cs="Arial"/>
          <w:color w:val="000000"/>
          <w:lang w:eastAsia="bg-BG"/>
        </w:rPr>
        <w:t>включително летални случаи. Оценката на причинно-следствената връзка е била затруднена при по-голяма част от тези случаи, поради сериозно предшестващо сърдечно заболяване и възможни алтернативни причини.</w:t>
      </w:r>
    </w:p>
    <w:p w14:paraId="46384B20" w14:textId="77777777" w:rsidR="00BE4B21" w:rsidRPr="00BE4B21" w:rsidRDefault="00BE4B21" w:rsidP="00BE4B21">
      <w:pPr>
        <w:spacing w:line="240" w:lineRule="auto"/>
        <w:rPr>
          <w:rFonts w:eastAsia="Times New Roman" w:cs="Arial"/>
          <w:color w:val="000000"/>
          <w:u w:val="single"/>
          <w:lang w:eastAsia="bg-BG"/>
        </w:rPr>
      </w:pPr>
    </w:p>
    <w:p w14:paraId="66185F27" w14:textId="0EE36F7A"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Удължаване на ОТ интервала</w:t>
      </w:r>
    </w:p>
    <w:p w14:paraId="500752C1"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Както и при другите антипсихотици, се препоръчва предпазливо приложение при пациенти със сърдечно-съдови заболявания или фамилна анамнеза за </w:t>
      </w:r>
      <w:r w:rsidRPr="00BE4B21">
        <w:rPr>
          <w:rFonts w:eastAsia="Times New Roman" w:cs="Arial"/>
          <w:b/>
          <w:bCs/>
          <w:color w:val="000000"/>
          <w:lang w:eastAsia="bg-BG"/>
        </w:rPr>
        <w:t xml:space="preserve">удължаване на </w:t>
      </w:r>
      <w:r w:rsidRPr="00BE4B21">
        <w:rPr>
          <w:rFonts w:eastAsia="Times New Roman" w:cs="Arial"/>
          <w:b/>
          <w:bCs/>
          <w:color w:val="000000"/>
          <w:lang w:val="en-US"/>
        </w:rPr>
        <w:t>QT</w:t>
      </w:r>
      <w:r w:rsidRPr="00BE4B21">
        <w:rPr>
          <w:rFonts w:eastAsia="Times New Roman" w:cs="Arial"/>
          <w:b/>
          <w:bCs/>
          <w:color w:val="000000"/>
          <w:lang w:val="ru-RU"/>
        </w:rPr>
        <w:t xml:space="preserve"> </w:t>
      </w:r>
      <w:r w:rsidRPr="00BE4B21">
        <w:rPr>
          <w:rFonts w:eastAsia="Times New Roman" w:cs="Arial"/>
          <w:b/>
          <w:bCs/>
          <w:color w:val="000000"/>
          <w:lang w:eastAsia="bg-BG"/>
        </w:rPr>
        <w:t>интервала.</w:t>
      </w:r>
    </w:p>
    <w:p w14:paraId="34F0C267" w14:textId="77777777" w:rsidR="00BE4B21" w:rsidRPr="00BE4B21" w:rsidRDefault="00BE4B21" w:rsidP="00BE4B21">
      <w:pPr>
        <w:spacing w:line="240" w:lineRule="auto"/>
        <w:rPr>
          <w:rFonts w:eastAsia="Times New Roman" w:cs="Arial"/>
          <w:color w:val="000000"/>
          <w:lang w:eastAsia="bg-BG"/>
        </w:rPr>
      </w:pPr>
    </w:p>
    <w:p w14:paraId="43FE8C0E" w14:textId="78A6E01D"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Както и при другите антипсихотици, клозапин трябва внимателно да се предписва с лекарства, за които е известно, че удължават </w:t>
      </w:r>
      <w:r w:rsidRPr="00BE4B21">
        <w:rPr>
          <w:rFonts w:eastAsia="Times New Roman" w:cs="Arial"/>
          <w:color w:val="000000"/>
          <w:lang w:val="en-US"/>
        </w:rPr>
        <w:t>QT</w:t>
      </w:r>
      <w:r w:rsidRPr="00BE4B21">
        <w:rPr>
          <w:rFonts w:eastAsia="Times New Roman" w:cs="Arial"/>
          <w:color w:val="000000"/>
          <w:lang w:val="ru-RU"/>
        </w:rPr>
        <w:t xml:space="preserve"> </w:t>
      </w:r>
      <w:r w:rsidRPr="00BE4B21">
        <w:rPr>
          <w:rFonts w:eastAsia="Times New Roman" w:cs="Arial"/>
          <w:color w:val="000000"/>
          <w:lang w:eastAsia="bg-BG"/>
        </w:rPr>
        <w:t>интервала.</w:t>
      </w:r>
    </w:p>
    <w:p w14:paraId="36B77E2A" w14:textId="77777777" w:rsidR="00BE4B21" w:rsidRPr="00BE4B21" w:rsidRDefault="00BE4B21" w:rsidP="00BE4B21">
      <w:pPr>
        <w:spacing w:line="240" w:lineRule="auto"/>
        <w:rPr>
          <w:rFonts w:eastAsia="Times New Roman" w:cs="Arial"/>
          <w:color w:val="000000"/>
          <w:u w:val="single"/>
          <w:lang w:eastAsia="bg-BG"/>
        </w:rPr>
      </w:pPr>
    </w:p>
    <w:p w14:paraId="174FDC0A" w14:textId="135ECBA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Церебро-васкуларни нежелани събития</w:t>
      </w:r>
    </w:p>
    <w:p w14:paraId="6DB93523" w14:textId="385BB29A" w:rsidR="00BE4B21" w:rsidRPr="00BE4B21" w:rsidRDefault="00BE4B21" w:rsidP="00BE4B21">
      <w:pPr>
        <w:spacing w:line="240" w:lineRule="auto"/>
        <w:rPr>
          <w:rFonts w:eastAsia="Times New Roman" w:cs="Arial"/>
          <w:color w:val="000000"/>
          <w:lang w:val="ru-RU" w:eastAsia="bg-BG"/>
        </w:rPr>
      </w:pPr>
      <w:r w:rsidRPr="00BE4B21">
        <w:rPr>
          <w:rFonts w:eastAsia="Times New Roman" w:cs="Arial"/>
          <w:color w:val="000000"/>
          <w:lang w:eastAsia="bg-BG"/>
        </w:rPr>
        <w:t xml:space="preserve">В рандомизирани плацебо контролирани клинични изпитвания при пациенти с деменция, лекувани с някои атипични антипсихотици, е наблюдаван приблизително 3-кратно повишен риск от </w:t>
      </w:r>
      <w:r w:rsidRPr="00BE4B21">
        <w:rPr>
          <w:rFonts w:eastAsia="Times New Roman" w:cs="Arial"/>
          <w:b/>
          <w:bCs/>
          <w:color w:val="000000"/>
          <w:lang w:eastAsia="bg-BG"/>
        </w:rPr>
        <w:t xml:space="preserve">церебро-васкуларни нежелани събития. </w:t>
      </w:r>
      <w:r w:rsidRPr="00BE4B21">
        <w:rPr>
          <w:rFonts w:eastAsia="Times New Roman" w:cs="Arial"/>
          <w:color w:val="000000"/>
          <w:lang w:eastAsia="bg-BG"/>
        </w:rPr>
        <w:t>Механизмът на този повишен риск е неизвестен. Повишеният риск не може да бъде изключен и при приложение на други антипсихотици или други групи пациенти. Клозапин трябва да се прилага с внимание при пациенти с риск от инсулт</w:t>
      </w:r>
      <w:r w:rsidRPr="00BE4B21">
        <w:rPr>
          <w:rFonts w:eastAsia="Times New Roman" w:cs="Arial"/>
          <w:color w:val="000000"/>
          <w:lang w:val="ru-RU" w:eastAsia="bg-BG"/>
        </w:rPr>
        <w:t>.</w:t>
      </w:r>
    </w:p>
    <w:p w14:paraId="30DF7EE9" w14:textId="091476A2" w:rsidR="00BE4B21" w:rsidRPr="00BE4B21" w:rsidRDefault="00BE4B21" w:rsidP="00BE4B21">
      <w:pPr>
        <w:spacing w:line="240" w:lineRule="auto"/>
        <w:rPr>
          <w:rFonts w:eastAsia="Times New Roman" w:cs="Arial"/>
          <w:color w:val="000000"/>
          <w:lang w:val="ru-RU" w:eastAsia="bg-BG"/>
        </w:rPr>
      </w:pPr>
    </w:p>
    <w:p w14:paraId="423B8BF4" w14:textId="7777777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Риск от тромбоемболизъм</w:t>
      </w:r>
    </w:p>
    <w:p w14:paraId="0174E1FE"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Тъй като клозапин може да бъде свързан с </w:t>
      </w:r>
      <w:r w:rsidRPr="00BE4B21">
        <w:rPr>
          <w:rFonts w:eastAsia="Times New Roman" w:cs="Arial"/>
          <w:b/>
          <w:bCs/>
          <w:color w:val="000000"/>
          <w:lang w:eastAsia="bg-BG"/>
        </w:rPr>
        <w:t xml:space="preserve">тромбоемболизъм, </w:t>
      </w:r>
      <w:r w:rsidRPr="00BE4B21">
        <w:rPr>
          <w:rFonts w:eastAsia="Times New Roman" w:cs="Arial"/>
          <w:color w:val="000000"/>
          <w:lang w:eastAsia="bg-BG"/>
        </w:rPr>
        <w:t>имобилизацията на пациентите трябва да се избягва.</w:t>
      </w:r>
    </w:p>
    <w:p w14:paraId="7C0E724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употреба на антипсихотични лекарства са били съобщавани случаи на венозен тромбемболизъм (ВТЕ). Тъй като при пациентите, лекувани с антипсихотици често са налице придобити рискови фактори за ВТЕ, всички възможни рискови фактори за ВТЕ </w:t>
      </w:r>
      <w:r w:rsidRPr="00BE4B21">
        <w:rPr>
          <w:rFonts w:eastAsia="Times New Roman" w:cs="Arial"/>
          <w:color w:val="000000"/>
          <w:lang w:eastAsia="bg-BG"/>
        </w:rPr>
        <w:lastRenderedPageBreak/>
        <w:t>трябва да бъдат идентифицирани преди и по време на лечение с клозапин и да се предприемат превантивни мерки.</w:t>
      </w:r>
    </w:p>
    <w:p w14:paraId="21275C70" w14:textId="77777777" w:rsidR="00BE4B21" w:rsidRPr="00BE4B21" w:rsidRDefault="00BE4B21" w:rsidP="00BE4B21">
      <w:pPr>
        <w:spacing w:line="240" w:lineRule="auto"/>
        <w:rPr>
          <w:rFonts w:eastAsia="Times New Roman" w:cs="Arial"/>
          <w:color w:val="000000"/>
          <w:u w:val="single"/>
          <w:lang w:eastAsia="bg-BG"/>
        </w:rPr>
      </w:pPr>
    </w:p>
    <w:p w14:paraId="51435062" w14:textId="455D237D"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Гърчове</w:t>
      </w:r>
    </w:p>
    <w:p w14:paraId="1E6F9A5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анамнеза за епилепсия трябва внимателно да се проследяват по време на лечението с клозапин, тъй като има съобщения за дозозависими гърчове. В такива случаи дозата трябва да се понижи (вж. точка 4.2) и, ако се налага, трябва да се започне антиконвулсивна терапия.</w:t>
      </w:r>
    </w:p>
    <w:p w14:paraId="10240383" w14:textId="77777777" w:rsidR="00BE4B21" w:rsidRPr="00BE4B21" w:rsidRDefault="00BE4B21" w:rsidP="00BE4B21">
      <w:pPr>
        <w:spacing w:line="240" w:lineRule="auto"/>
        <w:rPr>
          <w:rFonts w:eastAsia="Times New Roman" w:cs="Arial"/>
          <w:color w:val="000000"/>
          <w:u w:val="single"/>
          <w:lang w:eastAsia="bg-BG"/>
        </w:rPr>
      </w:pPr>
    </w:p>
    <w:p w14:paraId="3A80D42C" w14:textId="7E11E8FC"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Антихолинергични ефекти</w:t>
      </w:r>
    </w:p>
    <w:p w14:paraId="7B586A4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Клозапин притежава антихолинергична активност, което може да доведе до нежелани реакции в организма. Препоръчва се внимателното проследяване за </w:t>
      </w:r>
      <w:r w:rsidRPr="00BE4B21">
        <w:rPr>
          <w:rFonts w:eastAsia="Times New Roman" w:cs="Arial"/>
          <w:b/>
          <w:bCs/>
          <w:color w:val="000000"/>
          <w:lang w:eastAsia="bg-BG"/>
        </w:rPr>
        <w:t xml:space="preserve">уголемяване на простата и тясноъгьлна глаукома. </w:t>
      </w:r>
      <w:r w:rsidRPr="00BE4B21">
        <w:rPr>
          <w:rFonts w:eastAsia="Times New Roman" w:cs="Arial"/>
          <w:color w:val="000000"/>
          <w:lang w:eastAsia="bg-BG"/>
        </w:rPr>
        <w:t xml:space="preserve">Вероятно поради антихолинергичните му свойства, клозапин е сьрзан с </w:t>
      </w:r>
      <w:r w:rsidRPr="00BE4B21">
        <w:rPr>
          <w:rFonts w:eastAsia="Times New Roman" w:cs="Arial"/>
          <w:b/>
          <w:bCs/>
          <w:color w:val="000000"/>
          <w:lang w:eastAsia="bg-BG"/>
        </w:rPr>
        <w:t xml:space="preserve">различни по степен нарушения на тънкочревната перисталтика, от констипация до чревна обструкция, фекално задръстване, паралитичен илеус, мегаколон и интестинален инфаркт/исхемия </w:t>
      </w:r>
      <w:r w:rsidRPr="00BE4B21">
        <w:rPr>
          <w:rFonts w:eastAsia="Times New Roman" w:cs="Arial"/>
          <w:color w:val="000000"/>
          <w:lang w:eastAsia="bg-BG"/>
        </w:rPr>
        <w:t>(вж. точка 4.8). Рядко тези случаи са имали фатален изход. Необходими са особени грижи при пациентите, които получават съпътстващи лекарства, за които е известно, че причиняват констипация (особено тези с антихолинергични свойства като някои антипсихотици, антидепресанти и антипаркинсонови лекарства), имат анамнеза за заболяване на дебелото черво или хирургична намеса в долната част на коремната кухина, тъй като това може да обостри състоянието. Жизненоважно е тази констипация да бъде разпозната и активно лекувана.</w:t>
      </w:r>
    </w:p>
    <w:p w14:paraId="40CFE686" w14:textId="77777777" w:rsidR="00BE4B21" w:rsidRPr="00BE4B21" w:rsidRDefault="00BE4B21" w:rsidP="00BE4B21">
      <w:pPr>
        <w:spacing w:line="240" w:lineRule="auto"/>
        <w:rPr>
          <w:rFonts w:eastAsia="Times New Roman" w:cs="Arial"/>
          <w:color w:val="000000"/>
          <w:u w:val="single"/>
          <w:lang w:eastAsia="bg-BG"/>
        </w:rPr>
      </w:pPr>
    </w:p>
    <w:p w14:paraId="09F2453E" w14:textId="50A764B9"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Повишена температура</w:t>
      </w:r>
    </w:p>
    <w:p w14:paraId="2E57236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По време на лечението с клозапин, пациентите могат да получат преходни </w:t>
      </w:r>
      <w:r w:rsidRPr="00BE4B21">
        <w:rPr>
          <w:rFonts w:eastAsia="Times New Roman" w:cs="Arial"/>
          <w:b/>
          <w:bCs/>
          <w:color w:val="000000"/>
          <w:lang w:eastAsia="bg-BG"/>
        </w:rPr>
        <w:t xml:space="preserve">повишения на температурата </w:t>
      </w:r>
      <w:r w:rsidRPr="00BE4B21">
        <w:rPr>
          <w:rFonts w:eastAsia="Times New Roman" w:cs="Arial"/>
          <w:color w:val="000000"/>
          <w:lang w:eastAsia="bg-BG"/>
        </w:rPr>
        <w:t xml:space="preserve">над 38°С, най-често през първите 3 седмици от лечението. Този фебрилитет обикновено е бенигнен. В някои случаи той може да е свързан с повишение или понижение на левкоцитния брой. Пациените с фебрилитет трябва да се оценяват внимателно, за да се избегне възможността за подлежаща инфекция или развитие на агранулоцитоза. При наличие на висока температура трябва да се има пред вид възможостта за развитие на </w:t>
      </w:r>
      <w:r w:rsidRPr="00BE4B21">
        <w:rPr>
          <w:rFonts w:eastAsia="Times New Roman" w:cs="Arial"/>
          <w:b/>
          <w:bCs/>
          <w:color w:val="000000"/>
          <w:lang w:eastAsia="bg-BG"/>
        </w:rPr>
        <w:t xml:space="preserve">невролептичен малигнсн синдром </w:t>
      </w:r>
      <w:r w:rsidRPr="00BE4B21">
        <w:rPr>
          <w:rFonts w:eastAsia="Times New Roman" w:cs="Arial"/>
          <w:b/>
          <w:bCs/>
          <w:color w:val="000000"/>
          <w:lang w:val="ru-RU"/>
        </w:rPr>
        <w:t>(</w:t>
      </w:r>
      <w:r w:rsidRPr="00BE4B21">
        <w:rPr>
          <w:rFonts w:eastAsia="Times New Roman" w:cs="Arial"/>
          <w:b/>
          <w:bCs/>
          <w:color w:val="000000"/>
          <w:lang w:val="en-US"/>
        </w:rPr>
        <w:t>NMS</w:t>
      </w:r>
      <w:r w:rsidRPr="00BE4B21">
        <w:rPr>
          <w:rFonts w:eastAsia="Times New Roman" w:cs="Arial"/>
          <w:b/>
          <w:bCs/>
          <w:color w:val="000000"/>
          <w:lang w:val="ru-RU"/>
        </w:rPr>
        <w:t xml:space="preserve">). </w:t>
      </w:r>
      <w:r w:rsidRPr="00BE4B21">
        <w:rPr>
          <w:rFonts w:eastAsia="Times New Roman" w:cs="Arial"/>
          <w:color w:val="000000"/>
          <w:lang w:eastAsia="bg-BG"/>
        </w:rPr>
        <w:t xml:space="preserve">Ако диагнозата за </w:t>
      </w:r>
      <w:r w:rsidRPr="00BE4B21">
        <w:rPr>
          <w:rFonts w:eastAsia="Times New Roman" w:cs="Arial"/>
          <w:color w:val="000000"/>
          <w:lang w:val="en-US"/>
        </w:rPr>
        <w:t>NMS</w:t>
      </w:r>
      <w:r w:rsidRPr="00BE4B21">
        <w:rPr>
          <w:rFonts w:eastAsia="Times New Roman" w:cs="Arial"/>
          <w:color w:val="000000"/>
          <w:lang w:val="ru-RU"/>
        </w:rPr>
        <w:t xml:space="preserve"> </w:t>
      </w:r>
      <w:r w:rsidRPr="00BE4B21">
        <w:rPr>
          <w:rFonts w:eastAsia="Times New Roman" w:cs="Arial"/>
          <w:color w:val="000000"/>
          <w:lang w:eastAsia="bg-BG"/>
        </w:rPr>
        <w:t>бъде потвърдена, приемът на клозапин незабавно трябва да се преустанови и да се предприемат необходимите мерки за лечение.</w:t>
      </w:r>
    </w:p>
    <w:p w14:paraId="50ABEC0F" w14:textId="77777777" w:rsidR="00BE4B21" w:rsidRPr="00BE4B21" w:rsidRDefault="00BE4B21" w:rsidP="00BE4B21">
      <w:pPr>
        <w:spacing w:line="240" w:lineRule="auto"/>
        <w:rPr>
          <w:rFonts w:eastAsia="Times New Roman" w:cs="Arial"/>
          <w:color w:val="000000"/>
          <w:u w:val="single"/>
          <w:lang w:eastAsia="bg-BG"/>
        </w:rPr>
      </w:pPr>
    </w:p>
    <w:p w14:paraId="5FF5217E" w14:textId="02CB69F1"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Паладия</w:t>
      </w:r>
    </w:p>
    <w:p w14:paraId="5A12D62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може да причини припадъци, сънливост, постурална хипотония, двигателна и сензорна нестабилност, които може да доведат до пададия и вследствие на това фрактури или други наранявания. За пациенти със заболявания, състояния или прием на лекарства, които биха могли да влошат тези ефекти, да се извърши оценка на риска от падане при започване на антипсихотично лечение и периодично при пациенти на продължителна антипсихотична терапия.</w:t>
      </w:r>
    </w:p>
    <w:p w14:paraId="091FF6EB" w14:textId="77777777" w:rsidR="00BE4B21" w:rsidRPr="00BE4B21" w:rsidRDefault="00BE4B21" w:rsidP="00BE4B21">
      <w:pPr>
        <w:spacing w:line="240" w:lineRule="auto"/>
        <w:rPr>
          <w:rFonts w:eastAsia="Times New Roman" w:cs="Arial"/>
          <w:color w:val="000000"/>
          <w:u w:val="single"/>
          <w:lang w:eastAsia="bg-BG"/>
        </w:rPr>
      </w:pPr>
    </w:p>
    <w:p w14:paraId="1FADBDC1" w14:textId="6E8BED6A"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Метаболитни промени</w:t>
      </w:r>
    </w:p>
    <w:p w14:paraId="67556210"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Атипичните антипсихотични лекарства, включително клозапин, са свързани с метаболитни промени, които могат да повишат сърдечно-съдовия/мозъчно-съдовия риск. Тези метаболитни промени могат да включват хипергликемия, дислипидемия, и увеличаване на теглото. Атипичните антипсихотични лекарства могат да доведат до някои метаболитни промени, но всяко лекарство, в този клас има свой собствен специфичен профил на риска.</w:t>
      </w:r>
    </w:p>
    <w:p w14:paraId="65F8F3A3" w14:textId="77777777" w:rsidR="00BE4B21" w:rsidRPr="00BE4B21" w:rsidRDefault="00BE4B21" w:rsidP="00BE4B21">
      <w:pPr>
        <w:spacing w:line="240" w:lineRule="auto"/>
        <w:rPr>
          <w:rFonts w:eastAsia="Times New Roman" w:cs="Arial"/>
          <w:i/>
          <w:iCs/>
          <w:color w:val="000000"/>
          <w:lang w:eastAsia="bg-BG"/>
        </w:rPr>
      </w:pPr>
    </w:p>
    <w:p w14:paraId="519FEE8E" w14:textId="2A504F24"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Хипергликемия</w:t>
      </w:r>
    </w:p>
    <w:p w14:paraId="2F1AC200" w14:textId="77777777" w:rsidR="00BE4B21" w:rsidRPr="00BE4B21" w:rsidRDefault="00BE4B21" w:rsidP="00BE4B21">
      <w:pPr>
        <w:rPr>
          <w:rFonts w:eastAsia="Times New Roman" w:cs="Arial"/>
        </w:rPr>
      </w:pPr>
      <w:r w:rsidRPr="00BE4B21">
        <w:rPr>
          <w:rFonts w:eastAsia="Times New Roman" w:cs="Arial"/>
          <w:color w:val="000000"/>
          <w:lang w:eastAsia="bg-BG"/>
        </w:rPr>
        <w:lastRenderedPageBreak/>
        <w:t>Рядко се съобщава за нарушен глюкозен толеранс и/или развитие, или влошаване на захарен диабет при лечение с клозапин. Механизмът за тази възможна връзка все още не е установен. В много редки случаи се съобщава за тежка хипергликемия с кетоацидоза или хиперосмол</w:t>
      </w:r>
      <w:r w:rsidRPr="00BE4B21">
        <w:rPr>
          <w:rFonts w:eastAsia="Times New Roman" w:cs="Arial"/>
          <w:color w:val="000000"/>
          <w:u w:val="single"/>
          <w:lang w:eastAsia="bg-BG"/>
        </w:rPr>
        <w:t>арна ко</w:t>
      </w:r>
      <w:r w:rsidRPr="00BE4B21">
        <w:rPr>
          <w:rFonts w:eastAsia="Times New Roman" w:cs="Arial"/>
          <w:color w:val="000000"/>
          <w:lang w:eastAsia="bg-BG"/>
        </w:rPr>
        <w:t>ма при пациенти без предхождаща анамнеза за хипергликемия, някои от които са били фатални. Там където са налични, данните за проследяването показват, че спирането на клозапин в повечето случаи води до отзвучаване на нарушения глюкозен толеранс, а повторното въвеждане на клозапин води до повторната му поява. Пациентите с поставена диагнози захарен диабет,</w:t>
      </w:r>
      <w:r w:rsidRPr="00BE4B21">
        <w:rPr>
          <w:rFonts w:eastAsia="Times New Roman" w:cs="Arial"/>
          <w:color w:val="000000"/>
          <w:lang w:val="ru-RU" w:eastAsia="bg-BG"/>
        </w:rPr>
        <w:t xml:space="preserve"> </w:t>
      </w:r>
      <w:r w:rsidRPr="00BE4B21">
        <w:rPr>
          <w:rFonts w:eastAsia="Times New Roman" w:cs="Arial"/>
          <w:color w:val="000000"/>
          <w:lang w:eastAsia="bg-BG"/>
        </w:rPr>
        <w:t>започнали лечение с антипсихотици трябва да се проследяват редовно за влошаване на глюкозния контрол.</w:t>
      </w:r>
    </w:p>
    <w:p w14:paraId="3091472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 с рискови фактори за захарен диабет (напр. затлъстяване, фамилна анамнеза за диабет), които започват лечение с атипични антипсихотици, трябва да бъдат подложени на изследване на глюкозата в кръвта на гладно, в началото на лечението и периодично по време на лечението. Пациентите, които развиват симптоми на хипергликемия по време на лечение с атипични антипсихотици, трябва да бъдат подложени на изследване на глюкозата в кръвта на гладно. В някои случаи, хипергликемията отшумява след преустановяване на лечението със съответния атипичен антипсихотик, но при други пациенти се налага започване на антидиабетно лечение, въпреки спиране на лекарството. При пациентите, при които активното лекарствено лечение на хипергликемията е било неуспешно, трябва да се има предвид спиране на лечението с клозапин.</w:t>
      </w:r>
    </w:p>
    <w:p w14:paraId="06D0F555" w14:textId="77777777" w:rsidR="00BE4B21" w:rsidRPr="00BE4B21" w:rsidRDefault="00BE4B21" w:rsidP="00BE4B21">
      <w:pPr>
        <w:spacing w:line="240" w:lineRule="auto"/>
        <w:rPr>
          <w:rFonts w:eastAsia="Times New Roman" w:cs="Arial"/>
          <w:i/>
          <w:iCs/>
          <w:color w:val="000000"/>
          <w:lang w:eastAsia="bg-BG"/>
        </w:rPr>
      </w:pPr>
    </w:p>
    <w:p w14:paraId="506466A2" w14:textId="42F9DE46"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Дислипидемия</w:t>
      </w:r>
    </w:p>
    <w:p w14:paraId="36C2342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Наблюдавани са нежелани промени в липцдните показатели при пациенти, лекувани с атипични антипсихотици, включително клозапин. Препоръчва се клинично наблюдение, включително изходни и последващи периодични оценки на липидните показатели при пациенти, приемащи клозапин.</w:t>
      </w:r>
    </w:p>
    <w:p w14:paraId="213A80A4" w14:textId="77777777" w:rsidR="00BE4B21" w:rsidRPr="00BE4B21" w:rsidRDefault="00BE4B21" w:rsidP="00BE4B21">
      <w:pPr>
        <w:spacing w:line="240" w:lineRule="auto"/>
        <w:rPr>
          <w:rFonts w:eastAsia="Times New Roman" w:cs="Arial"/>
          <w:i/>
          <w:iCs/>
          <w:color w:val="000000"/>
          <w:lang w:eastAsia="bg-BG"/>
        </w:rPr>
      </w:pPr>
    </w:p>
    <w:p w14:paraId="5357E488" w14:textId="19605F73"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Повишаване на теглото</w:t>
      </w:r>
    </w:p>
    <w:p w14:paraId="6DE714D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Повишаване на теглото е наблюдавано при употребата на атипични антипсихотични лекарства, включително клозапин. Препоръчва се клинично наблюдение на теглото.</w:t>
      </w:r>
    </w:p>
    <w:p w14:paraId="4B60A9EA" w14:textId="77777777" w:rsidR="00BE4B21" w:rsidRPr="00BE4B21" w:rsidRDefault="00BE4B21" w:rsidP="00BE4B21">
      <w:pPr>
        <w:spacing w:line="240" w:lineRule="auto"/>
        <w:rPr>
          <w:rFonts w:eastAsia="Times New Roman" w:cs="Arial"/>
          <w:color w:val="000000"/>
          <w:u w:val="single"/>
          <w:lang w:eastAsia="bg-BG"/>
        </w:rPr>
      </w:pPr>
    </w:p>
    <w:p w14:paraId="55184BDC" w14:textId="5C65E07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Ребаунд. ефекти на отнемане</w:t>
      </w:r>
    </w:p>
    <w:p w14:paraId="20230E37"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След внезапно спиране на клозапин са съобщени остри реакции на отнемане и по тази причина се препоръчва постепенно преустановяване на приема. Ако се налага внезапно спиране (напр. поради левкопения), пациентът трябва да се наблюдава внимателно за повторна поява на психотични симптоми и симптоми, свързани с ребаунд холинергичен ефект, като обилно потене, главоболие, гадене, повръщане и диария.</w:t>
      </w:r>
    </w:p>
    <w:p w14:paraId="5EB21E3F" w14:textId="77777777" w:rsidR="00BE4B21" w:rsidRPr="00BE4B21" w:rsidRDefault="00BE4B21" w:rsidP="00BE4B21">
      <w:pPr>
        <w:spacing w:line="240" w:lineRule="auto"/>
        <w:rPr>
          <w:rFonts w:eastAsia="Times New Roman" w:cs="Arial"/>
          <w:color w:val="000000"/>
          <w:u w:val="single"/>
          <w:lang w:eastAsia="bg-BG"/>
        </w:rPr>
      </w:pPr>
    </w:p>
    <w:p w14:paraId="7BE51EE8" w14:textId="023FA539"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Специални популации</w:t>
      </w:r>
    </w:p>
    <w:p w14:paraId="3E45439D" w14:textId="77777777" w:rsidR="00BE4B21" w:rsidRPr="00BE4B21" w:rsidRDefault="00BE4B21" w:rsidP="00BE4B21">
      <w:pPr>
        <w:spacing w:line="240" w:lineRule="auto"/>
        <w:rPr>
          <w:rFonts w:eastAsia="Times New Roman" w:cs="Arial"/>
          <w:i/>
          <w:iCs/>
          <w:color w:val="000000"/>
          <w:lang w:eastAsia="bg-BG"/>
        </w:rPr>
      </w:pPr>
    </w:p>
    <w:p w14:paraId="1FDF9CB3" w14:textId="566365CD"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Чернодробно увреждане</w:t>
      </w:r>
    </w:p>
    <w:p w14:paraId="608B4097"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Пациентите със стабилни предхождащи чернодробни заболявалия могат да приемат клозапин, но е необходимо провеждане на редовни изследвания на чернодробната функция. Изследвания на чернодробните показатели трябва да се извършват при пациенти, които по време на лечението с клозапин развиват симптоми на възможна </w:t>
      </w:r>
      <w:r w:rsidRPr="00BE4B21">
        <w:rPr>
          <w:rFonts w:eastAsia="Times New Roman" w:cs="Arial"/>
          <w:b/>
          <w:bCs/>
          <w:color w:val="000000"/>
          <w:lang w:eastAsia="bg-BG"/>
        </w:rPr>
        <w:t xml:space="preserve">чернодробна недостатъчност, </w:t>
      </w:r>
      <w:r w:rsidRPr="00BE4B21">
        <w:rPr>
          <w:rFonts w:eastAsia="Times New Roman" w:cs="Arial"/>
          <w:color w:val="000000"/>
          <w:lang w:eastAsia="bg-BG"/>
        </w:rPr>
        <w:t xml:space="preserve">като гадене, повръщане и/или безапетитие. Ако повишението на стойностите е клинично значимо (повече от 3 пъти над горната референта граница) или се появят симптоми на жълтеница, лечението с клозапин трябва да се прекрати. То може да се възобнови (вж. "Повторно започване на терапия" в точка 4.2) единствено, ако резултатите от тестовете за черодробната функция са нормални. В </w:t>
      </w:r>
      <w:r w:rsidRPr="00BE4B21">
        <w:rPr>
          <w:rFonts w:eastAsia="Times New Roman" w:cs="Arial"/>
          <w:color w:val="000000"/>
          <w:lang w:eastAsia="bg-BG"/>
        </w:rPr>
        <w:lastRenderedPageBreak/>
        <w:t>такива случаи чернодробната функция трябва да се проследява внимателно след повторното включване на лекарството.</w:t>
      </w:r>
    </w:p>
    <w:p w14:paraId="0178E77E" w14:textId="77777777" w:rsidR="00BE4B21" w:rsidRPr="00BE4B21" w:rsidRDefault="00BE4B21" w:rsidP="00BE4B21">
      <w:pPr>
        <w:spacing w:line="240" w:lineRule="auto"/>
        <w:rPr>
          <w:rFonts w:eastAsia="Times New Roman" w:cs="Arial"/>
          <w:i/>
          <w:iCs/>
          <w:color w:val="000000"/>
          <w:lang w:eastAsia="bg-BG"/>
        </w:rPr>
      </w:pPr>
    </w:p>
    <w:p w14:paraId="5939B838" w14:textId="723F4CF9"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Пациенти в старческа възраст на и над 60 години</w:t>
      </w:r>
    </w:p>
    <w:p w14:paraId="165D349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Препоръчва се лечението при хора в старческа възраст да започва с по-ниска доза (вж. точка 4.2).</w:t>
      </w:r>
    </w:p>
    <w:p w14:paraId="6AA157DA" w14:textId="77777777" w:rsidR="00BE4B21" w:rsidRPr="00BE4B21" w:rsidRDefault="00BE4B21" w:rsidP="00BE4B21">
      <w:pPr>
        <w:spacing w:line="240" w:lineRule="auto"/>
        <w:rPr>
          <w:rFonts w:eastAsia="Times New Roman" w:cs="Arial"/>
          <w:color w:val="000000"/>
          <w:lang w:eastAsia="bg-BG"/>
        </w:rPr>
      </w:pPr>
    </w:p>
    <w:p w14:paraId="10B7E63E" w14:textId="16558A25"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При лечение с клозапин може да се развие ортостатична хипотония и има съобщения за тахикардия, която може да е продължителна. Пациентите на и над 60 години, особено тези с нарушена сърдечно-съдова функция, може да са по-податливи на тези ефекти.</w:t>
      </w:r>
    </w:p>
    <w:p w14:paraId="7BDD53CC" w14:textId="77777777" w:rsidR="00BE4B21" w:rsidRPr="00BE4B21" w:rsidRDefault="00BE4B21" w:rsidP="00BE4B21">
      <w:pPr>
        <w:spacing w:line="240" w:lineRule="auto"/>
        <w:rPr>
          <w:rFonts w:eastAsia="Times New Roman" w:cs="Arial"/>
          <w:color w:val="000000"/>
          <w:lang w:eastAsia="bg-BG"/>
        </w:rPr>
      </w:pPr>
    </w:p>
    <w:p w14:paraId="7A089A62" w14:textId="4AB42431"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в старческа възраст на и над 60 години може да са също особено податливи на антихолинергичните ефекти на клозапин, като задръжка на урина и констипация.</w:t>
      </w:r>
    </w:p>
    <w:p w14:paraId="06527C0E" w14:textId="77777777" w:rsidR="00BE4B21" w:rsidRPr="00BE4B21" w:rsidRDefault="00BE4B21" w:rsidP="00BE4B21">
      <w:pPr>
        <w:spacing w:line="240" w:lineRule="auto"/>
        <w:rPr>
          <w:rFonts w:eastAsia="Times New Roman" w:cs="Arial"/>
          <w:color w:val="000000"/>
          <w:u w:val="single"/>
          <w:lang w:eastAsia="bg-BG"/>
        </w:rPr>
      </w:pPr>
    </w:p>
    <w:p w14:paraId="371794D8" w14:textId="74E4BDCE"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Повишена смъртност при лица в старческа възраст с деменция</w:t>
      </w:r>
    </w:p>
    <w:p w14:paraId="7F8FA941" w14:textId="1EB5E409" w:rsidR="00BE4B21" w:rsidRPr="00BE4B21" w:rsidRDefault="00BE4B21" w:rsidP="00BE4B21">
      <w:pPr>
        <w:spacing w:line="240" w:lineRule="auto"/>
        <w:rPr>
          <w:rFonts w:eastAsia="Times New Roman" w:cs="Arial"/>
          <w:lang w:val="ru-RU"/>
        </w:rPr>
      </w:pPr>
      <w:r w:rsidRPr="00BE4B21">
        <w:rPr>
          <w:rFonts w:eastAsia="Times New Roman" w:cs="Arial"/>
          <w:color w:val="000000"/>
          <w:lang w:eastAsia="bg-BG"/>
        </w:rPr>
        <w:t>Данните от две големи обзервацонни изпитвания показват, че лицата в старческа възраст с деменция, които са лекувани с антипсихотици, са с леко повишен риск от смърт в сравнение с нелекуваните. Няма достатъчно данни, за да се даде твърда прогноза за точната степен на риска и причината за повишения риск не е известна.</w:t>
      </w:r>
    </w:p>
    <w:p w14:paraId="7117CAFD" w14:textId="256DCE13" w:rsidR="00BE4B21" w:rsidRPr="00BE4B21" w:rsidRDefault="00BE4B21" w:rsidP="00BE4B21">
      <w:pPr>
        <w:spacing w:line="240" w:lineRule="auto"/>
        <w:rPr>
          <w:rFonts w:eastAsia="Times New Roman" w:cs="Arial"/>
          <w:lang w:val="ru-RU"/>
        </w:rPr>
      </w:pPr>
    </w:p>
    <w:p w14:paraId="6AE971DA"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Акорд не е одобрен за лечение на деменция, свързана с поведенчески нарушения.</w:t>
      </w:r>
    </w:p>
    <w:p w14:paraId="3DD440D2" w14:textId="5B1F4EFA" w:rsidR="00BE4B21" w:rsidRPr="00BE4B21" w:rsidRDefault="00BE4B21" w:rsidP="00BE4B21"/>
    <w:p w14:paraId="0734264C" w14:textId="57A549A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B0827B8" w14:textId="02E8AEB1" w:rsidR="00BE4B21" w:rsidRDefault="00BE4B21" w:rsidP="00BE4B21"/>
    <w:p w14:paraId="34B95C21"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Противопоказания за съвместно приложение</w:t>
      </w:r>
    </w:p>
    <w:p w14:paraId="46102A0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Лекарствата, за които е известно, че притежават значителен потенциал да потиснат функцията на костния мозък, не трябва да се използват заедно с Клозапин Акорд (вж. точка 4.4).</w:t>
      </w:r>
    </w:p>
    <w:p w14:paraId="72FED469" w14:textId="77777777" w:rsidR="00BE4B21" w:rsidRPr="00BE4B21" w:rsidRDefault="00BE4B21" w:rsidP="00BE4B21">
      <w:pPr>
        <w:spacing w:line="240" w:lineRule="auto"/>
        <w:rPr>
          <w:rFonts w:eastAsia="Times New Roman" w:cs="Arial"/>
          <w:color w:val="000000"/>
          <w:szCs w:val="20"/>
          <w:lang w:eastAsia="bg-BG"/>
        </w:rPr>
      </w:pPr>
    </w:p>
    <w:p w14:paraId="7529A97B" w14:textId="4E50209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Антипсихотичните лекарствени продукти с удължено освобождаване (които имат миелосупресивен потенциал) не трябва да се използват заедно с Клозапин Акорд, тъй като не могат да се изчистят бързо от организма, когато това се налага, напр. при неутропения (вж. точка 4.4).</w:t>
      </w:r>
    </w:p>
    <w:p w14:paraId="4DA3EF30" w14:textId="77777777" w:rsidR="00BE4B21" w:rsidRPr="00BE4B21" w:rsidRDefault="00BE4B21" w:rsidP="00BE4B21">
      <w:pPr>
        <w:spacing w:line="240" w:lineRule="auto"/>
        <w:rPr>
          <w:rFonts w:eastAsia="Times New Roman" w:cs="Arial"/>
          <w:color w:val="000000"/>
          <w:szCs w:val="20"/>
          <w:lang w:eastAsia="bg-BG"/>
        </w:rPr>
      </w:pPr>
    </w:p>
    <w:p w14:paraId="5A57CA72" w14:textId="3527A9A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Не трябва да се употребява алкохол заедно с клозапин, поради възможния потенциал за седиране.</w:t>
      </w:r>
    </w:p>
    <w:p w14:paraId="3C4197E7" w14:textId="77777777" w:rsidR="00BE4B21" w:rsidRPr="00BE4B21" w:rsidRDefault="00BE4B21" w:rsidP="00BE4B21">
      <w:pPr>
        <w:spacing w:line="240" w:lineRule="auto"/>
        <w:rPr>
          <w:rFonts w:eastAsia="Times New Roman" w:cs="Arial"/>
          <w:color w:val="000000"/>
          <w:szCs w:val="20"/>
          <w:u w:val="single"/>
          <w:lang w:eastAsia="bg-BG"/>
        </w:rPr>
      </w:pPr>
    </w:p>
    <w:p w14:paraId="74FE4D81" w14:textId="251BF2E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Предпазни мерки, включително коригиране на дозата</w:t>
      </w:r>
    </w:p>
    <w:p w14:paraId="5AF042C0"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може да засили централните ефекти на лекарствата, потискащи ЦНС, като наркотици, антихистамини и бензодиазепини. Препоръчва се особено внимание, когато се започва лечение с клозапин при пациенти, получаващи бензодиазепини или друго психотропно лекарство. Такива пациенти може да имат повишен риск за циркулаторен колапс, който в редки случаи може да е тежък и да доведе до спиране на сърдечната дейност и/или дишането. Не е ясно дали рязкото влошаване на сърдечната дейност или дишането могат да се предотвратят чрез промяна на дозата.</w:t>
      </w:r>
    </w:p>
    <w:p w14:paraId="1080C002" w14:textId="77777777" w:rsidR="00BE4B21" w:rsidRPr="00BE4B21" w:rsidRDefault="00BE4B21" w:rsidP="00BE4B21">
      <w:pPr>
        <w:spacing w:line="240" w:lineRule="auto"/>
        <w:rPr>
          <w:rFonts w:eastAsia="Times New Roman" w:cs="Arial"/>
          <w:color w:val="000000"/>
          <w:szCs w:val="20"/>
          <w:lang w:eastAsia="bg-BG"/>
        </w:rPr>
      </w:pPr>
    </w:p>
    <w:p w14:paraId="68DF32BF" w14:textId="55AAB223" w:rsidR="00BE4B21" w:rsidRP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Поради възможността за кумулиране на ефектите, особено важно е да се подхожда с внимание при </w:t>
      </w:r>
    </w:p>
    <w:p w14:paraId="4E3DA760" w14:textId="3B6D3D8E"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lastRenderedPageBreak/>
        <w:t>съвместното приложение на лекарства, притежаващи антихолинергичио, хипотензивно или потискащо дишането действие.</w:t>
      </w:r>
    </w:p>
    <w:p w14:paraId="23281416" w14:textId="77777777" w:rsidR="00BE4B21" w:rsidRPr="00BE4B21" w:rsidRDefault="00BE4B21" w:rsidP="00BE4B21">
      <w:pPr>
        <w:spacing w:line="240" w:lineRule="auto"/>
        <w:rPr>
          <w:rFonts w:eastAsia="Times New Roman" w:cs="Arial"/>
          <w:color w:val="000000"/>
          <w:szCs w:val="20"/>
          <w:lang w:eastAsia="bg-BG"/>
        </w:rPr>
      </w:pPr>
    </w:p>
    <w:p w14:paraId="2E4AEFBC" w14:textId="3652D7A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Благодарение на анти-алфа-адренергичните си свойства клозапин може да намали хипертензивния ефект на норепинефрина или други средства с предимно алфа-адренергично действие, и да отстрани пресорния ефект на епинефрина.</w:t>
      </w:r>
    </w:p>
    <w:p w14:paraId="6F1DAC14" w14:textId="77777777" w:rsidR="00BE4B21" w:rsidRPr="00BE4B21" w:rsidRDefault="00BE4B21" w:rsidP="00BE4B21">
      <w:pPr>
        <w:spacing w:line="240" w:lineRule="auto"/>
        <w:rPr>
          <w:rFonts w:eastAsia="Times New Roman" w:cs="Arial"/>
          <w:color w:val="000000"/>
          <w:szCs w:val="20"/>
          <w:lang w:eastAsia="bg-BG"/>
        </w:rPr>
      </w:pPr>
    </w:p>
    <w:p w14:paraId="0BDBBB51" w14:textId="5397517B"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Съпътстващото приложение на лекарства, за които е известно, че инхибнрат активността на цитохром Р450 изоензимите, може да повиши нивата на клозапин и да се наложи намаляване на дозата на клозапин, за да се предотвратят нежеланите реакции. Това е по-важно за инхибиторите на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1А2, като кофеин (виж по-долу), перазин и селективния инхибитор на обратното захващане на серотонина флувоксамин. Някои от останалите инхибитори на обратното захващане на серотонина като флуоксетин, пароксетин и в по-малка степен сертралин са инхибитори на </w:t>
      </w:r>
      <w:r w:rsidRPr="00BE4B21">
        <w:rPr>
          <w:rFonts w:eastAsia="Times New Roman" w:cs="Arial"/>
          <w:color w:val="000000"/>
          <w:szCs w:val="20"/>
          <w:lang w:val="en-US"/>
        </w:rPr>
        <w:t>CYP</w:t>
      </w:r>
      <w:r w:rsidRPr="00BE4B21">
        <w:rPr>
          <w:rFonts w:eastAsia="Times New Roman" w:cs="Arial"/>
          <w:color w:val="000000"/>
          <w:szCs w:val="20"/>
          <w:lang w:val="ru-RU"/>
        </w:rPr>
        <w:t xml:space="preserve"> 2</w:t>
      </w:r>
      <w:r w:rsidRPr="00BE4B21">
        <w:rPr>
          <w:rFonts w:eastAsia="Times New Roman" w:cs="Arial"/>
          <w:color w:val="000000"/>
          <w:szCs w:val="20"/>
          <w:lang w:val="en-US"/>
        </w:rPr>
        <w:t>D</w:t>
      </w:r>
      <w:r w:rsidRPr="00BE4B21">
        <w:rPr>
          <w:rFonts w:eastAsia="Times New Roman" w:cs="Arial"/>
          <w:color w:val="000000"/>
          <w:szCs w:val="20"/>
          <w:lang w:val="ru-RU"/>
        </w:rPr>
        <w:t xml:space="preserve">6 </w:t>
      </w:r>
      <w:r w:rsidRPr="00BE4B21">
        <w:rPr>
          <w:rFonts w:eastAsia="Times New Roman" w:cs="Arial"/>
          <w:color w:val="000000"/>
          <w:szCs w:val="20"/>
          <w:lang w:eastAsia="bg-BG"/>
        </w:rPr>
        <w:t xml:space="preserve">и в резултат на това съществени взаимодействия с клозапин са по-малко вероятни. Също така, малко вероятни са, въпреки някои съобщения, фармакокинетични взаимодействия с инхибитори на </w:t>
      </w:r>
      <w:r w:rsidRPr="00BE4B21">
        <w:rPr>
          <w:rFonts w:eastAsia="Times New Roman" w:cs="Arial"/>
          <w:color w:val="000000"/>
          <w:szCs w:val="20"/>
          <w:lang w:val="en-US"/>
        </w:rPr>
        <w:t>CYP</w:t>
      </w:r>
      <w:r w:rsidRPr="00BE4B21">
        <w:rPr>
          <w:rFonts w:eastAsia="Times New Roman" w:cs="Arial"/>
          <w:color w:val="000000"/>
          <w:szCs w:val="20"/>
          <w:lang w:val="ru-RU"/>
        </w:rPr>
        <w:t>3</w:t>
      </w:r>
      <w:r w:rsidRPr="00BE4B21">
        <w:rPr>
          <w:rFonts w:eastAsia="Times New Roman" w:cs="Arial"/>
          <w:color w:val="000000"/>
          <w:szCs w:val="20"/>
          <w:lang w:val="en-US"/>
        </w:rPr>
        <w:t>A</w:t>
      </w:r>
      <w:r w:rsidRPr="00BE4B21">
        <w:rPr>
          <w:rFonts w:eastAsia="Times New Roman" w:cs="Arial"/>
          <w:color w:val="000000"/>
          <w:szCs w:val="20"/>
          <w:lang w:val="ru-RU"/>
        </w:rPr>
        <w:t xml:space="preserve">4, </w:t>
      </w:r>
      <w:r w:rsidRPr="00BE4B21">
        <w:rPr>
          <w:rFonts w:eastAsia="Times New Roman" w:cs="Arial"/>
          <w:color w:val="000000"/>
          <w:szCs w:val="20"/>
          <w:lang w:eastAsia="bg-BG"/>
        </w:rPr>
        <w:t xml:space="preserve">като азолови антимикотици, циметидин, еритромицин и протеазни инхибитори. Хормоналните контрацептиви (включително комбинации от естроген и прогестерон или само прогестерон) са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1А2,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ЗА4 и </w:t>
      </w:r>
      <w:r w:rsidRPr="00BE4B21">
        <w:rPr>
          <w:rFonts w:eastAsia="Times New Roman" w:cs="Arial"/>
          <w:color w:val="000000"/>
          <w:szCs w:val="20"/>
          <w:lang w:val="en-US"/>
        </w:rPr>
        <w:t>CYP</w:t>
      </w:r>
      <w:r w:rsidRPr="00BE4B21">
        <w:rPr>
          <w:rFonts w:eastAsia="Times New Roman" w:cs="Arial"/>
          <w:color w:val="000000"/>
          <w:szCs w:val="20"/>
          <w:lang w:val="ru-RU"/>
        </w:rPr>
        <w:t>2</w:t>
      </w:r>
      <w:r w:rsidRPr="00BE4B21">
        <w:rPr>
          <w:rFonts w:eastAsia="Times New Roman" w:cs="Arial"/>
          <w:color w:val="000000"/>
          <w:szCs w:val="20"/>
          <w:lang w:val="en-US"/>
        </w:rPr>
        <w:t>C</w:t>
      </w:r>
      <w:r w:rsidRPr="00BE4B21">
        <w:rPr>
          <w:rFonts w:eastAsia="Times New Roman" w:cs="Arial"/>
          <w:color w:val="000000"/>
          <w:szCs w:val="20"/>
          <w:lang w:val="ru-RU"/>
        </w:rPr>
        <w:t xml:space="preserve">19 </w:t>
      </w:r>
      <w:r w:rsidRPr="00BE4B21">
        <w:rPr>
          <w:rFonts w:eastAsia="Times New Roman" w:cs="Arial"/>
          <w:color w:val="000000"/>
          <w:szCs w:val="20"/>
          <w:lang w:eastAsia="bg-BG"/>
        </w:rPr>
        <w:t>инхибитори. Поради това, започването или прекратяването на лечение с хормонални контрацептиви може да наложи корекция на дозата на клозапин в зависимост от индивидуалните медицински потребности. Тъй като плазмената концентрация на клозапин се повишава от приема на кофеин и се понижава с почти 50% след 5 дневен безкофеинов период, могат да се наложат промени в дозата на клозапин при промяна в навиците за прием на кофеинсъдържащи течности. В случаи на внезапно спиране на тютюнопушенето, плазмената концентрация на клозапин може да се повиши и така да доведе до зачестяване на нежеланите реакции.</w:t>
      </w:r>
    </w:p>
    <w:p w14:paraId="0C346A9B" w14:textId="77777777" w:rsidR="00BE4B21" w:rsidRPr="00BE4B21" w:rsidRDefault="00BE4B21" w:rsidP="00BE4B21">
      <w:pPr>
        <w:spacing w:line="240" w:lineRule="auto"/>
        <w:rPr>
          <w:rFonts w:eastAsia="Times New Roman" w:cs="Arial"/>
          <w:color w:val="000000"/>
          <w:szCs w:val="20"/>
          <w:lang w:eastAsia="bg-BG"/>
        </w:rPr>
      </w:pPr>
    </w:p>
    <w:p w14:paraId="07ADD8DD" w14:textId="7D74FDAA"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Съобщават се случаи на взаимодействие между циталопрам и клозапин, което може да повиши риска от нежелани реакции, свързани с клозапин. Естеството на това взаимодействие не е напълно изяснено.</w:t>
      </w:r>
    </w:p>
    <w:p w14:paraId="497DE2DC" w14:textId="77777777" w:rsidR="00BE4B21" w:rsidRPr="00BE4B21" w:rsidRDefault="00BE4B21" w:rsidP="00BE4B21">
      <w:pPr>
        <w:spacing w:line="240" w:lineRule="auto"/>
        <w:rPr>
          <w:rFonts w:eastAsia="Times New Roman" w:cs="Arial"/>
          <w:color w:val="000000"/>
          <w:szCs w:val="20"/>
          <w:lang w:eastAsia="bg-BG"/>
        </w:rPr>
      </w:pPr>
    </w:p>
    <w:p w14:paraId="585A6D63" w14:textId="77777777" w:rsidR="00BE4B21" w:rsidRPr="00BE4B21" w:rsidRDefault="00BE4B21" w:rsidP="00BE4B21">
      <w:pPr>
        <w:rPr>
          <w:rFonts w:eastAsia="Times New Roman" w:cs="Arial"/>
          <w:sz w:val="28"/>
          <w:szCs w:val="24"/>
        </w:rPr>
      </w:pPr>
      <w:r w:rsidRPr="00BE4B21">
        <w:rPr>
          <w:rFonts w:eastAsia="Times New Roman" w:cs="Arial"/>
          <w:color w:val="000000"/>
          <w:szCs w:val="20"/>
          <w:lang w:eastAsia="bg-BG"/>
        </w:rPr>
        <w:t xml:space="preserve">Съвместното приложение с лекарства, за които е известно, че индуцират цитохром </w:t>
      </w:r>
      <w:r w:rsidRPr="00BE4B21">
        <w:rPr>
          <w:rFonts w:eastAsia="Times New Roman" w:cs="Arial"/>
          <w:color w:val="000000"/>
          <w:szCs w:val="20"/>
          <w:lang w:val="en-US"/>
        </w:rPr>
        <w:t>B</w:t>
      </w:r>
      <w:r w:rsidRPr="00BE4B21">
        <w:rPr>
          <w:rFonts w:eastAsia="Times New Roman" w:cs="Arial"/>
          <w:color w:val="000000"/>
          <w:szCs w:val="20"/>
          <w:lang w:val="ru-RU"/>
        </w:rPr>
        <w:t>450</w:t>
      </w:r>
      <w:r w:rsidRPr="00BE4B21">
        <w:rPr>
          <w:rFonts w:eastAsia="Times New Roman" w:cs="Arial"/>
          <w:b/>
          <w:bCs/>
          <w:color w:val="000000"/>
          <w:szCs w:val="20"/>
          <w:lang w:eastAsia="bg-BG"/>
        </w:rPr>
        <w:t xml:space="preserve"> </w:t>
      </w:r>
      <w:r w:rsidRPr="00BE4B21">
        <w:rPr>
          <w:rFonts w:eastAsia="Times New Roman" w:cs="Arial"/>
          <w:color w:val="000000"/>
          <w:szCs w:val="20"/>
          <w:lang w:eastAsia="bg-BG"/>
        </w:rPr>
        <w:t xml:space="preserve">изоензимите, може да понижи плазмените нива на клозапин и така да доведе до намалена ефикасност. Лекарствата, за които е известно, че индуцират активността на цитохром </w:t>
      </w:r>
      <w:r w:rsidRPr="00BE4B21">
        <w:rPr>
          <w:rFonts w:eastAsia="Times New Roman" w:cs="Arial"/>
          <w:color w:val="000000"/>
          <w:szCs w:val="20"/>
          <w:lang w:val="en-US"/>
        </w:rPr>
        <w:t>P</w:t>
      </w:r>
      <w:r w:rsidRPr="00BE4B21">
        <w:rPr>
          <w:rFonts w:eastAsia="Times New Roman" w:cs="Arial"/>
          <w:color w:val="000000"/>
          <w:szCs w:val="20"/>
          <w:lang w:val="ru-RU"/>
        </w:rPr>
        <w:t>450</w:t>
      </w:r>
      <w:r w:rsidRPr="00BE4B21">
        <w:rPr>
          <w:rFonts w:eastAsia="Times New Roman" w:cs="Arial"/>
          <w:color w:val="000000"/>
          <w:szCs w:val="20"/>
          <w:lang w:eastAsia="bg-BG"/>
        </w:rPr>
        <w:t xml:space="preserve"> изоензимите и за които има съобщения, че взаимодействат с клозапин,</w:t>
      </w:r>
      <w:r w:rsidRPr="00BE4B21">
        <w:rPr>
          <w:rFonts w:eastAsia="Times New Roman" w:cs="Arial"/>
          <w:color w:val="000000"/>
          <w:szCs w:val="20"/>
          <w:lang w:val="ru-RU"/>
        </w:rPr>
        <w:t xml:space="preserve"> </w:t>
      </w:r>
      <w:r w:rsidRPr="00BE4B21">
        <w:rPr>
          <w:rFonts w:eastAsia="Times New Roman" w:cs="Arial"/>
          <w:color w:val="000000"/>
          <w:szCs w:val="20"/>
          <w:lang w:eastAsia="bg-BG"/>
        </w:rPr>
        <w:t>включват например</w:t>
      </w:r>
      <w:r w:rsidRPr="00BE4B21">
        <w:rPr>
          <w:rFonts w:eastAsia="Times New Roman" w:cs="Arial"/>
          <w:color w:val="000000"/>
          <w:szCs w:val="20"/>
          <w:lang w:val="ru-RU" w:eastAsia="bg-BG"/>
        </w:rPr>
        <w:t xml:space="preserve"> </w:t>
      </w:r>
      <w:r w:rsidRPr="00BE4B21">
        <w:rPr>
          <w:rFonts w:eastAsia="Times New Roman" w:cs="Arial"/>
          <w:color w:val="000000"/>
          <w:szCs w:val="20"/>
          <w:lang w:eastAsia="bg-BG"/>
        </w:rPr>
        <w:t xml:space="preserve">карбамазепин (да не се използва заедно с клозапин, поради миелосупресивен потенциал), фенитоин и рифампицин. Известните индуктори на </w:t>
      </w:r>
      <w:r w:rsidRPr="00BE4B21">
        <w:rPr>
          <w:rFonts w:eastAsia="Times New Roman" w:cs="Arial"/>
          <w:color w:val="000000"/>
          <w:szCs w:val="20"/>
          <w:lang w:val="en-US"/>
        </w:rPr>
        <w:t>CYP</w:t>
      </w:r>
      <w:r w:rsidRPr="00BE4B21">
        <w:rPr>
          <w:rFonts w:eastAsia="Times New Roman" w:cs="Arial"/>
          <w:color w:val="000000"/>
          <w:szCs w:val="20"/>
          <w:lang w:val="ru-RU"/>
        </w:rPr>
        <w:t>1</w:t>
      </w:r>
      <w:r w:rsidRPr="00BE4B21">
        <w:rPr>
          <w:rFonts w:eastAsia="Times New Roman" w:cs="Arial"/>
          <w:color w:val="000000"/>
          <w:szCs w:val="20"/>
          <w:lang w:eastAsia="bg-BG"/>
        </w:rPr>
        <w:t>А2, като омепразол, могат да доведат до понижени нива на клозапин. Потенциалът за понижаване на ефикасността на клозапин тряба да се има пред вид, ако той се използва в комбинация с тези лекарства.</w:t>
      </w:r>
    </w:p>
    <w:p w14:paraId="67A0C2F9" w14:textId="77777777" w:rsidR="00BE4B21" w:rsidRPr="00BE4B21" w:rsidRDefault="00BE4B21" w:rsidP="00BE4B21">
      <w:pPr>
        <w:spacing w:line="240" w:lineRule="auto"/>
        <w:rPr>
          <w:rFonts w:eastAsia="Times New Roman" w:cs="Arial"/>
          <w:color w:val="000000"/>
          <w:szCs w:val="20"/>
          <w:u w:val="single"/>
          <w:lang w:eastAsia="bg-BG"/>
        </w:rPr>
      </w:pPr>
    </w:p>
    <w:p w14:paraId="20234B5B" w14:textId="3D61AFC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Други</w:t>
      </w:r>
    </w:p>
    <w:p w14:paraId="050E941D"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Съвместната употреба на литий или други ЦНС-активни лекарства може да повиши риска от развитие на невролептичен малигнен синдром </w:t>
      </w:r>
      <w:r w:rsidRPr="00BE4B21">
        <w:rPr>
          <w:rFonts w:eastAsia="Times New Roman" w:cs="Arial"/>
          <w:color w:val="000000"/>
          <w:szCs w:val="20"/>
          <w:lang w:val="ru-RU"/>
        </w:rPr>
        <w:t>(</w:t>
      </w:r>
      <w:r w:rsidRPr="00BE4B21">
        <w:rPr>
          <w:rFonts w:eastAsia="Times New Roman" w:cs="Arial"/>
          <w:color w:val="000000"/>
          <w:szCs w:val="20"/>
          <w:lang w:val="en-US"/>
        </w:rPr>
        <w:t>NMS</w:t>
      </w:r>
      <w:r w:rsidRPr="00BE4B21">
        <w:rPr>
          <w:rFonts w:eastAsia="Times New Roman" w:cs="Arial"/>
          <w:color w:val="000000"/>
          <w:szCs w:val="20"/>
          <w:lang w:val="ru-RU"/>
        </w:rPr>
        <w:t>).</w:t>
      </w:r>
    </w:p>
    <w:p w14:paraId="3DA5D3BE" w14:textId="77777777" w:rsidR="00BE4B21" w:rsidRPr="00BE4B21" w:rsidRDefault="00BE4B21" w:rsidP="00BE4B21">
      <w:pPr>
        <w:spacing w:line="240" w:lineRule="auto"/>
        <w:rPr>
          <w:rFonts w:eastAsia="Times New Roman" w:cs="Arial"/>
          <w:color w:val="000000"/>
          <w:szCs w:val="20"/>
          <w:lang w:eastAsia="bg-BG"/>
        </w:rPr>
      </w:pPr>
    </w:p>
    <w:p w14:paraId="1B54DCE7" w14:textId="1D64C35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Съобщава се за редки, но тежки случаи на гърчове, включително начало на гърчове при пациенти без епилепсия и отделни случаи на делир, когато клозапин е прилаган заедно с валпроева киселина. Вероятно, тези ефекти възникват поради фармакодинамично взаимодействие, чийто механизъм не е изяснен.</w:t>
      </w:r>
    </w:p>
    <w:p w14:paraId="598D8507" w14:textId="77777777" w:rsidR="00BE4B21" w:rsidRPr="00BE4B21" w:rsidRDefault="00BE4B21" w:rsidP="00BE4B21">
      <w:pPr>
        <w:spacing w:line="240" w:lineRule="auto"/>
        <w:rPr>
          <w:rFonts w:eastAsia="Times New Roman" w:cs="Arial"/>
          <w:color w:val="000000"/>
          <w:szCs w:val="20"/>
          <w:lang w:eastAsia="bg-BG"/>
        </w:rPr>
      </w:pPr>
    </w:p>
    <w:p w14:paraId="21AB3E85" w14:textId="1DB8E74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Препоръчва се повишено внимание при пациенти, които провеждат съпътстващо лечение с други лекарства, които са инхибитори или индуктори на цитохром Р450 изоензимите. Досега не са наблюдавани клинично значими взаимодействия с трициклични атидепресанти, фенотиазини и тип антиаритмични лекарства от клас 1С, за които е известно, че се свързват с цитохром Р450 </w:t>
      </w:r>
      <w:r w:rsidRPr="00BE4B21">
        <w:rPr>
          <w:rFonts w:eastAsia="Times New Roman" w:cs="Arial"/>
          <w:color w:val="000000"/>
          <w:szCs w:val="20"/>
          <w:lang w:val="ru-RU"/>
        </w:rPr>
        <w:t>2</w:t>
      </w:r>
      <w:r w:rsidRPr="00BE4B21">
        <w:rPr>
          <w:rFonts w:eastAsia="Times New Roman" w:cs="Arial"/>
          <w:color w:val="000000"/>
          <w:szCs w:val="20"/>
          <w:lang w:val="en-US"/>
        </w:rPr>
        <w:t>D</w:t>
      </w:r>
      <w:r w:rsidRPr="00BE4B21">
        <w:rPr>
          <w:rFonts w:eastAsia="Times New Roman" w:cs="Arial"/>
          <w:color w:val="000000"/>
          <w:szCs w:val="20"/>
          <w:lang w:val="ru-RU"/>
        </w:rPr>
        <w:t>6.</w:t>
      </w:r>
    </w:p>
    <w:p w14:paraId="093812A2" w14:textId="77777777" w:rsidR="00BE4B21" w:rsidRPr="00BE4B21" w:rsidRDefault="00BE4B21" w:rsidP="00BE4B21">
      <w:pPr>
        <w:spacing w:line="240" w:lineRule="auto"/>
        <w:rPr>
          <w:rFonts w:eastAsia="Times New Roman" w:cs="Arial"/>
          <w:color w:val="000000"/>
          <w:szCs w:val="20"/>
          <w:lang w:eastAsia="bg-BG"/>
        </w:rPr>
      </w:pPr>
    </w:p>
    <w:p w14:paraId="418A3B6C" w14:textId="25354F8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Както при други антипсихотици се изисква повишено внимание, когато клозапин е прилаган заедно с лекарства, за които е известно, че удължават </w:t>
      </w:r>
      <w:proofErr w:type="spellStart"/>
      <w:r w:rsidRPr="00BE4B21">
        <w:rPr>
          <w:rFonts w:eastAsia="Times New Roman" w:cs="Arial"/>
          <w:color w:val="000000"/>
          <w:szCs w:val="20"/>
          <w:lang w:val="en-US"/>
        </w:rPr>
        <w:t>QTc</w:t>
      </w:r>
      <w:proofErr w:type="spellEnd"/>
      <w:r w:rsidRPr="00BE4B21">
        <w:rPr>
          <w:rFonts w:eastAsia="Times New Roman" w:cs="Arial"/>
          <w:color w:val="000000"/>
          <w:szCs w:val="20"/>
          <w:lang w:val="ru-RU"/>
        </w:rPr>
        <w:t xml:space="preserve"> </w:t>
      </w:r>
      <w:r w:rsidRPr="00BE4B21">
        <w:rPr>
          <w:rFonts w:eastAsia="Times New Roman" w:cs="Arial"/>
          <w:color w:val="000000"/>
          <w:szCs w:val="20"/>
          <w:lang w:eastAsia="bg-BG"/>
        </w:rPr>
        <w:t>интервала или причиняват електролитен дисбаланс.</w:t>
      </w:r>
    </w:p>
    <w:p w14:paraId="073EC1CF" w14:textId="77777777" w:rsidR="00BE4B21" w:rsidRPr="00BE4B21" w:rsidRDefault="00BE4B21" w:rsidP="00BE4B21">
      <w:pPr>
        <w:spacing w:line="240" w:lineRule="auto"/>
        <w:rPr>
          <w:rFonts w:eastAsia="Times New Roman" w:cs="Arial"/>
          <w:color w:val="000000"/>
          <w:szCs w:val="20"/>
          <w:lang w:eastAsia="bg-BG"/>
        </w:rPr>
      </w:pPr>
    </w:p>
    <w:p w14:paraId="7B885A9A" w14:textId="77777777" w:rsidR="00BE4B21" w:rsidRP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В таблица 2 по-долу са представени считаните за най-важни лекарствени взаимодействия с клозапин. Този </w:t>
      </w:r>
    </w:p>
    <w:p w14:paraId="6F168688" w14:textId="0D9DD88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списък не е изчерпателен.</w:t>
      </w:r>
    </w:p>
    <w:p w14:paraId="201C77C3" w14:textId="77777777" w:rsidR="00BE4B21" w:rsidRPr="00BE4B21" w:rsidRDefault="00BE4B21" w:rsidP="00BE4B21">
      <w:pPr>
        <w:spacing w:line="240" w:lineRule="auto"/>
        <w:rPr>
          <w:rFonts w:eastAsia="Times New Roman" w:cs="Arial"/>
          <w:b/>
          <w:bCs/>
          <w:color w:val="000000"/>
          <w:szCs w:val="20"/>
          <w:lang w:eastAsia="bg-BG"/>
        </w:rPr>
      </w:pPr>
    </w:p>
    <w:p w14:paraId="4E34099D" w14:textId="3908C28D" w:rsidR="00BE4B21" w:rsidRPr="00BE4B21" w:rsidRDefault="00BE4B21" w:rsidP="00BE4B21">
      <w:pPr>
        <w:spacing w:line="240" w:lineRule="auto"/>
        <w:rPr>
          <w:rFonts w:eastAsia="Times New Roman" w:cs="Arial"/>
          <w:sz w:val="28"/>
          <w:szCs w:val="24"/>
        </w:rPr>
      </w:pPr>
      <w:r w:rsidRPr="00BE4B21">
        <w:rPr>
          <w:rFonts w:eastAsia="Times New Roman" w:cs="Arial"/>
          <w:b/>
          <w:bCs/>
          <w:color w:val="000000"/>
          <w:szCs w:val="20"/>
          <w:lang w:eastAsia="bg-BG"/>
        </w:rPr>
        <w:t xml:space="preserve">Таблица 2: </w:t>
      </w:r>
      <w:r w:rsidRPr="00BE4B21">
        <w:rPr>
          <w:rFonts w:eastAsia="Times New Roman" w:cs="Arial"/>
          <w:color w:val="000000"/>
          <w:szCs w:val="20"/>
          <w:lang w:eastAsia="bg-BG"/>
        </w:rPr>
        <w:t>Справка за най-честите лекарствени взаимодействия с клозапин.</w:t>
      </w:r>
    </w:p>
    <w:tbl>
      <w:tblPr>
        <w:tblStyle w:val="TableGrid"/>
        <w:tblW w:w="0" w:type="auto"/>
        <w:tblLook w:val="04A0" w:firstRow="1" w:lastRow="0" w:firstColumn="1" w:lastColumn="0" w:noHBand="0" w:noVBand="1"/>
      </w:tblPr>
      <w:tblGrid>
        <w:gridCol w:w="3112"/>
        <w:gridCol w:w="3128"/>
        <w:gridCol w:w="3110"/>
      </w:tblGrid>
      <w:tr w:rsidR="00BE4B21" w14:paraId="3F8BB986" w14:textId="77777777" w:rsidTr="00BE4B21">
        <w:tc>
          <w:tcPr>
            <w:tcW w:w="3192" w:type="dxa"/>
          </w:tcPr>
          <w:p w14:paraId="5671ECE6" w14:textId="586BD020" w:rsidR="00BE4B21" w:rsidRPr="00BE4B21" w:rsidRDefault="00BE4B21" w:rsidP="00BE4B21">
            <w:pPr>
              <w:spacing w:line="240" w:lineRule="auto"/>
              <w:rPr>
                <w:rFonts w:eastAsia="Times New Roman" w:cs="Arial"/>
                <w:szCs w:val="24"/>
              </w:rPr>
            </w:pPr>
            <w:r w:rsidRPr="00BE4B21">
              <w:rPr>
                <w:rFonts w:cs="Arial"/>
                <w:b/>
                <w:bCs/>
                <w:szCs w:val="20"/>
              </w:rPr>
              <w:t>Лекарство</w:t>
            </w:r>
          </w:p>
        </w:tc>
        <w:tc>
          <w:tcPr>
            <w:tcW w:w="3192" w:type="dxa"/>
          </w:tcPr>
          <w:p w14:paraId="6B9A23DF" w14:textId="3B1C3384" w:rsidR="00BE4B21" w:rsidRPr="00BE4B21" w:rsidRDefault="00BE4B21" w:rsidP="00BE4B21">
            <w:pPr>
              <w:spacing w:line="240" w:lineRule="auto"/>
              <w:rPr>
                <w:rFonts w:eastAsia="Times New Roman" w:cs="Arial"/>
                <w:szCs w:val="24"/>
              </w:rPr>
            </w:pPr>
            <w:r w:rsidRPr="00BE4B21">
              <w:rPr>
                <w:rFonts w:cs="Arial"/>
                <w:b/>
                <w:bCs/>
                <w:szCs w:val="20"/>
              </w:rPr>
              <w:t>Взаимодействия</w:t>
            </w:r>
          </w:p>
        </w:tc>
        <w:tc>
          <w:tcPr>
            <w:tcW w:w="3192" w:type="dxa"/>
          </w:tcPr>
          <w:p w14:paraId="135F0692" w14:textId="43F12B44" w:rsidR="00BE4B21" w:rsidRPr="00BE4B21" w:rsidRDefault="00BE4B21" w:rsidP="00BE4B21">
            <w:pPr>
              <w:spacing w:line="240" w:lineRule="auto"/>
              <w:rPr>
                <w:rFonts w:eastAsia="Times New Roman" w:cs="Arial"/>
                <w:szCs w:val="24"/>
              </w:rPr>
            </w:pPr>
            <w:r w:rsidRPr="00BE4B21">
              <w:rPr>
                <w:rFonts w:cs="Arial"/>
                <w:b/>
                <w:bCs/>
                <w:szCs w:val="20"/>
              </w:rPr>
              <w:t>Коментар</w:t>
            </w:r>
          </w:p>
        </w:tc>
      </w:tr>
      <w:tr w:rsidR="00BE4B21" w14:paraId="13CF2422" w14:textId="77777777" w:rsidTr="00BE4B21">
        <w:tc>
          <w:tcPr>
            <w:tcW w:w="3192" w:type="dxa"/>
          </w:tcPr>
          <w:p w14:paraId="6E592324" w14:textId="1615A127" w:rsidR="00BE4B21" w:rsidRPr="00BE4B21" w:rsidRDefault="00BE4B21" w:rsidP="00BE4B21">
            <w:pPr>
              <w:spacing w:line="240" w:lineRule="auto"/>
              <w:rPr>
                <w:rFonts w:eastAsia="Times New Roman" w:cs="Arial"/>
                <w:szCs w:val="24"/>
              </w:rPr>
            </w:pPr>
            <w:r w:rsidRPr="00BE4B21">
              <w:rPr>
                <w:rFonts w:cs="Arial"/>
                <w:szCs w:val="20"/>
              </w:rPr>
              <w:t>Лекарства, потискащи костния мозък (напр. карбамазепин, хлорамфеникол, сулфонамиди (напр. котримоксазол), пиразолонови аналгетици (напр. фенилбутазон), пенициламин, цитотоксични средства и инжекционни антипсихотици с депо- действие.</w:t>
            </w:r>
          </w:p>
        </w:tc>
        <w:tc>
          <w:tcPr>
            <w:tcW w:w="3192" w:type="dxa"/>
          </w:tcPr>
          <w:p w14:paraId="6CA617A2" w14:textId="56D419A7" w:rsidR="00BE4B21" w:rsidRPr="00BE4B21" w:rsidRDefault="00BE4B21" w:rsidP="00BE4B21">
            <w:pPr>
              <w:spacing w:line="240" w:lineRule="auto"/>
              <w:rPr>
                <w:rFonts w:eastAsia="Times New Roman" w:cs="Arial"/>
                <w:szCs w:val="24"/>
              </w:rPr>
            </w:pPr>
            <w:r w:rsidRPr="00BE4B21">
              <w:rPr>
                <w:rFonts w:cs="Arial"/>
                <w:szCs w:val="20"/>
              </w:rPr>
              <w:t>Повишава се рискът и/или тежестта на потискането на костния мозък.</w:t>
            </w:r>
          </w:p>
        </w:tc>
        <w:tc>
          <w:tcPr>
            <w:tcW w:w="3192" w:type="dxa"/>
          </w:tcPr>
          <w:p w14:paraId="3AE58FEC" w14:textId="21E8F642" w:rsidR="00BE4B21" w:rsidRPr="00BE4B21" w:rsidRDefault="00BE4B21" w:rsidP="00BE4B21">
            <w:pPr>
              <w:spacing w:line="240" w:lineRule="auto"/>
              <w:rPr>
                <w:rFonts w:eastAsia="Times New Roman" w:cs="Arial"/>
                <w:szCs w:val="24"/>
              </w:rPr>
            </w:pPr>
            <w:r w:rsidRPr="00BE4B21">
              <w:rPr>
                <w:rFonts w:cs="Arial"/>
                <w:szCs w:val="20"/>
              </w:rPr>
              <w:t xml:space="preserve">Клозапин </w:t>
            </w:r>
            <w:r w:rsidRPr="00BE4B21">
              <w:rPr>
                <w:rFonts w:cs="Arial"/>
                <w:b/>
                <w:bCs/>
                <w:szCs w:val="20"/>
                <w:u w:val="single"/>
              </w:rPr>
              <w:t>не трябва да се използва</w:t>
            </w:r>
            <w:r w:rsidRPr="00BE4B21">
              <w:rPr>
                <w:rFonts w:cs="Arial"/>
                <w:b/>
                <w:bCs/>
                <w:szCs w:val="20"/>
              </w:rPr>
              <w:t xml:space="preserve"> </w:t>
            </w:r>
            <w:r w:rsidRPr="00BE4B21">
              <w:rPr>
                <w:rFonts w:cs="Arial"/>
                <w:szCs w:val="20"/>
              </w:rPr>
              <w:t>заедно с други лекарства с известен потенциал за потискане функцията на костния мозък (вж. точка 4.3).</w:t>
            </w:r>
          </w:p>
        </w:tc>
      </w:tr>
      <w:tr w:rsidR="00BE4B21" w14:paraId="506EDC20" w14:textId="77777777" w:rsidTr="00BE4B21">
        <w:tc>
          <w:tcPr>
            <w:tcW w:w="3192" w:type="dxa"/>
          </w:tcPr>
          <w:p w14:paraId="0CA9E633" w14:textId="013C0C9C" w:rsidR="00BE4B21" w:rsidRPr="00BE4B21" w:rsidRDefault="00BE4B21" w:rsidP="00BE4B21">
            <w:pPr>
              <w:spacing w:line="240" w:lineRule="auto"/>
              <w:rPr>
                <w:rFonts w:eastAsia="Times New Roman" w:cs="Arial"/>
                <w:szCs w:val="24"/>
              </w:rPr>
            </w:pPr>
            <w:r w:rsidRPr="00BE4B21">
              <w:rPr>
                <w:rFonts w:cs="Arial"/>
                <w:szCs w:val="20"/>
              </w:rPr>
              <w:t>Бензодиазепини</w:t>
            </w:r>
          </w:p>
        </w:tc>
        <w:tc>
          <w:tcPr>
            <w:tcW w:w="3192" w:type="dxa"/>
          </w:tcPr>
          <w:p w14:paraId="6CF0EEB1" w14:textId="77BC6CD9" w:rsidR="00BE4B21" w:rsidRPr="00BE4B21" w:rsidRDefault="00BE4B21" w:rsidP="00BE4B21">
            <w:pPr>
              <w:spacing w:line="240" w:lineRule="auto"/>
              <w:rPr>
                <w:rFonts w:eastAsia="Times New Roman" w:cs="Arial"/>
                <w:szCs w:val="24"/>
              </w:rPr>
            </w:pPr>
            <w:r w:rsidRPr="00BE4B21">
              <w:rPr>
                <w:rFonts w:cs="Arial"/>
                <w:szCs w:val="20"/>
              </w:rPr>
              <w:t>Съвместната употреба може да повиши риска от циркулаторен колапс, което да доведе до спиране на сърдечната дейност и/или дишането.</w:t>
            </w:r>
          </w:p>
        </w:tc>
        <w:tc>
          <w:tcPr>
            <w:tcW w:w="3192" w:type="dxa"/>
          </w:tcPr>
          <w:p w14:paraId="7201F708" w14:textId="12A8B92C" w:rsidR="00BE4B21" w:rsidRPr="00BE4B21" w:rsidRDefault="00BE4B21" w:rsidP="00BE4B21">
            <w:pPr>
              <w:spacing w:line="240" w:lineRule="auto"/>
              <w:rPr>
                <w:rFonts w:eastAsia="Times New Roman" w:cs="Arial"/>
                <w:szCs w:val="24"/>
              </w:rPr>
            </w:pPr>
            <w:r w:rsidRPr="00BE4B21">
              <w:rPr>
                <w:rFonts w:cs="Arial"/>
                <w:szCs w:val="20"/>
              </w:rPr>
              <w:t>Въпреки че честотата е ниска, се препоръчва повишено внимание при съвместна употреба на тези лекарствени продукти. Съобщенията показват, че е по-вероятно потискането на дишането и колапсът да възникнат в началото на приложението на тази комбинация или при добавяне на клозапин към установената схема с бензодиазепини.</w:t>
            </w:r>
          </w:p>
        </w:tc>
      </w:tr>
      <w:tr w:rsidR="00BE4B21" w14:paraId="2AB45F34" w14:textId="77777777" w:rsidTr="00BE4B21">
        <w:tc>
          <w:tcPr>
            <w:tcW w:w="3192" w:type="dxa"/>
          </w:tcPr>
          <w:p w14:paraId="47FF98F5" w14:textId="6DD4810F" w:rsidR="00BE4B21" w:rsidRPr="00BE4B21" w:rsidRDefault="00BE4B21" w:rsidP="00BE4B21">
            <w:pPr>
              <w:spacing w:line="240" w:lineRule="auto"/>
              <w:rPr>
                <w:rFonts w:eastAsia="Times New Roman" w:cs="Arial"/>
                <w:szCs w:val="24"/>
              </w:rPr>
            </w:pPr>
            <w:r w:rsidRPr="00BE4B21">
              <w:rPr>
                <w:rFonts w:cs="Arial"/>
                <w:szCs w:val="20"/>
              </w:rPr>
              <w:t>Антихолинергични лекарства</w:t>
            </w:r>
          </w:p>
        </w:tc>
        <w:tc>
          <w:tcPr>
            <w:tcW w:w="3192" w:type="dxa"/>
          </w:tcPr>
          <w:p w14:paraId="339BC6F9" w14:textId="0C67FF82" w:rsidR="00BE4B21" w:rsidRPr="00BE4B21" w:rsidRDefault="00BE4B21" w:rsidP="00BE4B21">
            <w:pPr>
              <w:spacing w:line="240" w:lineRule="auto"/>
              <w:rPr>
                <w:rFonts w:eastAsia="Times New Roman" w:cs="Arial"/>
                <w:szCs w:val="24"/>
              </w:rPr>
            </w:pPr>
            <w:r w:rsidRPr="00BE4B21">
              <w:rPr>
                <w:rFonts w:cs="Arial"/>
                <w:szCs w:val="20"/>
              </w:rPr>
              <w:t>Клозапин потенцира действието на тези лекарства в резултат на кумулиране на антихолинергичните ефекти.</w:t>
            </w:r>
          </w:p>
        </w:tc>
        <w:tc>
          <w:tcPr>
            <w:tcW w:w="3192" w:type="dxa"/>
          </w:tcPr>
          <w:p w14:paraId="7A2CFB5F" w14:textId="3EF2B3F9" w:rsidR="00BE4B21" w:rsidRPr="00BE4B21" w:rsidRDefault="00BE4B21" w:rsidP="00BE4B21">
            <w:pPr>
              <w:rPr>
                <w:rFonts w:eastAsia="Times New Roman" w:cs="Arial"/>
                <w:szCs w:val="24"/>
              </w:rPr>
            </w:pPr>
            <w:r w:rsidRPr="00BE4B21">
              <w:rPr>
                <w:rFonts w:cs="Arial"/>
                <w:szCs w:val="20"/>
              </w:rPr>
              <w:t>Да се наблюдават пациентите за антихолинергични нежелани реакции, напр. констипация, особено при</w:t>
            </w:r>
            <w:r w:rsidRPr="00BE4B21">
              <w:rPr>
                <w:rFonts w:cs="Arial"/>
                <w:szCs w:val="20"/>
                <w:lang w:val="ru-RU"/>
              </w:rPr>
              <w:t xml:space="preserve"> </w:t>
            </w:r>
            <w:r w:rsidRPr="00BE4B21">
              <w:rPr>
                <w:rFonts w:eastAsia="Times New Roman" w:cs="Arial"/>
                <w:color w:val="000000"/>
                <w:szCs w:val="20"/>
                <w:lang w:eastAsia="bg-BG"/>
              </w:rPr>
              <w:t>употреба с цел контрол на хиперсаливацията.</w:t>
            </w:r>
          </w:p>
        </w:tc>
      </w:tr>
      <w:tr w:rsidR="00BE4B21" w14:paraId="3C6A617A" w14:textId="77777777" w:rsidTr="00BE4B21">
        <w:tc>
          <w:tcPr>
            <w:tcW w:w="3192" w:type="dxa"/>
          </w:tcPr>
          <w:p w14:paraId="64B512BF" w14:textId="55B0D59A" w:rsidR="00BE4B21" w:rsidRPr="00BE4B21" w:rsidRDefault="00BE4B21" w:rsidP="00BE4B21">
            <w:pPr>
              <w:spacing w:line="240" w:lineRule="auto"/>
              <w:rPr>
                <w:rFonts w:eastAsia="Times New Roman" w:cs="Arial"/>
                <w:szCs w:val="24"/>
              </w:rPr>
            </w:pPr>
            <w:r w:rsidRPr="00BE4B21">
              <w:rPr>
                <w:rFonts w:cs="Arial"/>
                <w:szCs w:val="20"/>
              </w:rPr>
              <w:lastRenderedPageBreak/>
              <w:t>Антихипертензивни лекарства</w:t>
            </w:r>
          </w:p>
        </w:tc>
        <w:tc>
          <w:tcPr>
            <w:tcW w:w="3192" w:type="dxa"/>
          </w:tcPr>
          <w:p w14:paraId="119D26D2" w14:textId="7BFF4CE8" w:rsidR="00BE4B21" w:rsidRPr="00BE4B21" w:rsidRDefault="00BE4B21" w:rsidP="00BE4B21">
            <w:pPr>
              <w:spacing w:line="240" w:lineRule="auto"/>
              <w:rPr>
                <w:rFonts w:eastAsia="Times New Roman" w:cs="Arial"/>
                <w:szCs w:val="24"/>
              </w:rPr>
            </w:pPr>
            <w:r w:rsidRPr="00BE4B21">
              <w:rPr>
                <w:rFonts w:cs="Arial"/>
                <w:szCs w:val="20"/>
              </w:rPr>
              <w:t>Клозапин може да потенциира хипотензивните ефекти на тези лекарства поради неговите симпатомиметичните антагонистични ефекти.</w:t>
            </w:r>
          </w:p>
        </w:tc>
        <w:tc>
          <w:tcPr>
            <w:tcW w:w="3192" w:type="dxa"/>
            <w:vAlign w:val="bottom"/>
          </w:tcPr>
          <w:p w14:paraId="54E6FC50" w14:textId="0C3669EE" w:rsidR="00BE4B21" w:rsidRPr="00BE4B21" w:rsidRDefault="00BE4B21" w:rsidP="00BE4B21">
            <w:pPr>
              <w:spacing w:line="240" w:lineRule="auto"/>
              <w:rPr>
                <w:rFonts w:eastAsia="Times New Roman" w:cs="Arial"/>
                <w:szCs w:val="24"/>
              </w:rPr>
            </w:pPr>
            <w:r w:rsidRPr="00BE4B21">
              <w:rPr>
                <w:rFonts w:cs="Arial"/>
                <w:szCs w:val="20"/>
              </w:rPr>
              <w:t>Препоръчва се повишено внимание при съвместно използване на клозапин с антихипертензивни лекарства. Пациентите трябва да бъдат предупредени за риска от хипотония, особено в периода на начално титриране на дозата.</w:t>
            </w:r>
          </w:p>
        </w:tc>
      </w:tr>
      <w:tr w:rsidR="00BE4B21" w14:paraId="3B6A025A" w14:textId="77777777" w:rsidTr="00BE4B21">
        <w:tc>
          <w:tcPr>
            <w:tcW w:w="3192" w:type="dxa"/>
          </w:tcPr>
          <w:p w14:paraId="582A6C0C" w14:textId="1E8A7680" w:rsidR="00BE4B21" w:rsidRPr="00BE4B21" w:rsidRDefault="00BE4B21" w:rsidP="00BE4B21">
            <w:pPr>
              <w:spacing w:line="240" w:lineRule="auto"/>
              <w:rPr>
                <w:rFonts w:eastAsia="Times New Roman" w:cs="Arial"/>
                <w:szCs w:val="24"/>
              </w:rPr>
            </w:pPr>
            <w:r w:rsidRPr="00BE4B21">
              <w:rPr>
                <w:rFonts w:cs="Arial"/>
                <w:szCs w:val="20"/>
              </w:rPr>
              <w:t>Алкохол, МАО-инхибитори, потискащи ЦНС лекарства, включително наркотични лекарства и бензодиазепини</w:t>
            </w:r>
          </w:p>
        </w:tc>
        <w:tc>
          <w:tcPr>
            <w:tcW w:w="3192" w:type="dxa"/>
          </w:tcPr>
          <w:p w14:paraId="6E7FE352" w14:textId="40F0D854" w:rsidR="00BE4B21" w:rsidRPr="00BE4B21" w:rsidRDefault="00BE4B21" w:rsidP="00BE4B21">
            <w:pPr>
              <w:spacing w:line="240" w:lineRule="auto"/>
              <w:rPr>
                <w:rFonts w:eastAsia="Times New Roman" w:cs="Arial"/>
                <w:szCs w:val="24"/>
              </w:rPr>
            </w:pPr>
            <w:r w:rsidRPr="00BE4B21">
              <w:rPr>
                <w:rFonts w:cs="Arial"/>
                <w:szCs w:val="20"/>
              </w:rPr>
              <w:t>Засилени централни ефекти. Допълнително потискане на ЦНС и влияние върху познавателната способност и двигателната функция при комбинирано приложение с тези лекарства.</w:t>
            </w:r>
          </w:p>
        </w:tc>
        <w:tc>
          <w:tcPr>
            <w:tcW w:w="3192" w:type="dxa"/>
            <w:vAlign w:val="bottom"/>
          </w:tcPr>
          <w:p w14:paraId="3B40AE43" w14:textId="72A7E175" w:rsidR="00BE4B21" w:rsidRPr="00BE4B21" w:rsidRDefault="00BE4B21" w:rsidP="00BE4B21">
            <w:pPr>
              <w:spacing w:line="240" w:lineRule="auto"/>
              <w:rPr>
                <w:rFonts w:eastAsia="Times New Roman" w:cs="Arial"/>
                <w:szCs w:val="24"/>
              </w:rPr>
            </w:pPr>
            <w:r w:rsidRPr="00BE4B21">
              <w:rPr>
                <w:rFonts w:cs="Arial"/>
                <w:szCs w:val="20"/>
              </w:rPr>
              <w:t>Препоръчва се повишено внимание, когато клозапин се използва съвместно с други ЦНС активни лекарства. Пациентите трябва да бъдат предупредени за възможните адитивни ефекти и затова да не шофират или работят с машини.</w:t>
            </w:r>
          </w:p>
        </w:tc>
      </w:tr>
      <w:tr w:rsidR="00BE4B21" w14:paraId="437388C8" w14:textId="77777777" w:rsidTr="00BE4B21">
        <w:tc>
          <w:tcPr>
            <w:tcW w:w="3192" w:type="dxa"/>
          </w:tcPr>
          <w:p w14:paraId="6CE91182" w14:textId="2D8148A1" w:rsidR="00BE4B21" w:rsidRPr="00BE4B21" w:rsidRDefault="00BE4B21" w:rsidP="00BE4B21">
            <w:pPr>
              <w:spacing w:line="240" w:lineRule="auto"/>
              <w:rPr>
                <w:rFonts w:eastAsia="Times New Roman" w:cs="Arial"/>
                <w:szCs w:val="24"/>
              </w:rPr>
            </w:pPr>
            <w:r w:rsidRPr="00BE4B21">
              <w:rPr>
                <w:rFonts w:cs="Arial"/>
                <w:szCs w:val="20"/>
              </w:rPr>
              <w:t>Лекарства, които се свързват в значителна степен с плазмените протеини (напр. варфарин и дигоксин)</w:t>
            </w:r>
          </w:p>
        </w:tc>
        <w:tc>
          <w:tcPr>
            <w:tcW w:w="3192" w:type="dxa"/>
          </w:tcPr>
          <w:p w14:paraId="445187C3" w14:textId="53CC1D88" w:rsidR="00BE4B21" w:rsidRPr="00BE4B21" w:rsidRDefault="00BE4B21" w:rsidP="00BE4B21">
            <w:pPr>
              <w:spacing w:line="240" w:lineRule="auto"/>
              <w:rPr>
                <w:rFonts w:eastAsia="Times New Roman" w:cs="Arial"/>
                <w:szCs w:val="24"/>
              </w:rPr>
            </w:pPr>
            <w:r w:rsidRPr="00BE4B21">
              <w:rPr>
                <w:rFonts w:cs="Arial"/>
                <w:szCs w:val="20"/>
              </w:rPr>
              <w:t>Клозапин може да доведе до повишаване на плазмената концентрация на тези вещества, поради изместване от плазмените протеини.</w:t>
            </w:r>
          </w:p>
        </w:tc>
        <w:tc>
          <w:tcPr>
            <w:tcW w:w="3192" w:type="dxa"/>
            <w:vAlign w:val="bottom"/>
          </w:tcPr>
          <w:p w14:paraId="06D20E19" w14:textId="5895CA77" w:rsidR="00BE4B21" w:rsidRPr="00BE4B21" w:rsidRDefault="00BE4B21" w:rsidP="00BE4B21">
            <w:pPr>
              <w:spacing w:line="240" w:lineRule="auto"/>
              <w:rPr>
                <w:rFonts w:eastAsia="Times New Roman" w:cs="Arial"/>
                <w:szCs w:val="24"/>
              </w:rPr>
            </w:pPr>
            <w:r w:rsidRPr="00BE4B21">
              <w:rPr>
                <w:rFonts w:cs="Arial"/>
                <w:szCs w:val="20"/>
              </w:rPr>
              <w:t>Пациентите трябва да се мониторират за възникване на нежелани реакции, свързани с тези лекарства, и дозите на свързващото се с белтъците лекарство да се променят, ако е необходимо.</w:t>
            </w:r>
          </w:p>
        </w:tc>
      </w:tr>
      <w:tr w:rsidR="00BE4B21" w14:paraId="02DADA8E" w14:textId="77777777" w:rsidTr="00BE4B21">
        <w:tc>
          <w:tcPr>
            <w:tcW w:w="3192" w:type="dxa"/>
          </w:tcPr>
          <w:p w14:paraId="4253473C" w14:textId="05850BD4" w:rsidR="00BE4B21" w:rsidRPr="00BE4B21" w:rsidRDefault="00BE4B21" w:rsidP="00BE4B21">
            <w:pPr>
              <w:spacing w:line="240" w:lineRule="auto"/>
              <w:rPr>
                <w:rFonts w:eastAsia="Times New Roman" w:cs="Arial"/>
                <w:szCs w:val="24"/>
              </w:rPr>
            </w:pPr>
            <w:r w:rsidRPr="00BE4B21">
              <w:rPr>
                <w:rFonts w:cs="Arial"/>
                <w:szCs w:val="20"/>
              </w:rPr>
              <w:t>Фенитоин</w:t>
            </w:r>
          </w:p>
        </w:tc>
        <w:tc>
          <w:tcPr>
            <w:tcW w:w="3192" w:type="dxa"/>
          </w:tcPr>
          <w:p w14:paraId="0FE095D4" w14:textId="5C237A43" w:rsidR="00BE4B21" w:rsidRPr="00BE4B21" w:rsidRDefault="00BE4B21" w:rsidP="00BE4B21">
            <w:pPr>
              <w:spacing w:line="240" w:lineRule="auto"/>
              <w:rPr>
                <w:rFonts w:eastAsia="Times New Roman" w:cs="Arial"/>
                <w:szCs w:val="24"/>
              </w:rPr>
            </w:pPr>
            <w:r w:rsidRPr="00BE4B21">
              <w:rPr>
                <w:rFonts w:cs="Arial"/>
                <w:szCs w:val="20"/>
              </w:rPr>
              <w:t>Включването на фенитоин към терапевтичната схема с клозапин може да причини понижение на плазмените концентрации на клозапин.</w:t>
            </w:r>
          </w:p>
        </w:tc>
        <w:tc>
          <w:tcPr>
            <w:tcW w:w="3192" w:type="dxa"/>
            <w:vAlign w:val="bottom"/>
          </w:tcPr>
          <w:p w14:paraId="35E08F01" w14:textId="581649A9" w:rsidR="00BE4B21" w:rsidRPr="00BE4B21" w:rsidRDefault="00BE4B21" w:rsidP="00BE4B21">
            <w:pPr>
              <w:spacing w:line="240" w:lineRule="auto"/>
              <w:rPr>
                <w:rFonts w:eastAsia="Times New Roman" w:cs="Arial"/>
                <w:szCs w:val="24"/>
              </w:rPr>
            </w:pPr>
            <w:r w:rsidRPr="00BE4B21">
              <w:rPr>
                <w:rFonts w:cs="Arial"/>
                <w:szCs w:val="20"/>
              </w:rPr>
              <w:t>Ако трябва да се използва фенитоин, пациентът трябва внимателно да се проследява за влошаване или възобновяване на психотичните симптоми.</w:t>
            </w:r>
          </w:p>
        </w:tc>
      </w:tr>
      <w:tr w:rsidR="00BE4B21" w14:paraId="6C2C7832" w14:textId="77777777" w:rsidTr="00BE4B21">
        <w:tc>
          <w:tcPr>
            <w:tcW w:w="3192" w:type="dxa"/>
          </w:tcPr>
          <w:p w14:paraId="20FF2E1D" w14:textId="6A14B2C1" w:rsidR="00BE4B21" w:rsidRPr="00BE4B21" w:rsidRDefault="00BE4B21" w:rsidP="00BE4B21">
            <w:pPr>
              <w:spacing w:line="240" w:lineRule="auto"/>
              <w:rPr>
                <w:rFonts w:eastAsia="Times New Roman" w:cs="Arial"/>
                <w:szCs w:val="24"/>
              </w:rPr>
            </w:pPr>
            <w:r w:rsidRPr="00BE4B21">
              <w:rPr>
                <w:rFonts w:cs="Arial"/>
                <w:szCs w:val="20"/>
              </w:rPr>
              <w:t>Литий</w:t>
            </w:r>
          </w:p>
        </w:tc>
        <w:tc>
          <w:tcPr>
            <w:tcW w:w="3192" w:type="dxa"/>
            <w:vAlign w:val="bottom"/>
          </w:tcPr>
          <w:p w14:paraId="7898CEAC" w14:textId="371A9890" w:rsidR="00BE4B21" w:rsidRPr="00BE4B21" w:rsidRDefault="00BE4B21" w:rsidP="00BE4B21">
            <w:pPr>
              <w:spacing w:line="240" w:lineRule="auto"/>
              <w:rPr>
                <w:rFonts w:eastAsia="Times New Roman" w:cs="Arial"/>
                <w:szCs w:val="24"/>
              </w:rPr>
            </w:pPr>
            <w:r w:rsidRPr="00BE4B21">
              <w:rPr>
                <w:rFonts w:cs="Arial"/>
                <w:szCs w:val="20"/>
              </w:rPr>
              <w:t xml:space="preserve">Съвместната употреба може да повиши риска от развитие на невролептичен малигнен синдром </w:t>
            </w:r>
            <w:r w:rsidRPr="00BE4B21">
              <w:rPr>
                <w:rFonts w:cs="Arial"/>
                <w:szCs w:val="20"/>
                <w:lang w:val="ru-RU"/>
              </w:rPr>
              <w:t>(</w:t>
            </w:r>
            <w:r w:rsidRPr="00BE4B21">
              <w:rPr>
                <w:rFonts w:cs="Arial"/>
                <w:szCs w:val="20"/>
                <w:lang w:val="en-US"/>
              </w:rPr>
              <w:t>NMS</w:t>
            </w:r>
            <w:r w:rsidRPr="00BE4B21">
              <w:rPr>
                <w:rFonts w:cs="Arial"/>
                <w:szCs w:val="20"/>
                <w:lang w:val="ru-RU"/>
              </w:rPr>
              <w:t>)</w:t>
            </w:r>
          </w:p>
        </w:tc>
        <w:tc>
          <w:tcPr>
            <w:tcW w:w="3192" w:type="dxa"/>
          </w:tcPr>
          <w:p w14:paraId="193D9FE9" w14:textId="125BAF39" w:rsidR="00BE4B21" w:rsidRPr="00BE4B21" w:rsidRDefault="00BE4B21" w:rsidP="00BE4B21">
            <w:pPr>
              <w:spacing w:line="240" w:lineRule="auto"/>
              <w:rPr>
                <w:rFonts w:eastAsia="Times New Roman" w:cs="Arial"/>
                <w:szCs w:val="24"/>
              </w:rPr>
            </w:pPr>
            <w:r w:rsidRPr="00BE4B21">
              <w:rPr>
                <w:rFonts w:cs="Arial"/>
                <w:szCs w:val="20"/>
              </w:rPr>
              <w:t xml:space="preserve">Да се наблюдава за признаци и симптоми на </w:t>
            </w:r>
            <w:r w:rsidRPr="00BE4B21">
              <w:rPr>
                <w:rFonts w:cs="Arial"/>
                <w:szCs w:val="20"/>
                <w:lang w:val="en-US"/>
              </w:rPr>
              <w:t>NMS</w:t>
            </w:r>
          </w:p>
        </w:tc>
      </w:tr>
      <w:tr w:rsidR="00BE4B21" w14:paraId="3D130EE7" w14:textId="77777777" w:rsidTr="00BE4B21">
        <w:tc>
          <w:tcPr>
            <w:tcW w:w="3192" w:type="dxa"/>
          </w:tcPr>
          <w:p w14:paraId="010C0C1B" w14:textId="625DC831" w:rsidR="00BE4B21" w:rsidRPr="00BE4B21" w:rsidRDefault="00BE4B21" w:rsidP="00BE4B21">
            <w:pPr>
              <w:spacing w:line="240" w:lineRule="auto"/>
              <w:rPr>
                <w:rFonts w:eastAsia="Times New Roman" w:cs="Arial"/>
                <w:szCs w:val="24"/>
              </w:rPr>
            </w:pPr>
            <w:r w:rsidRPr="00BE4B21">
              <w:rPr>
                <w:rFonts w:cs="Arial"/>
                <w:szCs w:val="20"/>
                <w:lang w:val="en-US"/>
              </w:rPr>
              <w:t xml:space="preserve">CYP1A2 </w:t>
            </w:r>
            <w:r w:rsidRPr="00BE4B21">
              <w:rPr>
                <w:rFonts w:cs="Arial"/>
                <w:szCs w:val="20"/>
              </w:rPr>
              <w:t>индуктори (напр. омепразол)</w:t>
            </w:r>
          </w:p>
        </w:tc>
        <w:tc>
          <w:tcPr>
            <w:tcW w:w="3192" w:type="dxa"/>
            <w:vAlign w:val="bottom"/>
          </w:tcPr>
          <w:p w14:paraId="463917B0" w14:textId="42D5D944" w:rsidR="00BE4B21" w:rsidRPr="00BE4B21" w:rsidRDefault="00BE4B21" w:rsidP="00BE4B21">
            <w:pPr>
              <w:spacing w:line="240" w:lineRule="auto"/>
              <w:rPr>
                <w:rFonts w:eastAsia="Times New Roman" w:cs="Arial"/>
                <w:szCs w:val="24"/>
              </w:rPr>
            </w:pPr>
            <w:r w:rsidRPr="00BE4B21">
              <w:rPr>
                <w:rFonts w:cs="Arial"/>
                <w:szCs w:val="20"/>
              </w:rPr>
              <w:t>При едновременно приложение е възможно понижаване нивата на клозапин.</w:t>
            </w:r>
          </w:p>
        </w:tc>
        <w:tc>
          <w:tcPr>
            <w:tcW w:w="3192" w:type="dxa"/>
          </w:tcPr>
          <w:p w14:paraId="174E9767" w14:textId="20FCDAE6" w:rsidR="00BE4B21" w:rsidRPr="00BE4B21" w:rsidRDefault="00BE4B21" w:rsidP="00BE4B21">
            <w:pPr>
              <w:spacing w:line="240" w:lineRule="auto"/>
              <w:rPr>
                <w:rFonts w:eastAsia="Times New Roman" w:cs="Arial"/>
                <w:szCs w:val="24"/>
              </w:rPr>
            </w:pPr>
            <w:r w:rsidRPr="00BE4B21">
              <w:rPr>
                <w:rFonts w:cs="Arial"/>
                <w:szCs w:val="20"/>
              </w:rPr>
              <w:t>Потенциалът за намаляване на ефикасността на клозапин трябва да се има предвид.</w:t>
            </w:r>
          </w:p>
        </w:tc>
      </w:tr>
      <w:tr w:rsidR="00BE4B21" w14:paraId="28BBB27E" w14:textId="77777777" w:rsidTr="00BE4B21">
        <w:tc>
          <w:tcPr>
            <w:tcW w:w="3192" w:type="dxa"/>
          </w:tcPr>
          <w:p w14:paraId="1F2F8E82" w14:textId="1F667130" w:rsidR="00BE4B21" w:rsidRPr="00BE4B21" w:rsidRDefault="00BE4B21" w:rsidP="00BE4B21">
            <w:pPr>
              <w:spacing w:line="240" w:lineRule="auto"/>
              <w:rPr>
                <w:rFonts w:eastAsia="Times New Roman" w:cs="Arial"/>
                <w:szCs w:val="24"/>
              </w:rPr>
            </w:pPr>
            <w:r w:rsidRPr="00BE4B21">
              <w:rPr>
                <w:rFonts w:cs="Arial"/>
                <w:szCs w:val="20"/>
                <w:lang w:val="en-US"/>
              </w:rPr>
              <w:t>CYP</w:t>
            </w:r>
            <w:r w:rsidRPr="00BE4B21">
              <w:rPr>
                <w:rFonts w:cs="Arial"/>
                <w:szCs w:val="20"/>
              </w:rPr>
              <w:t>1</w:t>
            </w:r>
            <w:r w:rsidRPr="00BE4B21">
              <w:rPr>
                <w:rFonts w:cs="Arial"/>
                <w:szCs w:val="20"/>
                <w:lang w:val="en-US"/>
              </w:rPr>
              <w:t>A</w:t>
            </w:r>
            <w:r w:rsidRPr="00BE4B21">
              <w:rPr>
                <w:rFonts w:cs="Arial"/>
                <w:szCs w:val="20"/>
              </w:rPr>
              <w:t>2 инхибитори, напр. флувоксамин, кофеин, ципрофлоксацин, перазин или хормонални контрацептиви (</w:t>
            </w:r>
            <w:r w:rsidRPr="00BE4B21">
              <w:rPr>
                <w:rFonts w:cs="Arial"/>
                <w:szCs w:val="20"/>
                <w:lang w:val="en-US"/>
              </w:rPr>
              <w:t>CYP</w:t>
            </w:r>
            <w:r w:rsidRPr="00BE4B21">
              <w:rPr>
                <w:rFonts w:cs="Arial"/>
                <w:szCs w:val="20"/>
              </w:rPr>
              <w:t>1</w:t>
            </w:r>
            <w:r w:rsidRPr="00BE4B21">
              <w:rPr>
                <w:rFonts w:cs="Arial"/>
                <w:szCs w:val="20"/>
                <w:lang w:val="en-US"/>
              </w:rPr>
              <w:t>A</w:t>
            </w:r>
            <w:r w:rsidRPr="00BE4B21">
              <w:rPr>
                <w:rFonts w:cs="Arial"/>
                <w:szCs w:val="20"/>
              </w:rPr>
              <w:t xml:space="preserve">2, </w:t>
            </w:r>
            <w:r w:rsidRPr="00BE4B21">
              <w:rPr>
                <w:rFonts w:cs="Arial"/>
                <w:szCs w:val="20"/>
                <w:lang w:val="en-US"/>
              </w:rPr>
              <w:t>CYP</w:t>
            </w:r>
            <w:r w:rsidRPr="00BE4B21">
              <w:rPr>
                <w:rFonts w:cs="Arial"/>
                <w:szCs w:val="20"/>
              </w:rPr>
              <w:t>3</w:t>
            </w:r>
            <w:r w:rsidRPr="00BE4B21">
              <w:rPr>
                <w:rFonts w:cs="Arial"/>
                <w:szCs w:val="20"/>
                <w:lang w:val="en-US"/>
              </w:rPr>
              <w:t>A</w:t>
            </w:r>
            <w:r w:rsidRPr="00BE4B21">
              <w:rPr>
                <w:rFonts w:cs="Arial"/>
                <w:szCs w:val="20"/>
              </w:rPr>
              <w:t xml:space="preserve">4, </w:t>
            </w:r>
            <w:r w:rsidRPr="00BE4B21">
              <w:rPr>
                <w:rFonts w:cs="Arial"/>
                <w:szCs w:val="20"/>
                <w:lang w:val="en-US"/>
              </w:rPr>
              <w:t>CYP</w:t>
            </w:r>
            <w:r w:rsidRPr="00BE4B21">
              <w:rPr>
                <w:rFonts w:cs="Arial"/>
                <w:szCs w:val="20"/>
              </w:rPr>
              <w:t>2</w:t>
            </w:r>
            <w:r w:rsidRPr="00BE4B21">
              <w:rPr>
                <w:rFonts w:cs="Arial"/>
                <w:szCs w:val="20"/>
                <w:lang w:val="en-US"/>
              </w:rPr>
              <w:t>C</w:t>
            </w:r>
            <w:r w:rsidRPr="00BE4B21">
              <w:rPr>
                <w:rFonts w:cs="Arial"/>
                <w:szCs w:val="20"/>
              </w:rPr>
              <w:t>19)</w:t>
            </w:r>
          </w:p>
        </w:tc>
        <w:tc>
          <w:tcPr>
            <w:tcW w:w="3192" w:type="dxa"/>
          </w:tcPr>
          <w:p w14:paraId="7E7ADBDA" w14:textId="38110ACA" w:rsidR="00BE4B21" w:rsidRPr="00BE4B21" w:rsidRDefault="00BE4B21" w:rsidP="00BE4B21">
            <w:pPr>
              <w:spacing w:line="240" w:lineRule="auto"/>
              <w:rPr>
                <w:rFonts w:eastAsia="Times New Roman" w:cs="Arial"/>
                <w:szCs w:val="24"/>
              </w:rPr>
            </w:pPr>
            <w:r w:rsidRPr="00BE4B21">
              <w:rPr>
                <w:rFonts w:cs="Arial"/>
                <w:szCs w:val="20"/>
              </w:rPr>
              <w:t>При едновременно приложение е възможно повишаване нивата на клозапин.</w:t>
            </w:r>
          </w:p>
        </w:tc>
        <w:tc>
          <w:tcPr>
            <w:tcW w:w="3192" w:type="dxa"/>
          </w:tcPr>
          <w:p w14:paraId="00D7C4BF" w14:textId="77777777" w:rsidR="00BE4B21" w:rsidRPr="00BE4B21" w:rsidRDefault="00BE4B21" w:rsidP="00BE4B21">
            <w:pPr>
              <w:rPr>
                <w:rFonts w:cs="Arial"/>
              </w:rPr>
            </w:pPr>
            <w:r w:rsidRPr="00BE4B21">
              <w:rPr>
                <w:rFonts w:cs="Arial"/>
                <w:szCs w:val="20"/>
              </w:rPr>
              <w:t xml:space="preserve">Потенциал за повишаване на нежеланите реакции. Също така се изисква внимание при спиране на съвместно прилагания инхибитор на </w:t>
            </w:r>
            <w:r w:rsidRPr="00BE4B21">
              <w:rPr>
                <w:rFonts w:cs="Arial"/>
                <w:szCs w:val="20"/>
                <w:lang w:val="en-US"/>
              </w:rPr>
              <w:t>CYP</w:t>
            </w:r>
            <w:r w:rsidRPr="00BE4B21">
              <w:rPr>
                <w:rFonts w:cs="Arial"/>
                <w:szCs w:val="20"/>
                <w:lang w:val="ru-RU"/>
              </w:rPr>
              <w:t>1</w:t>
            </w:r>
            <w:r w:rsidRPr="00BE4B21">
              <w:rPr>
                <w:rFonts w:cs="Arial"/>
                <w:szCs w:val="20"/>
                <w:lang w:val="en-US"/>
              </w:rPr>
              <w:t>A</w:t>
            </w:r>
            <w:r w:rsidRPr="00BE4B21">
              <w:rPr>
                <w:rFonts w:cs="Arial"/>
                <w:szCs w:val="20"/>
                <w:lang w:val="ru-RU"/>
              </w:rPr>
              <w:t xml:space="preserve">2 </w:t>
            </w:r>
            <w:r w:rsidRPr="00BE4B21">
              <w:rPr>
                <w:rFonts w:cs="Arial"/>
                <w:szCs w:val="20"/>
              </w:rPr>
              <w:t xml:space="preserve">или </w:t>
            </w:r>
            <w:r w:rsidRPr="00BE4B21">
              <w:rPr>
                <w:rFonts w:cs="Arial"/>
                <w:szCs w:val="20"/>
                <w:lang w:val="en-US"/>
              </w:rPr>
              <w:t>CYP</w:t>
            </w:r>
            <w:r w:rsidRPr="00BE4B21">
              <w:rPr>
                <w:rFonts w:cs="Arial"/>
                <w:szCs w:val="20"/>
                <w:lang w:val="ru-RU"/>
              </w:rPr>
              <w:t>3</w:t>
            </w:r>
            <w:r w:rsidRPr="00BE4B21">
              <w:rPr>
                <w:rFonts w:cs="Arial"/>
                <w:szCs w:val="20"/>
                <w:lang w:val="en-US"/>
              </w:rPr>
              <w:t>A</w:t>
            </w:r>
            <w:r w:rsidRPr="00BE4B21">
              <w:rPr>
                <w:rFonts w:cs="Arial"/>
                <w:szCs w:val="20"/>
                <w:lang w:val="ru-RU"/>
              </w:rPr>
              <w:t xml:space="preserve">4, </w:t>
            </w:r>
            <w:r w:rsidRPr="00BE4B21">
              <w:rPr>
                <w:rFonts w:cs="Arial"/>
                <w:szCs w:val="20"/>
              </w:rPr>
              <w:t xml:space="preserve">тъй като може да </w:t>
            </w:r>
            <w:r w:rsidRPr="00BE4B21">
              <w:rPr>
                <w:rFonts w:cs="Arial"/>
                <w:szCs w:val="20"/>
              </w:rPr>
              <w:lastRenderedPageBreak/>
              <w:t>има спад в нивата на клозапин.</w:t>
            </w:r>
          </w:p>
          <w:p w14:paraId="4A51371A" w14:textId="70A3934C" w:rsidR="00BE4B21" w:rsidRPr="00BE4B21" w:rsidRDefault="00BE4B21" w:rsidP="00BE4B21">
            <w:pPr>
              <w:spacing w:line="240" w:lineRule="auto"/>
              <w:rPr>
                <w:rFonts w:eastAsia="Times New Roman" w:cs="Arial"/>
                <w:szCs w:val="24"/>
              </w:rPr>
            </w:pPr>
            <w:r w:rsidRPr="00BE4B21">
              <w:rPr>
                <w:rFonts w:cs="Arial"/>
                <w:szCs w:val="20"/>
              </w:rPr>
              <w:t xml:space="preserve">Ефектът на инхибиране на </w:t>
            </w:r>
            <w:r w:rsidRPr="00BE4B21">
              <w:rPr>
                <w:rFonts w:cs="Arial"/>
                <w:szCs w:val="20"/>
                <w:lang w:val="en-US"/>
              </w:rPr>
              <w:t>CYP</w:t>
            </w:r>
            <w:r w:rsidRPr="00BE4B21">
              <w:rPr>
                <w:rFonts w:cs="Arial"/>
                <w:szCs w:val="20"/>
                <w:lang w:val="ru-RU"/>
              </w:rPr>
              <w:t>2</w:t>
            </w:r>
            <w:r w:rsidRPr="00BE4B21">
              <w:rPr>
                <w:rFonts w:cs="Arial"/>
                <w:szCs w:val="20"/>
                <w:lang w:val="en-US"/>
              </w:rPr>
              <w:t>C</w:t>
            </w:r>
            <w:r w:rsidRPr="00BE4B21">
              <w:rPr>
                <w:rFonts w:cs="Arial"/>
                <w:szCs w:val="20"/>
                <w:lang w:val="ru-RU"/>
              </w:rPr>
              <w:t xml:space="preserve">19 </w:t>
            </w:r>
            <w:r w:rsidRPr="00BE4B21">
              <w:rPr>
                <w:rFonts w:cs="Arial"/>
                <w:szCs w:val="20"/>
              </w:rPr>
              <w:t>може да бъде минимален.</w:t>
            </w:r>
          </w:p>
        </w:tc>
      </w:tr>
    </w:tbl>
    <w:p w14:paraId="33825EB2" w14:textId="7137BD5F" w:rsidR="00BE4B21" w:rsidRPr="00BE4B21" w:rsidRDefault="00BE4B21" w:rsidP="00BE4B21"/>
    <w:p w14:paraId="5D9F40EA" w14:textId="0268CC2B" w:rsidR="007122AD" w:rsidRDefault="002C50EE" w:rsidP="00936AD0">
      <w:pPr>
        <w:pStyle w:val="Heading2"/>
      </w:pPr>
      <w:r>
        <w:t>4.6. Фертилитет, бременност и кърмене</w:t>
      </w:r>
    </w:p>
    <w:p w14:paraId="096D3B68" w14:textId="3E8CB796" w:rsidR="00BE4B21" w:rsidRDefault="00BE4B21" w:rsidP="00BE4B21"/>
    <w:p w14:paraId="0E9C941A" w14:textId="77777777" w:rsidR="00BE4B21" w:rsidRPr="00BE4B21" w:rsidRDefault="00BE4B21" w:rsidP="00BE4B21">
      <w:pPr>
        <w:pStyle w:val="Heading3"/>
        <w:rPr>
          <w:u w:val="single"/>
        </w:rPr>
      </w:pPr>
      <w:r w:rsidRPr="00BE4B21">
        <w:rPr>
          <w:u w:val="single"/>
        </w:rPr>
        <w:t>Бременност</w:t>
      </w:r>
    </w:p>
    <w:p w14:paraId="0F711BC3" w14:textId="611C1D4A" w:rsidR="00BE4B21" w:rsidRPr="00BE4B21" w:rsidRDefault="00BE4B21" w:rsidP="00BE4B21">
      <w:pPr>
        <w:rPr>
          <w:rFonts w:cs="Arial"/>
          <w:szCs w:val="20"/>
          <w:u w:val="single"/>
        </w:rPr>
      </w:pPr>
      <w:r w:rsidRPr="00BE4B21">
        <w:rPr>
          <w:rFonts w:eastAsia="Times New Roman" w:cs="Arial"/>
          <w:color w:val="000000"/>
          <w:szCs w:val="20"/>
          <w:lang w:eastAsia="bg-BG"/>
        </w:rPr>
        <w:t>Има ограничени клинични данни от употребата на клозапин при бременни жени. Изпитванията при животни не показват преки или непреки вредни ефекти по отношение бременността, ембрионалното/феталното развитие, раждането или постнаталното развитие (вж. точка 5.3). Необходимо е повишено внимание при предписване на бременни жени.</w:t>
      </w:r>
    </w:p>
    <w:p w14:paraId="63664DA4" w14:textId="77777777" w:rsidR="00BE4B21" w:rsidRPr="00BE4B21" w:rsidRDefault="00BE4B21" w:rsidP="00BE4B21">
      <w:pPr>
        <w:spacing w:line="240" w:lineRule="auto"/>
        <w:rPr>
          <w:rFonts w:eastAsia="Times New Roman" w:cs="Arial"/>
          <w:color w:val="000000"/>
          <w:szCs w:val="20"/>
          <w:lang w:eastAsia="bg-BG"/>
        </w:rPr>
      </w:pPr>
    </w:p>
    <w:p w14:paraId="0142C523" w14:textId="27EA525C"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новородени, които са били изложени на действието на антипсихотични лекарства (включително клозапин) по време на третия триместьр от бременността на майката, съществува риск от екстрапирамидни симптоми и/или симптоми на отнемане след раждане, които могат да варират по тежест и продължителност. Има съобщения за възбуда, хипертония, хипотония, тремор, сънливост, дихателни проблеми или нарушение на храненето. Тези новородени трябва да се наблюдават внимателно.</w:t>
      </w:r>
    </w:p>
    <w:p w14:paraId="0BD53F9F" w14:textId="77777777" w:rsidR="00BE4B21" w:rsidRPr="00BE4B21" w:rsidRDefault="00BE4B21" w:rsidP="00BE4B21">
      <w:pPr>
        <w:spacing w:line="240" w:lineRule="auto"/>
        <w:rPr>
          <w:rFonts w:eastAsia="Times New Roman" w:cs="Arial"/>
          <w:color w:val="000000"/>
          <w:szCs w:val="20"/>
          <w:u w:val="single"/>
          <w:lang w:eastAsia="bg-BG"/>
        </w:rPr>
      </w:pPr>
    </w:p>
    <w:p w14:paraId="79917327" w14:textId="66BD6B96" w:rsidR="00BE4B21" w:rsidRPr="00BE4B21" w:rsidRDefault="00BE4B21" w:rsidP="00BE4B21">
      <w:pPr>
        <w:pStyle w:val="Heading3"/>
        <w:rPr>
          <w:rFonts w:eastAsia="Times New Roman"/>
          <w:sz w:val="28"/>
          <w:u w:val="single"/>
        </w:rPr>
      </w:pPr>
      <w:r w:rsidRPr="00BE4B21">
        <w:rPr>
          <w:rFonts w:eastAsia="Times New Roman"/>
          <w:u w:val="single"/>
          <w:lang w:eastAsia="bg-BG"/>
        </w:rPr>
        <w:t>Кърмене</w:t>
      </w:r>
    </w:p>
    <w:p w14:paraId="5BFB9C26"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Изпитванията при животни предполагат, че клозапин се екскретира в кърмата и оказва влияние върху кърмачето. Затова майките, получаващи клозапин, не трябва да кърмят.</w:t>
      </w:r>
    </w:p>
    <w:p w14:paraId="21A671AF" w14:textId="77777777" w:rsidR="00BE4B21" w:rsidRPr="00BE4B21" w:rsidRDefault="00BE4B21" w:rsidP="00BE4B21">
      <w:pPr>
        <w:spacing w:line="240" w:lineRule="auto"/>
        <w:rPr>
          <w:rFonts w:eastAsia="Times New Roman" w:cs="Arial"/>
          <w:color w:val="000000"/>
          <w:szCs w:val="20"/>
          <w:u w:val="single"/>
          <w:lang w:eastAsia="bg-BG"/>
        </w:rPr>
      </w:pPr>
    </w:p>
    <w:p w14:paraId="5EA24248" w14:textId="0EF68058" w:rsidR="00BE4B21" w:rsidRPr="00BE4B21" w:rsidRDefault="00BE4B21" w:rsidP="00BE4B21">
      <w:pPr>
        <w:pStyle w:val="Heading3"/>
        <w:rPr>
          <w:rFonts w:eastAsia="Times New Roman"/>
          <w:sz w:val="28"/>
          <w:u w:val="single"/>
        </w:rPr>
      </w:pPr>
      <w:r w:rsidRPr="00BE4B21">
        <w:rPr>
          <w:rFonts w:eastAsia="Times New Roman"/>
          <w:u w:val="single"/>
          <w:lang w:eastAsia="bg-BG"/>
        </w:rPr>
        <w:t>Фертилитет</w:t>
      </w:r>
    </w:p>
    <w:p w14:paraId="11D5B441"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От ограничени данни за ефектите на клозапин върху фертилитета при хора не може да се направят окончателни заключения. При мъжки и женски плъхове, клозапин не повлиява фертилитета, когато се прилага до 40 </w:t>
      </w:r>
      <w:r w:rsidRPr="00BE4B21">
        <w:rPr>
          <w:rFonts w:eastAsia="Times New Roman" w:cs="Arial"/>
          <w:color w:val="000000"/>
          <w:szCs w:val="20"/>
          <w:lang w:val="en-US"/>
        </w:rPr>
        <w:t>mg</w:t>
      </w:r>
      <w:r w:rsidRPr="00BE4B21">
        <w:rPr>
          <w:rFonts w:eastAsia="Times New Roman" w:cs="Arial"/>
          <w:color w:val="000000"/>
          <w:szCs w:val="20"/>
          <w:lang w:val="ru-RU"/>
        </w:rPr>
        <w:t>/</w:t>
      </w:r>
      <w:r w:rsidRPr="00BE4B21">
        <w:rPr>
          <w:rFonts w:eastAsia="Times New Roman" w:cs="Arial"/>
          <w:color w:val="000000"/>
          <w:szCs w:val="20"/>
          <w:lang w:val="en-US"/>
        </w:rPr>
        <w:t>kg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съответстващи на човешка еквивалентна доза от 6,4 </w:t>
      </w:r>
      <w:r w:rsidRPr="00BE4B21">
        <w:rPr>
          <w:rFonts w:eastAsia="Times New Roman" w:cs="Arial"/>
          <w:color w:val="000000"/>
          <w:szCs w:val="20"/>
          <w:lang w:val="en-US"/>
        </w:rPr>
        <w:t>mg</w:t>
      </w:r>
      <w:r w:rsidRPr="00BE4B21">
        <w:rPr>
          <w:rFonts w:eastAsia="Times New Roman" w:cs="Arial"/>
          <w:color w:val="000000"/>
          <w:szCs w:val="20"/>
          <w:lang w:val="ru-RU"/>
        </w:rPr>
        <w:t>/</w:t>
      </w:r>
      <w:r w:rsidRPr="00BE4B21">
        <w:rPr>
          <w:rFonts w:eastAsia="Times New Roman" w:cs="Arial"/>
          <w:color w:val="000000"/>
          <w:szCs w:val="20"/>
          <w:lang w:val="en-US"/>
        </w:rPr>
        <w:t>kg</w:t>
      </w:r>
      <w:r w:rsidRPr="00BE4B21">
        <w:rPr>
          <w:rFonts w:eastAsia="Times New Roman" w:cs="Arial"/>
          <w:color w:val="000000"/>
          <w:szCs w:val="20"/>
          <w:lang w:val="ru-RU"/>
        </w:rPr>
        <w:t xml:space="preserve"> </w:t>
      </w:r>
      <w:r w:rsidRPr="00BE4B21">
        <w:rPr>
          <w:rFonts w:eastAsia="Times New Roman" w:cs="Arial"/>
          <w:color w:val="000000"/>
          <w:szCs w:val="20"/>
          <w:lang w:eastAsia="bg-BG"/>
        </w:rPr>
        <w:t>или приблизително една трета от максимално допустимата доза за възрастен човек.</w:t>
      </w:r>
    </w:p>
    <w:p w14:paraId="5D34629B" w14:textId="77777777" w:rsidR="00BE4B21" w:rsidRPr="00BE4B21" w:rsidRDefault="00BE4B21" w:rsidP="00BE4B21">
      <w:pPr>
        <w:spacing w:line="240" w:lineRule="auto"/>
        <w:rPr>
          <w:rFonts w:eastAsia="Times New Roman" w:cs="Arial"/>
          <w:color w:val="000000"/>
          <w:szCs w:val="20"/>
          <w:u w:val="single"/>
          <w:lang w:eastAsia="bg-BG"/>
        </w:rPr>
      </w:pPr>
    </w:p>
    <w:p w14:paraId="4E70CAE6" w14:textId="0964058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Жени с детероден потенциал</w:t>
      </w:r>
    </w:p>
    <w:p w14:paraId="5824B69D"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Възможно е възвръщане на редовната менструация в резултат на преминаване от лечение с други антипсихотици към клозапин. Затова трябва да се осигурят адекватни мерки за контрацепция при жени в детеродна възраст.</w:t>
      </w:r>
    </w:p>
    <w:p w14:paraId="4B243C42" w14:textId="77777777" w:rsidR="00BE4B21" w:rsidRPr="00BE4B21" w:rsidRDefault="00BE4B21" w:rsidP="00BE4B21"/>
    <w:p w14:paraId="5DD7A76D" w14:textId="7ACF65C4" w:rsidR="007122AD" w:rsidRDefault="002C50EE" w:rsidP="00936AD0">
      <w:pPr>
        <w:pStyle w:val="Heading2"/>
      </w:pPr>
      <w:r>
        <w:t>4.7. Ефекти върху способността за шофиране и работа с машини</w:t>
      </w:r>
    </w:p>
    <w:p w14:paraId="017FFBBB" w14:textId="25E8DB39" w:rsidR="00BE4B21" w:rsidRDefault="00BE4B21" w:rsidP="00BE4B21"/>
    <w:p w14:paraId="54A381BD" w14:textId="77777777" w:rsidR="00BE4B21" w:rsidRPr="00BE4B21" w:rsidRDefault="00BE4B21" w:rsidP="00BE4B21">
      <w:pPr>
        <w:rPr>
          <w:sz w:val="24"/>
          <w:szCs w:val="24"/>
        </w:rPr>
      </w:pPr>
      <w:r w:rsidRPr="00BE4B21">
        <w:rPr>
          <w:lang w:eastAsia="bg-BG"/>
        </w:rPr>
        <w:t>Благодарение на способността на клозапин да предизвиква седиране и да понижава гърчовия праг, дейности като шофиране и работа с машини трябва да се избягват, особено в началните седмици от лечението.</w:t>
      </w:r>
    </w:p>
    <w:p w14:paraId="712EEC94" w14:textId="77777777" w:rsidR="00BE4B21" w:rsidRPr="00BE4B21" w:rsidRDefault="00BE4B21" w:rsidP="00BE4B21"/>
    <w:p w14:paraId="44CE30A3" w14:textId="4CE0BE18" w:rsidR="007122AD" w:rsidRDefault="002C50EE" w:rsidP="00936AD0">
      <w:pPr>
        <w:pStyle w:val="Heading2"/>
      </w:pPr>
      <w:r>
        <w:t>4.8. Нежелани лекарствени реакции</w:t>
      </w:r>
    </w:p>
    <w:p w14:paraId="64E98751" w14:textId="6DF91E24" w:rsidR="00BE4B21" w:rsidRDefault="00BE4B21" w:rsidP="00BE4B21"/>
    <w:p w14:paraId="5E566CBC" w14:textId="77777777" w:rsidR="00BE4B21" w:rsidRPr="00BE4B21" w:rsidRDefault="00BE4B21" w:rsidP="00BE4B21">
      <w:pPr>
        <w:rPr>
          <w:rFonts w:cs="Arial"/>
          <w:sz w:val="24"/>
        </w:rPr>
      </w:pPr>
      <w:r w:rsidRPr="00BE4B21">
        <w:rPr>
          <w:rFonts w:cs="Arial"/>
          <w:szCs w:val="20"/>
          <w:u w:val="single"/>
        </w:rPr>
        <w:t>Обобщение на профила на безопасност</w:t>
      </w:r>
    </w:p>
    <w:p w14:paraId="34964822" w14:textId="77777777" w:rsidR="00BE4B21" w:rsidRPr="00BE4B21" w:rsidRDefault="00BE4B21" w:rsidP="00BE4B21">
      <w:pPr>
        <w:rPr>
          <w:rFonts w:cs="Arial"/>
          <w:sz w:val="24"/>
        </w:rPr>
      </w:pPr>
      <w:r w:rsidRPr="00BE4B21">
        <w:rPr>
          <w:rFonts w:cs="Arial"/>
          <w:szCs w:val="20"/>
        </w:rPr>
        <w:lastRenderedPageBreak/>
        <w:t xml:space="preserve">В по-голямата си част профилът на нежеланите реакции на клозапин е предсказуем, като се изхожда от фармакологичните му свойства. Важно изключение е тенденцията да предизвиква агранулоцитоза. (вж. точка 4.4). Поради този риск, употребата му се ограничава до случаи на резистентна на лечение шизофрения, и (за таблетките от 25 </w:t>
      </w:r>
      <w:r w:rsidRPr="00BE4B21">
        <w:rPr>
          <w:rFonts w:cs="Arial"/>
          <w:szCs w:val="20"/>
          <w:lang w:val="en-US"/>
        </w:rPr>
        <w:t>mg</w:t>
      </w:r>
      <w:r w:rsidRPr="00BE4B21">
        <w:rPr>
          <w:rFonts w:cs="Arial"/>
          <w:szCs w:val="20"/>
          <w:lang w:val="ru-RU"/>
        </w:rPr>
        <w:t xml:space="preserve"> </w:t>
      </w:r>
      <w:r w:rsidRPr="00BE4B21">
        <w:rPr>
          <w:rFonts w:cs="Arial"/>
          <w:szCs w:val="20"/>
        </w:rPr>
        <w:t xml:space="preserve">и 100 </w:t>
      </w:r>
      <w:r w:rsidRPr="00BE4B21">
        <w:rPr>
          <w:rFonts w:cs="Arial"/>
          <w:szCs w:val="20"/>
          <w:lang w:val="en-US"/>
        </w:rPr>
        <w:t>mg</w:t>
      </w:r>
      <w:r w:rsidRPr="00BE4B21">
        <w:rPr>
          <w:rFonts w:cs="Arial"/>
          <w:szCs w:val="20"/>
          <w:lang w:val="ru-RU"/>
        </w:rPr>
        <w:t xml:space="preserve">) </w:t>
      </w:r>
      <w:r w:rsidRPr="00BE4B21">
        <w:rPr>
          <w:rFonts w:cs="Arial"/>
          <w:szCs w:val="20"/>
        </w:rPr>
        <w:t>психоза, възникваща в хода на болестта на Паркинсон, когато стандартното лечение е неуспешно. Макар и мониторирането на кръвните показатели да е основна част от грижите за пациентите приемащи клозапин, лекарят трябва да бъде информиран за останалите редки, но тежки нежелани реакции, които могат да се диагностицират в ранните етапи единствено чрез внимателно наблюдение и разпитване на пациента, за да се предотвратят морбидността и смъртността.</w:t>
      </w:r>
    </w:p>
    <w:p w14:paraId="1AE9D9E5" w14:textId="77777777" w:rsidR="00BE4B21" w:rsidRPr="00BE4B21" w:rsidRDefault="00BE4B21" w:rsidP="00BE4B21">
      <w:pPr>
        <w:rPr>
          <w:rFonts w:cs="Arial"/>
          <w:szCs w:val="20"/>
        </w:rPr>
      </w:pPr>
    </w:p>
    <w:p w14:paraId="045A000B" w14:textId="5BC7CBFF" w:rsidR="00BE4B21" w:rsidRPr="00BE4B21" w:rsidRDefault="00BE4B21" w:rsidP="00BE4B21">
      <w:pPr>
        <w:rPr>
          <w:rFonts w:cs="Arial"/>
          <w:sz w:val="24"/>
        </w:rPr>
      </w:pPr>
      <w:r w:rsidRPr="00BE4B21">
        <w:rPr>
          <w:rFonts w:cs="Arial"/>
          <w:szCs w:val="20"/>
        </w:rPr>
        <w:t>Най-сериозните нежелани реакции при клозапин са агранулоцитоза, гърчове, сърдечно-съдови ефекти и повишена температура (вж. точка 4.4). Най-честите странични ефекти са сънливост/седация, замаяност, тахикардия, констипация и хиперсаливация.</w:t>
      </w:r>
    </w:p>
    <w:p w14:paraId="33BFAFCB" w14:textId="77777777" w:rsidR="00BE4B21" w:rsidRPr="00BE4B21" w:rsidRDefault="00BE4B21" w:rsidP="00BE4B21">
      <w:pPr>
        <w:rPr>
          <w:rFonts w:cs="Arial"/>
          <w:szCs w:val="20"/>
        </w:rPr>
      </w:pPr>
    </w:p>
    <w:p w14:paraId="0906449E" w14:textId="4AA0F4F2" w:rsidR="00BE4B21" w:rsidRPr="00BE4B21" w:rsidRDefault="00BE4B21" w:rsidP="00BE4B21">
      <w:pPr>
        <w:rPr>
          <w:rFonts w:cs="Arial"/>
          <w:szCs w:val="20"/>
          <w:lang w:val="ru-RU"/>
        </w:rPr>
      </w:pPr>
      <w:r w:rsidRPr="00BE4B21">
        <w:rPr>
          <w:rFonts w:cs="Arial"/>
          <w:szCs w:val="20"/>
        </w:rPr>
        <w:t>Данните от клиничните изпитвания показват вариращ процент пациенти лекувани с клозапин (от 7,1 до 15,6 %), които са участие в изпитването поради нежелано събитие, като са включени само тези събития, които логично могат да се свържат с клозапин. По-честите събития смятани за причина за прекъсване на участието в изпитванията са били</w:t>
      </w:r>
      <w:r w:rsidRPr="00BE4B21">
        <w:rPr>
          <w:rFonts w:cs="Arial"/>
          <w:szCs w:val="20"/>
          <w:lang w:val="ru-RU"/>
        </w:rPr>
        <w:t>.</w:t>
      </w:r>
    </w:p>
    <w:p w14:paraId="1BE1C0A2" w14:textId="3EA7BCBA" w:rsidR="00BE4B21" w:rsidRPr="00BE4B21" w:rsidRDefault="00BE4B21" w:rsidP="00BE4B21">
      <w:pPr>
        <w:rPr>
          <w:rFonts w:cs="Arial"/>
          <w:szCs w:val="20"/>
          <w:lang w:val="ru-RU"/>
        </w:rPr>
      </w:pPr>
    </w:p>
    <w:p w14:paraId="52B4ECD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Нарушения на кръвната и лимфната система</w:t>
      </w:r>
    </w:p>
    <w:p w14:paraId="01EFF82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Гранулоцитопенията и агранулоцитоза са риск, присъщ на лечението с клозапин. Въпреки че обикновено агранулоцитозата е обратима при спиране на лечението, тя може да доведе до сепсис и да се окаже фатална. Тъй като се налага незабавно спиране на лекарството, за да се предотврати развитието на животозастрашаваща агранулоцитоза, проследяването на броя на левкоцитите е задължително (вж. точка 4.4). В таблица 3 по-долу е обобщена определената честота на агранулоцитозата за всеки период от лечението с клозапин.</w:t>
      </w:r>
    </w:p>
    <w:p w14:paraId="5CF7C0B1" w14:textId="77777777" w:rsidR="00BE4B21" w:rsidRPr="00BE4B21" w:rsidRDefault="00BE4B21" w:rsidP="00BE4B21">
      <w:pPr>
        <w:spacing w:line="240" w:lineRule="auto"/>
        <w:rPr>
          <w:rFonts w:eastAsia="Times New Roman" w:cs="Arial"/>
          <w:b/>
          <w:bCs/>
          <w:color w:val="000000"/>
          <w:szCs w:val="20"/>
          <w:u w:val="single"/>
          <w:lang w:eastAsia="bg-BG"/>
        </w:rPr>
      </w:pPr>
    </w:p>
    <w:p w14:paraId="6E100BDE" w14:textId="2399C3C2" w:rsidR="00BE4B21" w:rsidRPr="00BE4B21" w:rsidRDefault="00BE4B21" w:rsidP="00BE4B21">
      <w:pPr>
        <w:spacing w:line="240" w:lineRule="auto"/>
        <w:rPr>
          <w:rFonts w:ascii="Times New Roman" w:eastAsia="Times New Roman" w:hAnsi="Times New Roman" w:cs="Times New Roman"/>
          <w:b/>
          <w:bCs/>
          <w:color w:val="000000"/>
          <w:sz w:val="20"/>
          <w:szCs w:val="20"/>
          <w:u w:val="single"/>
          <w:lang w:eastAsia="bg-BG"/>
        </w:rPr>
      </w:pPr>
      <w:r w:rsidRPr="00BE4B21">
        <w:rPr>
          <w:rFonts w:eastAsia="Times New Roman" w:cs="Arial"/>
          <w:b/>
          <w:bCs/>
          <w:color w:val="000000"/>
          <w:szCs w:val="20"/>
          <w:u w:val="single"/>
          <w:lang w:eastAsia="bg-BG"/>
        </w:rPr>
        <w:t xml:space="preserve">Таблица 3: </w:t>
      </w:r>
      <w:r w:rsidRPr="00BE4B21">
        <w:rPr>
          <w:rFonts w:eastAsia="Times New Roman" w:cs="Arial"/>
          <w:color w:val="000000"/>
          <w:szCs w:val="20"/>
          <w:u w:val="single"/>
          <w:lang w:eastAsia="bg-BG"/>
        </w:rPr>
        <w:t>Определена</w:t>
      </w:r>
      <w:r w:rsidRPr="00BE4B21">
        <w:rPr>
          <w:rFonts w:eastAsia="Times New Roman" w:cs="Arial"/>
          <w:color w:val="000000"/>
          <w:szCs w:val="20"/>
          <w:lang w:eastAsia="bg-BG"/>
        </w:rPr>
        <w:t xml:space="preserve"> честота на агранулоцитозата</w:t>
      </w:r>
      <w:r w:rsidRPr="00BE4B21">
        <w:rPr>
          <w:rFonts w:eastAsia="Times New Roman" w:cs="Arial"/>
          <w:color w:val="000000"/>
          <w:szCs w:val="20"/>
          <w:vertAlign w:val="superscript"/>
          <w:lang w:eastAsia="bg-BG"/>
        </w:rPr>
        <w:t>1</w:t>
      </w:r>
    </w:p>
    <w:tbl>
      <w:tblPr>
        <w:tblStyle w:val="TableGrid"/>
        <w:tblW w:w="0" w:type="auto"/>
        <w:tblLook w:val="04A0" w:firstRow="1" w:lastRow="0" w:firstColumn="1" w:lastColumn="0" w:noHBand="0" w:noVBand="1"/>
      </w:tblPr>
      <w:tblGrid>
        <w:gridCol w:w="4656"/>
        <w:gridCol w:w="4694"/>
      </w:tblGrid>
      <w:tr w:rsidR="00BE4B21" w14:paraId="61DED874" w14:textId="77777777" w:rsidTr="00BE4B21">
        <w:tc>
          <w:tcPr>
            <w:tcW w:w="4788" w:type="dxa"/>
          </w:tcPr>
          <w:p w14:paraId="3B1EC435" w14:textId="5A3547FE" w:rsidR="00BE4B21" w:rsidRPr="00BE4B21" w:rsidRDefault="00BE4B21" w:rsidP="00BE4B21">
            <w:r w:rsidRPr="00BE4B21">
              <w:rPr>
                <w:b/>
                <w:bCs/>
                <w:szCs w:val="20"/>
              </w:rPr>
              <w:t>Лечебен период</w:t>
            </w:r>
          </w:p>
        </w:tc>
        <w:tc>
          <w:tcPr>
            <w:tcW w:w="4788" w:type="dxa"/>
          </w:tcPr>
          <w:p w14:paraId="2659E625" w14:textId="4917C60C" w:rsidR="00BE4B21" w:rsidRPr="00BE4B21" w:rsidRDefault="00BE4B21" w:rsidP="00BE4B21">
            <w:r w:rsidRPr="00BE4B21">
              <w:rPr>
                <w:b/>
                <w:bCs/>
                <w:szCs w:val="20"/>
              </w:rPr>
              <w:t>Честота на агранулоцитозата на 100 000 пациенто-седмици</w:t>
            </w:r>
            <w:r w:rsidRPr="00BE4B21">
              <w:rPr>
                <w:b/>
                <w:bCs/>
                <w:szCs w:val="20"/>
                <w:vertAlign w:val="superscript"/>
              </w:rPr>
              <w:t>2</w:t>
            </w:r>
            <w:r w:rsidRPr="00BE4B21">
              <w:rPr>
                <w:b/>
                <w:bCs/>
                <w:szCs w:val="20"/>
              </w:rPr>
              <w:t xml:space="preserve"> на наблюдение</w:t>
            </w:r>
          </w:p>
        </w:tc>
      </w:tr>
      <w:tr w:rsidR="00BE4B21" w14:paraId="3538136B" w14:textId="77777777" w:rsidTr="00BE4B21">
        <w:tc>
          <w:tcPr>
            <w:tcW w:w="4788" w:type="dxa"/>
          </w:tcPr>
          <w:p w14:paraId="3D22D121" w14:textId="30158DFB" w:rsidR="00BE4B21" w:rsidRPr="00BE4B21" w:rsidRDefault="00BE4B21" w:rsidP="00BE4B21">
            <w:r w:rsidRPr="00BE4B21">
              <w:rPr>
                <w:szCs w:val="20"/>
              </w:rPr>
              <w:t>Седмици 0-18</w:t>
            </w:r>
          </w:p>
        </w:tc>
        <w:tc>
          <w:tcPr>
            <w:tcW w:w="4788" w:type="dxa"/>
          </w:tcPr>
          <w:p w14:paraId="7BBDA38B" w14:textId="45F4A4EF" w:rsidR="00BE4B21" w:rsidRPr="00BE4B21" w:rsidRDefault="00BE4B21" w:rsidP="00BE4B21">
            <w:r w:rsidRPr="00BE4B21">
              <w:rPr>
                <w:szCs w:val="20"/>
              </w:rPr>
              <w:t>32,0</w:t>
            </w:r>
          </w:p>
        </w:tc>
      </w:tr>
      <w:tr w:rsidR="00BE4B21" w14:paraId="623366C3" w14:textId="77777777" w:rsidTr="00BE4B21">
        <w:tc>
          <w:tcPr>
            <w:tcW w:w="4788" w:type="dxa"/>
          </w:tcPr>
          <w:p w14:paraId="434DB687" w14:textId="55683AFE" w:rsidR="00BE4B21" w:rsidRPr="00BE4B21" w:rsidRDefault="00BE4B21" w:rsidP="00BE4B21">
            <w:r w:rsidRPr="00BE4B21">
              <w:rPr>
                <w:szCs w:val="20"/>
              </w:rPr>
              <w:t>Седмици 19-52</w:t>
            </w:r>
          </w:p>
        </w:tc>
        <w:tc>
          <w:tcPr>
            <w:tcW w:w="4788" w:type="dxa"/>
          </w:tcPr>
          <w:p w14:paraId="17603DE6" w14:textId="1AABF7C5" w:rsidR="00BE4B21" w:rsidRPr="00BE4B21" w:rsidRDefault="00BE4B21" w:rsidP="00BE4B21">
            <w:r w:rsidRPr="00BE4B21">
              <w:rPr>
                <w:szCs w:val="20"/>
              </w:rPr>
              <w:t>2,3</w:t>
            </w:r>
          </w:p>
        </w:tc>
      </w:tr>
      <w:tr w:rsidR="00BE4B21" w14:paraId="35F27273" w14:textId="77777777" w:rsidTr="00BE4B21">
        <w:tc>
          <w:tcPr>
            <w:tcW w:w="4788" w:type="dxa"/>
          </w:tcPr>
          <w:p w14:paraId="68FA283F" w14:textId="524CFDB5" w:rsidR="00BE4B21" w:rsidRPr="00BE4B21" w:rsidRDefault="00BE4B21" w:rsidP="00BE4B21">
            <w:r w:rsidRPr="00BE4B21">
              <w:rPr>
                <w:szCs w:val="20"/>
              </w:rPr>
              <w:t>Седмици 53 и повече</w:t>
            </w:r>
          </w:p>
        </w:tc>
        <w:tc>
          <w:tcPr>
            <w:tcW w:w="4788" w:type="dxa"/>
          </w:tcPr>
          <w:p w14:paraId="5FE6D7D2" w14:textId="6EADEAFB" w:rsidR="00BE4B21" w:rsidRPr="00BE4B21" w:rsidRDefault="00BE4B21" w:rsidP="00BE4B21">
            <w:r w:rsidRPr="00BE4B21">
              <w:rPr>
                <w:szCs w:val="20"/>
              </w:rPr>
              <w:t>1,8</w:t>
            </w:r>
          </w:p>
        </w:tc>
      </w:tr>
    </w:tbl>
    <w:p w14:paraId="4BE9BF87" w14:textId="4364850C"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vertAlign w:val="superscript"/>
          <w:lang w:val="ru-RU" w:eastAsia="bg-BG"/>
        </w:rPr>
        <w:t>1</w:t>
      </w:r>
      <w:r w:rsidRPr="00074730">
        <w:rPr>
          <w:rFonts w:eastAsia="Times New Roman" w:cs="Arial"/>
          <w:color w:val="000000"/>
          <w:lang w:eastAsia="bg-BG"/>
        </w:rPr>
        <w:t xml:space="preserve">По данни от регистъра на преживяемостта на Британската службата за мониториране на пациенти, лекувани с клозапин </w:t>
      </w:r>
      <w:r w:rsidRPr="00074730">
        <w:rPr>
          <w:rFonts w:eastAsia="Times New Roman" w:cs="Arial"/>
          <w:color w:val="000000"/>
          <w:lang w:val="ru-RU"/>
        </w:rPr>
        <w:t>(</w:t>
      </w:r>
      <w:r w:rsidRPr="00074730">
        <w:rPr>
          <w:rFonts w:eastAsia="Times New Roman" w:cs="Arial"/>
          <w:color w:val="000000"/>
          <w:lang w:val="en-US"/>
        </w:rPr>
        <w:t>UK</w:t>
      </w:r>
      <w:r w:rsidRPr="00074730">
        <w:rPr>
          <w:rFonts w:eastAsia="Times New Roman" w:cs="Arial"/>
          <w:color w:val="000000"/>
          <w:lang w:val="ru-RU"/>
        </w:rPr>
        <w:t xml:space="preserve"> </w:t>
      </w:r>
      <w:r w:rsidRPr="00074730">
        <w:rPr>
          <w:rFonts w:eastAsia="Times New Roman" w:cs="Arial"/>
          <w:color w:val="000000"/>
          <w:lang w:val="en-US"/>
        </w:rPr>
        <w:t>Clozapine</w:t>
      </w:r>
      <w:r w:rsidRPr="00074730">
        <w:rPr>
          <w:rFonts w:eastAsia="Times New Roman" w:cs="Arial"/>
          <w:color w:val="000000"/>
          <w:lang w:val="ru-RU"/>
        </w:rPr>
        <w:t xml:space="preserve"> </w:t>
      </w:r>
      <w:r w:rsidRPr="00074730">
        <w:rPr>
          <w:rFonts w:eastAsia="Times New Roman" w:cs="Arial"/>
          <w:color w:val="000000"/>
          <w:lang w:val="en-US"/>
        </w:rPr>
        <w:t>Patient</w:t>
      </w:r>
      <w:r w:rsidRPr="00074730">
        <w:rPr>
          <w:rFonts w:eastAsia="Times New Roman" w:cs="Arial"/>
          <w:color w:val="000000"/>
          <w:lang w:val="ru-RU"/>
        </w:rPr>
        <w:t xml:space="preserve"> </w:t>
      </w:r>
      <w:r w:rsidRPr="00074730">
        <w:rPr>
          <w:rFonts w:eastAsia="Times New Roman" w:cs="Arial"/>
          <w:color w:val="000000"/>
          <w:lang w:val="en-US"/>
        </w:rPr>
        <w:t>Monitoring</w:t>
      </w:r>
      <w:r w:rsidRPr="00074730">
        <w:rPr>
          <w:rFonts w:eastAsia="Times New Roman" w:cs="Arial"/>
          <w:color w:val="000000"/>
          <w:lang w:val="ru-RU"/>
        </w:rPr>
        <w:t xml:space="preserve"> </w:t>
      </w:r>
      <w:r w:rsidRPr="00074730">
        <w:rPr>
          <w:rFonts w:eastAsia="Times New Roman" w:cs="Arial"/>
          <w:color w:val="000000"/>
          <w:lang w:val="en-US"/>
        </w:rPr>
        <w:t>Service</w:t>
      </w:r>
      <w:r w:rsidRPr="00074730">
        <w:rPr>
          <w:rFonts w:eastAsia="Times New Roman" w:cs="Arial"/>
          <w:color w:val="000000"/>
          <w:lang w:val="ru-RU"/>
        </w:rPr>
        <w:t xml:space="preserve">) </w:t>
      </w:r>
      <w:r w:rsidRPr="00074730">
        <w:rPr>
          <w:rFonts w:eastAsia="Times New Roman" w:cs="Arial"/>
          <w:color w:val="000000"/>
          <w:lang w:eastAsia="bg-BG"/>
        </w:rPr>
        <w:t xml:space="preserve">между </w:t>
      </w:r>
      <w:r w:rsidRPr="00074730">
        <w:rPr>
          <w:rFonts w:eastAsia="Times New Roman" w:cs="Arial"/>
          <w:color w:val="000000"/>
          <w:lang w:val="ru-RU"/>
        </w:rPr>
        <w:t xml:space="preserve">1989 </w:t>
      </w:r>
      <w:r w:rsidRPr="00074730">
        <w:rPr>
          <w:rFonts w:eastAsia="Times New Roman" w:cs="Arial"/>
          <w:color w:val="000000"/>
          <w:lang w:eastAsia="bg-BG"/>
        </w:rPr>
        <w:t>и 2001 г.</w:t>
      </w:r>
    </w:p>
    <w:p w14:paraId="6FB3E232" w14:textId="77777777" w:rsidR="00BE4B21" w:rsidRPr="00074730" w:rsidRDefault="00BE4B21" w:rsidP="00BE4B21">
      <w:pPr>
        <w:spacing w:line="240" w:lineRule="auto"/>
        <w:rPr>
          <w:rFonts w:eastAsia="Times New Roman" w:cs="Arial"/>
          <w:color w:val="000000"/>
          <w:vertAlign w:val="superscript"/>
          <w:lang w:val="ru-RU" w:eastAsia="bg-BG"/>
        </w:rPr>
      </w:pPr>
    </w:p>
    <w:p w14:paraId="616571F6" w14:textId="76D1F513"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vertAlign w:val="superscript"/>
          <w:lang w:val="ru-RU" w:eastAsia="bg-BG"/>
        </w:rPr>
        <w:t>2</w:t>
      </w:r>
      <w:r w:rsidRPr="00074730">
        <w:rPr>
          <w:rFonts w:eastAsia="Times New Roman" w:cs="Arial"/>
          <w:color w:val="000000"/>
          <w:lang w:eastAsia="bg-BG"/>
        </w:rPr>
        <w:t>Пациенто-време е сумата от отделните единици за време, през които пациентите от регистъра са получавали клозапин преди да развият агранулоцитоза. Например, 100 000 пациенто-седмици могат да се наблюдават при 1 000 пациента, които са били в регистъра в продължение на 500 седмици (200*х500=100 000) преди да развият агранулоцитоза.</w:t>
      </w:r>
    </w:p>
    <w:p w14:paraId="366FAFBC" w14:textId="77777777" w:rsidR="00BE4B21" w:rsidRPr="00074730" w:rsidRDefault="00BE4B21" w:rsidP="00BE4B21">
      <w:pPr>
        <w:spacing w:line="240" w:lineRule="auto"/>
        <w:rPr>
          <w:rFonts w:eastAsia="Times New Roman" w:cs="Arial"/>
          <w:color w:val="000000"/>
          <w:lang w:eastAsia="bg-BG"/>
        </w:rPr>
      </w:pPr>
    </w:p>
    <w:p w14:paraId="0BD1D4FE" w14:textId="31FC4855" w:rsidR="00BE4B21" w:rsidRPr="00074730" w:rsidRDefault="00BE4B21" w:rsidP="00BE4B21">
      <w:pPr>
        <w:spacing w:line="240" w:lineRule="auto"/>
        <w:rPr>
          <w:rFonts w:eastAsia="Times New Roman" w:cs="Arial"/>
        </w:rPr>
      </w:pPr>
      <w:r w:rsidRPr="00074730">
        <w:rPr>
          <w:rFonts w:eastAsia="Times New Roman" w:cs="Arial"/>
          <w:color w:val="000000"/>
          <w:lang w:eastAsia="bg-BG"/>
        </w:rPr>
        <w:t xml:space="preserve">Кумулативната честота на агранулоцитозата по данни от регистъра на преживяемостга на Британската службата за мониториране на пациенти, лекувани с клозапин </w:t>
      </w:r>
      <w:r w:rsidRPr="00074730">
        <w:rPr>
          <w:rFonts w:eastAsia="Times New Roman" w:cs="Arial"/>
          <w:color w:val="000000"/>
          <w:lang w:val="ru-RU"/>
        </w:rPr>
        <w:t>(</w:t>
      </w:r>
      <w:r w:rsidRPr="00074730">
        <w:rPr>
          <w:rFonts w:eastAsia="Times New Roman" w:cs="Arial"/>
          <w:color w:val="000000"/>
          <w:lang w:val="en-US"/>
        </w:rPr>
        <w:t>UK</w:t>
      </w:r>
      <w:r w:rsidRPr="00074730">
        <w:rPr>
          <w:rFonts w:eastAsia="Times New Roman" w:cs="Arial"/>
          <w:color w:val="000000"/>
          <w:lang w:val="ru-RU"/>
        </w:rPr>
        <w:t xml:space="preserve">. </w:t>
      </w:r>
      <w:r w:rsidRPr="00074730">
        <w:rPr>
          <w:rFonts w:eastAsia="Times New Roman" w:cs="Arial"/>
          <w:color w:val="000000"/>
          <w:lang w:val="en-US"/>
        </w:rPr>
        <w:t>Clozapine</w:t>
      </w:r>
      <w:r w:rsidRPr="00074730">
        <w:rPr>
          <w:rFonts w:eastAsia="Times New Roman" w:cs="Arial"/>
          <w:color w:val="000000"/>
          <w:lang w:val="ru-RU"/>
        </w:rPr>
        <w:t xml:space="preserve"> </w:t>
      </w:r>
      <w:r w:rsidRPr="00074730">
        <w:rPr>
          <w:rFonts w:eastAsia="Times New Roman" w:cs="Arial"/>
          <w:color w:val="000000"/>
          <w:lang w:val="en-US"/>
        </w:rPr>
        <w:t>Patient</w:t>
      </w:r>
      <w:r w:rsidRPr="00074730">
        <w:rPr>
          <w:rFonts w:eastAsia="Times New Roman" w:cs="Arial"/>
          <w:color w:val="000000"/>
          <w:lang w:val="ru-RU"/>
        </w:rPr>
        <w:t xml:space="preserve"> </w:t>
      </w:r>
      <w:r w:rsidRPr="00074730">
        <w:rPr>
          <w:rFonts w:eastAsia="Times New Roman" w:cs="Arial"/>
          <w:color w:val="000000"/>
          <w:lang w:val="en-US"/>
        </w:rPr>
        <w:t>Monitoring</w:t>
      </w:r>
      <w:r w:rsidRPr="00074730">
        <w:rPr>
          <w:rFonts w:eastAsia="Times New Roman" w:cs="Arial"/>
          <w:color w:val="000000"/>
          <w:lang w:val="ru-RU"/>
        </w:rPr>
        <w:t xml:space="preserve"> </w:t>
      </w:r>
      <w:r w:rsidRPr="00074730">
        <w:rPr>
          <w:rFonts w:eastAsia="Times New Roman" w:cs="Arial"/>
          <w:color w:val="000000"/>
          <w:lang w:val="en-US"/>
        </w:rPr>
        <w:t>Service</w:t>
      </w:r>
      <w:r w:rsidRPr="00074730">
        <w:rPr>
          <w:rFonts w:eastAsia="Times New Roman" w:cs="Arial"/>
          <w:color w:val="000000"/>
          <w:lang w:val="ru-RU"/>
        </w:rPr>
        <w:t>) (0-11</w:t>
      </w:r>
      <w:proofErr w:type="gramStart"/>
      <w:r w:rsidRPr="00074730">
        <w:rPr>
          <w:rFonts w:eastAsia="Times New Roman" w:cs="Arial"/>
          <w:color w:val="000000"/>
          <w:lang w:val="ru-RU"/>
        </w:rPr>
        <w:t>,6</w:t>
      </w:r>
      <w:proofErr w:type="gramEnd"/>
      <w:r w:rsidRPr="00074730">
        <w:rPr>
          <w:rFonts w:eastAsia="Times New Roman" w:cs="Arial"/>
          <w:color w:val="000000"/>
          <w:lang w:val="ru-RU"/>
        </w:rPr>
        <w:t xml:space="preserve"> </w:t>
      </w:r>
      <w:r w:rsidRPr="00074730">
        <w:rPr>
          <w:rFonts w:eastAsia="Times New Roman" w:cs="Arial"/>
          <w:color w:val="000000"/>
          <w:lang w:eastAsia="bg-BG"/>
        </w:rPr>
        <w:t>години между 1989 и 2001 г.) е 0,78%. Повечето случаи (приблизително 70%) възникват през първите 18 седмици от лечението.</w:t>
      </w:r>
    </w:p>
    <w:p w14:paraId="1C5CDFA4" w14:textId="77777777" w:rsidR="00BE4B21" w:rsidRPr="00074730" w:rsidRDefault="00BE4B21" w:rsidP="00BE4B21">
      <w:pPr>
        <w:spacing w:line="240" w:lineRule="auto"/>
        <w:rPr>
          <w:rFonts w:eastAsia="Times New Roman" w:cs="Arial"/>
          <w:color w:val="000000"/>
          <w:u w:val="single"/>
          <w:lang w:eastAsia="bg-BG"/>
        </w:rPr>
      </w:pPr>
    </w:p>
    <w:p w14:paraId="0BE4D9F6" w14:textId="62F99884" w:rsidR="00BE4B21" w:rsidRPr="00074730" w:rsidRDefault="00BE4B21" w:rsidP="00BE4B21">
      <w:pPr>
        <w:spacing w:line="240" w:lineRule="auto"/>
        <w:rPr>
          <w:rFonts w:eastAsia="Times New Roman" w:cs="Arial"/>
        </w:rPr>
      </w:pPr>
      <w:r w:rsidRPr="00074730">
        <w:rPr>
          <w:rFonts w:eastAsia="Times New Roman" w:cs="Arial"/>
          <w:color w:val="000000"/>
          <w:u w:val="single"/>
          <w:lang w:eastAsia="bg-BG"/>
        </w:rPr>
        <w:lastRenderedPageBreak/>
        <w:t>Нарушения на метаболизма и храненето</w:t>
      </w:r>
    </w:p>
    <w:p w14:paraId="4CA5A8FD" w14:textId="77777777"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lang w:eastAsia="bg-BG"/>
        </w:rPr>
        <w:t xml:space="preserve">Рядко се съобщава за нарушен глюкозен толеранс и/или развитие, или влошаване на захарен диабет при лечение с клозапин. В много редки случаи се съобщава за тежка хипергликемия, понякога водеща до кетоацидоза/хиперосмоларна кома при пациенти на лечение с клозапин без предхождаща анамнеза за хипергликемия. При повечето пациенти нивата на кръвната захар се нормализират след спиране приема на клозапин, а в малък брой случаи хипергликемията се възобновява след повторно започване на лечение. </w:t>
      </w:r>
    </w:p>
    <w:p w14:paraId="658A62FE" w14:textId="03575940" w:rsidR="00BE4B21" w:rsidRPr="00074730" w:rsidRDefault="00BE4B21" w:rsidP="00BE4B21">
      <w:pPr>
        <w:spacing w:line="240" w:lineRule="auto"/>
        <w:rPr>
          <w:rFonts w:eastAsia="Times New Roman" w:cs="Arial"/>
        </w:rPr>
      </w:pPr>
      <w:r w:rsidRPr="00074730">
        <w:rPr>
          <w:rFonts w:eastAsia="Times New Roman" w:cs="Arial"/>
          <w:color w:val="000000"/>
          <w:lang w:eastAsia="bg-BG"/>
        </w:rPr>
        <w:t>Въпреки че при повечето пациенти са били налице рискови фактори за инсулино независим захарен диабет, хипергликемия е отбелязана и при пациенти без известни рискови фактори (вж. точка 4.4).</w:t>
      </w:r>
    </w:p>
    <w:p w14:paraId="4FA46936" w14:textId="77777777" w:rsidR="00BE4B21" w:rsidRPr="00074730" w:rsidRDefault="00BE4B21" w:rsidP="00BE4B21">
      <w:pPr>
        <w:spacing w:line="240" w:lineRule="auto"/>
        <w:rPr>
          <w:rFonts w:eastAsia="Times New Roman" w:cs="Arial"/>
          <w:color w:val="000000"/>
          <w:u w:val="single"/>
          <w:lang w:eastAsia="bg-BG"/>
        </w:rPr>
      </w:pPr>
    </w:p>
    <w:p w14:paraId="0904A60F" w14:textId="75B58461" w:rsidR="00BE4B21" w:rsidRPr="00074730" w:rsidRDefault="00BE4B21" w:rsidP="00BE4B21">
      <w:pPr>
        <w:spacing w:line="240" w:lineRule="auto"/>
        <w:rPr>
          <w:rFonts w:eastAsia="Times New Roman" w:cs="Arial"/>
        </w:rPr>
      </w:pPr>
      <w:r w:rsidRPr="00074730">
        <w:rPr>
          <w:rFonts w:eastAsia="Times New Roman" w:cs="Arial"/>
          <w:color w:val="000000"/>
          <w:u w:val="single"/>
          <w:lang w:eastAsia="bg-BG"/>
        </w:rPr>
        <w:t>Нарушения на нервната система</w:t>
      </w:r>
    </w:p>
    <w:p w14:paraId="126343A0" w14:textId="77777777" w:rsidR="00BE4B21" w:rsidRPr="00074730" w:rsidRDefault="00BE4B21" w:rsidP="00BE4B21">
      <w:pPr>
        <w:spacing w:line="240" w:lineRule="auto"/>
        <w:rPr>
          <w:rFonts w:eastAsia="Times New Roman" w:cs="Arial"/>
        </w:rPr>
      </w:pPr>
      <w:r w:rsidRPr="00074730">
        <w:rPr>
          <w:rFonts w:eastAsia="Times New Roman" w:cs="Arial"/>
          <w:color w:val="000000"/>
          <w:lang w:eastAsia="bg-BG"/>
        </w:rPr>
        <w:t>Най-честите нежелани реакции включват сънливост/седиране и замаяност.</w:t>
      </w:r>
    </w:p>
    <w:p w14:paraId="2410EA4A" w14:textId="77777777" w:rsidR="00074730" w:rsidRPr="00074730" w:rsidRDefault="00074730" w:rsidP="00BE4B21">
      <w:pPr>
        <w:spacing w:line="240" w:lineRule="auto"/>
        <w:rPr>
          <w:rFonts w:eastAsia="Times New Roman" w:cs="Arial"/>
          <w:color w:val="000000"/>
          <w:lang w:eastAsia="bg-BG"/>
        </w:rPr>
      </w:pPr>
    </w:p>
    <w:p w14:paraId="0526111E" w14:textId="32B35000" w:rsidR="00BE4B21" w:rsidRPr="00074730" w:rsidRDefault="00BE4B21" w:rsidP="00BE4B21">
      <w:pPr>
        <w:spacing w:line="240" w:lineRule="auto"/>
        <w:rPr>
          <w:rFonts w:eastAsia="Times New Roman" w:cs="Arial"/>
        </w:rPr>
      </w:pPr>
      <w:r w:rsidRPr="00074730">
        <w:rPr>
          <w:rFonts w:eastAsia="Times New Roman" w:cs="Arial"/>
          <w:color w:val="000000"/>
          <w:lang w:eastAsia="bg-BG"/>
        </w:rPr>
        <w:t>Клозапин може да причини ЕЕГ промени, включително поява на комплекси от зъбци и вълни. Той понижава гърчовия праг по дозозависим механизъм и може да предизвика миоклонични или генерализирани гърчове. По-голяма е вероятността за поява на тези симптоми при първо повишаване на дозата и при пациенти с предхождаща епилепсия. В такива случаи дозата трябва да се понижи и, ако е необходимо, да се започне антиконвулсивно лечение. Трябва да се избягва прилагане на карбамазепин, поради неговия потенциал за потискане функцията на костния мозък, а за останалите антиконвулсивни лекарства трябва да се има предвид възможността за фармакокинетични взаимодействия. В редки случаи, пациентите лекувани с клозапин могат да изпаднат в делир.</w:t>
      </w:r>
    </w:p>
    <w:p w14:paraId="63CF5D06" w14:textId="77777777" w:rsidR="00074730" w:rsidRPr="00074730" w:rsidRDefault="00074730" w:rsidP="00BE4B21">
      <w:pPr>
        <w:rPr>
          <w:rFonts w:eastAsia="Times New Roman" w:cs="Arial"/>
          <w:color w:val="000000"/>
          <w:lang w:eastAsia="bg-BG"/>
        </w:rPr>
      </w:pPr>
    </w:p>
    <w:p w14:paraId="43FFF60D" w14:textId="2530A605" w:rsidR="00BE4B21" w:rsidRPr="00074730" w:rsidRDefault="00BE4B21" w:rsidP="00BE4B21">
      <w:pPr>
        <w:rPr>
          <w:rFonts w:eastAsia="Times New Roman" w:cs="Arial"/>
          <w:color w:val="000000"/>
          <w:lang w:eastAsia="bg-BG"/>
        </w:rPr>
      </w:pPr>
      <w:r w:rsidRPr="00074730">
        <w:rPr>
          <w:rFonts w:eastAsia="Times New Roman" w:cs="Arial"/>
          <w:color w:val="000000"/>
          <w:lang w:eastAsia="bg-BG"/>
        </w:rPr>
        <w:t>Много рядко се съобщава за случаи на късна дискинезия при пациенти на лечение с клозапин, които са били лекувани с други антипсихотични лекарства. Пациентите, при които е късна дискинезия при лечение с други антипсихотици са получили подобрение по време на терапията с клозапин.</w:t>
      </w:r>
    </w:p>
    <w:p w14:paraId="565DC470" w14:textId="6645E67C" w:rsidR="00074730" w:rsidRPr="00074730" w:rsidRDefault="00074730" w:rsidP="00BE4B21">
      <w:pPr>
        <w:rPr>
          <w:rFonts w:eastAsia="Times New Roman" w:cs="Arial"/>
          <w:color w:val="000000"/>
          <w:lang w:eastAsia="bg-BG"/>
        </w:rPr>
      </w:pPr>
    </w:p>
    <w:p w14:paraId="3B5B1637" w14:textId="77777777"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Сърдечни нарушения</w:t>
      </w:r>
    </w:p>
    <w:p w14:paraId="30701599"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Може да се появят тахикардия и ортостатична хипотония с или без синкоп, особено през първите седмици на лечението. Честотата и тежестта на хипотонията зависят от скоростта и степента на увеличаване при титриране на дозата. При лечение с клозапин се съобщава за </w:t>
      </w:r>
      <w:r w:rsidRPr="00074730">
        <w:rPr>
          <w:rFonts w:eastAsia="Times New Roman" w:cs="Arial"/>
          <w:i/>
          <w:iCs/>
          <w:color w:val="000000"/>
          <w:lang w:eastAsia="bg-BG"/>
        </w:rPr>
        <w:t xml:space="preserve">циркулаторен </w:t>
      </w:r>
      <w:r w:rsidRPr="00074730">
        <w:rPr>
          <w:rFonts w:eastAsia="Times New Roman" w:cs="Arial"/>
          <w:color w:val="000000"/>
          <w:lang w:eastAsia="bg-BG"/>
        </w:rPr>
        <w:t>колапс в резултат на тежка хипотония, свързана по-специално с агресивно титриране на дозата, с възможни тежки последствия като спиране на сърдечната дейност или дишането.</w:t>
      </w:r>
    </w:p>
    <w:p w14:paraId="72479A68" w14:textId="77777777" w:rsidR="00074730" w:rsidRPr="00074730" w:rsidRDefault="00074730" w:rsidP="00074730">
      <w:pPr>
        <w:spacing w:line="240" w:lineRule="auto"/>
        <w:rPr>
          <w:rFonts w:eastAsia="Times New Roman" w:cs="Arial"/>
          <w:color w:val="000000"/>
          <w:lang w:eastAsia="bg-BG"/>
        </w:rPr>
      </w:pPr>
    </w:p>
    <w:p w14:paraId="56F94B59" w14:textId="361582CC"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Малка част от лекуваните с клозапин пациенти получават ЕКГ промени, сходни с тези, наблюдавани при други антипсихотични средства, включително депресия на </w:t>
      </w:r>
      <w:r w:rsidRPr="00074730">
        <w:rPr>
          <w:rFonts w:eastAsia="Times New Roman" w:cs="Arial"/>
          <w:color w:val="000000"/>
          <w:lang w:val="en-US"/>
        </w:rPr>
        <w:t>S</w:t>
      </w:r>
      <w:r w:rsidRPr="00074730">
        <w:rPr>
          <w:rFonts w:eastAsia="Times New Roman" w:cs="Arial"/>
          <w:color w:val="000000"/>
          <w:lang w:val="ru-RU"/>
        </w:rPr>
        <w:t>-</w:t>
      </w:r>
      <w:r w:rsidRPr="00074730">
        <w:rPr>
          <w:rFonts w:eastAsia="Times New Roman" w:cs="Arial"/>
          <w:color w:val="000000"/>
          <w:lang w:val="en-US"/>
        </w:rPr>
        <w:t>T</w:t>
      </w:r>
      <w:r w:rsidRPr="00074730">
        <w:rPr>
          <w:rFonts w:eastAsia="Times New Roman" w:cs="Arial"/>
          <w:color w:val="000000"/>
          <w:lang w:val="ru-RU"/>
        </w:rPr>
        <w:t xml:space="preserve"> </w:t>
      </w:r>
      <w:r w:rsidRPr="00074730">
        <w:rPr>
          <w:rFonts w:eastAsia="Times New Roman" w:cs="Arial"/>
          <w:color w:val="000000"/>
          <w:lang w:eastAsia="bg-BG"/>
        </w:rPr>
        <w:t>сегмента и поява на плоски или обърнати Т вълни, които се нормализират след преустановяване приема на клозапин. Клиничното значение на тези прояви не е ясно. На тези отклонения трябва обаче да се обърне внимание, тъй като са наблюдавани при пациенти с миокардит.</w:t>
      </w:r>
    </w:p>
    <w:p w14:paraId="2E8B8C82" w14:textId="77777777" w:rsidR="00074730" w:rsidRPr="00074730" w:rsidRDefault="00074730" w:rsidP="00074730">
      <w:pPr>
        <w:spacing w:line="240" w:lineRule="auto"/>
        <w:rPr>
          <w:rFonts w:eastAsia="Times New Roman" w:cs="Arial"/>
          <w:color w:val="000000"/>
          <w:lang w:eastAsia="bg-BG"/>
        </w:rPr>
      </w:pPr>
    </w:p>
    <w:p w14:paraId="34CC7B16" w14:textId="3FFB80DE"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изолирани случаи на сърдечни аритмии, перикардит/перикардни изливи и миокардит, </w:t>
      </w:r>
      <w:r w:rsidRPr="00074730">
        <w:rPr>
          <w:rFonts w:eastAsia="Times New Roman" w:cs="Arial"/>
          <w:i/>
          <w:iCs/>
          <w:color w:val="000000"/>
          <w:lang w:eastAsia="bg-BG"/>
        </w:rPr>
        <w:t>някои от</w:t>
      </w:r>
      <w:r w:rsidRPr="00074730">
        <w:rPr>
          <w:rFonts w:eastAsia="Times New Roman" w:cs="Arial"/>
          <w:color w:val="000000"/>
          <w:lang w:eastAsia="bg-BG"/>
        </w:rPr>
        <w:t xml:space="preserve"> които с фатален изход. Повечето от случаите на миокардит възникват през първите 2 месеца след започване на лечението с клозапин. По принцип кардиомиопатия се развива по-късно в хода на лечението.</w:t>
      </w:r>
    </w:p>
    <w:p w14:paraId="43B60042" w14:textId="77777777" w:rsidR="00074730" w:rsidRPr="00074730" w:rsidRDefault="00074730" w:rsidP="00074730">
      <w:pPr>
        <w:spacing w:line="240" w:lineRule="auto"/>
        <w:rPr>
          <w:rFonts w:eastAsia="Times New Roman" w:cs="Arial"/>
          <w:color w:val="000000"/>
          <w:lang w:eastAsia="bg-BG"/>
        </w:rPr>
      </w:pPr>
    </w:p>
    <w:p w14:paraId="239AC818" w14:textId="3A9A121F" w:rsidR="00074730" w:rsidRPr="00074730" w:rsidRDefault="00074730" w:rsidP="00074730">
      <w:pPr>
        <w:spacing w:line="240" w:lineRule="auto"/>
        <w:rPr>
          <w:rFonts w:eastAsia="Times New Roman" w:cs="Arial"/>
        </w:rPr>
      </w:pPr>
      <w:r w:rsidRPr="00074730">
        <w:rPr>
          <w:rFonts w:eastAsia="Times New Roman" w:cs="Arial"/>
          <w:color w:val="000000"/>
          <w:lang w:eastAsia="bg-BG"/>
        </w:rPr>
        <w:t>При някои случаи на миокардит (приблизително 14%) и перикардит/перикарден излив се съобщава и за поява на еозинофилия; не е известно, обаче, дали еозинофилията е надежден показател за развитието на кардит.</w:t>
      </w:r>
    </w:p>
    <w:p w14:paraId="5C6B1530" w14:textId="77777777" w:rsidR="00074730" w:rsidRPr="00074730" w:rsidRDefault="00074730" w:rsidP="00074730">
      <w:pPr>
        <w:spacing w:line="240" w:lineRule="auto"/>
        <w:rPr>
          <w:rFonts w:eastAsia="Times New Roman" w:cs="Arial"/>
          <w:color w:val="000000"/>
          <w:lang w:eastAsia="bg-BG"/>
        </w:rPr>
      </w:pPr>
    </w:p>
    <w:p w14:paraId="03FB170A" w14:textId="3834CB61"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Признаците и симптомите на миокардит или кардиомиопатия включват персистираща тахикардия в покой,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w:t>
      </w:r>
      <w:r w:rsidRPr="00074730">
        <w:rPr>
          <w:rFonts w:eastAsia="Times New Roman" w:cs="Arial"/>
          <w:i/>
          <w:iCs/>
          <w:color w:val="000000"/>
          <w:lang w:eastAsia="bg-BG"/>
        </w:rPr>
        <w:t>миокарден</w:t>
      </w:r>
      <w:r w:rsidRPr="00074730">
        <w:rPr>
          <w:rFonts w:eastAsia="Times New Roman" w:cs="Arial"/>
          <w:color w:val="000000"/>
          <w:lang w:eastAsia="bg-BG"/>
        </w:rPr>
        <w:t xml:space="preserve"> инфаркт. Други симптоми, които могат да са налице в допълнение на горните включват грипоподобни симптоми.</w:t>
      </w:r>
    </w:p>
    <w:p w14:paraId="37B7ED62" w14:textId="77777777" w:rsidR="00074730" w:rsidRPr="00074730" w:rsidRDefault="00074730" w:rsidP="00074730">
      <w:pPr>
        <w:spacing w:line="240" w:lineRule="auto"/>
        <w:rPr>
          <w:rFonts w:eastAsia="Times New Roman" w:cs="Arial"/>
          <w:color w:val="000000"/>
          <w:lang w:eastAsia="bg-BG"/>
        </w:rPr>
      </w:pPr>
    </w:p>
    <w:p w14:paraId="52AF97B3" w14:textId="1318C12F" w:rsidR="00074730" w:rsidRPr="00074730" w:rsidRDefault="00074730" w:rsidP="00074730">
      <w:pPr>
        <w:spacing w:line="240" w:lineRule="auto"/>
        <w:rPr>
          <w:rFonts w:eastAsia="Times New Roman" w:cs="Arial"/>
        </w:rPr>
      </w:pPr>
      <w:r w:rsidRPr="00074730">
        <w:rPr>
          <w:rFonts w:eastAsia="Times New Roman" w:cs="Arial"/>
          <w:color w:val="000000"/>
          <w:lang w:eastAsia="bg-BG"/>
        </w:rPr>
        <w:t>Известни са случаи на внезапна, необяснена смърт сред психиатрични пациенти, получаващи конвенционални антипсихотични лекарства, както и сред нелекувани психиатрични пациенти. Много рядко се съобщава за подобни смъртни случаи при пациенти, третирани с клозапин.</w:t>
      </w:r>
    </w:p>
    <w:p w14:paraId="66F0798E" w14:textId="77777777" w:rsidR="00074730" w:rsidRPr="00074730" w:rsidRDefault="00074730" w:rsidP="00074730">
      <w:pPr>
        <w:spacing w:line="240" w:lineRule="auto"/>
        <w:rPr>
          <w:rFonts w:eastAsia="Times New Roman" w:cs="Arial"/>
          <w:color w:val="000000"/>
          <w:u w:val="single"/>
          <w:lang w:eastAsia="bg-BG"/>
        </w:rPr>
      </w:pPr>
    </w:p>
    <w:p w14:paraId="355B894A" w14:textId="261AA31E"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Съдови нарушения</w:t>
      </w:r>
    </w:p>
    <w:p w14:paraId="13AEBEDE"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Съобщава се за редки случаи на тромбоемболизъм.</w:t>
      </w:r>
    </w:p>
    <w:p w14:paraId="306C81A2" w14:textId="77777777" w:rsidR="00074730" w:rsidRPr="00074730" w:rsidRDefault="00074730" w:rsidP="00074730">
      <w:pPr>
        <w:spacing w:line="240" w:lineRule="auto"/>
        <w:rPr>
          <w:rFonts w:eastAsia="Times New Roman" w:cs="Arial"/>
          <w:color w:val="000000"/>
          <w:u w:val="single"/>
          <w:lang w:eastAsia="bg-BG"/>
        </w:rPr>
      </w:pPr>
    </w:p>
    <w:p w14:paraId="31DCFC1A" w14:textId="32743D9D"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Респираторни, гръдни и медиастинални нарушения</w:t>
      </w:r>
    </w:p>
    <w:p w14:paraId="05C046C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Много рядко възникват потискане или спиране на дишането, със или без циркулаторен колапс (вж. точки 4.4 и 4.5).</w:t>
      </w:r>
    </w:p>
    <w:p w14:paraId="58B5ADC6" w14:textId="77777777" w:rsidR="00074730" w:rsidRPr="00074730" w:rsidRDefault="00074730" w:rsidP="00074730">
      <w:pPr>
        <w:spacing w:line="240" w:lineRule="auto"/>
        <w:rPr>
          <w:rFonts w:eastAsia="Times New Roman" w:cs="Arial"/>
          <w:color w:val="000000"/>
          <w:u w:val="single"/>
          <w:lang w:eastAsia="bg-BG"/>
        </w:rPr>
      </w:pPr>
    </w:p>
    <w:p w14:paraId="3C6888F4" w14:textId="4DB5F646"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Стомашно-чревни нарушения</w:t>
      </w:r>
    </w:p>
    <w:p w14:paraId="115ABCC1"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Много често се наблюдават запек и хиперсаливация, а често гадене и повръщане. Много рядко може да се развие илеус (вж. точка 4.4). В редки случаи лечението с клозапин може да е свързано с дисфагия. Може да се стигне до аспирация на приетата храна при пациенти с дисфагия или вследствие на </w:t>
      </w:r>
      <w:r w:rsidRPr="00074730">
        <w:rPr>
          <w:rFonts w:eastAsia="Times New Roman" w:cs="Arial"/>
          <w:i/>
          <w:iCs/>
          <w:color w:val="000000"/>
          <w:lang w:eastAsia="bg-BG"/>
        </w:rPr>
        <w:t>остро</w:t>
      </w:r>
      <w:r w:rsidRPr="00074730">
        <w:rPr>
          <w:rFonts w:eastAsia="Times New Roman" w:cs="Arial"/>
          <w:color w:val="000000"/>
          <w:lang w:eastAsia="bg-BG"/>
        </w:rPr>
        <w:t xml:space="preserve"> предозиране.</w:t>
      </w:r>
    </w:p>
    <w:p w14:paraId="274D73FC" w14:textId="77777777" w:rsidR="00074730" w:rsidRPr="00074730" w:rsidRDefault="00074730" w:rsidP="00074730">
      <w:pPr>
        <w:spacing w:line="240" w:lineRule="auto"/>
        <w:rPr>
          <w:rFonts w:eastAsia="Times New Roman" w:cs="Arial"/>
          <w:color w:val="000000"/>
          <w:u w:val="single"/>
          <w:lang w:eastAsia="bg-BG"/>
        </w:rPr>
      </w:pPr>
    </w:p>
    <w:p w14:paraId="6107EFDC" w14:textId="4CD876AC"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Хепатобилиарни нарушения</w:t>
      </w:r>
    </w:p>
    <w:p w14:paraId="0889AA29"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Възможна е поява на преходни, асимптомни повишения на чернодробните ензими и рядко хепатит и холестатична жълтеница. Много рядко се съобщава за фулминантна чернодробна некроза. При поява на жълтеница, лечението с клозапин трябва да се преустанови (вж. точка 4.4). В редки случаи се съобщава за остър панкреатит.</w:t>
      </w:r>
    </w:p>
    <w:p w14:paraId="54E7EE21" w14:textId="77777777" w:rsidR="00074730" w:rsidRPr="00074730" w:rsidRDefault="00074730" w:rsidP="00074730">
      <w:pPr>
        <w:spacing w:line="240" w:lineRule="auto"/>
        <w:rPr>
          <w:rFonts w:eastAsia="Times New Roman" w:cs="Arial"/>
          <w:color w:val="000000"/>
          <w:u w:val="single"/>
          <w:lang w:eastAsia="bg-BG"/>
        </w:rPr>
      </w:pPr>
    </w:p>
    <w:p w14:paraId="24519534" w14:textId="616759AB"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Бъбречни нарушения</w:t>
      </w:r>
    </w:p>
    <w:p w14:paraId="68D5A91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единични случаи на остър интерстициален нефрит, свързани с лечение </w:t>
      </w:r>
      <w:r w:rsidRPr="00074730">
        <w:rPr>
          <w:rFonts w:eastAsia="Times New Roman" w:cs="Arial"/>
          <w:color w:val="000000"/>
          <w:u w:val="single"/>
          <w:lang w:eastAsia="bg-BG"/>
        </w:rPr>
        <w:t>с клозап</w:t>
      </w:r>
      <w:r w:rsidRPr="00074730">
        <w:rPr>
          <w:rFonts w:eastAsia="Times New Roman" w:cs="Arial"/>
          <w:color w:val="000000"/>
          <w:lang w:eastAsia="bg-BG"/>
        </w:rPr>
        <w:t>ин.</w:t>
      </w:r>
    </w:p>
    <w:p w14:paraId="0D97BC8B" w14:textId="77777777" w:rsidR="00074730" w:rsidRPr="00074730" w:rsidRDefault="00074730" w:rsidP="00074730">
      <w:pPr>
        <w:spacing w:line="240" w:lineRule="auto"/>
        <w:rPr>
          <w:rFonts w:eastAsia="Times New Roman" w:cs="Arial"/>
          <w:color w:val="000000"/>
          <w:u w:val="single"/>
          <w:lang w:eastAsia="bg-BG"/>
        </w:rPr>
      </w:pPr>
    </w:p>
    <w:p w14:paraId="67C55A01" w14:textId="60A74F3D"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Нарушения на възпроизводителната система и гърдата</w:t>
      </w:r>
    </w:p>
    <w:p w14:paraId="22A80F2C" w14:textId="1128CAC2" w:rsidR="00074730" w:rsidRPr="00074730" w:rsidRDefault="00074730" w:rsidP="00074730">
      <w:pPr>
        <w:rPr>
          <w:rFonts w:eastAsia="Times New Roman" w:cs="Arial"/>
          <w:color w:val="000000"/>
          <w:lang w:eastAsia="bg-BG"/>
        </w:rPr>
      </w:pPr>
      <w:r w:rsidRPr="00074730">
        <w:rPr>
          <w:rFonts w:eastAsia="Times New Roman" w:cs="Arial"/>
          <w:color w:val="000000"/>
          <w:lang w:eastAsia="bg-BG"/>
        </w:rPr>
        <w:t>Има много редки съобщения за случаи на приапизъм.</w:t>
      </w:r>
    </w:p>
    <w:p w14:paraId="64F73909" w14:textId="7B53EFD3" w:rsidR="00074730" w:rsidRPr="00074730" w:rsidRDefault="00074730" w:rsidP="00074730">
      <w:pPr>
        <w:rPr>
          <w:rFonts w:eastAsia="Times New Roman" w:cs="Arial"/>
          <w:color w:val="000000"/>
          <w:lang w:eastAsia="bg-BG"/>
        </w:rPr>
      </w:pPr>
    </w:p>
    <w:p w14:paraId="3B449724" w14:textId="77777777"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Общи нарушения и ефекти на мястото иа приложение</w:t>
      </w:r>
    </w:p>
    <w:p w14:paraId="51670B9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случаи на невролептичен малигнен синдром </w:t>
      </w:r>
      <w:r w:rsidRPr="00074730">
        <w:rPr>
          <w:rFonts w:eastAsia="Times New Roman" w:cs="Arial"/>
          <w:color w:val="000000"/>
          <w:lang w:val="ru-RU"/>
        </w:rPr>
        <w:t>(</w:t>
      </w:r>
      <w:r w:rsidRPr="00074730">
        <w:rPr>
          <w:rFonts w:eastAsia="Times New Roman" w:cs="Arial"/>
          <w:color w:val="000000"/>
          <w:lang w:val="en-US"/>
        </w:rPr>
        <w:t>NMS</w:t>
      </w:r>
      <w:r w:rsidRPr="00074730">
        <w:rPr>
          <w:rFonts w:eastAsia="Times New Roman" w:cs="Arial"/>
          <w:color w:val="000000"/>
          <w:lang w:val="ru-RU"/>
        </w:rPr>
        <w:t xml:space="preserve">) </w:t>
      </w:r>
      <w:r w:rsidRPr="00074730">
        <w:rPr>
          <w:rFonts w:eastAsia="Times New Roman" w:cs="Arial"/>
          <w:color w:val="000000"/>
          <w:lang w:eastAsia="bg-BG"/>
        </w:rPr>
        <w:t>при пациенти, получаващи клозапин самостоятелно или в комбинация с литий, или други действащи на ЦНС лекарства.</w:t>
      </w:r>
    </w:p>
    <w:p w14:paraId="3A5E7614" w14:textId="77777777" w:rsidR="00074730" w:rsidRPr="00074730" w:rsidRDefault="00074730" w:rsidP="00074730">
      <w:pPr>
        <w:spacing w:line="240" w:lineRule="auto"/>
        <w:rPr>
          <w:rFonts w:eastAsia="Times New Roman" w:cs="Arial"/>
          <w:color w:val="000000"/>
          <w:lang w:eastAsia="bg-BG"/>
        </w:rPr>
      </w:pPr>
    </w:p>
    <w:p w14:paraId="793516BE" w14:textId="78F06BA4" w:rsidR="00074730" w:rsidRPr="00074730" w:rsidRDefault="00074730" w:rsidP="00074730">
      <w:pPr>
        <w:spacing w:line="240" w:lineRule="auto"/>
        <w:rPr>
          <w:rFonts w:eastAsia="Times New Roman" w:cs="Arial"/>
        </w:rPr>
      </w:pPr>
      <w:r w:rsidRPr="00074730">
        <w:rPr>
          <w:rFonts w:eastAsia="Times New Roman" w:cs="Arial"/>
          <w:color w:val="000000"/>
          <w:lang w:eastAsia="bg-BG"/>
        </w:rPr>
        <w:t>Съобщава се за остри реакции на отнемане при спиране на лечението (вж. точка 4.4).</w:t>
      </w:r>
    </w:p>
    <w:p w14:paraId="7D747D1B" w14:textId="77777777" w:rsidR="00074730" w:rsidRPr="00074730" w:rsidRDefault="00074730" w:rsidP="00074730">
      <w:pPr>
        <w:spacing w:line="240" w:lineRule="auto"/>
        <w:rPr>
          <w:rFonts w:eastAsia="Times New Roman" w:cs="Arial"/>
          <w:color w:val="000000"/>
          <w:u w:val="single"/>
          <w:lang w:eastAsia="bg-BG"/>
        </w:rPr>
      </w:pPr>
    </w:p>
    <w:p w14:paraId="04B66446" w14:textId="5127C319"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Табличен списък на нежеланите реакции:</w:t>
      </w:r>
    </w:p>
    <w:p w14:paraId="640F66F7" w14:textId="77777777" w:rsidR="00074730" w:rsidRPr="00074730" w:rsidRDefault="00074730" w:rsidP="00074730">
      <w:pPr>
        <w:spacing w:line="240" w:lineRule="auto"/>
        <w:rPr>
          <w:rFonts w:eastAsia="Times New Roman" w:cs="Arial"/>
          <w:color w:val="000000"/>
          <w:lang w:eastAsia="bg-BG"/>
        </w:rPr>
      </w:pPr>
    </w:p>
    <w:p w14:paraId="6B8FD06A" w14:textId="77777777" w:rsidR="00074730" w:rsidRPr="00074730" w:rsidRDefault="00074730" w:rsidP="00074730">
      <w:pPr>
        <w:spacing w:line="240" w:lineRule="auto"/>
        <w:rPr>
          <w:rFonts w:eastAsia="Times New Roman" w:cs="Arial"/>
          <w:color w:val="000000"/>
          <w:lang w:eastAsia="bg-BG"/>
        </w:rPr>
      </w:pPr>
      <w:r w:rsidRPr="00074730">
        <w:rPr>
          <w:rFonts w:eastAsia="Times New Roman" w:cs="Arial"/>
          <w:color w:val="000000"/>
          <w:lang w:eastAsia="bg-BG"/>
        </w:rPr>
        <w:lastRenderedPageBreak/>
        <w:t xml:space="preserve">В таблицата по-долу (Таблица 4) са обобщени нежеланите реакции, събрани от спонтанни съобщения и по </w:t>
      </w:r>
    </w:p>
    <w:p w14:paraId="64317E9C" w14:textId="3DEDEC52" w:rsidR="00074730" w:rsidRPr="00074730" w:rsidRDefault="00074730" w:rsidP="00074730">
      <w:pPr>
        <w:spacing w:line="240" w:lineRule="auto"/>
        <w:rPr>
          <w:rFonts w:eastAsia="Times New Roman" w:cs="Arial"/>
        </w:rPr>
      </w:pPr>
      <w:r w:rsidRPr="00074730">
        <w:rPr>
          <w:rFonts w:eastAsia="Times New Roman" w:cs="Arial"/>
          <w:color w:val="000000"/>
          <w:lang w:eastAsia="bg-BG"/>
        </w:rPr>
        <w:t>време на клинични проучвания.</w:t>
      </w:r>
    </w:p>
    <w:p w14:paraId="0E2E078F" w14:textId="77777777" w:rsidR="00074730" w:rsidRPr="00074730" w:rsidRDefault="00074730" w:rsidP="00074730">
      <w:pPr>
        <w:spacing w:line="240" w:lineRule="auto"/>
        <w:rPr>
          <w:rFonts w:eastAsia="Times New Roman" w:cs="Arial"/>
          <w:b/>
          <w:bCs/>
          <w:color w:val="000000"/>
          <w:lang w:eastAsia="bg-BG"/>
        </w:rPr>
      </w:pPr>
    </w:p>
    <w:p w14:paraId="59D314D1" w14:textId="073B6F6B" w:rsidR="00074730" w:rsidRPr="00074730" w:rsidRDefault="00074730" w:rsidP="00074730">
      <w:pPr>
        <w:spacing w:line="240" w:lineRule="auto"/>
        <w:rPr>
          <w:rFonts w:eastAsia="Times New Roman" w:cs="Arial"/>
        </w:rPr>
      </w:pPr>
      <w:r w:rsidRPr="00074730">
        <w:rPr>
          <w:rFonts w:eastAsia="Times New Roman" w:cs="Arial"/>
          <w:b/>
          <w:bCs/>
          <w:color w:val="000000"/>
          <w:lang w:eastAsia="bg-BG"/>
        </w:rPr>
        <w:t xml:space="preserve">Таблица 4: </w:t>
      </w:r>
      <w:r w:rsidRPr="00074730">
        <w:rPr>
          <w:rFonts w:eastAsia="Times New Roman" w:cs="Arial"/>
          <w:color w:val="000000"/>
          <w:lang w:eastAsia="bg-BG"/>
        </w:rPr>
        <w:t>Оценка на честотата на възникващи по време на лечението нежелани реакции от спонтанни съобщения и съобщения по време на клинични проучвания.</w:t>
      </w:r>
    </w:p>
    <w:p w14:paraId="5D1F4A1F" w14:textId="77777777" w:rsidR="00074730" w:rsidRPr="00074730" w:rsidRDefault="00074730" w:rsidP="00074730">
      <w:pPr>
        <w:rPr>
          <w:rFonts w:eastAsia="Times New Roman" w:cs="Arial"/>
          <w:color w:val="000000"/>
          <w:lang w:eastAsia="bg-BG"/>
        </w:rPr>
      </w:pPr>
    </w:p>
    <w:p w14:paraId="7A6426FB" w14:textId="299B6686" w:rsidR="00074730" w:rsidRPr="00074730" w:rsidRDefault="00074730" w:rsidP="00074730">
      <w:pPr>
        <w:rPr>
          <w:rFonts w:eastAsia="Times New Roman" w:cs="Arial"/>
          <w:color w:val="000000"/>
          <w:lang w:eastAsia="bg-BG"/>
        </w:rPr>
      </w:pPr>
      <w:r w:rsidRPr="00074730">
        <w:rPr>
          <w:rFonts w:eastAsia="Times New Roman" w:cs="Arial"/>
          <w:color w:val="000000"/>
          <w:lang w:eastAsia="bg-BG"/>
        </w:rPr>
        <w:t xml:space="preserve">Нежеланите реакции са групирани по честота, като е използвана следната конвенция: много чести (&gt;1/10), чести (&gt;1/100 до &lt;1/10), нечести (&gt;1/1 000 до &lt;1/100), редки (&gt;1/10 000 до &lt;1/1 000), много редки,- </w:t>
      </w:r>
      <w:r w:rsidRPr="00074730">
        <w:rPr>
          <w:rFonts w:eastAsia="Times New Roman" w:cs="Arial"/>
          <w:i/>
          <w:iCs/>
          <w:color w:val="000000"/>
          <w:lang w:eastAsia="bg-BG"/>
        </w:rPr>
        <w:t>(&lt;1/10 000),</w:t>
      </w:r>
      <w:r w:rsidRPr="00074730">
        <w:rPr>
          <w:rFonts w:eastAsia="Times New Roman" w:cs="Arial"/>
          <w:color w:val="000000"/>
          <w:lang w:eastAsia="bg-BG"/>
        </w:rPr>
        <w:t xml:space="preserve"> с неизвестна честота (от наличните данни не може да бъде направена оценка).</w:t>
      </w:r>
    </w:p>
    <w:p w14:paraId="49B8DC13" w14:textId="159D6A67" w:rsidR="00074730" w:rsidRDefault="00074730" w:rsidP="00074730">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4614"/>
        <w:gridCol w:w="4736"/>
      </w:tblGrid>
      <w:tr w:rsidR="00074730" w14:paraId="3712BFC4" w14:textId="77777777" w:rsidTr="00DC57E4">
        <w:tc>
          <w:tcPr>
            <w:tcW w:w="9576" w:type="dxa"/>
            <w:gridSpan w:val="2"/>
          </w:tcPr>
          <w:p w14:paraId="108E1D9D" w14:textId="181CB3B6" w:rsidR="00074730" w:rsidRPr="00074730" w:rsidRDefault="00074730" w:rsidP="00074730">
            <w:pPr>
              <w:rPr>
                <w:b/>
                <w:lang w:eastAsia="bg-BG"/>
              </w:rPr>
            </w:pPr>
            <w:r w:rsidRPr="00074730">
              <w:rPr>
                <w:b/>
                <w:lang w:eastAsia="bg-BG"/>
              </w:rPr>
              <w:t>Инфекции и ннфестации</w:t>
            </w:r>
          </w:p>
        </w:tc>
      </w:tr>
      <w:tr w:rsidR="00074730" w14:paraId="365ABB05" w14:textId="77777777" w:rsidTr="00074730">
        <w:tc>
          <w:tcPr>
            <w:tcW w:w="4788" w:type="dxa"/>
          </w:tcPr>
          <w:p w14:paraId="655390BA" w14:textId="69D4CE71"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51E41732" w14:textId="2400C6E7" w:rsidR="00074730" w:rsidRDefault="00074730" w:rsidP="00074730">
            <w:pPr>
              <w:rPr>
                <w:rFonts w:ascii="Times New Roman" w:eastAsia="Times New Roman" w:hAnsi="Times New Roman" w:cs="Times New Roman"/>
                <w:color w:val="000000"/>
                <w:lang w:eastAsia="bg-BG"/>
              </w:rPr>
            </w:pPr>
            <w:r>
              <w:t>Сепсис*</w:t>
            </w:r>
          </w:p>
        </w:tc>
      </w:tr>
      <w:tr w:rsidR="00074730" w14:paraId="38840851" w14:textId="77777777" w:rsidTr="002E3DF9">
        <w:tc>
          <w:tcPr>
            <w:tcW w:w="9576" w:type="dxa"/>
            <w:gridSpan w:val="2"/>
          </w:tcPr>
          <w:p w14:paraId="236017F6" w14:textId="454A953A" w:rsidR="00074730" w:rsidRPr="00074730" w:rsidRDefault="00074730" w:rsidP="00074730">
            <w:pPr>
              <w:rPr>
                <w:b/>
                <w:lang w:eastAsia="bg-BG"/>
              </w:rPr>
            </w:pPr>
            <w:r w:rsidRPr="00074730">
              <w:rPr>
                <w:b/>
                <w:lang w:eastAsia="bg-BG"/>
              </w:rPr>
              <w:t>Нарушения на кръвта и лимфната система</w:t>
            </w:r>
          </w:p>
        </w:tc>
      </w:tr>
      <w:tr w:rsidR="00074730" w14:paraId="6950A3DE" w14:textId="77777777" w:rsidTr="00074730">
        <w:tc>
          <w:tcPr>
            <w:tcW w:w="4788" w:type="dxa"/>
          </w:tcPr>
          <w:p w14:paraId="3C3FDDFF" w14:textId="6CF897E5"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79345FEB" w14:textId="17E81518" w:rsidR="00074730" w:rsidRDefault="00074730" w:rsidP="00074730">
            <w:pPr>
              <w:rPr>
                <w:rFonts w:ascii="Times New Roman" w:eastAsia="Times New Roman" w:hAnsi="Times New Roman" w:cs="Times New Roman"/>
                <w:color w:val="000000"/>
                <w:lang w:eastAsia="bg-BG"/>
              </w:rPr>
            </w:pPr>
            <w:r>
              <w:t>Левкопения/понижен левкоцитен брой/неутропения, еозинофилия, левкоцитоза</w:t>
            </w:r>
          </w:p>
        </w:tc>
      </w:tr>
      <w:tr w:rsidR="00074730" w14:paraId="3A59CB09" w14:textId="77777777" w:rsidTr="00074730">
        <w:tc>
          <w:tcPr>
            <w:tcW w:w="4788" w:type="dxa"/>
          </w:tcPr>
          <w:p w14:paraId="55AB7242" w14:textId="3D7DF896"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2D4B3C6C" w14:textId="24B6552E" w:rsidR="00074730" w:rsidRDefault="00074730" w:rsidP="00074730">
            <w:pPr>
              <w:rPr>
                <w:rFonts w:ascii="Times New Roman" w:eastAsia="Times New Roman" w:hAnsi="Times New Roman" w:cs="Times New Roman"/>
                <w:color w:val="000000"/>
                <w:lang w:eastAsia="bg-BG"/>
              </w:rPr>
            </w:pPr>
            <w:r>
              <w:t>Агранулоцитоза</w:t>
            </w:r>
          </w:p>
        </w:tc>
      </w:tr>
      <w:tr w:rsidR="00074730" w14:paraId="711C41CC" w14:textId="77777777" w:rsidTr="00074730">
        <w:tc>
          <w:tcPr>
            <w:tcW w:w="4788" w:type="dxa"/>
          </w:tcPr>
          <w:p w14:paraId="21CEDCE8" w14:textId="01EE9284"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17FD7272" w14:textId="38778C66" w:rsidR="00074730" w:rsidRDefault="00074730" w:rsidP="00074730">
            <w:pPr>
              <w:rPr>
                <w:rFonts w:ascii="Times New Roman" w:eastAsia="Times New Roman" w:hAnsi="Times New Roman" w:cs="Times New Roman"/>
                <w:color w:val="000000"/>
                <w:lang w:eastAsia="bg-BG"/>
              </w:rPr>
            </w:pPr>
            <w:r>
              <w:t>Анемия</w:t>
            </w:r>
          </w:p>
        </w:tc>
      </w:tr>
      <w:tr w:rsidR="00074730" w14:paraId="45BD9246" w14:textId="77777777" w:rsidTr="00074730">
        <w:tc>
          <w:tcPr>
            <w:tcW w:w="4788" w:type="dxa"/>
          </w:tcPr>
          <w:p w14:paraId="64152CC3" w14:textId="5D51F29B"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1B632635" w14:textId="2BD51514" w:rsidR="00074730" w:rsidRDefault="00074730" w:rsidP="00074730">
            <w:pPr>
              <w:rPr>
                <w:rFonts w:ascii="Times New Roman" w:eastAsia="Times New Roman" w:hAnsi="Times New Roman" w:cs="Times New Roman"/>
                <w:color w:val="000000"/>
                <w:lang w:eastAsia="bg-BG"/>
              </w:rPr>
            </w:pPr>
            <w:r>
              <w:t>Тромбоцитопения, тромбоцитемия</w:t>
            </w:r>
          </w:p>
        </w:tc>
      </w:tr>
      <w:tr w:rsidR="00074730" w14:paraId="7523769D" w14:textId="77777777" w:rsidTr="000B51F1">
        <w:tc>
          <w:tcPr>
            <w:tcW w:w="9576" w:type="dxa"/>
            <w:gridSpan w:val="2"/>
          </w:tcPr>
          <w:p w14:paraId="0F98D4AC" w14:textId="43E989B0"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имунната система</w:t>
            </w:r>
          </w:p>
        </w:tc>
      </w:tr>
      <w:tr w:rsidR="00074730" w14:paraId="70D22D9B" w14:textId="77777777" w:rsidTr="00074730">
        <w:tc>
          <w:tcPr>
            <w:tcW w:w="4788" w:type="dxa"/>
          </w:tcPr>
          <w:p w14:paraId="6C8A64B6" w14:textId="7C44E98F"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44687BE" w14:textId="7AC101B1" w:rsidR="00074730" w:rsidRDefault="00074730" w:rsidP="00074730">
            <w:pPr>
              <w:rPr>
                <w:rFonts w:ascii="Times New Roman" w:eastAsia="Times New Roman" w:hAnsi="Times New Roman" w:cs="Times New Roman"/>
                <w:color w:val="000000"/>
                <w:lang w:eastAsia="bg-BG"/>
              </w:rPr>
            </w:pPr>
            <w:r>
              <w:t xml:space="preserve">Ангиоедем* левкоцитокластен васкулит*, лекарствен обрив с еозинофилия и системни симптоми </w:t>
            </w:r>
            <w:r w:rsidRPr="00074730">
              <w:rPr>
                <w:lang w:val="ru-RU"/>
              </w:rPr>
              <w:t>(</w:t>
            </w:r>
            <w:r>
              <w:rPr>
                <w:lang w:val="en-US"/>
              </w:rPr>
              <w:t>DRESS</w:t>
            </w:r>
            <w:r w:rsidRPr="00074730">
              <w:rPr>
                <w:lang w:val="ru-RU"/>
              </w:rPr>
              <w:t>)*</w:t>
            </w:r>
          </w:p>
        </w:tc>
      </w:tr>
      <w:tr w:rsidR="00074730" w14:paraId="50D0B613" w14:textId="77777777" w:rsidTr="004D0EFA">
        <w:tc>
          <w:tcPr>
            <w:tcW w:w="9576" w:type="dxa"/>
            <w:gridSpan w:val="2"/>
          </w:tcPr>
          <w:p w14:paraId="2A0D06F5" w14:textId="350293BD" w:rsidR="00074730" w:rsidRPr="00074730" w:rsidRDefault="00074730" w:rsidP="00074730">
            <w:pPr>
              <w:rPr>
                <w:b/>
                <w:lang w:eastAsia="bg-BG"/>
              </w:rPr>
            </w:pPr>
            <w:r w:rsidRPr="00074730">
              <w:rPr>
                <w:b/>
                <w:lang w:eastAsia="bg-BG"/>
              </w:rPr>
              <w:t>Нарушения на ендокринната система</w:t>
            </w:r>
          </w:p>
        </w:tc>
      </w:tr>
      <w:tr w:rsidR="00074730" w14:paraId="69810E18" w14:textId="77777777" w:rsidTr="00074730">
        <w:tc>
          <w:tcPr>
            <w:tcW w:w="4788" w:type="dxa"/>
          </w:tcPr>
          <w:p w14:paraId="71E5E545" w14:textId="0EE6C76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B997743" w14:textId="467C0CC9" w:rsidR="00074730" w:rsidRDefault="00074730" w:rsidP="00074730">
            <w:pPr>
              <w:rPr>
                <w:rFonts w:ascii="Times New Roman" w:eastAsia="Times New Roman" w:hAnsi="Times New Roman" w:cs="Times New Roman"/>
                <w:color w:val="000000"/>
                <w:lang w:eastAsia="bg-BG"/>
              </w:rPr>
            </w:pPr>
            <w:r>
              <w:t>Псевдофеохромоцитом*</w:t>
            </w:r>
          </w:p>
        </w:tc>
      </w:tr>
      <w:tr w:rsidR="00074730" w14:paraId="31015945" w14:textId="77777777" w:rsidTr="00E14C91">
        <w:tc>
          <w:tcPr>
            <w:tcW w:w="9576" w:type="dxa"/>
            <w:gridSpan w:val="2"/>
          </w:tcPr>
          <w:p w14:paraId="72D6AEEB" w14:textId="13DE9D2E" w:rsidR="00074730" w:rsidRPr="00074730" w:rsidRDefault="00074730" w:rsidP="00074730">
            <w:pPr>
              <w:rPr>
                <w:b/>
                <w:lang w:eastAsia="bg-BG"/>
              </w:rPr>
            </w:pPr>
            <w:r w:rsidRPr="00074730">
              <w:rPr>
                <w:b/>
                <w:lang w:eastAsia="bg-BG"/>
              </w:rPr>
              <w:t>Нарушения на метаболизма и храненето</w:t>
            </w:r>
          </w:p>
        </w:tc>
      </w:tr>
      <w:tr w:rsidR="00074730" w14:paraId="1F2F5086" w14:textId="77777777" w:rsidTr="00074730">
        <w:tc>
          <w:tcPr>
            <w:tcW w:w="4788" w:type="dxa"/>
          </w:tcPr>
          <w:p w14:paraId="1BCA7520" w14:textId="5FA9F08F"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40FC03EC" w14:textId="157E7ED6" w:rsidR="00074730" w:rsidRDefault="00074730" w:rsidP="00074730">
            <w:pPr>
              <w:rPr>
                <w:rFonts w:ascii="Times New Roman" w:eastAsia="Times New Roman" w:hAnsi="Times New Roman" w:cs="Times New Roman"/>
                <w:color w:val="000000"/>
                <w:lang w:eastAsia="bg-BG"/>
              </w:rPr>
            </w:pPr>
            <w:r>
              <w:t>Наддаване на тегло</w:t>
            </w:r>
          </w:p>
        </w:tc>
      </w:tr>
      <w:tr w:rsidR="00074730" w14:paraId="6465C1D1" w14:textId="77777777" w:rsidTr="00074730">
        <w:tc>
          <w:tcPr>
            <w:tcW w:w="4788" w:type="dxa"/>
          </w:tcPr>
          <w:p w14:paraId="7530EBB5" w14:textId="30D485E6"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70CF8672" w14:textId="64219E32" w:rsidR="00074730" w:rsidRDefault="00074730" w:rsidP="00074730">
            <w:pPr>
              <w:rPr>
                <w:rFonts w:ascii="Times New Roman" w:eastAsia="Times New Roman" w:hAnsi="Times New Roman" w:cs="Times New Roman"/>
                <w:color w:val="000000"/>
                <w:lang w:eastAsia="bg-BG"/>
              </w:rPr>
            </w:pPr>
            <w:r>
              <w:t>Захарен диабет, нарушен глюкозен толеранс, затлъстяване*</w:t>
            </w:r>
          </w:p>
        </w:tc>
      </w:tr>
      <w:tr w:rsidR="00074730" w14:paraId="0F5662B7" w14:textId="77777777" w:rsidTr="00074730">
        <w:tc>
          <w:tcPr>
            <w:tcW w:w="4788" w:type="dxa"/>
          </w:tcPr>
          <w:p w14:paraId="2EC95940" w14:textId="78BED59A"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7D71BC6B" w14:textId="4C15754C" w:rsidR="00074730" w:rsidRDefault="00074730" w:rsidP="00074730">
            <w:pPr>
              <w:rPr>
                <w:rFonts w:ascii="Times New Roman" w:eastAsia="Times New Roman" w:hAnsi="Times New Roman" w:cs="Times New Roman"/>
                <w:color w:val="000000"/>
                <w:lang w:eastAsia="bg-BG"/>
              </w:rPr>
            </w:pPr>
            <w:r>
              <w:t>Хиперосмоларна кома, кетоацидоза, тежка хипергликемия, хиперхолестеролемия, Хипетриглицеридемия</w:t>
            </w:r>
          </w:p>
        </w:tc>
      </w:tr>
      <w:tr w:rsidR="00074730" w14:paraId="5E842BC4" w14:textId="77777777" w:rsidTr="005378D7">
        <w:tc>
          <w:tcPr>
            <w:tcW w:w="9576" w:type="dxa"/>
            <w:gridSpan w:val="2"/>
          </w:tcPr>
          <w:p w14:paraId="5BAB87C3" w14:textId="1849F503" w:rsidR="00074730" w:rsidRPr="00074730" w:rsidRDefault="00074730" w:rsidP="00074730">
            <w:pPr>
              <w:rPr>
                <w:b/>
                <w:lang w:eastAsia="bg-BG"/>
              </w:rPr>
            </w:pPr>
            <w:r w:rsidRPr="00074730">
              <w:rPr>
                <w:b/>
                <w:lang w:eastAsia="bg-BG"/>
              </w:rPr>
              <w:t>Психични нарушения</w:t>
            </w:r>
          </w:p>
        </w:tc>
      </w:tr>
      <w:tr w:rsidR="00074730" w14:paraId="5675EE38" w14:textId="77777777" w:rsidTr="00074730">
        <w:tc>
          <w:tcPr>
            <w:tcW w:w="4788" w:type="dxa"/>
          </w:tcPr>
          <w:p w14:paraId="0F8FE336" w14:textId="4E0D8896"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1E0C3C67" w14:textId="783DC578" w:rsidR="00074730" w:rsidRDefault="00074730" w:rsidP="00074730">
            <w:pPr>
              <w:rPr>
                <w:rFonts w:ascii="Times New Roman" w:eastAsia="Times New Roman" w:hAnsi="Times New Roman" w:cs="Times New Roman"/>
                <w:color w:val="000000"/>
                <w:lang w:eastAsia="bg-BG"/>
              </w:rPr>
            </w:pPr>
            <w:r>
              <w:t>Дизартрия</w:t>
            </w:r>
          </w:p>
        </w:tc>
      </w:tr>
      <w:tr w:rsidR="00074730" w14:paraId="2E2DFC40" w14:textId="77777777" w:rsidTr="00074730">
        <w:tc>
          <w:tcPr>
            <w:tcW w:w="4788" w:type="dxa"/>
          </w:tcPr>
          <w:p w14:paraId="0540BA08" w14:textId="74CD8AC5"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1F2D76A9" w14:textId="0C51A347" w:rsidR="00074730" w:rsidRDefault="00074730" w:rsidP="00074730">
            <w:pPr>
              <w:rPr>
                <w:rFonts w:ascii="Times New Roman" w:eastAsia="Times New Roman" w:hAnsi="Times New Roman" w:cs="Times New Roman"/>
                <w:color w:val="000000"/>
                <w:lang w:eastAsia="bg-BG"/>
              </w:rPr>
            </w:pPr>
            <w:r>
              <w:t>Дисфемия</w:t>
            </w:r>
          </w:p>
        </w:tc>
      </w:tr>
      <w:tr w:rsidR="00074730" w14:paraId="34AFAB38" w14:textId="77777777" w:rsidTr="00074730">
        <w:tc>
          <w:tcPr>
            <w:tcW w:w="4788" w:type="dxa"/>
          </w:tcPr>
          <w:p w14:paraId="3532E856" w14:textId="32F18A13"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7D07F0D9" w14:textId="774AC5FA" w:rsidR="00074730" w:rsidRDefault="00074730" w:rsidP="00074730">
            <w:pPr>
              <w:rPr>
                <w:rFonts w:ascii="Times New Roman" w:eastAsia="Times New Roman" w:hAnsi="Times New Roman" w:cs="Times New Roman"/>
                <w:color w:val="000000"/>
                <w:lang w:eastAsia="bg-BG"/>
              </w:rPr>
            </w:pPr>
            <w:r>
              <w:t>Неспокойство, състояние на възбуда</w:t>
            </w:r>
          </w:p>
        </w:tc>
      </w:tr>
      <w:tr w:rsidR="00074730" w14:paraId="1568C237" w14:textId="77777777" w:rsidTr="00E278B7">
        <w:tc>
          <w:tcPr>
            <w:tcW w:w="9576" w:type="dxa"/>
            <w:gridSpan w:val="2"/>
          </w:tcPr>
          <w:p w14:paraId="3D202644" w14:textId="4961F302" w:rsidR="00074730" w:rsidRPr="00074730" w:rsidRDefault="00074730" w:rsidP="00074730">
            <w:pPr>
              <w:rPr>
                <w:b/>
                <w:lang w:eastAsia="bg-BG"/>
              </w:rPr>
            </w:pPr>
            <w:r w:rsidRPr="00074730">
              <w:rPr>
                <w:b/>
                <w:lang w:eastAsia="bg-BG"/>
              </w:rPr>
              <w:t>Нарушения на нервната система</w:t>
            </w:r>
          </w:p>
        </w:tc>
      </w:tr>
      <w:tr w:rsidR="00074730" w14:paraId="5221B1F7" w14:textId="77777777" w:rsidTr="00074730">
        <w:tc>
          <w:tcPr>
            <w:tcW w:w="4788" w:type="dxa"/>
          </w:tcPr>
          <w:p w14:paraId="6EEF84B4" w14:textId="4B22F2C8" w:rsidR="00074730" w:rsidRDefault="00074730" w:rsidP="00074730">
            <w:pPr>
              <w:rPr>
                <w:rFonts w:ascii="Times New Roman" w:eastAsia="Times New Roman" w:hAnsi="Times New Roman" w:cs="Times New Roman"/>
                <w:color w:val="000000"/>
                <w:lang w:eastAsia="bg-BG"/>
              </w:rPr>
            </w:pPr>
            <w:r>
              <w:t>Много чести</w:t>
            </w:r>
          </w:p>
        </w:tc>
        <w:tc>
          <w:tcPr>
            <w:tcW w:w="4788" w:type="dxa"/>
          </w:tcPr>
          <w:p w14:paraId="75C2ED97" w14:textId="16C8B65B" w:rsidR="00074730" w:rsidRDefault="00074730" w:rsidP="00074730">
            <w:pPr>
              <w:rPr>
                <w:rFonts w:ascii="Times New Roman" w:eastAsia="Times New Roman" w:hAnsi="Times New Roman" w:cs="Times New Roman"/>
                <w:color w:val="000000"/>
                <w:lang w:eastAsia="bg-BG"/>
              </w:rPr>
            </w:pPr>
            <w:r>
              <w:t>Сънливост/седиране, замаяност</w:t>
            </w:r>
          </w:p>
        </w:tc>
      </w:tr>
      <w:tr w:rsidR="00074730" w14:paraId="62A32A08" w14:textId="77777777" w:rsidTr="00074730">
        <w:tc>
          <w:tcPr>
            <w:tcW w:w="4788" w:type="dxa"/>
          </w:tcPr>
          <w:p w14:paraId="71B53129" w14:textId="2D08706A"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4F2BE954" w14:textId="37CD648E" w:rsidR="00074730" w:rsidRDefault="00074730" w:rsidP="00074730">
            <w:pPr>
              <w:rPr>
                <w:rFonts w:ascii="Times New Roman" w:eastAsia="Times New Roman" w:hAnsi="Times New Roman" w:cs="Times New Roman"/>
                <w:color w:val="000000"/>
                <w:lang w:eastAsia="bg-BG"/>
              </w:rPr>
            </w:pPr>
            <w:r>
              <w:t>Припадъци/ гърчове/миоклонични гърчове, екстрапирамидни симптоми, акатизия, тремор, ригидност, главоболие</w:t>
            </w:r>
          </w:p>
        </w:tc>
      </w:tr>
      <w:tr w:rsidR="00074730" w14:paraId="18533658" w14:textId="77777777" w:rsidTr="00074730">
        <w:tc>
          <w:tcPr>
            <w:tcW w:w="4788" w:type="dxa"/>
          </w:tcPr>
          <w:p w14:paraId="2890720A" w14:textId="5D977174"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4873AA25" w14:textId="15E84F20" w:rsidR="00074730" w:rsidRDefault="00074730" w:rsidP="00074730">
            <w:pPr>
              <w:rPr>
                <w:rFonts w:ascii="Times New Roman" w:eastAsia="Times New Roman" w:hAnsi="Times New Roman" w:cs="Times New Roman"/>
                <w:color w:val="000000"/>
                <w:lang w:eastAsia="bg-BG"/>
              </w:rPr>
            </w:pPr>
            <w:r>
              <w:t>Невролептичен малиген синдром</w:t>
            </w:r>
          </w:p>
        </w:tc>
      </w:tr>
      <w:tr w:rsidR="00074730" w14:paraId="1DC038C4" w14:textId="77777777" w:rsidTr="00074730">
        <w:tc>
          <w:tcPr>
            <w:tcW w:w="4788" w:type="dxa"/>
          </w:tcPr>
          <w:p w14:paraId="4B588CD5" w14:textId="0C304C41"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1F1FB06E" w14:textId="33EA13FC" w:rsidR="00074730" w:rsidRDefault="00074730" w:rsidP="00074730">
            <w:pPr>
              <w:rPr>
                <w:rFonts w:ascii="Times New Roman" w:eastAsia="Times New Roman" w:hAnsi="Times New Roman" w:cs="Times New Roman"/>
                <w:color w:val="000000"/>
                <w:lang w:eastAsia="bg-BG"/>
              </w:rPr>
            </w:pPr>
            <w:r>
              <w:t>Обърканост, делир</w:t>
            </w:r>
          </w:p>
        </w:tc>
      </w:tr>
      <w:tr w:rsidR="00074730" w14:paraId="078F3D67" w14:textId="77777777" w:rsidTr="00074730">
        <w:tc>
          <w:tcPr>
            <w:tcW w:w="4788" w:type="dxa"/>
          </w:tcPr>
          <w:p w14:paraId="724E71A5" w14:textId="360D7121"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466ABADB" w14:textId="3CB9DCE0" w:rsidR="00074730" w:rsidRDefault="00074730" w:rsidP="00074730">
            <w:pPr>
              <w:rPr>
                <w:rFonts w:ascii="Times New Roman" w:eastAsia="Times New Roman" w:hAnsi="Times New Roman" w:cs="Times New Roman"/>
                <w:color w:val="000000"/>
                <w:lang w:eastAsia="bg-BG"/>
              </w:rPr>
            </w:pPr>
            <w:r>
              <w:t>Късна дискинезия, обсесивно компулсимни симптоми</w:t>
            </w:r>
          </w:p>
        </w:tc>
      </w:tr>
      <w:tr w:rsidR="00074730" w14:paraId="47031E98" w14:textId="77777777" w:rsidTr="00074730">
        <w:tc>
          <w:tcPr>
            <w:tcW w:w="4788" w:type="dxa"/>
          </w:tcPr>
          <w:p w14:paraId="1D3343BB" w14:textId="415B47B4" w:rsidR="00074730" w:rsidRDefault="00074730" w:rsidP="00074730">
            <w:pPr>
              <w:rPr>
                <w:rFonts w:ascii="Times New Roman" w:eastAsia="Times New Roman" w:hAnsi="Times New Roman" w:cs="Times New Roman"/>
                <w:color w:val="000000"/>
                <w:lang w:eastAsia="bg-BG"/>
              </w:rPr>
            </w:pPr>
            <w:r>
              <w:lastRenderedPageBreak/>
              <w:t>С неизвестна честота</w:t>
            </w:r>
          </w:p>
        </w:tc>
        <w:tc>
          <w:tcPr>
            <w:tcW w:w="4788" w:type="dxa"/>
          </w:tcPr>
          <w:p w14:paraId="52BA0FF5" w14:textId="65DAA56C" w:rsidR="00074730" w:rsidRDefault="00074730" w:rsidP="00074730">
            <w:pPr>
              <w:rPr>
                <w:rFonts w:ascii="Times New Roman" w:eastAsia="Times New Roman" w:hAnsi="Times New Roman" w:cs="Times New Roman"/>
                <w:color w:val="000000"/>
                <w:lang w:eastAsia="bg-BG"/>
              </w:rPr>
            </w:pPr>
            <w:r>
              <w:t>Холинергичен синдром (след внезапно спиране на приема)*, промени в ЕЕГ*, плевротонус*, синдром на неспокойните крака*</w:t>
            </w:r>
          </w:p>
        </w:tc>
      </w:tr>
      <w:tr w:rsidR="00074730" w14:paraId="78B0E734" w14:textId="77777777" w:rsidTr="00E54CE6">
        <w:tc>
          <w:tcPr>
            <w:tcW w:w="9576" w:type="dxa"/>
            <w:gridSpan w:val="2"/>
          </w:tcPr>
          <w:p w14:paraId="2F62B470" w14:textId="621152ED" w:rsidR="00074730" w:rsidRPr="00074730" w:rsidRDefault="00074730" w:rsidP="00074730">
            <w:pPr>
              <w:rPr>
                <w:b/>
                <w:lang w:eastAsia="bg-BG"/>
              </w:rPr>
            </w:pPr>
            <w:r w:rsidRPr="00074730">
              <w:rPr>
                <w:b/>
                <w:lang w:eastAsia="bg-BG"/>
              </w:rPr>
              <w:t>Нарушения на окото</w:t>
            </w:r>
          </w:p>
        </w:tc>
      </w:tr>
      <w:tr w:rsidR="00074730" w14:paraId="5165DF7B" w14:textId="77777777" w:rsidTr="00074730">
        <w:tc>
          <w:tcPr>
            <w:tcW w:w="4788" w:type="dxa"/>
          </w:tcPr>
          <w:p w14:paraId="35A2B0C6" w14:textId="793CEF3A"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3D647193" w14:textId="31B27E94" w:rsidR="00074730" w:rsidRDefault="00074730" w:rsidP="00074730">
            <w:pPr>
              <w:rPr>
                <w:rFonts w:ascii="Times New Roman" w:eastAsia="Times New Roman" w:hAnsi="Times New Roman" w:cs="Times New Roman"/>
                <w:color w:val="000000"/>
                <w:lang w:eastAsia="bg-BG"/>
              </w:rPr>
            </w:pPr>
            <w:r>
              <w:t>Замъглено зрение</w:t>
            </w:r>
          </w:p>
        </w:tc>
      </w:tr>
      <w:tr w:rsidR="00074730" w14:paraId="4AAB9ADE" w14:textId="77777777" w:rsidTr="000A1177">
        <w:tc>
          <w:tcPr>
            <w:tcW w:w="9576" w:type="dxa"/>
            <w:gridSpan w:val="2"/>
          </w:tcPr>
          <w:p w14:paraId="19D2E518" w14:textId="485D421F" w:rsidR="00074730" w:rsidRPr="00074730" w:rsidRDefault="00074730" w:rsidP="00074730">
            <w:pPr>
              <w:rPr>
                <w:rFonts w:ascii="Times New Roman" w:eastAsia="Times New Roman" w:hAnsi="Times New Roman" w:cs="Times New Roman"/>
                <w:b/>
                <w:color w:val="000000"/>
                <w:lang w:eastAsia="bg-BG"/>
              </w:rPr>
            </w:pPr>
            <w:r w:rsidRPr="00074730">
              <w:rPr>
                <w:b/>
              </w:rPr>
              <w:t>Сърдечни нарушения</w:t>
            </w:r>
          </w:p>
        </w:tc>
      </w:tr>
      <w:tr w:rsidR="00074730" w14:paraId="6797CDDF" w14:textId="77777777" w:rsidTr="00074730">
        <w:tc>
          <w:tcPr>
            <w:tcW w:w="4788" w:type="dxa"/>
          </w:tcPr>
          <w:p w14:paraId="346105A0" w14:textId="3801A854" w:rsidR="00074730" w:rsidRDefault="00074730" w:rsidP="00074730">
            <w:pPr>
              <w:rPr>
                <w:rFonts w:ascii="Times New Roman" w:eastAsia="Times New Roman" w:hAnsi="Times New Roman" w:cs="Times New Roman"/>
                <w:color w:val="000000"/>
                <w:lang w:eastAsia="bg-BG"/>
              </w:rPr>
            </w:pPr>
            <w:r>
              <w:t>Много чести</w:t>
            </w:r>
          </w:p>
        </w:tc>
        <w:tc>
          <w:tcPr>
            <w:tcW w:w="4788" w:type="dxa"/>
          </w:tcPr>
          <w:p w14:paraId="09218FD7" w14:textId="32A3798E" w:rsidR="00074730" w:rsidRDefault="00074730" w:rsidP="00074730">
            <w:pPr>
              <w:rPr>
                <w:rFonts w:ascii="Times New Roman" w:eastAsia="Times New Roman" w:hAnsi="Times New Roman" w:cs="Times New Roman"/>
                <w:color w:val="000000"/>
                <w:lang w:eastAsia="bg-BG"/>
              </w:rPr>
            </w:pPr>
            <w:r>
              <w:t>Тахикардия</w:t>
            </w:r>
          </w:p>
        </w:tc>
      </w:tr>
      <w:tr w:rsidR="00074730" w14:paraId="135E1F4C" w14:textId="77777777" w:rsidTr="00291B6C">
        <w:tc>
          <w:tcPr>
            <w:tcW w:w="4788" w:type="dxa"/>
            <w:vAlign w:val="bottom"/>
          </w:tcPr>
          <w:p w14:paraId="45C1C8A4" w14:textId="3EF3E8E4"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363B133F" w14:textId="2E3A3EF5" w:rsidR="00074730" w:rsidRDefault="00074730" w:rsidP="00074730">
            <w:pPr>
              <w:rPr>
                <w:rFonts w:ascii="Times New Roman" w:eastAsia="Times New Roman" w:hAnsi="Times New Roman" w:cs="Times New Roman"/>
                <w:color w:val="000000"/>
                <w:lang w:eastAsia="bg-BG"/>
              </w:rPr>
            </w:pPr>
            <w:r>
              <w:t>Промени в ЕКГ</w:t>
            </w:r>
          </w:p>
        </w:tc>
      </w:tr>
      <w:tr w:rsidR="00074730" w14:paraId="56D6725A" w14:textId="77777777" w:rsidTr="00074730">
        <w:tc>
          <w:tcPr>
            <w:tcW w:w="4788" w:type="dxa"/>
          </w:tcPr>
          <w:p w14:paraId="1CE35E0F" w14:textId="0B8E0577"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599C28CF" w14:textId="62744C24" w:rsidR="00074730" w:rsidRDefault="00074730" w:rsidP="00074730">
            <w:pPr>
              <w:rPr>
                <w:rFonts w:ascii="Times New Roman" w:eastAsia="Times New Roman" w:hAnsi="Times New Roman" w:cs="Times New Roman"/>
                <w:color w:val="000000"/>
                <w:lang w:eastAsia="bg-BG"/>
              </w:rPr>
            </w:pPr>
            <w:r>
              <w:t>Циркулаторен колапс, аритмии, миокардит, перикардит/перикарден излив</w:t>
            </w:r>
          </w:p>
        </w:tc>
      </w:tr>
      <w:tr w:rsidR="00074730" w14:paraId="601E5D69" w14:textId="77777777" w:rsidTr="00291B6C">
        <w:tc>
          <w:tcPr>
            <w:tcW w:w="4788" w:type="dxa"/>
            <w:vAlign w:val="bottom"/>
          </w:tcPr>
          <w:p w14:paraId="7BEDC8C6" w14:textId="2299FDD6" w:rsidR="00074730" w:rsidRDefault="00074730" w:rsidP="00074730">
            <w:pPr>
              <w:rPr>
                <w:rFonts w:ascii="Times New Roman" w:eastAsia="Times New Roman" w:hAnsi="Times New Roman" w:cs="Times New Roman"/>
                <w:color w:val="000000"/>
                <w:lang w:eastAsia="bg-BG"/>
              </w:rPr>
            </w:pPr>
            <w:r>
              <w:rPr>
                <w:i/>
                <w:iCs/>
              </w:rPr>
              <w:t>Много</w:t>
            </w:r>
            <w:r>
              <w:t xml:space="preserve"> редки</w:t>
            </w:r>
          </w:p>
        </w:tc>
        <w:tc>
          <w:tcPr>
            <w:tcW w:w="4788" w:type="dxa"/>
            <w:vAlign w:val="bottom"/>
          </w:tcPr>
          <w:p w14:paraId="6C3C4B37" w14:textId="08ABBEC8" w:rsidR="00074730" w:rsidRDefault="00074730" w:rsidP="00074730">
            <w:pPr>
              <w:rPr>
                <w:rFonts w:ascii="Times New Roman" w:eastAsia="Times New Roman" w:hAnsi="Times New Roman" w:cs="Times New Roman"/>
                <w:color w:val="000000"/>
                <w:lang w:eastAsia="bg-BG"/>
              </w:rPr>
            </w:pPr>
            <w:r>
              <w:t>Кардиомиопатия, сърдечен арест</w:t>
            </w:r>
          </w:p>
        </w:tc>
      </w:tr>
      <w:tr w:rsidR="00074730" w14:paraId="6230F96F" w14:textId="77777777" w:rsidTr="00291B6C">
        <w:tc>
          <w:tcPr>
            <w:tcW w:w="4788" w:type="dxa"/>
          </w:tcPr>
          <w:p w14:paraId="07F27CA9" w14:textId="3FC2AF6F"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7CA50801" w14:textId="2AD118AE" w:rsidR="00074730" w:rsidRDefault="00074730" w:rsidP="00074730">
            <w:pPr>
              <w:rPr>
                <w:rFonts w:ascii="Times New Roman" w:eastAsia="Times New Roman" w:hAnsi="Times New Roman" w:cs="Times New Roman"/>
                <w:color w:val="000000"/>
                <w:lang w:eastAsia="bg-BG"/>
              </w:rPr>
            </w:pPr>
            <w:r>
              <w:t>Миокарден инфаркт*,**, миокардит *,**, гръдна болка/ангина пекторис*, предсърдно мъждене*, палпитации*, инсуфициенция на митралната клапа, свързана с кардиомиопатия*, във връзка с клозапин</w:t>
            </w:r>
          </w:p>
        </w:tc>
      </w:tr>
      <w:tr w:rsidR="00074730" w14:paraId="2E3CDD25" w14:textId="77777777" w:rsidTr="004E4A82">
        <w:tc>
          <w:tcPr>
            <w:tcW w:w="9576" w:type="dxa"/>
            <w:gridSpan w:val="2"/>
          </w:tcPr>
          <w:p w14:paraId="5FBB446C" w14:textId="34720284" w:rsidR="00074730" w:rsidRPr="00074730" w:rsidRDefault="00074730" w:rsidP="00074730">
            <w:pPr>
              <w:rPr>
                <w:b/>
                <w:lang w:eastAsia="bg-BG"/>
              </w:rPr>
            </w:pPr>
            <w:r w:rsidRPr="00074730">
              <w:rPr>
                <w:b/>
                <w:lang w:eastAsia="bg-BG"/>
              </w:rPr>
              <w:t>Съдови нарушения</w:t>
            </w:r>
          </w:p>
        </w:tc>
      </w:tr>
      <w:tr w:rsidR="00074730" w14:paraId="6F52DBD4" w14:textId="77777777" w:rsidTr="00851920">
        <w:tc>
          <w:tcPr>
            <w:tcW w:w="4788" w:type="dxa"/>
            <w:vAlign w:val="bottom"/>
          </w:tcPr>
          <w:p w14:paraId="6FFC9C38" w14:textId="049DD748"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490210FF" w14:textId="36589590" w:rsidR="00074730" w:rsidRDefault="00074730" w:rsidP="00074730">
            <w:pPr>
              <w:rPr>
                <w:rFonts w:ascii="Times New Roman" w:eastAsia="Times New Roman" w:hAnsi="Times New Roman" w:cs="Times New Roman"/>
                <w:color w:val="000000"/>
                <w:lang w:eastAsia="bg-BG"/>
              </w:rPr>
            </w:pPr>
            <w:r>
              <w:t>Синкоп, ортостатична хипотония, хипертония</w:t>
            </w:r>
          </w:p>
        </w:tc>
      </w:tr>
      <w:tr w:rsidR="00074730" w14:paraId="323D816A" w14:textId="77777777" w:rsidTr="00851920">
        <w:tc>
          <w:tcPr>
            <w:tcW w:w="4788" w:type="dxa"/>
            <w:vAlign w:val="bottom"/>
          </w:tcPr>
          <w:p w14:paraId="58C84202" w14:textId="7F6E75D2" w:rsidR="00074730" w:rsidRDefault="00074730" w:rsidP="00074730">
            <w:pPr>
              <w:rPr>
                <w:rFonts w:ascii="Times New Roman" w:eastAsia="Times New Roman" w:hAnsi="Times New Roman" w:cs="Times New Roman"/>
                <w:color w:val="000000"/>
                <w:lang w:eastAsia="bg-BG"/>
              </w:rPr>
            </w:pPr>
            <w:r>
              <w:t>Редки</w:t>
            </w:r>
          </w:p>
        </w:tc>
        <w:tc>
          <w:tcPr>
            <w:tcW w:w="4788" w:type="dxa"/>
            <w:vAlign w:val="bottom"/>
          </w:tcPr>
          <w:p w14:paraId="15993972" w14:textId="4BAB088D" w:rsidR="00074730" w:rsidRDefault="00074730" w:rsidP="00074730">
            <w:pPr>
              <w:rPr>
                <w:rFonts w:ascii="Times New Roman" w:eastAsia="Times New Roman" w:hAnsi="Times New Roman" w:cs="Times New Roman"/>
                <w:color w:val="000000"/>
                <w:lang w:eastAsia="bg-BG"/>
              </w:rPr>
            </w:pPr>
            <w:r>
              <w:t>Тромбоемболизъм</w:t>
            </w:r>
          </w:p>
        </w:tc>
      </w:tr>
      <w:tr w:rsidR="00074730" w14:paraId="69A98A95" w14:textId="77777777" w:rsidTr="00074730">
        <w:tc>
          <w:tcPr>
            <w:tcW w:w="4788" w:type="dxa"/>
          </w:tcPr>
          <w:p w14:paraId="7C9A7F6B" w14:textId="7B73EE73"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E1729C0" w14:textId="298F9AD4" w:rsidR="00074730" w:rsidRDefault="00074730" w:rsidP="00074730">
            <w:pPr>
              <w:rPr>
                <w:rFonts w:ascii="Times New Roman" w:eastAsia="Times New Roman" w:hAnsi="Times New Roman" w:cs="Times New Roman"/>
                <w:color w:val="000000"/>
                <w:lang w:eastAsia="bg-BG"/>
              </w:rPr>
            </w:pPr>
            <w:r>
              <w:t>Хипотония*, венозен тромбоемболизъм</w:t>
            </w:r>
          </w:p>
        </w:tc>
      </w:tr>
      <w:tr w:rsidR="00074730" w14:paraId="3A60DAC5" w14:textId="77777777" w:rsidTr="006354A6">
        <w:tc>
          <w:tcPr>
            <w:tcW w:w="9576" w:type="dxa"/>
            <w:gridSpan w:val="2"/>
          </w:tcPr>
          <w:p w14:paraId="487B39AF" w14:textId="3BAAB194" w:rsidR="00074730" w:rsidRPr="00074730" w:rsidRDefault="00074730" w:rsidP="00074730">
            <w:pPr>
              <w:rPr>
                <w:b/>
                <w:lang w:eastAsia="bg-BG"/>
              </w:rPr>
            </w:pPr>
            <w:r w:rsidRPr="00074730">
              <w:rPr>
                <w:b/>
                <w:lang w:eastAsia="bg-BG"/>
              </w:rPr>
              <w:t>Респираторни, гръдни и медиастинални нарушения</w:t>
            </w:r>
          </w:p>
        </w:tc>
      </w:tr>
      <w:tr w:rsidR="00074730" w14:paraId="660AB759" w14:textId="77777777" w:rsidTr="00074730">
        <w:tc>
          <w:tcPr>
            <w:tcW w:w="4788" w:type="dxa"/>
          </w:tcPr>
          <w:p w14:paraId="30B59C7F" w14:textId="7EC031D0"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42418150" w14:textId="2E44025B" w:rsidR="00074730" w:rsidRDefault="00074730" w:rsidP="00074730">
            <w:pPr>
              <w:rPr>
                <w:rFonts w:ascii="Times New Roman" w:eastAsia="Times New Roman" w:hAnsi="Times New Roman" w:cs="Times New Roman"/>
                <w:color w:val="000000"/>
                <w:lang w:eastAsia="bg-BG"/>
              </w:rPr>
            </w:pPr>
            <w:r>
              <w:t>Аспирация на приета храна, пневмония и инфекции на долните дихателни пътища, които могат да бъдат фатални, синдром на сънна апнея*</w:t>
            </w:r>
          </w:p>
        </w:tc>
      </w:tr>
      <w:tr w:rsidR="00074730" w14:paraId="640AA070" w14:textId="77777777" w:rsidTr="00F62C23">
        <w:tc>
          <w:tcPr>
            <w:tcW w:w="4788" w:type="dxa"/>
            <w:vAlign w:val="bottom"/>
          </w:tcPr>
          <w:p w14:paraId="4428B0A4" w14:textId="021B3866"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0D5F37" w14:textId="694F64A3" w:rsidR="00074730" w:rsidRDefault="00074730" w:rsidP="00074730">
            <w:pPr>
              <w:rPr>
                <w:rFonts w:ascii="Times New Roman" w:eastAsia="Times New Roman" w:hAnsi="Times New Roman" w:cs="Times New Roman"/>
                <w:color w:val="000000"/>
                <w:lang w:eastAsia="bg-BG"/>
              </w:rPr>
            </w:pPr>
            <w:r>
              <w:t>Респиратолна депресия/арест</w:t>
            </w:r>
          </w:p>
        </w:tc>
      </w:tr>
      <w:tr w:rsidR="00074730" w14:paraId="7DC7D0E8" w14:textId="77777777" w:rsidTr="00074730">
        <w:tc>
          <w:tcPr>
            <w:tcW w:w="4788" w:type="dxa"/>
          </w:tcPr>
          <w:p w14:paraId="06B9D244" w14:textId="25D4BB47"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21C42B8F" w14:textId="6D215926" w:rsidR="00074730" w:rsidRDefault="00074730" w:rsidP="00074730">
            <w:pPr>
              <w:rPr>
                <w:rFonts w:ascii="Times New Roman" w:eastAsia="Times New Roman" w:hAnsi="Times New Roman" w:cs="Times New Roman"/>
                <w:color w:val="000000"/>
                <w:lang w:eastAsia="bg-BG"/>
              </w:rPr>
            </w:pPr>
            <w:r>
              <w:t>Плеврален излив*, запушване на носа*</w:t>
            </w:r>
          </w:p>
        </w:tc>
      </w:tr>
      <w:tr w:rsidR="00074730" w14:paraId="64DAD227" w14:textId="77777777" w:rsidTr="00CB0143">
        <w:tc>
          <w:tcPr>
            <w:tcW w:w="9576" w:type="dxa"/>
            <w:gridSpan w:val="2"/>
          </w:tcPr>
          <w:p w14:paraId="07911B8E" w14:textId="15C43760" w:rsidR="00074730" w:rsidRPr="00074730" w:rsidRDefault="00074730" w:rsidP="00074730">
            <w:pPr>
              <w:rPr>
                <w:rFonts w:ascii="Times New Roman" w:eastAsia="Times New Roman" w:hAnsi="Times New Roman" w:cs="Times New Roman"/>
                <w:b/>
                <w:color w:val="000000"/>
                <w:lang w:eastAsia="bg-BG"/>
              </w:rPr>
            </w:pPr>
            <w:r w:rsidRPr="00074730">
              <w:rPr>
                <w:b/>
              </w:rPr>
              <w:t>Стомашно-чревни нарушения</w:t>
            </w:r>
          </w:p>
        </w:tc>
      </w:tr>
      <w:tr w:rsidR="00074730" w14:paraId="6BB183CF" w14:textId="77777777" w:rsidTr="00564419">
        <w:tc>
          <w:tcPr>
            <w:tcW w:w="4788" w:type="dxa"/>
            <w:vAlign w:val="bottom"/>
          </w:tcPr>
          <w:p w14:paraId="39BD0B85" w14:textId="2FCE023A" w:rsidR="00074730" w:rsidRDefault="00074730" w:rsidP="00074730">
            <w:pPr>
              <w:rPr>
                <w:rFonts w:ascii="Times New Roman" w:eastAsia="Times New Roman" w:hAnsi="Times New Roman" w:cs="Times New Roman"/>
                <w:color w:val="000000"/>
                <w:lang w:eastAsia="bg-BG"/>
              </w:rPr>
            </w:pPr>
            <w:r>
              <w:t>Много чести</w:t>
            </w:r>
          </w:p>
        </w:tc>
        <w:tc>
          <w:tcPr>
            <w:tcW w:w="4788" w:type="dxa"/>
            <w:vAlign w:val="bottom"/>
          </w:tcPr>
          <w:p w14:paraId="246FAFA1" w14:textId="0D3844B0" w:rsidR="00074730" w:rsidRDefault="00074730" w:rsidP="00074730">
            <w:pPr>
              <w:rPr>
                <w:rFonts w:ascii="Times New Roman" w:eastAsia="Times New Roman" w:hAnsi="Times New Roman" w:cs="Times New Roman"/>
                <w:color w:val="000000"/>
                <w:lang w:eastAsia="bg-BG"/>
              </w:rPr>
            </w:pPr>
            <w:r>
              <w:t>Запек, хиперсаливация</w:t>
            </w:r>
          </w:p>
        </w:tc>
      </w:tr>
      <w:tr w:rsidR="00074730" w14:paraId="7071B45C" w14:textId="77777777" w:rsidTr="00564419">
        <w:tc>
          <w:tcPr>
            <w:tcW w:w="4788" w:type="dxa"/>
            <w:vAlign w:val="bottom"/>
          </w:tcPr>
          <w:p w14:paraId="141A919D" w14:textId="42AFD0B4"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5A50FFC9" w14:textId="6DE66F24" w:rsidR="00074730" w:rsidRDefault="00074730" w:rsidP="00074730">
            <w:pPr>
              <w:rPr>
                <w:rFonts w:ascii="Times New Roman" w:eastAsia="Times New Roman" w:hAnsi="Times New Roman" w:cs="Times New Roman"/>
                <w:color w:val="000000"/>
                <w:lang w:eastAsia="bg-BG"/>
              </w:rPr>
            </w:pPr>
            <w:r>
              <w:t>Гадене, повръщане, безапетитие, сухота в устата</w:t>
            </w:r>
          </w:p>
        </w:tc>
      </w:tr>
      <w:tr w:rsidR="00074730" w14:paraId="46FA7912" w14:textId="77777777" w:rsidTr="00564419">
        <w:tc>
          <w:tcPr>
            <w:tcW w:w="4788" w:type="dxa"/>
            <w:vAlign w:val="bottom"/>
          </w:tcPr>
          <w:p w14:paraId="55210E4E" w14:textId="3C42AB8B" w:rsidR="00074730" w:rsidRDefault="00074730" w:rsidP="00074730">
            <w:pPr>
              <w:rPr>
                <w:rFonts w:ascii="Times New Roman" w:eastAsia="Times New Roman" w:hAnsi="Times New Roman" w:cs="Times New Roman"/>
                <w:color w:val="000000"/>
                <w:lang w:eastAsia="bg-BG"/>
              </w:rPr>
            </w:pPr>
            <w:r>
              <w:t>Редки</w:t>
            </w:r>
          </w:p>
        </w:tc>
        <w:tc>
          <w:tcPr>
            <w:tcW w:w="4788" w:type="dxa"/>
            <w:vAlign w:val="bottom"/>
          </w:tcPr>
          <w:p w14:paraId="702E9AED" w14:textId="64BBC9E3" w:rsidR="00074730" w:rsidRDefault="00074730" w:rsidP="00074730">
            <w:pPr>
              <w:rPr>
                <w:rFonts w:ascii="Times New Roman" w:eastAsia="Times New Roman" w:hAnsi="Times New Roman" w:cs="Times New Roman"/>
                <w:color w:val="000000"/>
                <w:lang w:eastAsia="bg-BG"/>
              </w:rPr>
            </w:pPr>
            <w:r>
              <w:t>Дисфагия</w:t>
            </w:r>
          </w:p>
        </w:tc>
      </w:tr>
      <w:tr w:rsidR="00074730" w14:paraId="7CFC4A9A" w14:textId="77777777" w:rsidTr="00564419">
        <w:tc>
          <w:tcPr>
            <w:tcW w:w="4788" w:type="dxa"/>
          </w:tcPr>
          <w:p w14:paraId="120394DD" w14:textId="133CF3DE"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2E729649" w14:textId="24643C6E" w:rsidR="00074730" w:rsidRDefault="00074730" w:rsidP="00074730">
            <w:pPr>
              <w:rPr>
                <w:rFonts w:ascii="Times New Roman" w:eastAsia="Times New Roman" w:hAnsi="Times New Roman" w:cs="Times New Roman"/>
                <w:color w:val="000000"/>
                <w:lang w:eastAsia="bg-BG"/>
              </w:rPr>
            </w:pPr>
            <w:r>
              <w:t>чревна обструкция/паралитичен илеус/фекално задръстване, уголемяване на паротидната жлеза</w:t>
            </w:r>
          </w:p>
        </w:tc>
      </w:tr>
      <w:tr w:rsidR="00074730" w14:paraId="3667EB8E" w14:textId="77777777" w:rsidTr="00564419">
        <w:tc>
          <w:tcPr>
            <w:tcW w:w="4788" w:type="dxa"/>
          </w:tcPr>
          <w:p w14:paraId="75C6FF36" w14:textId="346F04F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6E39B1D3" w14:textId="221DD8F0" w:rsidR="00074730" w:rsidRDefault="00074730" w:rsidP="00074730">
            <w:pPr>
              <w:rPr>
                <w:rFonts w:ascii="Times New Roman" w:eastAsia="Times New Roman" w:hAnsi="Times New Roman" w:cs="Times New Roman"/>
                <w:color w:val="000000"/>
                <w:lang w:eastAsia="bg-BG"/>
              </w:rPr>
            </w:pPr>
            <w:r>
              <w:t>Мегаколон *,**, интестинален инфаркт/исхемия *,**, интесгинална некроза*,**, интесгинална язва *,** и интесгинална перфорация *,**, диария*, стомашен дискомфорт/киселини/диспепсия*, колит*</w:t>
            </w:r>
          </w:p>
        </w:tc>
      </w:tr>
      <w:tr w:rsidR="00074730" w14:paraId="210E17F6" w14:textId="77777777" w:rsidTr="00A54A09">
        <w:tc>
          <w:tcPr>
            <w:tcW w:w="9576" w:type="dxa"/>
            <w:gridSpan w:val="2"/>
          </w:tcPr>
          <w:p w14:paraId="4CDBA321" w14:textId="76F8927B" w:rsidR="00074730" w:rsidRPr="00074730" w:rsidRDefault="00074730" w:rsidP="00074730">
            <w:pPr>
              <w:rPr>
                <w:b/>
                <w:lang w:eastAsia="bg-BG"/>
              </w:rPr>
            </w:pPr>
            <w:r w:rsidRPr="00074730">
              <w:rPr>
                <w:b/>
                <w:lang w:eastAsia="bg-BG"/>
              </w:rPr>
              <w:t>Хепатобилиарни нарушения</w:t>
            </w:r>
          </w:p>
        </w:tc>
      </w:tr>
      <w:tr w:rsidR="00074730" w14:paraId="547542EC" w14:textId="77777777" w:rsidTr="00231325">
        <w:tc>
          <w:tcPr>
            <w:tcW w:w="4788" w:type="dxa"/>
            <w:vAlign w:val="bottom"/>
          </w:tcPr>
          <w:p w14:paraId="34B9EC38" w14:textId="252C3588"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5BA7EE7E" w14:textId="2C0E64B8" w:rsidR="00074730" w:rsidRDefault="00074730" w:rsidP="00074730">
            <w:pPr>
              <w:rPr>
                <w:rFonts w:ascii="Times New Roman" w:eastAsia="Times New Roman" w:hAnsi="Times New Roman" w:cs="Times New Roman"/>
                <w:color w:val="000000"/>
                <w:lang w:eastAsia="bg-BG"/>
              </w:rPr>
            </w:pPr>
            <w:r>
              <w:t>Повишени чернодробни ензими</w:t>
            </w:r>
          </w:p>
        </w:tc>
      </w:tr>
      <w:tr w:rsidR="00074730" w14:paraId="457D3A81" w14:textId="77777777" w:rsidTr="00231325">
        <w:tc>
          <w:tcPr>
            <w:tcW w:w="4788" w:type="dxa"/>
            <w:vAlign w:val="bottom"/>
          </w:tcPr>
          <w:p w14:paraId="319527D5" w14:textId="3F3AB72B" w:rsidR="00074730" w:rsidRDefault="00074730" w:rsidP="00074730">
            <w:pPr>
              <w:rPr>
                <w:rFonts w:ascii="Times New Roman" w:eastAsia="Times New Roman" w:hAnsi="Times New Roman" w:cs="Times New Roman"/>
                <w:color w:val="000000"/>
                <w:lang w:eastAsia="bg-BG"/>
              </w:rPr>
            </w:pPr>
            <w:r>
              <w:rPr>
                <w:lang w:val="en-US"/>
              </w:rPr>
              <w:lastRenderedPageBreak/>
              <w:t>Rare</w:t>
            </w:r>
          </w:p>
        </w:tc>
        <w:tc>
          <w:tcPr>
            <w:tcW w:w="4788" w:type="dxa"/>
            <w:vAlign w:val="bottom"/>
          </w:tcPr>
          <w:p w14:paraId="4225F6E3" w14:textId="4A91BBAC" w:rsidR="00074730" w:rsidRDefault="00074730" w:rsidP="00074730">
            <w:pPr>
              <w:rPr>
                <w:rFonts w:ascii="Times New Roman" w:eastAsia="Times New Roman" w:hAnsi="Times New Roman" w:cs="Times New Roman"/>
                <w:color w:val="000000"/>
                <w:lang w:eastAsia="bg-BG"/>
              </w:rPr>
            </w:pPr>
            <w:r>
              <w:t>Панкреатит, хепатит, холестатична жълтеница</w:t>
            </w:r>
          </w:p>
        </w:tc>
      </w:tr>
      <w:tr w:rsidR="00074730" w14:paraId="15DED456" w14:textId="77777777" w:rsidTr="00231325">
        <w:tc>
          <w:tcPr>
            <w:tcW w:w="4788" w:type="dxa"/>
            <w:vAlign w:val="bottom"/>
          </w:tcPr>
          <w:p w14:paraId="703A511C" w14:textId="53D98129" w:rsidR="00074730" w:rsidRDefault="00074730" w:rsidP="00074730">
            <w:pPr>
              <w:rPr>
                <w:rFonts w:ascii="Times New Roman" w:eastAsia="Times New Roman" w:hAnsi="Times New Roman" w:cs="Times New Roman"/>
                <w:color w:val="000000"/>
                <w:lang w:eastAsia="bg-BG"/>
              </w:rPr>
            </w:pPr>
            <w:r>
              <w:rPr>
                <w:i/>
                <w:iCs/>
              </w:rPr>
              <w:t>Много</w:t>
            </w:r>
            <w:r>
              <w:t xml:space="preserve"> редки</w:t>
            </w:r>
          </w:p>
        </w:tc>
        <w:tc>
          <w:tcPr>
            <w:tcW w:w="4788" w:type="dxa"/>
            <w:vAlign w:val="bottom"/>
          </w:tcPr>
          <w:p w14:paraId="08468EBE" w14:textId="5A3CED44" w:rsidR="00074730" w:rsidRDefault="00074730" w:rsidP="00074730">
            <w:pPr>
              <w:rPr>
                <w:rFonts w:ascii="Times New Roman" w:eastAsia="Times New Roman" w:hAnsi="Times New Roman" w:cs="Times New Roman"/>
                <w:color w:val="000000"/>
                <w:lang w:eastAsia="bg-BG"/>
              </w:rPr>
            </w:pPr>
            <w:r>
              <w:t>Фулминантна чернодробна некроза</w:t>
            </w:r>
          </w:p>
        </w:tc>
      </w:tr>
      <w:tr w:rsidR="00074730" w14:paraId="2BED985C" w14:textId="77777777" w:rsidTr="00231325">
        <w:tc>
          <w:tcPr>
            <w:tcW w:w="4788" w:type="dxa"/>
          </w:tcPr>
          <w:p w14:paraId="20849B65" w14:textId="6E672EB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1A4A355B" w14:textId="0777A9E7" w:rsidR="00074730" w:rsidRDefault="00074730" w:rsidP="00074730">
            <w:pPr>
              <w:rPr>
                <w:rFonts w:ascii="Times New Roman" w:eastAsia="Times New Roman" w:hAnsi="Times New Roman" w:cs="Times New Roman"/>
                <w:color w:val="000000"/>
                <w:lang w:eastAsia="bg-BG"/>
              </w:rPr>
            </w:pPr>
            <w:r>
              <w:t>Чернодробната стеатоза*, чернодробна некроза*, хепатотоксичност*, чернодробна фиброза*, цироза на черния дроб*, чернодробни нарушения, включително такива чернодробни събития, водещи до животозастрашаващи последствия, като например увреждане на черния дроб (чернодробно, холестатично и смесено), чернодробна недостатъчност, които могат да бъдат фатални и трансплантация на черен дроб*.</w:t>
            </w:r>
          </w:p>
        </w:tc>
      </w:tr>
      <w:tr w:rsidR="00074730" w14:paraId="4666AB82" w14:textId="77777777" w:rsidTr="006012BC">
        <w:tc>
          <w:tcPr>
            <w:tcW w:w="9576" w:type="dxa"/>
            <w:gridSpan w:val="2"/>
          </w:tcPr>
          <w:p w14:paraId="357E393D" w14:textId="6FEBADB6"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кожата и подкожната тъкан</w:t>
            </w:r>
          </w:p>
        </w:tc>
      </w:tr>
      <w:tr w:rsidR="00074730" w14:paraId="31376666" w14:textId="77777777" w:rsidTr="002019DB">
        <w:tc>
          <w:tcPr>
            <w:tcW w:w="4788" w:type="dxa"/>
            <w:vAlign w:val="bottom"/>
          </w:tcPr>
          <w:p w14:paraId="6BCE659A" w14:textId="0B573A8A"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1CBACE" w14:textId="2C6D8392" w:rsidR="00074730" w:rsidRDefault="00074730" w:rsidP="00074730">
            <w:pPr>
              <w:rPr>
                <w:rFonts w:ascii="Times New Roman" w:eastAsia="Times New Roman" w:hAnsi="Times New Roman" w:cs="Times New Roman"/>
                <w:color w:val="000000"/>
                <w:lang w:eastAsia="bg-BG"/>
              </w:rPr>
            </w:pPr>
            <w:r>
              <w:t>Кожни реакции</w:t>
            </w:r>
          </w:p>
        </w:tc>
      </w:tr>
      <w:tr w:rsidR="00074730" w14:paraId="6B7BC400" w14:textId="77777777" w:rsidTr="00074730">
        <w:tc>
          <w:tcPr>
            <w:tcW w:w="4788" w:type="dxa"/>
          </w:tcPr>
          <w:p w14:paraId="356030AB" w14:textId="005D3DCD"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637F340" w14:textId="14189913" w:rsidR="00074730" w:rsidRDefault="00074730" w:rsidP="00074730">
            <w:pPr>
              <w:rPr>
                <w:rFonts w:ascii="Times New Roman" w:eastAsia="Times New Roman" w:hAnsi="Times New Roman" w:cs="Times New Roman"/>
                <w:color w:val="000000"/>
                <w:lang w:eastAsia="bg-BG"/>
              </w:rPr>
            </w:pPr>
            <w:r>
              <w:t>Нарушения на пигментацията*</w:t>
            </w:r>
          </w:p>
        </w:tc>
      </w:tr>
      <w:tr w:rsidR="00074730" w14:paraId="72C77C28" w14:textId="77777777" w:rsidTr="006425FA">
        <w:tc>
          <w:tcPr>
            <w:tcW w:w="9576" w:type="dxa"/>
            <w:gridSpan w:val="2"/>
          </w:tcPr>
          <w:p w14:paraId="5AC5D69F" w14:textId="1DD42898" w:rsidR="00074730" w:rsidRPr="00074730" w:rsidRDefault="00074730" w:rsidP="00074730">
            <w:pPr>
              <w:rPr>
                <w:b/>
                <w:lang w:eastAsia="bg-BG"/>
              </w:rPr>
            </w:pPr>
            <w:r w:rsidRPr="00074730">
              <w:rPr>
                <w:b/>
                <w:lang w:eastAsia="bg-BG"/>
              </w:rPr>
              <w:t>Нарушения на мускулно-скелетната система и съединителната тъкан</w:t>
            </w:r>
          </w:p>
        </w:tc>
      </w:tr>
      <w:tr w:rsidR="00074730" w14:paraId="20F4C24B" w14:textId="77777777" w:rsidTr="00F42D41">
        <w:tc>
          <w:tcPr>
            <w:tcW w:w="4788" w:type="dxa"/>
            <w:vAlign w:val="bottom"/>
          </w:tcPr>
          <w:p w14:paraId="69F30809" w14:textId="58900AF9"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2B8824B3" w14:textId="2901D3DE" w:rsidR="00074730" w:rsidRDefault="00074730" w:rsidP="00074730">
            <w:pPr>
              <w:rPr>
                <w:rFonts w:ascii="Times New Roman" w:eastAsia="Times New Roman" w:hAnsi="Times New Roman" w:cs="Times New Roman"/>
                <w:color w:val="000000"/>
                <w:lang w:eastAsia="bg-BG"/>
              </w:rPr>
            </w:pPr>
            <w:r>
              <w:t>Рабдомиолиза*, мускулна слабост*, мускулни спазми*, мускулна болка*, системен лупус еритемагозус *</w:t>
            </w:r>
          </w:p>
        </w:tc>
      </w:tr>
      <w:tr w:rsidR="00074730" w14:paraId="4F4663CA" w14:textId="77777777" w:rsidTr="001C5748">
        <w:tc>
          <w:tcPr>
            <w:tcW w:w="9576" w:type="dxa"/>
            <w:gridSpan w:val="2"/>
          </w:tcPr>
          <w:p w14:paraId="533FBD1A" w14:textId="2638AAF8" w:rsidR="00074730" w:rsidRPr="00074730" w:rsidRDefault="00074730" w:rsidP="00074730">
            <w:pPr>
              <w:rPr>
                <w:b/>
                <w:lang w:eastAsia="bg-BG"/>
              </w:rPr>
            </w:pPr>
            <w:r w:rsidRPr="00074730">
              <w:rPr>
                <w:b/>
                <w:lang w:eastAsia="bg-BG"/>
              </w:rPr>
              <w:t>Нарушения на бъбреците и пикочните пътища</w:t>
            </w:r>
          </w:p>
        </w:tc>
      </w:tr>
      <w:tr w:rsidR="00074730" w14:paraId="7E4E80DB" w14:textId="77777777" w:rsidTr="00834850">
        <w:tc>
          <w:tcPr>
            <w:tcW w:w="4788" w:type="dxa"/>
            <w:vAlign w:val="bottom"/>
          </w:tcPr>
          <w:p w14:paraId="5A6F11F3" w14:textId="75B48376"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721081BF" w14:textId="29244BFE" w:rsidR="00074730" w:rsidRDefault="00074730" w:rsidP="00074730">
            <w:pPr>
              <w:rPr>
                <w:rFonts w:ascii="Times New Roman" w:eastAsia="Times New Roman" w:hAnsi="Times New Roman" w:cs="Times New Roman"/>
                <w:color w:val="000000"/>
                <w:lang w:eastAsia="bg-BG"/>
              </w:rPr>
            </w:pPr>
            <w:r>
              <w:t>Ретенция на урина, инконтиненция на урина</w:t>
            </w:r>
          </w:p>
        </w:tc>
      </w:tr>
      <w:tr w:rsidR="00074730" w14:paraId="1F815DFB" w14:textId="77777777" w:rsidTr="00834850">
        <w:tc>
          <w:tcPr>
            <w:tcW w:w="4788" w:type="dxa"/>
            <w:vAlign w:val="bottom"/>
          </w:tcPr>
          <w:p w14:paraId="24B25728" w14:textId="70840824"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C66E46" w14:textId="1439481D" w:rsidR="00074730" w:rsidRDefault="00074730" w:rsidP="00074730">
            <w:pPr>
              <w:rPr>
                <w:rFonts w:ascii="Times New Roman" w:eastAsia="Times New Roman" w:hAnsi="Times New Roman" w:cs="Times New Roman"/>
                <w:color w:val="000000"/>
                <w:lang w:eastAsia="bg-BG"/>
              </w:rPr>
            </w:pPr>
            <w:r>
              <w:t>Тубулоинтерстициален нефрит</w:t>
            </w:r>
          </w:p>
        </w:tc>
      </w:tr>
      <w:tr w:rsidR="00074730" w14:paraId="436A832A" w14:textId="77777777" w:rsidTr="00074730">
        <w:tc>
          <w:tcPr>
            <w:tcW w:w="4788" w:type="dxa"/>
          </w:tcPr>
          <w:p w14:paraId="40FF24E6" w14:textId="74903DE6"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73766AC" w14:textId="5CA397B0" w:rsidR="00074730" w:rsidRDefault="00074730" w:rsidP="00074730">
            <w:pPr>
              <w:rPr>
                <w:rFonts w:ascii="Times New Roman" w:eastAsia="Times New Roman" w:hAnsi="Times New Roman" w:cs="Times New Roman"/>
                <w:color w:val="000000"/>
                <w:lang w:eastAsia="bg-BG"/>
              </w:rPr>
            </w:pPr>
            <w:r>
              <w:t>Бъбречна недостатъчност*, енуреза ноктурна*</w:t>
            </w:r>
          </w:p>
        </w:tc>
      </w:tr>
      <w:tr w:rsidR="00074730" w14:paraId="2628066E" w14:textId="77777777" w:rsidTr="008742F9">
        <w:tc>
          <w:tcPr>
            <w:tcW w:w="9576" w:type="dxa"/>
            <w:gridSpan w:val="2"/>
          </w:tcPr>
          <w:p w14:paraId="17C97206" w14:textId="0915FC8A" w:rsidR="00074730" w:rsidRPr="00074730" w:rsidRDefault="00074730" w:rsidP="00074730">
            <w:pPr>
              <w:rPr>
                <w:rFonts w:ascii="Times New Roman" w:eastAsia="Times New Roman" w:hAnsi="Times New Roman" w:cs="Times New Roman"/>
                <w:b/>
                <w:color w:val="000000"/>
                <w:lang w:eastAsia="bg-BG"/>
              </w:rPr>
            </w:pPr>
            <w:r w:rsidRPr="00074730">
              <w:rPr>
                <w:b/>
              </w:rPr>
              <w:t>Състояния, свързани с бременността, родовия и послеродовия период</w:t>
            </w:r>
          </w:p>
        </w:tc>
      </w:tr>
      <w:tr w:rsidR="00074730" w14:paraId="35502562" w14:textId="77777777" w:rsidTr="00074730">
        <w:tc>
          <w:tcPr>
            <w:tcW w:w="4788" w:type="dxa"/>
          </w:tcPr>
          <w:p w14:paraId="688B70EA" w14:textId="00C545C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877C1BC" w14:textId="2B123357" w:rsidR="00074730" w:rsidRDefault="00074730" w:rsidP="00074730">
            <w:pPr>
              <w:rPr>
                <w:rFonts w:ascii="Times New Roman" w:eastAsia="Times New Roman" w:hAnsi="Times New Roman" w:cs="Times New Roman"/>
                <w:color w:val="000000"/>
                <w:lang w:eastAsia="bg-BG"/>
              </w:rPr>
            </w:pPr>
            <w:r>
              <w:t>Синдром на отнемане при новородени (вж. точка 4.6)</w:t>
            </w:r>
          </w:p>
        </w:tc>
      </w:tr>
      <w:tr w:rsidR="00074730" w14:paraId="78FBA95D" w14:textId="77777777" w:rsidTr="00F50213">
        <w:tc>
          <w:tcPr>
            <w:tcW w:w="9576" w:type="dxa"/>
            <w:gridSpan w:val="2"/>
          </w:tcPr>
          <w:p w14:paraId="2E0E6313" w14:textId="43179AE5"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възпроизводителната система и гърдата</w:t>
            </w:r>
          </w:p>
        </w:tc>
      </w:tr>
      <w:tr w:rsidR="00074730" w14:paraId="0ED34B2C" w14:textId="77777777" w:rsidTr="00074730">
        <w:tc>
          <w:tcPr>
            <w:tcW w:w="4788" w:type="dxa"/>
          </w:tcPr>
          <w:p w14:paraId="699D5057" w14:textId="2FE19CDA"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532007AD" w14:textId="7D4B1C20" w:rsidR="00074730" w:rsidRDefault="00074730" w:rsidP="00074730">
            <w:pPr>
              <w:rPr>
                <w:rFonts w:ascii="Times New Roman" w:eastAsia="Times New Roman" w:hAnsi="Times New Roman" w:cs="Times New Roman"/>
                <w:color w:val="000000"/>
                <w:lang w:eastAsia="bg-BG"/>
              </w:rPr>
            </w:pPr>
            <w:r>
              <w:t>Приапизъм</w:t>
            </w:r>
          </w:p>
        </w:tc>
      </w:tr>
      <w:tr w:rsidR="00074730" w14:paraId="2D401266" w14:textId="77777777" w:rsidTr="00074730">
        <w:tc>
          <w:tcPr>
            <w:tcW w:w="4788" w:type="dxa"/>
          </w:tcPr>
          <w:p w14:paraId="5AF789DC" w14:textId="448584FE"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6570A392" w14:textId="514BCFE0" w:rsidR="00074730" w:rsidRDefault="00074730" w:rsidP="00074730">
            <w:pPr>
              <w:rPr>
                <w:rFonts w:ascii="Times New Roman" w:eastAsia="Times New Roman" w:hAnsi="Times New Roman" w:cs="Times New Roman"/>
                <w:color w:val="000000"/>
                <w:lang w:eastAsia="bg-BG"/>
              </w:rPr>
            </w:pPr>
            <w:r>
              <w:t>Ретроградна еякулация*</w:t>
            </w:r>
          </w:p>
        </w:tc>
      </w:tr>
      <w:tr w:rsidR="00074730" w14:paraId="2D37B4FF" w14:textId="77777777" w:rsidTr="00442ECE">
        <w:tc>
          <w:tcPr>
            <w:tcW w:w="9576" w:type="dxa"/>
            <w:gridSpan w:val="2"/>
          </w:tcPr>
          <w:p w14:paraId="61DB1814" w14:textId="50827461" w:rsidR="00074730" w:rsidRPr="00074730" w:rsidRDefault="00074730" w:rsidP="00074730">
            <w:pPr>
              <w:rPr>
                <w:rFonts w:ascii="Times New Roman" w:eastAsia="Times New Roman" w:hAnsi="Times New Roman" w:cs="Times New Roman"/>
                <w:b/>
                <w:color w:val="000000"/>
                <w:sz w:val="20"/>
                <w:szCs w:val="20"/>
                <w:lang w:eastAsia="bg-BG"/>
              </w:rPr>
            </w:pPr>
            <w:r w:rsidRPr="00074730">
              <w:rPr>
                <w:b/>
              </w:rPr>
              <w:t>Общи нарушения и ефекти на мястото на приложение</w:t>
            </w:r>
          </w:p>
        </w:tc>
      </w:tr>
      <w:tr w:rsidR="00074730" w14:paraId="2AAB3A41" w14:textId="77777777" w:rsidTr="00074730">
        <w:tc>
          <w:tcPr>
            <w:tcW w:w="4788" w:type="dxa"/>
          </w:tcPr>
          <w:p w14:paraId="4D276C88" w14:textId="5E3A12E2"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7C7B8BB3" w14:textId="74F35CE9" w:rsidR="00074730" w:rsidRDefault="00074730" w:rsidP="00074730">
            <w:pPr>
              <w:rPr>
                <w:rFonts w:ascii="Times New Roman" w:eastAsia="Times New Roman" w:hAnsi="Times New Roman" w:cs="Times New Roman"/>
                <w:color w:val="000000"/>
                <w:lang w:eastAsia="bg-BG"/>
              </w:rPr>
            </w:pPr>
            <w:r>
              <w:t>Доброкачествена хипертермия, нарушения в потоотделянето/регулацията на температурата, повишена температура, отпадналост</w:t>
            </w:r>
          </w:p>
        </w:tc>
      </w:tr>
      <w:tr w:rsidR="00074730" w14:paraId="5D4717C2" w14:textId="77777777" w:rsidTr="00074730">
        <w:tc>
          <w:tcPr>
            <w:tcW w:w="4788" w:type="dxa"/>
          </w:tcPr>
          <w:p w14:paraId="05E69C92" w14:textId="37405DAB"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7B112F0E" w14:textId="3B5628E3" w:rsidR="00074730" w:rsidRDefault="00074730" w:rsidP="00074730">
            <w:pPr>
              <w:rPr>
                <w:rFonts w:ascii="Times New Roman" w:eastAsia="Times New Roman" w:hAnsi="Times New Roman" w:cs="Times New Roman"/>
                <w:color w:val="000000"/>
                <w:lang w:eastAsia="bg-BG"/>
              </w:rPr>
            </w:pPr>
            <w:r>
              <w:t>Внезапна необяснима смърт</w:t>
            </w:r>
          </w:p>
        </w:tc>
      </w:tr>
      <w:tr w:rsidR="00074730" w14:paraId="22C17B61" w14:textId="77777777" w:rsidTr="00074730">
        <w:tc>
          <w:tcPr>
            <w:tcW w:w="4788" w:type="dxa"/>
          </w:tcPr>
          <w:p w14:paraId="0B674812" w14:textId="736B560B"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4447ECF" w14:textId="77D0CC12" w:rsidR="00074730" w:rsidRDefault="00074730" w:rsidP="00074730">
            <w:pPr>
              <w:rPr>
                <w:rFonts w:ascii="Times New Roman" w:eastAsia="Times New Roman" w:hAnsi="Times New Roman" w:cs="Times New Roman"/>
                <w:color w:val="000000"/>
                <w:lang w:eastAsia="bg-BG"/>
              </w:rPr>
            </w:pPr>
            <w:r>
              <w:t>Полисерозит*</w:t>
            </w:r>
          </w:p>
        </w:tc>
      </w:tr>
      <w:tr w:rsidR="00074730" w14:paraId="22651422" w14:textId="77777777" w:rsidTr="001219D5">
        <w:tc>
          <w:tcPr>
            <w:tcW w:w="9576" w:type="dxa"/>
            <w:gridSpan w:val="2"/>
          </w:tcPr>
          <w:p w14:paraId="6A3F8884" w14:textId="29F1D01C" w:rsidR="00074730" w:rsidRPr="00074730" w:rsidRDefault="00074730" w:rsidP="00074730">
            <w:pPr>
              <w:rPr>
                <w:b/>
                <w:sz w:val="20"/>
                <w:szCs w:val="20"/>
                <w:lang w:eastAsia="bg-BG"/>
              </w:rPr>
            </w:pPr>
            <w:r w:rsidRPr="00074730">
              <w:rPr>
                <w:b/>
                <w:lang w:eastAsia="bg-BG"/>
              </w:rPr>
              <w:t>Изследвания</w:t>
            </w:r>
          </w:p>
        </w:tc>
      </w:tr>
      <w:tr w:rsidR="00074730" w14:paraId="4F41408C" w14:textId="77777777" w:rsidTr="00074730">
        <w:tc>
          <w:tcPr>
            <w:tcW w:w="4788" w:type="dxa"/>
          </w:tcPr>
          <w:p w14:paraId="1AC23093" w14:textId="633E5C4D"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26CE312D" w14:textId="6A67EE88" w:rsidR="00074730" w:rsidRDefault="00074730" w:rsidP="00074730">
            <w:pPr>
              <w:rPr>
                <w:rFonts w:ascii="Times New Roman" w:eastAsia="Times New Roman" w:hAnsi="Times New Roman" w:cs="Times New Roman"/>
                <w:color w:val="000000"/>
                <w:lang w:eastAsia="bg-BG"/>
              </w:rPr>
            </w:pPr>
            <w:r>
              <w:t>Повишена креатин фосфокиназа (СРК)</w:t>
            </w:r>
          </w:p>
        </w:tc>
      </w:tr>
      <w:tr w:rsidR="00074730" w14:paraId="534C8262" w14:textId="77777777" w:rsidTr="00BB6086">
        <w:tc>
          <w:tcPr>
            <w:tcW w:w="9576" w:type="dxa"/>
            <w:gridSpan w:val="2"/>
          </w:tcPr>
          <w:p w14:paraId="22312B07" w14:textId="3D79E8B4" w:rsidR="00074730" w:rsidRPr="00074730" w:rsidRDefault="00074730" w:rsidP="00074730">
            <w:pPr>
              <w:rPr>
                <w:b/>
                <w:sz w:val="20"/>
                <w:szCs w:val="20"/>
                <w:lang w:eastAsia="bg-BG"/>
              </w:rPr>
            </w:pPr>
            <w:r w:rsidRPr="00074730">
              <w:rPr>
                <w:b/>
                <w:lang w:eastAsia="bg-BG"/>
              </w:rPr>
              <w:t>Наранявания, отравяния и усложнения, възникнали в резултат на интервенции</w:t>
            </w:r>
          </w:p>
        </w:tc>
      </w:tr>
      <w:tr w:rsidR="00074730" w14:paraId="42B9DE67" w14:textId="77777777" w:rsidTr="00074730">
        <w:tc>
          <w:tcPr>
            <w:tcW w:w="4788" w:type="dxa"/>
          </w:tcPr>
          <w:p w14:paraId="3932D772" w14:textId="3BB09B78"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6E801531" w14:textId="01491C92" w:rsidR="00074730" w:rsidRDefault="00074730" w:rsidP="00074730">
            <w:pPr>
              <w:rPr>
                <w:rFonts w:ascii="Times New Roman" w:eastAsia="Times New Roman" w:hAnsi="Times New Roman" w:cs="Times New Roman"/>
                <w:color w:val="000000"/>
                <w:lang w:eastAsia="bg-BG"/>
              </w:rPr>
            </w:pPr>
            <w:r>
              <w:t>Падания (свързани с припадъци, предизвикани от клозапин, сънливост, постурална хипотония, двигателна и сензорна нестабилност)*</w:t>
            </w:r>
          </w:p>
        </w:tc>
      </w:tr>
    </w:tbl>
    <w:p w14:paraId="41EC3F93" w14:textId="35C03071" w:rsidR="00074730" w:rsidRPr="00074730" w:rsidRDefault="00074730" w:rsidP="00074730">
      <w:pPr>
        <w:spacing w:line="240" w:lineRule="auto"/>
        <w:rPr>
          <w:rFonts w:eastAsia="Times New Roman" w:cs="Arial"/>
          <w:bCs/>
          <w:color w:val="000000"/>
          <w:lang w:eastAsia="bg-BG"/>
        </w:rPr>
      </w:pPr>
      <w:r w:rsidRPr="00074730">
        <w:rPr>
          <w:rFonts w:eastAsia="Times New Roman" w:cs="Arial"/>
          <w:bCs/>
          <w:color w:val="000000"/>
          <w:lang w:val="ru-RU" w:eastAsia="bg-BG"/>
        </w:rPr>
        <w:lastRenderedPageBreak/>
        <w:t>*</w:t>
      </w:r>
      <w:r w:rsidRPr="00074730">
        <w:rPr>
          <w:rFonts w:eastAsia="Times New Roman" w:cs="Arial"/>
          <w:bCs/>
          <w:color w:val="000000"/>
          <w:lang w:eastAsia="bg-BG"/>
        </w:rPr>
        <w:t>Нежеланите лекарствени реакции, получени от пост-маркетинговия опит чрез спонтанни съобщения и случаи, описани в литературата.</w:t>
      </w:r>
    </w:p>
    <w:p w14:paraId="1F4FC7B1" w14:textId="247BF8D9" w:rsidR="00074730" w:rsidRPr="00074730" w:rsidRDefault="00074730" w:rsidP="00074730">
      <w:pPr>
        <w:spacing w:line="240" w:lineRule="auto"/>
        <w:rPr>
          <w:rFonts w:eastAsia="Times New Roman" w:cs="Arial"/>
          <w:bCs/>
          <w:color w:val="000000"/>
          <w:lang w:eastAsia="bg-BG"/>
        </w:rPr>
      </w:pPr>
      <w:r w:rsidRPr="00074730">
        <w:rPr>
          <w:rFonts w:eastAsia="Times New Roman" w:cs="Arial"/>
          <w:bCs/>
          <w:color w:val="000000"/>
          <w:lang w:val="ru-RU" w:eastAsia="bg-BG"/>
        </w:rPr>
        <w:t>*</w:t>
      </w:r>
      <w:r w:rsidRPr="00074730">
        <w:rPr>
          <w:rFonts w:eastAsia="Times New Roman" w:cs="Arial"/>
          <w:bCs/>
          <w:color w:val="000000"/>
          <w:lang w:eastAsia="bg-BG"/>
        </w:rPr>
        <w:t>* Тези нежелани лекарствени реакции понякога са били фатални.</w:t>
      </w:r>
    </w:p>
    <w:p w14:paraId="63268AE0" w14:textId="77777777" w:rsidR="00074730" w:rsidRPr="00074730" w:rsidRDefault="00074730" w:rsidP="00074730">
      <w:pPr>
        <w:spacing w:line="240" w:lineRule="auto"/>
        <w:rPr>
          <w:rFonts w:eastAsia="Times New Roman" w:cs="Arial"/>
          <w:bCs/>
          <w:color w:val="000000"/>
          <w:lang w:eastAsia="bg-BG"/>
        </w:rPr>
      </w:pPr>
    </w:p>
    <w:p w14:paraId="52AC8A3F" w14:textId="3BE88AED"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 xml:space="preserve">Наблюдавани са много редки събития на удължаване на </w:t>
      </w:r>
      <w:r w:rsidRPr="00074730">
        <w:rPr>
          <w:rFonts w:eastAsia="Times New Roman" w:cs="Arial"/>
          <w:bCs/>
          <w:color w:val="000000"/>
          <w:lang w:val="en-US"/>
        </w:rPr>
        <w:t>QT</w:t>
      </w:r>
      <w:r w:rsidRPr="00074730">
        <w:rPr>
          <w:rFonts w:eastAsia="Times New Roman" w:cs="Arial"/>
          <w:bCs/>
          <w:color w:val="000000"/>
          <w:lang w:val="ru-RU"/>
        </w:rPr>
        <w:t xml:space="preserve"> </w:t>
      </w:r>
      <w:r w:rsidRPr="00074730">
        <w:rPr>
          <w:rFonts w:eastAsia="Times New Roman" w:cs="Arial"/>
          <w:bCs/>
          <w:color w:val="000000"/>
          <w:lang w:eastAsia="bg-BG"/>
        </w:rPr>
        <w:t xml:space="preserve">интервала, които могат да бъдат свързани с </w:t>
      </w:r>
      <w:proofErr w:type="spellStart"/>
      <w:r w:rsidRPr="00074730">
        <w:rPr>
          <w:rFonts w:eastAsia="Times New Roman" w:cs="Arial"/>
          <w:bCs/>
          <w:color w:val="000000"/>
          <w:lang w:val="en-US"/>
        </w:rPr>
        <w:t>Torsades</w:t>
      </w:r>
      <w:proofErr w:type="spellEnd"/>
      <w:r w:rsidRPr="00074730">
        <w:rPr>
          <w:rFonts w:eastAsia="Times New Roman" w:cs="Arial"/>
          <w:bCs/>
          <w:color w:val="000000"/>
          <w:lang w:val="ru-RU"/>
        </w:rPr>
        <w:t xml:space="preserve"> </w:t>
      </w:r>
      <w:r w:rsidRPr="00074730">
        <w:rPr>
          <w:rFonts w:eastAsia="Times New Roman" w:cs="Arial"/>
          <w:bCs/>
          <w:color w:val="000000"/>
          <w:lang w:val="en-US"/>
        </w:rPr>
        <w:t>De</w:t>
      </w:r>
      <w:r w:rsidRPr="00074730">
        <w:rPr>
          <w:rFonts w:eastAsia="Times New Roman" w:cs="Arial"/>
          <w:bCs/>
          <w:color w:val="000000"/>
          <w:lang w:val="ru-RU"/>
        </w:rPr>
        <w:t xml:space="preserve"> </w:t>
      </w:r>
      <w:r w:rsidRPr="00074730">
        <w:rPr>
          <w:rFonts w:eastAsia="Times New Roman" w:cs="Arial"/>
          <w:bCs/>
          <w:color w:val="000000"/>
          <w:lang w:val="en-US"/>
        </w:rPr>
        <w:t>Pointes</w:t>
      </w:r>
      <w:r w:rsidRPr="00074730">
        <w:rPr>
          <w:rFonts w:eastAsia="Times New Roman" w:cs="Arial"/>
          <w:bCs/>
          <w:color w:val="000000"/>
          <w:lang w:val="ru-RU"/>
        </w:rPr>
        <w:t xml:space="preserve">, </w:t>
      </w:r>
      <w:r w:rsidRPr="00074730">
        <w:rPr>
          <w:rFonts w:eastAsia="Times New Roman" w:cs="Arial"/>
          <w:bCs/>
          <w:color w:val="000000"/>
          <w:lang w:eastAsia="bg-BG"/>
        </w:rPr>
        <w:t>въпреки че липсват убедителни данни за причинно-следствена връзка с употребата на лекарствения продукт.</w:t>
      </w:r>
    </w:p>
    <w:p w14:paraId="673D7619" w14:textId="77777777" w:rsidR="00074730" w:rsidRPr="00074730" w:rsidRDefault="00074730" w:rsidP="00074730">
      <w:pPr>
        <w:spacing w:line="240" w:lineRule="auto"/>
        <w:rPr>
          <w:rFonts w:eastAsia="Times New Roman" w:cs="Arial"/>
          <w:bCs/>
          <w:color w:val="000000"/>
          <w:u w:val="single"/>
          <w:lang w:eastAsia="bg-BG"/>
        </w:rPr>
      </w:pPr>
    </w:p>
    <w:p w14:paraId="40406E86" w14:textId="4306642A" w:rsidR="00074730" w:rsidRPr="00074730" w:rsidRDefault="00074730" w:rsidP="00074730">
      <w:pPr>
        <w:spacing w:line="240" w:lineRule="auto"/>
        <w:rPr>
          <w:rFonts w:eastAsia="Times New Roman" w:cs="Arial"/>
        </w:rPr>
      </w:pPr>
      <w:r w:rsidRPr="00074730">
        <w:rPr>
          <w:rFonts w:eastAsia="Times New Roman" w:cs="Arial"/>
          <w:bCs/>
          <w:color w:val="000000"/>
          <w:u w:val="single"/>
          <w:lang w:eastAsia="bg-BG"/>
        </w:rPr>
        <w:t>Съобщаване на подозирани нежелани реакции</w:t>
      </w:r>
    </w:p>
    <w:p w14:paraId="02DCEA24"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00F2A49"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Изпълнителна агенция по лекарствата</w:t>
      </w:r>
    </w:p>
    <w:p w14:paraId="10D6301B"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ул.,Дамян Груев" № 8,1303 София</w:t>
      </w:r>
    </w:p>
    <w:p w14:paraId="0400307D"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Тел.: +35 928903417</w:t>
      </w:r>
    </w:p>
    <w:p w14:paraId="1650D320"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 xml:space="preserve">уебсайт: </w:t>
      </w:r>
      <w:hyperlink r:id="rId5" w:history="1">
        <w:r w:rsidRPr="00074730">
          <w:rPr>
            <w:rFonts w:eastAsia="Times New Roman" w:cs="Arial"/>
            <w:bCs/>
            <w:color w:val="000000"/>
            <w:u w:val="single"/>
            <w:lang w:val="en-US"/>
          </w:rPr>
          <w:t>www.bda.bg</w:t>
        </w:r>
      </w:hyperlink>
    </w:p>
    <w:p w14:paraId="5307B381" w14:textId="77777777" w:rsidR="00074730" w:rsidRPr="00074730" w:rsidRDefault="00074730" w:rsidP="00074730">
      <w:pPr>
        <w:rPr>
          <w:rFonts w:ascii="Times New Roman" w:eastAsia="Times New Roman" w:hAnsi="Times New Roman" w:cs="Times New Roman"/>
          <w:color w:val="000000"/>
          <w:sz w:val="20"/>
          <w:szCs w:val="20"/>
          <w:lang w:eastAsia="bg-BG"/>
        </w:rPr>
      </w:pPr>
    </w:p>
    <w:p w14:paraId="5A87DBA3" w14:textId="1D66CE9C" w:rsidR="007122AD" w:rsidRDefault="002C50EE" w:rsidP="00936AD0">
      <w:pPr>
        <w:pStyle w:val="Heading2"/>
      </w:pPr>
      <w:r>
        <w:t>4.9. Предозиране</w:t>
      </w:r>
    </w:p>
    <w:p w14:paraId="0C10FD1C" w14:textId="02CAC4C3" w:rsidR="00074730" w:rsidRDefault="00074730" w:rsidP="00074730"/>
    <w:p w14:paraId="61F76752" w14:textId="77777777"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 xml:space="preserve">В случаите на остро преднамерено или случайно предозиране на клозапин, за които има информация за изхода, отчетената до момента смъртност е около 12%. Повечето от фаталните случаи са свързани със сърдечна недостатъчност или пневмония поради аспирация и се развиват при дози над 2 000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Има съобщения за пациенти, които са се възстановили от предозиране с над 10 000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При малък брой възрастни индивиди обаче, особено такива, които преди това не са приемали клозапин, приемът на дози от 400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е довел до животозастрашаващи коматозни състояния и, в един случай, до смърт. При малки деца приемът на 50 до 200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е довел до дълбоко седиране или кома, която не е летална.</w:t>
      </w:r>
    </w:p>
    <w:p w14:paraId="2547B3BA" w14:textId="77777777" w:rsidR="00074730" w:rsidRPr="00074730" w:rsidRDefault="00074730" w:rsidP="00074730">
      <w:pPr>
        <w:spacing w:line="240" w:lineRule="auto"/>
        <w:rPr>
          <w:rFonts w:eastAsia="Times New Roman" w:cs="Arial"/>
          <w:bCs/>
          <w:color w:val="000000"/>
          <w:szCs w:val="20"/>
          <w:u w:val="single"/>
          <w:lang w:eastAsia="bg-BG"/>
        </w:rPr>
      </w:pPr>
    </w:p>
    <w:p w14:paraId="6B43AD32" w14:textId="03A67E4B" w:rsidR="00074730" w:rsidRPr="00074730" w:rsidRDefault="00074730" w:rsidP="00074730">
      <w:pPr>
        <w:pStyle w:val="Heading3"/>
        <w:rPr>
          <w:rFonts w:eastAsia="Times New Roman"/>
          <w:sz w:val="28"/>
          <w:u w:val="single"/>
        </w:rPr>
      </w:pPr>
      <w:r w:rsidRPr="00074730">
        <w:rPr>
          <w:rFonts w:eastAsia="Times New Roman"/>
          <w:u w:val="single"/>
          <w:lang w:eastAsia="bg-BG"/>
        </w:rPr>
        <w:t>Признаци и симптоми</w:t>
      </w:r>
    </w:p>
    <w:p w14:paraId="1E585366" w14:textId="77777777"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Сънливост, летаргия, арефлексия, кома, обърканост, халюцинации, възбуда, делир, екстрапирамидни симптоми, хиперрефлексия, гърчове; хиперсаливация, мидриаза, замъглено виждане, термолабилност; хипотония, колапс, тахикардия, сърдечни аритмии; аспирационна пневмония, диспнея, преспираторна депресия или недостатъчност.</w:t>
      </w:r>
    </w:p>
    <w:p w14:paraId="65B38604" w14:textId="77777777" w:rsidR="00074730" w:rsidRPr="00074730" w:rsidRDefault="00074730" w:rsidP="00074730">
      <w:pPr>
        <w:spacing w:line="240" w:lineRule="auto"/>
        <w:rPr>
          <w:rFonts w:eastAsia="Times New Roman" w:cs="Arial"/>
          <w:bCs/>
          <w:color w:val="000000"/>
          <w:szCs w:val="20"/>
          <w:u w:val="single"/>
          <w:lang w:eastAsia="bg-BG"/>
        </w:rPr>
      </w:pPr>
    </w:p>
    <w:p w14:paraId="3D8429D3" w14:textId="6CE343F9" w:rsidR="00074730" w:rsidRPr="00074730" w:rsidRDefault="00074730" w:rsidP="00074730">
      <w:pPr>
        <w:pStyle w:val="Heading3"/>
        <w:rPr>
          <w:rFonts w:eastAsia="Times New Roman"/>
          <w:sz w:val="28"/>
          <w:u w:val="single"/>
        </w:rPr>
      </w:pPr>
      <w:r w:rsidRPr="00074730">
        <w:rPr>
          <w:rFonts w:eastAsia="Times New Roman"/>
          <w:u w:val="single"/>
          <w:lang w:eastAsia="bg-BG"/>
        </w:rPr>
        <w:t>Лечение</w:t>
      </w:r>
    </w:p>
    <w:p w14:paraId="12455F38" w14:textId="03B5863A"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Няма специфични антидоти за клозапин.</w:t>
      </w:r>
    </w:p>
    <w:p w14:paraId="0419CEB8" w14:textId="77777777" w:rsidR="00074730" w:rsidRPr="00074730" w:rsidRDefault="00074730" w:rsidP="00074730">
      <w:pPr>
        <w:rPr>
          <w:rFonts w:eastAsia="Times New Roman" w:cs="Arial"/>
          <w:bCs/>
          <w:color w:val="000000"/>
          <w:szCs w:val="20"/>
          <w:lang w:eastAsia="bg-BG"/>
        </w:rPr>
      </w:pPr>
    </w:p>
    <w:p w14:paraId="37EB190C" w14:textId="57B684CB" w:rsidR="00074730" w:rsidRDefault="00074730" w:rsidP="00074730">
      <w:pPr>
        <w:rPr>
          <w:rFonts w:eastAsia="Times New Roman" w:cs="Arial"/>
          <w:bCs/>
          <w:color w:val="000000"/>
          <w:szCs w:val="20"/>
          <w:lang w:eastAsia="bg-BG"/>
        </w:rPr>
      </w:pPr>
      <w:r w:rsidRPr="00074730">
        <w:rPr>
          <w:rFonts w:eastAsia="Times New Roman" w:cs="Arial"/>
          <w:bCs/>
          <w:color w:val="000000"/>
          <w:szCs w:val="20"/>
          <w:lang w:eastAsia="bg-BG"/>
        </w:rPr>
        <w:t>Стомашна промивка и/или приложение на активен въглен в първите 6 часа след поглъщането на лекарството. Малко е вероятно перитонеалната диализа и хемодиализата да се окажат ефективни Симптоматично лечение под непрекъснат сърдечен мониторинг, следене на дишането, контрол на електролитите и киселинно-алкалното равновесие. Трябва да се избягва употреба на епинефрин при лечението на хипотонията, поради възможността за "обратен епинефринов" ефект.</w:t>
      </w:r>
    </w:p>
    <w:p w14:paraId="1011505E" w14:textId="0344D9DA" w:rsidR="00074730" w:rsidRDefault="00074730" w:rsidP="00074730">
      <w:pPr>
        <w:rPr>
          <w:rFonts w:eastAsia="Times New Roman" w:cs="Arial"/>
          <w:bCs/>
          <w:color w:val="000000"/>
          <w:szCs w:val="20"/>
          <w:lang w:eastAsia="bg-BG"/>
        </w:rPr>
      </w:pPr>
    </w:p>
    <w:p w14:paraId="240AA05B" w14:textId="77777777" w:rsidR="00074730" w:rsidRPr="00074730" w:rsidRDefault="00074730" w:rsidP="00074730">
      <w:pPr>
        <w:rPr>
          <w:sz w:val="24"/>
          <w:szCs w:val="24"/>
        </w:rPr>
      </w:pPr>
      <w:r w:rsidRPr="00074730">
        <w:rPr>
          <w:lang w:eastAsia="bg-BG"/>
        </w:rPr>
        <w:t>Необходимо е непрекъснато медицинско наблюдение в продължение на поне 5 дни поради възможността за поява на по-късни реакции.</w:t>
      </w:r>
    </w:p>
    <w:p w14:paraId="0366406A" w14:textId="77777777" w:rsidR="00074730" w:rsidRPr="00074730" w:rsidRDefault="00074730" w:rsidP="00074730">
      <w:pPr>
        <w:rPr>
          <w:rFonts w:cs="Arial"/>
          <w:sz w:val="24"/>
        </w:rPr>
      </w:pPr>
    </w:p>
    <w:p w14:paraId="02081B24" w14:textId="1F46E296" w:rsidR="00395555" w:rsidRPr="00395555" w:rsidRDefault="002C50EE" w:rsidP="008A6AF2">
      <w:pPr>
        <w:pStyle w:val="Heading1"/>
      </w:pPr>
      <w:r>
        <w:t>5. ФАРМАКОЛОГИЧНИ СВОЙСТВА</w:t>
      </w:r>
    </w:p>
    <w:p w14:paraId="7DE36AC8" w14:textId="46B682D3" w:rsidR="00B6672E" w:rsidRDefault="002C50EE" w:rsidP="00936AD0">
      <w:pPr>
        <w:pStyle w:val="Heading2"/>
      </w:pPr>
      <w:r>
        <w:t>5.1. Фармакодинамични свойства</w:t>
      </w:r>
    </w:p>
    <w:p w14:paraId="62C5A23B" w14:textId="52ED9982" w:rsidR="00074730" w:rsidRDefault="00074730" w:rsidP="00074730"/>
    <w:p w14:paraId="7A8C5380"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Фармакотерапевтична група: Антипсихотици; диазепини, оксазепини, тиазепини и оксепини АТС код: </w:t>
      </w:r>
      <w:r w:rsidRPr="00074730">
        <w:rPr>
          <w:rFonts w:eastAsia="Times New Roman" w:cs="Arial"/>
          <w:color w:val="000000"/>
          <w:szCs w:val="20"/>
          <w:lang w:val="en-US"/>
        </w:rPr>
        <w:t>N</w:t>
      </w:r>
      <w:r w:rsidRPr="00074730">
        <w:rPr>
          <w:rFonts w:eastAsia="Times New Roman" w:cs="Arial"/>
          <w:color w:val="000000"/>
          <w:szCs w:val="20"/>
          <w:lang w:val="ru-RU"/>
        </w:rPr>
        <w:t>05</w:t>
      </w:r>
      <w:r w:rsidRPr="00074730">
        <w:rPr>
          <w:rFonts w:eastAsia="Times New Roman" w:cs="Arial"/>
          <w:color w:val="000000"/>
          <w:szCs w:val="20"/>
          <w:lang w:val="en-US"/>
        </w:rPr>
        <w:t>A</w:t>
      </w:r>
      <w:r w:rsidRPr="00074730">
        <w:rPr>
          <w:rFonts w:eastAsia="Times New Roman" w:cs="Arial"/>
          <w:color w:val="000000"/>
          <w:szCs w:val="20"/>
          <w:lang w:val="ru-RU"/>
        </w:rPr>
        <w:t xml:space="preserve"> </w:t>
      </w:r>
      <w:r w:rsidRPr="00074730">
        <w:rPr>
          <w:rFonts w:eastAsia="Times New Roman" w:cs="Arial"/>
          <w:color w:val="000000"/>
          <w:szCs w:val="20"/>
          <w:lang w:eastAsia="bg-BG"/>
        </w:rPr>
        <w:t>Н02</w:t>
      </w:r>
    </w:p>
    <w:p w14:paraId="23B82217" w14:textId="77777777" w:rsidR="00074730" w:rsidRPr="00074730" w:rsidRDefault="00074730" w:rsidP="00074730">
      <w:pPr>
        <w:spacing w:line="240" w:lineRule="auto"/>
        <w:rPr>
          <w:rFonts w:eastAsia="Times New Roman" w:cs="Arial"/>
          <w:color w:val="000000"/>
          <w:szCs w:val="20"/>
          <w:u w:val="single"/>
          <w:lang w:eastAsia="bg-BG"/>
        </w:rPr>
      </w:pPr>
    </w:p>
    <w:p w14:paraId="746C3F39" w14:textId="4221BF63"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Механизъм на действие</w:t>
      </w:r>
    </w:p>
    <w:p w14:paraId="77C252EF"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За клозапин като антипсихотично средство е доказано, че се различава от класическите антипсихотици.</w:t>
      </w:r>
    </w:p>
    <w:p w14:paraId="350BC850" w14:textId="77777777" w:rsidR="00074730" w:rsidRPr="00074730" w:rsidRDefault="00074730" w:rsidP="00074730">
      <w:pPr>
        <w:spacing w:line="240" w:lineRule="auto"/>
        <w:rPr>
          <w:rFonts w:eastAsia="Times New Roman" w:cs="Arial"/>
          <w:color w:val="000000"/>
          <w:szCs w:val="20"/>
          <w:lang w:eastAsia="bg-BG"/>
        </w:rPr>
      </w:pPr>
    </w:p>
    <w:p w14:paraId="74F483F2" w14:textId="6A00A020"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При фармакологични експерименти веществото не предизвиква каталепсия или инхибира индуцираното от апоморфин или амфетамин стереотипно поведение. То има само слабо блокиращо действие на допамииовите рецептори </w:t>
      </w:r>
      <w:r w:rsidRPr="00074730">
        <w:rPr>
          <w:rFonts w:eastAsia="Times New Roman" w:cs="Arial"/>
          <w:color w:val="000000"/>
          <w:szCs w:val="20"/>
          <w:lang w:val="en-US"/>
        </w:rPr>
        <w:t>D</w:t>
      </w:r>
      <w:r w:rsidRPr="00074730">
        <w:rPr>
          <w:rFonts w:eastAsia="Times New Roman" w:cs="Arial"/>
          <w:color w:val="000000"/>
          <w:szCs w:val="20"/>
          <w:vertAlign w:val="subscript"/>
          <w:lang w:val="ru-RU"/>
        </w:rPr>
        <w:t>1</w:t>
      </w:r>
      <w:r w:rsidRPr="00074730">
        <w:rPr>
          <w:rFonts w:eastAsia="Times New Roman" w:cs="Arial"/>
          <w:color w:val="000000"/>
          <w:szCs w:val="20"/>
          <w:lang w:val="ru-RU"/>
        </w:rPr>
        <w:t xml:space="preserve">, </w:t>
      </w:r>
      <w:r w:rsidRPr="00074730">
        <w:rPr>
          <w:rFonts w:eastAsia="Times New Roman" w:cs="Arial"/>
          <w:color w:val="000000"/>
          <w:szCs w:val="20"/>
          <w:lang w:val="en-US"/>
        </w:rPr>
        <w:t>D</w:t>
      </w:r>
      <w:r w:rsidRPr="00074730">
        <w:rPr>
          <w:rFonts w:eastAsia="Times New Roman" w:cs="Arial"/>
          <w:color w:val="000000"/>
          <w:szCs w:val="20"/>
          <w:vertAlign w:val="subscript"/>
          <w:lang w:val="ru-RU"/>
        </w:rPr>
        <w:t>2</w:t>
      </w:r>
      <w:r w:rsidRPr="00074730">
        <w:rPr>
          <w:rFonts w:eastAsia="Times New Roman" w:cs="Arial"/>
          <w:color w:val="000000"/>
          <w:szCs w:val="20"/>
          <w:lang w:val="ru-RU"/>
        </w:rPr>
        <w:t xml:space="preserve">, </w:t>
      </w:r>
      <w:r w:rsidRPr="00074730">
        <w:rPr>
          <w:rFonts w:eastAsia="Times New Roman" w:cs="Arial"/>
          <w:color w:val="000000"/>
          <w:szCs w:val="20"/>
          <w:lang w:val="en-US"/>
        </w:rPr>
        <w:t>D</w:t>
      </w:r>
      <w:r w:rsidRPr="00074730">
        <w:rPr>
          <w:rFonts w:eastAsia="Times New Roman" w:cs="Arial"/>
          <w:color w:val="000000"/>
          <w:szCs w:val="20"/>
          <w:vertAlign w:val="subscript"/>
          <w:lang w:val="ru-RU"/>
        </w:rPr>
        <w:t>3</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 </w:t>
      </w:r>
      <w:r w:rsidRPr="00074730">
        <w:rPr>
          <w:rFonts w:eastAsia="Times New Roman" w:cs="Arial"/>
          <w:color w:val="000000"/>
          <w:szCs w:val="20"/>
          <w:lang w:val="en-US"/>
        </w:rPr>
        <w:t>D</w:t>
      </w:r>
      <w:r w:rsidRPr="00074730">
        <w:rPr>
          <w:rFonts w:eastAsia="Times New Roman" w:cs="Arial"/>
          <w:color w:val="000000"/>
          <w:szCs w:val="20"/>
          <w:vertAlign w:val="subscript"/>
          <w:lang w:val="ru-RU"/>
        </w:rPr>
        <w:t>5</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но показва висок афинитет към </w:t>
      </w:r>
      <w:r w:rsidRPr="00074730">
        <w:rPr>
          <w:rFonts w:eastAsia="Times New Roman" w:cs="Arial"/>
          <w:color w:val="000000"/>
          <w:szCs w:val="20"/>
          <w:lang w:val="en-US"/>
        </w:rPr>
        <w:t>D</w:t>
      </w:r>
      <w:r w:rsidRPr="00074730">
        <w:rPr>
          <w:rFonts w:eastAsia="Times New Roman" w:cs="Arial"/>
          <w:color w:val="000000"/>
          <w:szCs w:val="20"/>
          <w:vertAlign w:val="subscript"/>
          <w:lang w:val="ru-RU"/>
        </w:rPr>
        <w:t>4</w:t>
      </w:r>
      <w:r w:rsidRPr="00074730">
        <w:rPr>
          <w:rFonts w:eastAsia="Times New Roman" w:cs="Arial"/>
          <w:color w:val="000000"/>
          <w:szCs w:val="20"/>
          <w:lang w:val="ru-RU"/>
        </w:rPr>
        <w:t xml:space="preserve"> </w:t>
      </w:r>
      <w:r w:rsidRPr="00074730">
        <w:rPr>
          <w:rFonts w:eastAsia="Times New Roman" w:cs="Arial"/>
          <w:color w:val="000000"/>
          <w:szCs w:val="20"/>
          <w:lang w:eastAsia="bg-BG"/>
        </w:rPr>
        <w:t>рецептора.</w:t>
      </w:r>
    </w:p>
    <w:p w14:paraId="137D1F2D" w14:textId="77777777" w:rsidR="00074730" w:rsidRPr="00074730" w:rsidRDefault="00074730" w:rsidP="00074730">
      <w:pPr>
        <w:spacing w:line="240" w:lineRule="auto"/>
        <w:rPr>
          <w:rFonts w:eastAsia="Times New Roman" w:cs="Arial"/>
          <w:color w:val="000000"/>
          <w:szCs w:val="20"/>
          <w:u w:val="single"/>
          <w:lang w:eastAsia="bg-BG"/>
        </w:rPr>
      </w:pPr>
    </w:p>
    <w:p w14:paraId="6376D51F" w14:textId="04F704BB"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Фармакодинамични ефекти</w:t>
      </w:r>
    </w:p>
    <w:p w14:paraId="60DAE9FD"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Клозапин притежава мощни антиалфаадренергични, антихолинергични, антихистаминови и инхибиращи възбудната реакция ефекти. Доказано е, че притежава и антисеротонинергични свойства.</w:t>
      </w:r>
    </w:p>
    <w:p w14:paraId="32182A27" w14:textId="77777777" w:rsidR="00074730" w:rsidRPr="00074730" w:rsidRDefault="00074730" w:rsidP="00074730">
      <w:pPr>
        <w:spacing w:line="240" w:lineRule="auto"/>
        <w:rPr>
          <w:rFonts w:eastAsia="Times New Roman" w:cs="Arial"/>
          <w:color w:val="000000"/>
          <w:szCs w:val="20"/>
          <w:u w:val="single"/>
          <w:lang w:eastAsia="bg-BG"/>
        </w:rPr>
      </w:pPr>
    </w:p>
    <w:p w14:paraId="494F860C" w14:textId="201072FD"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Клинична ефикасност и безопасност</w:t>
      </w:r>
    </w:p>
    <w:p w14:paraId="0AD64CDC"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В клинични условия клозапин предизвиква бързо и изразено седиране и оказва антипсихотични ефекти при шизофренно болни с резистентност към друго медикаментозно лечение. В такива случаи е доказано, че клозапин е ефективен при облекчаване както на позитивните, така и на негативните шизофрении симптоми, главно при проведени краткосрочни изпитвания. При едно открито клинично проучване, проведено при 319 резистентни на лечение пациенти, лекувани в продължение на 12 месеца, е отчетено клинично значимо подобрение при 37% от случаите в рамките на първата седмица от лечението и при още 44% в края на 12-те месеца Подобрението е определено като 20% понижаване на скора по кратката психиатрична скала за оценка </w:t>
      </w:r>
      <w:r w:rsidRPr="00074730">
        <w:rPr>
          <w:rFonts w:eastAsia="Times New Roman" w:cs="Arial"/>
          <w:color w:val="000000"/>
          <w:szCs w:val="20"/>
          <w:lang w:val="ru-RU"/>
        </w:rPr>
        <w:t>(</w:t>
      </w:r>
      <w:r w:rsidRPr="00074730">
        <w:rPr>
          <w:rFonts w:eastAsia="Times New Roman" w:cs="Arial"/>
          <w:color w:val="000000"/>
          <w:szCs w:val="20"/>
          <w:lang w:val="en-US"/>
        </w:rPr>
        <w:t>Brief</w:t>
      </w:r>
      <w:r w:rsidRPr="00074730">
        <w:rPr>
          <w:rFonts w:eastAsia="Times New Roman" w:cs="Arial"/>
          <w:color w:val="000000"/>
          <w:szCs w:val="20"/>
          <w:lang w:val="ru-RU"/>
        </w:rPr>
        <w:t xml:space="preserve"> </w:t>
      </w:r>
      <w:r w:rsidRPr="00074730">
        <w:rPr>
          <w:rFonts w:eastAsia="Times New Roman" w:cs="Arial"/>
          <w:color w:val="000000"/>
          <w:szCs w:val="20"/>
          <w:lang w:val="en-US"/>
        </w:rPr>
        <w:t>Psychiatric</w:t>
      </w:r>
      <w:r w:rsidRPr="00074730">
        <w:rPr>
          <w:rFonts w:eastAsia="Times New Roman" w:cs="Arial"/>
          <w:color w:val="000000"/>
          <w:szCs w:val="20"/>
          <w:lang w:val="ru-RU"/>
        </w:rPr>
        <w:t xml:space="preserve"> </w:t>
      </w:r>
      <w:r w:rsidRPr="00074730">
        <w:rPr>
          <w:rFonts w:eastAsia="Times New Roman" w:cs="Arial"/>
          <w:color w:val="000000"/>
          <w:szCs w:val="20"/>
          <w:lang w:val="en-US"/>
        </w:rPr>
        <w:t>Rating</w:t>
      </w:r>
      <w:r w:rsidRPr="00074730">
        <w:rPr>
          <w:rFonts w:eastAsia="Times New Roman" w:cs="Arial"/>
          <w:color w:val="000000"/>
          <w:szCs w:val="20"/>
          <w:lang w:val="ru-RU"/>
        </w:rPr>
        <w:t xml:space="preserve"> </w:t>
      </w:r>
      <w:r w:rsidRPr="00074730">
        <w:rPr>
          <w:rFonts w:eastAsia="Times New Roman" w:cs="Arial"/>
          <w:color w:val="000000"/>
          <w:szCs w:val="20"/>
          <w:lang w:val="en-US"/>
        </w:rPr>
        <w:t>Scale</w:t>
      </w:r>
      <w:r w:rsidRPr="00074730">
        <w:rPr>
          <w:rFonts w:eastAsia="Times New Roman" w:cs="Arial"/>
          <w:color w:val="000000"/>
          <w:szCs w:val="20"/>
          <w:lang w:val="ru-RU"/>
        </w:rPr>
        <w:t xml:space="preserve">) </w:t>
      </w:r>
      <w:r w:rsidRPr="00074730">
        <w:rPr>
          <w:rFonts w:eastAsia="Times New Roman" w:cs="Arial"/>
          <w:color w:val="000000"/>
          <w:szCs w:val="20"/>
          <w:lang w:eastAsia="bg-BG"/>
        </w:rPr>
        <w:t>спрямо изходния резултат. Освен това се съобщава и за подобрение по отношение на някои от аспектите на когнитивната дисфункция.</w:t>
      </w:r>
    </w:p>
    <w:p w14:paraId="39A35DDF" w14:textId="77777777" w:rsidR="00074730" w:rsidRPr="00074730" w:rsidRDefault="00074730" w:rsidP="00074730">
      <w:pPr>
        <w:spacing w:line="240" w:lineRule="auto"/>
        <w:rPr>
          <w:rFonts w:eastAsia="Times New Roman" w:cs="Arial"/>
          <w:color w:val="000000"/>
          <w:szCs w:val="20"/>
          <w:lang w:eastAsia="bg-BG"/>
        </w:rPr>
      </w:pPr>
    </w:p>
    <w:p w14:paraId="5A4F46DF" w14:textId="6415F6A1"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В сравнение с класическите антипсихотици, клозапин предизвиква по-малко големи екстрапирамидни реакции като дистония, паркинсоподобни нежелани реакции и акатизия. Противно на класическите антипсихотици, клозапин предизвиква слабо или не предизвиква повишение на пролактина, като по този начин се избягват нежелани реакции като </w:t>
      </w:r>
      <w:r w:rsidRPr="00074730">
        <w:rPr>
          <w:rFonts w:eastAsia="Times New Roman" w:cs="Arial"/>
          <w:i/>
          <w:iCs/>
          <w:color w:val="000000"/>
          <w:szCs w:val="20"/>
          <w:lang w:eastAsia="bg-BG"/>
        </w:rPr>
        <w:t xml:space="preserve">гинекомастия, </w:t>
      </w:r>
      <w:r w:rsidRPr="00074730">
        <w:rPr>
          <w:rFonts w:eastAsia="Times New Roman" w:cs="Arial"/>
          <w:color w:val="000000"/>
          <w:szCs w:val="20"/>
          <w:lang w:eastAsia="bg-BG"/>
        </w:rPr>
        <w:t>аменорея, галакторея и импотентност.</w:t>
      </w:r>
    </w:p>
    <w:p w14:paraId="1A5186BD" w14:textId="77777777" w:rsidR="00074730" w:rsidRPr="00074730" w:rsidRDefault="00074730" w:rsidP="00074730">
      <w:pPr>
        <w:rPr>
          <w:rFonts w:eastAsia="Times New Roman" w:cs="Arial"/>
          <w:color w:val="000000"/>
          <w:szCs w:val="20"/>
          <w:lang w:eastAsia="bg-BG"/>
        </w:rPr>
      </w:pPr>
    </w:p>
    <w:p w14:paraId="0026F589" w14:textId="44AAC43F" w:rsidR="00074730" w:rsidRPr="00074730" w:rsidRDefault="00074730" w:rsidP="00074730">
      <w:pPr>
        <w:rPr>
          <w:rFonts w:eastAsia="Times New Roman" w:cs="Arial"/>
          <w:color w:val="000000"/>
          <w:szCs w:val="20"/>
          <w:lang w:eastAsia="bg-BG"/>
        </w:rPr>
      </w:pPr>
      <w:r w:rsidRPr="00074730">
        <w:rPr>
          <w:rFonts w:eastAsia="Times New Roman" w:cs="Arial"/>
          <w:color w:val="000000"/>
          <w:szCs w:val="20"/>
          <w:lang w:eastAsia="bg-BG"/>
        </w:rPr>
        <w:t xml:space="preserve">Потенциално сериозни нежелани реакции, предизвикани от лечението с клозапин са гранулоцитопенията и агранулоцитозата, честотата на които е определена съответно на 3% и 0,7%. Поради този риск, употребата на клозапин трябва да се ограничи до пациенти, които са резистентни на лечение или (само за таблетките от 25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или 100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пациенти с психоза при болест на Паркинсон, когато другите терапевтични стратегии са се оказали неуспешни (вж. точка 4.1) и при които могат да се провеждат редовни хематологични изследвания (вж. точки 4.4 и 4.8).</w:t>
      </w:r>
    </w:p>
    <w:p w14:paraId="66377894" w14:textId="77777777" w:rsidR="00074730" w:rsidRPr="00074730" w:rsidRDefault="00074730" w:rsidP="00074730"/>
    <w:p w14:paraId="78DD93AA" w14:textId="59C0BAA2" w:rsidR="00B6672E" w:rsidRDefault="002C50EE" w:rsidP="00936AD0">
      <w:pPr>
        <w:pStyle w:val="Heading2"/>
      </w:pPr>
      <w:r>
        <w:lastRenderedPageBreak/>
        <w:t>5.2. Фармакокинетични свойства</w:t>
      </w:r>
    </w:p>
    <w:p w14:paraId="51C4B5FD" w14:textId="02867C49" w:rsidR="00074730" w:rsidRDefault="00074730" w:rsidP="00074730"/>
    <w:p w14:paraId="29657C05" w14:textId="77777777" w:rsidR="00074730" w:rsidRPr="00074730" w:rsidRDefault="00074730" w:rsidP="00074730">
      <w:pPr>
        <w:pStyle w:val="Heading3"/>
        <w:rPr>
          <w:rFonts w:eastAsia="Times New Roman"/>
          <w:sz w:val="28"/>
          <w:u w:val="single"/>
        </w:rPr>
      </w:pPr>
      <w:r w:rsidRPr="00074730">
        <w:rPr>
          <w:rFonts w:eastAsia="Times New Roman"/>
          <w:u w:val="single"/>
          <w:lang w:eastAsia="bg-BG"/>
        </w:rPr>
        <w:t>Абсорбция</w:t>
      </w:r>
    </w:p>
    <w:p w14:paraId="355386C9"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Абсорбцията на перорално приложения лозапин е 90 до 95% като нито скоростта, нито степента на абсорбцията се влияе от храната.</w:t>
      </w:r>
    </w:p>
    <w:p w14:paraId="7C5ABA08" w14:textId="5CD43AD3" w:rsidR="00074730" w:rsidRPr="00074730" w:rsidRDefault="00074730" w:rsidP="00074730">
      <w:pPr>
        <w:rPr>
          <w:rFonts w:eastAsia="Times New Roman" w:cs="Arial"/>
          <w:color w:val="000000"/>
          <w:szCs w:val="20"/>
          <w:lang w:eastAsia="bg-BG"/>
        </w:rPr>
      </w:pPr>
      <w:r w:rsidRPr="00074730">
        <w:rPr>
          <w:rFonts w:eastAsia="Times New Roman" w:cs="Arial"/>
          <w:color w:val="000000"/>
          <w:szCs w:val="20"/>
          <w:lang w:eastAsia="bg-BG"/>
        </w:rPr>
        <w:t>Клозапин е подложен на умерен метаболизъм при първо преминаване, което води до абсолютна бионаличност от 50 до 60%.</w:t>
      </w:r>
    </w:p>
    <w:p w14:paraId="54E1A457" w14:textId="6F6A88D3" w:rsidR="00074730" w:rsidRPr="00074730" w:rsidRDefault="00074730" w:rsidP="00074730">
      <w:pPr>
        <w:rPr>
          <w:rFonts w:eastAsia="Times New Roman" w:cs="Arial"/>
          <w:color w:val="000000"/>
          <w:szCs w:val="20"/>
          <w:lang w:eastAsia="bg-BG"/>
        </w:rPr>
      </w:pPr>
    </w:p>
    <w:p w14:paraId="394C80EB" w14:textId="77777777" w:rsidR="00074730" w:rsidRPr="00074730" w:rsidRDefault="00074730" w:rsidP="00074730">
      <w:pPr>
        <w:pStyle w:val="Heading3"/>
        <w:rPr>
          <w:rFonts w:eastAsia="Times New Roman"/>
          <w:sz w:val="28"/>
          <w:u w:val="single"/>
        </w:rPr>
      </w:pPr>
      <w:r w:rsidRPr="00074730">
        <w:rPr>
          <w:rFonts w:eastAsia="Times New Roman"/>
          <w:u w:val="single"/>
          <w:lang w:eastAsia="bg-BG"/>
        </w:rPr>
        <w:t>Разпределение</w:t>
      </w:r>
    </w:p>
    <w:p w14:paraId="46FA87B2"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При равновесни условия, ако се дава два пъти дневно, пиковите нива в кръвта се откриват средно след 2,1 часа (в диапазон: 0,4 до 4,2 часа), а обемът на разпределение е 1,61</w:t>
      </w:r>
      <w:r w:rsidRPr="00074730">
        <w:rPr>
          <w:rFonts w:eastAsia="Times New Roman" w:cs="Arial"/>
          <w:color w:val="000000"/>
          <w:szCs w:val="20"/>
          <w:lang w:val="ru-RU"/>
        </w:rPr>
        <w:t>/</w:t>
      </w:r>
      <w:r w:rsidRPr="00074730">
        <w:rPr>
          <w:rFonts w:eastAsia="Times New Roman" w:cs="Arial"/>
          <w:color w:val="000000"/>
          <w:szCs w:val="20"/>
          <w:lang w:val="en-US"/>
        </w:rPr>
        <w:t>kg</w:t>
      </w:r>
      <w:r w:rsidRPr="00074730">
        <w:rPr>
          <w:rFonts w:eastAsia="Times New Roman" w:cs="Arial"/>
          <w:color w:val="000000"/>
          <w:szCs w:val="20"/>
          <w:lang w:val="ru-RU"/>
        </w:rPr>
        <w:t xml:space="preserve">. </w:t>
      </w:r>
      <w:r w:rsidRPr="00074730">
        <w:rPr>
          <w:rFonts w:eastAsia="Times New Roman" w:cs="Arial"/>
          <w:color w:val="000000"/>
          <w:szCs w:val="20"/>
          <w:lang w:eastAsia="bg-BG"/>
        </w:rPr>
        <w:t>Клозапин се свързва в приблизително 95% с плазмените протеини.</w:t>
      </w:r>
    </w:p>
    <w:p w14:paraId="5A1C10F3" w14:textId="77777777" w:rsidR="00074730" w:rsidRPr="00074730" w:rsidRDefault="00074730" w:rsidP="00074730">
      <w:pPr>
        <w:spacing w:line="240" w:lineRule="auto"/>
        <w:rPr>
          <w:rFonts w:eastAsia="Times New Roman" w:cs="Arial"/>
          <w:color w:val="000000"/>
          <w:szCs w:val="20"/>
          <w:u w:val="single"/>
          <w:lang w:eastAsia="bg-BG"/>
        </w:rPr>
      </w:pPr>
    </w:p>
    <w:p w14:paraId="143486B7" w14:textId="0389D77A" w:rsidR="00074730" w:rsidRPr="00074730" w:rsidRDefault="00074730" w:rsidP="00074730">
      <w:pPr>
        <w:pStyle w:val="Heading3"/>
        <w:rPr>
          <w:rFonts w:eastAsia="Times New Roman"/>
          <w:sz w:val="28"/>
          <w:u w:val="single"/>
        </w:rPr>
      </w:pPr>
      <w:r w:rsidRPr="00074730">
        <w:rPr>
          <w:rFonts w:eastAsia="Times New Roman"/>
          <w:u w:val="single"/>
          <w:lang w:eastAsia="bg-BG"/>
        </w:rPr>
        <w:t>Биотрансформапия/метаболизъм</w:t>
      </w:r>
    </w:p>
    <w:p w14:paraId="3E20E629"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Клозапин се метаболизира почти напълно от </w:t>
      </w:r>
      <w:r w:rsidRPr="00074730">
        <w:rPr>
          <w:rFonts w:eastAsia="Times New Roman" w:cs="Arial"/>
          <w:color w:val="000000"/>
          <w:szCs w:val="20"/>
          <w:lang w:val="en-US"/>
        </w:rPr>
        <w:t>CYP</w:t>
      </w:r>
      <w:r w:rsidRPr="00074730">
        <w:rPr>
          <w:rFonts w:eastAsia="Times New Roman" w:cs="Arial"/>
          <w:color w:val="000000"/>
          <w:szCs w:val="20"/>
          <w:lang w:val="ru-RU"/>
        </w:rPr>
        <w:t>1</w:t>
      </w:r>
      <w:r w:rsidRPr="00074730">
        <w:rPr>
          <w:rFonts w:eastAsia="Times New Roman" w:cs="Arial"/>
          <w:color w:val="000000"/>
          <w:szCs w:val="20"/>
          <w:lang w:eastAsia="bg-BG"/>
        </w:rPr>
        <w:t xml:space="preserve">А2 </w:t>
      </w:r>
      <w:r w:rsidRPr="00074730">
        <w:rPr>
          <w:rFonts w:eastAsia="Times New Roman" w:cs="Arial"/>
          <w:color w:val="000000"/>
          <w:szCs w:val="20"/>
          <w:lang w:val="en-US"/>
        </w:rPr>
        <w:t>and</w:t>
      </w:r>
      <w:r w:rsidRPr="00074730">
        <w:rPr>
          <w:rFonts w:eastAsia="Times New Roman" w:cs="Arial"/>
          <w:color w:val="000000"/>
          <w:szCs w:val="20"/>
          <w:lang w:val="ru-RU"/>
        </w:rPr>
        <w:t xml:space="preserve"> </w:t>
      </w:r>
      <w:r w:rsidRPr="00074730">
        <w:rPr>
          <w:rFonts w:eastAsia="Times New Roman" w:cs="Arial"/>
          <w:color w:val="000000"/>
          <w:szCs w:val="20"/>
          <w:lang w:val="en-US"/>
        </w:rPr>
        <w:t>CYP</w:t>
      </w:r>
      <w:r w:rsidRPr="00074730">
        <w:rPr>
          <w:rFonts w:eastAsia="Times New Roman" w:cs="Arial"/>
          <w:color w:val="000000"/>
          <w:szCs w:val="20"/>
          <w:lang w:val="ru-RU"/>
        </w:rPr>
        <w:t>3</w:t>
      </w:r>
      <w:r w:rsidRPr="00074730">
        <w:rPr>
          <w:rFonts w:eastAsia="Times New Roman" w:cs="Arial"/>
          <w:color w:val="000000"/>
          <w:szCs w:val="20"/>
          <w:lang w:val="en-US"/>
        </w:rPr>
        <w:t>A</w:t>
      </w:r>
      <w:r w:rsidRPr="00074730">
        <w:rPr>
          <w:rFonts w:eastAsia="Times New Roman" w:cs="Arial"/>
          <w:color w:val="000000"/>
          <w:szCs w:val="20"/>
          <w:lang w:val="ru-RU"/>
        </w:rPr>
        <w:t xml:space="preserve">4 </w:t>
      </w:r>
      <w:r w:rsidRPr="00074730">
        <w:rPr>
          <w:rFonts w:eastAsia="Times New Roman" w:cs="Arial"/>
          <w:color w:val="000000"/>
          <w:szCs w:val="20"/>
          <w:lang w:eastAsia="bg-BG"/>
        </w:rPr>
        <w:t xml:space="preserve">преди да се екскретира, и до известна степен от </w:t>
      </w:r>
      <w:r w:rsidRPr="00074730">
        <w:rPr>
          <w:rFonts w:eastAsia="Times New Roman" w:cs="Arial"/>
          <w:color w:val="000000"/>
          <w:szCs w:val="20"/>
          <w:lang w:val="en-US"/>
        </w:rPr>
        <w:t>CYP</w:t>
      </w:r>
      <w:r w:rsidRPr="00074730">
        <w:rPr>
          <w:rFonts w:eastAsia="Times New Roman" w:cs="Arial"/>
          <w:color w:val="000000"/>
          <w:szCs w:val="20"/>
          <w:lang w:val="ru-RU"/>
        </w:rPr>
        <w:t>2</w:t>
      </w:r>
      <w:r w:rsidRPr="00074730">
        <w:rPr>
          <w:rFonts w:eastAsia="Times New Roman" w:cs="Arial"/>
          <w:color w:val="000000"/>
          <w:szCs w:val="20"/>
          <w:lang w:val="en-US"/>
        </w:rPr>
        <w:t>C</w:t>
      </w:r>
      <w:r w:rsidRPr="00074730">
        <w:rPr>
          <w:rFonts w:eastAsia="Times New Roman" w:cs="Arial"/>
          <w:color w:val="000000"/>
          <w:szCs w:val="20"/>
          <w:lang w:val="ru-RU"/>
        </w:rPr>
        <w:t xml:space="preserve">19 </w:t>
      </w:r>
      <w:r w:rsidRPr="00074730">
        <w:rPr>
          <w:rFonts w:eastAsia="Times New Roman" w:cs="Arial"/>
          <w:color w:val="000000"/>
          <w:szCs w:val="20"/>
          <w:lang w:eastAsia="bg-BG"/>
        </w:rPr>
        <w:t xml:space="preserve">и </w:t>
      </w:r>
      <w:r w:rsidRPr="00074730">
        <w:rPr>
          <w:rFonts w:eastAsia="Times New Roman" w:cs="Arial"/>
          <w:color w:val="000000"/>
          <w:szCs w:val="20"/>
          <w:lang w:val="en-US"/>
        </w:rPr>
        <w:t>CYP</w:t>
      </w:r>
      <w:r w:rsidRPr="00074730">
        <w:rPr>
          <w:rFonts w:eastAsia="Times New Roman" w:cs="Arial"/>
          <w:color w:val="000000"/>
          <w:szCs w:val="20"/>
          <w:lang w:val="ru-RU"/>
        </w:rPr>
        <w:t>2</w:t>
      </w:r>
      <w:r w:rsidRPr="00074730">
        <w:rPr>
          <w:rFonts w:eastAsia="Times New Roman" w:cs="Arial"/>
          <w:color w:val="000000"/>
          <w:szCs w:val="20"/>
          <w:lang w:val="en-US"/>
        </w:rPr>
        <w:t>D</w:t>
      </w:r>
      <w:r w:rsidRPr="00074730">
        <w:rPr>
          <w:rFonts w:eastAsia="Times New Roman" w:cs="Arial"/>
          <w:color w:val="000000"/>
          <w:szCs w:val="20"/>
          <w:lang w:val="ru-RU"/>
        </w:rPr>
        <w:t xml:space="preserve">6. </w:t>
      </w:r>
      <w:r w:rsidRPr="00074730">
        <w:rPr>
          <w:rFonts w:eastAsia="Times New Roman" w:cs="Arial"/>
          <w:color w:val="000000"/>
          <w:szCs w:val="20"/>
          <w:lang w:eastAsia="bg-BG"/>
        </w:rPr>
        <w:t>От основните метаболити, единствено за диметиловото производно е доказано, че е активно. Фармакологичните му действия наподобяват тези на клозапин, но са значително по-слаби и по-краткотрайни.</w:t>
      </w:r>
    </w:p>
    <w:p w14:paraId="3776CB93" w14:textId="77777777" w:rsidR="00074730" w:rsidRPr="00074730" w:rsidRDefault="00074730" w:rsidP="00074730">
      <w:pPr>
        <w:spacing w:line="240" w:lineRule="auto"/>
        <w:rPr>
          <w:rFonts w:eastAsia="Times New Roman" w:cs="Arial"/>
          <w:color w:val="000000"/>
          <w:szCs w:val="20"/>
          <w:u w:val="single"/>
          <w:lang w:eastAsia="bg-BG"/>
        </w:rPr>
      </w:pPr>
    </w:p>
    <w:p w14:paraId="0F2A77E8" w14:textId="01C32BDF" w:rsidR="00074730" w:rsidRPr="00074730" w:rsidRDefault="00074730" w:rsidP="00074730">
      <w:pPr>
        <w:pStyle w:val="Heading3"/>
        <w:rPr>
          <w:rFonts w:eastAsia="Times New Roman"/>
          <w:sz w:val="28"/>
          <w:u w:val="single"/>
        </w:rPr>
      </w:pPr>
      <w:r w:rsidRPr="00074730">
        <w:rPr>
          <w:rFonts w:eastAsia="Times New Roman"/>
          <w:u w:val="single"/>
          <w:lang w:eastAsia="bg-BG"/>
        </w:rPr>
        <w:t>Елиминиране</w:t>
      </w:r>
    </w:p>
    <w:p w14:paraId="6B46BDEB"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Елиминирането му е двуфазово със среден терминален полуживот от 12 часа (в диапазон: 6 до 26 часа). След единични дози от 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средният терминален полуживот е 7,9 часа </w:t>
      </w:r>
      <w:r w:rsidRPr="00074730">
        <w:rPr>
          <w:rFonts w:eastAsia="Times New Roman" w:cs="Arial"/>
          <w:i/>
          <w:iCs/>
          <w:color w:val="000000"/>
          <w:szCs w:val="20"/>
          <w:lang w:eastAsia="bg-BG"/>
        </w:rPr>
        <w:t>в</w:t>
      </w:r>
      <w:r w:rsidRPr="00074730">
        <w:rPr>
          <w:rFonts w:eastAsia="Times New Roman" w:cs="Arial"/>
          <w:color w:val="000000"/>
          <w:szCs w:val="20"/>
          <w:lang w:eastAsia="bg-BG"/>
        </w:rPr>
        <w:t xml:space="preserve"> продължение на поне 7 дни. От непромененото лекарство в урината и фецеса се откриват само следи, като приблизително 50% от приложената доза се екскретира под формата на метаболити в урината и 30% във фецеса.</w:t>
      </w:r>
    </w:p>
    <w:p w14:paraId="58ED7777" w14:textId="77777777" w:rsidR="00074730" w:rsidRPr="00074730" w:rsidRDefault="00074730" w:rsidP="00074730">
      <w:pPr>
        <w:spacing w:line="240" w:lineRule="auto"/>
        <w:rPr>
          <w:rFonts w:eastAsia="Times New Roman" w:cs="Arial"/>
          <w:color w:val="000000"/>
          <w:szCs w:val="20"/>
          <w:u w:val="single"/>
          <w:lang w:eastAsia="bg-BG"/>
        </w:rPr>
      </w:pPr>
    </w:p>
    <w:p w14:paraId="13F0DAE2" w14:textId="636C9DC5" w:rsidR="00074730" w:rsidRPr="00074730" w:rsidRDefault="00074730" w:rsidP="00074730">
      <w:pPr>
        <w:pStyle w:val="Heading3"/>
        <w:rPr>
          <w:rFonts w:eastAsia="Times New Roman"/>
          <w:sz w:val="28"/>
          <w:u w:val="single"/>
        </w:rPr>
      </w:pPr>
      <w:r w:rsidRPr="00074730">
        <w:rPr>
          <w:rFonts w:eastAsia="Times New Roman"/>
          <w:u w:val="single"/>
          <w:lang w:eastAsia="bg-BG"/>
        </w:rPr>
        <w:t>Линейност/нелинейност</w:t>
      </w:r>
    </w:p>
    <w:p w14:paraId="1A09C2FB" w14:textId="77777777" w:rsidR="00074730" w:rsidRPr="00074730" w:rsidRDefault="00074730" w:rsidP="00074730">
      <w:pPr>
        <w:spacing w:line="240" w:lineRule="auto"/>
        <w:rPr>
          <w:rFonts w:ascii="Times New Roman" w:eastAsia="Times New Roman" w:hAnsi="Times New Roman" w:cs="Times New Roman"/>
          <w:sz w:val="24"/>
          <w:szCs w:val="24"/>
        </w:rPr>
      </w:pPr>
      <w:r w:rsidRPr="00074730">
        <w:rPr>
          <w:rFonts w:eastAsia="Times New Roman" w:cs="Arial"/>
          <w:color w:val="000000"/>
          <w:szCs w:val="20"/>
          <w:lang w:eastAsia="bg-BG"/>
        </w:rPr>
        <w:t xml:space="preserve">Повишаването на дозите от 37,5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до 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 150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давани два пъти дневно, при равновесно състояние водят до линейни, пропорционални на дозата повишения на площта под кривата на плазмените концентрации във времето </w:t>
      </w:r>
      <w:r w:rsidRPr="00074730">
        <w:rPr>
          <w:rFonts w:eastAsia="Times New Roman" w:cs="Arial"/>
          <w:color w:val="000000"/>
          <w:szCs w:val="20"/>
          <w:lang w:val="ru-RU"/>
        </w:rPr>
        <w:t>(</w:t>
      </w:r>
      <w:r w:rsidRPr="00074730">
        <w:rPr>
          <w:rFonts w:eastAsia="Times New Roman" w:cs="Arial"/>
          <w:color w:val="000000"/>
          <w:szCs w:val="20"/>
          <w:lang w:val="en-US"/>
        </w:rPr>
        <w:t>AUC</w:t>
      </w:r>
      <w:r w:rsidRPr="00074730">
        <w:rPr>
          <w:rFonts w:eastAsia="Times New Roman" w:cs="Arial"/>
          <w:color w:val="000000"/>
          <w:szCs w:val="20"/>
          <w:lang w:val="ru-RU"/>
        </w:rPr>
        <w:t xml:space="preserve">) </w:t>
      </w:r>
      <w:r w:rsidRPr="00074730">
        <w:rPr>
          <w:rFonts w:eastAsia="Times New Roman" w:cs="Arial"/>
          <w:color w:val="000000"/>
          <w:szCs w:val="20"/>
          <w:lang w:eastAsia="bg-BG"/>
        </w:rPr>
        <w:t>и на пиковите и минималните плазмени концентрации.</w:t>
      </w:r>
    </w:p>
    <w:p w14:paraId="372A72B7" w14:textId="24D04BAA" w:rsidR="00074730" w:rsidRPr="00074730" w:rsidRDefault="00074730" w:rsidP="00074730"/>
    <w:p w14:paraId="4FB791BE" w14:textId="65F3888E" w:rsidR="00B6672E" w:rsidRDefault="002C50EE" w:rsidP="00936AD0">
      <w:pPr>
        <w:pStyle w:val="Heading2"/>
      </w:pPr>
      <w:r>
        <w:t>5.3. Предклинични данни за безопасност</w:t>
      </w:r>
    </w:p>
    <w:p w14:paraId="4ACA9A95" w14:textId="59992EA7" w:rsidR="00074730" w:rsidRDefault="00074730" w:rsidP="00074730"/>
    <w:p w14:paraId="649FA56A" w14:textId="6053381D" w:rsidR="00074730" w:rsidRPr="00074730" w:rsidRDefault="00074730" w:rsidP="00074730">
      <w:r>
        <w:t>Предклиничните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приложение, генотоксичност, карциногенен потенциал (относно репродуктивната токсичност, вж. точка 4.6).</w:t>
      </w:r>
    </w:p>
    <w:p w14:paraId="1BA6531D" w14:textId="739C9F6D" w:rsidR="00B6672E" w:rsidRDefault="002C50EE" w:rsidP="00936AD0">
      <w:pPr>
        <w:pStyle w:val="Heading1"/>
      </w:pPr>
      <w:r>
        <w:t>7. ПРИТЕЖАТЕЛ НА РАЗРЕШЕНИЕТО ЗА УПОТРЕБА</w:t>
      </w:r>
    </w:p>
    <w:p w14:paraId="5A9D1234" w14:textId="56D04D99" w:rsidR="00074730" w:rsidRDefault="00074730" w:rsidP="00074730"/>
    <w:p w14:paraId="29BDD699" w14:textId="77777777" w:rsidR="00074730" w:rsidRPr="00074730" w:rsidRDefault="00074730" w:rsidP="00074730">
      <w:pPr>
        <w:rPr>
          <w:sz w:val="24"/>
          <w:szCs w:val="24"/>
          <w:lang w:val="en-US"/>
        </w:rPr>
      </w:pPr>
      <w:r w:rsidRPr="00074730">
        <w:rPr>
          <w:lang w:val="en-US"/>
        </w:rPr>
        <w:t xml:space="preserve">Accord Healthcare </w:t>
      </w:r>
      <w:proofErr w:type="spellStart"/>
      <w:r w:rsidRPr="00074730">
        <w:rPr>
          <w:lang w:val="en-US"/>
        </w:rPr>
        <w:t>Polska</w:t>
      </w:r>
      <w:proofErr w:type="spellEnd"/>
      <w:r w:rsidRPr="00074730">
        <w:rPr>
          <w:lang w:val="en-US"/>
        </w:rPr>
        <w:t xml:space="preserve"> Sp. z </w:t>
      </w:r>
      <w:proofErr w:type="spellStart"/>
      <w:r w:rsidRPr="00074730">
        <w:rPr>
          <w:lang w:val="en-US"/>
        </w:rPr>
        <w:t>o.o</w:t>
      </w:r>
      <w:proofErr w:type="spellEnd"/>
      <w:proofErr w:type="gramStart"/>
      <w:r w:rsidRPr="00074730">
        <w:rPr>
          <w:lang w:val="en-US"/>
        </w:rPr>
        <w:t>.,</w:t>
      </w:r>
      <w:proofErr w:type="gramEnd"/>
    </w:p>
    <w:p w14:paraId="72DE6AE5" w14:textId="77777777" w:rsidR="00074730" w:rsidRPr="00074730" w:rsidRDefault="00074730" w:rsidP="00074730">
      <w:pPr>
        <w:rPr>
          <w:sz w:val="24"/>
          <w:szCs w:val="24"/>
          <w:lang w:val="ru-RU"/>
        </w:rPr>
      </w:pPr>
      <w:proofErr w:type="spellStart"/>
      <w:proofErr w:type="gramStart"/>
      <w:r w:rsidRPr="00074730">
        <w:rPr>
          <w:lang w:val="en-US"/>
        </w:rPr>
        <w:t>ul</w:t>
      </w:r>
      <w:proofErr w:type="spellEnd"/>
      <w:proofErr w:type="gramEnd"/>
      <w:r w:rsidRPr="00074730">
        <w:rPr>
          <w:lang w:val="ru-RU"/>
        </w:rPr>
        <w:t xml:space="preserve">. </w:t>
      </w:r>
      <w:proofErr w:type="spellStart"/>
      <w:r w:rsidRPr="00074730">
        <w:rPr>
          <w:lang w:val="en-US"/>
        </w:rPr>
        <w:t>Tasmowa</w:t>
      </w:r>
      <w:proofErr w:type="spellEnd"/>
      <w:r w:rsidRPr="00074730">
        <w:rPr>
          <w:lang w:val="ru-RU"/>
        </w:rPr>
        <w:t xml:space="preserve"> 7,</w:t>
      </w:r>
    </w:p>
    <w:p w14:paraId="59B7BFB0" w14:textId="77777777" w:rsidR="00074730" w:rsidRPr="00074730" w:rsidRDefault="00074730" w:rsidP="00074730">
      <w:pPr>
        <w:rPr>
          <w:sz w:val="24"/>
          <w:szCs w:val="24"/>
          <w:lang w:val="ru-RU"/>
        </w:rPr>
      </w:pPr>
      <w:r w:rsidRPr="00074730">
        <w:rPr>
          <w:lang w:val="ru-RU"/>
        </w:rPr>
        <w:t xml:space="preserve">02-677, </w:t>
      </w:r>
      <w:r w:rsidRPr="00074730">
        <w:rPr>
          <w:lang w:val="en-US"/>
        </w:rPr>
        <w:t>Warszawa</w:t>
      </w:r>
      <w:r w:rsidRPr="00074730">
        <w:rPr>
          <w:lang w:val="ru-RU"/>
        </w:rPr>
        <w:t xml:space="preserve">, </w:t>
      </w:r>
      <w:proofErr w:type="spellStart"/>
      <w:r w:rsidRPr="00074730">
        <w:rPr>
          <w:lang w:val="en-US"/>
        </w:rPr>
        <w:t>Mazowieckie</w:t>
      </w:r>
      <w:proofErr w:type="spellEnd"/>
      <w:r w:rsidRPr="00074730">
        <w:rPr>
          <w:lang w:val="ru-RU"/>
        </w:rPr>
        <w:t>,</w:t>
      </w:r>
    </w:p>
    <w:p w14:paraId="103DD854" w14:textId="79419D5F" w:rsidR="00074730" w:rsidRPr="00074730" w:rsidRDefault="00074730" w:rsidP="00074730">
      <w:r w:rsidRPr="00074730">
        <w:rPr>
          <w:lang w:eastAsia="bg-BG"/>
        </w:rPr>
        <w:t>Полша</w:t>
      </w:r>
    </w:p>
    <w:p w14:paraId="508F3A54" w14:textId="653F4EEE" w:rsidR="00B6672E" w:rsidRDefault="00936AD0" w:rsidP="00936AD0">
      <w:pPr>
        <w:pStyle w:val="Heading1"/>
      </w:pPr>
      <w:r>
        <w:lastRenderedPageBreak/>
        <w:t>8.</w:t>
      </w:r>
      <w:r w:rsidR="002C50EE">
        <w:t>НОМЕР НА РАЗРЕШЕНИЕТО ЗА УПОТРЕБА</w:t>
      </w:r>
    </w:p>
    <w:p w14:paraId="48C3DF65" w14:textId="1D5E04DA" w:rsidR="00074730" w:rsidRDefault="00074730" w:rsidP="00074730"/>
    <w:p w14:paraId="005D4F3A" w14:textId="77777777" w:rsidR="00074730" w:rsidRPr="00074730" w:rsidRDefault="00074730" w:rsidP="00074730">
      <w:pPr>
        <w:rPr>
          <w:sz w:val="24"/>
          <w:szCs w:val="24"/>
        </w:rPr>
      </w:pPr>
      <w:r w:rsidRPr="00074730">
        <w:rPr>
          <w:lang w:eastAsia="bg-BG"/>
        </w:rPr>
        <w:t xml:space="preserve">Клозапин Акорд 25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20170172</w:t>
      </w:r>
    </w:p>
    <w:p w14:paraId="16B50C4F" w14:textId="77777777" w:rsidR="00074730" w:rsidRPr="00074730" w:rsidRDefault="00074730" w:rsidP="00074730">
      <w:pPr>
        <w:rPr>
          <w:sz w:val="24"/>
          <w:szCs w:val="24"/>
        </w:rPr>
      </w:pPr>
      <w:r w:rsidRPr="00074730">
        <w:rPr>
          <w:lang w:eastAsia="bg-BG"/>
        </w:rPr>
        <w:t xml:space="preserve">Клозапин Акорд 100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20170173</w:t>
      </w:r>
    </w:p>
    <w:p w14:paraId="3AA5FAEF" w14:textId="77777777" w:rsidR="00074730" w:rsidRPr="00074730" w:rsidRDefault="00074730" w:rsidP="00074730">
      <w:pPr>
        <w:rPr>
          <w:sz w:val="24"/>
          <w:szCs w:val="24"/>
        </w:rPr>
      </w:pPr>
      <w:r w:rsidRPr="00074730">
        <w:rPr>
          <w:lang w:eastAsia="bg-BG"/>
        </w:rPr>
        <w:t xml:space="preserve">Клозапин Акорд 200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20170174</w:t>
      </w:r>
    </w:p>
    <w:p w14:paraId="3AECECE6" w14:textId="77777777" w:rsidR="00074730" w:rsidRPr="00074730" w:rsidRDefault="00074730" w:rsidP="00074730"/>
    <w:p w14:paraId="2CCB5832" w14:textId="0C986891" w:rsidR="007C605B" w:rsidRDefault="002C50EE" w:rsidP="007C605B">
      <w:pPr>
        <w:pStyle w:val="Heading1"/>
      </w:pPr>
      <w:r>
        <w:t>9. ДАТА НА ПЪРВО РАЗРЕШАВАНЕ/ПОДНОВЯВАНЕ НА РАЗРЕШЕНИЕТО ЗА УПОТРЕБА</w:t>
      </w:r>
    </w:p>
    <w:p w14:paraId="4DF04224" w14:textId="15263327" w:rsidR="00074730" w:rsidRDefault="00074730" w:rsidP="00074730"/>
    <w:p w14:paraId="75850B00" w14:textId="62A251C5" w:rsidR="00074730" w:rsidRPr="00074730" w:rsidRDefault="00074730" w:rsidP="00074730">
      <w:r>
        <w:t>Дата на първо разрешаване: 25/05/2017</w:t>
      </w:r>
    </w:p>
    <w:p w14:paraId="0E9D0119" w14:textId="0245C6D7" w:rsidR="002C50EE" w:rsidRDefault="002C50EE" w:rsidP="002C50EE">
      <w:pPr>
        <w:pStyle w:val="Heading1"/>
      </w:pPr>
      <w:r>
        <w:t>10. ДАТА НА АКТУАЛИЗИРАНЕ НА ТЕКСТА</w:t>
      </w:r>
    </w:p>
    <w:bookmarkEnd w:id="0"/>
    <w:p w14:paraId="43FB38A2" w14:textId="395B687F" w:rsidR="007C605B" w:rsidRPr="003E3126" w:rsidRDefault="00074730" w:rsidP="00074730">
      <w:r>
        <w:t>Август 2021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51698E"/>
    <w:multiLevelType w:val="hybridMultilevel"/>
    <w:tmpl w:val="94BE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1E87"/>
    <w:multiLevelType w:val="hybridMultilevel"/>
    <w:tmpl w:val="E2A45DA6"/>
    <w:lvl w:ilvl="0" w:tplc="981AB34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E160C"/>
    <w:multiLevelType w:val="hybridMultilevel"/>
    <w:tmpl w:val="010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01A1E"/>
    <w:multiLevelType w:val="hybridMultilevel"/>
    <w:tmpl w:val="F5FC7E18"/>
    <w:lvl w:ilvl="0" w:tplc="7930B7E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842E7"/>
    <w:multiLevelType w:val="hybridMultilevel"/>
    <w:tmpl w:val="CBC0427A"/>
    <w:lvl w:ilvl="0" w:tplc="5BAE87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1076F"/>
    <w:multiLevelType w:val="hybridMultilevel"/>
    <w:tmpl w:val="AB9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6"/>
  </w:num>
  <w:num w:numId="4">
    <w:abstractNumId w:val="3"/>
  </w:num>
  <w:num w:numId="5">
    <w:abstractNumId w:val="1"/>
  </w:num>
  <w:num w:numId="6">
    <w:abstractNumId w:val="20"/>
  </w:num>
  <w:num w:numId="7">
    <w:abstractNumId w:val="14"/>
  </w:num>
  <w:num w:numId="8">
    <w:abstractNumId w:val="19"/>
  </w:num>
  <w:num w:numId="9">
    <w:abstractNumId w:val="2"/>
  </w:num>
  <w:num w:numId="10">
    <w:abstractNumId w:val="4"/>
  </w:num>
  <w:num w:numId="11">
    <w:abstractNumId w:val="36"/>
  </w:num>
  <w:num w:numId="12">
    <w:abstractNumId w:val="18"/>
  </w:num>
  <w:num w:numId="13">
    <w:abstractNumId w:val="23"/>
  </w:num>
  <w:num w:numId="14">
    <w:abstractNumId w:val="15"/>
  </w:num>
  <w:num w:numId="15">
    <w:abstractNumId w:val="35"/>
  </w:num>
  <w:num w:numId="16">
    <w:abstractNumId w:val="13"/>
  </w:num>
  <w:num w:numId="17">
    <w:abstractNumId w:val="29"/>
  </w:num>
  <w:num w:numId="18">
    <w:abstractNumId w:val="10"/>
  </w:num>
  <w:num w:numId="19">
    <w:abstractNumId w:val="31"/>
  </w:num>
  <w:num w:numId="20">
    <w:abstractNumId w:val="28"/>
  </w:num>
  <w:num w:numId="21">
    <w:abstractNumId w:val="21"/>
  </w:num>
  <w:num w:numId="22">
    <w:abstractNumId w:val="30"/>
  </w:num>
  <w:num w:numId="23">
    <w:abstractNumId w:val="22"/>
  </w:num>
  <w:num w:numId="24">
    <w:abstractNumId w:val="11"/>
  </w:num>
  <w:num w:numId="25">
    <w:abstractNumId w:val="27"/>
  </w:num>
  <w:num w:numId="26">
    <w:abstractNumId w:val="25"/>
  </w:num>
  <w:num w:numId="27">
    <w:abstractNumId w:val="38"/>
  </w:num>
  <w:num w:numId="28">
    <w:abstractNumId w:val="8"/>
  </w:num>
  <w:num w:numId="29">
    <w:abstractNumId w:val="24"/>
  </w:num>
  <w:num w:numId="30">
    <w:abstractNumId w:val="41"/>
  </w:num>
  <w:num w:numId="31">
    <w:abstractNumId w:val="6"/>
  </w:num>
  <w:num w:numId="32">
    <w:abstractNumId w:val="40"/>
  </w:num>
  <w:num w:numId="33">
    <w:abstractNumId w:val="34"/>
  </w:num>
  <w:num w:numId="34">
    <w:abstractNumId w:val="39"/>
  </w:num>
  <w:num w:numId="35">
    <w:abstractNumId w:val="9"/>
  </w:num>
  <w:num w:numId="36">
    <w:abstractNumId w:val="12"/>
  </w:num>
  <w:num w:numId="37">
    <w:abstractNumId w:val="5"/>
  </w:num>
  <w:num w:numId="38">
    <w:abstractNumId w:val="7"/>
  </w:num>
  <w:num w:numId="39">
    <w:abstractNumId w:val="26"/>
  </w:num>
  <w:num w:numId="40">
    <w:abstractNumId w:val="32"/>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7473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E4B21"/>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9436</Words>
  <Characters>53788</Characters>
  <Application>Microsoft Office Word</Application>
  <DocSecurity>0</DocSecurity>
  <Lines>448</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2022-07-02T16:22:00Z</dcterms:created>
  <dcterms:modified xsi:type="dcterms:W3CDTF">2022-07-02T16:22:00Z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