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66CEB42A" w:rsidR="007122AD" w:rsidRDefault="00DD466D" w:rsidP="00936AD0">
      <w:pPr>
        <w:pStyle w:val="Heading1"/>
      </w:pPr>
      <w:r>
        <w:t>1.ИМЕ НА ЛЕКАРСТВЕНИЯ ПРОДУКТ</w:t>
      </w:r>
    </w:p>
    <w:p w14:paraId="22E2A3A0" w14:textId="6BABE7F8" w:rsidR="007D6C54" w:rsidRDefault="007D6C54" w:rsidP="007D6C54"/>
    <w:p w14:paraId="12AC8465" w14:textId="77777777" w:rsidR="007D6C54" w:rsidRDefault="007D6C54" w:rsidP="007D6C54">
      <w:pPr>
        <w:rPr>
          <w:lang w:eastAsia="bg-BG"/>
        </w:rPr>
      </w:pPr>
      <w:r>
        <w:rPr>
          <w:lang w:eastAsia="bg-BG"/>
        </w:rPr>
        <w:t xml:space="preserve">Ко-Диован 160 </w:t>
      </w:r>
      <w:r>
        <w:t xml:space="preserve">mg/12,5 mg </w:t>
      </w:r>
      <w:r>
        <w:rPr>
          <w:lang w:eastAsia="bg-BG"/>
        </w:rPr>
        <w:t xml:space="preserve">филмирани таблетки </w:t>
      </w:r>
    </w:p>
    <w:p w14:paraId="3CEF13CC" w14:textId="52F16B41" w:rsidR="007D6C54" w:rsidRPr="007D6C54" w:rsidRDefault="007D6C54" w:rsidP="007D6C54">
      <w:r>
        <w:t xml:space="preserve">Co-Diovan </w:t>
      </w:r>
      <w:r>
        <w:rPr>
          <w:lang w:eastAsia="bg-BG"/>
        </w:rPr>
        <w:t xml:space="preserve">160 </w:t>
      </w:r>
      <w:r>
        <w:t>mg/12,5 mg film-coated tablets</w:t>
      </w:r>
    </w:p>
    <w:p w14:paraId="6920A680" w14:textId="7F5FC538" w:rsidR="00C40420" w:rsidRDefault="00DD466D" w:rsidP="004A448E">
      <w:pPr>
        <w:pStyle w:val="Heading1"/>
      </w:pPr>
      <w:r>
        <w:t>2. КАЧЕСТВЕН И КОЛИЧЕСТВЕН СЪСТАВ</w:t>
      </w:r>
    </w:p>
    <w:p w14:paraId="181DEDD5" w14:textId="4F39BADA" w:rsidR="007D6C54" w:rsidRDefault="007D6C54" w:rsidP="007D6C54"/>
    <w:p w14:paraId="19D296F1" w14:textId="77777777" w:rsidR="007D6C54" w:rsidRPr="007D6C54" w:rsidRDefault="007D6C54" w:rsidP="007D6C54">
      <w:pPr>
        <w:rPr>
          <w:sz w:val="24"/>
          <w:szCs w:val="24"/>
        </w:rPr>
      </w:pPr>
      <w:r w:rsidRPr="007D6C54">
        <w:rPr>
          <w:lang w:eastAsia="bg-BG"/>
        </w:rPr>
        <w:t xml:space="preserve">Всяка филмирана таблетка съдържа 160 </w:t>
      </w:r>
      <w:r w:rsidRPr="007D6C54">
        <w:rPr>
          <w:lang w:val="en-US"/>
        </w:rPr>
        <w:t>mg</w:t>
      </w:r>
      <w:r w:rsidRPr="007D6C54">
        <w:t xml:space="preserve"> </w:t>
      </w:r>
      <w:r w:rsidRPr="007D6C54">
        <w:rPr>
          <w:lang w:eastAsia="bg-BG"/>
        </w:rPr>
        <w:t xml:space="preserve">валсартан </w:t>
      </w:r>
      <w:r w:rsidRPr="007D6C54">
        <w:t>(</w:t>
      </w:r>
      <w:r w:rsidRPr="007D6C54">
        <w:rPr>
          <w:lang w:val="en-US"/>
        </w:rPr>
        <w:t>valsartan</w:t>
      </w:r>
      <w:r w:rsidRPr="007D6C54">
        <w:t xml:space="preserve">) </w:t>
      </w:r>
      <w:r w:rsidRPr="007D6C54">
        <w:rPr>
          <w:lang w:eastAsia="bg-BG"/>
        </w:rPr>
        <w:t xml:space="preserve">и 12,5 </w:t>
      </w:r>
      <w:r w:rsidRPr="007D6C54">
        <w:rPr>
          <w:lang w:val="en-US"/>
        </w:rPr>
        <w:t>mg</w:t>
      </w:r>
      <w:r w:rsidRPr="007D6C54">
        <w:t xml:space="preserve"> </w:t>
      </w:r>
      <w:r w:rsidRPr="007D6C54">
        <w:rPr>
          <w:lang w:eastAsia="bg-BG"/>
        </w:rPr>
        <w:t xml:space="preserve">хидрохлоротиазид </w:t>
      </w:r>
      <w:r w:rsidRPr="007D6C54">
        <w:t>(</w:t>
      </w:r>
      <w:r w:rsidRPr="007D6C54">
        <w:rPr>
          <w:lang w:val="en-US"/>
        </w:rPr>
        <w:t>hydrochlorothiazide</w:t>
      </w:r>
      <w:r w:rsidRPr="007D6C54">
        <w:t>).</w:t>
      </w:r>
    </w:p>
    <w:p w14:paraId="74C2190E" w14:textId="77777777" w:rsidR="007D6C54" w:rsidRPr="007D6C54" w:rsidRDefault="007D6C54" w:rsidP="007D6C54"/>
    <w:p w14:paraId="614984C4" w14:textId="3EF5632F" w:rsidR="008A6AF2" w:rsidRDefault="00DD466D" w:rsidP="002C50EE">
      <w:pPr>
        <w:pStyle w:val="Heading1"/>
      </w:pPr>
      <w:r>
        <w:t>3. ЛЕКАРСТВЕНА ФОРМА</w:t>
      </w:r>
    </w:p>
    <w:p w14:paraId="66EACE6D" w14:textId="58FE08F5" w:rsidR="007D6C54" w:rsidRDefault="007D6C54" w:rsidP="007D6C54"/>
    <w:p w14:paraId="6058BF2F" w14:textId="77777777" w:rsidR="007D6C54" w:rsidRPr="007D6C54" w:rsidRDefault="007D6C54" w:rsidP="007D6C54">
      <w:pPr>
        <w:rPr>
          <w:sz w:val="24"/>
          <w:szCs w:val="24"/>
        </w:rPr>
      </w:pPr>
      <w:r w:rsidRPr="007D6C54">
        <w:rPr>
          <w:lang w:eastAsia="bg-BG"/>
        </w:rPr>
        <w:t>Филмирана таблетка</w:t>
      </w:r>
    </w:p>
    <w:p w14:paraId="0DFD39FA" w14:textId="77777777" w:rsidR="007D6C54" w:rsidRDefault="007D6C54" w:rsidP="007D6C54">
      <w:pPr>
        <w:rPr>
          <w:lang w:eastAsia="bg-BG"/>
        </w:rPr>
      </w:pPr>
    </w:p>
    <w:p w14:paraId="47AB44EA" w14:textId="107FB2DB" w:rsidR="007D6C54" w:rsidRPr="007D6C54" w:rsidRDefault="007D6C54" w:rsidP="007D6C54">
      <w:pPr>
        <w:rPr>
          <w:sz w:val="24"/>
          <w:szCs w:val="24"/>
        </w:rPr>
      </w:pPr>
      <w:r w:rsidRPr="007D6C54">
        <w:rPr>
          <w:lang w:eastAsia="bg-BG"/>
        </w:rPr>
        <w:t xml:space="preserve">Тъмно червени, овални таблетки щамповани с “ННН” от едната страна и </w:t>
      </w:r>
      <w:r w:rsidRPr="007D6C54">
        <w:rPr>
          <w:lang w:val="ru-RU"/>
        </w:rPr>
        <w:t>“</w:t>
      </w:r>
      <w:r w:rsidRPr="007D6C54">
        <w:rPr>
          <w:lang w:val="en-US"/>
        </w:rPr>
        <w:t>CG</w:t>
      </w:r>
      <w:r w:rsidRPr="007D6C54">
        <w:rPr>
          <w:lang w:val="ru-RU"/>
        </w:rPr>
        <w:t xml:space="preserve">” </w:t>
      </w:r>
      <w:r w:rsidRPr="007D6C54">
        <w:rPr>
          <w:lang w:eastAsia="bg-BG"/>
        </w:rPr>
        <w:t>от другата.</w:t>
      </w:r>
    </w:p>
    <w:p w14:paraId="24AA8548" w14:textId="77777777" w:rsidR="007D6C54" w:rsidRPr="007D6C54" w:rsidRDefault="007D6C54" w:rsidP="007D6C54"/>
    <w:p w14:paraId="490FC2C4" w14:textId="0F4A4A75" w:rsidR="002C50EE" w:rsidRDefault="002C50EE" w:rsidP="002C50EE">
      <w:pPr>
        <w:pStyle w:val="Heading1"/>
      </w:pPr>
      <w:r>
        <w:t>4. КЛИНИЧНИ ДАННИ</w:t>
      </w:r>
    </w:p>
    <w:p w14:paraId="74330405" w14:textId="46A5EB0F" w:rsidR="007122AD" w:rsidRDefault="002C50EE" w:rsidP="00936AD0">
      <w:pPr>
        <w:pStyle w:val="Heading2"/>
      </w:pPr>
      <w:r>
        <w:t>4.1. Терапевтични показания</w:t>
      </w:r>
    </w:p>
    <w:p w14:paraId="663783FA" w14:textId="7ACEEC60" w:rsidR="007D6C54" w:rsidRDefault="007D6C54" w:rsidP="007D6C54"/>
    <w:p w14:paraId="28A359A1" w14:textId="77777777" w:rsidR="007D6C54" w:rsidRPr="007D6C54" w:rsidRDefault="007D6C54" w:rsidP="007D6C54">
      <w:pPr>
        <w:rPr>
          <w:sz w:val="24"/>
          <w:szCs w:val="24"/>
        </w:rPr>
      </w:pPr>
      <w:r w:rsidRPr="007D6C54">
        <w:rPr>
          <w:lang w:eastAsia="bg-BG"/>
        </w:rPr>
        <w:t>Лечение на есенциална хипертония при възрастни.</w:t>
      </w:r>
    </w:p>
    <w:p w14:paraId="7BBDCAB6" w14:textId="77777777" w:rsidR="007D6C54" w:rsidRDefault="007D6C54" w:rsidP="007D6C54">
      <w:pPr>
        <w:rPr>
          <w:lang w:val="en-US"/>
        </w:rPr>
      </w:pPr>
    </w:p>
    <w:p w14:paraId="1DB24A9C" w14:textId="5BE50355" w:rsidR="007D6C54" w:rsidRPr="007D6C54" w:rsidRDefault="007D6C54" w:rsidP="007D6C54">
      <w:pPr>
        <w:rPr>
          <w:sz w:val="24"/>
          <w:szCs w:val="24"/>
        </w:rPr>
      </w:pPr>
      <w:r w:rsidRPr="007D6C54">
        <w:rPr>
          <w:lang w:val="en-US"/>
        </w:rPr>
        <w:t>Co</w:t>
      </w:r>
      <w:r w:rsidRPr="007D6C54">
        <w:rPr>
          <w:lang w:val="ru-RU"/>
        </w:rPr>
        <w:t>-</w:t>
      </w:r>
      <w:r w:rsidRPr="007D6C54">
        <w:rPr>
          <w:lang w:val="en-US"/>
        </w:rPr>
        <w:t>Diovan</w:t>
      </w:r>
      <w:r w:rsidRPr="007D6C54">
        <w:rPr>
          <w:lang w:val="ru-RU"/>
        </w:rPr>
        <w:t xml:space="preserve"> </w:t>
      </w:r>
      <w:r w:rsidRPr="007D6C54">
        <w:rPr>
          <w:lang w:eastAsia="bg-BG"/>
        </w:rPr>
        <w:t>фиксирана дозова комбинация е показан при пациенти, чието артериално налягане не се контролира адекватно от монотерапия с валсартан или хидрохлоротиазид.</w:t>
      </w:r>
    </w:p>
    <w:p w14:paraId="6F4F27EB" w14:textId="77777777" w:rsidR="007D6C54" w:rsidRPr="007D6C54" w:rsidRDefault="007D6C54" w:rsidP="007D6C54"/>
    <w:p w14:paraId="53F5B866" w14:textId="3B16AB78" w:rsidR="007122AD" w:rsidRDefault="002C50EE" w:rsidP="00936AD0">
      <w:pPr>
        <w:pStyle w:val="Heading2"/>
      </w:pPr>
      <w:r>
        <w:t>4.2. Дозировка и начин на приложение</w:t>
      </w:r>
    </w:p>
    <w:p w14:paraId="6FBCDE1A" w14:textId="3BA17E89" w:rsidR="007D6C54" w:rsidRDefault="007D6C54" w:rsidP="007D6C54"/>
    <w:p w14:paraId="2C22CC57" w14:textId="77777777" w:rsidR="007D6C54" w:rsidRPr="007D6C54" w:rsidRDefault="007D6C54" w:rsidP="007D6C54">
      <w:pPr>
        <w:pStyle w:val="Heading3"/>
        <w:rPr>
          <w:rFonts w:eastAsia="Times New Roman"/>
          <w:u w:val="single"/>
        </w:rPr>
      </w:pPr>
      <w:r w:rsidRPr="007D6C54">
        <w:rPr>
          <w:rFonts w:eastAsia="Times New Roman"/>
          <w:u w:val="single"/>
          <w:lang w:eastAsia="bg-BG"/>
        </w:rPr>
        <w:t>Дозировка</w:t>
      </w:r>
    </w:p>
    <w:p w14:paraId="4E05F015" w14:textId="77777777" w:rsidR="007D6C54" w:rsidRPr="007D6C54" w:rsidRDefault="007D6C54" w:rsidP="007D6C54">
      <w:pPr>
        <w:spacing w:line="240" w:lineRule="auto"/>
        <w:rPr>
          <w:rFonts w:eastAsia="Times New Roman" w:cs="Arial"/>
          <w:sz w:val="24"/>
          <w:szCs w:val="24"/>
        </w:rPr>
      </w:pPr>
      <w:r w:rsidRPr="007D6C54">
        <w:rPr>
          <w:rFonts w:eastAsia="Times New Roman" w:cs="Arial"/>
          <w:color w:val="000000"/>
          <w:lang w:eastAsia="bg-BG"/>
        </w:rPr>
        <w:t xml:space="preserve">Препоръчваната доза на </w:t>
      </w:r>
      <w:r w:rsidRPr="007D6C54">
        <w:rPr>
          <w:rFonts w:eastAsia="Times New Roman" w:cs="Arial"/>
          <w:color w:val="000000"/>
          <w:lang w:val="en-US"/>
        </w:rPr>
        <w:t>Co</w:t>
      </w:r>
      <w:r w:rsidRPr="007D6C54">
        <w:rPr>
          <w:rFonts w:eastAsia="Times New Roman" w:cs="Arial"/>
          <w:color w:val="000000"/>
          <w:lang w:val="ru-RU"/>
        </w:rPr>
        <w:t>-</w:t>
      </w:r>
      <w:r w:rsidRPr="007D6C54">
        <w:rPr>
          <w:rFonts w:eastAsia="Times New Roman" w:cs="Arial"/>
          <w:color w:val="000000"/>
          <w:lang w:val="en-US"/>
        </w:rPr>
        <w:t>Diovan</w:t>
      </w:r>
      <w:r w:rsidRPr="007D6C54">
        <w:rPr>
          <w:rFonts w:eastAsia="Times New Roman" w:cs="Arial"/>
          <w:color w:val="000000"/>
          <w:lang w:val="ru-RU"/>
        </w:rPr>
        <w:t xml:space="preserve"> </w:t>
      </w:r>
      <w:r w:rsidRPr="007D6C54">
        <w:rPr>
          <w:rFonts w:eastAsia="Times New Roman" w:cs="Arial"/>
          <w:color w:val="000000"/>
          <w:lang w:eastAsia="bg-BG"/>
        </w:rPr>
        <w:t>е една филмирана таблетка дневно. Препоръчва се индивидуално титриране на дозите на отделните компоненти. При всеки случай е необходимо да се прави покачващото титриране на дозата на отделните компоненти, за да се намали риска от хипотония и други нежелани реакции.</w:t>
      </w:r>
    </w:p>
    <w:p w14:paraId="54D84499" w14:textId="77777777" w:rsidR="007D6C54" w:rsidRPr="007D6C54" w:rsidRDefault="007D6C54" w:rsidP="007D6C54">
      <w:pPr>
        <w:spacing w:line="240" w:lineRule="auto"/>
        <w:rPr>
          <w:rFonts w:eastAsia="Times New Roman" w:cs="Arial"/>
          <w:sz w:val="24"/>
          <w:szCs w:val="24"/>
        </w:rPr>
      </w:pPr>
      <w:r w:rsidRPr="007D6C54">
        <w:rPr>
          <w:rFonts w:eastAsia="Times New Roman" w:cs="Arial"/>
          <w:color w:val="000000"/>
          <w:lang w:eastAsia="bg-BG"/>
        </w:rPr>
        <w:t>Когато е уместно от клинична гледна точка, би могло да се обсъди директно преминаване от монотерапия към лечение с комбинация от фиксирани дози при пациенти, чието артериално налягане не се контролира адекватно от монотерапия с валсартан или хидрохлоротиазид, при условие че се следва препоръчваното титриране на дозите на отделните компоненти.</w:t>
      </w:r>
    </w:p>
    <w:p w14:paraId="111B0209" w14:textId="77777777" w:rsidR="007D6C54" w:rsidRPr="007D6C54" w:rsidRDefault="007D6C54" w:rsidP="007D6C54">
      <w:pPr>
        <w:spacing w:line="240" w:lineRule="auto"/>
        <w:rPr>
          <w:rFonts w:eastAsia="Times New Roman" w:cs="Arial"/>
          <w:color w:val="000000"/>
          <w:lang w:eastAsia="bg-BG"/>
        </w:rPr>
      </w:pPr>
    </w:p>
    <w:p w14:paraId="07CC7BCD" w14:textId="29969691" w:rsidR="007D6C54" w:rsidRPr="007D6C54" w:rsidRDefault="007D6C54" w:rsidP="007D6C54">
      <w:pPr>
        <w:spacing w:line="240" w:lineRule="auto"/>
        <w:rPr>
          <w:rFonts w:eastAsia="Times New Roman" w:cs="Arial"/>
          <w:sz w:val="24"/>
          <w:szCs w:val="24"/>
        </w:rPr>
      </w:pPr>
      <w:r w:rsidRPr="007D6C54">
        <w:rPr>
          <w:rFonts w:eastAsia="Times New Roman" w:cs="Arial"/>
          <w:color w:val="000000"/>
          <w:lang w:eastAsia="bg-BG"/>
        </w:rPr>
        <w:t xml:space="preserve">След започване на терапията трябва да се направи оценка на клиничния отговор спрямо </w:t>
      </w:r>
      <w:r w:rsidRPr="007D6C54">
        <w:rPr>
          <w:rFonts w:eastAsia="Times New Roman" w:cs="Arial"/>
          <w:color w:val="000000"/>
          <w:lang w:val="en-US"/>
        </w:rPr>
        <w:t>Co</w:t>
      </w:r>
      <w:r w:rsidRPr="007D6C54">
        <w:rPr>
          <w:rFonts w:eastAsia="Times New Roman" w:cs="Arial"/>
          <w:color w:val="000000"/>
          <w:lang w:val="ru-RU"/>
        </w:rPr>
        <w:t xml:space="preserve">- </w:t>
      </w:r>
      <w:r w:rsidRPr="007D6C54">
        <w:rPr>
          <w:rFonts w:eastAsia="Times New Roman" w:cs="Arial"/>
          <w:color w:val="000000"/>
          <w:lang w:val="en-US"/>
        </w:rPr>
        <w:t>Diovan</w:t>
      </w:r>
      <w:r w:rsidRPr="007D6C54">
        <w:rPr>
          <w:rFonts w:eastAsia="Times New Roman" w:cs="Arial"/>
          <w:color w:val="000000"/>
          <w:lang w:val="ru-RU"/>
        </w:rPr>
        <w:t xml:space="preserve"> </w:t>
      </w:r>
      <w:r w:rsidRPr="007D6C54">
        <w:rPr>
          <w:rFonts w:eastAsia="Times New Roman" w:cs="Arial"/>
          <w:color w:val="000000"/>
          <w:lang w:eastAsia="bg-BG"/>
        </w:rPr>
        <w:t xml:space="preserve">и ако не се постигне контрол на артериалното налягане, дозата може да се повиши чрез повишаване на отделните компонети до максимална доза на </w:t>
      </w:r>
      <w:r w:rsidRPr="007D6C54">
        <w:rPr>
          <w:rFonts w:eastAsia="Times New Roman" w:cs="Arial"/>
          <w:color w:val="000000"/>
          <w:lang w:val="en-US"/>
        </w:rPr>
        <w:t>Co</w:t>
      </w:r>
      <w:r w:rsidRPr="007D6C54">
        <w:rPr>
          <w:rFonts w:eastAsia="Times New Roman" w:cs="Arial"/>
          <w:color w:val="000000"/>
          <w:lang w:val="ru-RU"/>
        </w:rPr>
        <w:t>-</w:t>
      </w:r>
      <w:r w:rsidRPr="007D6C54">
        <w:rPr>
          <w:rFonts w:eastAsia="Times New Roman" w:cs="Arial"/>
          <w:color w:val="000000"/>
          <w:lang w:val="en-US"/>
        </w:rPr>
        <w:t>Diovan</w:t>
      </w:r>
      <w:r w:rsidRPr="007D6C54">
        <w:rPr>
          <w:rFonts w:eastAsia="Times New Roman" w:cs="Arial"/>
          <w:color w:val="000000"/>
          <w:lang w:val="ru-RU"/>
        </w:rPr>
        <w:t xml:space="preserve"> </w:t>
      </w:r>
      <w:r w:rsidRPr="007D6C54">
        <w:rPr>
          <w:rFonts w:eastAsia="Times New Roman" w:cs="Arial"/>
          <w:color w:val="000000"/>
          <w:lang w:eastAsia="bg-BG"/>
        </w:rPr>
        <w:t xml:space="preserve">320 </w:t>
      </w:r>
      <w:r w:rsidRPr="007D6C54">
        <w:rPr>
          <w:rFonts w:eastAsia="Times New Roman" w:cs="Arial"/>
          <w:color w:val="000000"/>
          <w:lang w:val="en-US"/>
        </w:rPr>
        <w:t>mg</w:t>
      </w:r>
      <w:r w:rsidRPr="007D6C54">
        <w:rPr>
          <w:rFonts w:eastAsia="Times New Roman" w:cs="Arial"/>
          <w:color w:val="000000"/>
          <w:lang w:val="ru-RU"/>
        </w:rPr>
        <w:t xml:space="preserve">/25 </w:t>
      </w:r>
      <w:r w:rsidRPr="007D6C54">
        <w:rPr>
          <w:rFonts w:eastAsia="Times New Roman" w:cs="Arial"/>
          <w:color w:val="000000"/>
          <w:lang w:val="en-US"/>
        </w:rPr>
        <w:t>mg</w:t>
      </w:r>
      <w:r w:rsidRPr="007D6C54">
        <w:rPr>
          <w:rFonts w:eastAsia="Times New Roman" w:cs="Arial"/>
          <w:color w:val="000000"/>
          <w:lang w:val="ru-RU"/>
        </w:rPr>
        <w:t>.</w:t>
      </w:r>
    </w:p>
    <w:p w14:paraId="60BA8A91" w14:textId="77777777" w:rsidR="007D6C54" w:rsidRPr="007D6C54" w:rsidRDefault="007D6C54" w:rsidP="007D6C54">
      <w:pPr>
        <w:spacing w:line="240" w:lineRule="auto"/>
        <w:rPr>
          <w:rFonts w:eastAsia="Times New Roman" w:cs="Arial"/>
          <w:color w:val="000000"/>
          <w:lang w:eastAsia="bg-BG"/>
        </w:rPr>
      </w:pPr>
    </w:p>
    <w:p w14:paraId="4AB60F42" w14:textId="5429C013" w:rsidR="007D6C54" w:rsidRPr="007D6C54" w:rsidRDefault="007D6C54" w:rsidP="007D6C54">
      <w:pPr>
        <w:spacing w:line="240" w:lineRule="auto"/>
        <w:rPr>
          <w:rFonts w:eastAsia="Times New Roman" w:cs="Arial"/>
          <w:sz w:val="24"/>
          <w:szCs w:val="24"/>
        </w:rPr>
      </w:pPr>
      <w:r w:rsidRPr="007D6C54">
        <w:rPr>
          <w:rFonts w:eastAsia="Times New Roman" w:cs="Arial"/>
          <w:color w:val="000000"/>
          <w:lang w:eastAsia="bg-BG"/>
        </w:rPr>
        <w:t>Антихипертензивният ефект е подчертано наличен след 2 седмици.</w:t>
      </w:r>
    </w:p>
    <w:p w14:paraId="45744220" w14:textId="77777777" w:rsidR="007D6C54" w:rsidRPr="007D6C54" w:rsidRDefault="007D6C54" w:rsidP="007D6C54">
      <w:pPr>
        <w:spacing w:line="240" w:lineRule="auto"/>
        <w:rPr>
          <w:rFonts w:eastAsia="Times New Roman" w:cs="Arial"/>
          <w:sz w:val="24"/>
          <w:szCs w:val="24"/>
        </w:rPr>
      </w:pPr>
      <w:r w:rsidRPr="007D6C54">
        <w:rPr>
          <w:rFonts w:eastAsia="Times New Roman" w:cs="Arial"/>
          <w:color w:val="000000"/>
          <w:lang w:eastAsia="bg-BG"/>
        </w:rPr>
        <w:t>При повечето пациенти максимален ефект се наблюдава в рамките на 4 седмици. Независимо от това, при някои пациенти може да е необходимо лечение 4-8 седмици. Това трябва да се има предвид при титрирането на дозата.</w:t>
      </w:r>
    </w:p>
    <w:p w14:paraId="3C287349" w14:textId="77777777" w:rsidR="007D6C54" w:rsidRPr="007D6C54" w:rsidRDefault="007D6C54" w:rsidP="007D6C54">
      <w:pPr>
        <w:spacing w:line="240" w:lineRule="auto"/>
        <w:rPr>
          <w:rFonts w:eastAsia="Times New Roman" w:cs="Arial"/>
          <w:i/>
          <w:iCs/>
          <w:color w:val="000000"/>
          <w:u w:val="single"/>
          <w:lang w:eastAsia="bg-BG"/>
        </w:rPr>
      </w:pPr>
    </w:p>
    <w:p w14:paraId="181995BA" w14:textId="6F62CB91" w:rsidR="007D6C54" w:rsidRPr="007D6C54" w:rsidRDefault="007D6C54" w:rsidP="007D6C54">
      <w:pPr>
        <w:pStyle w:val="Heading3"/>
        <w:rPr>
          <w:rFonts w:eastAsia="Times New Roman"/>
          <w:u w:val="single"/>
        </w:rPr>
      </w:pPr>
      <w:r w:rsidRPr="007D6C54">
        <w:rPr>
          <w:rFonts w:eastAsia="Times New Roman"/>
          <w:u w:val="single"/>
          <w:lang w:eastAsia="bg-BG"/>
        </w:rPr>
        <w:t>Начин на приложение</w:t>
      </w:r>
    </w:p>
    <w:p w14:paraId="2891BAB7" w14:textId="77777777" w:rsidR="007D6C54" w:rsidRPr="007D6C54" w:rsidRDefault="007D6C54" w:rsidP="007D6C54">
      <w:pPr>
        <w:spacing w:line="240" w:lineRule="auto"/>
        <w:rPr>
          <w:rFonts w:eastAsia="Times New Roman" w:cs="Arial"/>
          <w:sz w:val="24"/>
          <w:szCs w:val="24"/>
        </w:rPr>
      </w:pPr>
      <w:r w:rsidRPr="007D6C54">
        <w:rPr>
          <w:rFonts w:eastAsia="Times New Roman" w:cs="Arial"/>
          <w:color w:val="000000"/>
          <w:lang w:val="en-US"/>
        </w:rPr>
        <w:t>Co</w:t>
      </w:r>
      <w:r w:rsidRPr="007D6C54">
        <w:rPr>
          <w:rFonts w:eastAsia="Times New Roman" w:cs="Arial"/>
          <w:color w:val="000000"/>
          <w:lang w:val="ru-RU"/>
        </w:rPr>
        <w:t>-</w:t>
      </w:r>
      <w:r w:rsidRPr="007D6C54">
        <w:rPr>
          <w:rFonts w:eastAsia="Times New Roman" w:cs="Arial"/>
          <w:color w:val="000000"/>
          <w:lang w:val="en-US"/>
        </w:rPr>
        <w:t>Diovan</w:t>
      </w:r>
      <w:r w:rsidRPr="007D6C54">
        <w:rPr>
          <w:rFonts w:eastAsia="Times New Roman" w:cs="Arial"/>
          <w:color w:val="000000"/>
          <w:lang w:val="ru-RU"/>
        </w:rPr>
        <w:t xml:space="preserve"> </w:t>
      </w:r>
      <w:r w:rsidRPr="007D6C54">
        <w:rPr>
          <w:rFonts w:eastAsia="Times New Roman" w:cs="Arial"/>
          <w:color w:val="000000"/>
          <w:lang w:eastAsia="bg-BG"/>
        </w:rPr>
        <w:t>може да се приема със или без храна и трябва да се приема</w:t>
      </w:r>
      <w:r w:rsidRPr="007D6C54">
        <w:rPr>
          <w:rFonts w:eastAsia="Times New Roman" w:cs="Arial"/>
          <w:color w:val="000000"/>
          <w:lang w:val="ru-RU"/>
        </w:rPr>
        <w:t xml:space="preserve"> </w:t>
      </w:r>
      <w:r w:rsidRPr="007D6C54">
        <w:rPr>
          <w:rFonts w:eastAsia="Times New Roman" w:cs="Arial"/>
          <w:color w:val="000000"/>
          <w:lang w:eastAsia="bg-BG"/>
        </w:rPr>
        <w:t>с вода.</w:t>
      </w:r>
    </w:p>
    <w:p w14:paraId="5F44D506" w14:textId="77777777" w:rsidR="007D6C54" w:rsidRPr="007D6C54" w:rsidRDefault="007D6C54" w:rsidP="007D6C54">
      <w:pPr>
        <w:spacing w:line="240" w:lineRule="auto"/>
        <w:rPr>
          <w:rFonts w:eastAsia="Times New Roman" w:cs="Arial"/>
          <w:i/>
          <w:iCs/>
          <w:color w:val="000000"/>
          <w:u w:val="single"/>
          <w:lang w:eastAsia="bg-BG"/>
        </w:rPr>
      </w:pPr>
    </w:p>
    <w:p w14:paraId="79B4D685" w14:textId="76DB89DD" w:rsidR="007D6C54" w:rsidRPr="007D6C54" w:rsidRDefault="007D6C54" w:rsidP="007D6C54">
      <w:pPr>
        <w:spacing w:line="240" w:lineRule="auto"/>
        <w:rPr>
          <w:rFonts w:eastAsia="Times New Roman" w:cs="Arial"/>
          <w:sz w:val="24"/>
          <w:szCs w:val="24"/>
        </w:rPr>
      </w:pPr>
      <w:r w:rsidRPr="007D6C54">
        <w:rPr>
          <w:rFonts w:eastAsia="Times New Roman" w:cs="Arial"/>
          <w:i/>
          <w:iCs/>
          <w:color w:val="000000"/>
          <w:u w:val="single"/>
          <w:lang w:eastAsia="bg-BG"/>
        </w:rPr>
        <w:t>Специални популации</w:t>
      </w:r>
    </w:p>
    <w:p w14:paraId="21617384" w14:textId="77777777" w:rsidR="007D6C54" w:rsidRPr="007D6C54" w:rsidRDefault="007D6C54" w:rsidP="007D6C54">
      <w:pPr>
        <w:spacing w:line="240" w:lineRule="auto"/>
        <w:rPr>
          <w:rFonts w:eastAsia="Times New Roman" w:cs="Arial"/>
          <w:i/>
          <w:iCs/>
          <w:color w:val="000000"/>
          <w:lang w:eastAsia="bg-BG"/>
        </w:rPr>
      </w:pPr>
    </w:p>
    <w:p w14:paraId="6F95A46D" w14:textId="5236F4FD" w:rsidR="007D6C54" w:rsidRPr="007D6C54" w:rsidRDefault="007D6C54" w:rsidP="007D6C54">
      <w:pPr>
        <w:spacing w:line="240" w:lineRule="auto"/>
        <w:rPr>
          <w:rFonts w:eastAsia="Times New Roman" w:cs="Arial"/>
          <w:sz w:val="24"/>
          <w:szCs w:val="24"/>
        </w:rPr>
      </w:pPr>
      <w:r w:rsidRPr="007D6C54">
        <w:rPr>
          <w:rFonts w:eastAsia="Times New Roman" w:cs="Arial"/>
          <w:i/>
          <w:iCs/>
          <w:color w:val="000000"/>
          <w:lang w:eastAsia="bg-BG"/>
        </w:rPr>
        <w:t>Пациенти с бъбречно увреждане</w:t>
      </w:r>
    </w:p>
    <w:p w14:paraId="5AD1E42E" w14:textId="77777777" w:rsidR="007D6C54" w:rsidRPr="007D6C54" w:rsidRDefault="007D6C54" w:rsidP="007D6C54">
      <w:pPr>
        <w:spacing w:line="240" w:lineRule="auto"/>
        <w:rPr>
          <w:rFonts w:eastAsia="Times New Roman" w:cs="Arial"/>
          <w:sz w:val="24"/>
          <w:szCs w:val="24"/>
        </w:rPr>
      </w:pPr>
      <w:r w:rsidRPr="007D6C54">
        <w:rPr>
          <w:rFonts w:eastAsia="Times New Roman" w:cs="Arial"/>
          <w:color w:val="000000"/>
          <w:lang w:eastAsia="bg-BG"/>
        </w:rPr>
        <w:t xml:space="preserve">Не се налага коригиране на дозата при пациенти с леко до умерено бъбречно увреждане (скорост на гломерулната филтрация </w:t>
      </w:r>
      <w:r w:rsidRPr="007D6C54">
        <w:rPr>
          <w:rFonts w:eastAsia="Times New Roman" w:cs="Arial"/>
          <w:color w:val="000000"/>
          <w:lang w:val="ru-RU"/>
        </w:rPr>
        <w:t>(</w:t>
      </w:r>
      <w:r w:rsidRPr="007D6C54">
        <w:rPr>
          <w:rFonts w:eastAsia="Times New Roman" w:cs="Arial"/>
          <w:color w:val="000000"/>
          <w:lang w:val="en-US"/>
        </w:rPr>
        <w:t>GFR</w:t>
      </w:r>
      <w:r w:rsidRPr="007D6C54">
        <w:rPr>
          <w:rFonts w:eastAsia="Times New Roman" w:cs="Arial"/>
          <w:color w:val="000000"/>
          <w:lang w:val="ru-RU"/>
        </w:rPr>
        <w:t xml:space="preserve">) </w:t>
      </w:r>
      <w:r w:rsidRPr="007D6C54">
        <w:rPr>
          <w:rFonts w:eastAsia="Times New Roman" w:cs="Arial"/>
          <w:color w:val="000000"/>
          <w:lang w:eastAsia="bg-BG"/>
        </w:rPr>
        <w:t xml:space="preserve">&gt;30 </w:t>
      </w:r>
      <w:r w:rsidRPr="007D6C54">
        <w:rPr>
          <w:rFonts w:eastAsia="Times New Roman" w:cs="Arial"/>
          <w:color w:val="000000"/>
          <w:lang w:val="en-US"/>
        </w:rPr>
        <w:t>ml</w:t>
      </w:r>
      <w:r w:rsidRPr="007D6C54">
        <w:rPr>
          <w:rFonts w:eastAsia="Times New Roman" w:cs="Arial"/>
          <w:color w:val="000000"/>
          <w:lang w:val="ru-RU"/>
        </w:rPr>
        <w:t>/</w:t>
      </w:r>
      <w:r w:rsidRPr="007D6C54">
        <w:rPr>
          <w:rFonts w:eastAsia="Times New Roman" w:cs="Arial"/>
          <w:color w:val="000000"/>
          <w:lang w:val="en-US"/>
        </w:rPr>
        <w:t>min</w:t>
      </w:r>
      <w:r w:rsidRPr="007D6C54">
        <w:rPr>
          <w:rFonts w:eastAsia="Times New Roman" w:cs="Arial"/>
          <w:color w:val="000000"/>
          <w:lang w:val="ru-RU"/>
        </w:rPr>
        <w:t xml:space="preserve">). </w:t>
      </w:r>
      <w:r w:rsidRPr="007D6C54">
        <w:rPr>
          <w:rFonts w:eastAsia="Times New Roman" w:cs="Arial"/>
          <w:color w:val="000000"/>
          <w:lang w:eastAsia="bg-BG"/>
        </w:rPr>
        <w:t xml:space="preserve">Поради хидрохлоротиазидната компонента </w:t>
      </w:r>
      <w:r w:rsidRPr="007D6C54">
        <w:rPr>
          <w:rFonts w:eastAsia="Times New Roman" w:cs="Arial"/>
          <w:color w:val="000000"/>
          <w:lang w:val="en-US"/>
        </w:rPr>
        <w:t>Co</w:t>
      </w:r>
      <w:r w:rsidRPr="007D6C54">
        <w:rPr>
          <w:rFonts w:eastAsia="Times New Roman" w:cs="Arial"/>
          <w:color w:val="000000"/>
          <w:lang w:val="ru-RU"/>
        </w:rPr>
        <w:t>-</w:t>
      </w:r>
      <w:r w:rsidRPr="007D6C54">
        <w:rPr>
          <w:rFonts w:eastAsia="Times New Roman" w:cs="Arial"/>
          <w:color w:val="000000"/>
          <w:lang w:val="en-US"/>
        </w:rPr>
        <w:t>Diovan</w:t>
      </w:r>
      <w:r w:rsidRPr="007D6C54">
        <w:rPr>
          <w:rFonts w:eastAsia="Times New Roman" w:cs="Arial"/>
          <w:color w:val="000000"/>
          <w:lang w:val="ru-RU"/>
        </w:rPr>
        <w:t xml:space="preserve"> </w:t>
      </w:r>
      <w:r w:rsidRPr="007D6C54">
        <w:rPr>
          <w:rFonts w:eastAsia="Times New Roman" w:cs="Arial"/>
          <w:color w:val="000000"/>
          <w:lang w:eastAsia="bg-BG"/>
        </w:rPr>
        <w:t xml:space="preserve">е противопоказан при пациенти с тежко бъбречно увреждане </w:t>
      </w:r>
      <w:r w:rsidRPr="007D6C54">
        <w:rPr>
          <w:rFonts w:eastAsia="Times New Roman" w:cs="Arial"/>
          <w:color w:val="000000"/>
          <w:lang w:val="ru-RU"/>
        </w:rPr>
        <w:t>(</w:t>
      </w:r>
      <w:r w:rsidRPr="007D6C54">
        <w:rPr>
          <w:rFonts w:eastAsia="Times New Roman" w:cs="Arial"/>
          <w:color w:val="000000"/>
          <w:lang w:val="en-US"/>
        </w:rPr>
        <w:t>GFR</w:t>
      </w:r>
      <w:r w:rsidRPr="007D6C54">
        <w:rPr>
          <w:rFonts w:eastAsia="Times New Roman" w:cs="Arial"/>
          <w:color w:val="000000"/>
          <w:lang w:val="ru-RU"/>
        </w:rPr>
        <w:t xml:space="preserve"> </w:t>
      </w:r>
      <w:r w:rsidRPr="007D6C54">
        <w:rPr>
          <w:rFonts w:eastAsia="Times New Roman" w:cs="Arial"/>
          <w:color w:val="000000"/>
          <w:lang w:eastAsia="bg-BG"/>
        </w:rPr>
        <w:t xml:space="preserve">&lt; 30 </w:t>
      </w:r>
      <w:r w:rsidRPr="007D6C54">
        <w:rPr>
          <w:rFonts w:eastAsia="Times New Roman" w:cs="Arial"/>
          <w:color w:val="000000"/>
          <w:lang w:val="en-US"/>
        </w:rPr>
        <w:t>ml</w:t>
      </w:r>
      <w:r w:rsidRPr="007D6C54">
        <w:rPr>
          <w:rFonts w:eastAsia="Times New Roman" w:cs="Arial"/>
          <w:color w:val="000000"/>
          <w:lang w:val="ru-RU"/>
        </w:rPr>
        <w:t>/</w:t>
      </w:r>
      <w:r w:rsidRPr="007D6C54">
        <w:rPr>
          <w:rFonts w:eastAsia="Times New Roman" w:cs="Arial"/>
          <w:color w:val="000000"/>
          <w:lang w:val="en-US"/>
        </w:rPr>
        <w:t>min</w:t>
      </w:r>
      <w:r w:rsidRPr="007D6C54">
        <w:rPr>
          <w:rFonts w:eastAsia="Times New Roman" w:cs="Arial"/>
          <w:color w:val="000000"/>
          <w:lang w:val="ru-RU"/>
        </w:rPr>
        <w:t xml:space="preserve">) </w:t>
      </w:r>
      <w:r w:rsidRPr="007D6C54">
        <w:rPr>
          <w:rFonts w:eastAsia="Times New Roman" w:cs="Arial"/>
          <w:color w:val="000000"/>
          <w:lang w:eastAsia="bg-BG"/>
        </w:rPr>
        <w:t>и анурия (вж. точки 4.3, 4.4 и 5.2).</w:t>
      </w:r>
    </w:p>
    <w:p w14:paraId="3E56B375" w14:textId="77777777" w:rsidR="007D6C54" w:rsidRPr="007D6C54" w:rsidRDefault="007D6C54" w:rsidP="007D6C54">
      <w:pPr>
        <w:spacing w:line="240" w:lineRule="auto"/>
        <w:rPr>
          <w:rFonts w:eastAsia="Times New Roman" w:cs="Arial"/>
          <w:i/>
          <w:iCs/>
          <w:color w:val="000000"/>
          <w:lang w:eastAsia="bg-BG"/>
        </w:rPr>
      </w:pPr>
    </w:p>
    <w:p w14:paraId="412B98D8" w14:textId="32994E1E" w:rsidR="007D6C54" w:rsidRPr="007D6C54" w:rsidRDefault="007D6C54" w:rsidP="007D6C54">
      <w:pPr>
        <w:spacing w:line="240" w:lineRule="auto"/>
        <w:rPr>
          <w:rFonts w:eastAsia="Times New Roman" w:cs="Arial"/>
          <w:sz w:val="24"/>
          <w:szCs w:val="24"/>
        </w:rPr>
      </w:pPr>
      <w:r w:rsidRPr="007D6C54">
        <w:rPr>
          <w:rFonts w:eastAsia="Times New Roman" w:cs="Arial"/>
          <w:i/>
          <w:iCs/>
          <w:color w:val="000000"/>
          <w:lang w:eastAsia="bg-BG"/>
        </w:rPr>
        <w:t>Пациенти с чернодробно увреждане</w:t>
      </w:r>
    </w:p>
    <w:p w14:paraId="40937208" w14:textId="77777777" w:rsidR="007D6C54" w:rsidRPr="007D6C54" w:rsidRDefault="007D6C54" w:rsidP="007D6C54">
      <w:pPr>
        <w:spacing w:line="240" w:lineRule="auto"/>
        <w:rPr>
          <w:rFonts w:eastAsia="Times New Roman" w:cs="Arial"/>
          <w:sz w:val="24"/>
          <w:szCs w:val="24"/>
        </w:rPr>
      </w:pPr>
      <w:r w:rsidRPr="007D6C54">
        <w:rPr>
          <w:rFonts w:eastAsia="Times New Roman" w:cs="Arial"/>
          <w:color w:val="000000"/>
          <w:lang w:eastAsia="bg-BG"/>
        </w:rPr>
        <w:t xml:space="preserve">При пациенти с леко до умерено чернодробно увреждане без холестаза дозата на валсартан не трябва да превишава 80 </w:t>
      </w:r>
      <w:r w:rsidRPr="007D6C54">
        <w:rPr>
          <w:rFonts w:eastAsia="Times New Roman" w:cs="Arial"/>
          <w:color w:val="000000"/>
          <w:lang w:val="en-US"/>
        </w:rPr>
        <w:t>mg</w:t>
      </w:r>
      <w:r w:rsidRPr="007D6C54">
        <w:rPr>
          <w:rFonts w:eastAsia="Times New Roman" w:cs="Arial"/>
          <w:color w:val="000000"/>
          <w:lang w:val="ru-RU"/>
        </w:rPr>
        <w:t xml:space="preserve"> </w:t>
      </w:r>
      <w:r w:rsidRPr="007D6C54">
        <w:rPr>
          <w:rFonts w:eastAsia="Times New Roman" w:cs="Arial"/>
          <w:color w:val="000000"/>
          <w:lang w:eastAsia="bg-BG"/>
        </w:rPr>
        <w:t xml:space="preserve">(вж. точка 4.4). Не е установена препоръчителна доза за хидрохлоротиазид при пациенти с умерено до тежко чернодробно увреждане. Поради наличието на валсартан, </w:t>
      </w:r>
      <w:r w:rsidRPr="007D6C54">
        <w:rPr>
          <w:rFonts w:eastAsia="Times New Roman" w:cs="Arial"/>
          <w:color w:val="000000"/>
          <w:lang w:val="en-US"/>
        </w:rPr>
        <w:t>Co</w:t>
      </w:r>
      <w:r w:rsidRPr="007D6C54">
        <w:rPr>
          <w:rFonts w:eastAsia="Times New Roman" w:cs="Arial"/>
          <w:color w:val="000000"/>
          <w:lang w:val="ru-RU"/>
        </w:rPr>
        <w:t>-</w:t>
      </w:r>
      <w:r w:rsidRPr="007D6C54">
        <w:rPr>
          <w:rFonts w:eastAsia="Times New Roman" w:cs="Arial"/>
          <w:color w:val="000000"/>
          <w:lang w:val="en-US"/>
        </w:rPr>
        <w:t>Diovan</w:t>
      </w:r>
      <w:r w:rsidRPr="007D6C54">
        <w:rPr>
          <w:rFonts w:eastAsia="Times New Roman" w:cs="Arial"/>
          <w:color w:val="000000"/>
          <w:lang w:val="ru-RU"/>
        </w:rPr>
        <w:t xml:space="preserve"> </w:t>
      </w:r>
      <w:r w:rsidRPr="007D6C54">
        <w:rPr>
          <w:rFonts w:eastAsia="Times New Roman" w:cs="Arial"/>
          <w:color w:val="000000"/>
          <w:lang w:eastAsia="bg-BG"/>
        </w:rPr>
        <w:t>е противопоказан при пациенти с тежко чернодробно увреждане или с билиарна цироза и холестаза (вж. точки 4.3,4.4 и 5.2).</w:t>
      </w:r>
    </w:p>
    <w:p w14:paraId="7A3C5760" w14:textId="77777777" w:rsidR="007D6C54" w:rsidRPr="007D6C54" w:rsidRDefault="007D6C54" w:rsidP="007D6C54">
      <w:pPr>
        <w:spacing w:line="240" w:lineRule="auto"/>
        <w:rPr>
          <w:rFonts w:eastAsia="Times New Roman" w:cs="Arial"/>
          <w:i/>
          <w:iCs/>
          <w:color w:val="000000"/>
          <w:lang w:eastAsia="bg-BG"/>
        </w:rPr>
      </w:pPr>
    </w:p>
    <w:p w14:paraId="738A7565" w14:textId="1F2F7230" w:rsidR="007D6C54" w:rsidRPr="007D6C54" w:rsidRDefault="007D6C54" w:rsidP="007D6C54">
      <w:pPr>
        <w:spacing w:line="240" w:lineRule="auto"/>
        <w:rPr>
          <w:rFonts w:eastAsia="Times New Roman" w:cs="Arial"/>
          <w:sz w:val="24"/>
          <w:szCs w:val="24"/>
        </w:rPr>
      </w:pPr>
      <w:r w:rsidRPr="007D6C54">
        <w:rPr>
          <w:rFonts w:eastAsia="Times New Roman" w:cs="Arial"/>
          <w:i/>
          <w:iCs/>
          <w:color w:val="000000"/>
          <w:lang w:eastAsia="bg-BG"/>
        </w:rPr>
        <w:t>Пациенти в старческа възраст</w:t>
      </w:r>
    </w:p>
    <w:p w14:paraId="21C69163" w14:textId="77777777" w:rsidR="007D6C54" w:rsidRPr="007D6C54" w:rsidRDefault="007D6C54" w:rsidP="007D6C54">
      <w:pPr>
        <w:spacing w:line="240" w:lineRule="auto"/>
        <w:rPr>
          <w:rFonts w:eastAsia="Times New Roman" w:cs="Arial"/>
          <w:sz w:val="24"/>
          <w:szCs w:val="24"/>
        </w:rPr>
      </w:pPr>
      <w:r w:rsidRPr="007D6C54">
        <w:rPr>
          <w:rFonts w:eastAsia="Times New Roman" w:cs="Arial"/>
          <w:color w:val="000000"/>
          <w:lang w:eastAsia="bg-BG"/>
        </w:rPr>
        <w:t>Не се налага промяна в дозировката при пациенти в старческа възраст.</w:t>
      </w:r>
    </w:p>
    <w:p w14:paraId="751C0251" w14:textId="77777777" w:rsidR="007D6C54" w:rsidRPr="007D6C54" w:rsidRDefault="007D6C54" w:rsidP="007D6C54">
      <w:pPr>
        <w:spacing w:line="240" w:lineRule="auto"/>
        <w:rPr>
          <w:rFonts w:eastAsia="Times New Roman" w:cs="Arial"/>
          <w:i/>
          <w:iCs/>
          <w:color w:val="000000"/>
          <w:lang w:eastAsia="bg-BG"/>
        </w:rPr>
      </w:pPr>
    </w:p>
    <w:p w14:paraId="59C459CE" w14:textId="77F10A10" w:rsidR="007D6C54" w:rsidRPr="007D6C54" w:rsidRDefault="007D6C54" w:rsidP="007D6C54">
      <w:pPr>
        <w:spacing w:line="240" w:lineRule="auto"/>
        <w:rPr>
          <w:rFonts w:eastAsia="Times New Roman" w:cs="Arial"/>
          <w:sz w:val="24"/>
          <w:szCs w:val="24"/>
        </w:rPr>
      </w:pPr>
      <w:r w:rsidRPr="007D6C54">
        <w:rPr>
          <w:rFonts w:eastAsia="Times New Roman" w:cs="Arial"/>
          <w:i/>
          <w:iCs/>
          <w:color w:val="000000"/>
          <w:lang w:eastAsia="bg-BG"/>
        </w:rPr>
        <w:t>Педиатрични пациенти</w:t>
      </w:r>
    </w:p>
    <w:p w14:paraId="5CB621AE" w14:textId="77777777" w:rsidR="007D6C54" w:rsidRPr="007D6C54" w:rsidRDefault="007D6C54" w:rsidP="007D6C54">
      <w:pPr>
        <w:spacing w:line="240" w:lineRule="auto"/>
        <w:rPr>
          <w:rFonts w:eastAsia="Times New Roman" w:cs="Arial"/>
          <w:sz w:val="24"/>
          <w:szCs w:val="24"/>
        </w:rPr>
      </w:pPr>
      <w:r w:rsidRPr="007D6C54">
        <w:rPr>
          <w:rFonts w:eastAsia="Times New Roman" w:cs="Arial"/>
          <w:color w:val="000000"/>
          <w:lang w:eastAsia="bg-BG"/>
        </w:rPr>
        <w:t xml:space="preserve">Не се препоръчва употребата на </w:t>
      </w:r>
      <w:r w:rsidRPr="007D6C54">
        <w:rPr>
          <w:rFonts w:eastAsia="Times New Roman" w:cs="Arial"/>
          <w:color w:val="000000"/>
          <w:lang w:val="en-US"/>
        </w:rPr>
        <w:t>Co</w:t>
      </w:r>
      <w:r w:rsidRPr="007D6C54">
        <w:rPr>
          <w:rFonts w:eastAsia="Times New Roman" w:cs="Arial"/>
          <w:color w:val="000000"/>
          <w:lang w:val="ru-RU"/>
        </w:rPr>
        <w:t>-</w:t>
      </w:r>
      <w:r w:rsidRPr="007D6C54">
        <w:rPr>
          <w:rFonts w:eastAsia="Times New Roman" w:cs="Arial"/>
          <w:color w:val="000000"/>
          <w:lang w:val="en-US"/>
        </w:rPr>
        <w:t>Diovan</w:t>
      </w:r>
      <w:r w:rsidRPr="007D6C54">
        <w:rPr>
          <w:rFonts w:eastAsia="Times New Roman" w:cs="Arial"/>
          <w:color w:val="000000"/>
          <w:lang w:val="ru-RU"/>
        </w:rPr>
        <w:t xml:space="preserve"> </w:t>
      </w:r>
      <w:r w:rsidRPr="007D6C54">
        <w:rPr>
          <w:rFonts w:eastAsia="Times New Roman" w:cs="Arial"/>
          <w:color w:val="000000"/>
          <w:lang w:eastAsia="bg-BG"/>
        </w:rPr>
        <w:t>при деца под 18 години, поради липсата на данни за безопасността и ефикасността.</w:t>
      </w:r>
    </w:p>
    <w:p w14:paraId="3D80279C" w14:textId="77777777" w:rsidR="007D6C54" w:rsidRPr="007D6C54" w:rsidRDefault="007D6C54" w:rsidP="007D6C54"/>
    <w:p w14:paraId="0F253247" w14:textId="607B9B63" w:rsidR="007122AD" w:rsidRDefault="002C50EE" w:rsidP="00936AD0">
      <w:pPr>
        <w:pStyle w:val="Heading2"/>
      </w:pPr>
      <w:r>
        <w:t>4.3. Противопоказания</w:t>
      </w:r>
    </w:p>
    <w:p w14:paraId="01051F2D" w14:textId="3C89BEA4" w:rsidR="007D6C54" w:rsidRDefault="007D6C54" w:rsidP="007D6C54"/>
    <w:p w14:paraId="4C68CFE5" w14:textId="77777777" w:rsidR="007D6C54" w:rsidRPr="007D6C54" w:rsidRDefault="007D6C54" w:rsidP="007D6C54">
      <w:pPr>
        <w:pStyle w:val="ListParagraph"/>
        <w:numPr>
          <w:ilvl w:val="0"/>
          <w:numId w:val="37"/>
        </w:numPr>
        <w:rPr>
          <w:sz w:val="24"/>
          <w:szCs w:val="24"/>
        </w:rPr>
      </w:pPr>
      <w:r w:rsidRPr="007D6C54">
        <w:rPr>
          <w:lang w:eastAsia="bg-BG"/>
        </w:rPr>
        <w:t xml:space="preserve">Свръхчувствителност към активното вещество(а),, други сулфонамидни производни или към някое от помощните вещества описани в точка 6, </w:t>
      </w:r>
    </w:p>
    <w:p w14:paraId="1C710B7F" w14:textId="77777777" w:rsidR="007D6C54" w:rsidRPr="007D6C54" w:rsidRDefault="007D6C54" w:rsidP="007D6C54">
      <w:pPr>
        <w:pStyle w:val="ListParagraph"/>
        <w:numPr>
          <w:ilvl w:val="0"/>
          <w:numId w:val="37"/>
        </w:numPr>
        <w:rPr>
          <w:sz w:val="24"/>
          <w:szCs w:val="24"/>
        </w:rPr>
      </w:pPr>
      <w:r w:rsidRPr="007D6C54">
        <w:rPr>
          <w:lang w:eastAsia="bg-BG"/>
        </w:rPr>
        <w:t>Втори и трети триместър на бременността (точки 4.4 и 4.6).</w:t>
      </w:r>
    </w:p>
    <w:p w14:paraId="51380C99" w14:textId="77777777" w:rsidR="007D6C54" w:rsidRPr="007D6C54" w:rsidRDefault="007D6C54" w:rsidP="007D6C54">
      <w:pPr>
        <w:pStyle w:val="ListParagraph"/>
        <w:numPr>
          <w:ilvl w:val="0"/>
          <w:numId w:val="37"/>
        </w:numPr>
        <w:rPr>
          <w:sz w:val="24"/>
          <w:szCs w:val="24"/>
        </w:rPr>
      </w:pPr>
      <w:r w:rsidRPr="007D6C54">
        <w:rPr>
          <w:lang w:eastAsia="bg-BG"/>
        </w:rPr>
        <w:t>Тежко чернодробно увреждане, билиарна цироза и холестаза.</w:t>
      </w:r>
    </w:p>
    <w:p w14:paraId="53EF7793" w14:textId="77777777" w:rsidR="007D6C54" w:rsidRPr="007D6C54" w:rsidRDefault="007D6C54" w:rsidP="007D6C54">
      <w:pPr>
        <w:pStyle w:val="ListParagraph"/>
        <w:numPr>
          <w:ilvl w:val="0"/>
          <w:numId w:val="37"/>
        </w:numPr>
        <w:rPr>
          <w:sz w:val="24"/>
          <w:szCs w:val="24"/>
        </w:rPr>
      </w:pPr>
      <w:r w:rsidRPr="007D6C54">
        <w:rPr>
          <w:lang w:eastAsia="bg-BG"/>
        </w:rPr>
        <w:t xml:space="preserve">Тежко бъбречно увреждане (креатининов клирънс &lt;30 </w:t>
      </w:r>
      <w:r w:rsidRPr="007D6C54">
        <w:rPr>
          <w:lang w:val="en-US"/>
        </w:rPr>
        <w:t>ml</w:t>
      </w:r>
      <w:r w:rsidRPr="007D6C54">
        <w:rPr>
          <w:lang w:val="ru-RU"/>
        </w:rPr>
        <w:t>/</w:t>
      </w:r>
      <w:r w:rsidRPr="007D6C54">
        <w:rPr>
          <w:lang w:val="en-US"/>
        </w:rPr>
        <w:t>min</w:t>
      </w:r>
      <w:r w:rsidRPr="007D6C54">
        <w:rPr>
          <w:lang w:val="ru-RU"/>
        </w:rPr>
        <w:t xml:space="preserve">), </w:t>
      </w:r>
      <w:r w:rsidRPr="007D6C54">
        <w:rPr>
          <w:lang w:eastAsia="bg-BG"/>
        </w:rPr>
        <w:t>анурия.</w:t>
      </w:r>
    </w:p>
    <w:p w14:paraId="1FA70613" w14:textId="77777777" w:rsidR="007D6C54" w:rsidRPr="007D6C54" w:rsidRDefault="007D6C54" w:rsidP="007D6C54">
      <w:pPr>
        <w:pStyle w:val="ListParagraph"/>
        <w:numPr>
          <w:ilvl w:val="0"/>
          <w:numId w:val="37"/>
        </w:numPr>
        <w:rPr>
          <w:sz w:val="24"/>
          <w:szCs w:val="24"/>
        </w:rPr>
      </w:pPr>
      <w:r w:rsidRPr="007D6C54">
        <w:rPr>
          <w:lang w:eastAsia="bg-BG"/>
        </w:rPr>
        <w:t>Рефракторна хипокалиемия, хипонатриемия, хиперкалциемия и симптоматична хиперурикемия.</w:t>
      </w:r>
    </w:p>
    <w:p w14:paraId="49B6E287" w14:textId="2EDE426C" w:rsidR="007D6C54" w:rsidRPr="007D6C54" w:rsidRDefault="007D6C54" w:rsidP="007D6C54">
      <w:pPr>
        <w:pStyle w:val="ListParagraph"/>
        <w:numPr>
          <w:ilvl w:val="0"/>
          <w:numId w:val="37"/>
        </w:numPr>
        <w:rPr>
          <w:sz w:val="24"/>
          <w:szCs w:val="24"/>
        </w:rPr>
      </w:pPr>
      <w:r w:rsidRPr="007D6C54">
        <w:rPr>
          <w:lang w:eastAsia="bg-BG"/>
        </w:rPr>
        <w:t xml:space="preserve">Едновременната употреба на </w:t>
      </w:r>
      <w:r w:rsidRPr="007D6C54">
        <w:rPr>
          <w:lang w:val="en-US"/>
        </w:rPr>
        <w:t>Co</w:t>
      </w:r>
      <w:r w:rsidRPr="007D6C54">
        <w:rPr>
          <w:lang w:val="ru-RU"/>
        </w:rPr>
        <w:t>-</w:t>
      </w:r>
      <w:r w:rsidRPr="007D6C54">
        <w:rPr>
          <w:lang w:val="en-US"/>
        </w:rPr>
        <w:t>Diovan</w:t>
      </w:r>
      <w:r w:rsidRPr="007D6C54">
        <w:rPr>
          <w:lang w:val="ru-RU"/>
        </w:rPr>
        <w:t xml:space="preserve"> </w:t>
      </w:r>
      <w:r w:rsidRPr="007D6C54">
        <w:rPr>
          <w:lang w:eastAsia="bg-BG"/>
        </w:rPr>
        <w:t xml:space="preserve">с алискирен-съдържащи продукти при пациенти със захарен диабет или бъбречно увреждане </w:t>
      </w:r>
      <w:r w:rsidRPr="007D6C54">
        <w:rPr>
          <w:lang w:val="ru-RU"/>
        </w:rPr>
        <w:t>(</w:t>
      </w:r>
      <w:r w:rsidRPr="007D6C54">
        <w:rPr>
          <w:lang w:val="en-US"/>
        </w:rPr>
        <w:t>GFR</w:t>
      </w:r>
      <w:r w:rsidRPr="007D6C54">
        <w:rPr>
          <w:lang w:val="ru-RU"/>
        </w:rPr>
        <w:t xml:space="preserve"> </w:t>
      </w:r>
      <w:r w:rsidRPr="007D6C54">
        <w:rPr>
          <w:lang w:eastAsia="bg-BG"/>
        </w:rPr>
        <w:t xml:space="preserve">&lt; 60 </w:t>
      </w:r>
      <w:r w:rsidRPr="007D6C54">
        <w:rPr>
          <w:lang w:val="en-US"/>
        </w:rPr>
        <w:t>ml</w:t>
      </w:r>
      <w:r w:rsidRPr="007D6C54">
        <w:rPr>
          <w:lang w:val="ru-RU"/>
        </w:rPr>
        <w:t>/</w:t>
      </w:r>
      <w:r w:rsidRPr="007D6C54">
        <w:rPr>
          <w:lang w:val="en-US"/>
        </w:rPr>
        <w:t>min</w:t>
      </w:r>
      <w:r w:rsidRPr="007D6C54">
        <w:rPr>
          <w:lang w:val="ru-RU"/>
        </w:rPr>
        <w:t>/</w:t>
      </w:r>
      <w:r w:rsidRPr="007D6C54">
        <w:rPr>
          <w:lang w:val="en-US"/>
        </w:rPr>
        <w:t>l</w:t>
      </w:r>
      <w:r w:rsidRPr="007D6C54">
        <w:rPr>
          <w:lang w:val="ru-RU"/>
        </w:rPr>
        <w:t>,73</w:t>
      </w:r>
      <w:r w:rsidRPr="007D6C54">
        <w:rPr>
          <w:lang w:val="en-US"/>
        </w:rPr>
        <w:t>m</w:t>
      </w:r>
      <w:r w:rsidRPr="007D6C54">
        <w:rPr>
          <w:vertAlign w:val="superscript"/>
          <w:lang w:val="ru-RU"/>
        </w:rPr>
        <w:t>2</w:t>
      </w:r>
      <w:r w:rsidRPr="007D6C54">
        <w:rPr>
          <w:lang w:val="ru-RU"/>
        </w:rPr>
        <w:t xml:space="preserve">) </w:t>
      </w:r>
      <w:r w:rsidRPr="007D6C54">
        <w:rPr>
          <w:lang w:eastAsia="bg-BG"/>
        </w:rPr>
        <w:t>(вж. точки 4.5 и 5.1).</w:t>
      </w:r>
    </w:p>
    <w:p w14:paraId="0B636363" w14:textId="77777777" w:rsidR="007D6C54" w:rsidRPr="007D6C54" w:rsidRDefault="007D6C54" w:rsidP="007D6C54"/>
    <w:p w14:paraId="0E0BDCC7" w14:textId="65A0BC66" w:rsidR="007122AD" w:rsidRDefault="002C50EE" w:rsidP="00936AD0">
      <w:pPr>
        <w:pStyle w:val="Heading2"/>
      </w:pPr>
      <w:r>
        <w:t>4.4. Специални предупреждения и предпазни мерки при употреба</w:t>
      </w:r>
    </w:p>
    <w:p w14:paraId="6268896B" w14:textId="5F6CAB15" w:rsidR="007D6C54" w:rsidRDefault="007D6C54" w:rsidP="007D6C54"/>
    <w:p w14:paraId="76C820FD" w14:textId="77777777" w:rsidR="007D6C54" w:rsidRPr="007D6C54" w:rsidRDefault="007D6C54" w:rsidP="007D6C54">
      <w:pPr>
        <w:spacing w:line="240" w:lineRule="auto"/>
        <w:rPr>
          <w:rFonts w:eastAsia="Times New Roman" w:cs="Arial"/>
        </w:rPr>
      </w:pPr>
      <w:r w:rsidRPr="007D6C54">
        <w:rPr>
          <w:rFonts w:eastAsia="Times New Roman" w:cs="Arial"/>
          <w:color w:val="000000"/>
          <w:u w:val="single"/>
          <w:lang w:eastAsia="bg-BG"/>
        </w:rPr>
        <w:t>Промени в нивата на серумните електролити</w:t>
      </w:r>
    </w:p>
    <w:p w14:paraId="76A67C19" w14:textId="77777777" w:rsidR="007D6C54" w:rsidRPr="007D6C54" w:rsidRDefault="007D6C54" w:rsidP="007D6C54">
      <w:pPr>
        <w:spacing w:line="240" w:lineRule="auto"/>
        <w:rPr>
          <w:rFonts w:eastAsia="Times New Roman" w:cs="Arial"/>
        </w:rPr>
      </w:pPr>
      <w:r w:rsidRPr="007D6C54">
        <w:rPr>
          <w:rFonts w:eastAsia="Times New Roman" w:cs="Arial"/>
          <w:i/>
          <w:iCs/>
          <w:color w:val="000000"/>
          <w:lang w:eastAsia="bg-BG"/>
        </w:rPr>
        <w:lastRenderedPageBreak/>
        <w:t>Валсартан</w:t>
      </w:r>
    </w:p>
    <w:p w14:paraId="6BF3C463"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t>Едновременната употреба с калиеви добавки, калий-съхраняващи диуретици, заместители на солта, съдържащи калий, или други лекарствени продукти, които биха могли да повишат нивата на калий (хепарин и т.н.), не се препоръчва. Стойностите на калия трябва да се мониторират съответно.</w:t>
      </w:r>
    </w:p>
    <w:p w14:paraId="41E6410E" w14:textId="77777777" w:rsidR="007D6C54" w:rsidRPr="007D6C54" w:rsidRDefault="007D6C54" w:rsidP="007D6C54">
      <w:pPr>
        <w:spacing w:line="240" w:lineRule="auto"/>
        <w:rPr>
          <w:rFonts w:eastAsia="Times New Roman" w:cs="Arial"/>
          <w:i/>
          <w:iCs/>
          <w:color w:val="000000"/>
          <w:lang w:eastAsia="bg-BG"/>
        </w:rPr>
      </w:pPr>
    </w:p>
    <w:p w14:paraId="01C20D2B" w14:textId="58F4C995" w:rsidR="007D6C54" w:rsidRPr="007D6C54" w:rsidRDefault="007D6C54" w:rsidP="007D6C54">
      <w:pPr>
        <w:spacing w:line="240" w:lineRule="auto"/>
        <w:rPr>
          <w:rFonts w:eastAsia="Times New Roman" w:cs="Arial"/>
        </w:rPr>
      </w:pPr>
      <w:r w:rsidRPr="007D6C54">
        <w:rPr>
          <w:rFonts w:eastAsia="Times New Roman" w:cs="Arial"/>
          <w:i/>
          <w:iCs/>
          <w:color w:val="000000"/>
          <w:lang w:eastAsia="bg-BG"/>
        </w:rPr>
        <w:t>Хидрохлоротиазид</w:t>
      </w:r>
    </w:p>
    <w:p w14:paraId="0C7FE033"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t>При лечение с тиазидни диуретици, включително хидрохлоротиазид, се съобщава за случаи на хипокалиемия. Препоръчва се често мониториране на нивата на серумния калий.</w:t>
      </w:r>
    </w:p>
    <w:p w14:paraId="20C8B323"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t>Лечението с тиазидни диуретици, включително хидрохлоротиазид, се свързва с хипонатриемия и хипохлоремична алкалоза. Тиазидите, включително хидрохлоротиазид, повишават екскрецията на магнезий в урината, което може да доведе до хипомагнезиемия. Екскрецията на</w:t>
      </w:r>
      <w:r w:rsidRPr="007D6C54">
        <w:rPr>
          <w:rFonts w:eastAsia="Times New Roman" w:cs="Arial"/>
          <w:smallCaps/>
          <w:color w:val="000000"/>
          <w:lang w:eastAsia="bg-BG"/>
        </w:rPr>
        <w:t xml:space="preserve"> </w:t>
      </w:r>
      <w:r w:rsidRPr="007D6C54">
        <w:rPr>
          <w:rFonts w:eastAsia="Times New Roman" w:cs="Arial"/>
          <w:color w:val="000000"/>
          <w:lang w:eastAsia="bg-BG"/>
        </w:rPr>
        <w:t>калций намалява под влиянието на тиазидните диуретици. Това може да доведе до хиперкалциемия.</w:t>
      </w:r>
    </w:p>
    <w:p w14:paraId="4E8D0F6F"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t>Както при всички пациенти, получаващи диуретично лечение, е необходимо на подходящи интервали от време да се осъществява определяне на нивата на серумните електролити.</w:t>
      </w:r>
    </w:p>
    <w:p w14:paraId="61F16D09" w14:textId="77777777" w:rsidR="007D6C54" w:rsidRPr="007D6C54" w:rsidRDefault="007D6C54" w:rsidP="007D6C54">
      <w:pPr>
        <w:rPr>
          <w:rFonts w:eastAsia="Times New Roman" w:cs="Arial"/>
          <w:color w:val="000000"/>
          <w:u w:val="single"/>
          <w:lang w:eastAsia="bg-BG"/>
        </w:rPr>
      </w:pPr>
    </w:p>
    <w:p w14:paraId="66EC1CF8" w14:textId="05F0E091" w:rsidR="007D6C54" w:rsidRPr="007D6C54" w:rsidRDefault="007D6C54" w:rsidP="007D6C54">
      <w:pPr>
        <w:rPr>
          <w:rFonts w:eastAsia="Times New Roman" w:cs="Arial"/>
          <w:color w:val="000000"/>
          <w:u w:val="single"/>
          <w:lang w:eastAsia="bg-BG"/>
        </w:rPr>
      </w:pPr>
      <w:r w:rsidRPr="007D6C54">
        <w:rPr>
          <w:rFonts w:eastAsia="Times New Roman" w:cs="Arial"/>
          <w:color w:val="000000"/>
          <w:u w:val="single"/>
          <w:lang w:eastAsia="bg-BG"/>
        </w:rPr>
        <w:t>Пациенти с натриев и/или обемен дефицит</w:t>
      </w:r>
    </w:p>
    <w:p w14:paraId="117025BF"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t>Пациентите, получаващи тиазидни диуретици, включително хидрохлоротиазид, трябва да бъдат наблюдавани за поява на клинични признаци на воден или електролитен дисбаланс.</w:t>
      </w:r>
    </w:p>
    <w:p w14:paraId="264C99FD" w14:textId="77777777" w:rsidR="007D6C54" w:rsidRPr="007D6C54" w:rsidRDefault="007D6C54" w:rsidP="007D6C54">
      <w:pPr>
        <w:spacing w:line="240" w:lineRule="auto"/>
        <w:rPr>
          <w:rFonts w:eastAsia="Times New Roman" w:cs="Arial"/>
          <w:color w:val="000000"/>
          <w:lang w:eastAsia="bg-BG"/>
        </w:rPr>
      </w:pPr>
    </w:p>
    <w:p w14:paraId="1664C31E" w14:textId="0594534E" w:rsidR="007D6C54" w:rsidRPr="007D6C54" w:rsidRDefault="007D6C54" w:rsidP="007D6C54">
      <w:pPr>
        <w:spacing w:line="240" w:lineRule="auto"/>
        <w:rPr>
          <w:rFonts w:eastAsia="Times New Roman" w:cs="Arial"/>
        </w:rPr>
      </w:pPr>
      <w:r w:rsidRPr="007D6C54">
        <w:rPr>
          <w:rFonts w:eastAsia="Times New Roman" w:cs="Arial"/>
          <w:color w:val="000000"/>
          <w:lang w:eastAsia="bg-BG"/>
        </w:rPr>
        <w:t xml:space="preserve">При пациенти с тежък натриев и/или обемен дефицит, като тези, които получават високи дози диуретици, в редки случаи след започване на терапия с </w:t>
      </w:r>
      <w:r w:rsidRPr="007D6C54">
        <w:rPr>
          <w:rFonts w:eastAsia="Times New Roman" w:cs="Arial"/>
          <w:color w:val="000000"/>
          <w:lang w:val="en-US"/>
        </w:rPr>
        <w:t>Co</w:t>
      </w:r>
      <w:r w:rsidRPr="007D6C54">
        <w:rPr>
          <w:rFonts w:eastAsia="Times New Roman" w:cs="Arial"/>
          <w:color w:val="000000"/>
          <w:lang w:val="ru-RU"/>
        </w:rPr>
        <w:t>-</w:t>
      </w:r>
      <w:r w:rsidRPr="007D6C54">
        <w:rPr>
          <w:rFonts w:eastAsia="Times New Roman" w:cs="Arial"/>
          <w:color w:val="000000"/>
          <w:lang w:val="en-US"/>
        </w:rPr>
        <w:t>Diovan</w:t>
      </w:r>
      <w:r w:rsidRPr="007D6C54">
        <w:rPr>
          <w:rFonts w:eastAsia="Times New Roman" w:cs="Arial"/>
          <w:color w:val="000000"/>
          <w:lang w:val="ru-RU"/>
        </w:rPr>
        <w:t xml:space="preserve"> </w:t>
      </w:r>
      <w:r w:rsidRPr="007D6C54">
        <w:rPr>
          <w:rFonts w:eastAsia="Times New Roman" w:cs="Arial"/>
          <w:color w:val="000000"/>
          <w:lang w:eastAsia="bg-BG"/>
        </w:rPr>
        <w:t xml:space="preserve">може да се появи сиптоматична хипотония. Натриевият и/или обемният дефицит трябва да се коригира преди започване на лечението с </w:t>
      </w:r>
      <w:r w:rsidRPr="007D6C54">
        <w:rPr>
          <w:rFonts w:eastAsia="Times New Roman" w:cs="Arial"/>
          <w:color w:val="000000"/>
          <w:lang w:val="en-US"/>
        </w:rPr>
        <w:t>Co</w:t>
      </w:r>
      <w:r w:rsidRPr="007D6C54">
        <w:rPr>
          <w:rFonts w:eastAsia="Times New Roman" w:cs="Arial"/>
          <w:color w:val="000000"/>
          <w:lang w:val="ru-RU"/>
        </w:rPr>
        <w:t>-</w:t>
      </w:r>
      <w:r w:rsidRPr="007D6C54">
        <w:rPr>
          <w:rFonts w:eastAsia="Times New Roman" w:cs="Arial"/>
          <w:color w:val="000000"/>
          <w:lang w:val="en-US"/>
        </w:rPr>
        <w:t>Diovan</w:t>
      </w:r>
      <w:r w:rsidRPr="007D6C54">
        <w:rPr>
          <w:rFonts w:eastAsia="Times New Roman" w:cs="Arial"/>
          <w:color w:val="000000"/>
          <w:lang w:val="ru-RU"/>
        </w:rPr>
        <w:t>.</w:t>
      </w:r>
    </w:p>
    <w:p w14:paraId="33C0C6B8" w14:textId="77777777" w:rsidR="007D6C54" w:rsidRPr="007D6C54" w:rsidRDefault="007D6C54" w:rsidP="007D6C54">
      <w:pPr>
        <w:spacing w:line="240" w:lineRule="auto"/>
        <w:rPr>
          <w:rFonts w:eastAsia="Times New Roman" w:cs="Arial"/>
          <w:color w:val="000000"/>
          <w:u w:val="single"/>
          <w:lang w:eastAsia="bg-BG"/>
        </w:rPr>
      </w:pPr>
    </w:p>
    <w:p w14:paraId="329E0840" w14:textId="0DA95223" w:rsidR="007D6C54" w:rsidRPr="007D6C54" w:rsidRDefault="007D6C54" w:rsidP="007D6C54">
      <w:pPr>
        <w:spacing w:line="240" w:lineRule="auto"/>
        <w:rPr>
          <w:rFonts w:eastAsia="Times New Roman" w:cs="Arial"/>
        </w:rPr>
      </w:pPr>
      <w:r w:rsidRPr="007D6C54">
        <w:rPr>
          <w:rFonts w:eastAsia="Times New Roman" w:cs="Arial"/>
          <w:color w:val="000000"/>
          <w:u w:val="single"/>
          <w:lang w:eastAsia="bg-BG"/>
        </w:rPr>
        <w:t>Пациенти с тежка хронична сърдечна недостатъчност или други състояния, при които е налице стимулация на системата ренин-ангиотензин-алдостерон</w:t>
      </w:r>
    </w:p>
    <w:p w14:paraId="73AF5B7C"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t xml:space="preserve">При пациенти, чиято бъбречна функция би могла да зависи от активността на системата ренин- ангиотензин-алдостерон (напр. пациенти с тежка застойна сърдечна недостатъчност), лечението с инхибитори на ангиотензин-конвертиращия ензим се свързва с олигурия и/или прогресираща азотемия и в редки случаи с остра бъбречна недостатъчност и/или смърт. Оценката на пациентите със сърдечна недостатъчност или след прекаран миокарден инфаркт винаги трябва да включва и оценка на бъбречната функция. Приложението на </w:t>
      </w:r>
      <w:r w:rsidRPr="007D6C54">
        <w:rPr>
          <w:rFonts w:eastAsia="Times New Roman" w:cs="Arial"/>
          <w:color w:val="000000"/>
          <w:lang w:val="en-US"/>
        </w:rPr>
        <w:t>Co</w:t>
      </w:r>
      <w:r w:rsidRPr="007D6C54">
        <w:rPr>
          <w:rFonts w:eastAsia="Times New Roman" w:cs="Arial"/>
          <w:color w:val="000000"/>
          <w:lang w:val="ru-RU"/>
        </w:rPr>
        <w:t>-</w:t>
      </w:r>
      <w:r w:rsidRPr="007D6C54">
        <w:rPr>
          <w:rFonts w:eastAsia="Times New Roman" w:cs="Arial"/>
          <w:color w:val="000000"/>
          <w:lang w:val="en-US"/>
        </w:rPr>
        <w:t>Diovan</w:t>
      </w:r>
      <w:r w:rsidRPr="007D6C54">
        <w:rPr>
          <w:rFonts w:eastAsia="Times New Roman" w:cs="Arial"/>
          <w:color w:val="000000"/>
          <w:lang w:val="ru-RU"/>
        </w:rPr>
        <w:t xml:space="preserve"> </w:t>
      </w:r>
      <w:r w:rsidRPr="007D6C54">
        <w:rPr>
          <w:rFonts w:eastAsia="Times New Roman" w:cs="Arial"/>
          <w:color w:val="000000"/>
          <w:lang w:eastAsia="bg-BG"/>
        </w:rPr>
        <w:t>при пациенти с тежка хронична сърдечна недостатъчност не е проучвано.</w:t>
      </w:r>
    </w:p>
    <w:p w14:paraId="295594E4"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t xml:space="preserve">Следователно не може да се изключи, че поради инхибиране на системата ренин-ангиотензин- алдостерон прилагането на </w:t>
      </w:r>
      <w:r w:rsidRPr="007D6C54">
        <w:rPr>
          <w:rFonts w:eastAsia="Times New Roman" w:cs="Arial"/>
          <w:color w:val="000000"/>
          <w:lang w:val="en-US"/>
        </w:rPr>
        <w:t>Co</w:t>
      </w:r>
      <w:r w:rsidRPr="007D6C54">
        <w:rPr>
          <w:rFonts w:eastAsia="Times New Roman" w:cs="Arial"/>
          <w:color w:val="000000"/>
          <w:lang w:val="ru-RU"/>
        </w:rPr>
        <w:t>-</w:t>
      </w:r>
      <w:r w:rsidRPr="007D6C54">
        <w:rPr>
          <w:rFonts w:eastAsia="Times New Roman" w:cs="Arial"/>
          <w:color w:val="000000"/>
          <w:lang w:val="en-US"/>
        </w:rPr>
        <w:t>Diovan</w:t>
      </w:r>
      <w:r w:rsidRPr="007D6C54">
        <w:rPr>
          <w:rFonts w:eastAsia="Times New Roman" w:cs="Arial"/>
          <w:color w:val="000000"/>
          <w:lang w:val="ru-RU"/>
        </w:rPr>
        <w:t xml:space="preserve"> </w:t>
      </w:r>
      <w:r w:rsidRPr="007D6C54">
        <w:rPr>
          <w:rFonts w:eastAsia="Times New Roman" w:cs="Arial"/>
          <w:color w:val="000000"/>
          <w:lang w:eastAsia="bg-BG"/>
        </w:rPr>
        <w:t xml:space="preserve">може да бъде свързано с увреждане на бъбречната функция. </w:t>
      </w:r>
      <w:r w:rsidRPr="007D6C54">
        <w:rPr>
          <w:rFonts w:eastAsia="Times New Roman" w:cs="Arial"/>
          <w:color w:val="000000"/>
          <w:lang w:val="en-US"/>
        </w:rPr>
        <w:t>Co</w:t>
      </w:r>
      <w:r w:rsidRPr="007D6C54">
        <w:rPr>
          <w:rFonts w:eastAsia="Times New Roman" w:cs="Arial"/>
          <w:color w:val="000000"/>
          <w:lang w:val="ru-RU"/>
        </w:rPr>
        <w:t>-</w:t>
      </w:r>
      <w:r w:rsidRPr="007D6C54">
        <w:rPr>
          <w:rFonts w:eastAsia="Times New Roman" w:cs="Arial"/>
          <w:color w:val="000000"/>
          <w:lang w:val="en-US"/>
        </w:rPr>
        <w:t>Diovan</w:t>
      </w:r>
      <w:r w:rsidRPr="007D6C54">
        <w:rPr>
          <w:rFonts w:eastAsia="Times New Roman" w:cs="Arial"/>
          <w:color w:val="000000"/>
          <w:lang w:val="ru-RU"/>
        </w:rPr>
        <w:t xml:space="preserve"> </w:t>
      </w:r>
      <w:r w:rsidRPr="007D6C54">
        <w:rPr>
          <w:rFonts w:eastAsia="Times New Roman" w:cs="Arial"/>
          <w:color w:val="000000"/>
          <w:lang w:eastAsia="bg-BG"/>
        </w:rPr>
        <w:t>не трябва да се прилага при тези пациенти.</w:t>
      </w:r>
    </w:p>
    <w:p w14:paraId="464BDD0C" w14:textId="77777777" w:rsidR="007D6C54" w:rsidRPr="007D6C54" w:rsidRDefault="007D6C54" w:rsidP="007D6C54">
      <w:pPr>
        <w:spacing w:line="240" w:lineRule="auto"/>
        <w:rPr>
          <w:rFonts w:eastAsia="Times New Roman" w:cs="Arial"/>
          <w:color w:val="000000"/>
          <w:u w:val="single"/>
          <w:lang w:eastAsia="bg-BG"/>
        </w:rPr>
      </w:pPr>
    </w:p>
    <w:p w14:paraId="533DB795" w14:textId="63BC350B" w:rsidR="007D6C54" w:rsidRPr="007D6C54" w:rsidRDefault="007D6C54" w:rsidP="007D6C54">
      <w:pPr>
        <w:spacing w:line="240" w:lineRule="auto"/>
        <w:rPr>
          <w:rFonts w:eastAsia="Times New Roman" w:cs="Arial"/>
        </w:rPr>
      </w:pPr>
      <w:r w:rsidRPr="007D6C54">
        <w:rPr>
          <w:rFonts w:eastAsia="Times New Roman" w:cs="Arial"/>
          <w:color w:val="000000"/>
          <w:u w:val="single"/>
          <w:lang w:eastAsia="bg-BG"/>
        </w:rPr>
        <w:t>Стеноза на бъбречна артерия</w:t>
      </w:r>
    </w:p>
    <w:p w14:paraId="01B8B749" w14:textId="77777777" w:rsidR="007D6C54" w:rsidRPr="007D6C54" w:rsidRDefault="007D6C54" w:rsidP="007D6C54">
      <w:pPr>
        <w:spacing w:line="240" w:lineRule="auto"/>
        <w:rPr>
          <w:rFonts w:eastAsia="Times New Roman" w:cs="Arial"/>
        </w:rPr>
      </w:pPr>
      <w:r w:rsidRPr="007D6C54">
        <w:rPr>
          <w:rFonts w:eastAsia="Times New Roman" w:cs="Arial"/>
          <w:color w:val="000000"/>
          <w:lang w:val="en-US"/>
        </w:rPr>
        <w:t>Co</w:t>
      </w:r>
      <w:r w:rsidRPr="007D6C54">
        <w:rPr>
          <w:rFonts w:eastAsia="Times New Roman" w:cs="Arial"/>
          <w:color w:val="000000"/>
          <w:lang w:val="ru-RU"/>
        </w:rPr>
        <w:t>-</w:t>
      </w:r>
      <w:r w:rsidRPr="007D6C54">
        <w:rPr>
          <w:rFonts w:eastAsia="Times New Roman" w:cs="Arial"/>
          <w:color w:val="000000"/>
          <w:lang w:val="en-US"/>
        </w:rPr>
        <w:t>Diovan</w:t>
      </w:r>
      <w:r w:rsidRPr="007D6C54">
        <w:rPr>
          <w:rFonts w:eastAsia="Times New Roman" w:cs="Arial"/>
          <w:color w:val="000000"/>
          <w:lang w:val="ru-RU"/>
        </w:rPr>
        <w:t xml:space="preserve"> </w:t>
      </w:r>
      <w:r w:rsidRPr="007D6C54">
        <w:rPr>
          <w:rFonts w:eastAsia="Times New Roman" w:cs="Arial"/>
          <w:color w:val="000000"/>
          <w:lang w:eastAsia="bg-BG"/>
        </w:rPr>
        <w:t xml:space="preserve">не трябва да се прилага за лечение на хипертония при пациенти с едностранна или </w:t>
      </w:r>
      <w:r w:rsidRPr="007D6C54">
        <w:rPr>
          <w:rFonts w:eastAsia="Times New Roman" w:cs="Arial"/>
          <w:i/>
          <w:iCs/>
          <w:color w:val="000000"/>
          <w:lang w:eastAsia="bg-BG"/>
        </w:rPr>
        <w:t>двустранна</w:t>
      </w:r>
      <w:r w:rsidRPr="007D6C54">
        <w:rPr>
          <w:rFonts w:eastAsia="Times New Roman" w:cs="Arial"/>
          <w:color w:val="000000"/>
          <w:lang w:eastAsia="bg-BG"/>
        </w:rPr>
        <w:t xml:space="preserve"> стеноза на бъбречните артерии или стеноза на артерия на единствен бъбрек, тъй като при такива пациенти е възможно повишаване на стойностите на серумните нива на урея и креатинин.</w:t>
      </w:r>
    </w:p>
    <w:p w14:paraId="30E43ECC" w14:textId="77777777" w:rsidR="007D6C54" w:rsidRPr="007D6C54" w:rsidRDefault="007D6C54" w:rsidP="007D6C54">
      <w:pPr>
        <w:spacing w:line="240" w:lineRule="auto"/>
        <w:rPr>
          <w:rFonts w:eastAsia="Times New Roman" w:cs="Arial"/>
          <w:color w:val="000000"/>
          <w:u w:val="single"/>
          <w:lang w:eastAsia="bg-BG"/>
        </w:rPr>
      </w:pPr>
    </w:p>
    <w:p w14:paraId="265C0B11" w14:textId="676BE2AF" w:rsidR="007D6C54" w:rsidRPr="007D6C54" w:rsidRDefault="007D6C54" w:rsidP="007D6C54">
      <w:pPr>
        <w:spacing w:line="240" w:lineRule="auto"/>
        <w:rPr>
          <w:rFonts w:eastAsia="Times New Roman" w:cs="Arial"/>
        </w:rPr>
      </w:pPr>
      <w:r w:rsidRPr="007D6C54">
        <w:rPr>
          <w:rFonts w:eastAsia="Times New Roman" w:cs="Arial"/>
          <w:color w:val="000000"/>
          <w:u w:val="single"/>
          <w:lang w:eastAsia="bg-BG"/>
        </w:rPr>
        <w:t>Първичен хипералдостеронизъм</w:t>
      </w:r>
    </w:p>
    <w:p w14:paraId="342150B6"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lastRenderedPageBreak/>
        <w:t xml:space="preserve">Пациентите с първичен хипералдостеронизъм не трябва да се лекуват с </w:t>
      </w:r>
      <w:r w:rsidRPr="007D6C54">
        <w:rPr>
          <w:rFonts w:eastAsia="Times New Roman" w:cs="Arial"/>
          <w:color w:val="000000"/>
          <w:lang w:val="en-US"/>
        </w:rPr>
        <w:t>Co</w:t>
      </w:r>
      <w:r w:rsidRPr="007D6C54">
        <w:rPr>
          <w:rFonts w:eastAsia="Times New Roman" w:cs="Arial"/>
          <w:color w:val="000000"/>
          <w:lang w:val="ru-RU"/>
        </w:rPr>
        <w:t>-</w:t>
      </w:r>
      <w:r w:rsidRPr="007D6C54">
        <w:rPr>
          <w:rFonts w:eastAsia="Times New Roman" w:cs="Arial"/>
          <w:color w:val="000000"/>
          <w:lang w:val="en-US"/>
        </w:rPr>
        <w:t>Diovan</w:t>
      </w:r>
      <w:r w:rsidRPr="007D6C54">
        <w:rPr>
          <w:rFonts w:eastAsia="Times New Roman" w:cs="Arial"/>
          <w:color w:val="000000"/>
          <w:lang w:val="ru-RU"/>
        </w:rPr>
        <w:t xml:space="preserve">, </w:t>
      </w:r>
      <w:r w:rsidRPr="007D6C54">
        <w:rPr>
          <w:rFonts w:eastAsia="Times New Roman" w:cs="Arial"/>
          <w:color w:val="000000"/>
          <w:lang w:eastAsia="bg-BG"/>
        </w:rPr>
        <w:t>тъй като тяхната система ренин-ангиотензин не е активирана.</w:t>
      </w:r>
    </w:p>
    <w:p w14:paraId="12696DBD" w14:textId="77777777" w:rsidR="007D6C54" w:rsidRPr="007D6C54" w:rsidRDefault="007D6C54" w:rsidP="007D6C54">
      <w:pPr>
        <w:spacing w:line="240" w:lineRule="auto"/>
        <w:rPr>
          <w:rFonts w:eastAsia="Times New Roman" w:cs="Arial"/>
          <w:color w:val="000000"/>
          <w:u w:val="single"/>
          <w:lang w:eastAsia="bg-BG"/>
        </w:rPr>
      </w:pPr>
    </w:p>
    <w:p w14:paraId="7D22362C" w14:textId="3F49EF2D" w:rsidR="007D6C54" w:rsidRPr="007D6C54" w:rsidRDefault="007D6C54" w:rsidP="007D6C54">
      <w:pPr>
        <w:spacing w:line="240" w:lineRule="auto"/>
        <w:rPr>
          <w:rFonts w:eastAsia="Times New Roman" w:cs="Arial"/>
        </w:rPr>
      </w:pPr>
      <w:r w:rsidRPr="007D6C54">
        <w:rPr>
          <w:rFonts w:eastAsia="Times New Roman" w:cs="Arial"/>
          <w:color w:val="000000"/>
          <w:u w:val="single"/>
          <w:lang w:eastAsia="bg-BG"/>
        </w:rPr>
        <w:t xml:space="preserve">Аортна и митрална клапна стеноза, хипертрофична обструктивна кардиомиопатия </w:t>
      </w:r>
      <w:r w:rsidRPr="007D6C54">
        <w:rPr>
          <w:rFonts w:eastAsia="Times New Roman" w:cs="Arial"/>
          <w:color w:val="000000"/>
          <w:lang w:eastAsia="bg-BG"/>
        </w:rPr>
        <w:t>Както при всички други вазодилататори е необходимо особено повишено внимание при пациенти, страдащи от аортна или митрална стеноза или от хипертрофична обструктивна кардиомиопатия (ОХКМ).</w:t>
      </w:r>
    </w:p>
    <w:p w14:paraId="2CE635D8" w14:textId="77777777" w:rsidR="007D6C54" w:rsidRPr="007D6C54" w:rsidRDefault="007D6C54" w:rsidP="007D6C54">
      <w:pPr>
        <w:spacing w:line="240" w:lineRule="auto"/>
        <w:rPr>
          <w:rFonts w:eastAsia="Times New Roman" w:cs="Arial"/>
          <w:color w:val="000000"/>
          <w:u w:val="single"/>
          <w:lang w:eastAsia="bg-BG"/>
        </w:rPr>
      </w:pPr>
    </w:p>
    <w:p w14:paraId="248530F2" w14:textId="71A39DB6" w:rsidR="007D6C54" w:rsidRPr="007D6C54" w:rsidRDefault="007D6C54" w:rsidP="007D6C54">
      <w:pPr>
        <w:spacing w:line="240" w:lineRule="auto"/>
        <w:rPr>
          <w:rFonts w:eastAsia="Times New Roman" w:cs="Arial"/>
        </w:rPr>
      </w:pPr>
      <w:r w:rsidRPr="007D6C54">
        <w:rPr>
          <w:rFonts w:eastAsia="Times New Roman" w:cs="Arial"/>
          <w:color w:val="000000"/>
          <w:u w:val="single"/>
          <w:lang w:eastAsia="bg-BG"/>
        </w:rPr>
        <w:t>Бъбречно увреждане</w:t>
      </w:r>
    </w:p>
    <w:p w14:paraId="24B36A3D"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t xml:space="preserve">Не се налага коригиране на дозата при пациенти с бъбречно увреждане и креатининов клирънс &gt;30 </w:t>
      </w:r>
      <w:r w:rsidRPr="007D6C54">
        <w:rPr>
          <w:rFonts w:eastAsia="Times New Roman" w:cs="Arial"/>
          <w:color w:val="000000"/>
          <w:lang w:val="en-US"/>
        </w:rPr>
        <w:t>ml</w:t>
      </w:r>
      <w:r w:rsidRPr="007D6C54">
        <w:rPr>
          <w:rFonts w:eastAsia="Times New Roman" w:cs="Arial"/>
          <w:color w:val="000000"/>
          <w:lang w:val="ru-RU"/>
        </w:rPr>
        <w:t>/</w:t>
      </w:r>
      <w:r w:rsidRPr="007D6C54">
        <w:rPr>
          <w:rFonts w:eastAsia="Times New Roman" w:cs="Arial"/>
          <w:color w:val="000000"/>
          <w:lang w:val="en-US"/>
        </w:rPr>
        <w:t>min</w:t>
      </w:r>
      <w:r w:rsidRPr="007D6C54">
        <w:rPr>
          <w:rFonts w:eastAsia="Times New Roman" w:cs="Arial"/>
          <w:color w:val="000000"/>
          <w:lang w:val="ru-RU"/>
        </w:rPr>
        <w:t xml:space="preserve"> </w:t>
      </w:r>
      <w:r w:rsidRPr="007D6C54">
        <w:rPr>
          <w:rFonts w:eastAsia="Times New Roman" w:cs="Arial"/>
          <w:color w:val="000000"/>
          <w:lang w:eastAsia="bg-BG"/>
        </w:rPr>
        <w:t xml:space="preserve">(вж. точка 4.2). Препоръчва се периодично мониториране на серумните нива на калий, креатинин и пикочна киселина при прилагане на </w:t>
      </w:r>
      <w:r w:rsidRPr="007D6C54">
        <w:rPr>
          <w:rFonts w:eastAsia="Times New Roman" w:cs="Arial"/>
          <w:color w:val="000000"/>
          <w:lang w:val="en-US"/>
        </w:rPr>
        <w:t>Co</w:t>
      </w:r>
      <w:r w:rsidRPr="007D6C54">
        <w:rPr>
          <w:rFonts w:eastAsia="Times New Roman" w:cs="Arial"/>
          <w:color w:val="000000"/>
          <w:lang w:val="ru-RU"/>
        </w:rPr>
        <w:t>-</w:t>
      </w:r>
      <w:r w:rsidRPr="007D6C54">
        <w:rPr>
          <w:rFonts w:eastAsia="Times New Roman" w:cs="Arial"/>
          <w:color w:val="000000"/>
          <w:lang w:val="en-US"/>
        </w:rPr>
        <w:t>Diovan</w:t>
      </w:r>
      <w:r w:rsidRPr="007D6C54">
        <w:rPr>
          <w:rFonts w:eastAsia="Times New Roman" w:cs="Arial"/>
          <w:color w:val="000000"/>
          <w:lang w:val="ru-RU"/>
        </w:rPr>
        <w:t xml:space="preserve"> </w:t>
      </w:r>
      <w:r w:rsidRPr="007D6C54">
        <w:rPr>
          <w:rFonts w:eastAsia="Times New Roman" w:cs="Arial"/>
          <w:color w:val="000000"/>
          <w:lang w:eastAsia="bg-BG"/>
        </w:rPr>
        <w:t>при пациенти с бъбречно увреждане.</w:t>
      </w:r>
    </w:p>
    <w:p w14:paraId="71E49B4D" w14:textId="77777777" w:rsidR="007D6C54" w:rsidRPr="007D6C54" w:rsidRDefault="007D6C54" w:rsidP="007D6C54">
      <w:pPr>
        <w:spacing w:line="240" w:lineRule="auto"/>
        <w:rPr>
          <w:rFonts w:eastAsia="Times New Roman" w:cs="Arial"/>
          <w:color w:val="000000"/>
          <w:u w:val="single"/>
          <w:lang w:eastAsia="bg-BG"/>
        </w:rPr>
      </w:pPr>
    </w:p>
    <w:p w14:paraId="11FF7417" w14:textId="16AC7A82" w:rsidR="007D6C54" w:rsidRPr="007D6C54" w:rsidRDefault="007D6C54" w:rsidP="007D6C54">
      <w:pPr>
        <w:spacing w:line="240" w:lineRule="auto"/>
        <w:rPr>
          <w:rFonts w:eastAsia="Times New Roman" w:cs="Arial"/>
        </w:rPr>
      </w:pPr>
      <w:r w:rsidRPr="007D6C54">
        <w:rPr>
          <w:rFonts w:eastAsia="Times New Roman" w:cs="Arial"/>
          <w:color w:val="000000"/>
          <w:u w:val="single"/>
          <w:lang w:eastAsia="bg-BG"/>
        </w:rPr>
        <w:t>Бъбречна трансплантация</w:t>
      </w:r>
    </w:p>
    <w:p w14:paraId="1015463D"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t xml:space="preserve">До този момент няма натрупан опит по отношение на безопасната употреба на </w:t>
      </w:r>
      <w:r w:rsidRPr="007D6C54">
        <w:rPr>
          <w:rFonts w:eastAsia="Times New Roman" w:cs="Arial"/>
          <w:color w:val="000000"/>
          <w:lang w:val="en-US"/>
        </w:rPr>
        <w:t>Co</w:t>
      </w:r>
      <w:r w:rsidRPr="007D6C54">
        <w:rPr>
          <w:rFonts w:eastAsia="Times New Roman" w:cs="Arial"/>
          <w:color w:val="000000"/>
          <w:lang w:val="ru-RU"/>
        </w:rPr>
        <w:t>-</w:t>
      </w:r>
      <w:r w:rsidRPr="007D6C54">
        <w:rPr>
          <w:rFonts w:eastAsia="Times New Roman" w:cs="Arial"/>
          <w:color w:val="000000"/>
          <w:lang w:val="en-US"/>
        </w:rPr>
        <w:t>Diovan</w:t>
      </w:r>
      <w:r w:rsidRPr="007D6C54">
        <w:rPr>
          <w:rFonts w:eastAsia="Times New Roman" w:cs="Arial"/>
          <w:color w:val="000000"/>
          <w:lang w:val="ru-RU"/>
        </w:rPr>
        <w:t xml:space="preserve"> </w:t>
      </w:r>
      <w:r w:rsidRPr="007D6C54">
        <w:rPr>
          <w:rFonts w:eastAsia="Times New Roman" w:cs="Arial"/>
          <w:color w:val="000000"/>
          <w:lang w:eastAsia="bg-BG"/>
        </w:rPr>
        <w:t>при пациенти, прекарали наскоро бъбречна трансплантация.</w:t>
      </w:r>
    </w:p>
    <w:p w14:paraId="6B335576" w14:textId="77777777" w:rsidR="007D6C54" w:rsidRPr="007D6C54" w:rsidRDefault="007D6C54" w:rsidP="007D6C54">
      <w:pPr>
        <w:spacing w:line="240" w:lineRule="auto"/>
        <w:rPr>
          <w:rFonts w:eastAsia="Times New Roman" w:cs="Arial"/>
          <w:color w:val="000000"/>
          <w:u w:val="single"/>
          <w:lang w:eastAsia="bg-BG"/>
        </w:rPr>
      </w:pPr>
    </w:p>
    <w:p w14:paraId="1B344843" w14:textId="6A26BD26" w:rsidR="007D6C54" w:rsidRPr="007D6C54" w:rsidRDefault="007D6C54" w:rsidP="007D6C54">
      <w:pPr>
        <w:spacing w:line="240" w:lineRule="auto"/>
        <w:rPr>
          <w:rFonts w:eastAsia="Times New Roman" w:cs="Arial"/>
        </w:rPr>
      </w:pPr>
      <w:r w:rsidRPr="007D6C54">
        <w:rPr>
          <w:rFonts w:eastAsia="Times New Roman" w:cs="Arial"/>
          <w:color w:val="000000"/>
          <w:u w:val="single"/>
          <w:lang w:eastAsia="bg-BG"/>
        </w:rPr>
        <w:t>Чернодробно увреждане</w:t>
      </w:r>
    </w:p>
    <w:p w14:paraId="3FC4EB5C"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t xml:space="preserve">При пациенти с леко до умерено чернодробно увреждане без холестаза </w:t>
      </w:r>
      <w:r w:rsidRPr="007D6C54">
        <w:rPr>
          <w:rFonts w:eastAsia="Times New Roman" w:cs="Arial"/>
          <w:color w:val="000000"/>
          <w:lang w:val="en-US"/>
        </w:rPr>
        <w:t>Co</w:t>
      </w:r>
      <w:r w:rsidRPr="007D6C54">
        <w:rPr>
          <w:rFonts w:eastAsia="Times New Roman" w:cs="Arial"/>
          <w:color w:val="000000"/>
          <w:lang w:val="ru-RU"/>
        </w:rPr>
        <w:t>-</w:t>
      </w:r>
      <w:r w:rsidRPr="007D6C54">
        <w:rPr>
          <w:rFonts w:eastAsia="Times New Roman" w:cs="Arial"/>
          <w:color w:val="000000"/>
          <w:lang w:val="en-US"/>
        </w:rPr>
        <w:t>Diovan</w:t>
      </w:r>
      <w:r w:rsidRPr="007D6C54">
        <w:rPr>
          <w:rFonts w:eastAsia="Times New Roman" w:cs="Arial"/>
          <w:color w:val="000000"/>
          <w:lang w:val="ru-RU"/>
        </w:rPr>
        <w:t xml:space="preserve"> </w:t>
      </w:r>
      <w:r w:rsidRPr="007D6C54">
        <w:rPr>
          <w:rFonts w:eastAsia="Times New Roman" w:cs="Arial"/>
          <w:color w:val="000000"/>
          <w:lang w:eastAsia="bg-BG"/>
        </w:rPr>
        <w:t>трябва да се употребява с повишено внимание (вж. точки 4.2 и 5.2).). Тиазидните диуретици трябва да се прилагат с внимание при пациенти с увредена чернодробна функция или прогресиращо заболяване на черня дроб, тъй като малки промени във водно електролитния бамй^йтк^ж предизвика чернодробна кома.</w:t>
      </w:r>
    </w:p>
    <w:p w14:paraId="33DE63A3" w14:textId="77777777" w:rsidR="007D6C54" w:rsidRPr="007D6C54" w:rsidRDefault="007D6C54" w:rsidP="007D6C54">
      <w:pPr>
        <w:spacing w:line="240" w:lineRule="auto"/>
        <w:rPr>
          <w:rFonts w:eastAsia="Times New Roman" w:cs="Arial"/>
        </w:rPr>
      </w:pPr>
    </w:p>
    <w:p w14:paraId="3161E6E2" w14:textId="7B7ADF88" w:rsidR="007D6C54" w:rsidRPr="007D6C54" w:rsidRDefault="007D6C54" w:rsidP="007D6C54">
      <w:pPr>
        <w:spacing w:line="240" w:lineRule="auto"/>
        <w:rPr>
          <w:rFonts w:eastAsia="Times New Roman" w:cs="Arial"/>
        </w:rPr>
      </w:pPr>
      <w:r w:rsidRPr="007D6C54">
        <w:rPr>
          <w:rFonts w:eastAsia="Times New Roman" w:cs="Arial"/>
          <w:color w:val="000000"/>
          <w:u w:val="single"/>
          <w:lang w:eastAsia="bg-BG"/>
        </w:rPr>
        <w:t>Анамнеза за ангиоедем</w:t>
      </w:r>
    </w:p>
    <w:p w14:paraId="3B799249" w14:textId="77777777" w:rsidR="007D6C54" w:rsidRPr="007D6C54" w:rsidRDefault="007D6C54" w:rsidP="007D6C54">
      <w:pPr>
        <w:rPr>
          <w:rFonts w:eastAsia="Times New Roman" w:cs="Arial"/>
        </w:rPr>
      </w:pPr>
      <w:r w:rsidRPr="007D6C54">
        <w:rPr>
          <w:rFonts w:eastAsia="Times New Roman" w:cs="Arial"/>
          <w:color w:val="000000"/>
          <w:lang w:eastAsia="bg-BG"/>
        </w:rPr>
        <w:t>При пациенти, лекувани с валсартан са докладвани случаи на ангиоедем, включително оток на ларинкса и глотиса, причиняващи обструкция на дихателните пътища и/или подуване на</w:t>
      </w:r>
      <w:r w:rsidRPr="007D6C54">
        <w:rPr>
          <w:rFonts w:eastAsia="Times New Roman" w:cs="Arial"/>
          <w:color w:val="000000"/>
          <w:lang w:val="ru-RU" w:eastAsia="bg-BG"/>
        </w:rPr>
        <w:t xml:space="preserve"> </w:t>
      </w:r>
      <w:r w:rsidRPr="007D6C54">
        <w:rPr>
          <w:rFonts w:eastAsia="Times New Roman" w:cs="Arial"/>
          <w:color w:val="000000"/>
          <w:lang w:eastAsia="bg-BG"/>
        </w:rPr>
        <w:t xml:space="preserve">лицето, устните, фаринкса и/или езика. Някои от тези пациенти са изявявали преди това ангиоедем от други лекарства, включително АСЕ инхибитори. При възникване на ангиоедем, приемът на </w:t>
      </w:r>
      <w:r w:rsidRPr="007D6C54">
        <w:rPr>
          <w:rFonts w:eastAsia="Times New Roman" w:cs="Arial"/>
          <w:color w:val="000000"/>
          <w:lang w:val="en-US"/>
        </w:rPr>
        <w:t>Co</w:t>
      </w:r>
      <w:r w:rsidRPr="007D6C54">
        <w:rPr>
          <w:rFonts w:eastAsia="Times New Roman" w:cs="Arial"/>
          <w:color w:val="000000"/>
          <w:lang w:val="ru-RU"/>
        </w:rPr>
        <w:t>-</w:t>
      </w:r>
      <w:r w:rsidRPr="007D6C54">
        <w:rPr>
          <w:rFonts w:eastAsia="Times New Roman" w:cs="Arial"/>
          <w:color w:val="000000"/>
          <w:lang w:val="en-US"/>
        </w:rPr>
        <w:t>Diovan</w:t>
      </w:r>
      <w:r w:rsidRPr="007D6C54">
        <w:rPr>
          <w:rFonts w:eastAsia="Times New Roman" w:cs="Arial"/>
          <w:color w:val="000000"/>
          <w:lang w:val="ru-RU"/>
        </w:rPr>
        <w:t xml:space="preserve"> </w:t>
      </w:r>
      <w:r w:rsidRPr="007D6C54">
        <w:rPr>
          <w:rFonts w:eastAsia="Times New Roman" w:cs="Arial"/>
          <w:color w:val="000000"/>
          <w:lang w:eastAsia="bg-BG"/>
        </w:rPr>
        <w:t xml:space="preserve">трябва да се преустанови </w:t>
      </w:r>
      <w:r w:rsidRPr="007D6C54">
        <w:rPr>
          <w:rFonts w:eastAsia="Times New Roman" w:cs="Arial"/>
          <w:i/>
          <w:iCs/>
          <w:color w:val="000000"/>
          <w:lang w:eastAsia="bg-BG"/>
        </w:rPr>
        <w:t>незабавно и да</w:t>
      </w:r>
      <w:r w:rsidRPr="007D6C54">
        <w:rPr>
          <w:rFonts w:eastAsia="Times New Roman" w:cs="Arial"/>
          <w:color w:val="000000"/>
          <w:lang w:eastAsia="bg-BG"/>
        </w:rPr>
        <w:t xml:space="preserve"> не се прилага повторно (виж точка 4.8).</w:t>
      </w:r>
    </w:p>
    <w:p w14:paraId="250C5882" w14:textId="77777777" w:rsidR="007D6C54" w:rsidRPr="007D6C54" w:rsidRDefault="007D6C54" w:rsidP="007D6C54">
      <w:pPr>
        <w:spacing w:line="240" w:lineRule="auto"/>
        <w:rPr>
          <w:rFonts w:eastAsia="Times New Roman" w:cs="Arial"/>
          <w:color w:val="000000"/>
          <w:u w:val="single"/>
          <w:lang w:eastAsia="bg-BG"/>
        </w:rPr>
      </w:pPr>
    </w:p>
    <w:p w14:paraId="41EDDBDA" w14:textId="0345BA65" w:rsidR="007D6C54" w:rsidRPr="007D6C54" w:rsidRDefault="007D6C54" w:rsidP="007D6C54">
      <w:pPr>
        <w:spacing w:line="240" w:lineRule="auto"/>
        <w:rPr>
          <w:rFonts w:eastAsia="Times New Roman" w:cs="Arial"/>
        </w:rPr>
      </w:pPr>
      <w:r w:rsidRPr="007D6C54">
        <w:rPr>
          <w:rFonts w:eastAsia="Times New Roman" w:cs="Arial"/>
          <w:color w:val="000000"/>
          <w:u w:val="single"/>
          <w:lang w:eastAsia="bg-BG"/>
        </w:rPr>
        <w:t>Системен лупус еритематодес</w:t>
      </w:r>
    </w:p>
    <w:p w14:paraId="5D181229"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t>Съобщава се, че тиазидните диуретици, включително хидрохлоротиазид, могат да обострят или да активират системен лупус еритематодес.</w:t>
      </w:r>
    </w:p>
    <w:p w14:paraId="1D12B97E" w14:textId="77777777" w:rsidR="007D6C54" w:rsidRPr="007D6C54" w:rsidRDefault="007D6C54" w:rsidP="007D6C54">
      <w:pPr>
        <w:spacing w:line="240" w:lineRule="auto"/>
        <w:rPr>
          <w:rFonts w:eastAsia="Times New Roman" w:cs="Arial"/>
          <w:color w:val="000000"/>
          <w:u w:val="single"/>
          <w:lang w:eastAsia="bg-BG"/>
        </w:rPr>
      </w:pPr>
    </w:p>
    <w:p w14:paraId="7F7D922C" w14:textId="65AC4653" w:rsidR="007D6C54" w:rsidRPr="007D6C54" w:rsidRDefault="007D6C54" w:rsidP="007D6C54">
      <w:pPr>
        <w:spacing w:line="240" w:lineRule="auto"/>
        <w:rPr>
          <w:rFonts w:eastAsia="Times New Roman" w:cs="Arial"/>
        </w:rPr>
      </w:pPr>
      <w:r w:rsidRPr="007D6C54">
        <w:rPr>
          <w:rFonts w:eastAsia="Times New Roman" w:cs="Arial"/>
          <w:color w:val="000000"/>
          <w:u w:val="single"/>
          <w:lang w:eastAsia="bg-BG"/>
        </w:rPr>
        <w:t>Други метаболитни нарушения</w:t>
      </w:r>
    </w:p>
    <w:p w14:paraId="0F5D95AD"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t>Тиазидните диуретици, включително хидрохлоротиазид, могат да нарушат глюкозния толеранс и да повишат серумните нива на холестерол, триглицериди и пикочна киселина. При пациенти с диабет може да е необходимо коригиране на дозата на инсулина или на пероралното хипогликемично средство. Тиазидните диуретици могат да понижат екскрецията на калций в урината и да доведат до интермитентно леко повишаване на нивата на серумния калций при липса на установено нарушение на калциевия метаболизъм. Изразената хиперкалциемия може да е доказателство за подлежащ хиперпаратиреоидизъм. Приемът на тиазидни диуретици трябва да бъде прекратен преди провеждането на изследвания на паратиреоидните функции.</w:t>
      </w:r>
    </w:p>
    <w:p w14:paraId="555FCF1E" w14:textId="77777777" w:rsidR="007D6C54" w:rsidRPr="007D6C54" w:rsidRDefault="007D6C54" w:rsidP="007D6C54">
      <w:pPr>
        <w:spacing w:line="240" w:lineRule="auto"/>
        <w:rPr>
          <w:rFonts w:eastAsia="Times New Roman" w:cs="Arial"/>
          <w:color w:val="000000"/>
          <w:u w:val="single"/>
          <w:lang w:eastAsia="bg-BG"/>
        </w:rPr>
      </w:pPr>
    </w:p>
    <w:p w14:paraId="1443D2B6" w14:textId="7262DA5B" w:rsidR="007D6C54" w:rsidRPr="007D6C54" w:rsidRDefault="007D6C54" w:rsidP="007D6C54">
      <w:pPr>
        <w:spacing w:line="240" w:lineRule="auto"/>
        <w:rPr>
          <w:rFonts w:eastAsia="Times New Roman" w:cs="Arial"/>
        </w:rPr>
      </w:pPr>
      <w:r w:rsidRPr="007D6C54">
        <w:rPr>
          <w:rFonts w:eastAsia="Times New Roman" w:cs="Arial"/>
          <w:color w:val="000000"/>
          <w:u w:val="single"/>
          <w:lang w:eastAsia="bg-BG"/>
        </w:rPr>
        <w:t>Фоточувствителност</w:t>
      </w:r>
    </w:p>
    <w:p w14:paraId="08F740D3"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lastRenderedPageBreak/>
        <w:t xml:space="preserve">Съобщава се за случаи на реакции на фоточувствителност при прием на тиазидни диуретици (вж. точка 4.8). Ако реакцията на фоточувствителност възникне в хода на лечението, се препоръчва спиране на лечението. Ако се счита за необходимо повторно прилагане на диуретика, се препоръчва защита на областите, изложени на слънце или изкуствена </w:t>
      </w:r>
      <w:r w:rsidRPr="007D6C54">
        <w:rPr>
          <w:rFonts w:eastAsia="Times New Roman" w:cs="Arial"/>
          <w:color w:val="000000"/>
          <w:lang w:val="en-US"/>
        </w:rPr>
        <w:t>UVA</w:t>
      </w:r>
      <w:r w:rsidRPr="007D6C54">
        <w:rPr>
          <w:rFonts w:eastAsia="Times New Roman" w:cs="Arial"/>
          <w:color w:val="000000"/>
          <w:lang w:val="ru-RU"/>
        </w:rPr>
        <w:t xml:space="preserve"> </w:t>
      </w:r>
      <w:r w:rsidRPr="007D6C54">
        <w:rPr>
          <w:rFonts w:eastAsia="Times New Roman" w:cs="Arial"/>
          <w:color w:val="000000"/>
          <w:lang w:eastAsia="bg-BG"/>
        </w:rPr>
        <w:t>светлина.</w:t>
      </w:r>
    </w:p>
    <w:p w14:paraId="37F76A51" w14:textId="77777777" w:rsidR="007D6C54" w:rsidRPr="007D6C54" w:rsidRDefault="007D6C54" w:rsidP="007D6C54">
      <w:pPr>
        <w:spacing w:line="240" w:lineRule="auto"/>
        <w:rPr>
          <w:rFonts w:eastAsia="Times New Roman" w:cs="Arial"/>
          <w:color w:val="000000"/>
          <w:u w:val="single"/>
          <w:lang w:eastAsia="bg-BG"/>
        </w:rPr>
      </w:pPr>
    </w:p>
    <w:p w14:paraId="107E94AE" w14:textId="579987B1" w:rsidR="007D6C54" w:rsidRPr="007D6C54" w:rsidRDefault="007D6C54" w:rsidP="007D6C54">
      <w:pPr>
        <w:spacing w:line="240" w:lineRule="auto"/>
        <w:rPr>
          <w:rFonts w:eastAsia="Times New Roman" w:cs="Arial"/>
        </w:rPr>
      </w:pPr>
      <w:r w:rsidRPr="007D6C54">
        <w:rPr>
          <w:rFonts w:eastAsia="Times New Roman" w:cs="Arial"/>
          <w:color w:val="000000"/>
          <w:u w:val="single"/>
          <w:lang w:eastAsia="bg-BG"/>
        </w:rPr>
        <w:t>Бременност</w:t>
      </w:r>
    </w:p>
    <w:p w14:paraId="631A8943"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t>Не трябва да се започва лечение с ангиотензин II рецепторни блокери (АРБ) по време на бременност. Освен ако продължителната терапия с АРБ се прецени като съществена, лечението на пациентки, които плануват бременност, трябва да бъде заменено с алтернативно антихипертензивно лечение с установен профил на безопасност за употреба по време на бременност. При установяване на бременност лечението с АРБ трябва незабавно да се преустанови и да се започне алтернативно лечение, ако е подходящо (вж. точки 4.3 и 4.6).</w:t>
      </w:r>
    </w:p>
    <w:p w14:paraId="39D97D23" w14:textId="77777777" w:rsidR="007D6C54" w:rsidRPr="007D6C54" w:rsidRDefault="007D6C54" w:rsidP="007D6C54">
      <w:pPr>
        <w:spacing w:line="240" w:lineRule="auto"/>
        <w:rPr>
          <w:rFonts w:eastAsia="Times New Roman" w:cs="Arial"/>
          <w:color w:val="000000"/>
          <w:u w:val="single"/>
          <w:lang w:eastAsia="bg-BG"/>
        </w:rPr>
      </w:pPr>
    </w:p>
    <w:p w14:paraId="0C10B612" w14:textId="3A2BB55D" w:rsidR="007D6C54" w:rsidRPr="007D6C54" w:rsidRDefault="007D6C54" w:rsidP="007D6C54">
      <w:pPr>
        <w:spacing w:line="240" w:lineRule="auto"/>
        <w:rPr>
          <w:rFonts w:eastAsia="Times New Roman" w:cs="Arial"/>
          <w:color w:val="000000"/>
          <w:u w:val="single"/>
          <w:lang w:eastAsia="bg-BG"/>
        </w:rPr>
      </w:pPr>
      <w:r w:rsidRPr="007D6C54">
        <w:rPr>
          <w:rFonts w:eastAsia="Times New Roman" w:cs="Arial"/>
          <w:color w:val="000000"/>
          <w:u w:val="single"/>
          <w:lang w:eastAsia="bg-BG"/>
        </w:rPr>
        <w:t>Общи</w:t>
      </w:r>
    </w:p>
    <w:p w14:paraId="78258523"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t>Необходимо е повишено внимание при пациенти с предшестваща свръхчувствителност към други ангиотензин II рецепторни блокери. Реакциите на свръхчувствителност към хидрохлоротиазид са по-вероятни при пациенти, страдащи от алергия или астма.</w:t>
      </w:r>
    </w:p>
    <w:p w14:paraId="60D8102E" w14:textId="77777777" w:rsidR="007D6C54" w:rsidRPr="007D6C54" w:rsidRDefault="007D6C54" w:rsidP="007D6C54">
      <w:pPr>
        <w:spacing w:line="240" w:lineRule="auto"/>
        <w:rPr>
          <w:rFonts w:eastAsia="Times New Roman" w:cs="Arial"/>
          <w:color w:val="000000"/>
          <w:u w:val="single"/>
          <w:lang w:eastAsia="bg-BG"/>
        </w:rPr>
      </w:pPr>
    </w:p>
    <w:p w14:paraId="52717D2F" w14:textId="67A28513" w:rsidR="007D6C54" w:rsidRPr="007D6C54" w:rsidRDefault="007D6C54" w:rsidP="007D6C54">
      <w:pPr>
        <w:spacing w:line="240" w:lineRule="auto"/>
        <w:rPr>
          <w:rFonts w:eastAsia="Times New Roman" w:cs="Arial"/>
        </w:rPr>
      </w:pPr>
      <w:r w:rsidRPr="007D6C54">
        <w:rPr>
          <w:rFonts w:eastAsia="Times New Roman" w:cs="Arial"/>
          <w:color w:val="000000"/>
          <w:u w:val="single"/>
          <w:lang w:eastAsia="bg-BG"/>
        </w:rPr>
        <w:t xml:space="preserve">Хороидален излив, остра миопия и вторична остра закритоъгълна глаукома </w:t>
      </w:r>
      <w:r w:rsidRPr="007D6C54">
        <w:rPr>
          <w:rFonts w:eastAsia="Times New Roman" w:cs="Arial"/>
          <w:color w:val="000000"/>
          <w:lang w:eastAsia="bg-BG"/>
        </w:rPr>
        <w:t>Хидрохлоротиазид, като сулфонамид, се свързва с идиосинкратична реакция водеща до хороидален излив с дефект на зрителното поле, остра преходна миопия и остра закритоъгълна глаукома. Симптомите включват внезаптно силно намалена зрителна острота или болка в очите и обикновено се появяват в рамките на няколко часа до седмици от започване на лечението. Нелкеуваната остра закритоъгълна глаукома може да доведе до постоянна загуба на зрението. Терапията с хидрохлоротиазид трябва да се прекрати възможно най-бързо. Може да се наложи незабавно медицинаско или хирургично лечение, ако вътреочното налягане не може да се контролира. Рисковите фактори за развитие на остра закритоъгълна глаукома може да включват предишно лечение със сулфонамиди или алергия към пеницилин.</w:t>
      </w:r>
    </w:p>
    <w:p w14:paraId="5C9D6CE7" w14:textId="77777777" w:rsidR="007D6C54" w:rsidRPr="007D6C54" w:rsidRDefault="007D6C54" w:rsidP="007D6C54">
      <w:pPr>
        <w:spacing w:line="240" w:lineRule="auto"/>
        <w:rPr>
          <w:rFonts w:eastAsia="Times New Roman" w:cs="Arial"/>
          <w:color w:val="000000"/>
          <w:u w:val="single"/>
          <w:lang w:eastAsia="bg-BG"/>
        </w:rPr>
      </w:pPr>
    </w:p>
    <w:p w14:paraId="04E3DC8B" w14:textId="4D205F71" w:rsidR="007D6C54" w:rsidRPr="007D6C54" w:rsidRDefault="007D6C54" w:rsidP="007D6C54">
      <w:pPr>
        <w:spacing w:line="240" w:lineRule="auto"/>
        <w:rPr>
          <w:rFonts w:eastAsia="Times New Roman" w:cs="Arial"/>
          <w:color w:val="000000"/>
          <w:lang w:eastAsia="bg-BG"/>
        </w:rPr>
      </w:pPr>
      <w:r w:rsidRPr="007D6C54">
        <w:rPr>
          <w:rFonts w:eastAsia="Times New Roman" w:cs="Arial"/>
          <w:color w:val="000000"/>
          <w:u w:val="single"/>
          <w:lang w:eastAsia="bg-BG"/>
        </w:rPr>
        <w:t xml:space="preserve">Двойна блокада на ренин-ангиотензин-алдостероновата система </w:t>
      </w:r>
      <w:r w:rsidRPr="007D6C54">
        <w:rPr>
          <w:rFonts w:eastAsia="Times New Roman" w:cs="Arial"/>
          <w:color w:val="000000"/>
          <w:u w:val="single"/>
          <w:lang w:val="ru-RU"/>
        </w:rPr>
        <w:t>(</w:t>
      </w:r>
      <w:r w:rsidRPr="007D6C54">
        <w:rPr>
          <w:rFonts w:eastAsia="Times New Roman" w:cs="Arial"/>
          <w:color w:val="000000"/>
          <w:u w:val="single"/>
          <w:lang w:val="en-US"/>
        </w:rPr>
        <w:t>PAAC</w:t>
      </w:r>
      <w:r w:rsidRPr="007D6C54">
        <w:rPr>
          <w:rFonts w:eastAsia="Times New Roman" w:cs="Arial"/>
          <w:color w:val="000000"/>
          <w:u w:val="single"/>
          <w:lang w:val="ru-RU"/>
        </w:rPr>
        <w:t xml:space="preserve">) </w:t>
      </w:r>
      <w:r w:rsidRPr="007D6C54">
        <w:rPr>
          <w:rFonts w:eastAsia="Times New Roman" w:cs="Arial"/>
          <w:color w:val="000000"/>
          <w:lang w:eastAsia="bg-BG"/>
        </w:rPr>
        <w:t xml:space="preserve">Има данни, че едновременната употреба на АСЕ инхибитори, ангиотензин </w:t>
      </w:r>
      <w:r w:rsidRPr="007D6C54">
        <w:rPr>
          <w:rFonts w:eastAsia="Times New Roman" w:cs="Arial"/>
          <w:color w:val="000000"/>
          <w:lang w:val="en-US"/>
        </w:rPr>
        <w:t>II</w:t>
      </w:r>
      <w:r w:rsidRPr="007D6C54">
        <w:rPr>
          <w:rFonts w:eastAsia="Times New Roman" w:cs="Arial"/>
          <w:color w:val="000000"/>
          <w:lang w:val="ru-RU"/>
        </w:rPr>
        <w:t>-</w:t>
      </w:r>
      <w:r w:rsidRPr="007D6C54">
        <w:rPr>
          <w:rFonts w:eastAsia="Times New Roman" w:cs="Arial"/>
          <w:color w:val="000000"/>
          <w:lang w:eastAsia="bg-BG"/>
        </w:rPr>
        <w:t>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w:t>
      </w:r>
      <w:r w:rsidRPr="007D6C54">
        <w:rPr>
          <w:rFonts w:eastAsia="Times New Roman" w:cs="Arial"/>
          <w:lang w:val="ru-RU"/>
        </w:rPr>
        <w:t xml:space="preserve"> </w:t>
      </w:r>
      <w:r w:rsidRPr="007D6C54">
        <w:rPr>
          <w:rFonts w:eastAsia="Times New Roman" w:cs="Arial"/>
          <w:color w:val="000000"/>
          <w:lang w:eastAsia="bg-BG"/>
        </w:rPr>
        <w:t xml:space="preserve">препоръчва двойно блокиране на РААС чрез комбинираната </w:t>
      </w:r>
      <w:r w:rsidRPr="007D6C54">
        <w:rPr>
          <w:rFonts w:eastAsia="Times New Roman" w:cs="Arial"/>
          <w:i/>
          <w:iCs/>
          <w:color w:val="000000"/>
          <w:lang w:eastAsia="bg-BG"/>
        </w:rPr>
        <w:t xml:space="preserve">употреба на </w:t>
      </w:r>
      <w:r w:rsidRPr="007D6C54">
        <w:rPr>
          <w:rFonts w:eastAsia="Times New Roman" w:cs="Arial"/>
          <w:i/>
          <w:iCs/>
          <w:color w:val="000000"/>
          <w:lang w:val="en-US"/>
        </w:rPr>
        <w:t>ACE</w:t>
      </w:r>
      <w:r w:rsidRPr="007D6C54">
        <w:rPr>
          <w:rFonts w:eastAsia="Times New Roman" w:cs="Arial"/>
          <w:i/>
          <w:iCs/>
          <w:color w:val="000000"/>
          <w:lang w:val="ru-RU"/>
        </w:rPr>
        <w:t xml:space="preserve"> </w:t>
      </w:r>
      <w:r w:rsidRPr="007D6C54">
        <w:rPr>
          <w:rFonts w:eastAsia="Times New Roman" w:cs="Arial"/>
          <w:i/>
          <w:iCs/>
          <w:color w:val="000000"/>
          <w:lang w:eastAsia="bg-BG"/>
        </w:rPr>
        <w:t>инхибитори</w:t>
      </w:r>
      <w:r w:rsidRPr="007D6C54">
        <w:rPr>
          <w:rFonts w:eastAsia="Times New Roman" w:cs="Arial"/>
          <w:color w:val="000000"/>
          <w:lang w:eastAsia="bg-BG"/>
        </w:rPr>
        <w:t xml:space="preserve"> ангиотензин </w:t>
      </w:r>
      <w:r w:rsidRPr="007D6C54">
        <w:rPr>
          <w:rFonts w:eastAsia="Times New Roman" w:cs="Arial"/>
          <w:color w:val="000000"/>
          <w:lang w:val="en-US"/>
        </w:rPr>
        <w:t>II</w:t>
      </w:r>
      <w:r w:rsidRPr="007D6C54">
        <w:rPr>
          <w:rFonts w:eastAsia="Times New Roman" w:cs="Arial"/>
          <w:color w:val="000000"/>
          <w:lang w:eastAsia="bg-BG"/>
        </w:rPr>
        <w:t>-рецепторни блокери или алискирен (вж. точки 4.5 и 5.1).</w:t>
      </w:r>
    </w:p>
    <w:p w14:paraId="6DFA3F39" w14:textId="3458715B" w:rsidR="007D6C54" w:rsidRPr="007D6C54" w:rsidRDefault="007D6C54" w:rsidP="007D6C54">
      <w:pPr>
        <w:spacing w:line="240" w:lineRule="auto"/>
        <w:rPr>
          <w:rFonts w:eastAsia="Times New Roman" w:cs="Arial"/>
          <w:color w:val="000000"/>
          <w:lang w:eastAsia="bg-BG"/>
        </w:rPr>
      </w:pPr>
    </w:p>
    <w:p w14:paraId="4CE944D7"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2C02D05C"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t xml:space="preserve">АСЕ инхибитори и ангиотензин </w:t>
      </w:r>
      <w:r w:rsidRPr="007D6C54">
        <w:rPr>
          <w:rFonts w:eastAsia="Times New Roman" w:cs="Arial"/>
          <w:color w:val="000000"/>
          <w:lang w:val="en-US"/>
        </w:rPr>
        <w:t>II</w:t>
      </w:r>
      <w:r w:rsidRPr="007D6C54">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74BFBA55" w14:textId="77777777" w:rsidR="007D6C54" w:rsidRPr="007D6C54" w:rsidRDefault="007D6C54" w:rsidP="007D6C54">
      <w:pPr>
        <w:spacing w:line="240" w:lineRule="auto"/>
        <w:rPr>
          <w:rFonts w:eastAsia="Times New Roman" w:cs="Arial"/>
          <w:color w:val="000000"/>
          <w:u w:val="single"/>
          <w:lang w:eastAsia="bg-BG"/>
        </w:rPr>
      </w:pPr>
    </w:p>
    <w:p w14:paraId="0300349D" w14:textId="2CD14E90" w:rsidR="007D6C54" w:rsidRPr="007D6C54" w:rsidRDefault="007D6C54" w:rsidP="007D6C54">
      <w:pPr>
        <w:spacing w:line="240" w:lineRule="auto"/>
        <w:rPr>
          <w:rFonts w:eastAsia="Times New Roman" w:cs="Arial"/>
        </w:rPr>
      </w:pPr>
      <w:r w:rsidRPr="007D6C54">
        <w:rPr>
          <w:rFonts w:eastAsia="Times New Roman" w:cs="Arial"/>
          <w:color w:val="000000"/>
          <w:u w:val="single"/>
          <w:lang w:eastAsia="bg-BG"/>
        </w:rPr>
        <w:t>Немеланомен рак на кожата</w:t>
      </w:r>
    </w:p>
    <w:p w14:paraId="39EF20AF"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t>В две епидемиологични проучвания, основаващи се на датския национален раков регистър, е наблюдаван повишен риск от немеланомен рак на кожата (НМРК) [базалноклетъчен карцином (БКК) и сквамозноклетъчен карцином (СКК)] при нарастваща експозиция на кумулативна доза хидрохлоротиазид (ХХТЗ). Фотосенсибилизиращите ефекти на ХХТЗ.могат да действат като вероятен механизъм за развитие на НМРК.</w:t>
      </w:r>
    </w:p>
    <w:p w14:paraId="5EA67492" w14:textId="77777777" w:rsidR="007D6C54" w:rsidRPr="007D6C54" w:rsidRDefault="007D6C54" w:rsidP="007D6C54">
      <w:pPr>
        <w:spacing w:line="240" w:lineRule="auto"/>
        <w:rPr>
          <w:rFonts w:eastAsia="Times New Roman" w:cs="Arial"/>
          <w:color w:val="000000"/>
          <w:lang w:eastAsia="bg-BG"/>
        </w:rPr>
      </w:pPr>
    </w:p>
    <w:p w14:paraId="25C5B584" w14:textId="53B4EAF4" w:rsidR="007D6C54" w:rsidRPr="007D6C54" w:rsidRDefault="007D6C54" w:rsidP="007D6C54">
      <w:pPr>
        <w:spacing w:line="240" w:lineRule="auto"/>
        <w:rPr>
          <w:rFonts w:eastAsia="Times New Roman" w:cs="Arial"/>
        </w:rPr>
      </w:pPr>
      <w:r w:rsidRPr="007D6C54">
        <w:rPr>
          <w:rFonts w:eastAsia="Times New Roman" w:cs="Arial"/>
          <w:color w:val="000000"/>
          <w:lang w:eastAsia="bg-BG"/>
        </w:rPr>
        <w:t>Пациентите, приемащи хидрохлоротиазид, трябва да бъдат информирани за риска от НМРК и съветвани редовно да проверяват кожата си за нови лезии и незабавно да съобщават при поява на подозрителни кожни лезии. На пациентите трябва да се препоръчат възможни превантивни мерки, като ограничено излагане на слънчева светлина и ултравиолетови лъчи, а в случай на експозиция, подходяща защита, за да се сведе до минимум рискът от рак на кожата. Подозрителните кожни лезии трябва да бъдат подложени на незабавно изследване, потенциално включващо хистологични изследвания на биопсични материали. Преразглеждане на употребата на ХХТЗ може да се наложи и при пациенти, които са имали предходен НМРК (вж. също точка 4.8).</w:t>
      </w:r>
    </w:p>
    <w:p w14:paraId="40018F71" w14:textId="77777777" w:rsidR="007D6C54" w:rsidRPr="007D6C54" w:rsidRDefault="007D6C54" w:rsidP="007D6C54">
      <w:pPr>
        <w:spacing w:line="240" w:lineRule="auto"/>
        <w:rPr>
          <w:rFonts w:ascii="Times New Roman" w:eastAsia="Times New Roman" w:hAnsi="Times New Roman" w:cs="Times New Roman"/>
          <w:sz w:val="24"/>
          <w:szCs w:val="24"/>
        </w:rPr>
      </w:pPr>
    </w:p>
    <w:p w14:paraId="6EDFA116" w14:textId="77777777" w:rsidR="007D6C54"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1FBD8BE1" w14:textId="77777777" w:rsidR="007D6C54" w:rsidRDefault="007D6C54" w:rsidP="00936AD0">
      <w:pPr>
        <w:pStyle w:val="Heading2"/>
      </w:pPr>
    </w:p>
    <w:p w14:paraId="55A5EE75" w14:textId="77777777" w:rsidR="007D6C54" w:rsidRPr="007D6C54" w:rsidRDefault="007D6C54" w:rsidP="007D6C54">
      <w:pPr>
        <w:rPr>
          <w:rFonts w:cs="Arial"/>
        </w:rPr>
      </w:pPr>
      <w:r w:rsidRPr="007D6C54">
        <w:rPr>
          <w:rFonts w:cs="Arial"/>
          <w:u w:val="single"/>
        </w:rPr>
        <w:t>Взаимодействия, свързани с валсартан и хидрохлоротиазид</w:t>
      </w:r>
    </w:p>
    <w:p w14:paraId="144DFE82" w14:textId="77777777" w:rsidR="007D6C54" w:rsidRPr="007D6C54" w:rsidRDefault="007D6C54" w:rsidP="007D6C54">
      <w:pPr>
        <w:rPr>
          <w:rFonts w:cs="Arial"/>
          <w:i/>
          <w:iCs/>
          <w:u w:val="single"/>
        </w:rPr>
      </w:pPr>
    </w:p>
    <w:p w14:paraId="59B9CFA6" w14:textId="2E808A7F" w:rsidR="007D6C54" w:rsidRPr="007D6C54" w:rsidRDefault="007D6C54" w:rsidP="007D6C54">
      <w:pPr>
        <w:rPr>
          <w:rFonts w:cs="Arial"/>
        </w:rPr>
      </w:pPr>
      <w:r w:rsidRPr="007D6C54">
        <w:rPr>
          <w:rFonts w:cs="Arial"/>
          <w:i/>
          <w:iCs/>
          <w:u w:val="single"/>
        </w:rPr>
        <w:t>Не се препоръчва едновременна употреба</w:t>
      </w:r>
    </w:p>
    <w:p w14:paraId="486008A4" w14:textId="77777777" w:rsidR="007D6C54" w:rsidRPr="007D6C54" w:rsidRDefault="007D6C54" w:rsidP="007D6C54">
      <w:pPr>
        <w:rPr>
          <w:rFonts w:cs="Arial"/>
        </w:rPr>
      </w:pPr>
      <w:r w:rsidRPr="007D6C54">
        <w:rPr>
          <w:rFonts w:cs="Arial"/>
          <w:i/>
          <w:iCs/>
        </w:rPr>
        <w:t>Литий</w:t>
      </w:r>
    </w:p>
    <w:p w14:paraId="273866A7" w14:textId="77777777" w:rsidR="007D6C54" w:rsidRPr="007D6C54" w:rsidRDefault="007D6C54" w:rsidP="007D6C54">
      <w:pPr>
        <w:rPr>
          <w:rFonts w:cs="Arial"/>
        </w:rPr>
      </w:pPr>
      <w:r w:rsidRPr="007D6C54">
        <w:rPr>
          <w:rFonts w:cs="Arial"/>
        </w:rPr>
        <w:t xml:space="preserve">Обратимо повишаване на серумните концентрации на литий и токсичност са съобщени при едновременната употреба на литий с АСЕ инхибитори, ангиотензин </w:t>
      </w:r>
      <w:r w:rsidRPr="007D6C54">
        <w:rPr>
          <w:rFonts w:cs="Arial"/>
          <w:lang w:val="en-US"/>
        </w:rPr>
        <w:t>II</w:t>
      </w:r>
      <w:r w:rsidRPr="007D6C54">
        <w:rPr>
          <w:rFonts w:cs="Arial"/>
        </w:rPr>
        <w:t xml:space="preserve"> рецепторни блокери или тиазидни диуретици, включително хидрохлоротиазид. Тъй като тиазидните диуретици намаляват бъбречния клирънс на литий, се предполага, че ръскът от литиева токсичност може да бъде повишен допълнително с </w:t>
      </w:r>
      <w:r w:rsidRPr="007D6C54">
        <w:rPr>
          <w:rFonts w:cs="Arial"/>
          <w:lang w:val="en-US"/>
        </w:rPr>
        <w:t>Co</w:t>
      </w:r>
      <w:r w:rsidRPr="007D6C54">
        <w:rPr>
          <w:rFonts w:cs="Arial"/>
          <w:lang w:val="ru-RU"/>
        </w:rPr>
        <w:t>-</w:t>
      </w:r>
      <w:r w:rsidRPr="007D6C54">
        <w:rPr>
          <w:rFonts w:cs="Arial"/>
          <w:lang w:val="en-US"/>
        </w:rPr>
        <w:t>Diovan</w:t>
      </w:r>
      <w:r w:rsidRPr="007D6C54">
        <w:rPr>
          <w:rFonts w:cs="Arial"/>
          <w:lang w:val="ru-RU"/>
        </w:rPr>
        <w:t xml:space="preserve">. </w:t>
      </w:r>
      <w:r w:rsidRPr="007D6C54">
        <w:rPr>
          <w:rFonts w:cs="Arial"/>
        </w:rPr>
        <w:t>Препоръчва се внимателно следене на серумните нива на литий, ако се прецени, че комбинацията е необходима.</w:t>
      </w:r>
    </w:p>
    <w:p w14:paraId="0D836A4B" w14:textId="77777777" w:rsidR="007D6C54" w:rsidRPr="007D6C54" w:rsidRDefault="007D6C54" w:rsidP="007D6C54">
      <w:pPr>
        <w:rPr>
          <w:rFonts w:cs="Arial"/>
          <w:i/>
          <w:iCs/>
          <w:u w:val="single"/>
        </w:rPr>
      </w:pPr>
    </w:p>
    <w:p w14:paraId="39C6DDCC" w14:textId="00FD3914" w:rsidR="007D6C54" w:rsidRPr="007D6C54" w:rsidRDefault="007D6C54" w:rsidP="007D6C54">
      <w:pPr>
        <w:rPr>
          <w:rFonts w:cs="Arial"/>
        </w:rPr>
      </w:pPr>
      <w:r w:rsidRPr="007D6C54">
        <w:rPr>
          <w:rFonts w:cs="Arial"/>
          <w:i/>
          <w:iCs/>
          <w:u w:val="single"/>
        </w:rPr>
        <w:t>Необходимо е повишено внимание при едновременна употреба</w:t>
      </w:r>
    </w:p>
    <w:p w14:paraId="1D37BFBE" w14:textId="77777777" w:rsidR="007D6C54" w:rsidRPr="007D6C54" w:rsidRDefault="007D6C54" w:rsidP="007D6C54">
      <w:pPr>
        <w:rPr>
          <w:rFonts w:cs="Arial"/>
        </w:rPr>
      </w:pPr>
      <w:r w:rsidRPr="007D6C54">
        <w:rPr>
          <w:rFonts w:cs="Arial"/>
          <w:i/>
          <w:iCs/>
        </w:rPr>
        <w:t>Други антихипертензивни агенти</w:t>
      </w:r>
    </w:p>
    <w:p w14:paraId="7EC38D53" w14:textId="77777777" w:rsidR="007D6C54" w:rsidRPr="007D6C54" w:rsidRDefault="007D6C54" w:rsidP="007D6C54">
      <w:pPr>
        <w:rPr>
          <w:rFonts w:cs="Arial"/>
        </w:rPr>
      </w:pPr>
      <w:r w:rsidRPr="007D6C54">
        <w:rPr>
          <w:rFonts w:cs="Arial"/>
          <w:lang w:val="en-US"/>
        </w:rPr>
        <w:t>Co</w:t>
      </w:r>
      <w:r w:rsidRPr="007D6C54">
        <w:rPr>
          <w:rFonts w:cs="Arial"/>
          <w:lang w:val="ru-RU"/>
        </w:rPr>
        <w:t>-</w:t>
      </w:r>
      <w:r w:rsidRPr="007D6C54">
        <w:rPr>
          <w:rFonts w:cs="Arial"/>
          <w:lang w:val="en-US"/>
        </w:rPr>
        <w:t>Diovan</w:t>
      </w:r>
      <w:r w:rsidRPr="007D6C54">
        <w:rPr>
          <w:rFonts w:cs="Arial"/>
          <w:lang w:val="ru-RU"/>
        </w:rPr>
        <w:t xml:space="preserve"> </w:t>
      </w:r>
      <w:r w:rsidRPr="007D6C54">
        <w:rPr>
          <w:rFonts w:cs="Arial"/>
        </w:rPr>
        <w:t>може да повиши ефикасността на други лекарства с антихипертензивни свойства (напр. гванетидин, метилдопа, вазодилататори, АСЕ инхибитори, ангиотензин рецепторни блокери (АРБ), бета-блокери, калциеви антагонисти) и директни ренинови инхибитори (ДРИ).</w:t>
      </w:r>
    </w:p>
    <w:p w14:paraId="37B462D7" w14:textId="77777777" w:rsidR="007D6C54" w:rsidRPr="007D6C54" w:rsidRDefault="007D6C54" w:rsidP="007D6C54">
      <w:pPr>
        <w:rPr>
          <w:rFonts w:cs="Arial"/>
          <w:i/>
          <w:iCs/>
        </w:rPr>
      </w:pPr>
    </w:p>
    <w:p w14:paraId="2F1196EC" w14:textId="0591714E" w:rsidR="007D6C54" w:rsidRPr="007D6C54" w:rsidRDefault="007D6C54" w:rsidP="007D6C54">
      <w:pPr>
        <w:rPr>
          <w:rFonts w:cs="Arial"/>
        </w:rPr>
      </w:pPr>
      <w:r w:rsidRPr="007D6C54">
        <w:rPr>
          <w:rFonts w:cs="Arial"/>
          <w:i/>
          <w:iCs/>
        </w:rPr>
        <w:t>Пресорни амини</w:t>
      </w:r>
      <w:r w:rsidRPr="007D6C54">
        <w:rPr>
          <w:rFonts w:cs="Arial"/>
        </w:rPr>
        <w:t xml:space="preserve"> (напр. норадреналин, адреналин)</w:t>
      </w:r>
    </w:p>
    <w:p w14:paraId="50D7B99E" w14:textId="77777777" w:rsidR="007D6C54" w:rsidRPr="007D6C54" w:rsidRDefault="007D6C54" w:rsidP="007D6C54">
      <w:pPr>
        <w:rPr>
          <w:rFonts w:cs="Arial"/>
        </w:rPr>
      </w:pPr>
      <w:r w:rsidRPr="007D6C54">
        <w:rPr>
          <w:rFonts w:cs="Arial"/>
        </w:rPr>
        <w:t>Възможно е намаляване на отговора към пресорни амини. Клиничното значение на този ефект е неустановено и недостатъчно, че да бъдат спрени.</w:t>
      </w:r>
    </w:p>
    <w:p w14:paraId="2EAE8B8B" w14:textId="77777777" w:rsidR="007D6C54" w:rsidRPr="007D6C54" w:rsidRDefault="007D6C54" w:rsidP="007D6C54">
      <w:pPr>
        <w:rPr>
          <w:rFonts w:cs="Arial"/>
          <w:i/>
          <w:iCs/>
        </w:rPr>
      </w:pPr>
    </w:p>
    <w:p w14:paraId="0734264C" w14:textId="13BCD603" w:rsidR="007122AD" w:rsidRPr="007D6C54" w:rsidRDefault="007D6C54" w:rsidP="007D6C54">
      <w:pPr>
        <w:rPr>
          <w:rFonts w:cs="Arial"/>
        </w:rPr>
      </w:pPr>
      <w:r w:rsidRPr="007D6C54">
        <w:rPr>
          <w:rFonts w:cs="Arial"/>
          <w:i/>
          <w:iCs/>
        </w:rPr>
        <w:t xml:space="preserve">Нестероидни противовъзпалителни средства (НСПВС), включително селективни СОХ-2 инхибитори, ацетилсалицилова киселина &gt;3 </w:t>
      </w:r>
      <w:r w:rsidRPr="007D6C54">
        <w:rPr>
          <w:rFonts w:cs="Arial"/>
          <w:i/>
          <w:iCs/>
          <w:lang w:val="en-US"/>
        </w:rPr>
        <w:t>g</w:t>
      </w:r>
      <w:r w:rsidRPr="007D6C54">
        <w:rPr>
          <w:rFonts w:cs="Arial"/>
          <w:i/>
          <w:iCs/>
        </w:rPr>
        <w:t xml:space="preserve">/дневно и неселективни НСПВС </w:t>
      </w:r>
      <w:r w:rsidRPr="007D6C54">
        <w:rPr>
          <w:rFonts w:cs="Arial"/>
        </w:rPr>
        <w:t xml:space="preserve">НСПВС могат да отслабят антихипертензивния ефект както на ангиотензин II рецепторните антагонисти, така и на хидрохлоротиазида при едновременно приложение. Освен това, едновременното прилагане на </w:t>
      </w:r>
      <w:r w:rsidRPr="007D6C54">
        <w:rPr>
          <w:rFonts w:cs="Arial"/>
          <w:lang w:val="en-US"/>
        </w:rPr>
        <w:t>Co</w:t>
      </w:r>
      <w:r w:rsidRPr="007D6C54">
        <w:rPr>
          <w:rFonts w:cs="Arial"/>
          <w:lang w:val="ru-RU"/>
        </w:rPr>
        <w:t>-</w:t>
      </w:r>
      <w:r w:rsidRPr="007D6C54">
        <w:rPr>
          <w:rFonts w:cs="Arial"/>
          <w:lang w:val="en-US"/>
        </w:rPr>
        <w:t>Diovan</w:t>
      </w:r>
      <w:r w:rsidRPr="007D6C54">
        <w:rPr>
          <w:rFonts w:cs="Arial"/>
          <w:lang w:val="ru-RU"/>
        </w:rPr>
        <w:t xml:space="preserve"> </w:t>
      </w:r>
      <w:r w:rsidRPr="007D6C54">
        <w:rPr>
          <w:rFonts w:cs="Arial"/>
        </w:rPr>
        <w:t>и НСПВС може да доведе до влошаване на бъбречната функция повишаване нивата на серумния калий. Поради това се препоръчва</w:t>
      </w:r>
      <w:r w:rsidRPr="007D6C54">
        <w:rPr>
          <w:rFonts w:cs="Arial"/>
          <w:lang w:val="ru-RU"/>
        </w:rPr>
        <w:t xml:space="preserve"> </w:t>
      </w:r>
      <w:r w:rsidRPr="007D6C54">
        <w:rPr>
          <w:rFonts w:cs="Arial"/>
        </w:rPr>
        <w:t>проследяване на бъбречната функция в началото на лечението, както и адекватна хидратация на пациента.</w:t>
      </w:r>
      <w:r w:rsidR="002C50EE" w:rsidRPr="007D6C54">
        <w:rPr>
          <w:rFonts w:cs="Arial"/>
        </w:rPr>
        <w:t xml:space="preserve"> </w:t>
      </w:r>
    </w:p>
    <w:p w14:paraId="4E6AFC3E" w14:textId="795BB77A" w:rsidR="007D6C54" w:rsidRPr="007D6C54" w:rsidRDefault="007D6C54" w:rsidP="007D6C54">
      <w:pPr>
        <w:rPr>
          <w:rFonts w:cs="Arial"/>
        </w:rPr>
      </w:pPr>
    </w:p>
    <w:p w14:paraId="301040E0" w14:textId="77777777" w:rsidR="007D6C54" w:rsidRPr="007D6C54" w:rsidRDefault="007D6C54" w:rsidP="007D6C54">
      <w:pPr>
        <w:spacing w:line="240" w:lineRule="auto"/>
        <w:rPr>
          <w:rFonts w:eastAsia="Times New Roman" w:cs="Arial"/>
        </w:rPr>
      </w:pPr>
      <w:r w:rsidRPr="007D6C54">
        <w:rPr>
          <w:rFonts w:eastAsia="Times New Roman" w:cs="Arial"/>
          <w:color w:val="000000"/>
          <w:u w:val="single"/>
          <w:lang w:eastAsia="bg-BG"/>
        </w:rPr>
        <w:t>Взаимодействия, свързани с валсартан</w:t>
      </w:r>
    </w:p>
    <w:p w14:paraId="388CE143" w14:textId="77777777" w:rsidR="007D6C54" w:rsidRPr="007D6C54" w:rsidRDefault="007D6C54" w:rsidP="007D6C54">
      <w:pPr>
        <w:spacing w:line="240" w:lineRule="auto"/>
        <w:rPr>
          <w:rFonts w:eastAsia="Times New Roman" w:cs="Arial"/>
          <w:i/>
          <w:iCs/>
          <w:color w:val="000000"/>
          <w:u w:val="single"/>
          <w:lang w:eastAsia="bg-BG"/>
        </w:rPr>
      </w:pPr>
    </w:p>
    <w:p w14:paraId="7A9596D5" w14:textId="77B3673F" w:rsidR="007D6C54" w:rsidRPr="007D6C54" w:rsidRDefault="007D6C54" w:rsidP="007D6C54">
      <w:pPr>
        <w:spacing w:line="240" w:lineRule="auto"/>
        <w:rPr>
          <w:rFonts w:eastAsia="Times New Roman" w:cs="Arial"/>
        </w:rPr>
      </w:pPr>
      <w:r w:rsidRPr="007D6C54">
        <w:rPr>
          <w:rFonts w:eastAsia="Times New Roman" w:cs="Arial"/>
          <w:i/>
          <w:iCs/>
          <w:color w:val="000000"/>
          <w:u w:val="single"/>
          <w:lang w:eastAsia="bg-BG"/>
        </w:rPr>
        <w:lastRenderedPageBreak/>
        <w:t>Двойна блокада наренин-ангиотензин-алдостероновата система (РААС) с АРБ, АСЕ инхибитори или алискирен</w:t>
      </w:r>
    </w:p>
    <w:p w14:paraId="57C851D4"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t xml:space="preserve">Данни от клинични проучвания показват, че двойното блокиране на ренин—ангиотензин- алдостероновата система (РААС) чрез комбинираната употреба на АСЕ инхибитори, ангиотензин </w:t>
      </w:r>
      <w:r w:rsidRPr="007D6C54">
        <w:rPr>
          <w:rFonts w:eastAsia="Times New Roman" w:cs="Arial"/>
          <w:color w:val="000000"/>
          <w:lang w:val="en-US"/>
        </w:rPr>
        <w:t>II</w:t>
      </w:r>
      <w:r w:rsidRPr="007D6C54">
        <w:rPr>
          <w:rFonts w:eastAsia="Times New Roman" w:cs="Arial"/>
          <w:color w:val="000000"/>
          <w:lang w:eastAsia="bg-BG"/>
        </w:rPr>
        <w:t>-рецепторни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 4.4 и 5.1).</w:t>
      </w:r>
    </w:p>
    <w:p w14:paraId="1C0DE064" w14:textId="77777777" w:rsidR="007D6C54" w:rsidRPr="007D6C54" w:rsidRDefault="007D6C54" w:rsidP="007D6C54">
      <w:pPr>
        <w:spacing w:line="240" w:lineRule="auto"/>
        <w:rPr>
          <w:rFonts w:eastAsia="Times New Roman" w:cs="Arial"/>
          <w:i/>
          <w:iCs/>
          <w:color w:val="000000"/>
          <w:u w:val="single"/>
          <w:lang w:eastAsia="bg-BG"/>
        </w:rPr>
      </w:pPr>
    </w:p>
    <w:p w14:paraId="3AF813F3" w14:textId="0FAA871B" w:rsidR="007D6C54" w:rsidRPr="007D6C54" w:rsidRDefault="007D6C54" w:rsidP="007D6C54">
      <w:pPr>
        <w:spacing w:line="240" w:lineRule="auto"/>
        <w:rPr>
          <w:rFonts w:eastAsia="Times New Roman" w:cs="Arial"/>
        </w:rPr>
      </w:pPr>
      <w:r w:rsidRPr="007D6C54">
        <w:rPr>
          <w:rFonts w:eastAsia="Times New Roman" w:cs="Arial"/>
          <w:i/>
          <w:iCs/>
          <w:color w:val="000000"/>
          <w:u w:val="single"/>
          <w:lang w:eastAsia="bg-BG"/>
        </w:rPr>
        <w:t>Не се препоръчва едновременна употреба</w:t>
      </w:r>
    </w:p>
    <w:p w14:paraId="5A221443" w14:textId="77777777" w:rsidR="007D6C54" w:rsidRPr="007D6C54" w:rsidRDefault="007D6C54" w:rsidP="007D6C54">
      <w:pPr>
        <w:spacing w:line="240" w:lineRule="auto"/>
        <w:rPr>
          <w:rFonts w:eastAsia="Times New Roman" w:cs="Arial"/>
        </w:rPr>
      </w:pPr>
      <w:r w:rsidRPr="007D6C54">
        <w:rPr>
          <w:rFonts w:eastAsia="Times New Roman" w:cs="Arial"/>
          <w:i/>
          <w:iCs/>
          <w:color w:val="000000"/>
          <w:lang w:eastAsia="bg-BG"/>
        </w:rPr>
        <w:t>Калий-съхраняващи диуретици, калиеви добавки, заместители на солта, съдържащи калий или други субстанции, които биха могли да повишат нивата на калий</w:t>
      </w:r>
    </w:p>
    <w:p w14:paraId="68703703"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t>Ако се прецени, че е необходим лекарствен продукт, който засяга калиевите нива в комбинация с валсартан, препоръчва се следене на плазмените нива на калий.</w:t>
      </w:r>
    </w:p>
    <w:p w14:paraId="779B4AEF" w14:textId="77777777" w:rsidR="007D6C54" w:rsidRPr="007D6C54" w:rsidRDefault="007D6C54" w:rsidP="007D6C54">
      <w:pPr>
        <w:spacing w:line="240" w:lineRule="auto"/>
        <w:rPr>
          <w:rFonts w:eastAsia="Times New Roman" w:cs="Arial"/>
          <w:color w:val="000000"/>
          <w:lang w:eastAsia="bg-BG"/>
        </w:rPr>
      </w:pPr>
    </w:p>
    <w:p w14:paraId="33FB64C7" w14:textId="5B661E0A" w:rsidR="007D6C54" w:rsidRPr="007D6C54" w:rsidRDefault="007D6C54" w:rsidP="007D6C54">
      <w:pPr>
        <w:spacing w:line="240" w:lineRule="auto"/>
        <w:rPr>
          <w:rFonts w:eastAsia="Times New Roman" w:cs="Arial"/>
        </w:rPr>
      </w:pPr>
      <w:r w:rsidRPr="007D6C54">
        <w:rPr>
          <w:rFonts w:eastAsia="Times New Roman" w:cs="Arial"/>
          <w:color w:val="000000"/>
          <w:lang w:eastAsia="bg-BG"/>
        </w:rPr>
        <w:t>Транспортери</w:t>
      </w:r>
    </w:p>
    <w:p w14:paraId="4E55F557"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t xml:space="preserve">Ин витро данни показват, че валсартан е субстрат на транспортерите за чернодробно захващане ОАТР1В1/ОАТР1ВЗ и на чернодробния ефлукс транспортер </w:t>
      </w:r>
      <w:r w:rsidRPr="007D6C54">
        <w:rPr>
          <w:rFonts w:eastAsia="Times New Roman" w:cs="Arial"/>
          <w:color w:val="000000"/>
          <w:lang w:val="en-US"/>
        </w:rPr>
        <w:t>MRP</w:t>
      </w:r>
      <w:r w:rsidRPr="007D6C54">
        <w:rPr>
          <w:rFonts w:eastAsia="Times New Roman" w:cs="Arial"/>
          <w:color w:val="000000"/>
          <w:lang w:val="ru-RU"/>
        </w:rPr>
        <w:t xml:space="preserve">2. </w:t>
      </w:r>
      <w:r w:rsidRPr="007D6C54">
        <w:rPr>
          <w:rFonts w:eastAsia="Times New Roman" w:cs="Arial"/>
          <w:color w:val="000000"/>
          <w:lang w:eastAsia="bg-BG"/>
        </w:rPr>
        <w:t>Клиничното значение на тази находка не е известно. Едновременното приложение на инхибитори на транспортерите за захващане (напр. рифампин, циклоспорин) или на ефлукс транспортерите (напр. ритонавир) може да повиши системната експозиция на валсартан. Предприемете подходящи грижи при започване или прекратяване на съпътстващо лечение с такива лекарства.</w:t>
      </w:r>
    </w:p>
    <w:p w14:paraId="7CF20139" w14:textId="77777777" w:rsidR="007D6C54" w:rsidRPr="007D6C54" w:rsidRDefault="007D6C54" w:rsidP="007D6C54">
      <w:pPr>
        <w:spacing w:line="240" w:lineRule="auto"/>
        <w:rPr>
          <w:rFonts w:eastAsia="Times New Roman" w:cs="Arial"/>
          <w:i/>
          <w:iCs/>
          <w:color w:val="000000"/>
          <w:lang w:eastAsia="bg-BG"/>
        </w:rPr>
      </w:pPr>
    </w:p>
    <w:p w14:paraId="52B1FCA5" w14:textId="1B96A2D8" w:rsidR="007D6C54" w:rsidRPr="007D6C54" w:rsidRDefault="007D6C54" w:rsidP="007D6C54">
      <w:pPr>
        <w:spacing w:line="240" w:lineRule="auto"/>
        <w:rPr>
          <w:rFonts w:eastAsia="Times New Roman" w:cs="Arial"/>
        </w:rPr>
      </w:pPr>
      <w:r w:rsidRPr="007D6C54">
        <w:rPr>
          <w:rFonts w:eastAsia="Times New Roman" w:cs="Arial"/>
          <w:i/>
          <w:iCs/>
          <w:color w:val="000000"/>
          <w:lang w:eastAsia="bg-BG"/>
        </w:rPr>
        <w:t>Липса на взаимодействия</w:t>
      </w:r>
    </w:p>
    <w:p w14:paraId="11363151"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t xml:space="preserve">При проучвания за лекарствени взаимодействия с валсартан не са установени клинично значими взаимодействия между валсартан и някое от следните вещества: циметидин, варфарин, фуроземид, дигоксин, атенолол, индометацин, хидрохлоротиазид, амлодипин, глибенкламид. Дигоксин и индометацин могат да взаимодействат с хидрохлоротиазидната компонента на </w:t>
      </w:r>
      <w:r w:rsidRPr="007D6C54">
        <w:rPr>
          <w:rFonts w:eastAsia="Times New Roman" w:cs="Arial"/>
          <w:color w:val="000000"/>
          <w:lang w:val="en-US"/>
        </w:rPr>
        <w:t>Co</w:t>
      </w:r>
      <w:r w:rsidRPr="007D6C54">
        <w:rPr>
          <w:rFonts w:eastAsia="Times New Roman" w:cs="Arial"/>
          <w:color w:val="000000"/>
          <w:lang w:val="ru-RU"/>
        </w:rPr>
        <w:t xml:space="preserve">- </w:t>
      </w:r>
      <w:r w:rsidRPr="007D6C54">
        <w:rPr>
          <w:rFonts w:eastAsia="Times New Roman" w:cs="Arial"/>
          <w:color w:val="000000"/>
          <w:lang w:val="en-US"/>
        </w:rPr>
        <w:t>Diovan</w:t>
      </w:r>
      <w:r w:rsidRPr="007D6C54">
        <w:rPr>
          <w:rFonts w:eastAsia="Times New Roman" w:cs="Arial"/>
          <w:color w:val="000000"/>
          <w:lang w:val="ru-RU"/>
        </w:rPr>
        <w:t xml:space="preserve"> </w:t>
      </w:r>
      <w:r w:rsidRPr="007D6C54">
        <w:rPr>
          <w:rFonts w:eastAsia="Times New Roman" w:cs="Arial"/>
          <w:color w:val="000000"/>
          <w:lang w:eastAsia="bg-BG"/>
        </w:rPr>
        <w:t>(вж. “Взаимодействия, свързани с хидрохлоротиазид”).</w:t>
      </w:r>
    </w:p>
    <w:p w14:paraId="24A3F0FB" w14:textId="77777777" w:rsidR="007D6C54" w:rsidRPr="007D6C54" w:rsidRDefault="007D6C54" w:rsidP="007D6C54">
      <w:pPr>
        <w:spacing w:line="240" w:lineRule="auto"/>
        <w:rPr>
          <w:rFonts w:eastAsia="Times New Roman" w:cs="Arial"/>
          <w:color w:val="000000"/>
          <w:u w:val="single"/>
          <w:lang w:eastAsia="bg-BG"/>
        </w:rPr>
      </w:pPr>
    </w:p>
    <w:p w14:paraId="670EAF10" w14:textId="6B25CFDB" w:rsidR="007D6C54" w:rsidRPr="007D6C54" w:rsidRDefault="007D6C54" w:rsidP="007D6C54">
      <w:pPr>
        <w:spacing w:line="240" w:lineRule="auto"/>
        <w:rPr>
          <w:rFonts w:eastAsia="Times New Roman" w:cs="Arial"/>
        </w:rPr>
      </w:pPr>
      <w:r w:rsidRPr="007D6C54">
        <w:rPr>
          <w:rFonts w:eastAsia="Times New Roman" w:cs="Arial"/>
          <w:color w:val="000000"/>
          <w:u w:val="single"/>
          <w:lang w:eastAsia="bg-BG"/>
        </w:rPr>
        <w:t>Взаимодействия, свързани с хидрохлоротиазид</w:t>
      </w:r>
    </w:p>
    <w:p w14:paraId="5602EDB7" w14:textId="77777777" w:rsidR="007D6C54" w:rsidRPr="007D6C54" w:rsidRDefault="007D6C54" w:rsidP="007D6C54">
      <w:pPr>
        <w:spacing w:line="240" w:lineRule="auto"/>
        <w:rPr>
          <w:rFonts w:eastAsia="Times New Roman" w:cs="Arial"/>
          <w:i/>
          <w:iCs/>
          <w:color w:val="000000"/>
          <w:u w:val="single"/>
          <w:lang w:eastAsia="bg-BG"/>
        </w:rPr>
      </w:pPr>
    </w:p>
    <w:p w14:paraId="3B8A6740" w14:textId="77777777" w:rsidR="007D6C54" w:rsidRPr="007D6C54" w:rsidRDefault="007D6C54" w:rsidP="007D6C54">
      <w:pPr>
        <w:spacing w:line="240" w:lineRule="auto"/>
        <w:rPr>
          <w:rFonts w:eastAsia="Times New Roman" w:cs="Arial"/>
          <w:i/>
          <w:iCs/>
          <w:color w:val="000000"/>
          <w:u w:val="single"/>
          <w:lang w:eastAsia="bg-BG"/>
        </w:rPr>
      </w:pPr>
      <w:r w:rsidRPr="007D6C54">
        <w:rPr>
          <w:rFonts w:eastAsia="Times New Roman" w:cs="Arial"/>
          <w:i/>
          <w:iCs/>
          <w:color w:val="000000"/>
          <w:u w:val="single"/>
          <w:lang w:eastAsia="bg-BG"/>
        </w:rPr>
        <w:t xml:space="preserve">Необходимо е повишено внимание при едновременна употреба </w:t>
      </w:r>
    </w:p>
    <w:p w14:paraId="395EF352" w14:textId="284A0ABB" w:rsidR="007D6C54" w:rsidRPr="007D6C54" w:rsidRDefault="007D6C54" w:rsidP="007D6C54">
      <w:pPr>
        <w:spacing w:line="240" w:lineRule="auto"/>
        <w:rPr>
          <w:rFonts w:eastAsia="Times New Roman" w:cs="Arial"/>
        </w:rPr>
      </w:pPr>
      <w:r w:rsidRPr="007D6C54">
        <w:rPr>
          <w:rFonts w:eastAsia="Times New Roman" w:cs="Arial"/>
          <w:i/>
          <w:iCs/>
          <w:color w:val="000000"/>
          <w:lang w:eastAsia="bg-BG"/>
        </w:rPr>
        <w:t>Лекарствени продукти, повлияващи нивото на калий.</w:t>
      </w:r>
    </w:p>
    <w:p w14:paraId="0AA969F5"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t xml:space="preserve">Хипокалиемичният ефект на хидрохлоротиазида може да се повиши при едновременното приложение на калий-губещи диуретици, кортикостероиди, лаксативи, АСТН, амфотерицин, карбеноксолон, пеницилин </w:t>
      </w:r>
      <w:r w:rsidRPr="007D6C54">
        <w:rPr>
          <w:rFonts w:eastAsia="Times New Roman" w:cs="Arial"/>
          <w:color w:val="000000"/>
          <w:lang w:val="en-US"/>
        </w:rPr>
        <w:t>G</w:t>
      </w:r>
      <w:r w:rsidRPr="007D6C54">
        <w:rPr>
          <w:rFonts w:eastAsia="Times New Roman" w:cs="Arial"/>
          <w:color w:val="000000"/>
          <w:lang w:val="ru-RU"/>
        </w:rPr>
        <w:t xml:space="preserve">, </w:t>
      </w:r>
      <w:r w:rsidRPr="007D6C54">
        <w:rPr>
          <w:rFonts w:eastAsia="Times New Roman" w:cs="Arial"/>
          <w:color w:val="000000"/>
          <w:lang w:eastAsia="bg-BG"/>
        </w:rPr>
        <w:t>салицилова киселина и производните й.</w:t>
      </w:r>
    </w:p>
    <w:p w14:paraId="20529554"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t>Ако е необходимо предписването на тези лекарствени продукти едновременно с комбинацията хидрохлоротиазид-валсартан, се препоръчва мониториране на плазмените нива на калия. Тези лекарствени продукти могат да потенцират ефекта на хидрохлоротиазид върху серумния калий (вж. точка 4.4).</w:t>
      </w:r>
    </w:p>
    <w:p w14:paraId="7774DDAF" w14:textId="77777777" w:rsidR="007D6C54" w:rsidRPr="007D6C54" w:rsidRDefault="007D6C54" w:rsidP="007D6C54">
      <w:pPr>
        <w:spacing w:line="240" w:lineRule="auto"/>
        <w:rPr>
          <w:rFonts w:eastAsia="Times New Roman" w:cs="Arial"/>
          <w:i/>
          <w:iCs/>
          <w:color w:val="000000"/>
          <w:lang w:eastAsia="bg-BG"/>
        </w:rPr>
      </w:pPr>
    </w:p>
    <w:p w14:paraId="1B376945" w14:textId="49665FC5" w:rsidR="007D6C54" w:rsidRPr="007D6C54" w:rsidRDefault="007D6C54" w:rsidP="007D6C54">
      <w:pPr>
        <w:spacing w:line="240" w:lineRule="auto"/>
        <w:rPr>
          <w:rFonts w:eastAsia="Times New Roman" w:cs="Arial"/>
        </w:rPr>
      </w:pPr>
      <w:r w:rsidRPr="007D6C54">
        <w:rPr>
          <w:rFonts w:eastAsia="Times New Roman" w:cs="Arial"/>
          <w:i/>
          <w:iCs/>
          <w:color w:val="000000"/>
          <w:lang w:eastAsia="bg-BG"/>
        </w:rPr>
        <w:t xml:space="preserve">Лекарствени продукти, които могат да предизвикат </w:t>
      </w:r>
      <w:proofErr w:type="spellStart"/>
      <w:r w:rsidRPr="007D6C54">
        <w:rPr>
          <w:rFonts w:eastAsia="Times New Roman" w:cs="Arial"/>
          <w:i/>
          <w:iCs/>
          <w:color w:val="000000"/>
          <w:lang w:val="en-US"/>
        </w:rPr>
        <w:t>torsades</w:t>
      </w:r>
      <w:proofErr w:type="spellEnd"/>
      <w:r w:rsidRPr="007D6C54">
        <w:rPr>
          <w:rFonts w:eastAsia="Times New Roman" w:cs="Arial"/>
          <w:i/>
          <w:iCs/>
          <w:color w:val="000000"/>
          <w:lang w:val="ru-RU"/>
        </w:rPr>
        <w:t xml:space="preserve"> </w:t>
      </w:r>
      <w:r w:rsidRPr="007D6C54">
        <w:rPr>
          <w:rFonts w:eastAsia="Times New Roman" w:cs="Arial"/>
          <w:i/>
          <w:iCs/>
          <w:color w:val="000000"/>
          <w:lang w:val="en-US"/>
        </w:rPr>
        <w:t>de</w:t>
      </w:r>
      <w:r w:rsidRPr="007D6C54">
        <w:rPr>
          <w:rFonts w:eastAsia="Times New Roman" w:cs="Arial"/>
          <w:i/>
          <w:iCs/>
          <w:color w:val="000000"/>
          <w:lang w:val="ru-RU"/>
        </w:rPr>
        <w:t xml:space="preserve"> </w:t>
      </w:r>
      <w:r w:rsidRPr="007D6C54">
        <w:rPr>
          <w:rFonts w:eastAsia="Times New Roman" w:cs="Arial"/>
          <w:i/>
          <w:iCs/>
          <w:color w:val="000000"/>
          <w:lang w:val="en-US"/>
        </w:rPr>
        <w:t>pointes</w:t>
      </w:r>
    </w:p>
    <w:p w14:paraId="37CE46EC"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t xml:space="preserve">Поради риска от хипокалиемия хидрохлоротиазид трябва да се прилага с повишено внимание при едновременно приложение с лекарствени продукти, които могат предизвикат </w:t>
      </w:r>
      <w:proofErr w:type="spellStart"/>
      <w:r w:rsidRPr="007D6C54">
        <w:rPr>
          <w:rFonts w:eastAsia="Times New Roman" w:cs="Arial"/>
          <w:color w:val="000000"/>
          <w:lang w:val="en-US"/>
        </w:rPr>
        <w:t>torsades</w:t>
      </w:r>
      <w:proofErr w:type="spellEnd"/>
      <w:r w:rsidRPr="007D6C54">
        <w:rPr>
          <w:rFonts w:eastAsia="Times New Roman" w:cs="Arial"/>
          <w:color w:val="000000"/>
          <w:lang w:val="ru-RU"/>
        </w:rPr>
        <w:t xml:space="preserve"> </w:t>
      </w:r>
      <w:r w:rsidRPr="007D6C54">
        <w:rPr>
          <w:rFonts w:eastAsia="Times New Roman" w:cs="Arial"/>
          <w:color w:val="000000"/>
          <w:lang w:val="en-US"/>
        </w:rPr>
        <w:t>de</w:t>
      </w:r>
      <w:r w:rsidRPr="007D6C54">
        <w:rPr>
          <w:rFonts w:eastAsia="Times New Roman" w:cs="Arial"/>
          <w:color w:val="000000"/>
          <w:lang w:val="ru-RU"/>
        </w:rPr>
        <w:t xml:space="preserve"> </w:t>
      </w:r>
      <w:r w:rsidRPr="007D6C54">
        <w:rPr>
          <w:rFonts w:eastAsia="Times New Roman" w:cs="Arial"/>
          <w:color w:val="000000"/>
          <w:lang w:val="en-US"/>
        </w:rPr>
        <w:t>pointes</w:t>
      </w:r>
      <w:r w:rsidRPr="007D6C54">
        <w:rPr>
          <w:rFonts w:eastAsia="Times New Roman" w:cs="Arial"/>
          <w:color w:val="000000"/>
          <w:lang w:val="ru-RU"/>
        </w:rPr>
        <w:t xml:space="preserve">, </w:t>
      </w:r>
      <w:r w:rsidRPr="007D6C54">
        <w:rPr>
          <w:rFonts w:eastAsia="Times New Roman" w:cs="Arial"/>
          <w:color w:val="000000"/>
          <w:lang w:eastAsia="bg-BG"/>
        </w:rPr>
        <w:t xml:space="preserve">най-вече клас </w:t>
      </w:r>
      <w:proofErr w:type="spellStart"/>
      <w:r w:rsidRPr="007D6C54">
        <w:rPr>
          <w:rFonts w:eastAsia="Times New Roman" w:cs="Arial"/>
          <w:color w:val="000000"/>
          <w:lang w:val="en-US"/>
        </w:rPr>
        <w:t>Ia</w:t>
      </w:r>
      <w:proofErr w:type="spellEnd"/>
      <w:r w:rsidRPr="007D6C54">
        <w:rPr>
          <w:rFonts w:eastAsia="Times New Roman" w:cs="Arial"/>
          <w:color w:val="000000"/>
          <w:lang w:val="ru-RU"/>
        </w:rPr>
        <w:t xml:space="preserve"> </w:t>
      </w:r>
      <w:r w:rsidRPr="007D6C54">
        <w:rPr>
          <w:rFonts w:eastAsia="Times New Roman" w:cs="Arial"/>
          <w:color w:val="000000"/>
          <w:lang w:eastAsia="bg-BG"/>
        </w:rPr>
        <w:t>и клас III антиаритмици и някои антипсихотици.</w:t>
      </w:r>
    </w:p>
    <w:p w14:paraId="3C05097E" w14:textId="77777777" w:rsidR="007D6C54" w:rsidRPr="007D6C54" w:rsidRDefault="007D6C54" w:rsidP="007D6C54">
      <w:pPr>
        <w:spacing w:line="240" w:lineRule="auto"/>
        <w:rPr>
          <w:rFonts w:eastAsia="Times New Roman" w:cs="Arial"/>
          <w:i/>
          <w:iCs/>
          <w:color w:val="000000"/>
          <w:lang w:eastAsia="bg-BG"/>
        </w:rPr>
      </w:pPr>
    </w:p>
    <w:p w14:paraId="7F8390D1" w14:textId="59696999" w:rsidR="007D6C54" w:rsidRPr="007D6C54" w:rsidRDefault="007D6C54" w:rsidP="007D6C54">
      <w:pPr>
        <w:spacing w:line="240" w:lineRule="auto"/>
        <w:rPr>
          <w:rFonts w:eastAsia="Times New Roman" w:cs="Arial"/>
        </w:rPr>
      </w:pPr>
      <w:r w:rsidRPr="007D6C54">
        <w:rPr>
          <w:rFonts w:eastAsia="Times New Roman" w:cs="Arial"/>
          <w:i/>
          <w:iCs/>
          <w:color w:val="000000"/>
          <w:lang w:eastAsia="bg-BG"/>
        </w:rPr>
        <w:t>Лекарствени продукти, повлияващи на серумното ниво на натрий</w:t>
      </w:r>
    </w:p>
    <w:p w14:paraId="75578DE5"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lastRenderedPageBreak/>
        <w:t>Ефектът на хипонатриемия на диуретиците може да се засили при едновременното приложение с лекарства, като антидепресанти, антипсихотици, андиепилаптици и т.н. Необходимо е внимание при продължително лечение с тези лекарства.</w:t>
      </w:r>
    </w:p>
    <w:p w14:paraId="3AEB80A7" w14:textId="77777777" w:rsidR="007D6C54" w:rsidRPr="007D6C54" w:rsidRDefault="007D6C54" w:rsidP="007D6C54">
      <w:pPr>
        <w:spacing w:line="240" w:lineRule="auto"/>
        <w:rPr>
          <w:rFonts w:eastAsia="Times New Roman" w:cs="Arial"/>
        </w:rPr>
      </w:pPr>
      <w:r w:rsidRPr="007D6C54">
        <w:rPr>
          <w:rFonts w:eastAsia="Times New Roman" w:cs="Arial"/>
          <w:i/>
          <w:iCs/>
          <w:color w:val="000000"/>
          <w:lang w:eastAsia="bg-BG"/>
        </w:rPr>
        <w:t>Дигиталисови гликозиди</w:t>
      </w:r>
    </w:p>
    <w:p w14:paraId="3C34419E"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t>Тиазид-индуцирана хипокалиемия или хипомагнезиемия могат да се изявят като нежелани реакции, улеснявайки началото на дигиталис-индуцирани сърдечни аритмии.</w:t>
      </w:r>
    </w:p>
    <w:p w14:paraId="50ED0161" w14:textId="77777777" w:rsidR="007D6C54" w:rsidRPr="007D6C54" w:rsidRDefault="007D6C54" w:rsidP="007D6C54">
      <w:pPr>
        <w:spacing w:line="240" w:lineRule="auto"/>
        <w:rPr>
          <w:rFonts w:eastAsia="Times New Roman" w:cs="Arial"/>
          <w:i/>
          <w:iCs/>
          <w:color w:val="000000"/>
          <w:lang w:eastAsia="bg-BG"/>
        </w:rPr>
      </w:pPr>
    </w:p>
    <w:p w14:paraId="3BC631BA" w14:textId="0191C987" w:rsidR="007D6C54" w:rsidRPr="007D6C54" w:rsidRDefault="007D6C54" w:rsidP="007D6C54">
      <w:pPr>
        <w:spacing w:line="240" w:lineRule="auto"/>
        <w:rPr>
          <w:rFonts w:eastAsia="Times New Roman" w:cs="Arial"/>
        </w:rPr>
      </w:pPr>
      <w:r w:rsidRPr="007D6C54">
        <w:rPr>
          <w:rFonts w:eastAsia="Times New Roman" w:cs="Arial"/>
          <w:i/>
          <w:iCs/>
          <w:color w:val="000000"/>
          <w:lang w:eastAsia="bg-BG"/>
        </w:rPr>
        <w:t xml:space="preserve">Калциеви соли и витамин </w:t>
      </w:r>
      <w:r w:rsidRPr="007D6C54">
        <w:rPr>
          <w:rFonts w:eastAsia="Times New Roman" w:cs="Arial"/>
          <w:i/>
          <w:iCs/>
          <w:color w:val="000000"/>
          <w:lang w:val="en-US"/>
        </w:rPr>
        <w:t>D</w:t>
      </w:r>
    </w:p>
    <w:p w14:paraId="3D6E728E"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t xml:space="preserve">Прилагането на тиазидни диуретици, включително хидрохлоротиазид, с витамин </w:t>
      </w:r>
      <w:r w:rsidRPr="007D6C54">
        <w:rPr>
          <w:rFonts w:eastAsia="Times New Roman" w:cs="Arial"/>
          <w:color w:val="000000"/>
          <w:lang w:val="en-US"/>
        </w:rPr>
        <w:t>D</w:t>
      </w:r>
      <w:r w:rsidRPr="007D6C54">
        <w:rPr>
          <w:rFonts w:eastAsia="Times New Roman" w:cs="Arial"/>
          <w:color w:val="000000"/>
          <w:lang w:val="ru-RU"/>
        </w:rPr>
        <w:t xml:space="preserve"> </w:t>
      </w:r>
      <w:r w:rsidRPr="007D6C54">
        <w:rPr>
          <w:rFonts w:eastAsia="Times New Roman" w:cs="Arial"/>
          <w:color w:val="000000"/>
          <w:lang w:eastAsia="bg-BG"/>
        </w:rPr>
        <w:t xml:space="preserve">или с калциеви соли може да потенцира покачването на серумния калций. Едновременното приложение на тиазиден тип диуретици с калциеви соли може да доведе до хиперкалциемия при пациенти, предразположени към хиперкалциемия (напр. хиперпаратиреодизъм, злокачествено заболяване или състояния опосредствани от витамин </w:t>
      </w:r>
      <w:r w:rsidRPr="007D6C54">
        <w:rPr>
          <w:rFonts w:eastAsia="Times New Roman" w:cs="Arial"/>
          <w:color w:val="000000"/>
          <w:lang w:val="en-US"/>
        </w:rPr>
        <w:t>D</w:t>
      </w:r>
      <w:r w:rsidRPr="007D6C54">
        <w:rPr>
          <w:rFonts w:eastAsia="Times New Roman" w:cs="Arial"/>
          <w:color w:val="000000"/>
          <w:lang w:val="ru-RU"/>
        </w:rPr>
        <w:t xml:space="preserve">) </w:t>
      </w:r>
      <w:r w:rsidRPr="007D6C54">
        <w:rPr>
          <w:rFonts w:eastAsia="Times New Roman" w:cs="Arial"/>
          <w:color w:val="000000"/>
          <w:lang w:eastAsia="bg-BG"/>
        </w:rPr>
        <w:t>чрез повишаване на тубулната реабсорбция на калция.</w:t>
      </w:r>
    </w:p>
    <w:p w14:paraId="49C68289" w14:textId="77777777" w:rsidR="007D6C54" w:rsidRPr="007D6C54" w:rsidRDefault="007D6C54" w:rsidP="007D6C54">
      <w:pPr>
        <w:spacing w:line="240" w:lineRule="auto"/>
        <w:rPr>
          <w:rFonts w:eastAsia="Times New Roman" w:cs="Arial"/>
          <w:i/>
          <w:iCs/>
          <w:color w:val="000000"/>
          <w:lang w:eastAsia="bg-BG"/>
        </w:rPr>
      </w:pPr>
    </w:p>
    <w:p w14:paraId="512D7E16" w14:textId="2F5ACF11" w:rsidR="007D6C54" w:rsidRPr="007D6C54" w:rsidRDefault="007D6C54" w:rsidP="007D6C54">
      <w:pPr>
        <w:spacing w:line="240" w:lineRule="auto"/>
        <w:rPr>
          <w:rFonts w:eastAsia="Times New Roman" w:cs="Arial"/>
        </w:rPr>
      </w:pPr>
      <w:r w:rsidRPr="007D6C54">
        <w:rPr>
          <w:rFonts w:eastAsia="Times New Roman" w:cs="Arial"/>
          <w:i/>
          <w:iCs/>
          <w:color w:val="000000"/>
          <w:lang w:eastAsia="bg-BG"/>
        </w:rPr>
        <w:t>Антидиабетни лекарства</w:t>
      </w:r>
      <w:r w:rsidRPr="007D6C54">
        <w:rPr>
          <w:rFonts w:eastAsia="Times New Roman" w:cs="Arial"/>
          <w:color w:val="000000"/>
          <w:lang w:eastAsia="bg-BG"/>
        </w:rPr>
        <w:t xml:space="preserve"> (перорални средства и инсулин)</w:t>
      </w:r>
    </w:p>
    <w:p w14:paraId="594AFD4A"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t>Тиазидните диуретици може да окажат влияние върху глюкозния толеранс. Може да е необходимо коригиране на дозите.</w:t>
      </w:r>
    </w:p>
    <w:p w14:paraId="2CE3DDEB"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t>Метформин трябва да се приема с повишено внимание поради риск от лактатна ацидоза, индуцирана от възможна функционална бъбречна недостатъчност, свързана с хидрохлоротиазид.</w:t>
      </w:r>
    </w:p>
    <w:p w14:paraId="65328DD0" w14:textId="77777777" w:rsidR="007D6C54" w:rsidRPr="007D6C54" w:rsidRDefault="007D6C54" w:rsidP="007D6C54">
      <w:pPr>
        <w:spacing w:line="240" w:lineRule="auto"/>
        <w:rPr>
          <w:rFonts w:eastAsia="Times New Roman" w:cs="Arial"/>
          <w:i/>
          <w:iCs/>
          <w:color w:val="000000"/>
          <w:lang w:eastAsia="bg-BG"/>
        </w:rPr>
      </w:pPr>
    </w:p>
    <w:p w14:paraId="3CC558A3" w14:textId="5F8AA6EC" w:rsidR="007D6C54" w:rsidRPr="007D6C54" w:rsidRDefault="007D6C54" w:rsidP="007D6C54">
      <w:pPr>
        <w:spacing w:line="240" w:lineRule="auto"/>
        <w:rPr>
          <w:rFonts w:eastAsia="Times New Roman" w:cs="Arial"/>
        </w:rPr>
      </w:pPr>
      <w:r w:rsidRPr="007D6C54">
        <w:rPr>
          <w:rFonts w:eastAsia="Times New Roman" w:cs="Arial"/>
          <w:i/>
          <w:iCs/>
          <w:color w:val="000000"/>
          <w:lang w:eastAsia="bg-BG"/>
        </w:rPr>
        <w:t>Бета-блокери и диазоксид</w:t>
      </w:r>
    </w:p>
    <w:p w14:paraId="79E63E00"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t>Едновременното приложение на тиазидни диуретици, включително хидрохлоротиазид, и бета-блокери може да повиши риска от хипергликемия. Тиазидните диуретици, включително хидрохлоротиазид, могат да повишат хипергликемичния ефект на диазоксид.</w:t>
      </w:r>
    </w:p>
    <w:p w14:paraId="010B7445" w14:textId="77777777" w:rsidR="007D6C54" w:rsidRPr="007D6C54" w:rsidRDefault="007D6C54" w:rsidP="007D6C54">
      <w:pPr>
        <w:spacing w:line="240" w:lineRule="auto"/>
        <w:rPr>
          <w:rFonts w:eastAsia="Times New Roman" w:cs="Arial"/>
          <w:i/>
          <w:iCs/>
          <w:color w:val="000000"/>
          <w:lang w:eastAsia="bg-BG"/>
        </w:rPr>
      </w:pPr>
    </w:p>
    <w:p w14:paraId="10E58F92" w14:textId="5F775BD9" w:rsidR="007D6C54" w:rsidRPr="007D6C54" w:rsidRDefault="007D6C54" w:rsidP="007D6C54">
      <w:pPr>
        <w:spacing w:line="240" w:lineRule="auto"/>
        <w:rPr>
          <w:rFonts w:eastAsia="Times New Roman" w:cs="Arial"/>
        </w:rPr>
      </w:pPr>
      <w:r w:rsidRPr="007D6C54">
        <w:rPr>
          <w:rFonts w:eastAsia="Times New Roman" w:cs="Arial"/>
          <w:i/>
          <w:iCs/>
          <w:color w:val="000000"/>
          <w:lang w:eastAsia="bg-BG"/>
        </w:rPr>
        <w:t>Лекарствени продукти, прилагани за лечение на подагра</w:t>
      </w:r>
      <w:r w:rsidRPr="007D6C54">
        <w:rPr>
          <w:rFonts w:eastAsia="Times New Roman" w:cs="Arial"/>
          <w:color w:val="000000"/>
          <w:lang w:eastAsia="bg-BG"/>
        </w:rPr>
        <w:t xml:space="preserve"> (пробенецид, сулфинпиразон и алопуринол)</w:t>
      </w:r>
    </w:p>
    <w:p w14:paraId="51C19A65"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t>Възможно е да се наложи коригиране на дозата на урикозуричните средства, тъй като хидрохлоротиазид може да покачи нивата на серумната пикочна киселина. Може да е необходимо да се увеличи дозата на пробенецид и сулфинпиразон. Едновременното прилагане на тиазидни диуретици, включително хидрохлоротиазид, може да повиши честотата на реакциите на свръхчувствителност спрямо алопуринол.</w:t>
      </w:r>
    </w:p>
    <w:p w14:paraId="2F4E0B4D" w14:textId="77777777" w:rsidR="007D6C54" w:rsidRPr="007D6C54" w:rsidRDefault="007D6C54" w:rsidP="007D6C54">
      <w:pPr>
        <w:spacing w:line="240" w:lineRule="auto"/>
        <w:rPr>
          <w:rFonts w:eastAsia="Times New Roman" w:cs="Arial"/>
          <w:i/>
          <w:iCs/>
          <w:color w:val="000000"/>
          <w:lang w:eastAsia="bg-BG"/>
        </w:rPr>
      </w:pPr>
    </w:p>
    <w:p w14:paraId="0B4D040A" w14:textId="2F7825C7" w:rsidR="007D6C54" w:rsidRPr="007D6C54" w:rsidRDefault="007D6C54" w:rsidP="007D6C54">
      <w:pPr>
        <w:spacing w:line="240" w:lineRule="auto"/>
        <w:rPr>
          <w:rFonts w:eastAsia="Times New Roman" w:cs="Arial"/>
        </w:rPr>
      </w:pPr>
      <w:r w:rsidRPr="007D6C54">
        <w:rPr>
          <w:rFonts w:eastAsia="Times New Roman" w:cs="Arial"/>
          <w:i/>
          <w:iCs/>
          <w:color w:val="000000"/>
          <w:lang w:eastAsia="bg-BG"/>
        </w:rPr>
        <w:t>Антихолинергични лекарствени препарати и други лекарствени продукти, повлияващи стомашния мотилитет.</w:t>
      </w:r>
    </w:p>
    <w:p w14:paraId="24A0A3F7"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t>Бионаличността на тиазидните диуретици може да се повиши от антихолинергичните лекарствени продукти (напр. атропин, бипиредин), вероятно поради намаляване на мотилитета на стомашно-чревния тракт и забавяне на времето за изпразване на стомаха Обратно, очаква се прокинетичните лекарства, като цизаприд да понижат бионаличността на тиазидните диуретици.</w:t>
      </w:r>
    </w:p>
    <w:p w14:paraId="084C50BE" w14:textId="77777777" w:rsidR="007D6C54" w:rsidRPr="007D6C54" w:rsidRDefault="007D6C54" w:rsidP="007D6C54">
      <w:pPr>
        <w:spacing w:line="240" w:lineRule="auto"/>
        <w:rPr>
          <w:rFonts w:eastAsia="Times New Roman" w:cs="Arial"/>
          <w:i/>
          <w:iCs/>
          <w:color w:val="000000"/>
          <w:lang w:eastAsia="bg-BG"/>
        </w:rPr>
      </w:pPr>
    </w:p>
    <w:p w14:paraId="41BEF447" w14:textId="60145D4E" w:rsidR="007D6C54" w:rsidRPr="007D6C54" w:rsidRDefault="007D6C54" w:rsidP="007D6C54">
      <w:pPr>
        <w:spacing w:line="240" w:lineRule="auto"/>
        <w:rPr>
          <w:rFonts w:eastAsia="Times New Roman" w:cs="Arial"/>
        </w:rPr>
      </w:pPr>
      <w:r w:rsidRPr="007D6C54">
        <w:rPr>
          <w:rFonts w:eastAsia="Times New Roman" w:cs="Arial"/>
          <w:i/>
          <w:iCs/>
          <w:color w:val="000000"/>
          <w:lang w:eastAsia="bg-BG"/>
        </w:rPr>
        <w:t>Амантадин</w:t>
      </w:r>
    </w:p>
    <w:p w14:paraId="55AE0E73"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t>Тиазидните диуретици, включително хидрохлоротиазид, могат да повишат риска от нежелани реакции, причинени от амантадин.</w:t>
      </w:r>
    </w:p>
    <w:p w14:paraId="22CE12B2" w14:textId="77777777" w:rsidR="007D6C54" w:rsidRPr="007D6C54" w:rsidRDefault="007D6C54" w:rsidP="007D6C54">
      <w:pPr>
        <w:spacing w:line="240" w:lineRule="auto"/>
        <w:rPr>
          <w:rFonts w:eastAsia="Times New Roman" w:cs="Arial"/>
          <w:i/>
          <w:iCs/>
          <w:color w:val="000000"/>
          <w:lang w:eastAsia="bg-BG"/>
        </w:rPr>
      </w:pPr>
    </w:p>
    <w:p w14:paraId="116D36A2" w14:textId="72C24B42" w:rsidR="007D6C54" w:rsidRPr="007D6C54" w:rsidRDefault="007D6C54" w:rsidP="007D6C54">
      <w:pPr>
        <w:spacing w:line="240" w:lineRule="auto"/>
        <w:rPr>
          <w:rFonts w:eastAsia="Times New Roman" w:cs="Arial"/>
        </w:rPr>
      </w:pPr>
      <w:r w:rsidRPr="007D6C54">
        <w:rPr>
          <w:rFonts w:eastAsia="Times New Roman" w:cs="Arial"/>
          <w:i/>
          <w:iCs/>
          <w:color w:val="000000"/>
          <w:lang w:eastAsia="bg-BG"/>
        </w:rPr>
        <w:t>Ионообемни смоли</w:t>
      </w:r>
    </w:p>
    <w:p w14:paraId="25D5AB10"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t xml:space="preserve">Абсорбцията на тиазидните диуретици, включително хидрохлоротиазид, се намалява от холестирамин и холестипол.Това може да доведе до суб-терапевтичен ефект на </w:t>
      </w:r>
      <w:r w:rsidRPr="007D6C54">
        <w:rPr>
          <w:rFonts w:eastAsia="Times New Roman" w:cs="Arial"/>
          <w:color w:val="000000"/>
          <w:lang w:eastAsia="bg-BG"/>
        </w:rPr>
        <w:lastRenderedPageBreak/>
        <w:t>тиазидните диуретици. Обаче, разпределянето на дозата хидрохлоротиазид и смола, така, че хидрохлоротиазид да се прилага най-малко 4 часа преди или 4-6 часа слсд приложението на смоли, може да сведе до минимум взаимодействието им.</w:t>
      </w:r>
    </w:p>
    <w:p w14:paraId="3A7901EB" w14:textId="77777777" w:rsidR="007D6C54" w:rsidRPr="007D6C54" w:rsidRDefault="007D6C54" w:rsidP="007D6C54">
      <w:pPr>
        <w:spacing w:line="240" w:lineRule="auto"/>
        <w:rPr>
          <w:rFonts w:eastAsia="Times New Roman" w:cs="Arial"/>
          <w:i/>
          <w:iCs/>
          <w:color w:val="000000"/>
          <w:lang w:eastAsia="bg-BG"/>
        </w:rPr>
      </w:pPr>
    </w:p>
    <w:p w14:paraId="11103FDC" w14:textId="56B009E9" w:rsidR="007D6C54" w:rsidRPr="007D6C54" w:rsidRDefault="007D6C54" w:rsidP="007D6C54">
      <w:pPr>
        <w:spacing w:line="240" w:lineRule="auto"/>
        <w:rPr>
          <w:rFonts w:eastAsia="Times New Roman" w:cs="Arial"/>
        </w:rPr>
      </w:pPr>
      <w:r w:rsidRPr="007D6C54">
        <w:rPr>
          <w:rFonts w:eastAsia="Times New Roman" w:cs="Arial"/>
          <w:i/>
          <w:iCs/>
          <w:color w:val="000000"/>
          <w:lang w:eastAsia="bg-BG"/>
        </w:rPr>
        <w:t>Цитотоксични лекарствени продукти</w:t>
      </w:r>
    </w:p>
    <w:p w14:paraId="376E937E"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t>Тиазидните диуретици, включително хидрохлоротиазид, могат да намалят бъбречната</w:t>
      </w:r>
      <w:r w:rsidRPr="007D6C54">
        <w:rPr>
          <w:rFonts w:eastAsia="Times New Roman" w:cs="Arial"/>
          <w:color w:val="000000"/>
          <w:vertAlign w:val="superscript"/>
          <w:lang w:eastAsia="bg-BG"/>
        </w:rPr>
        <w:t xml:space="preserve"> </w:t>
      </w:r>
      <w:r w:rsidRPr="007D6C54">
        <w:rPr>
          <w:rFonts w:eastAsia="Times New Roman" w:cs="Arial"/>
          <w:color w:val="000000"/>
          <w:lang w:eastAsia="bg-BG"/>
        </w:rPr>
        <w:t>екскреция на цитотоксичните лекарствени продукти (напр. циклофосфамид, метотрексат) и да потенцират техните миелосупресивни ефекти.</w:t>
      </w:r>
    </w:p>
    <w:p w14:paraId="6795E5C1" w14:textId="77777777" w:rsidR="007D6C54" w:rsidRPr="007D6C54" w:rsidRDefault="007D6C54" w:rsidP="007D6C54">
      <w:pPr>
        <w:rPr>
          <w:rFonts w:eastAsia="Times New Roman" w:cs="Arial"/>
          <w:i/>
          <w:iCs/>
          <w:color w:val="000000"/>
          <w:lang w:eastAsia="bg-BG"/>
        </w:rPr>
      </w:pPr>
    </w:p>
    <w:p w14:paraId="4E9AC52C" w14:textId="40506740" w:rsidR="007D6C54" w:rsidRPr="007D6C54" w:rsidRDefault="007D6C54" w:rsidP="007D6C54">
      <w:pPr>
        <w:rPr>
          <w:rFonts w:eastAsia="Times New Roman" w:cs="Arial"/>
          <w:i/>
          <w:iCs/>
          <w:color w:val="000000"/>
          <w:lang w:eastAsia="bg-BG"/>
        </w:rPr>
      </w:pPr>
      <w:r w:rsidRPr="007D6C54">
        <w:rPr>
          <w:rFonts w:eastAsia="Times New Roman" w:cs="Arial"/>
          <w:i/>
          <w:iCs/>
          <w:color w:val="000000"/>
          <w:lang w:eastAsia="bg-BG"/>
        </w:rPr>
        <w:t>Недеполяризиращи скелетномускулни релаксанти</w:t>
      </w:r>
      <w:r w:rsidRPr="007D6C54">
        <w:rPr>
          <w:rFonts w:eastAsia="Times New Roman" w:cs="Arial"/>
          <w:color w:val="000000"/>
          <w:lang w:eastAsia="bg-BG"/>
        </w:rPr>
        <w:t xml:space="preserve"> (напр. тубокурарин)</w:t>
      </w:r>
    </w:p>
    <w:p w14:paraId="098CC671"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t>Тиазидните диуретици, включително хидрохлоротиазид, потенцират действието на скелетномускулните релаксанти, като производните на кураре.</w:t>
      </w:r>
    </w:p>
    <w:p w14:paraId="3F7BDECA" w14:textId="77777777" w:rsidR="007D6C54" w:rsidRPr="007D6C54" w:rsidRDefault="007D6C54" w:rsidP="007D6C54">
      <w:pPr>
        <w:spacing w:line="240" w:lineRule="auto"/>
        <w:rPr>
          <w:rFonts w:eastAsia="Times New Roman" w:cs="Arial"/>
          <w:i/>
          <w:iCs/>
          <w:color w:val="000000"/>
          <w:lang w:eastAsia="bg-BG"/>
        </w:rPr>
      </w:pPr>
    </w:p>
    <w:p w14:paraId="78A59A57" w14:textId="798A08AD" w:rsidR="007D6C54" w:rsidRPr="007D6C54" w:rsidRDefault="007D6C54" w:rsidP="007D6C54">
      <w:pPr>
        <w:spacing w:line="240" w:lineRule="auto"/>
        <w:rPr>
          <w:rFonts w:eastAsia="Times New Roman" w:cs="Arial"/>
        </w:rPr>
      </w:pPr>
      <w:r w:rsidRPr="007D6C54">
        <w:rPr>
          <w:rFonts w:eastAsia="Times New Roman" w:cs="Arial"/>
          <w:i/>
          <w:iCs/>
          <w:color w:val="000000"/>
          <w:lang w:eastAsia="bg-BG"/>
        </w:rPr>
        <w:t>Циклоспорин</w:t>
      </w:r>
    </w:p>
    <w:p w14:paraId="041EEBC7"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t>Едновременното прилагане с циклоспорин може да повиши риска от хиперурикемия и усложнения на подаграта.</w:t>
      </w:r>
    </w:p>
    <w:p w14:paraId="4FD112BD" w14:textId="77777777" w:rsidR="007D6C54" w:rsidRPr="007D6C54" w:rsidRDefault="007D6C54" w:rsidP="007D6C54">
      <w:pPr>
        <w:spacing w:line="240" w:lineRule="auto"/>
        <w:rPr>
          <w:rFonts w:eastAsia="Times New Roman" w:cs="Arial"/>
          <w:i/>
          <w:iCs/>
          <w:color w:val="000000"/>
          <w:lang w:eastAsia="bg-BG"/>
        </w:rPr>
      </w:pPr>
    </w:p>
    <w:p w14:paraId="3147E19F" w14:textId="0E1ED4A9" w:rsidR="007D6C54" w:rsidRPr="007D6C54" w:rsidRDefault="007D6C54" w:rsidP="007D6C54">
      <w:pPr>
        <w:spacing w:line="240" w:lineRule="auto"/>
        <w:rPr>
          <w:rFonts w:eastAsia="Times New Roman" w:cs="Arial"/>
        </w:rPr>
      </w:pPr>
      <w:r w:rsidRPr="007D6C54">
        <w:rPr>
          <w:rFonts w:eastAsia="Times New Roman" w:cs="Arial"/>
          <w:i/>
          <w:iCs/>
          <w:color w:val="000000"/>
          <w:lang w:eastAsia="bg-BG"/>
        </w:rPr>
        <w:t>Алкохол, барбитурати или наркотични вещества</w:t>
      </w:r>
    </w:p>
    <w:p w14:paraId="2DA770AC"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t>Едновременното приложение на тиазидни диуретици със събстанции, които също притежават понижаващ кръвното налягане ефект (напр.чрез намаляване активността на симпатиковата нервна система или директната вазодилататорна активност) може дапотенцира ортостатична хипотония.</w:t>
      </w:r>
    </w:p>
    <w:p w14:paraId="083F277D" w14:textId="77777777" w:rsidR="007D6C54" w:rsidRPr="007D6C54" w:rsidRDefault="007D6C54" w:rsidP="007D6C54">
      <w:pPr>
        <w:spacing w:line="240" w:lineRule="auto"/>
        <w:rPr>
          <w:rFonts w:eastAsia="Times New Roman" w:cs="Arial"/>
          <w:i/>
          <w:iCs/>
          <w:color w:val="000000"/>
          <w:lang w:eastAsia="bg-BG"/>
        </w:rPr>
      </w:pPr>
    </w:p>
    <w:p w14:paraId="0B9A3D25" w14:textId="22C8B11B" w:rsidR="007D6C54" w:rsidRPr="007D6C54" w:rsidRDefault="007D6C54" w:rsidP="007D6C54">
      <w:pPr>
        <w:spacing w:line="240" w:lineRule="auto"/>
        <w:rPr>
          <w:rFonts w:eastAsia="Times New Roman" w:cs="Arial"/>
        </w:rPr>
      </w:pPr>
      <w:r w:rsidRPr="007D6C54">
        <w:rPr>
          <w:rFonts w:eastAsia="Times New Roman" w:cs="Arial"/>
          <w:i/>
          <w:iCs/>
          <w:color w:val="000000"/>
          <w:lang w:eastAsia="bg-BG"/>
        </w:rPr>
        <w:t>Метилдопа</w:t>
      </w:r>
    </w:p>
    <w:p w14:paraId="372872EF"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t>Има изолирани съобщения за случаи на хемолитична анемия при едновременно прилагане на метилдопа и хидрохлоротиазид.</w:t>
      </w:r>
    </w:p>
    <w:p w14:paraId="50B63D80" w14:textId="77777777" w:rsidR="007D6C54" w:rsidRPr="007D6C54" w:rsidRDefault="007D6C54" w:rsidP="007D6C54">
      <w:pPr>
        <w:spacing w:line="240" w:lineRule="auto"/>
        <w:rPr>
          <w:rFonts w:eastAsia="Times New Roman" w:cs="Arial"/>
          <w:i/>
          <w:iCs/>
          <w:color w:val="000000"/>
          <w:lang w:eastAsia="bg-BG"/>
        </w:rPr>
      </w:pPr>
    </w:p>
    <w:p w14:paraId="25CE0109" w14:textId="79DA8F3E" w:rsidR="007D6C54" w:rsidRPr="007D6C54" w:rsidRDefault="007D6C54" w:rsidP="007D6C54">
      <w:pPr>
        <w:spacing w:line="240" w:lineRule="auto"/>
        <w:rPr>
          <w:rFonts w:eastAsia="Times New Roman" w:cs="Arial"/>
        </w:rPr>
      </w:pPr>
      <w:r w:rsidRPr="007D6C54">
        <w:rPr>
          <w:rFonts w:eastAsia="Times New Roman" w:cs="Arial"/>
          <w:i/>
          <w:iCs/>
          <w:color w:val="000000"/>
          <w:lang w:eastAsia="bg-BG"/>
        </w:rPr>
        <w:t>Карбамазеп ин</w:t>
      </w:r>
    </w:p>
    <w:p w14:paraId="6B0A7150"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t>Пациентите, приемащи хидрохлоротиазид едновременно с карбамазепин, могат да развият хипонатриемия. Поради тази причина такива пациенти трябва да бъдат предупредени за възможността от хипонатриемични реакции и да бъдат внимателно проследявани.</w:t>
      </w:r>
    </w:p>
    <w:p w14:paraId="2570183E" w14:textId="77777777" w:rsidR="007D6C54" w:rsidRPr="007D6C54" w:rsidRDefault="007D6C54" w:rsidP="007D6C54">
      <w:pPr>
        <w:spacing w:line="240" w:lineRule="auto"/>
        <w:rPr>
          <w:rFonts w:eastAsia="Times New Roman" w:cs="Arial"/>
          <w:i/>
          <w:iCs/>
          <w:color w:val="000000"/>
          <w:lang w:eastAsia="bg-BG"/>
        </w:rPr>
      </w:pPr>
    </w:p>
    <w:p w14:paraId="0AA9E900" w14:textId="7A623AA0" w:rsidR="007D6C54" w:rsidRPr="007D6C54" w:rsidRDefault="007D6C54" w:rsidP="007D6C54">
      <w:pPr>
        <w:spacing w:line="240" w:lineRule="auto"/>
        <w:rPr>
          <w:rFonts w:eastAsia="Times New Roman" w:cs="Arial"/>
        </w:rPr>
      </w:pPr>
      <w:r w:rsidRPr="007D6C54">
        <w:rPr>
          <w:rFonts w:eastAsia="Times New Roman" w:cs="Arial"/>
          <w:i/>
          <w:iCs/>
          <w:color w:val="000000"/>
          <w:lang w:eastAsia="bg-BG"/>
        </w:rPr>
        <w:t>Йодни контрастни средства</w:t>
      </w:r>
    </w:p>
    <w:p w14:paraId="335C5DDF" w14:textId="32D7E340" w:rsidR="007D6C54" w:rsidRDefault="007D6C54" w:rsidP="007D6C54">
      <w:pPr>
        <w:spacing w:line="240" w:lineRule="auto"/>
        <w:rPr>
          <w:rFonts w:eastAsia="Times New Roman" w:cs="Arial"/>
          <w:color w:val="000000"/>
          <w:lang w:eastAsia="bg-BG"/>
        </w:rPr>
      </w:pPr>
      <w:r w:rsidRPr="007D6C54">
        <w:rPr>
          <w:rFonts w:eastAsia="Times New Roman" w:cs="Arial"/>
          <w:color w:val="000000"/>
          <w:lang w:eastAsia="bg-BG"/>
        </w:rPr>
        <w:t>В случай на диуретик-индуцирана дехидратация е налице повишен риск от остра бъбречна недостатъчност, особено при високи дози на йодния продукт. Пациентите трябва да се рехидратират преди прилагането на йодни контрастни вещества.</w:t>
      </w:r>
    </w:p>
    <w:p w14:paraId="663CA411" w14:textId="1868CD97" w:rsidR="007D6C54" w:rsidRPr="007D6C54" w:rsidRDefault="007D6C54" w:rsidP="007D6C54"/>
    <w:p w14:paraId="5D9F40EA" w14:textId="1D2DBD44" w:rsidR="007122AD" w:rsidRDefault="002C50EE" w:rsidP="00936AD0">
      <w:pPr>
        <w:pStyle w:val="Heading2"/>
      </w:pPr>
      <w:r>
        <w:t>4.6. Фертилитет, бременност и кърмене</w:t>
      </w:r>
    </w:p>
    <w:p w14:paraId="7EC28F59" w14:textId="09024BA3" w:rsidR="007D6C54" w:rsidRDefault="007D6C54" w:rsidP="007D6C54"/>
    <w:p w14:paraId="1119AB14" w14:textId="77777777" w:rsidR="007D6C54" w:rsidRPr="007D6C54" w:rsidRDefault="007D6C54" w:rsidP="007D6C54">
      <w:pPr>
        <w:pStyle w:val="Heading3"/>
        <w:rPr>
          <w:rFonts w:eastAsia="Times New Roman"/>
          <w:u w:val="single"/>
        </w:rPr>
      </w:pPr>
      <w:r w:rsidRPr="007D6C54">
        <w:rPr>
          <w:rFonts w:eastAsia="Times New Roman"/>
          <w:u w:val="single"/>
          <w:lang w:eastAsia="bg-BG"/>
        </w:rPr>
        <w:t>Бременност</w:t>
      </w:r>
    </w:p>
    <w:p w14:paraId="2D72C5B3" w14:textId="77777777" w:rsidR="007D6C54" w:rsidRPr="007D6C54" w:rsidRDefault="007D6C54" w:rsidP="007D6C54">
      <w:pPr>
        <w:rPr>
          <w:rFonts w:eastAsia="Times New Roman" w:cs="Arial"/>
          <w:color w:val="000000"/>
          <w:u w:val="single"/>
          <w:lang w:eastAsia="bg-BG"/>
        </w:rPr>
      </w:pPr>
    </w:p>
    <w:p w14:paraId="381C5AE5" w14:textId="27171E40" w:rsidR="007D6C54" w:rsidRPr="007D6C54" w:rsidRDefault="007D6C54" w:rsidP="007D6C54">
      <w:pPr>
        <w:rPr>
          <w:rFonts w:eastAsia="Times New Roman" w:cs="Arial"/>
          <w:color w:val="000000"/>
          <w:u w:val="single"/>
          <w:lang w:eastAsia="bg-BG"/>
        </w:rPr>
      </w:pPr>
      <w:r w:rsidRPr="007D6C54">
        <w:rPr>
          <w:rFonts w:eastAsia="Times New Roman" w:cs="Arial"/>
          <w:color w:val="000000"/>
          <w:u w:val="single"/>
          <w:lang w:eastAsia="bg-BG"/>
        </w:rPr>
        <w:t>Валсартан</w:t>
      </w:r>
    </w:p>
    <w:tbl>
      <w:tblPr>
        <w:tblStyle w:val="TableGrid"/>
        <w:tblW w:w="0" w:type="auto"/>
        <w:tblLook w:val="04A0" w:firstRow="1" w:lastRow="0" w:firstColumn="1" w:lastColumn="0" w:noHBand="0" w:noVBand="1"/>
      </w:tblPr>
      <w:tblGrid>
        <w:gridCol w:w="9350"/>
      </w:tblGrid>
      <w:tr w:rsidR="007D6C54" w14:paraId="5AE72E5B" w14:textId="77777777" w:rsidTr="007D6C54">
        <w:tc>
          <w:tcPr>
            <w:tcW w:w="9576" w:type="dxa"/>
          </w:tcPr>
          <w:p w14:paraId="7C18B510" w14:textId="58AA679B" w:rsidR="007D6C54" w:rsidRPr="007D6C54" w:rsidRDefault="007D6C54" w:rsidP="007D6C54">
            <w:pPr>
              <w:spacing w:line="240" w:lineRule="auto"/>
              <w:rPr>
                <w:rFonts w:eastAsia="Times New Roman" w:cs="Arial"/>
                <w:sz w:val="24"/>
                <w:szCs w:val="24"/>
              </w:rPr>
            </w:pPr>
            <w:r w:rsidRPr="007D6C54">
              <w:rPr>
                <w:rFonts w:eastAsia="Times New Roman" w:cs="Arial"/>
                <w:color w:val="000000"/>
                <w:lang w:eastAsia="bg-BG"/>
              </w:rPr>
              <w:t>Употребата на ангиотензин П рецепторни блокери (АРБ) не се препоръчва през първия триместър на бременността (вж. точка 4.4). Употребата на АРБ е противопоказана през втория и третия триместър на бременността (вж. точки 4.3 и 4.4).</w:t>
            </w:r>
          </w:p>
        </w:tc>
      </w:tr>
    </w:tbl>
    <w:p w14:paraId="3CF035E5" w14:textId="38701B14" w:rsidR="007D6C54" w:rsidRDefault="007D6C54" w:rsidP="007D6C54"/>
    <w:p w14:paraId="7352014B" w14:textId="77777777" w:rsidR="007D6C54" w:rsidRPr="007D6C54" w:rsidRDefault="007D6C54" w:rsidP="007D6C54">
      <w:pPr>
        <w:spacing w:line="240" w:lineRule="auto"/>
        <w:rPr>
          <w:rFonts w:eastAsia="Times New Roman" w:cs="Arial"/>
          <w:sz w:val="24"/>
          <w:szCs w:val="24"/>
        </w:rPr>
      </w:pPr>
      <w:r w:rsidRPr="007D6C54">
        <w:rPr>
          <w:rFonts w:eastAsia="Times New Roman" w:cs="Arial"/>
          <w:color w:val="000000"/>
          <w:lang w:eastAsia="bg-BG"/>
        </w:rPr>
        <w:t xml:space="preserve">Епидемиологичните данни за риска от тератогенност след експозиция на АСЕ инхибитори през първия триместър на бременността не са окончателни; независимо от това не може </w:t>
      </w:r>
      <w:r w:rsidRPr="007D6C54">
        <w:rPr>
          <w:rFonts w:eastAsia="Times New Roman" w:cs="Arial"/>
          <w:color w:val="000000"/>
          <w:lang w:eastAsia="bg-BG"/>
        </w:rPr>
        <w:lastRenderedPageBreak/>
        <w:t>да се изключи леко повишение на риска. Въпреки че няма контролирани епидемиологични данни за риска от ангиотензин II рецепторни блокери (АРБ), подобен риск може да съществува при този клас лекарства. Освен в случай че терапията с АРБ се преценява като много важна, пациентките, които плануват бременност, трябва да преминат на алтернативно антихипертензивно лечение с доказан профил на безопасност за употреба при бременност. При установяване на бременност лечението с АРБ трябва да се преустанови незабавно и при необходимост да се започне алтернативна терапия.</w:t>
      </w:r>
    </w:p>
    <w:p w14:paraId="3ED31725" w14:textId="77777777" w:rsidR="007D6C54" w:rsidRPr="007D6C54" w:rsidRDefault="007D6C54" w:rsidP="007D6C54">
      <w:pPr>
        <w:spacing w:line="240" w:lineRule="auto"/>
        <w:rPr>
          <w:rFonts w:eastAsia="Times New Roman" w:cs="Arial"/>
          <w:color w:val="000000"/>
          <w:lang w:eastAsia="bg-BG"/>
        </w:rPr>
      </w:pPr>
    </w:p>
    <w:p w14:paraId="2C089A13" w14:textId="67DA5A9D" w:rsidR="007D6C54" w:rsidRPr="007D6C54" w:rsidRDefault="007D6C54" w:rsidP="007D6C54">
      <w:pPr>
        <w:spacing w:line="240" w:lineRule="auto"/>
        <w:rPr>
          <w:rFonts w:eastAsia="Times New Roman" w:cs="Arial"/>
          <w:sz w:val="24"/>
          <w:szCs w:val="24"/>
        </w:rPr>
      </w:pPr>
      <w:r w:rsidRPr="007D6C54">
        <w:rPr>
          <w:rFonts w:eastAsia="Times New Roman" w:cs="Arial"/>
          <w:color w:val="000000"/>
          <w:lang w:eastAsia="bg-BG"/>
        </w:rPr>
        <w:t>Известно е, че експозицията на терапия с АРБ по време на втория и третия триместър на бременността причинява фетотоксичност при хора (понижена бъбречна функция, олигохидрамнион, забавена осификация на черепа) и неонатална токсичност (бъбречна недостатъчност, хипотония, хиперкалиемия) (вж. също точка 5,3).</w:t>
      </w:r>
    </w:p>
    <w:p w14:paraId="610BA03E" w14:textId="77777777" w:rsidR="007D6C54" w:rsidRPr="007D6C54" w:rsidRDefault="007D6C54" w:rsidP="007D6C54">
      <w:pPr>
        <w:spacing w:line="240" w:lineRule="auto"/>
        <w:rPr>
          <w:rFonts w:eastAsia="Times New Roman" w:cs="Arial"/>
          <w:sz w:val="24"/>
          <w:szCs w:val="24"/>
        </w:rPr>
      </w:pPr>
      <w:r w:rsidRPr="007D6C54">
        <w:rPr>
          <w:rFonts w:eastAsia="Times New Roman" w:cs="Arial"/>
          <w:color w:val="000000"/>
          <w:lang w:eastAsia="bg-BG"/>
        </w:rPr>
        <w:t>В случай на експозиция на АРБ след втория триместър на бременността се препоръчва ултразвукова проверка на бъбречната функция и черепа.</w:t>
      </w:r>
    </w:p>
    <w:p w14:paraId="014B5285" w14:textId="77777777" w:rsidR="007D6C54" w:rsidRPr="007D6C54" w:rsidRDefault="007D6C54" w:rsidP="007D6C54">
      <w:pPr>
        <w:rPr>
          <w:rFonts w:eastAsia="Times New Roman" w:cs="Arial"/>
          <w:color w:val="000000"/>
          <w:lang w:eastAsia="bg-BG"/>
        </w:rPr>
      </w:pPr>
    </w:p>
    <w:p w14:paraId="3FCBA230" w14:textId="41A97588" w:rsidR="007D6C54" w:rsidRPr="007D6C54" w:rsidRDefault="007D6C54" w:rsidP="007D6C54">
      <w:pPr>
        <w:rPr>
          <w:rFonts w:eastAsia="Times New Roman" w:cs="Arial"/>
          <w:color w:val="000000"/>
          <w:lang w:eastAsia="bg-BG"/>
        </w:rPr>
      </w:pPr>
      <w:r w:rsidRPr="007D6C54">
        <w:rPr>
          <w:rFonts w:eastAsia="Times New Roman" w:cs="Arial"/>
          <w:color w:val="000000"/>
          <w:lang w:eastAsia="bg-BG"/>
        </w:rPr>
        <w:t>Новородени, чиито майки са приемали АРБ, трябва да бъдат внимателно наблюдавани за хипотония (вж. също точки 4.3 и 4.4).</w:t>
      </w:r>
    </w:p>
    <w:p w14:paraId="1D0ECB9C" w14:textId="5BA5DF82" w:rsidR="007D6C54" w:rsidRPr="007D6C54" w:rsidRDefault="007D6C54" w:rsidP="007D6C54">
      <w:pPr>
        <w:rPr>
          <w:rFonts w:eastAsia="Times New Roman" w:cs="Arial"/>
          <w:color w:val="000000"/>
          <w:lang w:eastAsia="bg-BG"/>
        </w:rPr>
      </w:pPr>
    </w:p>
    <w:p w14:paraId="63DC9063" w14:textId="77777777" w:rsidR="007D6C54" w:rsidRPr="007D6C54" w:rsidRDefault="007D6C54" w:rsidP="007D6C54">
      <w:pPr>
        <w:spacing w:line="240" w:lineRule="auto"/>
        <w:rPr>
          <w:rFonts w:eastAsia="Times New Roman" w:cs="Arial"/>
          <w:sz w:val="24"/>
          <w:szCs w:val="24"/>
        </w:rPr>
      </w:pPr>
      <w:r w:rsidRPr="007D6C54">
        <w:rPr>
          <w:rFonts w:eastAsia="Times New Roman" w:cs="Arial"/>
          <w:color w:val="000000"/>
          <w:lang w:eastAsia="bg-BG"/>
        </w:rPr>
        <w:t>Хидрохлоротиазид Налице е ограничен опит относно употребата на хидрохлоротиазид по време на бременност, особено през първия триместър. Проучванията при животни са недостатъчни. Хидрохлоротиазид преминава през плацентата. Изхождайки от фармакологичния механизъм на действие на хидрохлоротиазид, употребата му през втория и третия триместър може да наруши фетоплацентарната перфузия и да доведе до фетални и неонатални усложнения като жълтеница, нарушения на електролитния баланс и тромбоцитопения.</w:t>
      </w:r>
    </w:p>
    <w:p w14:paraId="69C72361" w14:textId="77777777" w:rsidR="007D6C54" w:rsidRPr="007D6C54" w:rsidRDefault="007D6C54" w:rsidP="007D6C54">
      <w:pPr>
        <w:spacing w:line="240" w:lineRule="auto"/>
        <w:rPr>
          <w:rFonts w:eastAsia="Times New Roman" w:cs="Arial"/>
          <w:i/>
          <w:iCs/>
          <w:color w:val="000000"/>
          <w:u w:val="single"/>
          <w:lang w:eastAsia="bg-BG"/>
        </w:rPr>
      </w:pPr>
    </w:p>
    <w:p w14:paraId="1F9C0EDE" w14:textId="49269FA4" w:rsidR="007D6C54" w:rsidRPr="007D6C54" w:rsidRDefault="007D6C54" w:rsidP="007D6C54">
      <w:pPr>
        <w:pStyle w:val="Heading3"/>
        <w:rPr>
          <w:rFonts w:eastAsia="Times New Roman"/>
          <w:u w:val="single"/>
        </w:rPr>
      </w:pPr>
      <w:r w:rsidRPr="007D6C54">
        <w:rPr>
          <w:rFonts w:eastAsia="Times New Roman"/>
          <w:u w:val="single"/>
          <w:lang w:eastAsia="bg-BG"/>
        </w:rPr>
        <w:t>Кърмене</w:t>
      </w:r>
    </w:p>
    <w:p w14:paraId="40F31983" w14:textId="77777777" w:rsidR="007D6C54" w:rsidRPr="007D6C54" w:rsidRDefault="007D6C54" w:rsidP="007D6C54">
      <w:pPr>
        <w:spacing w:line="240" w:lineRule="auto"/>
        <w:rPr>
          <w:rFonts w:ascii="Times New Roman" w:eastAsia="Times New Roman" w:hAnsi="Times New Roman" w:cs="Times New Roman"/>
          <w:sz w:val="24"/>
          <w:szCs w:val="24"/>
        </w:rPr>
      </w:pPr>
      <w:r w:rsidRPr="007D6C54">
        <w:rPr>
          <w:rFonts w:eastAsia="Times New Roman" w:cs="Arial"/>
          <w:color w:val="000000"/>
          <w:lang w:eastAsia="bg-BG"/>
        </w:rPr>
        <w:t xml:space="preserve">Липсват данни относно употребата на валсартан по време на кърмене. Хидрохлоротиазид се екскретира в кърмата. Поради тази причина не се препоръчва прием на </w:t>
      </w:r>
      <w:r w:rsidRPr="007D6C54">
        <w:rPr>
          <w:rFonts w:eastAsia="Times New Roman" w:cs="Arial"/>
          <w:color w:val="000000"/>
          <w:lang w:val="en-US"/>
        </w:rPr>
        <w:t>Co</w:t>
      </w:r>
      <w:r w:rsidRPr="007D6C54">
        <w:rPr>
          <w:rFonts w:eastAsia="Times New Roman" w:cs="Arial"/>
          <w:color w:val="000000"/>
          <w:lang w:val="ru-RU"/>
        </w:rPr>
        <w:t>-</w:t>
      </w:r>
      <w:r w:rsidRPr="007D6C54">
        <w:rPr>
          <w:rFonts w:eastAsia="Times New Roman" w:cs="Arial"/>
          <w:color w:val="000000"/>
          <w:lang w:val="en-US"/>
        </w:rPr>
        <w:t>Diovan</w:t>
      </w:r>
      <w:r w:rsidRPr="007D6C54">
        <w:rPr>
          <w:rFonts w:eastAsia="Times New Roman" w:cs="Arial"/>
          <w:color w:val="000000"/>
          <w:lang w:val="ru-RU"/>
        </w:rPr>
        <w:t xml:space="preserve"> </w:t>
      </w:r>
      <w:r w:rsidRPr="007D6C54">
        <w:rPr>
          <w:rFonts w:eastAsia="Times New Roman" w:cs="Arial"/>
          <w:color w:val="000000"/>
          <w:lang w:eastAsia="bg-BG"/>
        </w:rPr>
        <w:t>по време на кърмене. Предпочита се алтернативно лечение с по-добре установен профил на безопасност по време на кърмене, особено при кърмене на новородено или недоносено бебе.</w:t>
      </w:r>
    </w:p>
    <w:p w14:paraId="057C7524" w14:textId="77777777" w:rsidR="007D6C54" w:rsidRPr="007D6C54" w:rsidRDefault="007D6C54" w:rsidP="007D6C54"/>
    <w:p w14:paraId="5DD7A76D" w14:textId="708AE257" w:rsidR="007122AD" w:rsidRDefault="002C50EE" w:rsidP="00936AD0">
      <w:pPr>
        <w:pStyle w:val="Heading2"/>
      </w:pPr>
      <w:r>
        <w:t>4.7. Ефекти върху способността за шофиране и работа с машини</w:t>
      </w:r>
    </w:p>
    <w:p w14:paraId="1B1A17D2" w14:textId="5310A2A3" w:rsidR="007D6C54" w:rsidRDefault="007D6C54" w:rsidP="007D6C54"/>
    <w:p w14:paraId="61B80121" w14:textId="77777777" w:rsidR="007D6C54" w:rsidRPr="007D6C54" w:rsidRDefault="007D6C54" w:rsidP="007D6C54">
      <w:pPr>
        <w:rPr>
          <w:sz w:val="24"/>
          <w:szCs w:val="24"/>
        </w:rPr>
      </w:pPr>
      <w:r w:rsidRPr="007D6C54">
        <w:rPr>
          <w:lang w:eastAsia="bg-BG"/>
        </w:rPr>
        <w:t xml:space="preserve">Не са провеждани проучвания за ефектите на </w:t>
      </w:r>
      <w:r w:rsidRPr="007D6C54">
        <w:rPr>
          <w:lang w:val="en-US"/>
        </w:rPr>
        <w:t>Co</w:t>
      </w:r>
      <w:r w:rsidRPr="007D6C54">
        <w:rPr>
          <w:lang w:val="ru-RU"/>
        </w:rPr>
        <w:t>-</w:t>
      </w:r>
      <w:r w:rsidRPr="007D6C54">
        <w:rPr>
          <w:lang w:val="en-US"/>
        </w:rPr>
        <w:t>Diovan</w:t>
      </w:r>
      <w:r w:rsidRPr="007D6C54">
        <w:rPr>
          <w:lang w:val="ru-RU"/>
        </w:rPr>
        <w:t xml:space="preserve"> </w:t>
      </w:r>
      <w:r w:rsidRPr="007D6C54">
        <w:rPr>
          <w:lang w:eastAsia="bg-BG"/>
        </w:rPr>
        <w:t>върху способността за шофиране и работа с машини. Трябва да се има предвид, че при шофиране и работа с машини е възможно понякога да настъпят замаяност или умора.</w:t>
      </w:r>
    </w:p>
    <w:p w14:paraId="403C2EC4" w14:textId="77777777" w:rsidR="007D6C54" w:rsidRPr="007D6C54" w:rsidRDefault="007D6C54" w:rsidP="007D6C54"/>
    <w:p w14:paraId="44CE30A3" w14:textId="6B103078" w:rsidR="007122AD" w:rsidRDefault="002C50EE" w:rsidP="00936AD0">
      <w:pPr>
        <w:pStyle w:val="Heading2"/>
      </w:pPr>
      <w:r>
        <w:t>4.8. Нежелани лекарствени реакции</w:t>
      </w:r>
    </w:p>
    <w:p w14:paraId="6720517F" w14:textId="5DE3502C" w:rsidR="007D6C54" w:rsidRDefault="007D6C54" w:rsidP="007D6C54"/>
    <w:p w14:paraId="410BC980"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t>Нежеланите лекарствени реакции, съобщени при клинични проучвания и лабораторни находки, настъпващи по-често при валсартан плюс хидрохлоротиазид спрямо плацебо, както и отделните съобщения по време на постмаркетинговия период, са представени по-долу по системо-органни класове. Нежеланите реакции, за които се знае, че настъпват при прилагане на отделните съставки самостоятелно, но които не са наблюдавани при клиничните проучвания, могат да възникнат в хода на лечението с валсартан/хидрохлоротиазид.</w:t>
      </w:r>
    </w:p>
    <w:p w14:paraId="0CC92874" w14:textId="77777777" w:rsidR="007D6C54" w:rsidRPr="00705EC2" w:rsidRDefault="007D6C54" w:rsidP="007D6C54">
      <w:pPr>
        <w:spacing w:line="240" w:lineRule="auto"/>
        <w:rPr>
          <w:rFonts w:eastAsia="Times New Roman" w:cs="Arial"/>
          <w:b/>
          <w:bCs/>
          <w:color w:val="000000"/>
          <w:u w:val="single"/>
          <w:lang w:eastAsia="bg-BG"/>
        </w:rPr>
      </w:pPr>
      <w:bookmarkStart w:id="1" w:name="bookmark0"/>
    </w:p>
    <w:p w14:paraId="7C3E1C06" w14:textId="7F08B9B4" w:rsidR="007D6C54" w:rsidRPr="007D6C54" w:rsidRDefault="007D6C54" w:rsidP="007D6C54">
      <w:pPr>
        <w:spacing w:line="240" w:lineRule="auto"/>
        <w:rPr>
          <w:rFonts w:eastAsia="Times New Roman" w:cs="Arial"/>
        </w:rPr>
      </w:pPr>
      <w:r w:rsidRPr="007D6C54">
        <w:rPr>
          <w:rFonts w:eastAsia="Times New Roman" w:cs="Arial"/>
          <w:b/>
          <w:bCs/>
          <w:color w:val="000000"/>
          <w:u w:val="single"/>
          <w:lang w:eastAsia="bg-BG"/>
        </w:rPr>
        <w:lastRenderedPageBreak/>
        <w:t>Нежелани лекарствени реакции</w:t>
      </w:r>
      <w:bookmarkEnd w:id="1"/>
    </w:p>
    <w:p w14:paraId="75C5FAED" w14:textId="77777777" w:rsidR="007D6C54" w:rsidRPr="007D6C54" w:rsidRDefault="007D6C54" w:rsidP="007D6C54">
      <w:pPr>
        <w:spacing w:line="240" w:lineRule="auto"/>
        <w:rPr>
          <w:rFonts w:eastAsia="Times New Roman" w:cs="Arial"/>
        </w:rPr>
      </w:pPr>
      <w:r w:rsidRPr="007D6C54">
        <w:rPr>
          <w:rFonts w:eastAsia="Times New Roman" w:cs="Arial"/>
          <w:color w:val="000000"/>
          <w:lang w:eastAsia="bg-BG"/>
        </w:rPr>
        <w:t xml:space="preserve">Нежеланите лекарствени реакции са подредени по честота, най-честите са първи, съгласно следната конвенция: много чести (≥ 1/10); чести (≥ 1/100 </w:t>
      </w:r>
      <w:r w:rsidRPr="007D6C54">
        <w:rPr>
          <w:rFonts w:eastAsia="Times New Roman" w:cs="Arial"/>
          <w:color w:val="000000"/>
          <w:lang w:val="en-US"/>
        </w:rPr>
        <w:t>to</w:t>
      </w:r>
      <w:r w:rsidRPr="007D6C54">
        <w:rPr>
          <w:rFonts w:eastAsia="Times New Roman" w:cs="Arial"/>
          <w:color w:val="000000"/>
          <w:lang w:val="ru-RU"/>
        </w:rPr>
        <w:t xml:space="preserve"> </w:t>
      </w:r>
      <w:r w:rsidRPr="007D6C54">
        <w:rPr>
          <w:rFonts w:eastAsia="Times New Roman" w:cs="Arial"/>
          <w:color w:val="000000"/>
          <w:lang w:eastAsia="bg-BG"/>
        </w:rPr>
        <w:t xml:space="preserve">&lt; 1/10); нечести (≥ 1/1 000 </w:t>
      </w:r>
      <w:r w:rsidRPr="007D6C54">
        <w:rPr>
          <w:rFonts w:eastAsia="Times New Roman" w:cs="Arial"/>
          <w:color w:val="000000"/>
          <w:lang w:val="en-US"/>
        </w:rPr>
        <w:t>to</w:t>
      </w:r>
      <w:r w:rsidRPr="007D6C54">
        <w:rPr>
          <w:rFonts w:eastAsia="Times New Roman" w:cs="Arial"/>
          <w:color w:val="000000"/>
          <w:lang w:val="ru-RU"/>
        </w:rPr>
        <w:t xml:space="preserve"> </w:t>
      </w:r>
      <w:r w:rsidRPr="007D6C54">
        <w:rPr>
          <w:rFonts w:eastAsia="Times New Roman" w:cs="Arial"/>
          <w:color w:val="000000"/>
          <w:lang w:eastAsia="bg-BG"/>
        </w:rPr>
        <w:t>&lt; 1/100); редки (≥ 1/10 000 до &lt; 1/1 000); много редки (&lt; 1/10 000); с неизвестна честота (от наличните данни не може да бъде направена оценка).</w:t>
      </w:r>
    </w:p>
    <w:p w14:paraId="500D4F0E" w14:textId="77777777" w:rsidR="007D6C54" w:rsidRPr="00705EC2" w:rsidRDefault="007D6C54" w:rsidP="007D6C54">
      <w:pPr>
        <w:spacing w:line="240" w:lineRule="auto"/>
        <w:rPr>
          <w:rFonts w:eastAsia="Times New Roman" w:cs="Arial"/>
          <w:color w:val="000000"/>
          <w:lang w:eastAsia="bg-BG"/>
        </w:rPr>
      </w:pPr>
    </w:p>
    <w:p w14:paraId="473853E7" w14:textId="1C219993" w:rsidR="007D6C54" w:rsidRPr="007D6C54" w:rsidRDefault="007D6C54" w:rsidP="007D6C54">
      <w:pPr>
        <w:spacing w:line="240" w:lineRule="auto"/>
        <w:rPr>
          <w:rFonts w:eastAsia="Times New Roman" w:cs="Arial"/>
        </w:rPr>
      </w:pPr>
      <w:r w:rsidRPr="007D6C54">
        <w:rPr>
          <w:rFonts w:eastAsia="Times New Roman" w:cs="Arial"/>
          <w:color w:val="000000"/>
          <w:lang w:eastAsia="bg-BG"/>
        </w:rPr>
        <w:t>При всяко групиране в зависимост от честотата, нежеланите лекарствени реакции се изброяват в низходящ ред по отношение на тяхната сериозност.</w:t>
      </w:r>
    </w:p>
    <w:p w14:paraId="4519D4BD" w14:textId="77777777" w:rsidR="007D6C54" w:rsidRPr="00705EC2" w:rsidRDefault="007D6C54" w:rsidP="007D6C54">
      <w:pPr>
        <w:spacing w:line="240" w:lineRule="auto"/>
        <w:rPr>
          <w:rFonts w:eastAsia="Times New Roman" w:cs="Arial"/>
          <w:color w:val="000000"/>
          <w:u w:val="single"/>
          <w:lang w:eastAsia="bg-BG"/>
        </w:rPr>
      </w:pPr>
    </w:p>
    <w:p w14:paraId="56F79DDB" w14:textId="299E9DD6" w:rsidR="007D6C54" w:rsidRPr="007D6C54" w:rsidRDefault="007D6C54" w:rsidP="007D6C54">
      <w:pPr>
        <w:spacing w:line="240" w:lineRule="auto"/>
        <w:rPr>
          <w:rFonts w:eastAsia="Times New Roman" w:cs="Arial"/>
        </w:rPr>
      </w:pPr>
      <w:r w:rsidRPr="007D6C54">
        <w:rPr>
          <w:rFonts w:eastAsia="Times New Roman" w:cs="Arial"/>
          <w:color w:val="000000"/>
          <w:u w:val="single"/>
          <w:lang w:eastAsia="bg-BG"/>
        </w:rPr>
        <w:t>Таблица 1. Честота на нежеланите лекарствени реакции при валсартан/хидрохлоротиазид</w:t>
      </w:r>
    </w:p>
    <w:p w14:paraId="120CCB55" w14:textId="77777777" w:rsidR="007D6C54" w:rsidRPr="00705EC2" w:rsidRDefault="007D6C54" w:rsidP="007D6C54">
      <w:pPr>
        <w:spacing w:line="240" w:lineRule="auto"/>
        <w:rPr>
          <w:rFonts w:eastAsia="Times New Roman" w:cs="Arial"/>
          <w:b/>
          <w:bCs/>
          <w:color w:val="000000"/>
          <w:lang w:eastAsia="bg-BG"/>
        </w:rPr>
      </w:pPr>
    </w:p>
    <w:p w14:paraId="746FCBB3" w14:textId="0B0320C5" w:rsidR="007D6C54" w:rsidRPr="007D6C54" w:rsidRDefault="007D6C54" w:rsidP="007D6C54">
      <w:pPr>
        <w:spacing w:line="240" w:lineRule="auto"/>
        <w:rPr>
          <w:rFonts w:eastAsia="Times New Roman" w:cs="Arial"/>
        </w:rPr>
      </w:pPr>
      <w:r w:rsidRPr="007D6C54">
        <w:rPr>
          <w:rFonts w:eastAsia="Times New Roman" w:cs="Arial"/>
          <w:b/>
          <w:bCs/>
          <w:color w:val="000000"/>
          <w:lang w:eastAsia="bg-BG"/>
        </w:rPr>
        <w:t>Нарушения на метаболизма и храненето</w:t>
      </w:r>
    </w:p>
    <w:p w14:paraId="7FE67681" w14:textId="34153916" w:rsidR="007D6C54" w:rsidRPr="007D6C54" w:rsidRDefault="007D6C54" w:rsidP="007D6C54">
      <w:pPr>
        <w:spacing w:line="240" w:lineRule="auto"/>
        <w:rPr>
          <w:rFonts w:eastAsia="Times New Roman" w:cs="Arial"/>
        </w:rPr>
      </w:pPr>
      <w:r w:rsidRPr="00705EC2">
        <w:rPr>
          <w:rFonts w:eastAsia="Times New Roman" w:cs="Arial"/>
          <w:b/>
          <w:bCs/>
          <w:color w:val="000000"/>
          <w:lang w:eastAsia="bg-BG"/>
        </w:rPr>
        <w:t>Нечести</w:t>
      </w:r>
      <w:r w:rsidRPr="00705EC2">
        <w:rPr>
          <w:rFonts w:eastAsia="Times New Roman" w:cs="Arial"/>
          <w:b/>
          <w:bCs/>
          <w:color w:val="000000"/>
          <w:lang w:val="en-US" w:eastAsia="bg-BG"/>
        </w:rPr>
        <w:t>:</w:t>
      </w:r>
      <w:r w:rsidRPr="00705EC2">
        <w:rPr>
          <w:rFonts w:eastAsia="Times New Roman" w:cs="Arial"/>
          <w:b/>
          <w:bCs/>
          <w:color w:val="000000"/>
          <w:lang w:eastAsia="bg-BG"/>
        </w:rPr>
        <w:t xml:space="preserve"> </w:t>
      </w:r>
      <w:r w:rsidRPr="007D6C54">
        <w:rPr>
          <w:rFonts w:eastAsia="Times New Roman" w:cs="Arial"/>
          <w:b/>
          <w:bCs/>
          <w:color w:val="000000"/>
          <w:lang w:eastAsia="bg-BG"/>
        </w:rPr>
        <w:t>Дехидратация</w:t>
      </w:r>
    </w:p>
    <w:p w14:paraId="3408D962" w14:textId="77777777" w:rsidR="007D6C54" w:rsidRPr="00705EC2" w:rsidRDefault="007D6C54" w:rsidP="007D6C54">
      <w:pPr>
        <w:spacing w:line="240" w:lineRule="auto"/>
        <w:rPr>
          <w:rFonts w:eastAsia="Times New Roman" w:cs="Arial"/>
          <w:b/>
          <w:bCs/>
          <w:color w:val="000000"/>
          <w:lang w:eastAsia="bg-BG"/>
        </w:rPr>
      </w:pPr>
    </w:p>
    <w:p w14:paraId="78AB134B" w14:textId="6858DC50" w:rsidR="007D6C54" w:rsidRPr="00705EC2" w:rsidRDefault="007D6C54" w:rsidP="007D6C54">
      <w:pPr>
        <w:spacing w:line="240" w:lineRule="auto"/>
        <w:rPr>
          <w:rFonts w:eastAsia="Times New Roman" w:cs="Arial"/>
          <w:b/>
          <w:bCs/>
          <w:color w:val="000000"/>
          <w:lang w:eastAsia="bg-BG"/>
        </w:rPr>
      </w:pPr>
      <w:r w:rsidRPr="007D6C54">
        <w:rPr>
          <w:rFonts w:eastAsia="Times New Roman" w:cs="Arial"/>
          <w:b/>
          <w:bCs/>
          <w:color w:val="000000"/>
          <w:lang w:eastAsia="bg-BG"/>
        </w:rPr>
        <w:t xml:space="preserve">Нарушения на нервната система </w:t>
      </w:r>
    </w:p>
    <w:p w14:paraId="475D2308" w14:textId="2D3BC09C" w:rsidR="007D6C54" w:rsidRPr="007D6C54" w:rsidRDefault="007D6C54" w:rsidP="007D6C54">
      <w:pPr>
        <w:spacing w:line="240" w:lineRule="auto"/>
        <w:rPr>
          <w:rFonts w:eastAsia="Times New Roman" w:cs="Arial"/>
        </w:rPr>
      </w:pPr>
      <w:r w:rsidRPr="00705EC2">
        <w:rPr>
          <w:rFonts w:eastAsia="Times New Roman" w:cs="Arial"/>
          <w:b/>
          <w:bCs/>
          <w:color w:val="000000"/>
          <w:lang w:eastAsia="bg-BG"/>
        </w:rPr>
        <w:t>Много редки</w:t>
      </w:r>
      <w:r w:rsidRPr="00705EC2">
        <w:rPr>
          <w:rFonts w:eastAsia="Times New Roman" w:cs="Arial"/>
          <w:b/>
          <w:bCs/>
          <w:color w:val="000000"/>
          <w:lang w:val="ru-RU" w:eastAsia="bg-BG"/>
        </w:rPr>
        <w:t>:</w:t>
      </w:r>
      <w:r w:rsidRPr="00705EC2">
        <w:rPr>
          <w:rFonts w:eastAsia="Times New Roman" w:cs="Arial"/>
          <w:b/>
          <w:bCs/>
          <w:color w:val="000000"/>
          <w:lang w:eastAsia="bg-BG"/>
        </w:rPr>
        <w:t xml:space="preserve"> </w:t>
      </w:r>
      <w:r w:rsidRPr="007D6C54">
        <w:rPr>
          <w:rFonts w:eastAsia="Times New Roman" w:cs="Arial"/>
          <w:b/>
          <w:bCs/>
          <w:color w:val="000000"/>
          <w:lang w:eastAsia="bg-BG"/>
        </w:rPr>
        <w:t>Замаяност</w:t>
      </w:r>
    </w:p>
    <w:p w14:paraId="5B15C099" w14:textId="707270CA" w:rsidR="007D6C54" w:rsidRPr="007D6C54" w:rsidRDefault="007D6C54" w:rsidP="007D6C54">
      <w:pPr>
        <w:spacing w:line="240" w:lineRule="auto"/>
        <w:rPr>
          <w:rFonts w:eastAsia="Times New Roman" w:cs="Arial"/>
        </w:rPr>
      </w:pPr>
      <w:r w:rsidRPr="00705EC2">
        <w:rPr>
          <w:rFonts w:eastAsia="Times New Roman" w:cs="Arial"/>
          <w:b/>
          <w:bCs/>
          <w:color w:val="000000"/>
          <w:lang w:eastAsia="bg-BG"/>
        </w:rPr>
        <w:t>Нечести</w:t>
      </w:r>
      <w:r w:rsidR="00705EC2" w:rsidRPr="00705EC2">
        <w:rPr>
          <w:rFonts w:eastAsia="Times New Roman" w:cs="Arial"/>
          <w:b/>
          <w:bCs/>
          <w:color w:val="000000"/>
          <w:lang w:val="ru-RU" w:eastAsia="bg-BG"/>
        </w:rPr>
        <w:t>:</w:t>
      </w:r>
      <w:r w:rsidRPr="00705EC2">
        <w:rPr>
          <w:rFonts w:eastAsia="Times New Roman" w:cs="Arial"/>
          <w:b/>
          <w:bCs/>
          <w:color w:val="000000"/>
          <w:lang w:eastAsia="bg-BG"/>
        </w:rPr>
        <w:t xml:space="preserve"> </w:t>
      </w:r>
      <w:r w:rsidRPr="007D6C54">
        <w:rPr>
          <w:rFonts w:eastAsia="Times New Roman" w:cs="Arial"/>
          <w:b/>
          <w:bCs/>
          <w:color w:val="000000"/>
          <w:lang w:eastAsia="bg-BG"/>
        </w:rPr>
        <w:t>Парестезии</w:t>
      </w:r>
    </w:p>
    <w:p w14:paraId="6C8A8D7D" w14:textId="3A288FDB" w:rsidR="007D6C54" w:rsidRPr="007D6C54" w:rsidRDefault="007D6C54" w:rsidP="007D6C54">
      <w:pPr>
        <w:spacing w:line="240" w:lineRule="auto"/>
        <w:rPr>
          <w:rFonts w:eastAsia="Times New Roman" w:cs="Arial"/>
        </w:rPr>
      </w:pPr>
      <w:r w:rsidRPr="007D6C54">
        <w:rPr>
          <w:rFonts w:eastAsia="Times New Roman" w:cs="Arial"/>
          <w:b/>
          <w:bCs/>
          <w:color w:val="000000"/>
          <w:lang w:eastAsia="bg-BG"/>
        </w:rPr>
        <w:t>С неизвестна честота</w:t>
      </w:r>
      <w:r w:rsidR="00705EC2" w:rsidRPr="00705EC2">
        <w:rPr>
          <w:rFonts w:eastAsia="Times New Roman" w:cs="Arial"/>
          <w:b/>
          <w:bCs/>
          <w:color w:val="000000"/>
          <w:lang w:val="ru-RU" w:eastAsia="bg-BG"/>
        </w:rPr>
        <w:t>:</w:t>
      </w:r>
      <w:r w:rsidR="00705EC2" w:rsidRPr="00705EC2">
        <w:rPr>
          <w:rFonts w:eastAsia="Times New Roman" w:cs="Arial"/>
          <w:b/>
          <w:bCs/>
          <w:color w:val="000000"/>
          <w:lang w:eastAsia="bg-BG"/>
        </w:rPr>
        <w:t xml:space="preserve"> </w:t>
      </w:r>
      <w:r w:rsidRPr="007D6C54">
        <w:rPr>
          <w:rFonts w:eastAsia="Times New Roman" w:cs="Arial"/>
          <w:b/>
          <w:bCs/>
          <w:color w:val="000000"/>
          <w:lang w:eastAsia="bg-BG"/>
        </w:rPr>
        <w:t>Синкоп</w:t>
      </w:r>
    </w:p>
    <w:p w14:paraId="5308520A" w14:textId="77777777" w:rsidR="00705EC2" w:rsidRPr="00705EC2" w:rsidRDefault="00705EC2" w:rsidP="007D6C54">
      <w:pPr>
        <w:spacing w:line="240" w:lineRule="auto"/>
        <w:rPr>
          <w:rFonts w:eastAsia="Times New Roman" w:cs="Arial"/>
          <w:b/>
          <w:bCs/>
          <w:color w:val="000000"/>
          <w:lang w:eastAsia="bg-BG"/>
        </w:rPr>
      </w:pPr>
    </w:p>
    <w:p w14:paraId="5B3F000B" w14:textId="1E4EE087" w:rsidR="007D6C54" w:rsidRPr="00705EC2" w:rsidRDefault="007D6C54" w:rsidP="007D6C54">
      <w:pPr>
        <w:spacing w:line="240" w:lineRule="auto"/>
        <w:rPr>
          <w:rFonts w:eastAsia="Times New Roman" w:cs="Arial"/>
          <w:b/>
          <w:bCs/>
          <w:color w:val="000000"/>
          <w:lang w:eastAsia="bg-BG"/>
        </w:rPr>
      </w:pPr>
      <w:r w:rsidRPr="00705EC2">
        <w:rPr>
          <w:rFonts w:eastAsia="Times New Roman" w:cs="Arial"/>
          <w:b/>
          <w:bCs/>
          <w:color w:val="000000"/>
          <w:lang w:eastAsia="bg-BG"/>
        </w:rPr>
        <w:t xml:space="preserve">Нарушения на очите </w:t>
      </w:r>
    </w:p>
    <w:p w14:paraId="1A62E16F" w14:textId="41238885" w:rsidR="007D6C54" w:rsidRPr="007D6C54" w:rsidRDefault="007D6C54" w:rsidP="007D6C54">
      <w:pPr>
        <w:spacing w:line="240" w:lineRule="auto"/>
        <w:rPr>
          <w:rFonts w:eastAsia="Times New Roman" w:cs="Arial"/>
        </w:rPr>
      </w:pPr>
      <w:r w:rsidRPr="00705EC2">
        <w:rPr>
          <w:rFonts w:eastAsia="Times New Roman" w:cs="Arial"/>
          <w:b/>
          <w:bCs/>
          <w:color w:val="000000"/>
          <w:lang w:eastAsia="bg-BG"/>
        </w:rPr>
        <w:t>Нечести</w:t>
      </w:r>
      <w:r w:rsidR="00705EC2" w:rsidRPr="00705EC2">
        <w:rPr>
          <w:rFonts w:eastAsia="Times New Roman" w:cs="Arial"/>
          <w:b/>
          <w:bCs/>
          <w:color w:val="000000"/>
          <w:lang w:val="ru-RU" w:eastAsia="bg-BG"/>
        </w:rPr>
        <w:t>:</w:t>
      </w:r>
      <w:r w:rsidRPr="00705EC2">
        <w:rPr>
          <w:rFonts w:eastAsia="Times New Roman" w:cs="Arial"/>
          <w:b/>
          <w:bCs/>
          <w:color w:val="000000"/>
          <w:lang w:eastAsia="bg-BG"/>
        </w:rPr>
        <w:t xml:space="preserve"> </w:t>
      </w:r>
      <w:r w:rsidRPr="007D6C54">
        <w:rPr>
          <w:rFonts w:eastAsia="Times New Roman" w:cs="Arial"/>
          <w:b/>
          <w:bCs/>
          <w:color w:val="000000"/>
          <w:lang w:eastAsia="bg-BG"/>
        </w:rPr>
        <w:t>Замъгляване на зрението</w:t>
      </w:r>
    </w:p>
    <w:p w14:paraId="28534A1C" w14:textId="77777777" w:rsidR="00705EC2" w:rsidRPr="00705EC2" w:rsidRDefault="00705EC2" w:rsidP="007D6C54">
      <w:pPr>
        <w:spacing w:line="240" w:lineRule="auto"/>
        <w:rPr>
          <w:rFonts w:eastAsia="Times New Roman" w:cs="Arial"/>
          <w:b/>
          <w:bCs/>
          <w:color w:val="000000"/>
          <w:lang w:eastAsia="bg-BG"/>
        </w:rPr>
      </w:pPr>
    </w:p>
    <w:p w14:paraId="3E3AC0FC" w14:textId="4E5830C1" w:rsidR="007D6C54" w:rsidRPr="00705EC2" w:rsidRDefault="007D6C54" w:rsidP="007D6C54">
      <w:pPr>
        <w:spacing w:line="240" w:lineRule="auto"/>
        <w:rPr>
          <w:rFonts w:eastAsia="Times New Roman" w:cs="Arial"/>
          <w:b/>
          <w:bCs/>
          <w:color w:val="000000"/>
          <w:lang w:eastAsia="bg-BG"/>
        </w:rPr>
      </w:pPr>
      <w:r w:rsidRPr="007D6C54">
        <w:rPr>
          <w:rFonts w:eastAsia="Times New Roman" w:cs="Arial"/>
          <w:b/>
          <w:bCs/>
          <w:color w:val="000000"/>
          <w:lang w:eastAsia="bg-BG"/>
        </w:rPr>
        <w:t xml:space="preserve">Нарушения на ухото и лабиринта </w:t>
      </w:r>
    </w:p>
    <w:p w14:paraId="5E6F1DE3" w14:textId="0B39267E" w:rsidR="007D6C54" w:rsidRPr="007D6C54" w:rsidRDefault="007D6C54" w:rsidP="007D6C54">
      <w:pPr>
        <w:spacing w:line="240" w:lineRule="auto"/>
        <w:rPr>
          <w:rFonts w:eastAsia="Times New Roman" w:cs="Arial"/>
        </w:rPr>
      </w:pPr>
      <w:r w:rsidRPr="00705EC2">
        <w:rPr>
          <w:rFonts w:eastAsia="Times New Roman" w:cs="Arial"/>
          <w:b/>
          <w:bCs/>
          <w:color w:val="000000"/>
          <w:lang w:eastAsia="bg-BG"/>
        </w:rPr>
        <w:t>Нечести</w:t>
      </w:r>
      <w:r w:rsidR="00705EC2" w:rsidRPr="00705EC2">
        <w:rPr>
          <w:rFonts w:eastAsia="Times New Roman" w:cs="Arial"/>
          <w:b/>
          <w:bCs/>
          <w:color w:val="000000"/>
          <w:lang w:val="ru-RU" w:eastAsia="bg-BG"/>
        </w:rPr>
        <w:t>:</w:t>
      </w:r>
      <w:r w:rsidRPr="00705EC2">
        <w:rPr>
          <w:rFonts w:eastAsia="Times New Roman" w:cs="Arial"/>
          <w:b/>
          <w:bCs/>
          <w:color w:val="000000"/>
          <w:lang w:eastAsia="bg-BG"/>
        </w:rPr>
        <w:t xml:space="preserve"> </w:t>
      </w:r>
      <w:r w:rsidRPr="007D6C54">
        <w:rPr>
          <w:rFonts w:eastAsia="Times New Roman" w:cs="Arial"/>
          <w:b/>
          <w:bCs/>
          <w:color w:val="000000"/>
          <w:lang w:eastAsia="bg-BG"/>
        </w:rPr>
        <w:t>Тинитус</w:t>
      </w:r>
    </w:p>
    <w:p w14:paraId="236E023A" w14:textId="77777777" w:rsidR="00705EC2" w:rsidRPr="00705EC2" w:rsidRDefault="00705EC2" w:rsidP="007D6C54">
      <w:pPr>
        <w:spacing w:line="240" w:lineRule="auto"/>
        <w:rPr>
          <w:rFonts w:eastAsia="Times New Roman" w:cs="Arial"/>
          <w:b/>
          <w:bCs/>
          <w:color w:val="000000"/>
          <w:lang w:eastAsia="bg-BG"/>
        </w:rPr>
      </w:pPr>
    </w:p>
    <w:p w14:paraId="2A0A899B" w14:textId="02A58863" w:rsidR="007D6C54" w:rsidRPr="00705EC2" w:rsidRDefault="007D6C54" w:rsidP="007D6C54">
      <w:pPr>
        <w:spacing w:line="240" w:lineRule="auto"/>
        <w:rPr>
          <w:rFonts w:eastAsia="Times New Roman" w:cs="Arial"/>
          <w:b/>
          <w:bCs/>
          <w:color w:val="000000"/>
          <w:lang w:eastAsia="bg-BG"/>
        </w:rPr>
      </w:pPr>
      <w:r w:rsidRPr="007D6C54">
        <w:rPr>
          <w:rFonts w:eastAsia="Times New Roman" w:cs="Arial"/>
          <w:b/>
          <w:bCs/>
          <w:color w:val="000000"/>
          <w:lang w:eastAsia="bg-BG"/>
        </w:rPr>
        <w:t xml:space="preserve">Съдови нарушения </w:t>
      </w:r>
    </w:p>
    <w:p w14:paraId="67DA8101" w14:textId="2A8670E3" w:rsidR="007D6C54" w:rsidRPr="007D6C54" w:rsidRDefault="007D6C54" w:rsidP="007D6C54">
      <w:pPr>
        <w:spacing w:line="240" w:lineRule="auto"/>
        <w:rPr>
          <w:rFonts w:eastAsia="Times New Roman" w:cs="Arial"/>
        </w:rPr>
      </w:pPr>
      <w:r w:rsidRPr="00705EC2">
        <w:rPr>
          <w:rFonts w:eastAsia="Times New Roman" w:cs="Arial"/>
          <w:b/>
          <w:bCs/>
          <w:color w:val="000000"/>
          <w:lang w:eastAsia="bg-BG"/>
        </w:rPr>
        <w:t>Нечести</w:t>
      </w:r>
      <w:r w:rsidR="00705EC2" w:rsidRPr="00705EC2">
        <w:rPr>
          <w:rFonts w:eastAsia="Times New Roman" w:cs="Arial"/>
          <w:b/>
          <w:bCs/>
          <w:color w:val="000000"/>
          <w:lang w:val="en-US" w:eastAsia="bg-BG"/>
        </w:rPr>
        <w:t>:</w:t>
      </w:r>
      <w:r w:rsidRPr="00705EC2">
        <w:rPr>
          <w:rFonts w:eastAsia="Times New Roman" w:cs="Arial"/>
          <w:b/>
          <w:bCs/>
          <w:color w:val="000000"/>
          <w:lang w:eastAsia="bg-BG"/>
        </w:rPr>
        <w:t xml:space="preserve"> </w:t>
      </w:r>
      <w:r w:rsidRPr="007D6C54">
        <w:rPr>
          <w:rFonts w:eastAsia="Times New Roman" w:cs="Arial"/>
          <w:b/>
          <w:bCs/>
          <w:color w:val="000000"/>
          <w:lang w:eastAsia="bg-BG"/>
        </w:rPr>
        <w:t>Хипотония</w:t>
      </w:r>
    </w:p>
    <w:p w14:paraId="167AD52A" w14:textId="77777777" w:rsidR="00705EC2" w:rsidRPr="00705EC2" w:rsidRDefault="00705EC2" w:rsidP="007D6C54">
      <w:pPr>
        <w:spacing w:line="240" w:lineRule="auto"/>
        <w:rPr>
          <w:rFonts w:eastAsia="Times New Roman" w:cs="Arial"/>
          <w:b/>
          <w:bCs/>
          <w:color w:val="000000"/>
          <w:lang w:eastAsia="bg-BG"/>
        </w:rPr>
      </w:pPr>
    </w:p>
    <w:p w14:paraId="3F5414A1" w14:textId="01402FEA" w:rsidR="007D6C54" w:rsidRPr="00705EC2" w:rsidRDefault="007D6C54" w:rsidP="007D6C54">
      <w:pPr>
        <w:spacing w:line="240" w:lineRule="auto"/>
        <w:rPr>
          <w:rFonts w:eastAsia="Times New Roman" w:cs="Arial"/>
          <w:b/>
          <w:bCs/>
          <w:color w:val="000000"/>
          <w:lang w:eastAsia="bg-BG"/>
        </w:rPr>
      </w:pPr>
      <w:r w:rsidRPr="007D6C54">
        <w:rPr>
          <w:rFonts w:eastAsia="Times New Roman" w:cs="Arial"/>
          <w:b/>
          <w:bCs/>
          <w:color w:val="000000"/>
          <w:lang w:eastAsia="bg-BG"/>
        </w:rPr>
        <w:t xml:space="preserve">Респираторни, гръдни и </w:t>
      </w:r>
      <w:r w:rsidRPr="00705EC2">
        <w:rPr>
          <w:rFonts w:eastAsia="Times New Roman" w:cs="Arial"/>
          <w:b/>
          <w:bCs/>
          <w:color w:val="000000"/>
          <w:lang w:eastAsia="bg-BG"/>
        </w:rPr>
        <w:t xml:space="preserve">медиастинални нарушения </w:t>
      </w:r>
    </w:p>
    <w:p w14:paraId="4493E0A6" w14:textId="015065BC" w:rsidR="007D6C54" w:rsidRPr="007D6C54" w:rsidRDefault="007D6C54" w:rsidP="007D6C54">
      <w:pPr>
        <w:spacing w:line="240" w:lineRule="auto"/>
        <w:rPr>
          <w:rFonts w:eastAsia="Times New Roman" w:cs="Arial"/>
        </w:rPr>
      </w:pPr>
      <w:r w:rsidRPr="00705EC2">
        <w:rPr>
          <w:rFonts w:eastAsia="Times New Roman" w:cs="Arial"/>
          <w:b/>
          <w:bCs/>
          <w:color w:val="000000"/>
          <w:lang w:eastAsia="bg-BG"/>
        </w:rPr>
        <w:t>Нечести</w:t>
      </w:r>
      <w:r w:rsidR="00705EC2" w:rsidRPr="00705EC2">
        <w:rPr>
          <w:rFonts w:eastAsia="Times New Roman" w:cs="Arial"/>
          <w:b/>
          <w:bCs/>
          <w:color w:val="000000"/>
          <w:lang w:val="ru-RU" w:eastAsia="bg-BG"/>
        </w:rPr>
        <w:t>:</w:t>
      </w:r>
      <w:r w:rsidRPr="00705EC2">
        <w:rPr>
          <w:rFonts w:eastAsia="Times New Roman" w:cs="Arial"/>
          <w:b/>
          <w:bCs/>
          <w:color w:val="000000"/>
          <w:lang w:eastAsia="bg-BG"/>
        </w:rPr>
        <w:t xml:space="preserve"> </w:t>
      </w:r>
      <w:r w:rsidRPr="007D6C54">
        <w:rPr>
          <w:rFonts w:eastAsia="Times New Roman" w:cs="Arial"/>
          <w:b/>
          <w:bCs/>
          <w:color w:val="000000"/>
          <w:lang w:eastAsia="bg-BG"/>
        </w:rPr>
        <w:t>Кашлица</w:t>
      </w:r>
    </w:p>
    <w:p w14:paraId="74879C6C" w14:textId="1A943F55" w:rsidR="007D6C54" w:rsidRPr="00705EC2" w:rsidRDefault="007D6C54" w:rsidP="007D6C54">
      <w:pPr>
        <w:rPr>
          <w:rFonts w:eastAsia="Times New Roman" w:cs="Arial"/>
          <w:b/>
          <w:bCs/>
          <w:color w:val="000000"/>
          <w:lang w:eastAsia="bg-BG"/>
        </w:rPr>
      </w:pPr>
      <w:r w:rsidRPr="00705EC2">
        <w:rPr>
          <w:rFonts w:eastAsia="Times New Roman" w:cs="Arial"/>
          <w:b/>
          <w:bCs/>
          <w:color w:val="000000"/>
          <w:lang w:eastAsia="bg-BG"/>
        </w:rPr>
        <w:t>С неизвестна честота</w:t>
      </w:r>
      <w:r w:rsidR="00705EC2" w:rsidRPr="00705EC2">
        <w:rPr>
          <w:rFonts w:eastAsia="Times New Roman" w:cs="Arial"/>
          <w:b/>
          <w:bCs/>
          <w:color w:val="000000"/>
          <w:lang w:val="ru-RU" w:eastAsia="bg-BG"/>
        </w:rPr>
        <w:t>:</w:t>
      </w:r>
      <w:r w:rsidR="00705EC2" w:rsidRPr="00705EC2">
        <w:rPr>
          <w:rFonts w:eastAsia="Times New Roman" w:cs="Arial"/>
          <w:b/>
          <w:bCs/>
          <w:color w:val="000000"/>
          <w:lang w:eastAsia="bg-BG"/>
        </w:rPr>
        <w:t xml:space="preserve"> </w:t>
      </w:r>
      <w:r w:rsidRPr="00705EC2">
        <w:rPr>
          <w:rFonts w:eastAsia="Times New Roman" w:cs="Arial"/>
          <w:b/>
          <w:bCs/>
          <w:color w:val="000000"/>
          <w:lang w:eastAsia="bg-BG"/>
        </w:rPr>
        <w:t>Некардиогенен белодробен оток</w:t>
      </w:r>
    </w:p>
    <w:p w14:paraId="7132AB9C" w14:textId="77777777" w:rsidR="00705EC2" w:rsidRPr="00705EC2" w:rsidRDefault="00705EC2" w:rsidP="00705EC2">
      <w:pPr>
        <w:spacing w:line="240" w:lineRule="auto"/>
        <w:rPr>
          <w:rFonts w:eastAsia="Times New Roman" w:cs="Arial"/>
          <w:b/>
          <w:bCs/>
          <w:color w:val="000000"/>
          <w:lang w:eastAsia="bg-BG"/>
        </w:rPr>
      </w:pPr>
    </w:p>
    <w:p w14:paraId="2087CA08" w14:textId="412CDD4D" w:rsidR="00705EC2" w:rsidRPr="00705EC2" w:rsidRDefault="00705EC2" w:rsidP="00705EC2">
      <w:pPr>
        <w:spacing w:line="240" w:lineRule="auto"/>
        <w:rPr>
          <w:rFonts w:eastAsia="Times New Roman" w:cs="Arial"/>
        </w:rPr>
      </w:pPr>
      <w:r w:rsidRPr="00705EC2">
        <w:rPr>
          <w:rFonts w:eastAsia="Times New Roman" w:cs="Arial"/>
          <w:b/>
          <w:bCs/>
          <w:color w:val="000000"/>
          <w:lang w:eastAsia="bg-BG"/>
        </w:rPr>
        <w:t>Стомашно-чревни нарушения</w:t>
      </w:r>
    </w:p>
    <w:p w14:paraId="145E56EC" w14:textId="62BA7263" w:rsidR="00705EC2" w:rsidRPr="00705EC2" w:rsidRDefault="00705EC2" w:rsidP="00705EC2">
      <w:pPr>
        <w:spacing w:line="240" w:lineRule="auto"/>
        <w:rPr>
          <w:rFonts w:eastAsia="Times New Roman" w:cs="Arial"/>
        </w:rPr>
      </w:pPr>
      <w:r w:rsidRPr="00705EC2">
        <w:rPr>
          <w:rFonts w:eastAsia="Times New Roman" w:cs="Arial"/>
          <w:b/>
          <w:bCs/>
          <w:color w:val="000000"/>
          <w:lang w:eastAsia="bg-BG"/>
        </w:rPr>
        <w:t>Много редки</w:t>
      </w:r>
      <w:r w:rsidRPr="00705EC2">
        <w:rPr>
          <w:rFonts w:eastAsia="Times New Roman" w:cs="Arial"/>
          <w:b/>
          <w:bCs/>
          <w:color w:val="000000"/>
          <w:lang w:val="ru-RU" w:eastAsia="bg-BG"/>
        </w:rPr>
        <w:t>:</w:t>
      </w:r>
      <w:r w:rsidRPr="00705EC2">
        <w:rPr>
          <w:rFonts w:eastAsia="Times New Roman" w:cs="Arial"/>
          <w:b/>
          <w:bCs/>
          <w:color w:val="000000"/>
          <w:lang w:eastAsia="bg-BG"/>
        </w:rPr>
        <w:t xml:space="preserve"> Диария</w:t>
      </w:r>
    </w:p>
    <w:p w14:paraId="5FCE0088" w14:textId="77777777" w:rsidR="00705EC2" w:rsidRPr="00705EC2" w:rsidRDefault="00705EC2" w:rsidP="00705EC2">
      <w:pPr>
        <w:spacing w:line="240" w:lineRule="auto"/>
        <w:rPr>
          <w:rFonts w:eastAsia="Times New Roman" w:cs="Arial"/>
          <w:b/>
          <w:bCs/>
          <w:color w:val="000000"/>
          <w:lang w:eastAsia="bg-BG"/>
        </w:rPr>
      </w:pPr>
    </w:p>
    <w:p w14:paraId="02395030" w14:textId="7652C149" w:rsidR="00705EC2" w:rsidRPr="00705EC2" w:rsidRDefault="00705EC2" w:rsidP="00705EC2">
      <w:pPr>
        <w:spacing w:line="240" w:lineRule="auto"/>
        <w:rPr>
          <w:rFonts w:eastAsia="Times New Roman" w:cs="Arial"/>
        </w:rPr>
      </w:pPr>
      <w:r w:rsidRPr="00705EC2">
        <w:rPr>
          <w:rFonts w:eastAsia="Times New Roman" w:cs="Arial"/>
          <w:b/>
          <w:bCs/>
          <w:color w:val="000000"/>
          <w:lang w:eastAsia="bg-BG"/>
        </w:rPr>
        <w:t>Нарушения на мускулно-скелетната система и съединителната тъкан</w:t>
      </w:r>
    </w:p>
    <w:p w14:paraId="6BC5FA9B" w14:textId="6D79D7A5" w:rsidR="00705EC2" w:rsidRPr="00705EC2" w:rsidRDefault="00705EC2" w:rsidP="00705EC2">
      <w:pPr>
        <w:spacing w:line="240" w:lineRule="auto"/>
        <w:rPr>
          <w:rFonts w:eastAsia="Times New Roman" w:cs="Arial"/>
        </w:rPr>
      </w:pPr>
      <w:r w:rsidRPr="00705EC2">
        <w:rPr>
          <w:rFonts w:eastAsia="Times New Roman" w:cs="Arial"/>
          <w:b/>
          <w:bCs/>
          <w:color w:val="000000"/>
          <w:lang w:eastAsia="bg-BG"/>
        </w:rPr>
        <w:t>Нечести</w:t>
      </w:r>
      <w:r w:rsidRPr="00705EC2">
        <w:rPr>
          <w:rFonts w:eastAsia="Times New Roman" w:cs="Arial"/>
          <w:b/>
          <w:bCs/>
          <w:color w:val="000000"/>
          <w:lang w:val="ru-RU" w:eastAsia="bg-BG"/>
        </w:rPr>
        <w:t xml:space="preserve">: </w:t>
      </w:r>
      <w:r w:rsidRPr="00705EC2">
        <w:rPr>
          <w:rFonts w:eastAsia="Times New Roman" w:cs="Arial"/>
          <w:b/>
          <w:bCs/>
          <w:color w:val="000000"/>
          <w:lang w:eastAsia="bg-BG"/>
        </w:rPr>
        <w:t>Миалгия</w:t>
      </w:r>
    </w:p>
    <w:p w14:paraId="252BFCDB" w14:textId="77777777" w:rsidR="00705EC2" w:rsidRPr="00705EC2" w:rsidRDefault="00705EC2" w:rsidP="00705EC2">
      <w:pPr>
        <w:spacing w:line="240" w:lineRule="auto"/>
        <w:rPr>
          <w:rFonts w:eastAsia="Times New Roman" w:cs="Arial"/>
        </w:rPr>
      </w:pPr>
      <w:r w:rsidRPr="00705EC2">
        <w:rPr>
          <w:rFonts w:eastAsia="Times New Roman" w:cs="Arial"/>
          <w:b/>
          <w:bCs/>
          <w:color w:val="000000"/>
          <w:lang w:eastAsia="bg-BG"/>
        </w:rPr>
        <w:t>Много редки</w:t>
      </w:r>
      <w:r w:rsidRPr="00705EC2">
        <w:rPr>
          <w:rFonts w:eastAsia="Times New Roman" w:cs="Arial"/>
          <w:b/>
          <w:bCs/>
          <w:color w:val="000000"/>
          <w:lang w:eastAsia="bg-BG"/>
        </w:rPr>
        <w:tab/>
        <w:t>Артралгия</w:t>
      </w:r>
    </w:p>
    <w:p w14:paraId="385FFB3E" w14:textId="77777777" w:rsidR="00705EC2" w:rsidRPr="00705EC2" w:rsidRDefault="00705EC2" w:rsidP="00705EC2">
      <w:pPr>
        <w:spacing w:line="240" w:lineRule="auto"/>
        <w:rPr>
          <w:rFonts w:eastAsia="Times New Roman" w:cs="Arial"/>
          <w:b/>
          <w:bCs/>
          <w:color w:val="000000"/>
          <w:lang w:eastAsia="bg-BG"/>
        </w:rPr>
      </w:pPr>
    </w:p>
    <w:p w14:paraId="2390215F" w14:textId="7CF75AB6" w:rsidR="00705EC2" w:rsidRPr="00705EC2" w:rsidRDefault="00705EC2" w:rsidP="00705EC2">
      <w:pPr>
        <w:spacing w:line="240" w:lineRule="auto"/>
        <w:rPr>
          <w:rFonts w:eastAsia="Times New Roman" w:cs="Arial"/>
        </w:rPr>
      </w:pPr>
      <w:r w:rsidRPr="00705EC2">
        <w:rPr>
          <w:rFonts w:eastAsia="Times New Roman" w:cs="Arial"/>
          <w:b/>
          <w:bCs/>
          <w:color w:val="000000"/>
          <w:lang w:eastAsia="bg-BG"/>
        </w:rPr>
        <w:t>Нарушения на бъбреците и пикочните пътища</w:t>
      </w:r>
    </w:p>
    <w:p w14:paraId="1F70F0BC" w14:textId="77777777" w:rsidR="00705EC2" w:rsidRPr="00705EC2" w:rsidRDefault="00705EC2" w:rsidP="00705EC2">
      <w:pPr>
        <w:spacing w:line="240" w:lineRule="auto"/>
        <w:rPr>
          <w:rFonts w:eastAsia="Times New Roman" w:cs="Arial"/>
          <w:b/>
          <w:bCs/>
          <w:color w:val="000000"/>
          <w:lang w:eastAsia="bg-BG"/>
        </w:rPr>
      </w:pPr>
      <w:r w:rsidRPr="00705EC2">
        <w:rPr>
          <w:rFonts w:eastAsia="Times New Roman" w:cs="Arial"/>
          <w:b/>
          <w:bCs/>
          <w:color w:val="000000"/>
          <w:lang w:eastAsia="bg-BG"/>
        </w:rPr>
        <w:t>С неизвестна честота</w:t>
      </w:r>
      <w:r w:rsidRPr="00705EC2">
        <w:rPr>
          <w:rFonts w:eastAsia="Times New Roman" w:cs="Arial"/>
          <w:b/>
          <w:bCs/>
          <w:color w:val="000000"/>
          <w:lang w:eastAsia="bg-BG"/>
        </w:rPr>
        <w:tab/>
      </w:r>
    </w:p>
    <w:p w14:paraId="2FF07771" w14:textId="77777777" w:rsidR="00705EC2" w:rsidRPr="00705EC2" w:rsidRDefault="00705EC2" w:rsidP="00705EC2">
      <w:pPr>
        <w:spacing w:line="240" w:lineRule="auto"/>
        <w:rPr>
          <w:rFonts w:eastAsia="Times New Roman" w:cs="Arial"/>
          <w:b/>
          <w:bCs/>
          <w:color w:val="000000"/>
          <w:lang w:eastAsia="bg-BG"/>
        </w:rPr>
      </w:pPr>
    </w:p>
    <w:p w14:paraId="6B5CFBBF" w14:textId="4AD030E4" w:rsidR="00705EC2" w:rsidRPr="00705EC2" w:rsidRDefault="00705EC2" w:rsidP="00705EC2">
      <w:pPr>
        <w:spacing w:line="240" w:lineRule="auto"/>
        <w:rPr>
          <w:rFonts w:eastAsia="Times New Roman" w:cs="Arial"/>
        </w:rPr>
      </w:pPr>
      <w:r w:rsidRPr="00705EC2">
        <w:rPr>
          <w:rFonts w:eastAsia="Times New Roman" w:cs="Arial"/>
          <w:b/>
          <w:bCs/>
          <w:color w:val="000000"/>
          <w:lang w:eastAsia="bg-BG"/>
        </w:rPr>
        <w:t>Нарушена бъбречна функция</w:t>
      </w:r>
    </w:p>
    <w:p w14:paraId="5284B417" w14:textId="77777777" w:rsidR="00705EC2" w:rsidRPr="00705EC2" w:rsidRDefault="00705EC2" w:rsidP="00705EC2">
      <w:pPr>
        <w:spacing w:line="240" w:lineRule="auto"/>
        <w:rPr>
          <w:rFonts w:eastAsia="Times New Roman" w:cs="Arial"/>
          <w:b/>
          <w:bCs/>
          <w:color w:val="000000"/>
          <w:lang w:eastAsia="bg-BG"/>
        </w:rPr>
      </w:pPr>
    </w:p>
    <w:p w14:paraId="6932BE1A" w14:textId="3722F102" w:rsidR="00705EC2" w:rsidRPr="00705EC2" w:rsidRDefault="00705EC2" w:rsidP="00705EC2">
      <w:pPr>
        <w:spacing w:line="240" w:lineRule="auto"/>
        <w:rPr>
          <w:rFonts w:eastAsia="Times New Roman" w:cs="Arial"/>
        </w:rPr>
      </w:pPr>
      <w:r w:rsidRPr="00705EC2">
        <w:rPr>
          <w:rFonts w:eastAsia="Times New Roman" w:cs="Arial"/>
          <w:b/>
          <w:bCs/>
          <w:color w:val="000000"/>
          <w:lang w:eastAsia="bg-BG"/>
        </w:rPr>
        <w:t>Общи нарушения и ефекти на мястото на приложение</w:t>
      </w:r>
    </w:p>
    <w:p w14:paraId="5AB3E50D" w14:textId="63F022A8" w:rsidR="00705EC2" w:rsidRPr="00705EC2" w:rsidRDefault="00705EC2" w:rsidP="00705EC2">
      <w:pPr>
        <w:spacing w:line="240" w:lineRule="auto"/>
        <w:rPr>
          <w:rFonts w:eastAsia="Times New Roman" w:cs="Arial"/>
        </w:rPr>
      </w:pPr>
      <w:r w:rsidRPr="00705EC2">
        <w:rPr>
          <w:rFonts w:eastAsia="Times New Roman" w:cs="Arial"/>
          <w:b/>
          <w:bCs/>
          <w:color w:val="000000"/>
          <w:lang w:eastAsia="bg-BG"/>
        </w:rPr>
        <w:t>Нечести</w:t>
      </w:r>
      <w:r w:rsidRPr="00705EC2">
        <w:rPr>
          <w:rFonts w:eastAsia="Times New Roman" w:cs="Arial"/>
          <w:b/>
          <w:bCs/>
          <w:color w:val="000000"/>
          <w:lang w:val="en-US" w:eastAsia="bg-BG"/>
        </w:rPr>
        <w:t xml:space="preserve">: </w:t>
      </w:r>
      <w:r w:rsidRPr="00705EC2">
        <w:rPr>
          <w:rFonts w:eastAsia="Times New Roman" w:cs="Arial"/>
          <w:b/>
          <w:bCs/>
          <w:color w:val="000000"/>
          <w:lang w:eastAsia="bg-BG"/>
        </w:rPr>
        <w:t>Умора</w:t>
      </w:r>
    </w:p>
    <w:p w14:paraId="4094B97D" w14:textId="77777777" w:rsidR="00705EC2" w:rsidRPr="00705EC2" w:rsidRDefault="00705EC2" w:rsidP="00705EC2">
      <w:pPr>
        <w:spacing w:line="240" w:lineRule="auto"/>
        <w:rPr>
          <w:rFonts w:eastAsia="Times New Roman" w:cs="Arial"/>
          <w:b/>
          <w:bCs/>
          <w:color w:val="000000"/>
          <w:lang w:eastAsia="bg-BG"/>
        </w:rPr>
      </w:pPr>
    </w:p>
    <w:p w14:paraId="42671C5B" w14:textId="0E6E8298" w:rsidR="00705EC2" w:rsidRPr="00705EC2" w:rsidRDefault="00705EC2" w:rsidP="00705EC2">
      <w:pPr>
        <w:spacing w:line="240" w:lineRule="auto"/>
        <w:rPr>
          <w:rFonts w:eastAsia="Times New Roman" w:cs="Arial"/>
        </w:rPr>
      </w:pPr>
      <w:r w:rsidRPr="00705EC2">
        <w:rPr>
          <w:rFonts w:eastAsia="Times New Roman" w:cs="Arial"/>
          <w:b/>
          <w:bCs/>
          <w:color w:val="000000"/>
          <w:lang w:eastAsia="bg-BG"/>
        </w:rPr>
        <w:t>Изследвания</w:t>
      </w:r>
    </w:p>
    <w:p w14:paraId="08B7B9D6" w14:textId="57B1BF15" w:rsidR="00705EC2" w:rsidRPr="00705EC2" w:rsidRDefault="00705EC2" w:rsidP="00705EC2">
      <w:pPr>
        <w:spacing w:line="240" w:lineRule="auto"/>
        <w:rPr>
          <w:rFonts w:eastAsia="Times New Roman" w:cs="Arial"/>
          <w:b/>
          <w:bCs/>
          <w:color w:val="000000"/>
          <w:lang w:eastAsia="bg-BG"/>
        </w:rPr>
      </w:pPr>
      <w:r w:rsidRPr="00705EC2">
        <w:rPr>
          <w:rFonts w:eastAsia="Times New Roman" w:cs="Arial"/>
          <w:b/>
          <w:bCs/>
          <w:i/>
          <w:iCs/>
          <w:color w:val="000000"/>
          <w:lang w:eastAsia="bg-BG"/>
        </w:rPr>
        <w:t>С</w:t>
      </w:r>
      <w:r w:rsidRPr="00705EC2">
        <w:rPr>
          <w:rFonts w:eastAsia="Times New Roman" w:cs="Arial"/>
          <w:b/>
          <w:bCs/>
          <w:color w:val="000000"/>
          <w:lang w:eastAsia="bg-BG"/>
        </w:rPr>
        <w:t xml:space="preserve"> неизвестна честота</w:t>
      </w:r>
      <w:r w:rsidRPr="00705EC2">
        <w:rPr>
          <w:rFonts w:eastAsia="Times New Roman" w:cs="Arial"/>
          <w:b/>
          <w:bCs/>
          <w:color w:val="000000"/>
          <w:lang w:val="ru-RU" w:eastAsia="bg-BG"/>
        </w:rPr>
        <w:t>:</w:t>
      </w:r>
      <w:r w:rsidRPr="00705EC2">
        <w:rPr>
          <w:rFonts w:eastAsia="Times New Roman" w:cs="Arial"/>
          <w:b/>
          <w:bCs/>
          <w:color w:val="000000"/>
          <w:lang w:eastAsia="bg-BG"/>
        </w:rPr>
        <w:t xml:space="preserve"> Повишаване на серумните нива на пикочна</w:t>
      </w:r>
    </w:p>
    <w:p w14:paraId="0B60F401" w14:textId="58FC6850" w:rsidR="00705EC2" w:rsidRPr="00705EC2" w:rsidRDefault="00705EC2" w:rsidP="00705EC2">
      <w:pPr>
        <w:spacing w:line="240" w:lineRule="auto"/>
        <w:rPr>
          <w:rFonts w:eastAsia="Times New Roman" w:cs="Arial"/>
          <w:b/>
          <w:bCs/>
          <w:color w:val="000000"/>
          <w:lang w:eastAsia="bg-BG"/>
        </w:rPr>
      </w:pPr>
      <w:r w:rsidRPr="00705EC2">
        <w:rPr>
          <w:rFonts w:eastAsia="Times New Roman" w:cs="Arial"/>
          <w:b/>
          <w:bCs/>
          <w:color w:val="000000"/>
          <w:lang w:eastAsia="bg-BG"/>
        </w:rPr>
        <w:lastRenderedPageBreak/>
        <w:t>киселина, билирубин н креатинин, хипокалиемия, хипонатриемия, повишаване на азота в кръвта, неутропения</w:t>
      </w:r>
    </w:p>
    <w:p w14:paraId="663A9D2D" w14:textId="77777777" w:rsidR="00705EC2" w:rsidRPr="00705EC2" w:rsidRDefault="00705EC2" w:rsidP="00705EC2">
      <w:pPr>
        <w:spacing w:line="240" w:lineRule="auto"/>
        <w:rPr>
          <w:rFonts w:eastAsia="Times New Roman" w:cs="Arial"/>
        </w:rPr>
      </w:pPr>
    </w:p>
    <w:p w14:paraId="217D72C0" w14:textId="77777777" w:rsidR="00705EC2" w:rsidRPr="00705EC2" w:rsidRDefault="00705EC2" w:rsidP="00705EC2">
      <w:pPr>
        <w:spacing w:line="240" w:lineRule="auto"/>
        <w:rPr>
          <w:rFonts w:eastAsia="Times New Roman" w:cs="Arial"/>
        </w:rPr>
      </w:pPr>
      <w:r w:rsidRPr="00705EC2">
        <w:rPr>
          <w:rFonts w:eastAsia="Times New Roman" w:cs="Arial"/>
          <w:color w:val="000000"/>
          <w:u w:val="single"/>
          <w:lang w:eastAsia="bg-BG"/>
        </w:rPr>
        <w:t>Допълнителна информация за отделните съставки</w:t>
      </w:r>
    </w:p>
    <w:p w14:paraId="64A805EA" w14:textId="77777777" w:rsidR="00705EC2" w:rsidRPr="00705EC2" w:rsidRDefault="00705EC2" w:rsidP="00705EC2">
      <w:pPr>
        <w:spacing w:line="240" w:lineRule="auto"/>
        <w:rPr>
          <w:rFonts w:eastAsia="Times New Roman" w:cs="Arial"/>
        </w:rPr>
      </w:pPr>
      <w:r w:rsidRPr="00705EC2">
        <w:rPr>
          <w:rFonts w:eastAsia="Times New Roman" w:cs="Arial"/>
          <w:color w:val="000000"/>
          <w:lang w:eastAsia="bg-BG"/>
        </w:rPr>
        <w:t xml:space="preserve">Нежеланите реакции, съобщени за всяка от отделните съставки, могат да бъдат потенциални нежелани реакции на </w:t>
      </w:r>
      <w:r w:rsidRPr="00705EC2">
        <w:rPr>
          <w:rFonts w:eastAsia="Times New Roman" w:cs="Arial"/>
          <w:color w:val="000000"/>
          <w:lang w:val="en-US"/>
        </w:rPr>
        <w:t>Co</w:t>
      </w:r>
      <w:r w:rsidRPr="00705EC2">
        <w:rPr>
          <w:rFonts w:eastAsia="Times New Roman" w:cs="Arial"/>
          <w:color w:val="000000"/>
          <w:lang w:val="ru-RU"/>
        </w:rPr>
        <w:t>-</w:t>
      </w:r>
      <w:r w:rsidRPr="00705EC2">
        <w:rPr>
          <w:rFonts w:eastAsia="Times New Roman" w:cs="Arial"/>
          <w:color w:val="000000"/>
          <w:lang w:val="en-US"/>
        </w:rPr>
        <w:t>Diovan</w:t>
      </w:r>
      <w:r w:rsidRPr="00705EC2">
        <w:rPr>
          <w:rFonts w:eastAsia="Times New Roman" w:cs="Arial"/>
          <w:color w:val="000000"/>
          <w:lang w:val="ru-RU"/>
        </w:rPr>
        <w:t xml:space="preserve">, </w:t>
      </w:r>
      <w:r w:rsidRPr="00705EC2">
        <w:rPr>
          <w:rFonts w:eastAsia="Times New Roman" w:cs="Arial"/>
          <w:color w:val="000000"/>
          <w:lang w:eastAsia="bg-BG"/>
        </w:rPr>
        <w:t>дори да не са наблюдавани в хода на клиничните проучвания или по време на постмаркетинговия период.</w:t>
      </w:r>
    </w:p>
    <w:p w14:paraId="0A3157C3" w14:textId="77777777" w:rsidR="00705EC2" w:rsidRPr="00705EC2" w:rsidRDefault="00705EC2" w:rsidP="00705EC2">
      <w:pPr>
        <w:spacing w:line="240" w:lineRule="auto"/>
        <w:rPr>
          <w:rFonts w:eastAsia="Times New Roman" w:cs="Arial"/>
          <w:color w:val="000000"/>
          <w:u w:val="single"/>
          <w:lang w:eastAsia="bg-BG"/>
        </w:rPr>
      </w:pPr>
    </w:p>
    <w:p w14:paraId="1CF7DDDE" w14:textId="71ACB890" w:rsidR="00705EC2" w:rsidRPr="00705EC2" w:rsidRDefault="00705EC2" w:rsidP="00705EC2">
      <w:pPr>
        <w:spacing w:line="240" w:lineRule="auto"/>
        <w:rPr>
          <w:rFonts w:eastAsia="Times New Roman" w:cs="Arial"/>
        </w:rPr>
      </w:pPr>
      <w:r w:rsidRPr="00705EC2">
        <w:rPr>
          <w:rFonts w:eastAsia="Times New Roman" w:cs="Arial"/>
          <w:color w:val="000000"/>
          <w:u w:val="single"/>
          <w:lang w:eastAsia="bg-BG"/>
        </w:rPr>
        <w:t>Таблица 2. Честота на нежеланите лекарствени реакции при валсартан</w:t>
      </w:r>
    </w:p>
    <w:p w14:paraId="0C11608C" w14:textId="77777777" w:rsidR="00705EC2" w:rsidRPr="00705EC2" w:rsidRDefault="00705EC2" w:rsidP="00705EC2">
      <w:pPr>
        <w:spacing w:line="240" w:lineRule="auto"/>
        <w:rPr>
          <w:rFonts w:eastAsia="Times New Roman" w:cs="Arial"/>
          <w:b/>
          <w:bCs/>
          <w:color w:val="000000"/>
          <w:lang w:eastAsia="bg-BG"/>
        </w:rPr>
      </w:pPr>
    </w:p>
    <w:p w14:paraId="6C074ACA" w14:textId="2200999A" w:rsidR="00705EC2" w:rsidRPr="00705EC2" w:rsidRDefault="00705EC2" w:rsidP="00705EC2">
      <w:pPr>
        <w:spacing w:line="240" w:lineRule="auto"/>
        <w:rPr>
          <w:rFonts w:eastAsia="Times New Roman" w:cs="Arial"/>
        </w:rPr>
      </w:pPr>
      <w:r w:rsidRPr="00705EC2">
        <w:rPr>
          <w:rFonts w:eastAsia="Times New Roman" w:cs="Arial"/>
          <w:b/>
          <w:bCs/>
          <w:color w:val="000000"/>
          <w:lang w:eastAsia="bg-BG"/>
        </w:rPr>
        <w:t>Нарушения на кръвта и лимфната система</w:t>
      </w:r>
    </w:p>
    <w:p w14:paraId="6ECD099C" w14:textId="63AB8482" w:rsidR="00705EC2" w:rsidRPr="00705EC2" w:rsidRDefault="00705EC2" w:rsidP="00705EC2">
      <w:pPr>
        <w:spacing w:line="240" w:lineRule="auto"/>
        <w:rPr>
          <w:rFonts w:eastAsia="Times New Roman" w:cs="Arial"/>
        </w:rPr>
      </w:pPr>
      <w:r w:rsidRPr="00705EC2">
        <w:rPr>
          <w:rFonts w:eastAsia="Times New Roman" w:cs="Arial"/>
          <w:color w:val="000000"/>
          <w:lang w:eastAsia="bg-BG"/>
        </w:rPr>
        <w:t>С неизвестна честота</w:t>
      </w:r>
      <w:r w:rsidRPr="00705EC2">
        <w:rPr>
          <w:rFonts w:eastAsia="Times New Roman" w:cs="Arial"/>
          <w:color w:val="000000"/>
          <w:lang w:val="ru-RU" w:eastAsia="bg-BG"/>
        </w:rPr>
        <w:t xml:space="preserve">: </w:t>
      </w:r>
      <w:r w:rsidRPr="00705EC2">
        <w:rPr>
          <w:rFonts w:eastAsia="Times New Roman" w:cs="Arial"/>
          <w:color w:val="000000"/>
          <w:lang w:eastAsia="bg-BG"/>
        </w:rPr>
        <w:t>Понижаване на хемоглобина, понижаване на</w:t>
      </w:r>
    </w:p>
    <w:p w14:paraId="4AF6AAF8" w14:textId="77777777" w:rsidR="00705EC2" w:rsidRPr="00705EC2" w:rsidRDefault="00705EC2" w:rsidP="00705EC2">
      <w:pPr>
        <w:spacing w:line="240" w:lineRule="auto"/>
        <w:rPr>
          <w:rFonts w:eastAsia="Times New Roman" w:cs="Arial"/>
        </w:rPr>
      </w:pPr>
      <w:r w:rsidRPr="00705EC2">
        <w:rPr>
          <w:rFonts w:eastAsia="Times New Roman" w:cs="Arial"/>
          <w:color w:val="000000"/>
          <w:lang w:eastAsia="bg-BG"/>
        </w:rPr>
        <w:t>хематокрита, тромбоцитопения</w:t>
      </w:r>
    </w:p>
    <w:p w14:paraId="626699A8" w14:textId="77777777" w:rsidR="00705EC2" w:rsidRPr="00705EC2" w:rsidRDefault="00705EC2" w:rsidP="00705EC2">
      <w:pPr>
        <w:spacing w:line="240" w:lineRule="auto"/>
        <w:rPr>
          <w:rFonts w:eastAsia="Times New Roman" w:cs="Arial"/>
          <w:b/>
          <w:bCs/>
          <w:color w:val="000000"/>
          <w:lang w:eastAsia="bg-BG"/>
        </w:rPr>
      </w:pPr>
    </w:p>
    <w:p w14:paraId="7409CB53" w14:textId="11B185CC" w:rsidR="00705EC2" w:rsidRPr="00705EC2" w:rsidRDefault="00705EC2" w:rsidP="00705EC2">
      <w:pPr>
        <w:spacing w:line="240" w:lineRule="auto"/>
        <w:rPr>
          <w:rFonts w:eastAsia="Times New Roman" w:cs="Arial"/>
        </w:rPr>
      </w:pPr>
      <w:r w:rsidRPr="00705EC2">
        <w:rPr>
          <w:rFonts w:eastAsia="Times New Roman" w:cs="Arial"/>
          <w:b/>
          <w:bCs/>
          <w:color w:val="000000"/>
          <w:lang w:eastAsia="bg-BG"/>
        </w:rPr>
        <w:t>Нарушения на имунната система</w:t>
      </w:r>
    </w:p>
    <w:p w14:paraId="36CA2A2F" w14:textId="4F5AC2AB" w:rsidR="00705EC2" w:rsidRPr="00705EC2" w:rsidRDefault="00705EC2" w:rsidP="00705EC2">
      <w:pPr>
        <w:spacing w:line="240" w:lineRule="auto"/>
        <w:rPr>
          <w:rFonts w:eastAsia="Times New Roman" w:cs="Arial"/>
        </w:rPr>
      </w:pPr>
      <w:r w:rsidRPr="00705EC2">
        <w:rPr>
          <w:rFonts w:eastAsia="Times New Roman" w:cs="Arial"/>
          <w:color w:val="000000"/>
          <w:lang w:eastAsia="bg-BG"/>
        </w:rPr>
        <w:t>С неизвестна честота</w:t>
      </w:r>
      <w:r w:rsidRPr="00705EC2">
        <w:rPr>
          <w:rFonts w:eastAsia="Times New Roman" w:cs="Arial"/>
          <w:color w:val="000000"/>
          <w:lang w:val="ru-RU" w:eastAsia="bg-BG"/>
        </w:rPr>
        <w:t xml:space="preserve">: </w:t>
      </w:r>
      <w:r w:rsidRPr="00705EC2">
        <w:rPr>
          <w:rFonts w:eastAsia="Times New Roman" w:cs="Arial"/>
          <w:color w:val="000000"/>
          <w:lang w:eastAsia="bg-BG"/>
        </w:rPr>
        <w:t>Други реакции на</w:t>
      </w:r>
    </w:p>
    <w:p w14:paraId="04C130CF" w14:textId="77777777" w:rsidR="00705EC2" w:rsidRPr="00705EC2" w:rsidRDefault="00705EC2" w:rsidP="00705EC2">
      <w:pPr>
        <w:spacing w:line="240" w:lineRule="auto"/>
        <w:rPr>
          <w:rFonts w:eastAsia="Times New Roman" w:cs="Arial"/>
        </w:rPr>
      </w:pPr>
      <w:r w:rsidRPr="00705EC2">
        <w:rPr>
          <w:rFonts w:eastAsia="Times New Roman" w:cs="Arial"/>
          <w:color w:val="000000"/>
          <w:lang w:eastAsia="bg-BG"/>
        </w:rPr>
        <w:t>свръхчувствителност/алергия, включително серумна болест</w:t>
      </w:r>
    </w:p>
    <w:p w14:paraId="46BE7C2A" w14:textId="77777777" w:rsidR="00705EC2" w:rsidRPr="00705EC2" w:rsidRDefault="00705EC2" w:rsidP="00705EC2">
      <w:pPr>
        <w:spacing w:line="240" w:lineRule="auto"/>
        <w:rPr>
          <w:rFonts w:eastAsia="Times New Roman" w:cs="Arial"/>
          <w:b/>
          <w:bCs/>
          <w:color w:val="000000"/>
          <w:lang w:eastAsia="bg-BG"/>
        </w:rPr>
      </w:pPr>
    </w:p>
    <w:p w14:paraId="027A1F9D" w14:textId="1521A4DD" w:rsidR="00705EC2" w:rsidRPr="00705EC2" w:rsidRDefault="00705EC2" w:rsidP="00705EC2">
      <w:pPr>
        <w:spacing w:line="240" w:lineRule="auto"/>
        <w:rPr>
          <w:rFonts w:eastAsia="Times New Roman" w:cs="Arial"/>
        </w:rPr>
      </w:pPr>
      <w:r w:rsidRPr="00705EC2">
        <w:rPr>
          <w:rFonts w:eastAsia="Times New Roman" w:cs="Arial"/>
          <w:b/>
          <w:bCs/>
          <w:color w:val="000000"/>
          <w:lang w:eastAsia="bg-BG"/>
        </w:rPr>
        <w:t>Нарушения на метаболизма и храненето</w:t>
      </w:r>
    </w:p>
    <w:p w14:paraId="221B762C" w14:textId="28DAD105" w:rsidR="00705EC2" w:rsidRPr="00705EC2" w:rsidRDefault="00705EC2" w:rsidP="00705EC2">
      <w:pPr>
        <w:spacing w:line="240" w:lineRule="auto"/>
        <w:rPr>
          <w:rFonts w:eastAsia="Times New Roman" w:cs="Arial"/>
        </w:rPr>
      </w:pPr>
      <w:r w:rsidRPr="00705EC2">
        <w:rPr>
          <w:rFonts w:eastAsia="Times New Roman" w:cs="Arial"/>
          <w:color w:val="000000"/>
          <w:lang w:eastAsia="bg-BG"/>
        </w:rPr>
        <w:t>С неизвестна честота</w:t>
      </w:r>
      <w:r w:rsidRPr="00705EC2">
        <w:rPr>
          <w:rFonts w:eastAsia="Times New Roman" w:cs="Arial"/>
          <w:color w:val="000000"/>
          <w:lang w:val="ru-RU" w:eastAsia="bg-BG"/>
        </w:rPr>
        <w:t>:</w:t>
      </w:r>
      <w:r w:rsidRPr="00705EC2">
        <w:rPr>
          <w:rFonts w:eastAsia="Times New Roman" w:cs="Arial"/>
          <w:color w:val="000000"/>
          <w:lang w:eastAsia="bg-BG"/>
        </w:rPr>
        <w:t xml:space="preserve"> Повишаване на серумния калий,</w:t>
      </w:r>
    </w:p>
    <w:p w14:paraId="129128F1" w14:textId="77777777" w:rsidR="00705EC2" w:rsidRPr="00705EC2" w:rsidRDefault="00705EC2" w:rsidP="00705EC2">
      <w:pPr>
        <w:spacing w:line="240" w:lineRule="auto"/>
        <w:rPr>
          <w:rFonts w:eastAsia="Times New Roman" w:cs="Arial"/>
        </w:rPr>
      </w:pPr>
      <w:r w:rsidRPr="00705EC2">
        <w:rPr>
          <w:rFonts w:eastAsia="Times New Roman" w:cs="Arial"/>
          <w:color w:val="000000"/>
          <w:lang w:eastAsia="bg-BG"/>
        </w:rPr>
        <w:t>хипонатриемия</w:t>
      </w:r>
    </w:p>
    <w:p w14:paraId="7A2E1749" w14:textId="77777777" w:rsidR="00705EC2" w:rsidRPr="00705EC2" w:rsidRDefault="00705EC2" w:rsidP="00705EC2">
      <w:pPr>
        <w:spacing w:line="240" w:lineRule="auto"/>
        <w:rPr>
          <w:rFonts w:eastAsia="Times New Roman" w:cs="Arial"/>
          <w:b/>
          <w:bCs/>
          <w:color w:val="000000"/>
          <w:lang w:eastAsia="bg-BG"/>
        </w:rPr>
      </w:pPr>
    </w:p>
    <w:p w14:paraId="65DC5D72" w14:textId="14AE34D9" w:rsidR="00705EC2" w:rsidRPr="00705EC2" w:rsidRDefault="00705EC2" w:rsidP="00705EC2">
      <w:pPr>
        <w:spacing w:line="240" w:lineRule="auto"/>
        <w:rPr>
          <w:rFonts w:eastAsia="Times New Roman" w:cs="Arial"/>
        </w:rPr>
      </w:pPr>
      <w:r w:rsidRPr="00705EC2">
        <w:rPr>
          <w:rFonts w:eastAsia="Times New Roman" w:cs="Arial"/>
          <w:b/>
          <w:bCs/>
          <w:color w:val="000000"/>
          <w:lang w:eastAsia="bg-BG"/>
        </w:rPr>
        <w:t>Нарушения на ухото и лабиринта</w:t>
      </w:r>
    </w:p>
    <w:p w14:paraId="51F9CB95" w14:textId="43EDB620" w:rsidR="00705EC2" w:rsidRPr="00705EC2" w:rsidRDefault="00705EC2" w:rsidP="00705EC2">
      <w:pPr>
        <w:spacing w:line="240" w:lineRule="auto"/>
        <w:rPr>
          <w:rFonts w:eastAsia="Times New Roman" w:cs="Arial"/>
        </w:rPr>
      </w:pPr>
      <w:r w:rsidRPr="00705EC2">
        <w:rPr>
          <w:rFonts w:eastAsia="Times New Roman" w:cs="Arial"/>
          <w:color w:val="000000"/>
          <w:lang w:eastAsia="bg-BG"/>
        </w:rPr>
        <w:t>Нечести</w:t>
      </w:r>
      <w:r w:rsidRPr="00705EC2">
        <w:rPr>
          <w:rFonts w:eastAsia="Times New Roman" w:cs="Arial"/>
          <w:color w:val="000000"/>
          <w:lang w:val="en-US" w:eastAsia="bg-BG"/>
        </w:rPr>
        <w:t xml:space="preserve">: </w:t>
      </w:r>
      <w:r w:rsidRPr="00705EC2">
        <w:rPr>
          <w:rFonts w:eastAsia="Times New Roman" w:cs="Arial"/>
          <w:color w:val="000000"/>
          <w:lang w:eastAsia="bg-BG"/>
        </w:rPr>
        <w:t>Световъртеж</w:t>
      </w:r>
    </w:p>
    <w:p w14:paraId="1C72634E" w14:textId="77777777" w:rsidR="00705EC2" w:rsidRPr="00705EC2" w:rsidRDefault="00705EC2" w:rsidP="00705EC2">
      <w:pPr>
        <w:spacing w:line="240" w:lineRule="auto"/>
        <w:rPr>
          <w:rFonts w:eastAsia="Times New Roman" w:cs="Arial"/>
          <w:b/>
          <w:bCs/>
          <w:color w:val="000000"/>
          <w:lang w:eastAsia="bg-BG"/>
        </w:rPr>
      </w:pPr>
    </w:p>
    <w:p w14:paraId="770405EA" w14:textId="55403D09" w:rsidR="00705EC2" w:rsidRPr="00705EC2" w:rsidRDefault="00705EC2" w:rsidP="00705EC2">
      <w:pPr>
        <w:spacing w:line="240" w:lineRule="auto"/>
        <w:rPr>
          <w:rFonts w:eastAsia="Times New Roman" w:cs="Arial"/>
        </w:rPr>
      </w:pPr>
      <w:r w:rsidRPr="00705EC2">
        <w:rPr>
          <w:rFonts w:eastAsia="Times New Roman" w:cs="Arial"/>
          <w:b/>
          <w:bCs/>
          <w:color w:val="000000"/>
          <w:lang w:eastAsia="bg-BG"/>
        </w:rPr>
        <w:t>Съдови нарушения</w:t>
      </w:r>
    </w:p>
    <w:p w14:paraId="7063ECB3" w14:textId="77777777" w:rsidR="00705EC2" w:rsidRPr="00705EC2" w:rsidRDefault="00705EC2" w:rsidP="00705EC2">
      <w:pPr>
        <w:spacing w:line="240" w:lineRule="auto"/>
        <w:rPr>
          <w:rFonts w:eastAsia="Times New Roman" w:cs="Arial"/>
        </w:rPr>
      </w:pPr>
      <w:r w:rsidRPr="00705EC2">
        <w:rPr>
          <w:rFonts w:eastAsia="Times New Roman" w:cs="Arial"/>
          <w:color w:val="000000"/>
          <w:lang w:eastAsia="bg-BG"/>
        </w:rPr>
        <w:t>С неизвестна честота</w:t>
      </w:r>
      <w:r w:rsidRPr="00705EC2">
        <w:rPr>
          <w:rFonts w:eastAsia="Times New Roman" w:cs="Arial"/>
          <w:color w:val="000000"/>
          <w:lang w:eastAsia="bg-BG"/>
        </w:rPr>
        <w:tab/>
        <w:t>Васкулит</w:t>
      </w:r>
    </w:p>
    <w:p w14:paraId="38EB405D" w14:textId="77777777" w:rsidR="00705EC2" w:rsidRPr="00705EC2" w:rsidRDefault="00705EC2" w:rsidP="00705EC2">
      <w:pPr>
        <w:spacing w:line="240" w:lineRule="auto"/>
        <w:rPr>
          <w:rFonts w:eastAsia="Times New Roman" w:cs="Arial"/>
          <w:b/>
          <w:bCs/>
          <w:color w:val="000000"/>
          <w:lang w:eastAsia="bg-BG"/>
        </w:rPr>
      </w:pPr>
    </w:p>
    <w:p w14:paraId="447C7142" w14:textId="6B58636D" w:rsidR="00705EC2" w:rsidRPr="00705EC2" w:rsidRDefault="00705EC2" w:rsidP="00705EC2">
      <w:pPr>
        <w:spacing w:line="240" w:lineRule="auto"/>
        <w:rPr>
          <w:rFonts w:eastAsia="Times New Roman" w:cs="Arial"/>
        </w:rPr>
      </w:pPr>
      <w:r w:rsidRPr="00705EC2">
        <w:rPr>
          <w:rFonts w:eastAsia="Times New Roman" w:cs="Arial"/>
          <w:b/>
          <w:bCs/>
          <w:color w:val="000000"/>
          <w:lang w:eastAsia="bg-BG"/>
        </w:rPr>
        <w:t>Стомашно-чревни нарушения</w:t>
      </w:r>
    </w:p>
    <w:p w14:paraId="7511CFE8" w14:textId="542E0E11" w:rsidR="00705EC2" w:rsidRPr="00705EC2" w:rsidRDefault="00705EC2" w:rsidP="00705EC2">
      <w:pPr>
        <w:spacing w:line="240" w:lineRule="auto"/>
        <w:rPr>
          <w:rFonts w:eastAsia="Times New Roman" w:cs="Arial"/>
        </w:rPr>
      </w:pPr>
      <w:r w:rsidRPr="00705EC2">
        <w:rPr>
          <w:rFonts w:eastAsia="Times New Roman" w:cs="Arial"/>
          <w:color w:val="000000"/>
          <w:lang w:eastAsia="bg-BG"/>
        </w:rPr>
        <w:t>Нечести</w:t>
      </w:r>
      <w:r w:rsidRPr="00705EC2">
        <w:rPr>
          <w:rFonts w:eastAsia="Times New Roman" w:cs="Arial"/>
          <w:color w:val="000000"/>
          <w:lang w:val="ru-RU" w:eastAsia="bg-BG"/>
        </w:rPr>
        <w:t xml:space="preserve">: </w:t>
      </w:r>
      <w:r w:rsidRPr="00705EC2">
        <w:rPr>
          <w:rFonts w:eastAsia="Times New Roman" w:cs="Arial"/>
          <w:color w:val="000000"/>
          <w:lang w:eastAsia="bg-BG"/>
        </w:rPr>
        <w:t>Коремна болка</w:t>
      </w:r>
    </w:p>
    <w:p w14:paraId="0A9468DB" w14:textId="77777777" w:rsidR="00705EC2" w:rsidRPr="00705EC2" w:rsidRDefault="00705EC2" w:rsidP="00705EC2">
      <w:pPr>
        <w:spacing w:line="240" w:lineRule="auto"/>
        <w:rPr>
          <w:rFonts w:eastAsia="Times New Roman" w:cs="Arial"/>
          <w:b/>
          <w:bCs/>
          <w:color w:val="000000"/>
          <w:lang w:eastAsia="bg-BG"/>
        </w:rPr>
      </w:pPr>
    </w:p>
    <w:p w14:paraId="4761FCCE" w14:textId="3410FBB0" w:rsidR="00705EC2" w:rsidRPr="00705EC2" w:rsidRDefault="00705EC2" w:rsidP="00705EC2">
      <w:pPr>
        <w:spacing w:line="240" w:lineRule="auto"/>
        <w:rPr>
          <w:rFonts w:eastAsia="Times New Roman" w:cs="Arial"/>
        </w:rPr>
      </w:pPr>
      <w:r w:rsidRPr="00705EC2">
        <w:rPr>
          <w:rFonts w:eastAsia="Times New Roman" w:cs="Arial"/>
          <w:b/>
          <w:bCs/>
          <w:color w:val="000000"/>
          <w:lang w:eastAsia="bg-BG"/>
        </w:rPr>
        <w:t>Хепато-билиарни нарушения</w:t>
      </w:r>
    </w:p>
    <w:p w14:paraId="152C38B0" w14:textId="6D0AD3D3" w:rsidR="00705EC2" w:rsidRPr="00705EC2" w:rsidRDefault="00705EC2" w:rsidP="00705EC2">
      <w:pPr>
        <w:spacing w:line="240" w:lineRule="auto"/>
        <w:rPr>
          <w:rFonts w:eastAsia="Times New Roman" w:cs="Arial"/>
        </w:rPr>
      </w:pPr>
      <w:r w:rsidRPr="00705EC2">
        <w:rPr>
          <w:rFonts w:eastAsia="Times New Roman" w:cs="Arial"/>
          <w:color w:val="000000"/>
          <w:lang w:eastAsia="bg-BG"/>
        </w:rPr>
        <w:t>С неизвестна честота</w:t>
      </w:r>
      <w:r w:rsidRPr="00705EC2">
        <w:rPr>
          <w:rFonts w:eastAsia="Times New Roman" w:cs="Arial"/>
          <w:color w:val="000000"/>
          <w:lang w:val="ru-RU" w:eastAsia="bg-BG"/>
        </w:rPr>
        <w:t>:</w:t>
      </w:r>
      <w:r w:rsidRPr="00705EC2">
        <w:rPr>
          <w:rFonts w:eastAsia="Times New Roman" w:cs="Arial"/>
          <w:color w:val="000000"/>
          <w:lang w:eastAsia="bg-BG"/>
        </w:rPr>
        <w:t xml:space="preserve"> Повишение на показателите за чернодробна</w:t>
      </w:r>
    </w:p>
    <w:p w14:paraId="5C878736" w14:textId="77777777" w:rsidR="00705EC2" w:rsidRPr="00705EC2" w:rsidRDefault="00705EC2" w:rsidP="00705EC2">
      <w:pPr>
        <w:spacing w:line="240" w:lineRule="auto"/>
        <w:rPr>
          <w:rFonts w:eastAsia="Times New Roman" w:cs="Arial"/>
        </w:rPr>
      </w:pPr>
      <w:r w:rsidRPr="00705EC2">
        <w:rPr>
          <w:rFonts w:eastAsia="Times New Roman" w:cs="Arial"/>
          <w:color w:val="000000"/>
          <w:lang w:eastAsia="bg-BG"/>
        </w:rPr>
        <w:t>функция</w:t>
      </w:r>
    </w:p>
    <w:p w14:paraId="33752603" w14:textId="77777777" w:rsidR="00705EC2" w:rsidRPr="00705EC2" w:rsidRDefault="00705EC2" w:rsidP="00705EC2">
      <w:pPr>
        <w:spacing w:line="240" w:lineRule="auto"/>
        <w:rPr>
          <w:rFonts w:eastAsia="Times New Roman" w:cs="Arial"/>
          <w:b/>
          <w:bCs/>
          <w:color w:val="000000"/>
          <w:lang w:eastAsia="bg-BG"/>
        </w:rPr>
      </w:pPr>
    </w:p>
    <w:p w14:paraId="565B0333" w14:textId="7A874BD5" w:rsidR="00705EC2" w:rsidRPr="00705EC2" w:rsidRDefault="00705EC2" w:rsidP="00705EC2">
      <w:pPr>
        <w:spacing w:line="240" w:lineRule="auto"/>
        <w:rPr>
          <w:rFonts w:eastAsia="Times New Roman" w:cs="Arial"/>
        </w:rPr>
      </w:pPr>
      <w:r w:rsidRPr="00705EC2">
        <w:rPr>
          <w:rFonts w:eastAsia="Times New Roman" w:cs="Arial"/>
          <w:b/>
          <w:bCs/>
          <w:color w:val="000000"/>
          <w:lang w:eastAsia="bg-BG"/>
        </w:rPr>
        <w:t>Нарушения на кожата и подкожната тъкан</w:t>
      </w:r>
    </w:p>
    <w:p w14:paraId="7C969A88" w14:textId="114BC033" w:rsidR="00705EC2" w:rsidRPr="00705EC2" w:rsidRDefault="00705EC2" w:rsidP="00705EC2">
      <w:pPr>
        <w:spacing w:line="240" w:lineRule="auto"/>
        <w:rPr>
          <w:rFonts w:eastAsia="Times New Roman" w:cs="Arial"/>
        </w:rPr>
      </w:pPr>
      <w:r w:rsidRPr="00705EC2">
        <w:rPr>
          <w:rFonts w:eastAsia="Times New Roman" w:cs="Arial"/>
          <w:color w:val="000000"/>
          <w:lang w:eastAsia="bg-BG"/>
        </w:rPr>
        <w:t>С неизвестна честота</w:t>
      </w:r>
      <w:r w:rsidRPr="00705EC2">
        <w:rPr>
          <w:rFonts w:eastAsia="Times New Roman" w:cs="Arial"/>
          <w:color w:val="000000"/>
          <w:lang w:val="ru-RU" w:eastAsia="bg-BG"/>
        </w:rPr>
        <w:t xml:space="preserve">: </w:t>
      </w:r>
      <w:r w:rsidRPr="00705EC2">
        <w:rPr>
          <w:rFonts w:eastAsia="Times New Roman" w:cs="Arial"/>
          <w:color w:val="000000"/>
          <w:lang w:eastAsia="bg-BG"/>
        </w:rPr>
        <w:t>Ангиоедем, булозен дерматит, обрив, сърбеж</w:t>
      </w:r>
    </w:p>
    <w:p w14:paraId="1F438A65" w14:textId="77777777" w:rsidR="00705EC2" w:rsidRPr="00705EC2" w:rsidRDefault="00705EC2" w:rsidP="00705EC2">
      <w:pPr>
        <w:spacing w:line="240" w:lineRule="auto"/>
        <w:rPr>
          <w:rFonts w:eastAsia="Times New Roman" w:cs="Arial"/>
          <w:b/>
          <w:bCs/>
          <w:color w:val="000000"/>
          <w:lang w:eastAsia="bg-BG"/>
        </w:rPr>
      </w:pPr>
    </w:p>
    <w:p w14:paraId="38B35FE6" w14:textId="4E83543D" w:rsidR="00705EC2" w:rsidRPr="00705EC2" w:rsidRDefault="00705EC2" w:rsidP="00705EC2">
      <w:pPr>
        <w:spacing w:line="240" w:lineRule="auto"/>
        <w:rPr>
          <w:rFonts w:eastAsia="Times New Roman" w:cs="Arial"/>
        </w:rPr>
      </w:pPr>
      <w:r w:rsidRPr="00705EC2">
        <w:rPr>
          <w:rFonts w:eastAsia="Times New Roman" w:cs="Arial"/>
          <w:b/>
          <w:bCs/>
          <w:color w:val="000000"/>
          <w:lang w:eastAsia="bg-BG"/>
        </w:rPr>
        <w:t>Нарушения на бъбреците и пикочните пътища</w:t>
      </w:r>
    </w:p>
    <w:p w14:paraId="5472C435" w14:textId="65B9531A" w:rsidR="00705EC2" w:rsidRPr="00705EC2" w:rsidRDefault="00705EC2" w:rsidP="00705EC2">
      <w:pPr>
        <w:spacing w:line="240" w:lineRule="auto"/>
        <w:rPr>
          <w:rFonts w:eastAsia="Times New Roman" w:cs="Arial"/>
        </w:rPr>
      </w:pPr>
      <w:r w:rsidRPr="00705EC2">
        <w:rPr>
          <w:rFonts w:eastAsia="Times New Roman" w:cs="Arial"/>
          <w:color w:val="000000"/>
          <w:lang w:eastAsia="bg-BG"/>
        </w:rPr>
        <w:t>С неизвестна честота</w:t>
      </w:r>
      <w:r w:rsidRPr="00705EC2">
        <w:rPr>
          <w:rFonts w:eastAsia="Times New Roman" w:cs="Arial"/>
          <w:color w:val="000000"/>
          <w:lang w:val="en-US" w:eastAsia="bg-BG"/>
        </w:rPr>
        <w:t xml:space="preserve">: </w:t>
      </w:r>
      <w:r w:rsidRPr="00705EC2">
        <w:rPr>
          <w:rFonts w:eastAsia="Times New Roman" w:cs="Arial"/>
          <w:color w:val="000000"/>
          <w:lang w:eastAsia="bg-BG"/>
        </w:rPr>
        <w:t>Бъбречна недостатъчност</w:t>
      </w:r>
    </w:p>
    <w:p w14:paraId="759DF2A0" w14:textId="77777777" w:rsidR="00705EC2" w:rsidRPr="00705EC2" w:rsidRDefault="00705EC2" w:rsidP="00705EC2">
      <w:pPr>
        <w:spacing w:line="240" w:lineRule="auto"/>
        <w:rPr>
          <w:rFonts w:eastAsia="Times New Roman" w:cs="Arial"/>
          <w:color w:val="000000"/>
          <w:u w:val="single"/>
          <w:lang w:eastAsia="bg-BG"/>
        </w:rPr>
      </w:pPr>
    </w:p>
    <w:p w14:paraId="51DE144C" w14:textId="7D20FD2F" w:rsidR="00705EC2" w:rsidRPr="00705EC2" w:rsidRDefault="00705EC2" w:rsidP="00705EC2">
      <w:pPr>
        <w:spacing w:line="240" w:lineRule="auto"/>
        <w:rPr>
          <w:rFonts w:eastAsia="Times New Roman" w:cs="Arial"/>
        </w:rPr>
      </w:pPr>
      <w:r w:rsidRPr="00705EC2">
        <w:rPr>
          <w:rFonts w:eastAsia="Times New Roman" w:cs="Arial"/>
          <w:color w:val="000000"/>
          <w:u w:val="single"/>
          <w:lang w:eastAsia="bg-BG"/>
        </w:rPr>
        <w:t>Таблица 3. Честота на нежеланите лекарствени реакции при хидрохлоротиазид</w:t>
      </w:r>
    </w:p>
    <w:p w14:paraId="4FBD88CA" w14:textId="77777777" w:rsidR="00705EC2" w:rsidRPr="00705EC2" w:rsidRDefault="00705EC2" w:rsidP="00705EC2">
      <w:pPr>
        <w:spacing w:line="240" w:lineRule="auto"/>
        <w:rPr>
          <w:rFonts w:eastAsia="Times New Roman" w:cs="Arial"/>
        </w:rPr>
      </w:pPr>
      <w:r w:rsidRPr="00705EC2">
        <w:rPr>
          <w:rFonts w:eastAsia="Times New Roman" w:cs="Arial"/>
          <w:color w:val="000000"/>
          <w:lang w:eastAsia="bg-BG"/>
        </w:rPr>
        <w:t xml:space="preserve">Хидрохлоротиазид се предписва широко от много години, често в дози, по-високи от дозата, прилагана при </w:t>
      </w:r>
      <w:r w:rsidRPr="00705EC2">
        <w:rPr>
          <w:rFonts w:eastAsia="Times New Roman" w:cs="Arial"/>
          <w:color w:val="000000"/>
          <w:lang w:val="en-US"/>
        </w:rPr>
        <w:t>Co</w:t>
      </w:r>
      <w:r w:rsidRPr="00705EC2">
        <w:rPr>
          <w:rFonts w:eastAsia="Times New Roman" w:cs="Arial"/>
          <w:color w:val="000000"/>
          <w:lang w:val="ru-RU"/>
        </w:rPr>
        <w:t>-</w:t>
      </w:r>
      <w:r w:rsidRPr="00705EC2">
        <w:rPr>
          <w:rFonts w:eastAsia="Times New Roman" w:cs="Arial"/>
          <w:color w:val="000000"/>
          <w:lang w:val="en-US"/>
        </w:rPr>
        <w:t>Diovan</w:t>
      </w:r>
      <w:r w:rsidRPr="00705EC2">
        <w:rPr>
          <w:rFonts w:eastAsia="Times New Roman" w:cs="Arial"/>
          <w:color w:val="000000"/>
          <w:lang w:val="ru-RU"/>
        </w:rPr>
        <w:t xml:space="preserve">, </w:t>
      </w:r>
      <w:r w:rsidRPr="00705EC2">
        <w:rPr>
          <w:rFonts w:eastAsia="Times New Roman" w:cs="Arial"/>
          <w:color w:val="000000"/>
          <w:lang w:eastAsia="bg-BG"/>
        </w:rPr>
        <w:t>Следните нежелани риакции са били съобщени при пациенти</w:t>
      </w:r>
      <w:r w:rsidRPr="00705EC2">
        <w:rPr>
          <w:rFonts w:eastAsia="Times New Roman" w:cs="Arial"/>
          <w:i/>
          <w:iCs/>
          <w:color w:val="000000"/>
          <w:lang w:eastAsia="bg-BG"/>
        </w:rPr>
        <w:t xml:space="preserve"> </w:t>
      </w:r>
      <w:r w:rsidRPr="00705EC2">
        <w:rPr>
          <w:rFonts w:eastAsia="Times New Roman" w:cs="Arial"/>
          <w:color w:val="000000"/>
          <w:lang w:eastAsia="bg-BG"/>
        </w:rPr>
        <w:t>лекувани с тиазидни диуретици, включително хидрохлоротиазид, като монотерапия</w:t>
      </w:r>
    </w:p>
    <w:p w14:paraId="35359DC7" w14:textId="77777777" w:rsidR="00705EC2" w:rsidRPr="00705EC2" w:rsidRDefault="00705EC2" w:rsidP="00705EC2">
      <w:pPr>
        <w:spacing w:line="240" w:lineRule="auto"/>
        <w:rPr>
          <w:rFonts w:eastAsia="Times New Roman" w:cs="Arial"/>
        </w:rPr>
      </w:pPr>
    </w:p>
    <w:p w14:paraId="64F2A073" w14:textId="77777777" w:rsidR="00705EC2" w:rsidRPr="00705EC2" w:rsidRDefault="00705EC2" w:rsidP="00705EC2">
      <w:pPr>
        <w:spacing w:line="240" w:lineRule="auto"/>
        <w:rPr>
          <w:rFonts w:eastAsia="Times New Roman" w:cs="Arial"/>
        </w:rPr>
      </w:pPr>
      <w:r w:rsidRPr="00705EC2">
        <w:rPr>
          <w:rFonts w:eastAsia="Times New Roman" w:cs="Arial"/>
          <w:b/>
          <w:bCs/>
          <w:color w:val="000000"/>
          <w:lang w:eastAsia="bg-BG"/>
        </w:rPr>
        <w:t>Неоплазми - доброкачествени, злокачествени и неопределени (вкл. кисти и полипи)</w:t>
      </w:r>
    </w:p>
    <w:p w14:paraId="444E6A5C" w14:textId="03D20B32" w:rsidR="00705EC2" w:rsidRPr="00705EC2" w:rsidRDefault="00705EC2" w:rsidP="00705EC2">
      <w:pPr>
        <w:rPr>
          <w:rFonts w:eastAsia="Times New Roman" w:cs="Arial"/>
        </w:rPr>
      </w:pPr>
      <w:r w:rsidRPr="00705EC2">
        <w:rPr>
          <w:rFonts w:eastAsia="Times New Roman" w:cs="Arial"/>
          <w:color w:val="000000"/>
          <w:lang w:eastAsia="bg-BG"/>
        </w:rPr>
        <w:t>С неизвестна честота</w:t>
      </w:r>
      <w:r w:rsidRPr="00705EC2">
        <w:rPr>
          <w:rFonts w:eastAsia="Times New Roman" w:cs="Arial"/>
          <w:color w:val="000000"/>
          <w:lang w:val="ru-RU" w:eastAsia="bg-BG"/>
        </w:rPr>
        <w:t xml:space="preserve">: </w:t>
      </w:r>
      <w:r w:rsidRPr="00705EC2">
        <w:rPr>
          <w:rFonts w:eastAsia="Times New Roman" w:cs="Arial"/>
          <w:color w:val="000000"/>
          <w:lang w:eastAsia="bg-BG"/>
        </w:rPr>
        <w:t>Немеланомен рак на кожата</w:t>
      </w:r>
      <w:r w:rsidRPr="00705EC2">
        <w:rPr>
          <w:rFonts w:eastAsia="Times New Roman" w:cs="Arial"/>
          <w:lang w:val="ru-RU"/>
        </w:rPr>
        <w:t xml:space="preserve"> </w:t>
      </w:r>
      <w:r w:rsidRPr="00705EC2">
        <w:rPr>
          <w:rFonts w:eastAsia="Times New Roman" w:cs="Arial"/>
          <w:color w:val="000000"/>
          <w:lang w:eastAsia="bg-BG"/>
        </w:rPr>
        <w:t>(базалноклетъчен карцином и</w:t>
      </w:r>
      <w:r w:rsidRPr="00705EC2">
        <w:rPr>
          <w:rFonts w:eastAsia="Times New Roman" w:cs="Arial"/>
          <w:color w:val="000000"/>
          <w:lang w:val="ru-RU" w:eastAsia="bg-BG"/>
        </w:rPr>
        <w:t xml:space="preserve"> </w:t>
      </w:r>
      <w:r w:rsidRPr="00705EC2">
        <w:rPr>
          <w:rFonts w:eastAsia="Times New Roman" w:cs="Arial"/>
          <w:color w:val="000000"/>
          <w:lang w:eastAsia="bg-BG"/>
        </w:rPr>
        <w:t>сквамозноклетьчен карцином)</w:t>
      </w:r>
    </w:p>
    <w:p w14:paraId="2C043763" w14:textId="38CD899D" w:rsidR="00705EC2" w:rsidRPr="00705EC2" w:rsidRDefault="00705EC2" w:rsidP="00705EC2">
      <w:pPr>
        <w:rPr>
          <w:rFonts w:eastAsia="Times New Roman" w:cs="Arial"/>
        </w:rPr>
      </w:pPr>
    </w:p>
    <w:p w14:paraId="1C5D3BE0" w14:textId="77777777" w:rsidR="00705EC2" w:rsidRPr="00705EC2" w:rsidRDefault="00705EC2" w:rsidP="00705EC2">
      <w:pPr>
        <w:spacing w:line="240" w:lineRule="auto"/>
        <w:rPr>
          <w:rFonts w:eastAsia="Times New Roman" w:cs="Arial"/>
        </w:rPr>
      </w:pPr>
      <w:r w:rsidRPr="00705EC2">
        <w:rPr>
          <w:rFonts w:eastAsia="Times New Roman" w:cs="Arial"/>
          <w:b/>
          <w:bCs/>
          <w:color w:val="000000"/>
          <w:lang w:eastAsia="bg-BG"/>
        </w:rPr>
        <w:lastRenderedPageBreak/>
        <w:t>Нарушения на кръвта и лимфната система</w:t>
      </w:r>
    </w:p>
    <w:p w14:paraId="3FCECD2D" w14:textId="187FD5D6" w:rsidR="00705EC2" w:rsidRPr="00705EC2" w:rsidRDefault="00705EC2" w:rsidP="00705EC2">
      <w:pPr>
        <w:spacing w:line="240" w:lineRule="auto"/>
        <w:rPr>
          <w:rFonts w:eastAsia="Times New Roman" w:cs="Arial"/>
        </w:rPr>
      </w:pPr>
      <w:r w:rsidRPr="00705EC2">
        <w:rPr>
          <w:rFonts w:eastAsia="Times New Roman" w:cs="Arial"/>
          <w:color w:val="000000"/>
          <w:lang w:eastAsia="bg-BG"/>
        </w:rPr>
        <w:t>Редки</w:t>
      </w:r>
      <w:r w:rsidRPr="00705EC2">
        <w:rPr>
          <w:rFonts w:eastAsia="Times New Roman" w:cs="Arial"/>
          <w:color w:val="000000"/>
          <w:lang w:val="en-US" w:eastAsia="bg-BG"/>
        </w:rPr>
        <w:t xml:space="preserve">: </w:t>
      </w:r>
      <w:r w:rsidRPr="00705EC2">
        <w:rPr>
          <w:rFonts w:eastAsia="Times New Roman" w:cs="Arial"/>
          <w:color w:val="000000"/>
          <w:lang w:eastAsia="bg-BG"/>
        </w:rPr>
        <w:t>Тромбоцитопения, понякога с пурпура</w:t>
      </w:r>
    </w:p>
    <w:p w14:paraId="7BA21827" w14:textId="120FC242" w:rsidR="00705EC2" w:rsidRPr="00705EC2" w:rsidRDefault="00705EC2" w:rsidP="00705EC2">
      <w:pPr>
        <w:spacing w:line="240" w:lineRule="auto"/>
        <w:rPr>
          <w:rFonts w:eastAsia="Times New Roman" w:cs="Arial"/>
        </w:rPr>
      </w:pPr>
      <w:r w:rsidRPr="00705EC2">
        <w:rPr>
          <w:rFonts w:eastAsia="Times New Roman" w:cs="Arial"/>
          <w:color w:val="000000"/>
          <w:lang w:eastAsia="bg-BG"/>
        </w:rPr>
        <w:t>Много редки</w:t>
      </w:r>
      <w:r w:rsidRPr="00705EC2">
        <w:rPr>
          <w:rFonts w:eastAsia="Times New Roman" w:cs="Arial"/>
          <w:color w:val="000000"/>
          <w:lang w:val="en-US" w:eastAsia="bg-BG"/>
        </w:rPr>
        <w:t xml:space="preserve">: </w:t>
      </w:r>
      <w:r w:rsidRPr="00705EC2">
        <w:rPr>
          <w:rFonts w:eastAsia="Times New Roman" w:cs="Arial"/>
          <w:color w:val="000000"/>
          <w:lang w:eastAsia="bg-BG"/>
        </w:rPr>
        <w:t>Агранулоцитоза, левкопения, хемолитична</w:t>
      </w:r>
    </w:p>
    <w:p w14:paraId="14858416" w14:textId="77777777" w:rsidR="00705EC2" w:rsidRPr="00705EC2" w:rsidRDefault="00705EC2" w:rsidP="00705EC2">
      <w:pPr>
        <w:spacing w:line="240" w:lineRule="auto"/>
        <w:rPr>
          <w:rFonts w:eastAsia="Times New Roman" w:cs="Arial"/>
        </w:rPr>
      </w:pPr>
      <w:r w:rsidRPr="00705EC2">
        <w:rPr>
          <w:rFonts w:eastAsia="Times New Roman" w:cs="Arial"/>
          <w:color w:val="000000"/>
          <w:lang w:eastAsia="bg-BG"/>
        </w:rPr>
        <w:t>анемия, костномозъчна недостатъчност</w:t>
      </w:r>
    </w:p>
    <w:p w14:paraId="275E4235" w14:textId="77777777" w:rsidR="00705EC2" w:rsidRPr="00705EC2" w:rsidRDefault="00705EC2" w:rsidP="00705EC2">
      <w:pPr>
        <w:spacing w:line="240" w:lineRule="auto"/>
        <w:rPr>
          <w:rFonts w:eastAsia="Times New Roman" w:cs="Arial"/>
          <w:b/>
          <w:bCs/>
          <w:color w:val="000000"/>
          <w:lang w:eastAsia="bg-BG"/>
        </w:rPr>
      </w:pPr>
    </w:p>
    <w:p w14:paraId="6128F377" w14:textId="7B3B2743" w:rsidR="00705EC2" w:rsidRPr="00705EC2" w:rsidRDefault="00705EC2" w:rsidP="00705EC2">
      <w:pPr>
        <w:spacing w:line="240" w:lineRule="auto"/>
        <w:rPr>
          <w:rFonts w:eastAsia="Times New Roman" w:cs="Arial"/>
        </w:rPr>
      </w:pPr>
      <w:r w:rsidRPr="00705EC2">
        <w:rPr>
          <w:rFonts w:eastAsia="Times New Roman" w:cs="Arial"/>
          <w:b/>
          <w:bCs/>
          <w:color w:val="000000"/>
          <w:lang w:eastAsia="bg-BG"/>
        </w:rPr>
        <w:t>Нарушения на имунната система</w:t>
      </w:r>
    </w:p>
    <w:p w14:paraId="7B111443" w14:textId="77777777" w:rsidR="00705EC2" w:rsidRPr="00705EC2" w:rsidRDefault="00705EC2" w:rsidP="00705EC2">
      <w:pPr>
        <w:spacing w:line="240" w:lineRule="auto"/>
        <w:rPr>
          <w:rFonts w:eastAsia="Times New Roman" w:cs="Arial"/>
        </w:rPr>
      </w:pPr>
      <w:r w:rsidRPr="00705EC2">
        <w:rPr>
          <w:rFonts w:eastAsia="Times New Roman" w:cs="Arial"/>
          <w:color w:val="000000"/>
          <w:lang w:eastAsia="bg-BG"/>
        </w:rPr>
        <w:t>Много редки</w:t>
      </w:r>
      <w:r w:rsidRPr="00705EC2">
        <w:rPr>
          <w:rFonts w:eastAsia="Times New Roman" w:cs="Arial"/>
          <w:color w:val="000000"/>
          <w:lang w:eastAsia="bg-BG"/>
        </w:rPr>
        <w:tab/>
        <w:t>Реакции на свръхчувствителност</w:t>
      </w:r>
    </w:p>
    <w:p w14:paraId="42851D88" w14:textId="77777777" w:rsidR="00705EC2" w:rsidRPr="00705EC2" w:rsidRDefault="00705EC2" w:rsidP="00705EC2">
      <w:pPr>
        <w:spacing w:line="240" w:lineRule="auto"/>
        <w:rPr>
          <w:rFonts w:eastAsia="Times New Roman" w:cs="Arial"/>
          <w:b/>
          <w:bCs/>
          <w:color w:val="000000"/>
          <w:lang w:eastAsia="bg-BG"/>
        </w:rPr>
      </w:pPr>
    </w:p>
    <w:p w14:paraId="59434E17" w14:textId="661EB14F" w:rsidR="00705EC2" w:rsidRPr="00705EC2" w:rsidRDefault="00705EC2" w:rsidP="00705EC2">
      <w:pPr>
        <w:spacing w:line="240" w:lineRule="auto"/>
        <w:rPr>
          <w:rFonts w:eastAsia="Times New Roman" w:cs="Arial"/>
        </w:rPr>
      </w:pPr>
      <w:r w:rsidRPr="00705EC2">
        <w:rPr>
          <w:rFonts w:eastAsia="Times New Roman" w:cs="Arial"/>
          <w:b/>
          <w:bCs/>
          <w:color w:val="000000"/>
          <w:lang w:eastAsia="bg-BG"/>
        </w:rPr>
        <w:t>Нарушения на метаболизма и храненето</w:t>
      </w:r>
    </w:p>
    <w:p w14:paraId="57BB3B89" w14:textId="4D5DD8F3" w:rsidR="00705EC2" w:rsidRPr="00705EC2" w:rsidRDefault="00705EC2" w:rsidP="00705EC2">
      <w:pPr>
        <w:spacing w:line="240" w:lineRule="auto"/>
        <w:rPr>
          <w:rFonts w:eastAsia="Times New Roman" w:cs="Arial"/>
        </w:rPr>
      </w:pPr>
      <w:r w:rsidRPr="00705EC2">
        <w:rPr>
          <w:rFonts w:eastAsia="Times New Roman" w:cs="Arial"/>
          <w:color w:val="000000"/>
          <w:lang w:eastAsia="bg-BG"/>
        </w:rPr>
        <w:t>Много чести</w:t>
      </w:r>
      <w:r w:rsidRPr="00705EC2">
        <w:rPr>
          <w:rFonts w:eastAsia="Times New Roman" w:cs="Arial"/>
          <w:color w:val="000000"/>
          <w:lang w:val="ru-RU" w:eastAsia="bg-BG"/>
        </w:rPr>
        <w:t xml:space="preserve">: </w:t>
      </w:r>
      <w:r w:rsidRPr="00705EC2">
        <w:rPr>
          <w:rFonts w:eastAsia="Times New Roman" w:cs="Arial"/>
          <w:color w:val="000000"/>
          <w:lang w:eastAsia="bg-BG"/>
        </w:rPr>
        <w:t>Хипокалиемия, повишено ниво на липиди в</w:t>
      </w:r>
      <w:r w:rsidRPr="00705EC2">
        <w:rPr>
          <w:rFonts w:eastAsia="Times New Roman" w:cs="Arial"/>
          <w:lang w:val="ru-RU"/>
        </w:rPr>
        <w:t xml:space="preserve"> </w:t>
      </w:r>
      <w:r w:rsidRPr="00705EC2">
        <w:rPr>
          <w:rFonts w:eastAsia="Times New Roman" w:cs="Arial"/>
          <w:color w:val="000000"/>
          <w:lang w:eastAsia="bg-BG"/>
        </w:rPr>
        <w:t>кръвта (основно при високи дози)</w:t>
      </w:r>
    </w:p>
    <w:p w14:paraId="0F489F2C" w14:textId="15BB9674" w:rsidR="00705EC2" w:rsidRPr="00705EC2" w:rsidRDefault="00705EC2" w:rsidP="00705EC2">
      <w:pPr>
        <w:spacing w:line="240" w:lineRule="auto"/>
        <w:rPr>
          <w:rFonts w:eastAsia="Times New Roman" w:cs="Arial"/>
        </w:rPr>
      </w:pPr>
      <w:r w:rsidRPr="00705EC2">
        <w:rPr>
          <w:rFonts w:eastAsia="Times New Roman" w:cs="Arial"/>
          <w:color w:val="000000"/>
          <w:lang w:eastAsia="bg-BG"/>
        </w:rPr>
        <w:t>Чести: Хипонатриемия, хипомагнезиемия,</w:t>
      </w:r>
      <w:r w:rsidRPr="00705EC2">
        <w:rPr>
          <w:rFonts w:eastAsia="Times New Roman" w:cs="Arial"/>
        </w:rPr>
        <w:t xml:space="preserve"> </w:t>
      </w:r>
      <w:r w:rsidRPr="00705EC2">
        <w:rPr>
          <w:rFonts w:eastAsia="Times New Roman" w:cs="Arial"/>
          <w:color w:val="000000"/>
          <w:lang w:eastAsia="bg-BG"/>
        </w:rPr>
        <w:t>хиперурикемия</w:t>
      </w:r>
    </w:p>
    <w:p w14:paraId="0B5765CE" w14:textId="262BC6B0" w:rsidR="00705EC2" w:rsidRPr="00705EC2" w:rsidRDefault="00705EC2" w:rsidP="00705EC2">
      <w:pPr>
        <w:spacing w:line="240" w:lineRule="auto"/>
        <w:rPr>
          <w:rFonts w:eastAsia="Times New Roman" w:cs="Arial"/>
        </w:rPr>
      </w:pPr>
      <w:r w:rsidRPr="00705EC2">
        <w:rPr>
          <w:rFonts w:eastAsia="Times New Roman" w:cs="Arial"/>
          <w:color w:val="000000"/>
          <w:lang w:eastAsia="bg-BG"/>
        </w:rPr>
        <w:t>Редки: Хиперкалциемия, хипергликемия, глюкозурия</w:t>
      </w:r>
      <w:r w:rsidRPr="00705EC2">
        <w:rPr>
          <w:rFonts w:eastAsia="Times New Roman" w:cs="Arial"/>
          <w:lang w:val="ru-RU"/>
        </w:rPr>
        <w:t xml:space="preserve"> </w:t>
      </w:r>
      <w:r w:rsidRPr="00705EC2">
        <w:rPr>
          <w:rFonts w:eastAsia="Times New Roman" w:cs="Arial"/>
          <w:color w:val="000000"/>
          <w:lang w:eastAsia="bg-BG"/>
        </w:rPr>
        <w:t>и влошаване на диабетното метаболитно състояние</w:t>
      </w:r>
    </w:p>
    <w:p w14:paraId="32E9366D" w14:textId="7366FA72" w:rsidR="00705EC2" w:rsidRPr="00705EC2" w:rsidRDefault="00705EC2" w:rsidP="00705EC2">
      <w:pPr>
        <w:spacing w:line="240" w:lineRule="auto"/>
        <w:rPr>
          <w:rFonts w:eastAsia="Times New Roman" w:cs="Arial"/>
        </w:rPr>
      </w:pPr>
      <w:r w:rsidRPr="00705EC2">
        <w:rPr>
          <w:rFonts w:eastAsia="Times New Roman" w:cs="Arial"/>
          <w:color w:val="000000"/>
          <w:lang w:eastAsia="bg-BG"/>
        </w:rPr>
        <w:t>Много редки</w:t>
      </w:r>
      <w:r w:rsidRPr="00705EC2">
        <w:rPr>
          <w:rFonts w:eastAsia="Times New Roman" w:cs="Arial"/>
          <w:color w:val="000000"/>
          <w:lang w:val="ru-RU" w:eastAsia="bg-BG"/>
        </w:rPr>
        <w:t xml:space="preserve">: </w:t>
      </w:r>
      <w:r w:rsidRPr="00705EC2">
        <w:rPr>
          <w:rFonts w:eastAsia="Times New Roman" w:cs="Arial"/>
          <w:color w:val="000000"/>
          <w:lang w:eastAsia="bg-BG"/>
        </w:rPr>
        <w:t>Хипохлоремична алкалоза</w:t>
      </w:r>
    </w:p>
    <w:p w14:paraId="0AD71F8B" w14:textId="77777777" w:rsidR="00705EC2" w:rsidRPr="00705EC2" w:rsidRDefault="00705EC2" w:rsidP="00705EC2">
      <w:pPr>
        <w:spacing w:line="240" w:lineRule="auto"/>
        <w:rPr>
          <w:rFonts w:eastAsia="Times New Roman" w:cs="Arial"/>
          <w:b/>
          <w:bCs/>
          <w:color w:val="000000"/>
          <w:lang w:eastAsia="bg-BG"/>
        </w:rPr>
      </w:pPr>
    </w:p>
    <w:p w14:paraId="37D9BBFB" w14:textId="07CAD196" w:rsidR="00705EC2" w:rsidRPr="00705EC2" w:rsidRDefault="00705EC2" w:rsidP="00705EC2">
      <w:pPr>
        <w:spacing w:line="240" w:lineRule="auto"/>
        <w:rPr>
          <w:rFonts w:eastAsia="Times New Roman" w:cs="Arial"/>
        </w:rPr>
      </w:pPr>
      <w:r w:rsidRPr="00705EC2">
        <w:rPr>
          <w:rFonts w:eastAsia="Times New Roman" w:cs="Arial"/>
          <w:b/>
          <w:bCs/>
          <w:color w:val="000000"/>
          <w:lang w:eastAsia="bg-BG"/>
        </w:rPr>
        <w:t>Психични нарушения</w:t>
      </w:r>
    </w:p>
    <w:p w14:paraId="370D517E" w14:textId="52AD89C5" w:rsidR="00705EC2" w:rsidRPr="00705EC2" w:rsidRDefault="00705EC2" w:rsidP="00705EC2">
      <w:pPr>
        <w:spacing w:line="240" w:lineRule="auto"/>
        <w:rPr>
          <w:rFonts w:eastAsia="Times New Roman" w:cs="Arial"/>
        </w:rPr>
      </w:pPr>
      <w:r w:rsidRPr="00705EC2">
        <w:rPr>
          <w:rFonts w:eastAsia="Times New Roman" w:cs="Arial"/>
          <w:color w:val="000000"/>
          <w:lang w:eastAsia="bg-BG"/>
        </w:rPr>
        <w:t>Редки</w:t>
      </w:r>
      <w:r w:rsidRPr="00705EC2">
        <w:rPr>
          <w:rFonts w:eastAsia="Times New Roman" w:cs="Arial"/>
          <w:color w:val="000000"/>
          <w:lang w:val="ru-RU" w:eastAsia="bg-BG"/>
        </w:rPr>
        <w:t xml:space="preserve">: </w:t>
      </w:r>
      <w:r w:rsidRPr="00705EC2">
        <w:rPr>
          <w:rFonts w:eastAsia="Times New Roman" w:cs="Arial"/>
          <w:color w:val="000000"/>
          <w:lang w:eastAsia="bg-BG"/>
        </w:rPr>
        <w:t>Депресия, нарушения на съня</w:t>
      </w:r>
    </w:p>
    <w:p w14:paraId="65710CEC" w14:textId="77777777" w:rsidR="00705EC2" w:rsidRPr="00705EC2" w:rsidRDefault="00705EC2" w:rsidP="00705EC2">
      <w:pPr>
        <w:spacing w:line="240" w:lineRule="auto"/>
        <w:rPr>
          <w:rFonts w:eastAsia="Times New Roman" w:cs="Arial"/>
          <w:b/>
          <w:bCs/>
          <w:color w:val="000000"/>
          <w:lang w:eastAsia="bg-BG"/>
        </w:rPr>
      </w:pPr>
    </w:p>
    <w:p w14:paraId="14FC294A" w14:textId="79E1C5E0" w:rsidR="00705EC2" w:rsidRPr="00705EC2" w:rsidRDefault="00705EC2" w:rsidP="00705EC2">
      <w:pPr>
        <w:spacing w:line="240" w:lineRule="auto"/>
        <w:rPr>
          <w:rFonts w:eastAsia="Times New Roman" w:cs="Arial"/>
        </w:rPr>
      </w:pPr>
      <w:r w:rsidRPr="00705EC2">
        <w:rPr>
          <w:rFonts w:eastAsia="Times New Roman" w:cs="Arial"/>
          <w:b/>
          <w:bCs/>
          <w:color w:val="000000"/>
          <w:lang w:eastAsia="bg-BG"/>
        </w:rPr>
        <w:t>Нарушения на очите</w:t>
      </w:r>
    </w:p>
    <w:p w14:paraId="28C8BF8B" w14:textId="4B3EBABA" w:rsidR="00705EC2" w:rsidRPr="00705EC2" w:rsidRDefault="00705EC2" w:rsidP="00705EC2">
      <w:pPr>
        <w:spacing w:line="240" w:lineRule="auto"/>
        <w:rPr>
          <w:rFonts w:eastAsia="Times New Roman" w:cs="Arial"/>
        </w:rPr>
      </w:pPr>
      <w:r w:rsidRPr="00705EC2">
        <w:rPr>
          <w:rFonts w:eastAsia="Times New Roman" w:cs="Arial"/>
          <w:color w:val="000000"/>
          <w:lang w:eastAsia="bg-BG"/>
        </w:rPr>
        <w:t>Редки</w:t>
      </w:r>
      <w:r w:rsidRPr="00705EC2">
        <w:rPr>
          <w:rFonts w:eastAsia="Times New Roman" w:cs="Arial"/>
          <w:color w:val="000000"/>
          <w:lang w:val="ru-RU" w:eastAsia="bg-BG"/>
        </w:rPr>
        <w:t xml:space="preserve">: </w:t>
      </w:r>
      <w:r w:rsidRPr="00705EC2">
        <w:rPr>
          <w:rFonts w:eastAsia="Times New Roman" w:cs="Arial"/>
          <w:color w:val="000000"/>
          <w:lang w:eastAsia="bg-BG"/>
        </w:rPr>
        <w:t>Зрителни увреждания</w:t>
      </w:r>
    </w:p>
    <w:p w14:paraId="31EA807E" w14:textId="6CCE21E7" w:rsidR="00705EC2" w:rsidRPr="00705EC2" w:rsidRDefault="00705EC2" w:rsidP="00705EC2">
      <w:pPr>
        <w:spacing w:line="240" w:lineRule="auto"/>
        <w:rPr>
          <w:rFonts w:eastAsia="Times New Roman" w:cs="Arial"/>
        </w:rPr>
      </w:pPr>
      <w:r w:rsidRPr="00705EC2">
        <w:rPr>
          <w:rFonts w:eastAsia="Times New Roman" w:cs="Arial"/>
          <w:color w:val="000000"/>
          <w:lang w:eastAsia="bg-BG"/>
        </w:rPr>
        <w:t>С неизвестна честота</w:t>
      </w:r>
      <w:r w:rsidRPr="00705EC2">
        <w:rPr>
          <w:rFonts w:eastAsia="Times New Roman" w:cs="Arial"/>
          <w:color w:val="000000"/>
          <w:lang w:val="ru-RU" w:eastAsia="bg-BG"/>
        </w:rPr>
        <w:t xml:space="preserve">: </w:t>
      </w:r>
      <w:r w:rsidRPr="00705EC2">
        <w:rPr>
          <w:rFonts w:eastAsia="Times New Roman" w:cs="Arial"/>
          <w:color w:val="000000"/>
          <w:lang w:eastAsia="bg-BG"/>
        </w:rPr>
        <w:t>Хороидален излив, остра закритоъгълна</w:t>
      </w:r>
      <w:r w:rsidRPr="00705EC2">
        <w:rPr>
          <w:rFonts w:eastAsia="Times New Roman" w:cs="Arial"/>
          <w:lang w:val="ru-RU"/>
        </w:rPr>
        <w:t xml:space="preserve"> </w:t>
      </w:r>
      <w:r w:rsidRPr="00705EC2">
        <w:rPr>
          <w:rFonts w:eastAsia="Times New Roman" w:cs="Arial"/>
          <w:color w:val="000000"/>
          <w:lang w:eastAsia="bg-BG"/>
        </w:rPr>
        <w:t>глаукома</w:t>
      </w:r>
    </w:p>
    <w:p w14:paraId="4415D354" w14:textId="77777777" w:rsidR="00705EC2" w:rsidRPr="00705EC2" w:rsidRDefault="00705EC2" w:rsidP="00705EC2">
      <w:pPr>
        <w:spacing w:line="240" w:lineRule="auto"/>
        <w:rPr>
          <w:rFonts w:eastAsia="Times New Roman" w:cs="Arial"/>
          <w:b/>
          <w:bCs/>
          <w:color w:val="000000"/>
          <w:lang w:eastAsia="bg-BG"/>
        </w:rPr>
      </w:pPr>
    </w:p>
    <w:p w14:paraId="0C503433" w14:textId="3AF780D2" w:rsidR="00705EC2" w:rsidRPr="00705EC2" w:rsidRDefault="00705EC2" w:rsidP="00705EC2">
      <w:pPr>
        <w:spacing w:line="240" w:lineRule="auto"/>
        <w:rPr>
          <w:rFonts w:eastAsia="Times New Roman" w:cs="Arial"/>
        </w:rPr>
      </w:pPr>
      <w:r w:rsidRPr="00705EC2">
        <w:rPr>
          <w:rFonts w:eastAsia="Times New Roman" w:cs="Arial"/>
          <w:b/>
          <w:bCs/>
          <w:color w:val="000000"/>
          <w:lang w:eastAsia="bg-BG"/>
        </w:rPr>
        <w:t>Нарушения на нервната система</w:t>
      </w:r>
    </w:p>
    <w:p w14:paraId="7BEF3482" w14:textId="77777777" w:rsidR="00705EC2" w:rsidRPr="00705EC2" w:rsidRDefault="00705EC2" w:rsidP="00705EC2">
      <w:pPr>
        <w:spacing w:line="240" w:lineRule="auto"/>
        <w:rPr>
          <w:rFonts w:eastAsia="Times New Roman" w:cs="Arial"/>
        </w:rPr>
      </w:pPr>
      <w:r w:rsidRPr="00705EC2">
        <w:rPr>
          <w:rFonts w:eastAsia="Times New Roman" w:cs="Arial"/>
          <w:color w:val="000000"/>
          <w:lang w:eastAsia="bg-BG"/>
        </w:rPr>
        <w:t>Редки</w:t>
      </w:r>
      <w:r w:rsidRPr="00705EC2">
        <w:rPr>
          <w:rFonts w:eastAsia="Times New Roman" w:cs="Arial"/>
          <w:color w:val="000000"/>
          <w:lang w:eastAsia="bg-BG"/>
        </w:rPr>
        <w:tab/>
        <w:t>Главоболие</w:t>
      </w:r>
    </w:p>
    <w:p w14:paraId="371E8409" w14:textId="77777777" w:rsidR="00705EC2" w:rsidRPr="00705EC2" w:rsidRDefault="00705EC2" w:rsidP="00705EC2">
      <w:pPr>
        <w:spacing w:line="240" w:lineRule="auto"/>
        <w:rPr>
          <w:rFonts w:eastAsia="Times New Roman" w:cs="Arial"/>
          <w:b/>
          <w:bCs/>
          <w:color w:val="000000"/>
          <w:lang w:eastAsia="bg-BG"/>
        </w:rPr>
      </w:pPr>
    </w:p>
    <w:p w14:paraId="22BE50F8" w14:textId="14590B98" w:rsidR="00705EC2" w:rsidRPr="00705EC2" w:rsidRDefault="00705EC2" w:rsidP="00705EC2">
      <w:pPr>
        <w:spacing w:line="240" w:lineRule="auto"/>
        <w:rPr>
          <w:rFonts w:eastAsia="Times New Roman" w:cs="Arial"/>
        </w:rPr>
      </w:pPr>
      <w:r w:rsidRPr="00705EC2">
        <w:rPr>
          <w:rFonts w:eastAsia="Times New Roman" w:cs="Arial"/>
          <w:b/>
          <w:bCs/>
          <w:color w:val="000000"/>
          <w:lang w:eastAsia="bg-BG"/>
        </w:rPr>
        <w:t>Сърдечни нарушения</w:t>
      </w:r>
    </w:p>
    <w:p w14:paraId="7A3509BD" w14:textId="77777777" w:rsidR="00705EC2" w:rsidRPr="00705EC2" w:rsidRDefault="00705EC2" w:rsidP="00705EC2">
      <w:pPr>
        <w:spacing w:line="240" w:lineRule="auto"/>
        <w:rPr>
          <w:rFonts w:eastAsia="Times New Roman" w:cs="Arial"/>
        </w:rPr>
      </w:pPr>
      <w:r w:rsidRPr="00705EC2">
        <w:rPr>
          <w:rFonts w:eastAsia="Times New Roman" w:cs="Arial"/>
          <w:color w:val="000000"/>
          <w:lang w:eastAsia="bg-BG"/>
        </w:rPr>
        <w:t>Редки</w:t>
      </w:r>
      <w:r w:rsidRPr="00705EC2">
        <w:rPr>
          <w:rFonts w:eastAsia="Times New Roman" w:cs="Arial"/>
          <w:color w:val="000000"/>
          <w:lang w:eastAsia="bg-BG"/>
        </w:rPr>
        <w:tab/>
        <w:t>Сърдечни аритмии</w:t>
      </w:r>
    </w:p>
    <w:p w14:paraId="545D988B" w14:textId="77777777" w:rsidR="00705EC2" w:rsidRPr="00705EC2" w:rsidRDefault="00705EC2" w:rsidP="00705EC2">
      <w:pPr>
        <w:spacing w:line="240" w:lineRule="auto"/>
        <w:rPr>
          <w:rFonts w:eastAsia="Times New Roman" w:cs="Arial"/>
          <w:b/>
          <w:bCs/>
          <w:color w:val="000000"/>
          <w:lang w:eastAsia="bg-BG"/>
        </w:rPr>
      </w:pPr>
    </w:p>
    <w:p w14:paraId="5FC39B15" w14:textId="28BC217E" w:rsidR="00705EC2" w:rsidRPr="00705EC2" w:rsidRDefault="00705EC2" w:rsidP="00705EC2">
      <w:pPr>
        <w:spacing w:line="240" w:lineRule="auto"/>
        <w:rPr>
          <w:rFonts w:eastAsia="Times New Roman" w:cs="Arial"/>
        </w:rPr>
      </w:pPr>
      <w:r w:rsidRPr="00705EC2">
        <w:rPr>
          <w:rFonts w:eastAsia="Times New Roman" w:cs="Arial"/>
          <w:b/>
          <w:bCs/>
          <w:color w:val="000000"/>
          <w:lang w:eastAsia="bg-BG"/>
        </w:rPr>
        <w:t>Съдови нарушения</w:t>
      </w:r>
    </w:p>
    <w:p w14:paraId="6E21658B" w14:textId="77777777" w:rsidR="00705EC2" w:rsidRPr="00705EC2" w:rsidRDefault="00705EC2" w:rsidP="00705EC2">
      <w:pPr>
        <w:spacing w:line="240" w:lineRule="auto"/>
        <w:rPr>
          <w:rFonts w:eastAsia="Times New Roman" w:cs="Arial"/>
        </w:rPr>
      </w:pPr>
      <w:r w:rsidRPr="00705EC2">
        <w:rPr>
          <w:rFonts w:eastAsia="Times New Roman" w:cs="Arial"/>
          <w:color w:val="000000"/>
          <w:lang w:eastAsia="bg-BG"/>
        </w:rPr>
        <w:t>Чести</w:t>
      </w:r>
      <w:r w:rsidRPr="00705EC2">
        <w:rPr>
          <w:rFonts w:eastAsia="Times New Roman" w:cs="Arial"/>
          <w:color w:val="000000"/>
          <w:lang w:eastAsia="bg-BG"/>
        </w:rPr>
        <w:tab/>
        <w:t>Постурална хипотония</w:t>
      </w:r>
    </w:p>
    <w:p w14:paraId="35205FF1" w14:textId="77777777" w:rsidR="00705EC2" w:rsidRPr="00705EC2" w:rsidRDefault="00705EC2" w:rsidP="00705EC2">
      <w:pPr>
        <w:spacing w:line="240" w:lineRule="auto"/>
        <w:rPr>
          <w:rFonts w:eastAsia="Times New Roman" w:cs="Arial"/>
          <w:b/>
          <w:bCs/>
          <w:color w:val="000000"/>
          <w:lang w:eastAsia="bg-BG"/>
        </w:rPr>
      </w:pPr>
    </w:p>
    <w:p w14:paraId="12417B70" w14:textId="25B1E80F" w:rsidR="00705EC2" w:rsidRPr="00705EC2" w:rsidRDefault="00705EC2" w:rsidP="00705EC2">
      <w:pPr>
        <w:spacing w:line="240" w:lineRule="auto"/>
        <w:rPr>
          <w:rFonts w:eastAsia="Times New Roman" w:cs="Arial"/>
        </w:rPr>
      </w:pPr>
      <w:r w:rsidRPr="00705EC2">
        <w:rPr>
          <w:rFonts w:eastAsia="Times New Roman" w:cs="Arial"/>
          <w:b/>
          <w:bCs/>
          <w:color w:val="000000"/>
          <w:lang w:eastAsia="bg-BG"/>
        </w:rPr>
        <w:t>Респираторни, гръдни и медиастинални нарушения</w:t>
      </w:r>
    </w:p>
    <w:p w14:paraId="75292790" w14:textId="77777777" w:rsidR="00705EC2" w:rsidRPr="00705EC2" w:rsidRDefault="00705EC2" w:rsidP="00705EC2">
      <w:pPr>
        <w:spacing w:line="240" w:lineRule="auto"/>
        <w:rPr>
          <w:rFonts w:eastAsia="Times New Roman" w:cs="Arial"/>
        </w:rPr>
      </w:pPr>
      <w:r w:rsidRPr="00705EC2">
        <w:rPr>
          <w:rFonts w:eastAsia="Times New Roman" w:cs="Arial"/>
          <w:color w:val="000000"/>
          <w:lang w:eastAsia="bg-BG"/>
        </w:rPr>
        <w:t>Много редки</w:t>
      </w:r>
      <w:r w:rsidRPr="00705EC2">
        <w:rPr>
          <w:rFonts w:eastAsia="Times New Roman" w:cs="Arial"/>
          <w:color w:val="000000"/>
          <w:lang w:eastAsia="bg-BG"/>
        </w:rPr>
        <w:tab/>
        <w:t>Респираторен дистрес, включително</w:t>
      </w:r>
    </w:p>
    <w:p w14:paraId="46DFC223" w14:textId="77777777" w:rsidR="00705EC2" w:rsidRPr="00705EC2" w:rsidRDefault="00705EC2" w:rsidP="00705EC2">
      <w:pPr>
        <w:spacing w:line="240" w:lineRule="auto"/>
        <w:rPr>
          <w:rFonts w:eastAsia="Times New Roman" w:cs="Arial"/>
        </w:rPr>
      </w:pPr>
      <w:r w:rsidRPr="00705EC2">
        <w:rPr>
          <w:rFonts w:eastAsia="Times New Roman" w:cs="Arial"/>
          <w:color w:val="000000"/>
          <w:lang w:eastAsia="bg-BG"/>
        </w:rPr>
        <w:t>пневмонит и белодробен оток</w:t>
      </w:r>
    </w:p>
    <w:p w14:paraId="3B571FF2" w14:textId="77777777" w:rsidR="00705EC2" w:rsidRPr="00705EC2" w:rsidRDefault="00705EC2" w:rsidP="00705EC2">
      <w:pPr>
        <w:spacing w:line="240" w:lineRule="auto"/>
        <w:rPr>
          <w:rFonts w:eastAsia="Times New Roman" w:cs="Arial"/>
          <w:b/>
          <w:bCs/>
          <w:color w:val="000000"/>
          <w:lang w:eastAsia="bg-BG"/>
        </w:rPr>
      </w:pPr>
    </w:p>
    <w:p w14:paraId="11279840" w14:textId="360D67E2" w:rsidR="00705EC2" w:rsidRPr="00705EC2" w:rsidRDefault="00705EC2" w:rsidP="00705EC2">
      <w:pPr>
        <w:spacing w:line="240" w:lineRule="auto"/>
        <w:rPr>
          <w:rFonts w:eastAsia="Times New Roman" w:cs="Arial"/>
        </w:rPr>
      </w:pPr>
      <w:r w:rsidRPr="00705EC2">
        <w:rPr>
          <w:rFonts w:eastAsia="Times New Roman" w:cs="Arial"/>
          <w:b/>
          <w:bCs/>
          <w:color w:val="000000"/>
          <w:lang w:eastAsia="bg-BG"/>
        </w:rPr>
        <w:t>Стомашно-чревни нарушения</w:t>
      </w:r>
    </w:p>
    <w:p w14:paraId="3708996E" w14:textId="52E9CAA4" w:rsidR="00705EC2" w:rsidRPr="00705EC2" w:rsidRDefault="00705EC2" w:rsidP="00705EC2">
      <w:pPr>
        <w:spacing w:line="240" w:lineRule="auto"/>
        <w:rPr>
          <w:rFonts w:eastAsia="Times New Roman" w:cs="Arial"/>
        </w:rPr>
      </w:pPr>
      <w:r w:rsidRPr="00705EC2">
        <w:rPr>
          <w:rFonts w:eastAsia="Times New Roman" w:cs="Arial"/>
          <w:color w:val="000000"/>
          <w:lang w:eastAsia="bg-BG"/>
        </w:rPr>
        <w:t>Чести</w:t>
      </w:r>
      <w:r w:rsidRPr="00705EC2">
        <w:rPr>
          <w:rFonts w:eastAsia="Times New Roman" w:cs="Arial"/>
          <w:color w:val="000000"/>
          <w:lang w:val="ru-RU" w:eastAsia="bg-BG"/>
        </w:rPr>
        <w:t xml:space="preserve">: </w:t>
      </w:r>
      <w:r w:rsidRPr="00705EC2">
        <w:rPr>
          <w:rFonts w:eastAsia="Times New Roman" w:cs="Arial"/>
          <w:color w:val="000000"/>
          <w:lang w:eastAsia="bg-BG"/>
        </w:rPr>
        <w:t>Загуба на апетит, умерено гадене и повръщане</w:t>
      </w:r>
    </w:p>
    <w:p w14:paraId="5FF2E40E" w14:textId="6B5BD233" w:rsidR="00705EC2" w:rsidRPr="00705EC2" w:rsidRDefault="00705EC2" w:rsidP="00705EC2">
      <w:pPr>
        <w:spacing w:line="240" w:lineRule="auto"/>
        <w:rPr>
          <w:rFonts w:eastAsia="Times New Roman" w:cs="Arial"/>
        </w:rPr>
      </w:pPr>
      <w:r w:rsidRPr="00705EC2">
        <w:rPr>
          <w:rFonts w:eastAsia="Times New Roman" w:cs="Arial"/>
          <w:color w:val="000000"/>
          <w:lang w:eastAsia="bg-BG"/>
        </w:rPr>
        <w:t>Редки</w:t>
      </w:r>
      <w:r w:rsidRPr="00705EC2">
        <w:rPr>
          <w:rFonts w:eastAsia="Times New Roman" w:cs="Arial"/>
          <w:color w:val="000000"/>
          <w:lang w:val="ru-RU" w:eastAsia="bg-BG"/>
        </w:rPr>
        <w:t xml:space="preserve">: </w:t>
      </w:r>
      <w:r w:rsidRPr="00705EC2">
        <w:rPr>
          <w:rFonts w:eastAsia="Times New Roman" w:cs="Arial"/>
          <w:color w:val="000000"/>
          <w:lang w:eastAsia="bg-BG"/>
        </w:rPr>
        <w:t>Запек, стомашно-чревен дискомфорт, диария</w:t>
      </w:r>
    </w:p>
    <w:p w14:paraId="0423D7CA" w14:textId="352FF8B9" w:rsidR="00705EC2" w:rsidRPr="00705EC2" w:rsidRDefault="00705EC2" w:rsidP="00705EC2">
      <w:pPr>
        <w:spacing w:line="240" w:lineRule="auto"/>
        <w:rPr>
          <w:rFonts w:eastAsia="Times New Roman" w:cs="Arial"/>
        </w:rPr>
      </w:pPr>
      <w:r w:rsidRPr="00705EC2">
        <w:rPr>
          <w:rFonts w:eastAsia="Times New Roman" w:cs="Arial"/>
          <w:color w:val="000000"/>
          <w:lang w:eastAsia="bg-BG"/>
        </w:rPr>
        <w:t>Много редки</w:t>
      </w:r>
      <w:r w:rsidRPr="00705EC2">
        <w:rPr>
          <w:rFonts w:eastAsia="Times New Roman" w:cs="Arial"/>
          <w:color w:val="000000"/>
          <w:lang w:val="en-US" w:eastAsia="bg-BG"/>
        </w:rPr>
        <w:t xml:space="preserve">: </w:t>
      </w:r>
      <w:r w:rsidRPr="00705EC2">
        <w:rPr>
          <w:rFonts w:eastAsia="Times New Roman" w:cs="Arial"/>
          <w:color w:val="000000"/>
          <w:lang w:eastAsia="bg-BG"/>
        </w:rPr>
        <w:t>Панкреатит</w:t>
      </w:r>
    </w:p>
    <w:p w14:paraId="4DD95D78" w14:textId="77777777" w:rsidR="00705EC2" w:rsidRPr="00705EC2" w:rsidRDefault="00705EC2" w:rsidP="00705EC2">
      <w:pPr>
        <w:spacing w:line="240" w:lineRule="auto"/>
        <w:rPr>
          <w:rFonts w:eastAsia="Times New Roman" w:cs="Arial"/>
          <w:b/>
          <w:bCs/>
          <w:color w:val="000000"/>
          <w:lang w:eastAsia="bg-BG"/>
        </w:rPr>
      </w:pPr>
    </w:p>
    <w:p w14:paraId="6E1A06AB" w14:textId="18714E66" w:rsidR="00705EC2" w:rsidRPr="00705EC2" w:rsidRDefault="00705EC2" w:rsidP="00705EC2">
      <w:pPr>
        <w:spacing w:line="240" w:lineRule="auto"/>
        <w:rPr>
          <w:rFonts w:eastAsia="Times New Roman" w:cs="Arial"/>
        </w:rPr>
      </w:pPr>
      <w:r w:rsidRPr="00705EC2">
        <w:rPr>
          <w:rFonts w:eastAsia="Times New Roman" w:cs="Arial"/>
          <w:b/>
          <w:bCs/>
          <w:color w:val="000000"/>
          <w:lang w:eastAsia="bg-BG"/>
        </w:rPr>
        <w:t>Нарушения на бъбреците и пикочните пътища</w:t>
      </w:r>
    </w:p>
    <w:p w14:paraId="55B2C400" w14:textId="28BA0E50" w:rsidR="00705EC2" w:rsidRPr="00705EC2" w:rsidRDefault="00705EC2" w:rsidP="00705EC2">
      <w:pPr>
        <w:spacing w:line="240" w:lineRule="auto"/>
        <w:rPr>
          <w:rFonts w:eastAsia="Times New Roman" w:cs="Arial"/>
        </w:rPr>
      </w:pPr>
      <w:r w:rsidRPr="00705EC2">
        <w:rPr>
          <w:rFonts w:eastAsia="Times New Roman" w:cs="Arial"/>
          <w:color w:val="000000"/>
          <w:lang w:eastAsia="bg-BG"/>
        </w:rPr>
        <w:t>С неизвестна честота</w:t>
      </w:r>
      <w:r w:rsidRPr="00705EC2">
        <w:rPr>
          <w:rFonts w:eastAsia="Times New Roman" w:cs="Arial"/>
          <w:color w:val="000000"/>
          <w:lang w:val="ru-RU" w:eastAsia="bg-BG"/>
        </w:rPr>
        <w:t xml:space="preserve">: </w:t>
      </w:r>
      <w:r w:rsidRPr="00705EC2">
        <w:rPr>
          <w:rFonts w:eastAsia="Times New Roman" w:cs="Arial"/>
          <w:color w:val="000000"/>
          <w:lang w:eastAsia="bg-BG"/>
        </w:rPr>
        <w:t>Бъбречно заболяване, остра бъбречна</w:t>
      </w:r>
      <w:r w:rsidRPr="00705EC2">
        <w:rPr>
          <w:rFonts w:eastAsia="Times New Roman" w:cs="Arial"/>
          <w:lang w:val="ru-RU"/>
        </w:rPr>
        <w:t xml:space="preserve"> </w:t>
      </w:r>
      <w:r w:rsidRPr="00705EC2">
        <w:rPr>
          <w:rFonts w:eastAsia="Times New Roman" w:cs="Arial"/>
          <w:color w:val="000000"/>
          <w:lang w:eastAsia="bg-BG"/>
        </w:rPr>
        <w:t>недостатъчност</w:t>
      </w:r>
    </w:p>
    <w:p w14:paraId="070525B2" w14:textId="77777777" w:rsidR="00705EC2" w:rsidRPr="00705EC2" w:rsidRDefault="00705EC2" w:rsidP="00705EC2">
      <w:pPr>
        <w:spacing w:line="240" w:lineRule="auto"/>
        <w:rPr>
          <w:rFonts w:eastAsia="Times New Roman" w:cs="Arial"/>
          <w:b/>
          <w:bCs/>
          <w:color w:val="000000"/>
          <w:lang w:eastAsia="bg-BG"/>
        </w:rPr>
      </w:pPr>
    </w:p>
    <w:p w14:paraId="46161B07" w14:textId="26E3AA33" w:rsidR="00705EC2" w:rsidRPr="00705EC2" w:rsidRDefault="00705EC2" w:rsidP="00705EC2">
      <w:pPr>
        <w:spacing w:line="240" w:lineRule="auto"/>
        <w:rPr>
          <w:rFonts w:eastAsia="Times New Roman" w:cs="Arial"/>
        </w:rPr>
      </w:pPr>
      <w:r w:rsidRPr="00705EC2">
        <w:rPr>
          <w:rFonts w:eastAsia="Times New Roman" w:cs="Arial"/>
          <w:b/>
          <w:bCs/>
          <w:color w:val="000000"/>
          <w:lang w:eastAsia="bg-BG"/>
        </w:rPr>
        <w:t>Хепатобилиарни нарушения</w:t>
      </w:r>
    </w:p>
    <w:p w14:paraId="5917AC04" w14:textId="547AB94A" w:rsidR="00705EC2" w:rsidRPr="00705EC2" w:rsidRDefault="00705EC2" w:rsidP="00705EC2">
      <w:pPr>
        <w:spacing w:line="240" w:lineRule="auto"/>
        <w:rPr>
          <w:rFonts w:eastAsia="Times New Roman" w:cs="Arial"/>
        </w:rPr>
      </w:pPr>
      <w:r w:rsidRPr="00705EC2">
        <w:rPr>
          <w:rFonts w:eastAsia="Times New Roman" w:cs="Arial"/>
          <w:color w:val="000000"/>
          <w:lang w:eastAsia="bg-BG"/>
        </w:rPr>
        <w:t>Редки</w:t>
      </w:r>
      <w:r w:rsidRPr="00705EC2">
        <w:rPr>
          <w:rFonts w:eastAsia="Times New Roman" w:cs="Arial"/>
          <w:color w:val="000000"/>
          <w:lang w:val="ru-RU" w:eastAsia="bg-BG"/>
        </w:rPr>
        <w:t xml:space="preserve">: </w:t>
      </w:r>
      <w:r w:rsidRPr="00705EC2">
        <w:rPr>
          <w:rFonts w:eastAsia="Times New Roman" w:cs="Arial"/>
          <w:color w:val="000000"/>
          <w:lang w:eastAsia="bg-BG"/>
        </w:rPr>
        <w:t>Интрахепатална холестаза или жълтеница</w:t>
      </w:r>
    </w:p>
    <w:p w14:paraId="3BB03B9A" w14:textId="77777777" w:rsidR="00705EC2" w:rsidRPr="00705EC2" w:rsidRDefault="00705EC2" w:rsidP="00705EC2">
      <w:pPr>
        <w:spacing w:line="240" w:lineRule="auto"/>
        <w:rPr>
          <w:rFonts w:eastAsia="Times New Roman" w:cs="Arial"/>
          <w:b/>
          <w:bCs/>
          <w:color w:val="000000"/>
          <w:lang w:eastAsia="bg-BG"/>
        </w:rPr>
      </w:pPr>
    </w:p>
    <w:p w14:paraId="7C2EF270" w14:textId="6B83D5DC" w:rsidR="00705EC2" w:rsidRPr="00705EC2" w:rsidRDefault="00705EC2" w:rsidP="00705EC2">
      <w:pPr>
        <w:spacing w:line="240" w:lineRule="auto"/>
        <w:rPr>
          <w:rFonts w:eastAsia="Times New Roman" w:cs="Arial"/>
        </w:rPr>
      </w:pPr>
      <w:r w:rsidRPr="00705EC2">
        <w:rPr>
          <w:rFonts w:eastAsia="Times New Roman" w:cs="Arial"/>
          <w:b/>
          <w:bCs/>
          <w:color w:val="000000"/>
          <w:lang w:eastAsia="bg-BG"/>
        </w:rPr>
        <w:t>Нарушения на кожата н подкожната тъкан</w:t>
      </w:r>
    </w:p>
    <w:p w14:paraId="30179C7D" w14:textId="7505BBCE" w:rsidR="00705EC2" w:rsidRPr="00705EC2" w:rsidRDefault="00705EC2" w:rsidP="00705EC2">
      <w:pPr>
        <w:spacing w:line="240" w:lineRule="auto"/>
        <w:rPr>
          <w:rFonts w:eastAsia="Times New Roman" w:cs="Arial"/>
        </w:rPr>
      </w:pPr>
      <w:r w:rsidRPr="00705EC2">
        <w:rPr>
          <w:rFonts w:eastAsia="Times New Roman" w:cs="Arial"/>
          <w:color w:val="000000"/>
          <w:lang w:eastAsia="bg-BG"/>
        </w:rPr>
        <w:t>Чести</w:t>
      </w:r>
      <w:r w:rsidRPr="00705EC2">
        <w:rPr>
          <w:rFonts w:eastAsia="Times New Roman" w:cs="Arial"/>
          <w:color w:val="000000"/>
          <w:lang w:val="ru-RU" w:eastAsia="bg-BG"/>
        </w:rPr>
        <w:t xml:space="preserve">: </w:t>
      </w:r>
      <w:r w:rsidRPr="00705EC2">
        <w:rPr>
          <w:rFonts w:eastAsia="Times New Roman" w:cs="Arial"/>
          <w:color w:val="000000"/>
          <w:lang w:eastAsia="bg-BG"/>
        </w:rPr>
        <w:t>Уртикария и други видове обрив</w:t>
      </w:r>
    </w:p>
    <w:p w14:paraId="14DB2D2C" w14:textId="38E520F8" w:rsidR="00705EC2" w:rsidRPr="00705EC2" w:rsidRDefault="00705EC2" w:rsidP="00705EC2">
      <w:pPr>
        <w:spacing w:line="240" w:lineRule="auto"/>
        <w:rPr>
          <w:rFonts w:eastAsia="Times New Roman" w:cs="Arial"/>
        </w:rPr>
      </w:pPr>
      <w:r w:rsidRPr="00705EC2">
        <w:rPr>
          <w:rFonts w:eastAsia="Times New Roman" w:cs="Arial"/>
          <w:color w:val="000000"/>
          <w:lang w:eastAsia="bg-BG"/>
        </w:rPr>
        <w:t>Редки</w:t>
      </w:r>
      <w:r w:rsidRPr="00705EC2">
        <w:rPr>
          <w:rFonts w:eastAsia="Times New Roman" w:cs="Arial"/>
          <w:color w:val="000000"/>
          <w:lang w:val="ru-RU" w:eastAsia="bg-BG"/>
        </w:rPr>
        <w:t xml:space="preserve">: </w:t>
      </w:r>
      <w:r w:rsidRPr="00705EC2">
        <w:rPr>
          <w:rFonts w:eastAsia="Times New Roman" w:cs="Arial"/>
          <w:color w:val="000000"/>
          <w:lang w:eastAsia="bg-BG"/>
        </w:rPr>
        <w:t>Фоточувствителност</w:t>
      </w:r>
    </w:p>
    <w:p w14:paraId="12302D6E" w14:textId="260A33C3" w:rsidR="00705EC2" w:rsidRPr="00705EC2" w:rsidRDefault="00705EC2" w:rsidP="00705EC2">
      <w:pPr>
        <w:spacing w:line="240" w:lineRule="auto"/>
        <w:rPr>
          <w:rFonts w:eastAsia="Times New Roman" w:cs="Arial"/>
        </w:rPr>
      </w:pPr>
      <w:r w:rsidRPr="00705EC2">
        <w:rPr>
          <w:rFonts w:eastAsia="Times New Roman" w:cs="Arial"/>
          <w:color w:val="000000"/>
          <w:lang w:eastAsia="bg-BG"/>
        </w:rPr>
        <w:lastRenderedPageBreak/>
        <w:t>Много редки</w:t>
      </w:r>
      <w:r w:rsidRPr="00705EC2">
        <w:rPr>
          <w:rFonts w:eastAsia="Times New Roman" w:cs="Arial"/>
          <w:color w:val="000000"/>
          <w:lang w:val="ru-RU" w:eastAsia="bg-BG"/>
        </w:rPr>
        <w:t xml:space="preserve">: </w:t>
      </w:r>
      <w:r w:rsidRPr="00705EC2">
        <w:rPr>
          <w:rFonts w:eastAsia="Times New Roman" w:cs="Arial"/>
          <w:color w:val="000000"/>
          <w:lang w:eastAsia="bg-BG"/>
        </w:rPr>
        <w:t>Некротизиращ васкулит и токсична</w:t>
      </w:r>
      <w:r w:rsidRPr="00705EC2">
        <w:rPr>
          <w:rFonts w:eastAsia="Times New Roman" w:cs="Arial"/>
          <w:lang w:val="ru-RU"/>
        </w:rPr>
        <w:t xml:space="preserve"> </w:t>
      </w:r>
      <w:r w:rsidRPr="00705EC2">
        <w:rPr>
          <w:rFonts w:eastAsia="Times New Roman" w:cs="Arial"/>
          <w:color w:val="000000"/>
          <w:lang w:eastAsia="bg-BG"/>
        </w:rPr>
        <w:t>епидермална некролиза, кожен лупус, подобни на лупус еритематодес кожни реакции, реактивация на кожен лупус еритематодес</w:t>
      </w:r>
    </w:p>
    <w:p w14:paraId="5D4B8B82" w14:textId="37DA5257" w:rsidR="00705EC2" w:rsidRPr="00705EC2" w:rsidRDefault="00705EC2" w:rsidP="00705EC2">
      <w:pPr>
        <w:spacing w:line="240" w:lineRule="auto"/>
        <w:rPr>
          <w:rFonts w:eastAsia="Times New Roman" w:cs="Arial"/>
        </w:rPr>
      </w:pPr>
      <w:r w:rsidRPr="00705EC2">
        <w:rPr>
          <w:rFonts w:eastAsia="Times New Roman" w:cs="Arial"/>
          <w:color w:val="000000"/>
          <w:lang w:eastAsia="bg-BG"/>
        </w:rPr>
        <w:t>С неизвестна честота</w:t>
      </w:r>
      <w:r w:rsidRPr="00705EC2">
        <w:rPr>
          <w:rFonts w:eastAsia="Times New Roman" w:cs="Arial"/>
          <w:color w:val="000000"/>
          <w:lang w:val="en-US" w:eastAsia="bg-BG"/>
        </w:rPr>
        <w:t xml:space="preserve">: </w:t>
      </w:r>
      <w:r w:rsidRPr="00705EC2">
        <w:rPr>
          <w:rFonts w:eastAsia="Times New Roman" w:cs="Arial"/>
          <w:color w:val="000000"/>
          <w:lang w:eastAsia="bg-BG"/>
        </w:rPr>
        <w:t>Еритема мултиформе</w:t>
      </w:r>
    </w:p>
    <w:p w14:paraId="01400AB2" w14:textId="77777777" w:rsidR="00705EC2" w:rsidRPr="00705EC2" w:rsidRDefault="00705EC2" w:rsidP="00705EC2">
      <w:pPr>
        <w:spacing w:line="240" w:lineRule="auto"/>
        <w:rPr>
          <w:rFonts w:eastAsia="Times New Roman" w:cs="Arial"/>
          <w:b/>
          <w:bCs/>
          <w:color w:val="000000"/>
          <w:lang w:eastAsia="bg-BG"/>
        </w:rPr>
      </w:pPr>
    </w:p>
    <w:p w14:paraId="3633DD0F" w14:textId="4D95A74D" w:rsidR="00705EC2" w:rsidRPr="00705EC2" w:rsidRDefault="00705EC2" w:rsidP="00705EC2">
      <w:pPr>
        <w:spacing w:line="240" w:lineRule="auto"/>
        <w:rPr>
          <w:rFonts w:eastAsia="Times New Roman" w:cs="Arial"/>
        </w:rPr>
      </w:pPr>
      <w:r w:rsidRPr="00705EC2">
        <w:rPr>
          <w:rFonts w:eastAsia="Times New Roman" w:cs="Arial"/>
          <w:b/>
          <w:bCs/>
          <w:color w:val="000000"/>
          <w:lang w:eastAsia="bg-BG"/>
        </w:rPr>
        <w:t>Общи нарушения и ефекти на мястото на приложение</w:t>
      </w:r>
    </w:p>
    <w:p w14:paraId="7EB45253" w14:textId="7EA2A071" w:rsidR="00705EC2" w:rsidRPr="00705EC2" w:rsidRDefault="00705EC2" w:rsidP="00705EC2">
      <w:pPr>
        <w:spacing w:line="240" w:lineRule="auto"/>
        <w:rPr>
          <w:rFonts w:eastAsia="Times New Roman" w:cs="Arial"/>
        </w:rPr>
      </w:pPr>
      <w:r w:rsidRPr="00705EC2">
        <w:rPr>
          <w:rFonts w:eastAsia="Times New Roman" w:cs="Arial"/>
          <w:color w:val="000000"/>
          <w:lang w:eastAsia="bg-BG"/>
        </w:rPr>
        <w:t>С неизвестна честота</w:t>
      </w:r>
      <w:r w:rsidRPr="00705EC2">
        <w:rPr>
          <w:rFonts w:eastAsia="Times New Roman" w:cs="Arial"/>
          <w:color w:val="000000"/>
          <w:lang w:val="en-US" w:eastAsia="bg-BG"/>
        </w:rPr>
        <w:t xml:space="preserve">: </w:t>
      </w:r>
      <w:r w:rsidRPr="00705EC2">
        <w:rPr>
          <w:rFonts w:eastAsia="Times New Roman" w:cs="Arial"/>
          <w:color w:val="000000"/>
          <w:lang w:eastAsia="bg-BG"/>
        </w:rPr>
        <w:t>Пирексия, астения</w:t>
      </w:r>
    </w:p>
    <w:p w14:paraId="081EFE34" w14:textId="77777777" w:rsidR="00705EC2" w:rsidRPr="00705EC2" w:rsidRDefault="00705EC2" w:rsidP="00705EC2">
      <w:pPr>
        <w:spacing w:line="240" w:lineRule="auto"/>
        <w:rPr>
          <w:rFonts w:eastAsia="Times New Roman" w:cs="Arial"/>
          <w:b/>
          <w:bCs/>
          <w:color w:val="000000"/>
          <w:lang w:eastAsia="bg-BG"/>
        </w:rPr>
      </w:pPr>
    </w:p>
    <w:p w14:paraId="66C73E19" w14:textId="10E6FA5A" w:rsidR="00705EC2" w:rsidRPr="00705EC2" w:rsidRDefault="00705EC2" w:rsidP="00705EC2">
      <w:pPr>
        <w:spacing w:line="240" w:lineRule="auto"/>
        <w:rPr>
          <w:rFonts w:eastAsia="Times New Roman" w:cs="Arial"/>
        </w:rPr>
      </w:pPr>
      <w:r w:rsidRPr="00705EC2">
        <w:rPr>
          <w:rFonts w:eastAsia="Times New Roman" w:cs="Arial"/>
          <w:b/>
          <w:bCs/>
          <w:color w:val="000000"/>
          <w:lang w:eastAsia="bg-BG"/>
        </w:rPr>
        <w:t>Нарушения на мускулно-скелетната система и съединителната тъкан</w:t>
      </w:r>
    </w:p>
    <w:p w14:paraId="04A64058" w14:textId="0E2E1AAD" w:rsidR="00705EC2" w:rsidRPr="00705EC2" w:rsidRDefault="00705EC2" w:rsidP="00705EC2">
      <w:pPr>
        <w:spacing w:line="240" w:lineRule="auto"/>
        <w:rPr>
          <w:rFonts w:eastAsia="Times New Roman" w:cs="Arial"/>
        </w:rPr>
      </w:pPr>
      <w:r w:rsidRPr="00705EC2">
        <w:rPr>
          <w:rFonts w:eastAsia="Times New Roman" w:cs="Arial"/>
          <w:color w:val="000000"/>
          <w:lang w:eastAsia="bg-BG"/>
        </w:rPr>
        <w:t>С неизвестна честота</w:t>
      </w:r>
      <w:r w:rsidRPr="00705EC2">
        <w:rPr>
          <w:rFonts w:eastAsia="Times New Roman" w:cs="Arial"/>
          <w:color w:val="000000"/>
          <w:lang w:val="en-US" w:eastAsia="bg-BG"/>
        </w:rPr>
        <w:t xml:space="preserve">: </w:t>
      </w:r>
      <w:r w:rsidRPr="00705EC2">
        <w:rPr>
          <w:rFonts w:eastAsia="Times New Roman" w:cs="Arial"/>
          <w:color w:val="000000"/>
          <w:lang w:eastAsia="bg-BG"/>
        </w:rPr>
        <w:t>Мускулни спазми</w:t>
      </w:r>
    </w:p>
    <w:p w14:paraId="42C10D5D" w14:textId="77777777" w:rsidR="00705EC2" w:rsidRPr="00705EC2" w:rsidRDefault="00705EC2" w:rsidP="00705EC2">
      <w:pPr>
        <w:spacing w:line="240" w:lineRule="auto"/>
        <w:rPr>
          <w:rFonts w:eastAsia="Times New Roman" w:cs="Arial"/>
          <w:b/>
          <w:bCs/>
          <w:color w:val="000000"/>
          <w:lang w:eastAsia="bg-BG"/>
        </w:rPr>
      </w:pPr>
    </w:p>
    <w:p w14:paraId="78FF1BB9" w14:textId="280AD604" w:rsidR="00705EC2" w:rsidRPr="00705EC2" w:rsidRDefault="00705EC2" w:rsidP="00705EC2">
      <w:pPr>
        <w:spacing w:line="240" w:lineRule="auto"/>
        <w:rPr>
          <w:rFonts w:eastAsia="Times New Roman" w:cs="Arial"/>
        </w:rPr>
      </w:pPr>
      <w:r w:rsidRPr="00705EC2">
        <w:rPr>
          <w:rFonts w:eastAsia="Times New Roman" w:cs="Arial"/>
          <w:b/>
          <w:bCs/>
          <w:color w:val="000000"/>
          <w:lang w:eastAsia="bg-BG"/>
        </w:rPr>
        <w:t>Нарушения на възпроизводителната система и гърдата</w:t>
      </w:r>
    </w:p>
    <w:p w14:paraId="6DD78B67" w14:textId="66F52DA7" w:rsidR="00705EC2" w:rsidRPr="00705EC2" w:rsidRDefault="00705EC2" w:rsidP="00705EC2">
      <w:pPr>
        <w:spacing w:line="240" w:lineRule="auto"/>
        <w:rPr>
          <w:rFonts w:eastAsia="Times New Roman" w:cs="Arial"/>
        </w:rPr>
      </w:pPr>
      <w:r w:rsidRPr="00705EC2">
        <w:rPr>
          <w:rFonts w:eastAsia="Times New Roman" w:cs="Arial"/>
          <w:color w:val="000000"/>
          <w:lang w:eastAsia="bg-BG"/>
        </w:rPr>
        <w:t>Чести</w:t>
      </w:r>
      <w:r w:rsidRPr="00705EC2">
        <w:rPr>
          <w:rFonts w:eastAsia="Times New Roman" w:cs="Arial"/>
          <w:color w:val="000000"/>
          <w:lang w:val="en-US" w:eastAsia="bg-BG"/>
        </w:rPr>
        <w:t xml:space="preserve">: </w:t>
      </w:r>
      <w:r w:rsidRPr="00705EC2">
        <w:rPr>
          <w:rFonts w:eastAsia="Times New Roman" w:cs="Arial"/>
          <w:color w:val="000000"/>
          <w:lang w:eastAsia="bg-BG"/>
        </w:rPr>
        <w:t>Импотентност</w:t>
      </w:r>
    </w:p>
    <w:p w14:paraId="065FB96C" w14:textId="77777777" w:rsidR="00705EC2" w:rsidRPr="00705EC2" w:rsidRDefault="00705EC2" w:rsidP="00705EC2">
      <w:pPr>
        <w:spacing w:line="240" w:lineRule="auto"/>
        <w:rPr>
          <w:rFonts w:eastAsia="Times New Roman" w:cs="Arial"/>
          <w:color w:val="000000"/>
          <w:u w:val="single"/>
          <w:lang w:eastAsia="bg-BG"/>
        </w:rPr>
      </w:pPr>
    </w:p>
    <w:p w14:paraId="010BF0B9" w14:textId="66E550F5" w:rsidR="00705EC2" w:rsidRPr="00705EC2" w:rsidRDefault="00705EC2" w:rsidP="00705EC2">
      <w:pPr>
        <w:spacing w:line="240" w:lineRule="auto"/>
        <w:rPr>
          <w:rFonts w:eastAsia="Times New Roman" w:cs="Arial"/>
        </w:rPr>
      </w:pPr>
      <w:r w:rsidRPr="00705EC2">
        <w:rPr>
          <w:rFonts w:eastAsia="Times New Roman" w:cs="Arial"/>
          <w:color w:val="000000"/>
          <w:u w:val="single"/>
          <w:lang w:eastAsia="bg-BG"/>
        </w:rPr>
        <w:t>Описание на избрани нежелани реакции</w:t>
      </w:r>
    </w:p>
    <w:p w14:paraId="77FE0714" w14:textId="77777777" w:rsidR="00705EC2" w:rsidRPr="00705EC2" w:rsidRDefault="00705EC2" w:rsidP="00705EC2">
      <w:pPr>
        <w:spacing w:line="240" w:lineRule="auto"/>
        <w:rPr>
          <w:rFonts w:eastAsia="Times New Roman" w:cs="Arial"/>
        </w:rPr>
      </w:pPr>
      <w:r w:rsidRPr="00705EC2">
        <w:rPr>
          <w:rFonts w:eastAsia="Times New Roman" w:cs="Arial"/>
          <w:color w:val="000000"/>
          <w:lang w:eastAsia="bg-BG"/>
        </w:rPr>
        <w:t>Немеланомен рак на кожата: Въз основа на наличните данни от епидемиологични проучвания е наблюдавана зависима от кумулативната доза връзка между ХХТЗ и НМРК (вж. също точки 4.4 и 5.1).</w:t>
      </w:r>
    </w:p>
    <w:p w14:paraId="1D8D9EC1" w14:textId="77777777" w:rsidR="00705EC2" w:rsidRPr="00705EC2" w:rsidRDefault="00705EC2" w:rsidP="00705EC2">
      <w:pPr>
        <w:spacing w:line="240" w:lineRule="auto"/>
        <w:rPr>
          <w:rFonts w:eastAsia="Times New Roman" w:cs="Arial"/>
          <w:color w:val="000000"/>
          <w:u w:val="single"/>
          <w:lang w:eastAsia="bg-BG"/>
        </w:rPr>
      </w:pPr>
    </w:p>
    <w:p w14:paraId="676270EA" w14:textId="65F25AAD" w:rsidR="00705EC2" w:rsidRPr="00705EC2" w:rsidRDefault="00705EC2" w:rsidP="00705EC2">
      <w:pPr>
        <w:spacing w:line="240" w:lineRule="auto"/>
        <w:rPr>
          <w:rFonts w:eastAsia="Times New Roman" w:cs="Arial"/>
        </w:rPr>
      </w:pPr>
      <w:r w:rsidRPr="00705EC2">
        <w:rPr>
          <w:rFonts w:eastAsia="Times New Roman" w:cs="Arial"/>
          <w:color w:val="000000"/>
          <w:u w:val="single"/>
          <w:lang w:eastAsia="bg-BG"/>
        </w:rPr>
        <w:t>Съобщаване на подозирани нежелани реакции</w:t>
      </w:r>
    </w:p>
    <w:p w14:paraId="4692BB84" w14:textId="77777777" w:rsidR="00705EC2" w:rsidRPr="00705EC2" w:rsidRDefault="00705EC2" w:rsidP="00705EC2">
      <w:pPr>
        <w:spacing w:line="240" w:lineRule="auto"/>
        <w:rPr>
          <w:rFonts w:eastAsia="Times New Roman" w:cs="Arial"/>
        </w:rPr>
      </w:pPr>
      <w:r w:rsidRPr="00705EC2">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националния регулаторен орган на адрес:</w:t>
      </w:r>
    </w:p>
    <w:p w14:paraId="4B0C5F85" w14:textId="77777777" w:rsidR="00705EC2" w:rsidRPr="00705EC2" w:rsidRDefault="00705EC2" w:rsidP="00705EC2">
      <w:pPr>
        <w:spacing w:line="240" w:lineRule="auto"/>
        <w:rPr>
          <w:rFonts w:eastAsia="Times New Roman" w:cs="Arial"/>
          <w:color w:val="000000"/>
          <w:lang w:eastAsia="bg-BG"/>
        </w:rPr>
      </w:pPr>
    </w:p>
    <w:p w14:paraId="0630901F" w14:textId="5D1007E9" w:rsidR="00705EC2" w:rsidRPr="00705EC2" w:rsidRDefault="00705EC2" w:rsidP="00705EC2">
      <w:pPr>
        <w:spacing w:line="240" w:lineRule="auto"/>
        <w:rPr>
          <w:rFonts w:eastAsia="Times New Roman" w:cs="Arial"/>
        </w:rPr>
      </w:pPr>
      <w:r w:rsidRPr="00705EC2">
        <w:rPr>
          <w:rFonts w:eastAsia="Times New Roman" w:cs="Arial"/>
          <w:color w:val="000000"/>
          <w:lang w:eastAsia="bg-BG"/>
        </w:rPr>
        <w:t>България</w:t>
      </w:r>
    </w:p>
    <w:p w14:paraId="1015AE96" w14:textId="77777777" w:rsidR="00705EC2" w:rsidRPr="00705EC2" w:rsidRDefault="00705EC2" w:rsidP="00705EC2">
      <w:pPr>
        <w:spacing w:line="240" w:lineRule="auto"/>
        <w:rPr>
          <w:rFonts w:eastAsia="Times New Roman" w:cs="Arial"/>
        </w:rPr>
      </w:pPr>
      <w:r w:rsidRPr="00705EC2">
        <w:rPr>
          <w:rFonts w:eastAsia="Times New Roman" w:cs="Arial"/>
          <w:color w:val="000000"/>
          <w:lang w:eastAsia="bg-BG"/>
        </w:rPr>
        <w:t>Изпълнителна агенция по лекарствата</w:t>
      </w:r>
    </w:p>
    <w:p w14:paraId="2AD7623F" w14:textId="77777777" w:rsidR="00705EC2" w:rsidRPr="00705EC2" w:rsidRDefault="00705EC2" w:rsidP="00705EC2">
      <w:pPr>
        <w:spacing w:line="240" w:lineRule="auto"/>
        <w:rPr>
          <w:rFonts w:eastAsia="Times New Roman" w:cs="Arial"/>
        </w:rPr>
      </w:pPr>
      <w:r w:rsidRPr="00705EC2">
        <w:rPr>
          <w:rFonts w:eastAsia="Times New Roman" w:cs="Arial"/>
          <w:color w:val="000000"/>
          <w:lang w:eastAsia="bg-BG"/>
        </w:rPr>
        <w:t>ул. „Дамян Груев” № 8</w:t>
      </w:r>
    </w:p>
    <w:p w14:paraId="23E0D5BE" w14:textId="77777777" w:rsidR="00705EC2" w:rsidRPr="00705EC2" w:rsidRDefault="00705EC2" w:rsidP="00705EC2">
      <w:pPr>
        <w:spacing w:line="240" w:lineRule="auto"/>
        <w:rPr>
          <w:rFonts w:eastAsia="Times New Roman" w:cs="Arial"/>
        </w:rPr>
      </w:pPr>
      <w:r w:rsidRPr="00705EC2">
        <w:rPr>
          <w:rFonts w:eastAsia="Times New Roman" w:cs="Arial"/>
          <w:color w:val="000000"/>
          <w:lang w:eastAsia="bg-BG"/>
        </w:rPr>
        <w:t>1303 София</w:t>
      </w:r>
    </w:p>
    <w:p w14:paraId="03749F1D" w14:textId="77777777" w:rsidR="00705EC2" w:rsidRPr="00705EC2" w:rsidRDefault="00705EC2" w:rsidP="00705EC2">
      <w:pPr>
        <w:spacing w:line="240" w:lineRule="auto"/>
        <w:rPr>
          <w:rFonts w:eastAsia="Times New Roman" w:cs="Arial"/>
        </w:rPr>
      </w:pPr>
      <w:r w:rsidRPr="00705EC2">
        <w:rPr>
          <w:rFonts w:eastAsia="Times New Roman" w:cs="Arial"/>
          <w:color w:val="000000"/>
          <w:lang w:eastAsia="bg-BG"/>
        </w:rPr>
        <w:t>Тел.:+359 2 8903417</w:t>
      </w:r>
    </w:p>
    <w:p w14:paraId="2C08BAC8" w14:textId="77777777" w:rsidR="00705EC2" w:rsidRPr="00705EC2" w:rsidRDefault="00705EC2" w:rsidP="00705EC2">
      <w:pPr>
        <w:spacing w:line="240" w:lineRule="auto"/>
        <w:rPr>
          <w:rFonts w:eastAsia="Times New Roman" w:cs="Arial"/>
        </w:rPr>
      </w:pPr>
      <w:r w:rsidRPr="00705EC2">
        <w:rPr>
          <w:rFonts w:eastAsia="Times New Roman" w:cs="Arial"/>
          <w:color w:val="000000"/>
          <w:lang w:eastAsia="bg-BG"/>
        </w:rPr>
        <w:t xml:space="preserve">уебсайт: </w:t>
      </w:r>
      <w:r w:rsidRPr="00705EC2">
        <w:rPr>
          <w:rFonts w:eastAsia="Times New Roman" w:cs="Arial"/>
        </w:rPr>
        <w:fldChar w:fldCharType="begin"/>
      </w:r>
      <w:r w:rsidRPr="00705EC2">
        <w:rPr>
          <w:rFonts w:eastAsia="Times New Roman" w:cs="Arial"/>
        </w:rPr>
        <w:instrText xml:space="preserve"> HYPERLINK "http://www.bda.bg" </w:instrText>
      </w:r>
      <w:r w:rsidRPr="00705EC2">
        <w:rPr>
          <w:rFonts w:eastAsia="Times New Roman" w:cs="Arial"/>
        </w:rPr>
      </w:r>
      <w:r w:rsidRPr="00705EC2">
        <w:rPr>
          <w:rFonts w:eastAsia="Times New Roman" w:cs="Arial"/>
        </w:rPr>
        <w:fldChar w:fldCharType="separate"/>
      </w:r>
      <w:r w:rsidRPr="00705EC2">
        <w:rPr>
          <w:rFonts w:eastAsia="Times New Roman" w:cs="Arial"/>
          <w:color w:val="000000"/>
          <w:lang w:val="en-US"/>
        </w:rPr>
        <w:t>www</w:t>
      </w:r>
      <w:r w:rsidRPr="00705EC2">
        <w:rPr>
          <w:rFonts w:eastAsia="Times New Roman" w:cs="Arial"/>
          <w:color w:val="000000"/>
          <w:lang w:val="ru-RU"/>
        </w:rPr>
        <w:t>.</w:t>
      </w:r>
      <w:proofErr w:type="spellStart"/>
      <w:r w:rsidRPr="00705EC2">
        <w:rPr>
          <w:rFonts w:eastAsia="Times New Roman" w:cs="Arial"/>
          <w:color w:val="000000"/>
          <w:lang w:val="en-US"/>
        </w:rPr>
        <w:t>bda</w:t>
      </w:r>
      <w:proofErr w:type="spellEnd"/>
      <w:r w:rsidRPr="00705EC2">
        <w:rPr>
          <w:rFonts w:eastAsia="Times New Roman" w:cs="Arial"/>
          <w:color w:val="000000"/>
          <w:lang w:val="ru-RU"/>
        </w:rPr>
        <w:t>.</w:t>
      </w:r>
      <w:proofErr w:type="spellStart"/>
      <w:r w:rsidRPr="00705EC2">
        <w:rPr>
          <w:rFonts w:eastAsia="Times New Roman" w:cs="Arial"/>
          <w:color w:val="000000"/>
          <w:lang w:val="en-US"/>
        </w:rPr>
        <w:t>bg</w:t>
      </w:r>
      <w:proofErr w:type="spellEnd"/>
      <w:r w:rsidRPr="00705EC2">
        <w:rPr>
          <w:rFonts w:eastAsia="Times New Roman" w:cs="Arial"/>
        </w:rPr>
        <w:fldChar w:fldCharType="end"/>
      </w:r>
    </w:p>
    <w:p w14:paraId="7F6037E8" w14:textId="294DC04F" w:rsidR="00705EC2" w:rsidRPr="00705EC2" w:rsidRDefault="00705EC2" w:rsidP="00705EC2">
      <w:pPr>
        <w:rPr>
          <w:rFonts w:ascii="Times New Roman" w:eastAsia="Times New Roman" w:hAnsi="Times New Roman" w:cs="Times New Roman"/>
          <w:sz w:val="24"/>
          <w:szCs w:val="24"/>
        </w:rPr>
      </w:pPr>
    </w:p>
    <w:p w14:paraId="5A87DBA3" w14:textId="0082B46B" w:rsidR="007122AD" w:rsidRDefault="002C50EE" w:rsidP="00936AD0">
      <w:pPr>
        <w:pStyle w:val="Heading2"/>
      </w:pPr>
      <w:r>
        <w:t>4.9. Предозиране</w:t>
      </w:r>
    </w:p>
    <w:p w14:paraId="31501FE6" w14:textId="26D76873" w:rsidR="00705EC2" w:rsidRDefault="00705EC2" w:rsidP="00705EC2"/>
    <w:p w14:paraId="235C3279" w14:textId="77777777" w:rsidR="00705EC2" w:rsidRPr="00705EC2" w:rsidRDefault="00705EC2" w:rsidP="00705EC2">
      <w:pPr>
        <w:pStyle w:val="Heading3"/>
        <w:rPr>
          <w:rFonts w:eastAsia="Times New Roman"/>
          <w:i/>
          <w:u w:val="single"/>
        </w:rPr>
      </w:pPr>
      <w:r w:rsidRPr="00705EC2">
        <w:rPr>
          <w:rFonts w:eastAsia="Times New Roman"/>
          <w:i/>
          <w:u w:val="single"/>
          <w:lang w:eastAsia="bg-BG"/>
        </w:rPr>
        <w:t>Симптоми</w:t>
      </w:r>
    </w:p>
    <w:p w14:paraId="23090C40" w14:textId="77777777" w:rsidR="00705EC2" w:rsidRPr="00705EC2" w:rsidRDefault="00705EC2" w:rsidP="00705EC2">
      <w:pPr>
        <w:spacing w:line="240" w:lineRule="auto"/>
        <w:rPr>
          <w:rFonts w:eastAsia="Times New Roman" w:cs="Arial"/>
          <w:sz w:val="24"/>
          <w:szCs w:val="24"/>
        </w:rPr>
      </w:pPr>
      <w:r w:rsidRPr="00705EC2">
        <w:rPr>
          <w:rFonts w:eastAsia="Times New Roman" w:cs="Arial"/>
          <w:color w:val="000000"/>
          <w:lang w:eastAsia="bg-BG"/>
        </w:rPr>
        <w:t>Предозирането с валсартан може да причини изразена хипотония, която може да доведе до понижаване на яснотата на съзнанието, циркулаторен колапс и/или шок. В допълнение, при предозиране с хидрохлоротиазидната съставка могат да възникнат следните признаци и симптоми: гадене, сънливост, хиповолемия и електролитен дисбаланс, свързан със сърдечни аритмии и мускулни спазми.</w:t>
      </w:r>
    </w:p>
    <w:p w14:paraId="1967C0C7" w14:textId="77777777" w:rsidR="00705EC2" w:rsidRPr="00705EC2" w:rsidRDefault="00705EC2" w:rsidP="00705EC2">
      <w:pPr>
        <w:spacing w:line="240" w:lineRule="auto"/>
        <w:rPr>
          <w:rFonts w:eastAsia="Times New Roman" w:cs="Arial"/>
          <w:i/>
          <w:iCs/>
          <w:color w:val="000000"/>
          <w:u w:val="single"/>
          <w:lang w:eastAsia="bg-BG"/>
        </w:rPr>
      </w:pPr>
    </w:p>
    <w:p w14:paraId="2D27B7E3" w14:textId="03E8EA0E" w:rsidR="00705EC2" w:rsidRPr="00705EC2" w:rsidRDefault="00705EC2" w:rsidP="00705EC2">
      <w:pPr>
        <w:pStyle w:val="Heading3"/>
        <w:rPr>
          <w:rFonts w:eastAsia="Times New Roman"/>
          <w:i/>
          <w:u w:val="single"/>
        </w:rPr>
      </w:pPr>
      <w:r w:rsidRPr="00705EC2">
        <w:rPr>
          <w:rFonts w:eastAsia="Times New Roman"/>
          <w:i/>
          <w:u w:val="single"/>
          <w:lang w:eastAsia="bg-BG"/>
        </w:rPr>
        <w:t>Лечение</w:t>
      </w:r>
    </w:p>
    <w:p w14:paraId="67C641A0" w14:textId="77777777" w:rsidR="00705EC2" w:rsidRPr="00705EC2" w:rsidRDefault="00705EC2" w:rsidP="00705EC2">
      <w:pPr>
        <w:spacing w:line="240" w:lineRule="auto"/>
        <w:rPr>
          <w:rFonts w:eastAsia="Times New Roman" w:cs="Arial"/>
          <w:sz w:val="24"/>
          <w:szCs w:val="24"/>
        </w:rPr>
      </w:pPr>
      <w:r w:rsidRPr="00705EC2">
        <w:rPr>
          <w:rFonts w:eastAsia="Times New Roman" w:cs="Arial"/>
          <w:color w:val="000000"/>
          <w:lang w:eastAsia="bg-BG"/>
        </w:rPr>
        <w:t>Терапевтичните мерки зависят от времето на прием на лекарството и вида и тежестта на симптомите, стабилизирането на циркулаторния статус е от първостепенна важност.</w:t>
      </w:r>
    </w:p>
    <w:p w14:paraId="3BD07FE0" w14:textId="77777777" w:rsidR="00705EC2" w:rsidRPr="00705EC2" w:rsidRDefault="00705EC2" w:rsidP="00705EC2">
      <w:pPr>
        <w:spacing w:line="240" w:lineRule="auto"/>
        <w:rPr>
          <w:rFonts w:eastAsia="Times New Roman" w:cs="Arial"/>
          <w:sz w:val="24"/>
          <w:szCs w:val="24"/>
        </w:rPr>
      </w:pPr>
      <w:r w:rsidRPr="00705EC2">
        <w:rPr>
          <w:rFonts w:eastAsia="Times New Roman" w:cs="Arial"/>
          <w:color w:val="000000"/>
          <w:lang w:eastAsia="bg-BG"/>
        </w:rPr>
        <w:t>В случай на хипотония пациентът трябва да бъде поставен в легнало положение и бързо да се започне вливане на обемозаместващи и солеви разтвори.</w:t>
      </w:r>
    </w:p>
    <w:p w14:paraId="30CEBDC6" w14:textId="554159EB" w:rsidR="00705EC2" w:rsidRDefault="00705EC2" w:rsidP="00705EC2">
      <w:pPr>
        <w:spacing w:line="240" w:lineRule="auto"/>
        <w:rPr>
          <w:rFonts w:eastAsia="Times New Roman" w:cs="Arial"/>
          <w:sz w:val="24"/>
          <w:szCs w:val="24"/>
        </w:rPr>
      </w:pPr>
      <w:r w:rsidRPr="00705EC2">
        <w:rPr>
          <w:rFonts w:eastAsia="Times New Roman" w:cs="Arial"/>
          <w:color w:val="000000"/>
          <w:lang w:eastAsia="bg-BG"/>
        </w:rPr>
        <w:lastRenderedPageBreak/>
        <w:t>Валсартан не може да бъде отстранен чрез хемодиализа поради стабилното му свързване с плазмените протеини, от друга страна с диализа може да се постигне клирънс на хидрохлоротиазид.</w:t>
      </w:r>
    </w:p>
    <w:p w14:paraId="47236982" w14:textId="77777777" w:rsidR="00705EC2" w:rsidRPr="00705EC2" w:rsidRDefault="00705EC2" w:rsidP="00705EC2">
      <w:pPr>
        <w:spacing w:line="240" w:lineRule="auto"/>
        <w:rPr>
          <w:rFonts w:eastAsia="Times New Roman" w:cs="Arial"/>
          <w:sz w:val="24"/>
          <w:szCs w:val="24"/>
        </w:rPr>
      </w:pPr>
    </w:p>
    <w:p w14:paraId="02081B24" w14:textId="1F46E296" w:rsidR="00395555" w:rsidRPr="00395555" w:rsidRDefault="002C50EE" w:rsidP="008A6AF2">
      <w:pPr>
        <w:pStyle w:val="Heading1"/>
      </w:pPr>
      <w:r>
        <w:t>5. ФАРМАКОЛОГИЧНИ СВОЙСТВА</w:t>
      </w:r>
    </w:p>
    <w:p w14:paraId="7DE36AC8" w14:textId="3493719A" w:rsidR="00B6672E" w:rsidRDefault="002C50EE" w:rsidP="00936AD0">
      <w:pPr>
        <w:pStyle w:val="Heading2"/>
      </w:pPr>
      <w:r>
        <w:t>5.1. Фармакодинамични свойства</w:t>
      </w:r>
    </w:p>
    <w:p w14:paraId="1779DE77" w14:textId="39583394" w:rsidR="00705EC2" w:rsidRDefault="00705EC2" w:rsidP="00705EC2"/>
    <w:p w14:paraId="7A693591" w14:textId="77777777" w:rsidR="00705EC2" w:rsidRPr="00705EC2" w:rsidRDefault="00705EC2" w:rsidP="00705EC2">
      <w:pPr>
        <w:spacing w:line="240" w:lineRule="auto"/>
        <w:rPr>
          <w:rFonts w:eastAsia="Times New Roman" w:cs="Arial"/>
          <w:sz w:val="24"/>
          <w:szCs w:val="24"/>
        </w:rPr>
      </w:pPr>
      <w:r w:rsidRPr="00705EC2">
        <w:rPr>
          <w:rFonts w:eastAsia="Times New Roman" w:cs="Arial"/>
          <w:color w:val="000000"/>
          <w:lang w:eastAsia="bg-BG"/>
        </w:rPr>
        <w:t xml:space="preserve">Фармакотерапевтична група: Ангиотензин II рецепторни антагонисти и диуретици, валсартан и диуретици; АТС код: </w:t>
      </w:r>
      <w:r w:rsidRPr="00705EC2">
        <w:rPr>
          <w:rFonts w:eastAsia="Times New Roman" w:cs="Arial"/>
          <w:color w:val="000000"/>
          <w:lang w:val="en-US"/>
        </w:rPr>
        <w:t>C</w:t>
      </w:r>
      <w:r w:rsidRPr="00705EC2">
        <w:rPr>
          <w:rFonts w:eastAsia="Times New Roman" w:cs="Arial"/>
          <w:color w:val="000000"/>
          <w:lang w:val="ru-RU"/>
        </w:rPr>
        <w:t>09</w:t>
      </w:r>
      <w:r w:rsidRPr="00705EC2">
        <w:rPr>
          <w:rFonts w:eastAsia="Times New Roman" w:cs="Arial"/>
          <w:color w:val="000000"/>
          <w:lang w:val="en-US"/>
        </w:rPr>
        <w:t>D</w:t>
      </w:r>
      <w:r w:rsidRPr="00705EC2">
        <w:rPr>
          <w:rFonts w:eastAsia="Times New Roman" w:cs="Arial"/>
          <w:color w:val="000000"/>
          <w:lang w:val="ru-RU"/>
        </w:rPr>
        <w:t xml:space="preserve"> </w:t>
      </w:r>
      <w:r w:rsidRPr="00705EC2">
        <w:rPr>
          <w:rFonts w:eastAsia="Times New Roman" w:cs="Arial"/>
          <w:color w:val="000000"/>
          <w:lang w:eastAsia="bg-BG"/>
        </w:rPr>
        <w:t>АОЗ.</w:t>
      </w:r>
    </w:p>
    <w:p w14:paraId="30C257CC" w14:textId="77777777" w:rsidR="00705EC2" w:rsidRPr="00705EC2" w:rsidRDefault="00705EC2" w:rsidP="00705EC2">
      <w:pPr>
        <w:spacing w:line="240" w:lineRule="auto"/>
        <w:rPr>
          <w:rFonts w:eastAsia="Times New Roman" w:cs="Arial"/>
          <w:i/>
          <w:iCs/>
          <w:color w:val="000000"/>
          <w:u w:val="single"/>
          <w:lang w:eastAsia="bg-BG"/>
        </w:rPr>
      </w:pPr>
    </w:p>
    <w:p w14:paraId="3138EBC5" w14:textId="326D938D" w:rsidR="00705EC2" w:rsidRPr="00705EC2" w:rsidRDefault="00705EC2" w:rsidP="00705EC2">
      <w:pPr>
        <w:spacing w:line="240" w:lineRule="auto"/>
        <w:rPr>
          <w:rFonts w:eastAsia="Times New Roman" w:cs="Arial"/>
          <w:sz w:val="24"/>
          <w:szCs w:val="24"/>
        </w:rPr>
      </w:pPr>
      <w:r w:rsidRPr="00705EC2">
        <w:rPr>
          <w:rFonts w:eastAsia="Times New Roman" w:cs="Arial"/>
          <w:i/>
          <w:iCs/>
          <w:color w:val="000000"/>
          <w:u w:val="single"/>
          <w:lang w:eastAsia="bg-BG"/>
        </w:rPr>
        <w:t>Валсартан/хидрохлоротиазид</w:t>
      </w:r>
    </w:p>
    <w:p w14:paraId="6FB9B436" w14:textId="77777777" w:rsidR="00705EC2" w:rsidRPr="00705EC2" w:rsidRDefault="00705EC2" w:rsidP="00705EC2">
      <w:pPr>
        <w:spacing w:line="240" w:lineRule="auto"/>
        <w:rPr>
          <w:rFonts w:eastAsia="Times New Roman" w:cs="Arial"/>
          <w:sz w:val="24"/>
          <w:szCs w:val="24"/>
        </w:rPr>
      </w:pPr>
      <w:r w:rsidRPr="00705EC2">
        <w:rPr>
          <w:rFonts w:eastAsia="Times New Roman" w:cs="Arial"/>
          <w:color w:val="000000"/>
          <w:lang w:eastAsia="bg-BG"/>
        </w:rPr>
        <w:t xml:space="preserve">В двойно-сляпо, рандомизирано, активно контролирано изпитване при пациенти, непостигнали контрол на артериалното налягане с хидрохлоротиазид 12,5 </w:t>
      </w:r>
      <w:r w:rsidRPr="00705EC2">
        <w:rPr>
          <w:rFonts w:eastAsia="Times New Roman" w:cs="Arial"/>
          <w:color w:val="000000"/>
          <w:lang w:val="en-US"/>
        </w:rPr>
        <w:t>mg</w:t>
      </w:r>
      <w:r w:rsidRPr="00705EC2">
        <w:rPr>
          <w:rFonts w:eastAsia="Times New Roman" w:cs="Arial"/>
          <w:color w:val="000000"/>
          <w:lang w:val="ru-RU"/>
        </w:rPr>
        <w:t xml:space="preserve">, </w:t>
      </w:r>
      <w:r w:rsidRPr="00705EC2">
        <w:rPr>
          <w:rFonts w:eastAsia="Times New Roman" w:cs="Arial"/>
          <w:color w:val="000000"/>
          <w:lang w:eastAsia="bg-BG"/>
        </w:rPr>
        <w:t xml:space="preserve">се наблюдава сигнификантно по-голяма редукция на средното систолно/диастолно АН с комбинацията валсартан/хидрохлоротиазид 160/12,5 </w:t>
      </w:r>
      <w:r w:rsidRPr="00705EC2">
        <w:rPr>
          <w:rFonts w:eastAsia="Times New Roman" w:cs="Arial"/>
          <w:color w:val="000000"/>
          <w:lang w:val="en-US"/>
        </w:rPr>
        <w:t>mg</w:t>
      </w:r>
      <w:r w:rsidRPr="00705EC2">
        <w:rPr>
          <w:rFonts w:eastAsia="Times New Roman" w:cs="Arial"/>
          <w:color w:val="000000"/>
          <w:lang w:val="ru-RU"/>
        </w:rPr>
        <w:t xml:space="preserve"> </w:t>
      </w:r>
      <w:r w:rsidRPr="00705EC2">
        <w:rPr>
          <w:rFonts w:eastAsia="Times New Roman" w:cs="Arial"/>
          <w:color w:val="000000"/>
          <w:lang w:eastAsia="bg-BG"/>
        </w:rPr>
        <w:t xml:space="preserve">(12,4/7,5 </w:t>
      </w:r>
      <w:r w:rsidRPr="00705EC2">
        <w:rPr>
          <w:rFonts w:eastAsia="Times New Roman" w:cs="Arial"/>
          <w:color w:val="000000"/>
          <w:lang w:val="en-US"/>
        </w:rPr>
        <w:t>mmHg</w:t>
      </w:r>
      <w:r w:rsidRPr="00705EC2">
        <w:rPr>
          <w:rFonts w:eastAsia="Times New Roman" w:cs="Arial"/>
          <w:color w:val="000000"/>
          <w:lang w:val="ru-RU"/>
        </w:rPr>
        <w:t xml:space="preserve">) </w:t>
      </w:r>
      <w:r w:rsidRPr="00705EC2">
        <w:rPr>
          <w:rFonts w:eastAsia="Times New Roman" w:cs="Arial"/>
          <w:color w:val="000000"/>
          <w:lang w:eastAsia="bg-BG"/>
        </w:rPr>
        <w:t xml:space="preserve">в сравнение с хидрохлоротиазид 25 </w:t>
      </w:r>
      <w:r w:rsidRPr="00705EC2">
        <w:rPr>
          <w:rFonts w:eastAsia="Times New Roman" w:cs="Arial"/>
          <w:color w:val="000000"/>
          <w:lang w:val="en-US"/>
        </w:rPr>
        <w:t>mg</w:t>
      </w:r>
      <w:r w:rsidRPr="00705EC2">
        <w:rPr>
          <w:rFonts w:eastAsia="Times New Roman" w:cs="Arial"/>
          <w:color w:val="000000"/>
          <w:lang w:val="ru-RU"/>
        </w:rPr>
        <w:t xml:space="preserve"> </w:t>
      </w:r>
      <w:r w:rsidRPr="00705EC2">
        <w:rPr>
          <w:rFonts w:eastAsia="Times New Roman" w:cs="Arial"/>
          <w:color w:val="000000"/>
          <w:lang w:eastAsia="bg-BG"/>
        </w:rPr>
        <w:t xml:space="preserve">(5,6/2,1 </w:t>
      </w:r>
      <w:r w:rsidRPr="00705EC2">
        <w:rPr>
          <w:rFonts w:eastAsia="Times New Roman" w:cs="Arial"/>
          <w:color w:val="000000"/>
          <w:lang w:val="en-US"/>
        </w:rPr>
        <w:t>mmHg</w:t>
      </w:r>
      <w:r w:rsidRPr="00705EC2">
        <w:rPr>
          <w:rFonts w:eastAsia="Times New Roman" w:cs="Arial"/>
          <w:color w:val="000000"/>
          <w:lang w:val="ru-RU"/>
        </w:rPr>
        <w:t xml:space="preserve">). </w:t>
      </w:r>
      <w:r w:rsidRPr="00705EC2">
        <w:rPr>
          <w:rFonts w:eastAsia="Times New Roman" w:cs="Arial"/>
          <w:color w:val="000000"/>
          <w:lang w:eastAsia="bg-BG"/>
        </w:rPr>
        <w:t xml:space="preserve">В допълнение, процентът на пациентите, повлияли се от лечението (АН &lt;140/90 </w:t>
      </w:r>
      <w:r w:rsidRPr="00705EC2">
        <w:rPr>
          <w:rFonts w:eastAsia="Times New Roman" w:cs="Arial"/>
          <w:color w:val="000000"/>
          <w:lang w:val="en-US"/>
        </w:rPr>
        <w:t>mmHg</w:t>
      </w:r>
      <w:r w:rsidRPr="00705EC2">
        <w:rPr>
          <w:rFonts w:eastAsia="Times New Roman" w:cs="Arial"/>
          <w:color w:val="000000"/>
          <w:lang w:val="ru-RU"/>
        </w:rPr>
        <w:t xml:space="preserve"> </w:t>
      </w:r>
      <w:r w:rsidRPr="00705EC2">
        <w:rPr>
          <w:rFonts w:eastAsia="Times New Roman" w:cs="Arial"/>
          <w:color w:val="000000"/>
          <w:lang w:eastAsia="bg-BG"/>
        </w:rPr>
        <w:t xml:space="preserve">или понижение на САН ≥20 </w:t>
      </w:r>
      <w:r w:rsidRPr="00705EC2">
        <w:rPr>
          <w:rFonts w:eastAsia="Times New Roman" w:cs="Arial"/>
          <w:color w:val="000000"/>
          <w:lang w:val="en-US"/>
        </w:rPr>
        <w:t>mmHg</w:t>
      </w:r>
      <w:r w:rsidRPr="00705EC2">
        <w:rPr>
          <w:rFonts w:eastAsia="Times New Roman" w:cs="Arial"/>
          <w:color w:val="000000"/>
          <w:lang w:val="ru-RU"/>
        </w:rPr>
        <w:t xml:space="preserve"> </w:t>
      </w:r>
      <w:r w:rsidRPr="00705EC2">
        <w:rPr>
          <w:rFonts w:eastAsia="Times New Roman" w:cs="Arial"/>
          <w:color w:val="000000"/>
          <w:lang w:eastAsia="bg-BG"/>
        </w:rPr>
        <w:t xml:space="preserve">или понижение на ДАН ≥10 </w:t>
      </w:r>
      <w:r w:rsidRPr="00705EC2">
        <w:rPr>
          <w:rFonts w:eastAsia="Times New Roman" w:cs="Arial"/>
          <w:color w:val="000000"/>
          <w:lang w:val="en-US"/>
        </w:rPr>
        <w:t>mmHg</w:t>
      </w:r>
      <w:r w:rsidRPr="00705EC2">
        <w:rPr>
          <w:rFonts w:eastAsia="Times New Roman" w:cs="Arial"/>
          <w:color w:val="000000"/>
          <w:lang w:val="ru-RU"/>
        </w:rPr>
        <w:t>),</w:t>
      </w:r>
      <w:r w:rsidRPr="00705EC2">
        <w:rPr>
          <w:rFonts w:eastAsia="Times New Roman" w:cs="Arial"/>
          <w:color w:val="000000"/>
          <w:lang w:eastAsia="bg-BG"/>
        </w:rPr>
        <w:t xml:space="preserve"> е значимо по-висок с валсартан/хидрохлоротиазид 160/12,5 </w:t>
      </w:r>
      <w:r w:rsidRPr="00705EC2">
        <w:rPr>
          <w:rFonts w:eastAsia="Times New Roman" w:cs="Arial"/>
          <w:color w:val="000000"/>
          <w:lang w:val="en-US"/>
        </w:rPr>
        <w:t>mg</w:t>
      </w:r>
      <w:r w:rsidRPr="00705EC2">
        <w:rPr>
          <w:rFonts w:eastAsia="Times New Roman" w:cs="Arial"/>
          <w:color w:val="000000"/>
          <w:lang w:val="ru-RU"/>
        </w:rPr>
        <w:t xml:space="preserve"> </w:t>
      </w:r>
      <w:r w:rsidRPr="00705EC2">
        <w:rPr>
          <w:rFonts w:eastAsia="Times New Roman" w:cs="Arial"/>
          <w:color w:val="000000"/>
          <w:lang w:eastAsia="bg-BG"/>
        </w:rPr>
        <w:t xml:space="preserve">(50%) в сравнение с хидрохлоротиазид 25 </w:t>
      </w:r>
      <w:r w:rsidRPr="00705EC2">
        <w:rPr>
          <w:rFonts w:eastAsia="Times New Roman" w:cs="Arial"/>
          <w:color w:val="000000"/>
          <w:lang w:val="en-US"/>
        </w:rPr>
        <w:t>mg</w:t>
      </w:r>
      <w:r w:rsidRPr="00705EC2">
        <w:rPr>
          <w:rFonts w:eastAsia="Times New Roman" w:cs="Arial"/>
          <w:color w:val="000000"/>
          <w:lang w:eastAsia="bg-BG"/>
        </w:rPr>
        <w:t>(25%).</w:t>
      </w:r>
    </w:p>
    <w:p w14:paraId="171AB06B" w14:textId="77777777" w:rsidR="00705EC2" w:rsidRPr="00705EC2" w:rsidRDefault="00705EC2" w:rsidP="00705EC2">
      <w:pPr>
        <w:rPr>
          <w:rFonts w:eastAsia="Times New Roman" w:cs="Arial"/>
          <w:color w:val="000000"/>
          <w:lang w:eastAsia="bg-BG"/>
        </w:rPr>
      </w:pPr>
    </w:p>
    <w:p w14:paraId="06190339" w14:textId="77777777" w:rsidR="00705EC2" w:rsidRPr="00705EC2" w:rsidRDefault="00705EC2" w:rsidP="00705EC2">
      <w:pPr>
        <w:rPr>
          <w:rFonts w:eastAsia="Times New Roman" w:cs="Arial"/>
          <w:sz w:val="24"/>
          <w:szCs w:val="24"/>
        </w:rPr>
      </w:pPr>
      <w:r w:rsidRPr="00705EC2">
        <w:rPr>
          <w:rFonts w:eastAsia="Times New Roman" w:cs="Arial"/>
          <w:color w:val="000000"/>
          <w:lang w:eastAsia="bg-BG"/>
        </w:rPr>
        <w:t xml:space="preserve">В двойно-сляпо, рандомизирано, активно контролирано изпитване при пациенти, непостигнали контрол на артериалното налягане с валсартан 160 </w:t>
      </w:r>
      <w:r w:rsidRPr="00705EC2">
        <w:rPr>
          <w:rFonts w:eastAsia="Times New Roman" w:cs="Arial"/>
          <w:color w:val="000000"/>
          <w:lang w:val="en-US"/>
        </w:rPr>
        <w:t>mg</w:t>
      </w:r>
      <w:r w:rsidRPr="00705EC2">
        <w:rPr>
          <w:rFonts w:eastAsia="Times New Roman" w:cs="Arial"/>
          <w:color w:val="000000"/>
          <w:lang w:val="ru-RU"/>
        </w:rPr>
        <w:t xml:space="preserve">, </w:t>
      </w:r>
      <w:r w:rsidRPr="00705EC2">
        <w:rPr>
          <w:rFonts w:eastAsia="Times New Roman" w:cs="Arial"/>
          <w:color w:val="000000"/>
          <w:lang w:eastAsia="bg-BG"/>
        </w:rPr>
        <w:t>се наблюдава сигнификантно по-голяма</w:t>
      </w:r>
      <w:r w:rsidRPr="00705EC2">
        <w:rPr>
          <w:rFonts w:eastAsia="Times New Roman" w:cs="Arial"/>
          <w:color w:val="000000"/>
          <w:vertAlign w:val="subscript"/>
          <w:lang w:eastAsia="bg-BG"/>
        </w:rPr>
        <w:t xml:space="preserve"> </w:t>
      </w:r>
      <w:r w:rsidRPr="00705EC2">
        <w:rPr>
          <w:rFonts w:eastAsia="Times New Roman" w:cs="Arial"/>
          <w:color w:val="000000"/>
          <w:lang w:eastAsia="bg-BG"/>
        </w:rPr>
        <w:t>редукция на средното систолно/диастолно АН е комбинацията валсартан/хидрохлотизид</w:t>
      </w:r>
      <w:r w:rsidRPr="00705EC2">
        <w:rPr>
          <w:rFonts w:eastAsia="Times New Roman" w:cs="Arial"/>
          <w:color w:val="000000"/>
          <w:lang w:val="ru-RU" w:eastAsia="bg-BG"/>
        </w:rPr>
        <w:t xml:space="preserve"> </w:t>
      </w:r>
      <w:r w:rsidRPr="00705EC2">
        <w:rPr>
          <w:rFonts w:eastAsia="Times New Roman" w:cs="Arial"/>
          <w:color w:val="000000"/>
          <w:lang w:eastAsia="bg-BG"/>
        </w:rPr>
        <w:t xml:space="preserve">160/25 </w:t>
      </w:r>
      <w:r w:rsidRPr="00705EC2">
        <w:rPr>
          <w:rFonts w:eastAsia="Times New Roman" w:cs="Arial"/>
          <w:color w:val="000000"/>
          <w:lang w:val="en-US"/>
        </w:rPr>
        <w:t>mg</w:t>
      </w:r>
      <w:r w:rsidRPr="00705EC2">
        <w:rPr>
          <w:rFonts w:eastAsia="Times New Roman" w:cs="Arial"/>
          <w:color w:val="000000"/>
          <w:lang w:val="ru-RU"/>
        </w:rPr>
        <w:t xml:space="preserve"> </w:t>
      </w:r>
      <w:r w:rsidRPr="00705EC2">
        <w:rPr>
          <w:rFonts w:eastAsia="Times New Roman" w:cs="Arial"/>
          <w:color w:val="000000"/>
          <w:lang w:eastAsia="bg-BG"/>
        </w:rPr>
        <w:t>(14,6/1</w:t>
      </w:r>
      <w:r w:rsidRPr="00705EC2">
        <w:rPr>
          <w:rFonts w:eastAsia="Times New Roman" w:cs="Arial"/>
          <w:color w:val="000000"/>
          <w:lang w:val="ru-RU"/>
        </w:rPr>
        <w:t xml:space="preserve">1,9 </w:t>
      </w:r>
      <w:r w:rsidRPr="00705EC2">
        <w:rPr>
          <w:rFonts w:eastAsia="Times New Roman" w:cs="Arial"/>
          <w:color w:val="000000"/>
          <w:lang w:val="en-US"/>
        </w:rPr>
        <w:t>mmHg</w:t>
      </w:r>
      <w:r w:rsidRPr="00705EC2">
        <w:rPr>
          <w:rFonts w:eastAsia="Times New Roman" w:cs="Arial"/>
          <w:color w:val="000000"/>
          <w:lang w:val="ru-RU"/>
        </w:rPr>
        <w:t xml:space="preserve">) </w:t>
      </w:r>
      <w:r w:rsidRPr="00705EC2">
        <w:rPr>
          <w:rFonts w:eastAsia="Times New Roman" w:cs="Arial"/>
          <w:color w:val="000000"/>
          <w:lang w:eastAsia="bg-BG"/>
        </w:rPr>
        <w:t xml:space="preserve">и валсартан/хидрохлоротиазид 160/12,5 </w:t>
      </w:r>
      <w:r w:rsidRPr="00705EC2">
        <w:rPr>
          <w:rFonts w:eastAsia="Times New Roman" w:cs="Arial"/>
          <w:color w:val="000000"/>
          <w:lang w:val="en-US"/>
        </w:rPr>
        <w:t>mg</w:t>
      </w:r>
      <w:r w:rsidRPr="00705EC2">
        <w:rPr>
          <w:rFonts w:eastAsia="Times New Roman" w:cs="Arial"/>
          <w:color w:val="000000"/>
          <w:lang w:val="ru-RU"/>
        </w:rPr>
        <w:t xml:space="preserve"> </w:t>
      </w:r>
      <w:r w:rsidRPr="00705EC2">
        <w:rPr>
          <w:rFonts w:eastAsia="Times New Roman" w:cs="Arial"/>
          <w:color w:val="000000"/>
          <w:lang w:eastAsia="bg-BG"/>
        </w:rPr>
        <w:t xml:space="preserve">(12,4/10,4 </w:t>
      </w:r>
      <w:r w:rsidRPr="00705EC2">
        <w:rPr>
          <w:rFonts w:eastAsia="Times New Roman" w:cs="Arial"/>
          <w:color w:val="000000"/>
          <w:lang w:val="en-US"/>
        </w:rPr>
        <w:t>mmHg</w:t>
      </w:r>
      <w:r w:rsidRPr="00705EC2">
        <w:rPr>
          <w:rFonts w:eastAsia="Times New Roman" w:cs="Arial"/>
          <w:color w:val="000000"/>
          <w:lang w:val="ru-RU"/>
        </w:rPr>
        <w:t xml:space="preserve">) </w:t>
      </w:r>
      <w:r w:rsidRPr="00705EC2">
        <w:rPr>
          <w:rFonts w:eastAsia="Times New Roman" w:cs="Arial"/>
          <w:color w:val="000000"/>
          <w:lang w:eastAsia="bg-BG"/>
        </w:rPr>
        <w:t xml:space="preserve">в сравнение </w:t>
      </w:r>
      <w:r w:rsidRPr="00705EC2">
        <w:rPr>
          <w:rFonts w:eastAsia="Times New Roman" w:cs="Arial"/>
          <w:color w:val="000000"/>
          <w:lang w:val="en-US"/>
        </w:rPr>
        <w:t>c</w:t>
      </w:r>
      <w:r w:rsidRPr="00705EC2">
        <w:rPr>
          <w:rFonts w:eastAsia="Times New Roman" w:cs="Arial"/>
          <w:color w:val="000000"/>
          <w:lang w:val="ru-RU"/>
        </w:rPr>
        <w:t xml:space="preserve"> </w:t>
      </w:r>
      <w:r w:rsidRPr="00705EC2">
        <w:rPr>
          <w:rFonts w:eastAsia="Times New Roman" w:cs="Arial"/>
          <w:color w:val="000000"/>
          <w:lang w:eastAsia="bg-BG"/>
        </w:rPr>
        <w:t xml:space="preserve">валсартан </w:t>
      </w:r>
      <w:r w:rsidRPr="00705EC2">
        <w:rPr>
          <w:rFonts w:eastAsia="Times New Roman" w:cs="Arial"/>
          <w:color w:val="000000"/>
          <w:lang w:val="ru-RU"/>
        </w:rPr>
        <w:t xml:space="preserve">160 </w:t>
      </w:r>
      <w:r w:rsidRPr="00705EC2">
        <w:rPr>
          <w:rFonts w:eastAsia="Times New Roman" w:cs="Arial"/>
          <w:color w:val="000000"/>
          <w:lang w:val="en-US"/>
        </w:rPr>
        <w:t>mg</w:t>
      </w:r>
      <w:r w:rsidRPr="00705EC2">
        <w:rPr>
          <w:rFonts w:eastAsia="Times New Roman" w:cs="Arial"/>
          <w:color w:val="000000"/>
          <w:lang w:val="ru-RU"/>
        </w:rPr>
        <w:t xml:space="preserve"> (8,</w:t>
      </w:r>
      <w:r w:rsidRPr="00705EC2">
        <w:rPr>
          <w:rFonts w:eastAsia="Times New Roman" w:cs="Arial"/>
          <w:color w:val="000000"/>
          <w:lang w:eastAsia="bg-BG"/>
        </w:rPr>
        <w:t>7/8,</w:t>
      </w:r>
      <w:r w:rsidRPr="00705EC2">
        <w:rPr>
          <w:rFonts w:eastAsia="Times New Roman" w:cs="Arial"/>
          <w:color w:val="000000"/>
          <w:lang w:val="ru-RU"/>
        </w:rPr>
        <w:t xml:space="preserve">8 </w:t>
      </w:r>
      <w:r w:rsidRPr="00705EC2">
        <w:rPr>
          <w:rFonts w:eastAsia="Times New Roman" w:cs="Arial"/>
          <w:color w:val="000000"/>
          <w:lang w:val="en-US"/>
        </w:rPr>
        <w:t>mmHg</w:t>
      </w:r>
      <w:r w:rsidRPr="00705EC2">
        <w:rPr>
          <w:rFonts w:eastAsia="Times New Roman" w:cs="Arial"/>
          <w:color w:val="000000"/>
          <w:lang w:val="ru-RU"/>
        </w:rPr>
        <w:t xml:space="preserve">). </w:t>
      </w:r>
      <w:r w:rsidRPr="00705EC2">
        <w:rPr>
          <w:rFonts w:eastAsia="Times New Roman" w:cs="Arial"/>
          <w:color w:val="000000"/>
          <w:lang w:eastAsia="bg-BG"/>
        </w:rPr>
        <w:t xml:space="preserve">Разликата в понижението на АН между дозите от 160/25 </w:t>
      </w:r>
      <w:r w:rsidRPr="00705EC2">
        <w:rPr>
          <w:rFonts w:eastAsia="Times New Roman" w:cs="Arial"/>
          <w:color w:val="000000"/>
          <w:lang w:val="en-US"/>
        </w:rPr>
        <w:t>mg</w:t>
      </w:r>
      <w:r w:rsidRPr="00705EC2">
        <w:rPr>
          <w:rFonts w:eastAsia="Times New Roman" w:cs="Arial"/>
          <w:color w:val="000000"/>
          <w:lang w:val="ru-RU"/>
        </w:rPr>
        <w:t xml:space="preserve"> </w:t>
      </w:r>
      <w:r w:rsidRPr="00705EC2">
        <w:rPr>
          <w:rFonts w:eastAsia="Times New Roman" w:cs="Arial"/>
          <w:color w:val="000000"/>
          <w:lang w:eastAsia="bg-BG"/>
        </w:rPr>
        <w:t xml:space="preserve">и 160/12,5 </w:t>
      </w:r>
      <w:r w:rsidRPr="00705EC2">
        <w:rPr>
          <w:rFonts w:eastAsia="Times New Roman" w:cs="Arial"/>
          <w:color w:val="000000"/>
          <w:lang w:val="en-US"/>
        </w:rPr>
        <w:t>mg</w:t>
      </w:r>
      <w:r w:rsidRPr="00705EC2">
        <w:rPr>
          <w:rFonts w:eastAsia="Times New Roman" w:cs="Arial"/>
          <w:color w:val="000000"/>
          <w:lang w:val="ru-RU"/>
        </w:rPr>
        <w:t xml:space="preserve"> </w:t>
      </w:r>
      <w:r w:rsidRPr="00705EC2">
        <w:rPr>
          <w:rFonts w:eastAsia="Times New Roman" w:cs="Arial"/>
          <w:color w:val="000000"/>
          <w:lang w:eastAsia="bg-BG"/>
        </w:rPr>
        <w:t xml:space="preserve">също достига статистическа значимост. В допълнение, процентът на пациентите, повлияли се от лечението (диастолно АН &lt;90 </w:t>
      </w:r>
      <w:r w:rsidRPr="00705EC2">
        <w:rPr>
          <w:rFonts w:eastAsia="Times New Roman" w:cs="Arial"/>
          <w:color w:val="000000"/>
          <w:lang w:val="en-US"/>
        </w:rPr>
        <w:t>mmHg</w:t>
      </w:r>
      <w:r w:rsidRPr="00705EC2">
        <w:rPr>
          <w:rFonts w:eastAsia="Times New Roman" w:cs="Arial"/>
          <w:color w:val="000000"/>
          <w:lang w:val="ru-RU"/>
        </w:rPr>
        <w:t xml:space="preserve"> </w:t>
      </w:r>
      <w:r w:rsidRPr="00705EC2">
        <w:rPr>
          <w:rFonts w:eastAsia="Times New Roman" w:cs="Arial"/>
          <w:color w:val="000000"/>
          <w:lang w:eastAsia="bg-BG"/>
        </w:rPr>
        <w:t xml:space="preserve">или понижение ≥10 </w:t>
      </w:r>
      <w:r w:rsidRPr="00705EC2">
        <w:rPr>
          <w:rFonts w:eastAsia="Times New Roman" w:cs="Arial"/>
          <w:color w:val="000000"/>
          <w:lang w:val="en-US"/>
        </w:rPr>
        <w:t>mmHg</w:t>
      </w:r>
      <w:r w:rsidRPr="00705EC2">
        <w:rPr>
          <w:rFonts w:eastAsia="Times New Roman" w:cs="Arial"/>
          <w:color w:val="000000"/>
          <w:lang w:val="ru-RU"/>
        </w:rPr>
        <w:t xml:space="preserve">), </w:t>
      </w:r>
      <w:r w:rsidRPr="00705EC2">
        <w:rPr>
          <w:rFonts w:eastAsia="Times New Roman" w:cs="Arial"/>
          <w:color w:val="000000"/>
          <w:lang w:eastAsia="bg-BG"/>
        </w:rPr>
        <w:t xml:space="preserve">е значимо по-висок с валсартан/хидрохлоротиазид 160/25 </w:t>
      </w:r>
      <w:r w:rsidRPr="00705EC2">
        <w:rPr>
          <w:rFonts w:eastAsia="Times New Roman" w:cs="Arial"/>
          <w:color w:val="000000"/>
          <w:lang w:val="en-US"/>
        </w:rPr>
        <w:t>mg</w:t>
      </w:r>
      <w:r w:rsidRPr="00705EC2">
        <w:rPr>
          <w:rFonts w:eastAsia="Times New Roman" w:cs="Arial"/>
          <w:color w:val="000000"/>
          <w:lang w:val="ru-RU"/>
        </w:rPr>
        <w:t xml:space="preserve"> </w:t>
      </w:r>
      <w:r w:rsidRPr="00705EC2">
        <w:rPr>
          <w:rFonts w:eastAsia="Times New Roman" w:cs="Arial"/>
          <w:color w:val="000000"/>
          <w:lang w:eastAsia="bg-BG"/>
        </w:rPr>
        <w:t xml:space="preserve">(68%) и 160/12,5 </w:t>
      </w:r>
      <w:r w:rsidRPr="00705EC2">
        <w:rPr>
          <w:rFonts w:eastAsia="Times New Roman" w:cs="Arial"/>
          <w:color w:val="000000"/>
          <w:lang w:val="en-US"/>
        </w:rPr>
        <w:t>mg</w:t>
      </w:r>
      <w:r w:rsidRPr="00705EC2">
        <w:rPr>
          <w:rFonts w:eastAsia="Times New Roman" w:cs="Arial"/>
          <w:color w:val="000000"/>
          <w:lang w:val="ru-RU"/>
        </w:rPr>
        <w:t xml:space="preserve"> </w:t>
      </w:r>
      <w:r w:rsidRPr="00705EC2">
        <w:rPr>
          <w:rFonts w:eastAsia="Times New Roman" w:cs="Arial"/>
          <w:color w:val="000000"/>
          <w:lang w:eastAsia="bg-BG"/>
        </w:rPr>
        <w:t xml:space="preserve">(62%) в сравнение с валсартан 160 </w:t>
      </w:r>
      <w:r w:rsidRPr="00705EC2">
        <w:rPr>
          <w:rFonts w:eastAsia="Times New Roman" w:cs="Arial"/>
          <w:color w:val="000000"/>
          <w:lang w:val="en-US"/>
        </w:rPr>
        <w:t>mg</w:t>
      </w:r>
      <w:r w:rsidRPr="00705EC2">
        <w:rPr>
          <w:rFonts w:eastAsia="Times New Roman" w:cs="Arial"/>
          <w:color w:val="000000"/>
          <w:lang w:val="ru-RU"/>
        </w:rPr>
        <w:t xml:space="preserve"> </w:t>
      </w:r>
      <w:r w:rsidRPr="00705EC2">
        <w:rPr>
          <w:rFonts w:eastAsia="Times New Roman" w:cs="Arial"/>
          <w:color w:val="000000"/>
          <w:lang w:eastAsia="bg-BG"/>
        </w:rPr>
        <w:t>(49%),</w:t>
      </w:r>
    </w:p>
    <w:p w14:paraId="06A77B08" w14:textId="77777777" w:rsidR="00705EC2" w:rsidRPr="00705EC2" w:rsidRDefault="00705EC2" w:rsidP="00705EC2">
      <w:pPr>
        <w:spacing w:line="240" w:lineRule="auto"/>
        <w:rPr>
          <w:rFonts w:eastAsia="Times New Roman" w:cs="Arial"/>
          <w:color w:val="000000"/>
          <w:lang w:eastAsia="bg-BG"/>
        </w:rPr>
      </w:pPr>
    </w:p>
    <w:p w14:paraId="089D497F" w14:textId="76D93A88" w:rsidR="00705EC2" w:rsidRPr="00705EC2" w:rsidRDefault="00705EC2" w:rsidP="00705EC2">
      <w:pPr>
        <w:spacing w:line="240" w:lineRule="auto"/>
        <w:rPr>
          <w:rFonts w:eastAsia="Times New Roman" w:cs="Arial"/>
          <w:sz w:val="24"/>
          <w:szCs w:val="24"/>
        </w:rPr>
      </w:pPr>
      <w:r w:rsidRPr="00705EC2">
        <w:rPr>
          <w:rFonts w:eastAsia="Times New Roman" w:cs="Arial"/>
          <w:color w:val="000000"/>
          <w:lang w:eastAsia="bg-BG"/>
        </w:rPr>
        <w:t xml:space="preserve">В двойно-сляпо, рандомизирано, плацебо контролирано изпитване, сравняващо различните дозови комбинации на валсартан/хидрохлоротиазид с техните съответни съставки, се наблюдава значимо по-голяма редукция на средното систолно/диастолно АН с комбинацията валсартан/хидрохлоротиазид 160/12,5 </w:t>
      </w:r>
      <w:r w:rsidRPr="00705EC2">
        <w:rPr>
          <w:rFonts w:eastAsia="Times New Roman" w:cs="Arial"/>
          <w:color w:val="000000"/>
          <w:lang w:val="en-US"/>
        </w:rPr>
        <w:t>mg</w:t>
      </w:r>
      <w:r w:rsidRPr="00705EC2">
        <w:rPr>
          <w:rFonts w:eastAsia="Times New Roman" w:cs="Arial"/>
          <w:color w:val="000000"/>
          <w:lang w:val="ru-RU"/>
        </w:rPr>
        <w:t xml:space="preserve"> </w:t>
      </w:r>
      <w:r w:rsidRPr="00705EC2">
        <w:rPr>
          <w:rFonts w:eastAsia="Times New Roman" w:cs="Arial"/>
          <w:color w:val="000000"/>
          <w:lang w:eastAsia="bg-BG"/>
        </w:rPr>
        <w:t xml:space="preserve">(17,8/13,5 </w:t>
      </w:r>
      <w:r w:rsidRPr="00705EC2">
        <w:rPr>
          <w:rFonts w:eastAsia="Times New Roman" w:cs="Arial"/>
          <w:color w:val="000000"/>
          <w:lang w:val="en-US"/>
        </w:rPr>
        <w:t>mmHg</w:t>
      </w:r>
      <w:r w:rsidRPr="00705EC2">
        <w:rPr>
          <w:rFonts w:eastAsia="Times New Roman" w:cs="Arial"/>
          <w:color w:val="000000"/>
          <w:lang w:val="ru-RU"/>
        </w:rPr>
        <w:t xml:space="preserve">) </w:t>
      </w:r>
      <w:r w:rsidRPr="00705EC2">
        <w:rPr>
          <w:rFonts w:eastAsia="Times New Roman" w:cs="Arial"/>
          <w:color w:val="000000"/>
          <w:lang w:eastAsia="bg-BG"/>
        </w:rPr>
        <w:t xml:space="preserve">и 160/25 </w:t>
      </w:r>
      <w:r w:rsidRPr="00705EC2">
        <w:rPr>
          <w:rFonts w:eastAsia="Times New Roman" w:cs="Arial"/>
          <w:color w:val="000000"/>
          <w:lang w:val="en-US"/>
        </w:rPr>
        <w:t>mg</w:t>
      </w:r>
      <w:r w:rsidRPr="00705EC2">
        <w:rPr>
          <w:rFonts w:eastAsia="Times New Roman" w:cs="Arial"/>
          <w:color w:val="000000"/>
          <w:lang w:val="ru-RU"/>
        </w:rPr>
        <w:t xml:space="preserve"> </w:t>
      </w:r>
      <w:r w:rsidRPr="00705EC2">
        <w:rPr>
          <w:rFonts w:eastAsia="Times New Roman" w:cs="Arial"/>
          <w:color w:val="000000"/>
          <w:lang w:eastAsia="bg-BG"/>
        </w:rPr>
        <w:t xml:space="preserve">(22,5/15,3 </w:t>
      </w:r>
      <w:r w:rsidRPr="00705EC2">
        <w:rPr>
          <w:rFonts w:eastAsia="Times New Roman" w:cs="Arial"/>
          <w:color w:val="000000"/>
          <w:lang w:val="en-US"/>
        </w:rPr>
        <w:t>mmHg</w:t>
      </w:r>
      <w:r w:rsidRPr="00705EC2">
        <w:rPr>
          <w:rFonts w:eastAsia="Times New Roman" w:cs="Arial"/>
          <w:color w:val="000000"/>
          <w:lang w:val="ru-RU"/>
        </w:rPr>
        <w:t xml:space="preserve">) </w:t>
      </w:r>
      <w:r w:rsidRPr="00705EC2">
        <w:rPr>
          <w:rFonts w:eastAsia="Times New Roman" w:cs="Arial"/>
          <w:color w:val="000000"/>
          <w:lang w:eastAsia="bg-BG"/>
        </w:rPr>
        <w:t xml:space="preserve">в сравнение с плацебо (1,9/4,1 </w:t>
      </w:r>
      <w:r w:rsidRPr="00705EC2">
        <w:rPr>
          <w:rFonts w:eastAsia="Times New Roman" w:cs="Arial"/>
          <w:color w:val="000000"/>
          <w:lang w:val="en-US"/>
        </w:rPr>
        <w:t>mmHg</w:t>
      </w:r>
      <w:r w:rsidRPr="00705EC2">
        <w:rPr>
          <w:rFonts w:eastAsia="Times New Roman" w:cs="Arial"/>
          <w:color w:val="000000"/>
          <w:lang w:val="ru-RU"/>
        </w:rPr>
        <w:t xml:space="preserve">) </w:t>
      </w:r>
      <w:r w:rsidRPr="00705EC2">
        <w:rPr>
          <w:rFonts w:eastAsia="Times New Roman" w:cs="Arial"/>
          <w:color w:val="000000"/>
          <w:lang w:eastAsia="bg-BG"/>
        </w:rPr>
        <w:t xml:space="preserve">и съответните монотерапии, т.е. хидрохлоротиазид 12,5 </w:t>
      </w:r>
      <w:r w:rsidRPr="00705EC2">
        <w:rPr>
          <w:rFonts w:eastAsia="Times New Roman" w:cs="Arial"/>
          <w:color w:val="000000"/>
          <w:lang w:val="en-US"/>
        </w:rPr>
        <w:t>mg</w:t>
      </w:r>
      <w:r w:rsidRPr="00705EC2">
        <w:rPr>
          <w:rFonts w:eastAsia="Times New Roman" w:cs="Arial"/>
          <w:color w:val="000000"/>
          <w:lang w:val="ru-RU"/>
        </w:rPr>
        <w:t xml:space="preserve"> </w:t>
      </w:r>
      <w:r w:rsidRPr="00705EC2">
        <w:rPr>
          <w:rFonts w:eastAsia="Times New Roman" w:cs="Arial"/>
          <w:color w:val="000000"/>
          <w:lang w:eastAsia="bg-BG"/>
        </w:rPr>
        <w:t xml:space="preserve">(7,3/7,2 </w:t>
      </w:r>
      <w:r w:rsidRPr="00705EC2">
        <w:rPr>
          <w:rFonts w:eastAsia="Times New Roman" w:cs="Arial"/>
          <w:color w:val="000000"/>
          <w:lang w:val="en-US"/>
        </w:rPr>
        <w:t>mmHg</w:t>
      </w:r>
      <w:r w:rsidRPr="00705EC2">
        <w:rPr>
          <w:rFonts w:eastAsia="Times New Roman" w:cs="Arial"/>
          <w:color w:val="000000"/>
          <w:lang w:val="ru-RU"/>
        </w:rPr>
        <w:t xml:space="preserve">), </w:t>
      </w:r>
      <w:r w:rsidRPr="00705EC2">
        <w:rPr>
          <w:rFonts w:eastAsia="Times New Roman" w:cs="Arial"/>
          <w:color w:val="000000"/>
          <w:lang w:eastAsia="bg-BG"/>
        </w:rPr>
        <w:t xml:space="preserve">хидрохлоротиазид 25 </w:t>
      </w:r>
      <w:r w:rsidRPr="00705EC2">
        <w:rPr>
          <w:rFonts w:eastAsia="Times New Roman" w:cs="Arial"/>
          <w:color w:val="000000"/>
          <w:lang w:val="en-US"/>
        </w:rPr>
        <w:t>mg</w:t>
      </w:r>
      <w:r w:rsidRPr="00705EC2">
        <w:rPr>
          <w:rFonts w:eastAsia="Times New Roman" w:cs="Arial"/>
          <w:color w:val="000000"/>
          <w:lang w:val="ru-RU"/>
        </w:rPr>
        <w:t xml:space="preserve"> </w:t>
      </w:r>
      <w:r w:rsidRPr="00705EC2">
        <w:rPr>
          <w:rFonts w:eastAsia="Times New Roman" w:cs="Arial"/>
          <w:color w:val="000000"/>
          <w:lang w:eastAsia="bg-BG"/>
        </w:rPr>
        <w:t xml:space="preserve">(12,7/9,3 </w:t>
      </w:r>
      <w:r w:rsidRPr="00705EC2">
        <w:rPr>
          <w:rFonts w:eastAsia="Times New Roman" w:cs="Arial"/>
          <w:color w:val="000000"/>
          <w:lang w:val="en-US"/>
        </w:rPr>
        <w:t>mmHg</w:t>
      </w:r>
      <w:r w:rsidRPr="00705EC2">
        <w:rPr>
          <w:rFonts w:eastAsia="Times New Roman" w:cs="Arial"/>
          <w:color w:val="000000"/>
          <w:lang w:val="ru-RU"/>
        </w:rPr>
        <w:t xml:space="preserve">) </w:t>
      </w:r>
      <w:r w:rsidRPr="00705EC2">
        <w:rPr>
          <w:rFonts w:eastAsia="Times New Roman" w:cs="Arial"/>
          <w:color w:val="000000"/>
          <w:lang w:eastAsia="bg-BG"/>
        </w:rPr>
        <w:t xml:space="preserve">и валсартан 160 </w:t>
      </w:r>
      <w:r w:rsidRPr="00705EC2">
        <w:rPr>
          <w:rFonts w:eastAsia="Times New Roman" w:cs="Arial"/>
          <w:color w:val="000000"/>
          <w:lang w:val="en-US"/>
        </w:rPr>
        <w:t>mg</w:t>
      </w:r>
      <w:r w:rsidRPr="00705EC2">
        <w:rPr>
          <w:rFonts w:eastAsia="Times New Roman" w:cs="Arial"/>
          <w:color w:val="000000"/>
          <w:lang w:val="ru-RU"/>
        </w:rPr>
        <w:t xml:space="preserve"> </w:t>
      </w:r>
      <w:r w:rsidRPr="00705EC2">
        <w:rPr>
          <w:rFonts w:eastAsia="Times New Roman" w:cs="Arial"/>
          <w:color w:val="000000"/>
          <w:lang w:eastAsia="bg-BG"/>
        </w:rPr>
        <w:t xml:space="preserve">(12,1/9,4 </w:t>
      </w:r>
      <w:r w:rsidRPr="00705EC2">
        <w:rPr>
          <w:rFonts w:eastAsia="Times New Roman" w:cs="Arial"/>
          <w:color w:val="000000"/>
          <w:lang w:val="en-US"/>
        </w:rPr>
        <w:t>mmHg</w:t>
      </w:r>
      <w:r w:rsidRPr="00705EC2">
        <w:rPr>
          <w:rFonts w:eastAsia="Times New Roman" w:cs="Arial"/>
          <w:color w:val="000000"/>
          <w:lang w:val="ru-RU"/>
        </w:rPr>
        <w:t xml:space="preserve">). </w:t>
      </w:r>
      <w:r w:rsidRPr="00705EC2">
        <w:rPr>
          <w:rFonts w:eastAsia="Times New Roman" w:cs="Arial"/>
          <w:color w:val="000000"/>
          <w:lang w:eastAsia="bg-BG"/>
        </w:rPr>
        <w:t xml:space="preserve">В допълнение, процентът на пациентите, повлияли се от лечението (диастолно АН &lt;90 </w:t>
      </w:r>
      <w:r w:rsidRPr="00705EC2">
        <w:rPr>
          <w:rFonts w:eastAsia="Times New Roman" w:cs="Arial"/>
          <w:color w:val="000000"/>
          <w:lang w:val="en-US"/>
        </w:rPr>
        <w:t>mmHg</w:t>
      </w:r>
      <w:r w:rsidRPr="00705EC2">
        <w:rPr>
          <w:rFonts w:eastAsia="Times New Roman" w:cs="Arial"/>
          <w:color w:val="000000"/>
          <w:lang w:val="ru-RU"/>
        </w:rPr>
        <w:t xml:space="preserve"> </w:t>
      </w:r>
      <w:r w:rsidRPr="00705EC2">
        <w:rPr>
          <w:rFonts w:eastAsia="Times New Roman" w:cs="Arial"/>
          <w:color w:val="000000"/>
          <w:lang w:eastAsia="bg-BG"/>
        </w:rPr>
        <w:t xml:space="preserve">или понижение ≥10 </w:t>
      </w:r>
      <w:r w:rsidRPr="00705EC2">
        <w:rPr>
          <w:rFonts w:eastAsia="Times New Roman" w:cs="Arial"/>
          <w:color w:val="000000"/>
          <w:lang w:val="en-US"/>
        </w:rPr>
        <w:t>mmHg</w:t>
      </w:r>
      <w:r w:rsidRPr="00705EC2">
        <w:rPr>
          <w:rFonts w:eastAsia="Times New Roman" w:cs="Arial"/>
          <w:color w:val="000000"/>
          <w:lang w:val="ru-RU"/>
        </w:rPr>
        <w:t xml:space="preserve">), </w:t>
      </w:r>
      <w:r w:rsidRPr="00705EC2">
        <w:rPr>
          <w:rFonts w:eastAsia="Times New Roman" w:cs="Arial"/>
          <w:color w:val="000000"/>
          <w:lang w:eastAsia="bg-BG"/>
        </w:rPr>
        <w:t xml:space="preserve">е значимо по-висок с валсартан/хидрохлоротиазид 160/25 </w:t>
      </w:r>
      <w:r w:rsidRPr="00705EC2">
        <w:rPr>
          <w:rFonts w:eastAsia="Times New Roman" w:cs="Arial"/>
          <w:color w:val="000000"/>
          <w:lang w:val="en-US"/>
        </w:rPr>
        <w:t>mg</w:t>
      </w:r>
      <w:r w:rsidRPr="00705EC2">
        <w:rPr>
          <w:rFonts w:eastAsia="Times New Roman" w:cs="Arial"/>
          <w:color w:val="000000"/>
          <w:lang w:val="ru-RU"/>
        </w:rPr>
        <w:t xml:space="preserve"> </w:t>
      </w:r>
      <w:r w:rsidRPr="00705EC2">
        <w:rPr>
          <w:rFonts w:eastAsia="Times New Roman" w:cs="Arial"/>
          <w:color w:val="000000"/>
          <w:lang w:eastAsia="bg-BG"/>
        </w:rPr>
        <w:t xml:space="preserve">(81%) и валсартан/хидрохлоротиазид 160/12,5 </w:t>
      </w:r>
      <w:r w:rsidRPr="00705EC2">
        <w:rPr>
          <w:rFonts w:eastAsia="Times New Roman" w:cs="Arial"/>
          <w:color w:val="000000"/>
          <w:lang w:val="en-US"/>
        </w:rPr>
        <w:t>mg</w:t>
      </w:r>
      <w:r w:rsidRPr="00705EC2">
        <w:rPr>
          <w:rFonts w:eastAsia="Times New Roman" w:cs="Arial"/>
          <w:color w:val="000000"/>
          <w:lang w:val="ru-RU"/>
        </w:rPr>
        <w:t xml:space="preserve"> </w:t>
      </w:r>
      <w:r w:rsidRPr="00705EC2">
        <w:rPr>
          <w:rFonts w:eastAsia="Times New Roman" w:cs="Arial"/>
          <w:color w:val="000000"/>
          <w:lang w:eastAsia="bg-BG"/>
        </w:rPr>
        <w:t xml:space="preserve">(76%) в сравнение с плацебо (29%) и съответните монотерапии, т.е. хидрохлоротиазид 12,5 </w:t>
      </w:r>
      <w:r w:rsidRPr="00705EC2">
        <w:rPr>
          <w:rFonts w:eastAsia="Times New Roman" w:cs="Arial"/>
          <w:color w:val="000000"/>
          <w:lang w:val="en-US"/>
        </w:rPr>
        <w:t>mg</w:t>
      </w:r>
      <w:r w:rsidRPr="00705EC2">
        <w:rPr>
          <w:rFonts w:eastAsia="Times New Roman" w:cs="Arial"/>
          <w:color w:val="000000"/>
          <w:lang w:val="ru-RU"/>
        </w:rPr>
        <w:t xml:space="preserve"> </w:t>
      </w:r>
      <w:r w:rsidRPr="00705EC2">
        <w:rPr>
          <w:rFonts w:eastAsia="Times New Roman" w:cs="Arial"/>
          <w:color w:val="000000"/>
          <w:lang w:eastAsia="bg-BG"/>
        </w:rPr>
        <w:t xml:space="preserve">(41%), хидрохлоротиазид 25 </w:t>
      </w:r>
      <w:r w:rsidRPr="00705EC2">
        <w:rPr>
          <w:rFonts w:eastAsia="Times New Roman" w:cs="Arial"/>
          <w:color w:val="000000"/>
          <w:lang w:val="en-US"/>
        </w:rPr>
        <w:t>mg</w:t>
      </w:r>
      <w:r w:rsidRPr="00705EC2">
        <w:rPr>
          <w:rFonts w:eastAsia="Times New Roman" w:cs="Arial"/>
          <w:color w:val="000000"/>
          <w:lang w:val="ru-RU"/>
        </w:rPr>
        <w:t xml:space="preserve"> </w:t>
      </w:r>
      <w:r w:rsidRPr="00705EC2">
        <w:rPr>
          <w:rFonts w:eastAsia="Times New Roman" w:cs="Arial"/>
          <w:color w:val="000000"/>
          <w:lang w:eastAsia="bg-BG"/>
        </w:rPr>
        <w:t xml:space="preserve">(54%), и валсартан 160 </w:t>
      </w:r>
      <w:r w:rsidRPr="00705EC2">
        <w:rPr>
          <w:rFonts w:eastAsia="Times New Roman" w:cs="Arial"/>
          <w:color w:val="000000"/>
          <w:lang w:val="en-US"/>
        </w:rPr>
        <w:t>mg</w:t>
      </w:r>
      <w:r w:rsidRPr="00705EC2">
        <w:rPr>
          <w:rFonts w:eastAsia="Times New Roman" w:cs="Arial"/>
          <w:color w:val="000000"/>
          <w:lang w:val="ru-RU"/>
        </w:rPr>
        <w:t xml:space="preserve"> </w:t>
      </w:r>
      <w:r w:rsidRPr="00705EC2">
        <w:rPr>
          <w:rFonts w:eastAsia="Times New Roman" w:cs="Arial"/>
          <w:color w:val="000000"/>
          <w:lang w:eastAsia="bg-BG"/>
        </w:rPr>
        <w:t>(59%).</w:t>
      </w:r>
    </w:p>
    <w:p w14:paraId="224D3147" w14:textId="77777777" w:rsidR="00705EC2" w:rsidRPr="00705EC2" w:rsidRDefault="00705EC2" w:rsidP="00705EC2">
      <w:pPr>
        <w:spacing w:line="240" w:lineRule="auto"/>
        <w:rPr>
          <w:rFonts w:eastAsia="Times New Roman" w:cs="Arial"/>
          <w:color w:val="000000"/>
          <w:lang w:eastAsia="bg-BG"/>
        </w:rPr>
      </w:pPr>
    </w:p>
    <w:p w14:paraId="151951ED" w14:textId="62278CB0" w:rsidR="00705EC2" w:rsidRPr="00705EC2" w:rsidRDefault="00705EC2" w:rsidP="00705EC2">
      <w:pPr>
        <w:spacing w:line="240" w:lineRule="auto"/>
        <w:rPr>
          <w:rFonts w:eastAsia="Times New Roman" w:cs="Arial"/>
          <w:sz w:val="24"/>
          <w:szCs w:val="24"/>
        </w:rPr>
      </w:pPr>
      <w:r w:rsidRPr="00705EC2">
        <w:rPr>
          <w:rFonts w:eastAsia="Times New Roman" w:cs="Arial"/>
          <w:color w:val="000000"/>
          <w:lang w:eastAsia="bg-BG"/>
        </w:rPr>
        <w:t xml:space="preserve">В контролирани клинични проучвания с валсартан + хидрохлоротиазид се наблюдава доза- зависимо понижение на нивата на серумния калий. Понижението в нивата на серумния калий е по-често при пациентите, приемащи 25 </w:t>
      </w:r>
      <w:r w:rsidRPr="00705EC2">
        <w:rPr>
          <w:rFonts w:eastAsia="Times New Roman" w:cs="Arial"/>
          <w:color w:val="000000"/>
          <w:lang w:val="en-US"/>
        </w:rPr>
        <w:t>mg</w:t>
      </w:r>
      <w:r w:rsidRPr="00705EC2">
        <w:rPr>
          <w:rFonts w:eastAsia="Times New Roman" w:cs="Arial"/>
          <w:color w:val="000000"/>
          <w:lang w:val="ru-RU"/>
        </w:rPr>
        <w:t xml:space="preserve"> </w:t>
      </w:r>
      <w:r w:rsidRPr="00705EC2">
        <w:rPr>
          <w:rFonts w:eastAsia="Times New Roman" w:cs="Arial"/>
          <w:color w:val="000000"/>
          <w:lang w:eastAsia="bg-BG"/>
        </w:rPr>
        <w:t xml:space="preserve">хидрохлоротиазид, отколкото при тези, приемащи 12,5 </w:t>
      </w:r>
      <w:r w:rsidRPr="00705EC2">
        <w:rPr>
          <w:rFonts w:eastAsia="Times New Roman" w:cs="Arial"/>
          <w:color w:val="000000"/>
          <w:lang w:val="en-US"/>
        </w:rPr>
        <w:t>mg</w:t>
      </w:r>
      <w:r w:rsidRPr="00705EC2">
        <w:rPr>
          <w:rFonts w:eastAsia="Times New Roman" w:cs="Arial"/>
          <w:color w:val="000000"/>
          <w:lang w:val="ru-RU"/>
        </w:rPr>
        <w:t xml:space="preserve"> </w:t>
      </w:r>
      <w:r w:rsidRPr="00705EC2">
        <w:rPr>
          <w:rFonts w:eastAsia="Times New Roman" w:cs="Arial"/>
          <w:color w:val="000000"/>
          <w:lang w:eastAsia="bg-BG"/>
        </w:rPr>
        <w:t xml:space="preserve">хидрохлоротиазид. В контролирани клинични </w:t>
      </w:r>
      <w:r w:rsidRPr="00705EC2">
        <w:rPr>
          <w:rFonts w:eastAsia="Times New Roman" w:cs="Arial"/>
          <w:color w:val="000000"/>
          <w:lang w:eastAsia="bg-BG"/>
        </w:rPr>
        <w:lastRenderedPageBreak/>
        <w:t>изпитвания с валсартан/хидрохлоротиазид калий-понижаващият ефект на хидрохлоротиазид се отслабва от калий-съхраняващият ефект на валсартан.</w:t>
      </w:r>
    </w:p>
    <w:p w14:paraId="66D95EFE" w14:textId="77777777" w:rsidR="00705EC2" w:rsidRPr="00705EC2" w:rsidRDefault="00705EC2" w:rsidP="00705EC2">
      <w:pPr>
        <w:spacing w:line="240" w:lineRule="auto"/>
        <w:rPr>
          <w:rFonts w:eastAsia="Times New Roman" w:cs="Arial"/>
          <w:color w:val="000000"/>
          <w:lang w:eastAsia="bg-BG"/>
        </w:rPr>
      </w:pPr>
    </w:p>
    <w:p w14:paraId="07689AD6" w14:textId="06683582" w:rsidR="00705EC2" w:rsidRPr="00705EC2" w:rsidRDefault="00705EC2" w:rsidP="00705EC2">
      <w:pPr>
        <w:spacing w:line="240" w:lineRule="auto"/>
        <w:rPr>
          <w:rFonts w:eastAsia="Times New Roman" w:cs="Arial"/>
          <w:sz w:val="24"/>
          <w:szCs w:val="24"/>
        </w:rPr>
      </w:pPr>
      <w:r w:rsidRPr="00705EC2">
        <w:rPr>
          <w:rFonts w:eastAsia="Times New Roman" w:cs="Arial"/>
          <w:color w:val="000000"/>
          <w:lang w:eastAsia="bg-BG"/>
        </w:rPr>
        <w:t>На този етап не са известни ползите от комбинацията на валсартан с хидрохлоротиазид по отношение на сърдечно-съдовата смъртност и болестност.</w:t>
      </w:r>
    </w:p>
    <w:p w14:paraId="5308BDE3" w14:textId="77777777" w:rsidR="00705EC2" w:rsidRPr="00705EC2" w:rsidRDefault="00705EC2" w:rsidP="00705EC2">
      <w:pPr>
        <w:spacing w:line="240" w:lineRule="auto"/>
        <w:rPr>
          <w:rFonts w:eastAsia="Times New Roman" w:cs="Arial"/>
          <w:sz w:val="24"/>
          <w:szCs w:val="24"/>
        </w:rPr>
      </w:pPr>
      <w:r w:rsidRPr="00705EC2">
        <w:rPr>
          <w:rFonts w:eastAsia="Times New Roman" w:cs="Arial"/>
          <w:color w:val="000000"/>
          <w:lang w:eastAsia="bg-BG"/>
        </w:rPr>
        <w:t>Епидемиологични проучвания показват, че дългосрочното лечение с хидрохлоротиазид понижава риска от сърдечно-съдова смъртност и болестност.</w:t>
      </w:r>
    </w:p>
    <w:p w14:paraId="69FAE795" w14:textId="77777777" w:rsidR="00705EC2" w:rsidRPr="00705EC2" w:rsidRDefault="00705EC2" w:rsidP="00705EC2">
      <w:pPr>
        <w:spacing w:line="240" w:lineRule="auto"/>
        <w:rPr>
          <w:rFonts w:eastAsia="Times New Roman" w:cs="Arial"/>
          <w:i/>
          <w:iCs/>
          <w:color w:val="000000"/>
          <w:u w:val="single"/>
          <w:lang w:eastAsia="bg-BG"/>
        </w:rPr>
      </w:pPr>
    </w:p>
    <w:p w14:paraId="11698582" w14:textId="3C1E1AE7" w:rsidR="00705EC2" w:rsidRPr="00705EC2" w:rsidRDefault="00705EC2" w:rsidP="00705EC2">
      <w:pPr>
        <w:spacing w:line="240" w:lineRule="auto"/>
        <w:rPr>
          <w:rFonts w:eastAsia="Times New Roman" w:cs="Arial"/>
          <w:sz w:val="24"/>
          <w:szCs w:val="24"/>
        </w:rPr>
      </w:pPr>
      <w:r w:rsidRPr="00705EC2">
        <w:rPr>
          <w:rFonts w:eastAsia="Times New Roman" w:cs="Arial"/>
          <w:i/>
          <w:iCs/>
          <w:color w:val="000000"/>
          <w:u w:val="single"/>
          <w:lang w:eastAsia="bg-BG"/>
        </w:rPr>
        <w:t>Валсартан</w:t>
      </w:r>
    </w:p>
    <w:p w14:paraId="1833901D" w14:textId="77777777" w:rsidR="00705EC2" w:rsidRPr="00705EC2" w:rsidRDefault="00705EC2" w:rsidP="00705EC2">
      <w:pPr>
        <w:spacing w:line="240" w:lineRule="auto"/>
        <w:rPr>
          <w:rFonts w:eastAsia="Times New Roman" w:cs="Arial"/>
          <w:sz w:val="24"/>
          <w:szCs w:val="24"/>
        </w:rPr>
      </w:pPr>
      <w:r w:rsidRPr="00705EC2">
        <w:rPr>
          <w:rFonts w:eastAsia="Times New Roman" w:cs="Arial"/>
          <w:color w:val="000000"/>
          <w:lang w:eastAsia="bg-BG"/>
        </w:rPr>
        <w:t xml:space="preserve">Валсартан е перорално активен, мощен и специфичен ангиотензин </w:t>
      </w:r>
      <w:r w:rsidRPr="00705EC2">
        <w:rPr>
          <w:rFonts w:eastAsia="Times New Roman" w:cs="Arial"/>
          <w:color w:val="000000"/>
          <w:lang w:val="en-US"/>
        </w:rPr>
        <w:t>II</w:t>
      </w:r>
      <w:r w:rsidRPr="00705EC2">
        <w:rPr>
          <w:rFonts w:eastAsia="Times New Roman" w:cs="Arial"/>
          <w:color w:val="000000"/>
          <w:lang w:eastAsia="bg-BG"/>
        </w:rPr>
        <w:t xml:space="preserve"> </w:t>
      </w:r>
      <w:r w:rsidRPr="00705EC2">
        <w:rPr>
          <w:rFonts w:eastAsia="Times New Roman" w:cs="Arial"/>
          <w:color w:val="000000"/>
          <w:lang w:val="ru-RU"/>
        </w:rPr>
        <w:t>(</w:t>
      </w:r>
      <w:r w:rsidRPr="00705EC2">
        <w:rPr>
          <w:rFonts w:eastAsia="Times New Roman" w:cs="Arial"/>
          <w:color w:val="000000"/>
          <w:lang w:val="en-US"/>
        </w:rPr>
        <w:t>AT</w:t>
      </w:r>
      <w:r w:rsidRPr="00705EC2">
        <w:rPr>
          <w:rFonts w:eastAsia="Times New Roman" w:cs="Arial"/>
          <w:color w:val="000000"/>
          <w:lang w:val="ru-RU"/>
        </w:rPr>
        <w:t xml:space="preserve"> </w:t>
      </w:r>
      <w:r w:rsidRPr="00705EC2">
        <w:rPr>
          <w:rFonts w:eastAsia="Times New Roman" w:cs="Arial"/>
          <w:color w:val="000000"/>
          <w:lang w:eastAsia="bg-BG"/>
        </w:rPr>
        <w:t xml:space="preserve">II) антагонист. Той действа селективно върху </w:t>
      </w:r>
      <w:r w:rsidRPr="00705EC2">
        <w:rPr>
          <w:rFonts w:eastAsia="Times New Roman" w:cs="Arial"/>
          <w:color w:val="000000"/>
          <w:lang w:val="en-US"/>
        </w:rPr>
        <w:t>AT</w:t>
      </w:r>
      <w:r w:rsidRPr="00705EC2">
        <w:rPr>
          <w:rFonts w:eastAsia="Times New Roman" w:cs="Arial"/>
          <w:color w:val="000000"/>
          <w:vertAlign w:val="subscript"/>
          <w:lang w:val="ru-RU"/>
        </w:rPr>
        <w:t>1</w:t>
      </w:r>
      <w:r w:rsidRPr="00705EC2">
        <w:rPr>
          <w:rFonts w:eastAsia="Times New Roman" w:cs="Arial"/>
          <w:color w:val="000000"/>
          <w:lang w:val="ru-RU"/>
        </w:rPr>
        <w:t xml:space="preserve"> </w:t>
      </w:r>
      <w:r w:rsidRPr="00705EC2">
        <w:rPr>
          <w:rFonts w:eastAsia="Times New Roman" w:cs="Arial"/>
          <w:color w:val="000000"/>
          <w:lang w:eastAsia="bg-BG"/>
        </w:rPr>
        <w:t xml:space="preserve">рецепторния подтип, който е отговорен за познатите действия на ангиотензин II. Повишените плазмени нива на ангиотензин II в резултат на </w:t>
      </w:r>
      <w:r w:rsidRPr="00705EC2">
        <w:rPr>
          <w:rFonts w:eastAsia="Times New Roman" w:cs="Arial"/>
          <w:color w:val="000000"/>
          <w:lang w:val="en-US"/>
        </w:rPr>
        <w:t>AT</w:t>
      </w:r>
      <w:r w:rsidRPr="00705EC2">
        <w:rPr>
          <w:rFonts w:eastAsia="Times New Roman" w:cs="Arial"/>
          <w:color w:val="000000"/>
          <w:vertAlign w:val="subscript"/>
          <w:lang w:val="ru-RU"/>
        </w:rPr>
        <w:t>1</w:t>
      </w:r>
      <w:r w:rsidRPr="00705EC2">
        <w:rPr>
          <w:rFonts w:eastAsia="Times New Roman" w:cs="Arial"/>
          <w:color w:val="000000"/>
          <w:lang w:val="ru-RU"/>
        </w:rPr>
        <w:t xml:space="preserve"> </w:t>
      </w:r>
      <w:r w:rsidRPr="00705EC2">
        <w:rPr>
          <w:rFonts w:eastAsia="Times New Roman" w:cs="Arial"/>
          <w:color w:val="000000"/>
          <w:lang w:eastAsia="bg-BG"/>
        </w:rPr>
        <w:t>рецепторната блокада с валсартан могат да стимулират неблокираните АТ</w:t>
      </w:r>
      <w:r w:rsidRPr="00705EC2">
        <w:rPr>
          <w:rFonts w:eastAsia="Times New Roman" w:cs="Arial"/>
          <w:color w:val="000000"/>
          <w:vertAlign w:val="subscript"/>
          <w:lang w:eastAsia="bg-BG"/>
        </w:rPr>
        <w:t>2</w:t>
      </w:r>
      <w:r w:rsidRPr="00705EC2">
        <w:rPr>
          <w:rFonts w:eastAsia="Times New Roman" w:cs="Arial"/>
          <w:color w:val="000000"/>
          <w:lang w:eastAsia="bg-BG"/>
        </w:rPr>
        <w:t xml:space="preserve"> рецептори, което изглежда противодейства на ефекта на </w:t>
      </w:r>
      <w:r w:rsidRPr="00705EC2">
        <w:rPr>
          <w:rFonts w:eastAsia="Times New Roman" w:cs="Arial"/>
          <w:color w:val="000000"/>
          <w:lang w:val="en-US"/>
        </w:rPr>
        <w:t>AT</w:t>
      </w:r>
      <w:r w:rsidRPr="00705EC2">
        <w:rPr>
          <w:rFonts w:eastAsia="Times New Roman" w:cs="Arial"/>
          <w:color w:val="000000"/>
          <w:vertAlign w:val="subscript"/>
          <w:lang w:val="ru-RU"/>
        </w:rPr>
        <w:t>1</w:t>
      </w:r>
      <w:r w:rsidRPr="00705EC2">
        <w:rPr>
          <w:rFonts w:eastAsia="Times New Roman" w:cs="Arial"/>
          <w:color w:val="000000"/>
          <w:lang w:val="ru-RU"/>
        </w:rPr>
        <w:t xml:space="preserve"> </w:t>
      </w:r>
      <w:r w:rsidRPr="00705EC2">
        <w:rPr>
          <w:rFonts w:eastAsia="Times New Roman" w:cs="Arial"/>
          <w:color w:val="000000"/>
          <w:lang w:eastAsia="bg-BG"/>
        </w:rPr>
        <w:t xml:space="preserve">рецептора. Валсартан не проявява никаква частична агонистична активност към </w:t>
      </w:r>
      <w:r w:rsidRPr="00705EC2">
        <w:rPr>
          <w:rFonts w:eastAsia="Times New Roman" w:cs="Arial"/>
          <w:color w:val="000000"/>
          <w:lang w:val="en-US"/>
        </w:rPr>
        <w:t>AT</w:t>
      </w:r>
      <w:r w:rsidRPr="00705EC2">
        <w:rPr>
          <w:rFonts w:eastAsia="Times New Roman" w:cs="Arial"/>
          <w:color w:val="000000"/>
          <w:vertAlign w:val="subscript"/>
          <w:lang w:val="ru-RU"/>
        </w:rPr>
        <w:t>1</w:t>
      </w:r>
      <w:r w:rsidRPr="00705EC2">
        <w:rPr>
          <w:rFonts w:eastAsia="Times New Roman" w:cs="Arial"/>
          <w:color w:val="000000"/>
          <w:lang w:val="ru-RU"/>
        </w:rPr>
        <w:t xml:space="preserve"> </w:t>
      </w:r>
      <w:r w:rsidRPr="00705EC2">
        <w:rPr>
          <w:rFonts w:eastAsia="Times New Roman" w:cs="Arial"/>
          <w:color w:val="000000"/>
          <w:lang w:eastAsia="bg-BG"/>
        </w:rPr>
        <w:t xml:space="preserve">рецептора и има значително (около 20 000 пъти) по-голям афинитет към </w:t>
      </w:r>
      <w:r w:rsidRPr="00705EC2">
        <w:rPr>
          <w:rFonts w:eastAsia="Times New Roman" w:cs="Arial"/>
          <w:color w:val="000000"/>
          <w:lang w:val="en-US"/>
        </w:rPr>
        <w:t>AT</w:t>
      </w:r>
      <w:r w:rsidRPr="00705EC2">
        <w:rPr>
          <w:rFonts w:eastAsia="Times New Roman" w:cs="Arial"/>
          <w:color w:val="000000"/>
          <w:vertAlign w:val="subscript"/>
          <w:lang w:val="ru-RU"/>
        </w:rPr>
        <w:t>1</w:t>
      </w:r>
      <w:r w:rsidRPr="00705EC2">
        <w:rPr>
          <w:rFonts w:eastAsia="Times New Roman" w:cs="Arial"/>
          <w:color w:val="000000"/>
          <w:lang w:val="ru-RU"/>
        </w:rPr>
        <w:t xml:space="preserve"> </w:t>
      </w:r>
      <w:r w:rsidRPr="00705EC2">
        <w:rPr>
          <w:rFonts w:eastAsia="Times New Roman" w:cs="Arial"/>
          <w:color w:val="000000"/>
          <w:lang w:eastAsia="bg-BG"/>
        </w:rPr>
        <w:t>рецептора, отколкото към АТ</w:t>
      </w:r>
      <w:r w:rsidRPr="00705EC2">
        <w:rPr>
          <w:rFonts w:eastAsia="Times New Roman" w:cs="Arial"/>
          <w:color w:val="000000"/>
          <w:vertAlign w:val="subscript"/>
          <w:lang w:eastAsia="bg-BG"/>
        </w:rPr>
        <w:t>2</w:t>
      </w:r>
      <w:r w:rsidRPr="00705EC2">
        <w:rPr>
          <w:rFonts w:eastAsia="Times New Roman" w:cs="Arial"/>
          <w:color w:val="000000"/>
          <w:lang w:eastAsia="bg-BG"/>
        </w:rPr>
        <w:t xml:space="preserve"> рецептора. Валсартан не се свързва и не блокира рецептори на други хормони или йонни канали, за които е известно, че са важни в сърдечно-съдовата регулация.</w:t>
      </w:r>
    </w:p>
    <w:p w14:paraId="7E2E515D" w14:textId="77777777" w:rsidR="00705EC2" w:rsidRPr="00705EC2" w:rsidRDefault="00705EC2" w:rsidP="00705EC2">
      <w:pPr>
        <w:spacing w:line="240" w:lineRule="auto"/>
        <w:rPr>
          <w:rFonts w:eastAsia="Times New Roman" w:cs="Arial"/>
          <w:color w:val="000000"/>
          <w:lang w:eastAsia="bg-BG"/>
        </w:rPr>
      </w:pPr>
    </w:p>
    <w:p w14:paraId="0D2C71BE" w14:textId="59932CE6" w:rsidR="00705EC2" w:rsidRPr="00705EC2" w:rsidRDefault="00705EC2" w:rsidP="00705EC2">
      <w:pPr>
        <w:spacing w:line="240" w:lineRule="auto"/>
        <w:rPr>
          <w:rFonts w:eastAsia="Times New Roman" w:cs="Arial"/>
          <w:sz w:val="24"/>
          <w:szCs w:val="24"/>
        </w:rPr>
      </w:pPr>
      <w:r w:rsidRPr="00705EC2">
        <w:rPr>
          <w:rFonts w:eastAsia="Times New Roman" w:cs="Arial"/>
          <w:color w:val="000000"/>
          <w:lang w:eastAsia="bg-BG"/>
        </w:rPr>
        <w:t xml:space="preserve">Валсартан не инхибира АСЕ (известен и като кининаза II), който превръща ангиотензин I в ангиотензин II и разгражда брадикинина. Тъй като нямат ефект върху АСЕ и не засилват действието на брадикинин или субстанция Р, малко вероятно е антагонистите на ангиотензин II да са свързани с кашляне. В клинични проучвания, където валсартан е сравнен с АСЕ инхибитор, честотата на суха кашлица е значително (Р&lt;0,05) по-малка при пациенти, лекувани с валсартан, отколкото при лекуваните е АСЕ инхибитор (2,6% срещу 7,9% респективно). В клинични проучвания при пациенти с анамнеза за суха кашлица по време на лечение с АСЕ инхибитор, 19,5% от проучваните лица, получаващи валсартан, и 19,0% от получаващите тиазиден диуретик имат кашлица, в сравнение с 68,5% от лицата, лекувани с </w:t>
      </w:r>
      <w:r w:rsidRPr="00705EC2">
        <w:rPr>
          <w:rFonts w:eastAsia="Times New Roman" w:cs="Arial"/>
          <w:color w:val="000000"/>
          <w:lang w:val="en-US"/>
        </w:rPr>
        <w:t>ACE</w:t>
      </w:r>
      <w:r w:rsidRPr="00705EC2">
        <w:rPr>
          <w:rFonts w:eastAsia="Times New Roman" w:cs="Arial"/>
          <w:color w:val="000000"/>
          <w:lang w:val="ru-RU"/>
        </w:rPr>
        <w:t xml:space="preserve"> </w:t>
      </w:r>
      <w:r w:rsidRPr="00705EC2">
        <w:rPr>
          <w:rFonts w:eastAsia="Times New Roman" w:cs="Arial"/>
          <w:color w:val="000000"/>
          <w:lang w:eastAsia="bg-BG"/>
        </w:rPr>
        <w:t>инхибитор (р&lt;0,05).</w:t>
      </w:r>
    </w:p>
    <w:p w14:paraId="7D144B41" w14:textId="77777777" w:rsidR="00705EC2" w:rsidRPr="00705EC2" w:rsidRDefault="00705EC2" w:rsidP="00705EC2">
      <w:pPr>
        <w:spacing w:line="240" w:lineRule="auto"/>
        <w:rPr>
          <w:rFonts w:eastAsia="Times New Roman" w:cs="Arial"/>
          <w:sz w:val="24"/>
          <w:szCs w:val="24"/>
        </w:rPr>
      </w:pPr>
    </w:p>
    <w:p w14:paraId="7537B874" w14:textId="77777777" w:rsidR="00705EC2" w:rsidRPr="00705EC2" w:rsidRDefault="00705EC2" w:rsidP="00705EC2">
      <w:pPr>
        <w:rPr>
          <w:rFonts w:eastAsia="Times New Roman" w:cs="Arial"/>
          <w:sz w:val="24"/>
          <w:szCs w:val="24"/>
        </w:rPr>
      </w:pPr>
      <w:r w:rsidRPr="00705EC2">
        <w:rPr>
          <w:rFonts w:eastAsia="Times New Roman" w:cs="Arial"/>
          <w:color w:val="000000"/>
          <w:lang w:eastAsia="bg-BG"/>
        </w:rPr>
        <w:t xml:space="preserve">Приложението на </w:t>
      </w:r>
      <w:r w:rsidRPr="00705EC2">
        <w:rPr>
          <w:rFonts w:eastAsia="Times New Roman" w:cs="Arial"/>
          <w:color w:val="000000"/>
          <w:lang w:val="en-US"/>
        </w:rPr>
        <w:t>Diovan</w:t>
      </w:r>
      <w:r w:rsidRPr="00705EC2">
        <w:rPr>
          <w:rFonts w:eastAsia="Times New Roman" w:cs="Arial"/>
          <w:color w:val="000000"/>
          <w:lang w:val="ru-RU"/>
        </w:rPr>
        <w:t xml:space="preserve"> </w:t>
      </w:r>
      <w:r w:rsidRPr="00705EC2">
        <w:rPr>
          <w:rFonts w:eastAsia="Times New Roman" w:cs="Arial"/>
          <w:color w:val="000000"/>
          <w:lang w:eastAsia="bg-BG"/>
        </w:rPr>
        <w:t>при пациенти с хипертония води до понижаване на артериалното налягане без повлияване на пулсовата честота. При повечето пациенти след еднократен перорален прием началото на антихипертензивното действие е в рамките на 2 часа, а пикът на</w:t>
      </w:r>
      <w:r w:rsidRPr="00705EC2">
        <w:rPr>
          <w:rFonts w:eastAsia="Times New Roman" w:cs="Arial"/>
          <w:color w:val="000000"/>
          <w:lang w:val="ru-RU" w:eastAsia="bg-BG"/>
        </w:rPr>
        <w:t xml:space="preserve"> </w:t>
      </w:r>
      <w:r w:rsidRPr="00705EC2">
        <w:rPr>
          <w:rFonts w:eastAsia="Times New Roman" w:cs="Arial"/>
          <w:color w:val="000000"/>
          <w:lang w:eastAsia="bg-BG"/>
        </w:rPr>
        <w:t>понижаването на артериалното налягане се достига в рамките на 4-6 часа* Антихипертензивният ефект продължава над 24 часа след приема. При многократен прием максимално понижаване на артериалното налягане при всяка една от дозите се постига в рамките на 2-4 седмици и се задържа в хода на дългосрочна терапия. Значимо допълнително понижение на артериалното налягане се постига при комбинация с хидрохлоротиазид.</w:t>
      </w:r>
    </w:p>
    <w:p w14:paraId="79A52C0C" w14:textId="77777777" w:rsidR="00705EC2" w:rsidRPr="00705EC2" w:rsidRDefault="00705EC2" w:rsidP="00705EC2">
      <w:pPr>
        <w:spacing w:line="240" w:lineRule="auto"/>
        <w:rPr>
          <w:rFonts w:eastAsia="Times New Roman" w:cs="Arial"/>
          <w:color w:val="000000"/>
          <w:lang w:eastAsia="bg-BG"/>
        </w:rPr>
      </w:pPr>
    </w:p>
    <w:p w14:paraId="75AC20CA" w14:textId="4EA3B6B5" w:rsidR="00705EC2" w:rsidRPr="00705EC2" w:rsidRDefault="00705EC2" w:rsidP="00705EC2">
      <w:pPr>
        <w:spacing w:line="240" w:lineRule="auto"/>
        <w:rPr>
          <w:rFonts w:eastAsia="Times New Roman" w:cs="Arial"/>
          <w:sz w:val="24"/>
          <w:szCs w:val="24"/>
        </w:rPr>
      </w:pPr>
      <w:r w:rsidRPr="00705EC2">
        <w:rPr>
          <w:rFonts w:eastAsia="Times New Roman" w:cs="Arial"/>
          <w:color w:val="000000"/>
          <w:lang w:eastAsia="bg-BG"/>
        </w:rPr>
        <w:t xml:space="preserve">Внезапното преустановяване на лечението с валсартан не се свързва с </w:t>
      </w:r>
      <w:r w:rsidRPr="00705EC2">
        <w:rPr>
          <w:rFonts w:eastAsia="Times New Roman" w:cs="Arial"/>
          <w:color w:val="000000"/>
          <w:lang w:val="en-US"/>
        </w:rPr>
        <w:t>rebound</w:t>
      </w:r>
      <w:r w:rsidRPr="00705EC2">
        <w:rPr>
          <w:rFonts w:eastAsia="Times New Roman" w:cs="Arial"/>
          <w:color w:val="000000"/>
          <w:lang w:eastAsia="bg-BG"/>
        </w:rPr>
        <w:t>-хипертония или с други нежелани клинични събития.</w:t>
      </w:r>
    </w:p>
    <w:p w14:paraId="665E3771" w14:textId="77777777" w:rsidR="00705EC2" w:rsidRPr="00705EC2" w:rsidRDefault="00705EC2" w:rsidP="00705EC2">
      <w:pPr>
        <w:spacing w:line="240" w:lineRule="auto"/>
        <w:rPr>
          <w:rFonts w:eastAsia="Times New Roman" w:cs="Arial"/>
          <w:color w:val="000000"/>
          <w:lang w:eastAsia="bg-BG"/>
        </w:rPr>
      </w:pPr>
    </w:p>
    <w:p w14:paraId="6772DFE3" w14:textId="5097B095" w:rsidR="00705EC2" w:rsidRPr="00705EC2" w:rsidRDefault="00705EC2" w:rsidP="00705EC2">
      <w:pPr>
        <w:spacing w:line="240" w:lineRule="auto"/>
        <w:rPr>
          <w:rFonts w:eastAsia="Times New Roman" w:cs="Arial"/>
          <w:sz w:val="24"/>
          <w:szCs w:val="24"/>
        </w:rPr>
      </w:pPr>
      <w:r w:rsidRPr="00705EC2">
        <w:rPr>
          <w:rFonts w:eastAsia="Times New Roman" w:cs="Arial"/>
          <w:color w:val="000000"/>
          <w:lang w:eastAsia="bg-BG"/>
        </w:rPr>
        <w:t xml:space="preserve">При пациенти с хипертония и диабет тип 2 с микроалбуминурия е отчетено, че валсартан намалява отделянето на албумин в урината. Проучването </w:t>
      </w:r>
      <w:r w:rsidRPr="00705EC2">
        <w:rPr>
          <w:rFonts w:eastAsia="Times New Roman" w:cs="Arial"/>
          <w:color w:val="000000"/>
          <w:lang w:val="en-US"/>
        </w:rPr>
        <w:t>MARVAL</w:t>
      </w:r>
      <w:r w:rsidRPr="00705EC2">
        <w:rPr>
          <w:rFonts w:eastAsia="Times New Roman" w:cs="Arial"/>
          <w:color w:val="000000"/>
        </w:rPr>
        <w:t xml:space="preserve"> (</w:t>
      </w:r>
      <w:r w:rsidRPr="00705EC2">
        <w:rPr>
          <w:rFonts w:eastAsia="Times New Roman" w:cs="Arial"/>
          <w:color w:val="000000"/>
          <w:lang w:val="en-US"/>
        </w:rPr>
        <w:t>Micro</w:t>
      </w:r>
      <w:r w:rsidRPr="00705EC2">
        <w:rPr>
          <w:rFonts w:eastAsia="Times New Roman" w:cs="Arial"/>
          <w:color w:val="000000"/>
        </w:rPr>
        <w:t xml:space="preserve"> </w:t>
      </w:r>
      <w:r w:rsidRPr="00705EC2">
        <w:rPr>
          <w:rFonts w:eastAsia="Times New Roman" w:cs="Arial"/>
          <w:color w:val="000000"/>
          <w:lang w:val="en-US"/>
        </w:rPr>
        <w:t>Albuminuria</w:t>
      </w:r>
      <w:r w:rsidRPr="00705EC2">
        <w:rPr>
          <w:rFonts w:eastAsia="Times New Roman" w:cs="Arial"/>
          <w:color w:val="000000"/>
        </w:rPr>
        <w:t xml:space="preserve"> </w:t>
      </w:r>
      <w:r w:rsidRPr="00705EC2">
        <w:rPr>
          <w:rFonts w:eastAsia="Times New Roman" w:cs="Arial"/>
          <w:color w:val="000000"/>
          <w:lang w:val="en-US"/>
        </w:rPr>
        <w:t>Reduction</w:t>
      </w:r>
      <w:r w:rsidRPr="00705EC2">
        <w:rPr>
          <w:rFonts w:eastAsia="Times New Roman" w:cs="Arial"/>
          <w:color w:val="000000"/>
        </w:rPr>
        <w:t xml:space="preserve"> </w:t>
      </w:r>
      <w:r w:rsidRPr="00705EC2">
        <w:rPr>
          <w:rFonts w:eastAsia="Times New Roman" w:cs="Arial"/>
          <w:color w:val="000000"/>
          <w:lang w:val="en-US"/>
        </w:rPr>
        <w:t>with</w:t>
      </w:r>
      <w:r w:rsidRPr="00705EC2">
        <w:rPr>
          <w:rFonts w:eastAsia="Times New Roman" w:cs="Arial"/>
          <w:color w:val="000000"/>
        </w:rPr>
        <w:t xml:space="preserve"> </w:t>
      </w:r>
      <w:r w:rsidRPr="00705EC2">
        <w:rPr>
          <w:rFonts w:eastAsia="Times New Roman" w:cs="Arial"/>
          <w:color w:val="000000"/>
          <w:lang w:val="en-US"/>
        </w:rPr>
        <w:t>Valsartan</w:t>
      </w:r>
      <w:r w:rsidRPr="00705EC2">
        <w:rPr>
          <w:rFonts w:eastAsia="Times New Roman" w:cs="Arial"/>
          <w:color w:val="000000"/>
        </w:rPr>
        <w:t xml:space="preserve">) </w:t>
      </w:r>
      <w:r w:rsidRPr="00705EC2">
        <w:rPr>
          <w:rFonts w:eastAsia="Times New Roman" w:cs="Arial"/>
          <w:color w:val="000000"/>
          <w:lang w:eastAsia="bg-BG"/>
        </w:rPr>
        <w:t xml:space="preserve">оценява намаляването на отделянето на албумин в урината </w:t>
      </w:r>
      <w:r w:rsidRPr="00705EC2">
        <w:rPr>
          <w:rFonts w:eastAsia="Times New Roman" w:cs="Arial"/>
          <w:color w:val="000000"/>
        </w:rPr>
        <w:t>(</w:t>
      </w:r>
      <w:r w:rsidRPr="00705EC2">
        <w:rPr>
          <w:rFonts w:eastAsia="Times New Roman" w:cs="Arial"/>
          <w:color w:val="000000"/>
          <w:lang w:val="en-US"/>
        </w:rPr>
        <w:t>UAE</w:t>
      </w:r>
      <w:r w:rsidRPr="00705EC2">
        <w:rPr>
          <w:rFonts w:eastAsia="Times New Roman" w:cs="Arial"/>
          <w:color w:val="000000"/>
        </w:rPr>
        <w:t xml:space="preserve">) </w:t>
      </w:r>
      <w:r w:rsidRPr="00705EC2">
        <w:rPr>
          <w:rFonts w:eastAsia="Times New Roman" w:cs="Arial"/>
          <w:color w:val="000000"/>
          <w:lang w:eastAsia="bg-BG"/>
        </w:rPr>
        <w:t xml:space="preserve">с валсартан (80-160 </w:t>
      </w:r>
      <w:r w:rsidRPr="00705EC2">
        <w:rPr>
          <w:rFonts w:eastAsia="Times New Roman" w:cs="Arial"/>
          <w:color w:val="000000"/>
          <w:lang w:val="en-US"/>
        </w:rPr>
        <w:t>mg</w:t>
      </w:r>
      <w:r w:rsidRPr="00705EC2">
        <w:rPr>
          <w:rFonts w:eastAsia="Times New Roman" w:cs="Arial"/>
          <w:color w:val="000000"/>
          <w:lang w:eastAsia="bg-BG"/>
        </w:rPr>
        <w:t xml:space="preserve">/ден) в сравнение с амлодипин (5-10 </w:t>
      </w:r>
      <w:r w:rsidRPr="00705EC2">
        <w:rPr>
          <w:rFonts w:eastAsia="Times New Roman" w:cs="Arial"/>
          <w:color w:val="000000"/>
          <w:lang w:val="en-US"/>
        </w:rPr>
        <w:t>mg</w:t>
      </w:r>
      <w:r w:rsidRPr="00705EC2">
        <w:rPr>
          <w:rFonts w:eastAsia="Times New Roman" w:cs="Arial"/>
          <w:color w:val="000000"/>
          <w:lang w:eastAsia="bg-BG"/>
        </w:rPr>
        <w:t>/ден), при 332 пациенти с диабет тип 2 (средна възраст: 58 години; 265 мъже) с микроалбуминурия (валсартан: 58 μ</w:t>
      </w:r>
      <w:r w:rsidRPr="00705EC2">
        <w:rPr>
          <w:rFonts w:eastAsia="Times New Roman" w:cs="Arial"/>
          <w:color w:val="000000"/>
          <w:lang w:val="en-US"/>
        </w:rPr>
        <w:t>g</w:t>
      </w:r>
      <w:r w:rsidRPr="00705EC2">
        <w:rPr>
          <w:rFonts w:eastAsia="Times New Roman" w:cs="Arial"/>
          <w:color w:val="000000"/>
        </w:rPr>
        <w:t>/</w:t>
      </w:r>
      <w:r w:rsidRPr="00705EC2">
        <w:rPr>
          <w:rFonts w:eastAsia="Times New Roman" w:cs="Arial"/>
          <w:color w:val="000000"/>
          <w:lang w:val="en-US"/>
        </w:rPr>
        <w:t>min</w:t>
      </w:r>
      <w:r w:rsidRPr="00705EC2">
        <w:rPr>
          <w:rFonts w:eastAsia="Times New Roman" w:cs="Arial"/>
          <w:color w:val="000000"/>
        </w:rPr>
        <w:t xml:space="preserve">; </w:t>
      </w:r>
      <w:r w:rsidRPr="00705EC2">
        <w:rPr>
          <w:rFonts w:eastAsia="Times New Roman" w:cs="Arial"/>
          <w:color w:val="000000"/>
          <w:lang w:eastAsia="bg-BG"/>
        </w:rPr>
        <w:t>амлодипин: 55,4 μ</w:t>
      </w:r>
      <w:r w:rsidRPr="00705EC2">
        <w:rPr>
          <w:rFonts w:eastAsia="Times New Roman" w:cs="Arial"/>
          <w:color w:val="000000"/>
          <w:lang w:val="en-US"/>
        </w:rPr>
        <w:t>g</w:t>
      </w:r>
      <w:r w:rsidRPr="00705EC2">
        <w:rPr>
          <w:rFonts w:eastAsia="Times New Roman" w:cs="Arial"/>
          <w:color w:val="000000"/>
        </w:rPr>
        <w:t>/</w:t>
      </w:r>
      <w:r w:rsidRPr="00705EC2">
        <w:rPr>
          <w:rFonts w:eastAsia="Times New Roman" w:cs="Arial"/>
          <w:color w:val="000000"/>
          <w:lang w:val="en-US"/>
        </w:rPr>
        <w:t>min</w:t>
      </w:r>
      <w:r w:rsidRPr="00705EC2">
        <w:rPr>
          <w:rFonts w:eastAsia="Times New Roman" w:cs="Arial"/>
          <w:color w:val="000000"/>
        </w:rPr>
        <w:t xml:space="preserve">), </w:t>
      </w:r>
      <w:r w:rsidRPr="00705EC2">
        <w:rPr>
          <w:rFonts w:eastAsia="Times New Roman" w:cs="Arial"/>
          <w:color w:val="000000"/>
          <w:lang w:eastAsia="bg-BG"/>
        </w:rPr>
        <w:t xml:space="preserve">с нормално или високо артериално налягане и със запазена бъбречна функция (серумен креатинин &lt;120 </w:t>
      </w:r>
      <w:proofErr w:type="spellStart"/>
      <w:r w:rsidRPr="00705EC2">
        <w:rPr>
          <w:rFonts w:eastAsia="Times New Roman" w:cs="Arial"/>
          <w:color w:val="000000"/>
          <w:lang w:val="en-US"/>
        </w:rPr>
        <w:t>pmol</w:t>
      </w:r>
      <w:proofErr w:type="spellEnd"/>
      <w:r w:rsidRPr="00705EC2">
        <w:rPr>
          <w:rFonts w:eastAsia="Times New Roman" w:cs="Arial"/>
          <w:color w:val="000000"/>
        </w:rPr>
        <w:t>/</w:t>
      </w:r>
      <w:r w:rsidRPr="00705EC2">
        <w:rPr>
          <w:rFonts w:eastAsia="Times New Roman" w:cs="Arial"/>
          <w:color w:val="000000"/>
          <w:lang w:val="en-US"/>
        </w:rPr>
        <w:t>l</w:t>
      </w:r>
      <w:r w:rsidRPr="00705EC2">
        <w:rPr>
          <w:rFonts w:eastAsia="Times New Roman" w:cs="Arial"/>
          <w:color w:val="000000"/>
        </w:rPr>
        <w:t xml:space="preserve">). </w:t>
      </w:r>
      <w:r w:rsidRPr="00705EC2">
        <w:rPr>
          <w:rFonts w:eastAsia="Times New Roman" w:cs="Arial"/>
          <w:color w:val="000000"/>
          <w:lang w:eastAsia="bg-BG"/>
        </w:rPr>
        <w:t xml:space="preserve">След 24 </w:t>
      </w:r>
      <w:r w:rsidRPr="00705EC2">
        <w:rPr>
          <w:rFonts w:eastAsia="Times New Roman" w:cs="Arial"/>
          <w:color w:val="000000"/>
          <w:lang w:eastAsia="bg-BG"/>
        </w:rPr>
        <w:lastRenderedPageBreak/>
        <w:t xml:space="preserve">седмици </w:t>
      </w:r>
      <w:r w:rsidRPr="00705EC2">
        <w:rPr>
          <w:rFonts w:eastAsia="Times New Roman" w:cs="Arial"/>
          <w:color w:val="000000"/>
          <w:lang w:val="en-US"/>
        </w:rPr>
        <w:t>UAE</w:t>
      </w:r>
      <w:r w:rsidRPr="00705EC2">
        <w:rPr>
          <w:rFonts w:eastAsia="Times New Roman" w:cs="Arial"/>
          <w:color w:val="000000"/>
          <w:lang w:val="ru-RU"/>
        </w:rPr>
        <w:t xml:space="preserve"> </w:t>
      </w:r>
      <w:r w:rsidRPr="00705EC2">
        <w:rPr>
          <w:rFonts w:eastAsia="Times New Roman" w:cs="Arial"/>
          <w:color w:val="000000"/>
          <w:lang w:eastAsia="bg-BG"/>
        </w:rPr>
        <w:t>е намалена (р&lt;0,001) с 42% (-24,2 μ</w:t>
      </w:r>
      <w:r w:rsidRPr="00705EC2">
        <w:rPr>
          <w:rFonts w:eastAsia="Times New Roman" w:cs="Arial"/>
          <w:color w:val="000000"/>
          <w:lang w:val="en-US"/>
        </w:rPr>
        <w:t>g</w:t>
      </w:r>
      <w:r w:rsidRPr="00705EC2">
        <w:rPr>
          <w:rFonts w:eastAsia="Times New Roman" w:cs="Arial"/>
          <w:color w:val="000000"/>
          <w:lang w:val="ru-RU"/>
        </w:rPr>
        <w:t>/</w:t>
      </w:r>
      <w:r w:rsidRPr="00705EC2">
        <w:rPr>
          <w:rFonts w:eastAsia="Times New Roman" w:cs="Arial"/>
          <w:color w:val="000000"/>
          <w:lang w:val="en-US"/>
        </w:rPr>
        <w:t>min</w:t>
      </w:r>
      <w:r w:rsidRPr="00705EC2">
        <w:rPr>
          <w:rFonts w:eastAsia="Times New Roman" w:cs="Arial"/>
          <w:color w:val="000000"/>
          <w:lang w:val="ru-RU"/>
        </w:rPr>
        <w:t xml:space="preserve">; </w:t>
      </w:r>
      <w:r w:rsidRPr="00705EC2">
        <w:rPr>
          <w:rFonts w:eastAsia="Times New Roman" w:cs="Arial"/>
          <w:color w:val="000000"/>
          <w:lang w:eastAsia="bg-BG"/>
        </w:rPr>
        <w:t xml:space="preserve">95% </w:t>
      </w:r>
      <w:r w:rsidRPr="00705EC2">
        <w:rPr>
          <w:rFonts w:eastAsia="Times New Roman" w:cs="Arial"/>
          <w:color w:val="000000"/>
          <w:lang w:val="en-US"/>
        </w:rPr>
        <w:t>CI</w:t>
      </w:r>
      <w:r w:rsidRPr="00705EC2">
        <w:rPr>
          <w:rFonts w:eastAsia="Times New Roman" w:cs="Arial"/>
          <w:color w:val="000000"/>
          <w:lang w:val="ru-RU"/>
        </w:rPr>
        <w:t>: -</w:t>
      </w:r>
      <w:r w:rsidRPr="00705EC2">
        <w:rPr>
          <w:rFonts w:eastAsia="Times New Roman" w:cs="Arial"/>
          <w:color w:val="000000"/>
          <w:lang w:eastAsia="bg-BG"/>
        </w:rPr>
        <w:t xml:space="preserve">40,4 до-19,1) с валсартан и приблизително с 3% (-1,7 </w:t>
      </w:r>
      <w:proofErr w:type="spellStart"/>
      <w:r w:rsidRPr="00705EC2">
        <w:rPr>
          <w:rFonts w:eastAsia="Times New Roman" w:cs="Arial"/>
          <w:color w:val="000000"/>
          <w:lang w:val="en-US"/>
        </w:rPr>
        <w:t>pg</w:t>
      </w:r>
      <w:proofErr w:type="spellEnd"/>
      <w:r w:rsidRPr="00705EC2">
        <w:rPr>
          <w:rFonts w:eastAsia="Times New Roman" w:cs="Arial"/>
          <w:color w:val="000000"/>
          <w:lang w:val="ru-RU"/>
        </w:rPr>
        <w:t>/</w:t>
      </w:r>
      <w:r w:rsidRPr="00705EC2">
        <w:rPr>
          <w:rFonts w:eastAsia="Times New Roman" w:cs="Arial"/>
          <w:color w:val="000000"/>
          <w:lang w:val="en-US"/>
        </w:rPr>
        <w:t>min</w:t>
      </w:r>
      <w:r w:rsidRPr="00705EC2">
        <w:rPr>
          <w:rFonts w:eastAsia="Times New Roman" w:cs="Arial"/>
          <w:color w:val="000000"/>
          <w:lang w:val="ru-RU"/>
        </w:rPr>
        <w:t xml:space="preserve">; </w:t>
      </w:r>
      <w:r w:rsidRPr="00705EC2">
        <w:rPr>
          <w:rFonts w:eastAsia="Times New Roman" w:cs="Arial"/>
          <w:color w:val="000000"/>
          <w:lang w:eastAsia="bg-BG"/>
        </w:rPr>
        <w:t xml:space="preserve">95% </w:t>
      </w:r>
      <w:r w:rsidRPr="00705EC2">
        <w:rPr>
          <w:rFonts w:eastAsia="Times New Roman" w:cs="Arial"/>
          <w:color w:val="000000"/>
          <w:lang w:val="en-US"/>
        </w:rPr>
        <w:t>CI</w:t>
      </w:r>
      <w:r w:rsidRPr="00705EC2">
        <w:rPr>
          <w:rFonts w:eastAsia="Times New Roman" w:cs="Arial"/>
          <w:color w:val="000000"/>
          <w:lang w:val="ru-RU"/>
        </w:rPr>
        <w:t xml:space="preserve">: </w:t>
      </w:r>
      <w:r w:rsidRPr="00705EC2">
        <w:rPr>
          <w:rFonts w:eastAsia="Times New Roman" w:cs="Arial"/>
          <w:color w:val="000000"/>
          <w:lang w:eastAsia="bg-BG"/>
        </w:rPr>
        <w:t xml:space="preserve">- 5,6 до 14,9) с амлодипин, независимо от сходната степен на понижение на артериалното налягане в двете групи. Проучването </w:t>
      </w:r>
      <w:r w:rsidRPr="00705EC2">
        <w:rPr>
          <w:rFonts w:eastAsia="Times New Roman" w:cs="Arial"/>
          <w:color w:val="000000"/>
          <w:lang w:val="en-US"/>
        </w:rPr>
        <w:t>Diovan</w:t>
      </w:r>
      <w:r w:rsidRPr="00705EC2">
        <w:rPr>
          <w:rFonts w:eastAsia="Times New Roman" w:cs="Arial"/>
          <w:color w:val="000000"/>
        </w:rPr>
        <w:t xml:space="preserve"> </w:t>
      </w:r>
      <w:r w:rsidRPr="00705EC2">
        <w:rPr>
          <w:rFonts w:eastAsia="Times New Roman" w:cs="Arial"/>
          <w:color w:val="000000"/>
          <w:lang w:val="en-US"/>
        </w:rPr>
        <w:t>Reduction</w:t>
      </w:r>
      <w:r w:rsidRPr="00705EC2">
        <w:rPr>
          <w:rFonts w:eastAsia="Times New Roman" w:cs="Arial"/>
          <w:color w:val="000000"/>
        </w:rPr>
        <w:t xml:space="preserve"> </w:t>
      </w:r>
      <w:r w:rsidRPr="00705EC2">
        <w:rPr>
          <w:rFonts w:eastAsia="Times New Roman" w:cs="Arial"/>
          <w:color w:val="000000"/>
          <w:lang w:val="en-US"/>
        </w:rPr>
        <w:t>of</w:t>
      </w:r>
      <w:r w:rsidRPr="00705EC2">
        <w:rPr>
          <w:rFonts w:eastAsia="Times New Roman" w:cs="Arial"/>
          <w:color w:val="000000"/>
        </w:rPr>
        <w:t xml:space="preserve"> </w:t>
      </w:r>
      <w:r w:rsidRPr="00705EC2">
        <w:rPr>
          <w:rFonts w:eastAsia="Times New Roman" w:cs="Arial"/>
          <w:color w:val="000000"/>
          <w:lang w:val="en-US"/>
        </w:rPr>
        <w:t>Proteinuria</w:t>
      </w:r>
      <w:r w:rsidRPr="00705EC2">
        <w:rPr>
          <w:rFonts w:eastAsia="Times New Roman" w:cs="Arial"/>
          <w:color w:val="000000"/>
        </w:rPr>
        <w:t xml:space="preserve"> (</w:t>
      </w:r>
      <w:r w:rsidRPr="00705EC2">
        <w:rPr>
          <w:rFonts w:eastAsia="Times New Roman" w:cs="Arial"/>
          <w:color w:val="000000"/>
          <w:lang w:val="en-US"/>
        </w:rPr>
        <w:t>DROP</w:t>
      </w:r>
      <w:r w:rsidRPr="00705EC2">
        <w:rPr>
          <w:rFonts w:eastAsia="Times New Roman" w:cs="Arial"/>
          <w:color w:val="000000"/>
        </w:rPr>
        <w:t xml:space="preserve">) </w:t>
      </w:r>
      <w:r w:rsidRPr="00705EC2">
        <w:rPr>
          <w:rFonts w:eastAsia="Times New Roman" w:cs="Arial"/>
          <w:color w:val="000000"/>
          <w:lang w:eastAsia="bg-BG"/>
        </w:rPr>
        <w:t xml:space="preserve">изследва допълнително ефикасността на валсартан при редуциране на </w:t>
      </w:r>
      <w:r w:rsidRPr="00705EC2">
        <w:rPr>
          <w:rFonts w:eastAsia="Times New Roman" w:cs="Arial"/>
          <w:color w:val="000000"/>
          <w:lang w:val="en-US"/>
        </w:rPr>
        <w:t>UAE</w:t>
      </w:r>
      <w:r w:rsidRPr="00705EC2">
        <w:rPr>
          <w:rFonts w:eastAsia="Times New Roman" w:cs="Arial"/>
          <w:color w:val="000000"/>
        </w:rPr>
        <w:t xml:space="preserve"> </w:t>
      </w:r>
      <w:r w:rsidRPr="00705EC2">
        <w:rPr>
          <w:rFonts w:eastAsia="Times New Roman" w:cs="Arial"/>
          <w:color w:val="000000"/>
          <w:lang w:eastAsia="bg-BG"/>
        </w:rPr>
        <w:t xml:space="preserve">при 391 пациенти с хипертония (АН=150/88 </w:t>
      </w:r>
      <w:r w:rsidRPr="00705EC2">
        <w:rPr>
          <w:rFonts w:eastAsia="Times New Roman" w:cs="Arial"/>
          <w:color w:val="000000"/>
          <w:lang w:val="en-US"/>
        </w:rPr>
        <w:t>mmHg</w:t>
      </w:r>
      <w:r w:rsidRPr="00705EC2">
        <w:rPr>
          <w:rFonts w:eastAsia="Times New Roman" w:cs="Arial"/>
          <w:color w:val="000000"/>
        </w:rPr>
        <w:t xml:space="preserve">) </w:t>
      </w:r>
      <w:r w:rsidRPr="00705EC2">
        <w:rPr>
          <w:rFonts w:eastAsia="Times New Roman" w:cs="Arial"/>
          <w:color w:val="000000"/>
          <w:lang w:eastAsia="bg-BG"/>
        </w:rPr>
        <w:t>с диабет тип 2, албуминурия (средна стойност=102 μ</w:t>
      </w:r>
      <w:r w:rsidRPr="00705EC2">
        <w:rPr>
          <w:rFonts w:eastAsia="Times New Roman" w:cs="Arial"/>
          <w:color w:val="000000"/>
          <w:lang w:val="en-US"/>
        </w:rPr>
        <w:t>g</w:t>
      </w:r>
      <w:r w:rsidRPr="00705EC2">
        <w:rPr>
          <w:rFonts w:eastAsia="Times New Roman" w:cs="Arial"/>
          <w:color w:val="000000"/>
        </w:rPr>
        <w:t>/</w:t>
      </w:r>
      <w:r w:rsidRPr="00705EC2">
        <w:rPr>
          <w:rFonts w:eastAsia="Times New Roman" w:cs="Arial"/>
          <w:color w:val="000000"/>
          <w:lang w:val="en-US"/>
        </w:rPr>
        <w:t>min</w:t>
      </w:r>
      <w:r w:rsidRPr="00705EC2">
        <w:rPr>
          <w:rFonts w:eastAsia="Times New Roman" w:cs="Arial"/>
          <w:color w:val="000000"/>
        </w:rPr>
        <w:t xml:space="preserve">; </w:t>
      </w:r>
      <w:r w:rsidRPr="00705EC2">
        <w:rPr>
          <w:rFonts w:eastAsia="Times New Roman" w:cs="Arial"/>
          <w:color w:val="000000"/>
          <w:lang w:eastAsia="bg-BG"/>
        </w:rPr>
        <w:t>20-700 μ</w:t>
      </w:r>
      <w:r w:rsidRPr="00705EC2">
        <w:rPr>
          <w:rFonts w:eastAsia="Times New Roman" w:cs="Arial"/>
          <w:color w:val="000000"/>
          <w:lang w:val="en-US"/>
        </w:rPr>
        <w:t>g</w:t>
      </w:r>
      <w:r w:rsidRPr="00705EC2">
        <w:rPr>
          <w:rFonts w:eastAsia="Times New Roman" w:cs="Arial"/>
          <w:color w:val="000000"/>
        </w:rPr>
        <w:t>/</w:t>
      </w:r>
      <w:r w:rsidRPr="00705EC2">
        <w:rPr>
          <w:rFonts w:eastAsia="Times New Roman" w:cs="Arial"/>
          <w:color w:val="000000"/>
          <w:lang w:val="en-US"/>
        </w:rPr>
        <w:t>min</w:t>
      </w:r>
      <w:r w:rsidRPr="00705EC2">
        <w:rPr>
          <w:rFonts w:eastAsia="Times New Roman" w:cs="Arial"/>
          <w:color w:val="000000"/>
        </w:rPr>
        <w:t xml:space="preserve">) </w:t>
      </w:r>
      <w:r w:rsidRPr="00705EC2">
        <w:rPr>
          <w:rFonts w:eastAsia="Times New Roman" w:cs="Arial"/>
          <w:color w:val="000000"/>
          <w:lang w:eastAsia="bg-BG"/>
        </w:rPr>
        <w:t>и запазена бъбречна функция (среден серумен креатинин=80 μ</w:t>
      </w:r>
      <w:proofErr w:type="spellStart"/>
      <w:r w:rsidRPr="00705EC2">
        <w:rPr>
          <w:rFonts w:eastAsia="Times New Roman" w:cs="Arial"/>
          <w:color w:val="000000"/>
          <w:lang w:val="en-US"/>
        </w:rPr>
        <w:t>mol</w:t>
      </w:r>
      <w:proofErr w:type="spellEnd"/>
      <w:r w:rsidRPr="00705EC2">
        <w:rPr>
          <w:rFonts w:eastAsia="Times New Roman" w:cs="Arial"/>
          <w:color w:val="000000"/>
        </w:rPr>
        <w:t>/1).</w:t>
      </w:r>
    </w:p>
    <w:p w14:paraId="3D040711" w14:textId="77777777" w:rsidR="00705EC2" w:rsidRPr="00705EC2" w:rsidRDefault="00705EC2" w:rsidP="00705EC2">
      <w:pPr>
        <w:spacing w:line="240" w:lineRule="auto"/>
        <w:rPr>
          <w:rFonts w:eastAsia="Times New Roman" w:cs="Arial"/>
          <w:sz w:val="24"/>
          <w:szCs w:val="24"/>
        </w:rPr>
      </w:pPr>
      <w:r w:rsidRPr="00705EC2">
        <w:rPr>
          <w:rFonts w:eastAsia="Times New Roman" w:cs="Arial"/>
          <w:color w:val="000000"/>
          <w:lang w:eastAsia="bg-BG"/>
        </w:rPr>
        <w:t xml:space="preserve">Пациентите са рандомизирани с една от 3-те дози валсартан (160, 320 и 640 </w:t>
      </w:r>
      <w:r w:rsidRPr="00705EC2">
        <w:rPr>
          <w:rFonts w:eastAsia="Times New Roman" w:cs="Arial"/>
          <w:color w:val="000000"/>
          <w:lang w:val="en-US"/>
        </w:rPr>
        <w:t>mg</w:t>
      </w:r>
      <w:r w:rsidRPr="00705EC2">
        <w:rPr>
          <w:rFonts w:eastAsia="Times New Roman" w:cs="Arial"/>
          <w:color w:val="000000"/>
          <w:lang w:eastAsia="bg-BG"/>
        </w:rPr>
        <w:t xml:space="preserve">/ден) и лекувани в продължение на 30 седмици. Целта на проучването е да установи оптималната доза валсартан за редуциране на </w:t>
      </w:r>
      <w:r w:rsidRPr="00705EC2">
        <w:rPr>
          <w:rFonts w:eastAsia="Times New Roman" w:cs="Arial"/>
          <w:color w:val="000000"/>
          <w:lang w:val="en-US"/>
        </w:rPr>
        <w:t>UAE</w:t>
      </w:r>
      <w:r w:rsidRPr="00705EC2">
        <w:rPr>
          <w:rFonts w:eastAsia="Times New Roman" w:cs="Arial"/>
          <w:color w:val="000000"/>
          <w:lang w:val="ru-RU"/>
        </w:rPr>
        <w:t xml:space="preserve"> </w:t>
      </w:r>
      <w:r w:rsidRPr="00705EC2">
        <w:rPr>
          <w:rFonts w:eastAsia="Times New Roman" w:cs="Arial"/>
          <w:color w:val="000000"/>
          <w:lang w:eastAsia="bg-BG"/>
        </w:rPr>
        <w:t xml:space="preserve">при пациенти с хипертония и диабет тип 2. След 30 седмици процентната промяна в </w:t>
      </w:r>
      <w:r w:rsidRPr="00705EC2">
        <w:rPr>
          <w:rFonts w:eastAsia="Times New Roman" w:cs="Arial"/>
          <w:color w:val="000000"/>
          <w:lang w:val="en-US"/>
        </w:rPr>
        <w:t>UAE</w:t>
      </w:r>
      <w:r w:rsidRPr="00705EC2">
        <w:rPr>
          <w:rFonts w:eastAsia="Times New Roman" w:cs="Arial"/>
          <w:color w:val="000000"/>
          <w:lang w:val="ru-RU"/>
        </w:rPr>
        <w:t xml:space="preserve"> </w:t>
      </w:r>
      <w:r w:rsidRPr="00705EC2">
        <w:rPr>
          <w:rFonts w:eastAsia="Times New Roman" w:cs="Arial"/>
          <w:color w:val="000000"/>
          <w:lang w:eastAsia="bg-BG"/>
        </w:rPr>
        <w:t xml:space="preserve">е значително намалена с 36% от изходната стойност с валсартан 160 </w:t>
      </w:r>
      <w:r w:rsidRPr="00705EC2">
        <w:rPr>
          <w:rFonts w:eastAsia="Times New Roman" w:cs="Arial"/>
          <w:color w:val="000000"/>
          <w:lang w:val="en-US"/>
        </w:rPr>
        <w:t>mg</w:t>
      </w:r>
      <w:r w:rsidRPr="00705EC2">
        <w:rPr>
          <w:rFonts w:eastAsia="Times New Roman" w:cs="Arial"/>
          <w:color w:val="000000"/>
          <w:lang w:val="ru-RU"/>
        </w:rPr>
        <w:t xml:space="preserve"> </w:t>
      </w:r>
      <w:r w:rsidRPr="00705EC2">
        <w:rPr>
          <w:rFonts w:eastAsia="Times New Roman" w:cs="Arial"/>
          <w:color w:val="000000"/>
          <w:lang w:eastAsia="bg-BG"/>
        </w:rPr>
        <w:t xml:space="preserve">(95% </w:t>
      </w:r>
      <w:r w:rsidRPr="00705EC2">
        <w:rPr>
          <w:rFonts w:eastAsia="Times New Roman" w:cs="Arial"/>
          <w:color w:val="000000"/>
          <w:lang w:val="en-US"/>
        </w:rPr>
        <w:t>CI</w:t>
      </w:r>
      <w:r w:rsidRPr="00705EC2">
        <w:rPr>
          <w:rFonts w:eastAsia="Times New Roman" w:cs="Arial"/>
          <w:color w:val="000000"/>
          <w:lang w:val="ru-RU"/>
        </w:rPr>
        <w:t xml:space="preserve">: </w:t>
      </w:r>
      <w:r w:rsidRPr="00705EC2">
        <w:rPr>
          <w:rFonts w:eastAsia="Times New Roman" w:cs="Arial"/>
          <w:color w:val="000000"/>
          <w:lang w:eastAsia="bg-BG"/>
        </w:rPr>
        <w:t xml:space="preserve">22 до 47%) и с 44% с валсартан 320 </w:t>
      </w:r>
      <w:r w:rsidRPr="00705EC2">
        <w:rPr>
          <w:rFonts w:eastAsia="Times New Roman" w:cs="Arial"/>
          <w:color w:val="000000"/>
          <w:lang w:val="en-US"/>
        </w:rPr>
        <w:t>mg</w:t>
      </w:r>
      <w:r w:rsidRPr="00705EC2">
        <w:rPr>
          <w:rFonts w:eastAsia="Times New Roman" w:cs="Arial"/>
          <w:color w:val="000000"/>
          <w:lang w:val="ru-RU"/>
        </w:rPr>
        <w:t xml:space="preserve"> </w:t>
      </w:r>
      <w:r w:rsidRPr="00705EC2">
        <w:rPr>
          <w:rFonts w:eastAsia="Times New Roman" w:cs="Arial"/>
          <w:color w:val="000000"/>
          <w:lang w:eastAsia="bg-BG"/>
        </w:rPr>
        <w:t xml:space="preserve">(95% </w:t>
      </w:r>
      <w:r w:rsidRPr="00705EC2">
        <w:rPr>
          <w:rFonts w:eastAsia="Times New Roman" w:cs="Arial"/>
          <w:color w:val="000000"/>
          <w:lang w:val="en-US"/>
        </w:rPr>
        <w:t>CI</w:t>
      </w:r>
      <w:r w:rsidRPr="00705EC2">
        <w:rPr>
          <w:rFonts w:eastAsia="Times New Roman" w:cs="Arial"/>
          <w:color w:val="000000"/>
          <w:lang w:val="ru-RU"/>
        </w:rPr>
        <w:t xml:space="preserve">: </w:t>
      </w:r>
      <w:r w:rsidRPr="00705EC2">
        <w:rPr>
          <w:rFonts w:eastAsia="Times New Roman" w:cs="Arial"/>
          <w:color w:val="000000"/>
          <w:lang w:eastAsia="bg-BG"/>
        </w:rPr>
        <w:t xml:space="preserve">31 до 54%). Направено е заключение, че 160-320 </w:t>
      </w:r>
      <w:r w:rsidRPr="00705EC2">
        <w:rPr>
          <w:rFonts w:eastAsia="Times New Roman" w:cs="Arial"/>
          <w:color w:val="000000"/>
          <w:lang w:val="en-US"/>
        </w:rPr>
        <w:t>mg</w:t>
      </w:r>
      <w:r w:rsidRPr="00705EC2">
        <w:rPr>
          <w:rFonts w:eastAsia="Times New Roman" w:cs="Arial"/>
          <w:color w:val="000000"/>
          <w:lang w:val="ru-RU"/>
        </w:rPr>
        <w:t xml:space="preserve"> </w:t>
      </w:r>
      <w:r w:rsidRPr="00705EC2">
        <w:rPr>
          <w:rFonts w:eastAsia="Times New Roman" w:cs="Arial"/>
          <w:color w:val="000000"/>
          <w:lang w:eastAsia="bg-BG"/>
        </w:rPr>
        <w:t xml:space="preserve">валсартан води до клинично значими редукции на </w:t>
      </w:r>
      <w:r w:rsidRPr="00705EC2">
        <w:rPr>
          <w:rFonts w:eastAsia="Times New Roman" w:cs="Arial"/>
          <w:color w:val="000000"/>
          <w:lang w:val="en-US"/>
        </w:rPr>
        <w:t>UAE</w:t>
      </w:r>
      <w:r w:rsidRPr="00705EC2">
        <w:rPr>
          <w:rFonts w:eastAsia="Times New Roman" w:cs="Arial"/>
          <w:color w:val="000000"/>
          <w:lang w:val="ru-RU"/>
        </w:rPr>
        <w:t xml:space="preserve"> </w:t>
      </w:r>
      <w:r w:rsidRPr="00705EC2">
        <w:rPr>
          <w:rFonts w:eastAsia="Times New Roman" w:cs="Arial"/>
          <w:color w:val="000000"/>
          <w:lang w:eastAsia="bg-BG"/>
        </w:rPr>
        <w:t>при пациенти с хипертония и диабет тип 2.</w:t>
      </w:r>
    </w:p>
    <w:p w14:paraId="5B66CF6B" w14:textId="77777777" w:rsidR="00705EC2" w:rsidRPr="00705EC2" w:rsidRDefault="00705EC2" w:rsidP="00705EC2">
      <w:pPr>
        <w:spacing w:line="240" w:lineRule="auto"/>
        <w:rPr>
          <w:rFonts w:eastAsia="Times New Roman" w:cs="Arial"/>
          <w:color w:val="000000"/>
          <w:u w:val="single"/>
          <w:lang w:eastAsia="bg-BG"/>
        </w:rPr>
      </w:pPr>
    </w:p>
    <w:p w14:paraId="5E8FFDD3" w14:textId="4781D8CB" w:rsidR="00705EC2" w:rsidRPr="00705EC2" w:rsidRDefault="00705EC2" w:rsidP="00705EC2">
      <w:pPr>
        <w:spacing w:line="240" w:lineRule="auto"/>
        <w:rPr>
          <w:rFonts w:eastAsia="Times New Roman" w:cs="Arial"/>
          <w:sz w:val="24"/>
          <w:szCs w:val="24"/>
        </w:rPr>
      </w:pPr>
      <w:r w:rsidRPr="00705EC2">
        <w:rPr>
          <w:rFonts w:eastAsia="Times New Roman" w:cs="Arial"/>
          <w:color w:val="000000"/>
          <w:u w:val="single"/>
          <w:lang w:eastAsia="bg-BG"/>
        </w:rPr>
        <w:t xml:space="preserve">Други: двойна блокада на ренин-ангиотензин-алдостероновата система (РААС) </w:t>
      </w:r>
      <w:r w:rsidRPr="00705EC2">
        <w:rPr>
          <w:rFonts w:eastAsia="Times New Roman" w:cs="Arial"/>
          <w:color w:val="000000"/>
          <w:lang w:eastAsia="bg-BG"/>
        </w:rPr>
        <w:t xml:space="preserve">Две големи рандомизирани контролирани проучвания - </w:t>
      </w:r>
      <w:r w:rsidRPr="00705EC2">
        <w:rPr>
          <w:rFonts w:eastAsia="Times New Roman" w:cs="Arial"/>
          <w:color w:val="000000"/>
          <w:lang w:val="en-US"/>
        </w:rPr>
        <w:t>ONTARGET</w:t>
      </w:r>
      <w:r w:rsidRPr="00705EC2">
        <w:rPr>
          <w:rFonts w:eastAsia="Times New Roman" w:cs="Arial"/>
          <w:color w:val="000000"/>
          <w:lang w:val="ru-RU"/>
        </w:rPr>
        <w:t xml:space="preserve"> (</w:t>
      </w:r>
      <w:proofErr w:type="spellStart"/>
      <w:r w:rsidRPr="00705EC2">
        <w:rPr>
          <w:rFonts w:eastAsia="Times New Roman" w:cs="Arial"/>
          <w:color w:val="000000"/>
          <w:lang w:val="en-US"/>
        </w:rPr>
        <w:t>ONgoing</w:t>
      </w:r>
      <w:proofErr w:type="spellEnd"/>
      <w:r w:rsidRPr="00705EC2">
        <w:rPr>
          <w:rFonts w:eastAsia="Times New Roman" w:cs="Arial"/>
          <w:color w:val="000000"/>
          <w:lang w:val="ru-RU"/>
        </w:rPr>
        <w:t xml:space="preserve"> </w:t>
      </w:r>
      <w:proofErr w:type="spellStart"/>
      <w:r w:rsidRPr="00705EC2">
        <w:rPr>
          <w:rFonts w:eastAsia="Times New Roman" w:cs="Arial"/>
          <w:color w:val="000000"/>
          <w:lang w:val="en-US"/>
        </w:rPr>
        <w:t>Telmisartan</w:t>
      </w:r>
      <w:proofErr w:type="spellEnd"/>
      <w:r w:rsidRPr="00705EC2">
        <w:rPr>
          <w:rFonts w:eastAsia="Times New Roman" w:cs="Arial"/>
          <w:color w:val="000000"/>
          <w:lang w:val="ru-RU"/>
        </w:rPr>
        <w:t xml:space="preserve"> </w:t>
      </w:r>
      <w:r w:rsidRPr="00705EC2">
        <w:rPr>
          <w:rFonts w:eastAsia="Times New Roman" w:cs="Arial"/>
          <w:color w:val="000000"/>
          <w:lang w:val="en-US"/>
        </w:rPr>
        <w:t>Alone</w:t>
      </w:r>
      <w:r w:rsidRPr="00705EC2">
        <w:rPr>
          <w:rFonts w:eastAsia="Times New Roman" w:cs="Arial"/>
          <w:color w:val="000000"/>
          <w:lang w:val="ru-RU"/>
        </w:rPr>
        <w:t xml:space="preserve"> </w:t>
      </w:r>
      <w:r w:rsidRPr="00705EC2">
        <w:rPr>
          <w:rFonts w:eastAsia="Times New Roman" w:cs="Arial"/>
          <w:color w:val="000000"/>
          <w:lang w:val="en-US"/>
        </w:rPr>
        <w:t>and</w:t>
      </w:r>
      <w:r w:rsidRPr="00705EC2">
        <w:rPr>
          <w:rFonts w:eastAsia="Times New Roman" w:cs="Arial"/>
          <w:color w:val="000000"/>
          <w:lang w:val="ru-RU"/>
        </w:rPr>
        <w:t xml:space="preserve"> </w:t>
      </w:r>
      <w:r w:rsidRPr="00705EC2">
        <w:rPr>
          <w:rFonts w:eastAsia="Times New Roman" w:cs="Arial"/>
          <w:color w:val="000000"/>
          <w:lang w:val="en-US"/>
        </w:rPr>
        <w:t>in</w:t>
      </w:r>
      <w:r w:rsidRPr="00705EC2">
        <w:rPr>
          <w:rFonts w:eastAsia="Times New Roman" w:cs="Arial"/>
          <w:color w:val="000000"/>
          <w:lang w:val="ru-RU"/>
        </w:rPr>
        <w:t xml:space="preserve"> </w:t>
      </w:r>
      <w:r w:rsidRPr="00705EC2">
        <w:rPr>
          <w:rFonts w:eastAsia="Times New Roman" w:cs="Arial"/>
          <w:color w:val="000000"/>
          <w:lang w:val="en-US"/>
        </w:rPr>
        <w:t>combination</w:t>
      </w:r>
      <w:r w:rsidRPr="00705EC2">
        <w:rPr>
          <w:rFonts w:eastAsia="Times New Roman" w:cs="Arial"/>
          <w:color w:val="000000"/>
          <w:lang w:val="ru-RU"/>
        </w:rPr>
        <w:t xml:space="preserve"> </w:t>
      </w:r>
      <w:r w:rsidRPr="00705EC2">
        <w:rPr>
          <w:rFonts w:eastAsia="Times New Roman" w:cs="Arial"/>
          <w:color w:val="000000"/>
          <w:lang w:val="en-US"/>
        </w:rPr>
        <w:t>with</w:t>
      </w:r>
      <w:r w:rsidRPr="00705EC2">
        <w:rPr>
          <w:rFonts w:eastAsia="Times New Roman" w:cs="Arial"/>
          <w:color w:val="000000"/>
          <w:lang w:val="ru-RU"/>
        </w:rPr>
        <w:t xml:space="preserve"> </w:t>
      </w:r>
      <w:r w:rsidRPr="00705EC2">
        <w:rPr>
          <w:rFonts w:eastAsia="Times New Roman" w:cs="Arial"/>
          <w:color w:val="000000"/>
          <w:lang w:val="en-US"/>
        </w:rPr>
        <w:t>Ramipril</w:t>
      </w:r>
      <w:r w:rsidRPr="00705EC2">
        <w:rPr>
          <w:rFonts w:eastAsia="Times New Roman" w:cs="Arial"/>
          <w:color w:val="000000"/>
          <w:lang w:val="ru-RU"/>
        </w:rPr>
        <w:t xml:space="preserve"> </w:t>
      </w:r>
      <w:r w:rsidRPr="00705EC2">
        <w:rPr>
          <w:rFonts w:eastAsia="Times New Roman" w:cs="Arial"/>
          <w:color w:val="000000"/>
          <w:lang w:val="en-US"/>
        </w:rPr>
        <w:t>Global</w:t>
      </w:r>
      <w:r w:rsidRPr="00705EC2">
        <w:rPr>
          <w:rFonts w:eastAsia="Times New Roman" w:cs="Arial"/>
          <w:color w:val="000000"/>
          <w:lang w:val="ru-RU"/>
        </w:rPr>
        <w:t xml:space="preserve"> </w:t>
      </w:r>
      <w:r w:rsidRPr="00705EC2">
        <w:rPr>
          <w:rFonts w:eastAsia="Times New Roman" w:cs="Arial"/>
          <w:color w:val="000000"/>
          <w:lang w:val="en-US"/>
        </w:rPr>
        <w:t>Endpoint</w:t>
      </w:r>
      <w:r w:rsidRPr="00705EC2">
        <w:rPr>
          <w:rFonts w:eastAsia="Times New Roman" w:cs="Arial"/>
          <w:color w:val="000000"/>
          <w:lang w:val="ru-RU"/>
        </w:rPr>
        <w:t xml:space="preserve"> </w:t>
      </w:r>
      <w:r w:rsidRPr="00705EC2">
        <w:rPr>
          <w:rFonts w:eastAsia="Times New Roman" w:cs="Arial"/>
          <w:color w:val="000000"/>
          <w:lang w:val="en-US"/>
        </w:rPr>
        <w:t>Trial</w:t>
      </w:r>
      <w:r w:rsidRPr="00705EC2">
        <w:rPr>
          <w:rFonts w:eastAsia="Times New Roman" w:cs="Arial"/>
          <w:color w:val="000000"/>
          <w:lang w:val="ru-RU"/>
        </w:rPr>
        <w:t xml:space="preserve"> - </w:t>
      </w:r>
      <w:r w:rsidRPr="00705EC2">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705EC2">
        <w:rPr>
          <w:rFonts w:eastAsia="Times New Roman" w:cs="Arial"/>
          <w:color w:val="000000"/>
          <w:lang w:val="en-US"/>
        </w:rPr>
        <w:t>VA</w:t>
      </w:r>
      <w:r w:rsidRPr="00705EC2">
        <w:rPr>
          <w:rFonts w:eastAsia="Times New Roman" w:cs="Arial"/>
          <w:color w:val="000000"/>
          <w:lang w:val="ru-RU"/>
        </w:rPr>
        <w:t xml:space="preserve"> </w:t>
      </w:r>
      <w:r w:rsidRPr="00705EC2">
        <w:rPr>
          <w:rFonts w:eastAsia="Times New Roman" w:cs="Arial"/>
          <w:color w:val="000000"/>
          <w:lang w:val="en-US"/>
        </w:rPr>
        <w:t>NEPHRON</w:t>
      </w:r>
      <w:r w:rsidRPr="00705EC2">
        <w:rPr>
          <w:rFonts w:eastAsia="Times New Roman" w:cs="Arial"/>
          <w:color w:val="000000"/>
          <w:lang w:val="ru-RU"/>
        </w:rPr>
        <w:t>-</w:t>
      </w:r>
      <w:r w:rsidRPr="00705EC2">
        <w:rPr>
          <w:rFonts w:eastAsia="Times New Roman" w:cs="Arial"/>
          <w:color w:val="000000"/>
          <w:lang w:val="en-US"/>
        </w:rPr>
        <w:t>D</w:t>
      </w:r>
      <w:r w:rsidRPr="00705EC2">
        <w:rPr>
          <w:rFonts w:eastAsia="Times New Roman" w:cs="Arial"/>
          <w:color w:val="000000"/>
          <w:lang w:val="ru-RU"/>
        </w:rPr>
        <w:t xml:space="preserve"> </w:t>
      </w:r>
      <w:r w:rsidRPr="00705EC2">
        <w:rPr>
          <w:rFonts w:eastAsia="Times New Roman" w:cs="Arial"/>
          <w:color w:val="000000"/>
          <w:lang w:eastAsia="bg-BG"/>
        </w:rPr>
        <w:t xml:space="preserve">(Клинично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w:t>
      </w:r>
      <w:r w:rsidRPr="00705EC2">
        <w:rPr>
          <w:rFonts w:eastAsia="Times New Roman" w:cs="Arial"/>
          <w:color w:val="000000"/>
          <w:lang w:val="en-US"/>
        </w:rPr>
        <w:t>II</w:t>
      </w:r>
      <w:r w:rsidRPr="00705EC2">
        <w:rPr>
          <w:rFonts w:eastAsia="Times New Roman" w:cs="Arial"/>
          <w:color w:val="000000"/>
          <w:lang w:eastAsia="bg-BG"/>
        </w:rPr>
        <w:t>-рецепторен блокер.</w:t>
      </w:r>
    </w:p>
    <w:p w14:paraId="4CC4A9FB" w14:textId="77777777" w:rsidR="00705EC2" w:rsidRPr="00705EC2" w:rsidRDefault="00705EC2" w:rsidP="00705EC2">
      <w:pPr>
        <w:spacing w:line="240" w:lineRule="auto"/>
        <w:rPr>
          <w:rFonts w:eastAsia="Times New Roman" w:cs="Arial"/>
          <w:color w:val="000000"/>
          <w:lang w:val="en-US"/>
        </w:rPr>
      </w:pPr>
    </w:p>
    <w:p w14:paraId="55098202" w14:textId="3EE0AFCA" w:rsidR="00705EC2" w:rsidRPr="00705EC2" w:rsidRDefault="00705EC2" w:rsidP="00705EC2">
      <w:pPr>
        <w:spacing w:line="240" w:lineRule="auto"/>
        <w:rPr>
          <w:rFonts w:eastAsia="Times New Roman" w:cs="Arial"/>
          <w:sz w:val="24"/>
          <w:szCs w:val="24"/>
        </w:rPr>
      </w:pPr>
      <w:r w:rsidRPr="00705EC2">
        <w:rPr>
          <w:rFonts w:eastAsia="Times New Roman" w:cs="Arial"/>
          <w:color w:val="000000"/>
          <w:lang w:val="en-US"/>
        </w:rPr>
        <w:t>ONTARGET</w:t>
      </w:r>
      <w:r w:rsidRPr="00705EC2">
        <w:rPr>
          <w:rFonts w:eastAsia="Times New Roman" w:cs="Arial"/>
          <w:color w:val="000000"/>
          <w:lang w:val="ru-RU"/>
        </w:rPr>
        <w:t xml:space="preserve"> </w:t>
      </w:r>
      <w:r w:rsidRPr="00705EC2">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705EC2">
        <w:rPr>
          <w:rFonts w:eastAsia="Times New Roman" w:cs="Arial"/>
          <w:color w:val="000000"/>
          <w:lang w:val="en-US"/>
        </w:rPr>
        <w:t>VA</w:t>
      </w:r>
      <w:r w:rsidRPr="00705EC2">
        <w:rPr>
          <w:rFonts w:eastAsia="Times New Roman" w:cs="Arial"/>
          <w:color w:val="000000"/>
          <w:lang w:val="ru-RU"/>
        </w:rPr>
        <w:t xml:space="preserve"> </w:t>
      </w:r>
      <w:r w:rsidRPr="00705EC2">
        <w:rPr>
          <w:rFonts w:eastAsia="Times New Roman" w:cs="Arial"/>
          <w:color w:val="000000"/>
          <w:lang w:val="en-US"/>
        </w:rPr>
        <w:t>NEPHRON</w:t>
      </w:r>
      <w:r w:rsidRPr="00705EC2">
        <w:rPr>
          <w:rFonts w:eastAsia="Times New Roman" w:cs="Arial"/>
          <w:color w:val="000000"/>
          <w:lang w:val="ru-RU"/>
        </w:rPr>
        <w:t>-</w:t>
      </w:r>
      <w:r w:rsidRPr="00705EC2">
        <w:rPr>
          <w:rFonts w:eastAsia="Times New Roman" w:cs="Arial"/>
          <w:color w:val="000000"/>
          <w:lang w:val="en-US"/>
        </w:rPr>
        <w:t>D</w:t>
      </w:r>
      <w:r w:rsidRPr="00705EC2">
        <w:rPr>
          <w:rFonts w:eastAsia="Times New Roman" w:cs="Arial"/>
          <w:color w:val="000000"/>
          <w:lang w:val="ru-RU"/>
        </w:rPr>
        <w:t xml:space="preserve"> </w:t>
      </w:r>
      <w:r w:rsidRPr="00705EC2">
        <w:rPr>
          <w:rFonts w:eastAsia="Times New Roman" w:cs="Arial"/>
          <w:color w:val="000000"/>
          <w:lang w:eastAsia="bg-BG"/>
        </w:rPr>
        <w:t>е проучване при пациенти със захарен диабет тип 2 и диабетна нефропатия.</w:t>
      </w:r>
    </w:p>
    <w:p w14:paraId="68CD7851" w14:textId="77777777" w:rsidR="00705EC2" w:rsidRPr="00705EC2" w:rsidRDefault="00705EC2" w:rsidP="00705EC2">
      <w:pPr>
        <w:spacing w:line="240" w:lineRule="auto"/>
        <w:rPr>
          <w:rFonts w:eastAsia="Times New Roman" w:cs="Arial"/>
          <w:sz w:val="24"/>
          <w:szCs w:val="24"/>
        </w:rPr>
      </w:pPr>
      <w:r w:rsidRPr="00705EC2">
        <w:rPr>
          <w:rFonts w:eastAsia="Times New Roman" w:cs="Arial"/>
          <w:color w:val="000000"/>
          <w:lang w:eastAsia="bg-BG"/>
        </w:rPr>
        <w:t>Тези проучвания не показват значим благоприятен ефект върху бъбречните и/или сърдечно</w:t>
      </w:r>
      <w:r w:rsidRPr="00705EC2">
        <w:rPr>
          <w:rFonts w:eastAsia="Times New Roman" w:cs="Arial"/>
          <w:color w:val="000000"/>
          <w:lang w:eastAsia="bg-BG"/>
        </w:rPr>
        <w:softHyphen/>
        <w:t xml:space="preserve">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монотерапията.Като се имат предвид сходните им фармакодинамични свойства, тези резултати са приложими и за други АСЕ инхибитори и ангиотензин </w:t>
      </w:r>
      <w:r w:rsidRPr="00705EC2">
        <w:rPr>
          <w:rFonts w:eastAsia="Times New Roman" w:cs="Arial"/>
          <w:color w:val="000000"/>
          <w:lang w:val="en-US"/>
        </w:rPr>
        <w:t>II</w:t>
      </w:r>
      <w:r w:rsidRPr="00705EC2">
        <w:rPr>
          <w:rFonts w:eastAsia="Times New Roman" w:cs="Arial"/>
          <w:color w:val="000000"/>
          <w:lang w:eastAsia="bg-BG"/>
        </w:rPr>
        <w:t>-рецепторни блокери.</w:t>
      </w:r>
    </w:p>
    <w:p w14:paraId="2D8DA35A" w14:textId="77777777" w:rsidR="00705EC2" w:rsidRPr="00705EC2" w:rsidRDefault="00705EC2" w:rsidP="00705EC2">
      <w:pPr>
        <w:spacing w:line="240" w:lineRule="auto"/>
        <w:rPr>
          <w:rFonts w:eastAsia="Times New Roman" w:cs="Arial"/>
          <w:sz w:val="24"/>
          <w:szCs w:val="24"/>
        </w:rPr>
      </w:pPr>
      <w:r w:rsidRPr="00705EC2">
        <w:rPr>
          <w:rFonts w:eastAsia="Times New Roman" w:cs="Arial"/>
          <w:color w:val="000000"/>
          <w:lang w:eastAsia="bg-BG"/>
        </w:rPr>
        <w:t xml:space="preserve">АСЕ инхибитори и ангиотензин </w:t>
      </w:r>
      <w:r w:rsidRPr="00705EC2">
        <w:rPr>
          <w:rFonts w:eastAsia="Times New Roman" w:cs="Arial"/>
          <w:color w:val="000000"/>
          <w:lang w:val="en-US"/>
        </w:rPr>
        <w:t>II</w:t>
      </w:r>
      <w:r w:rsidRPr="00705EC2">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59D797A0" w14:textId="77777777" w:rsidR="00705EC2" w:rsidRPr="00705EC2" w:rsidRDefault="00705EC2" w:rsidP="00705EC2">
      <w:pPr>
        <w:spacing w:line="240" w:lineRule="auto"/>
        <w:rPr>
          <w:rFonts w:eastAsia="Times New Roman" w:cs="Arial"/>
          <w:color w:val="000000"/>
          <w:lang w:val="en-US"/>
        </w:rPr>
      </w:pPr>
    </w:p>
    <w:p w14:paraId="17340D01" w14:textId="77777777" w:rsidR="00705EC2" w:rsidRPr="00705EC2" w:rsidRDefault="00705EC2" w:rsidP="00705EC2">
      <w:pPr>
        <w:rPr>
          <w:rFonts w:eastAsia="Times New Roman" w:cs="Arial"/>
          <w:sz w:val="24"/>
          <w:szCs w:val="24"/>
        </w:rPr>
      </w:pPr>
      <w:r w:rsidRPr="00705EC2">
        <w:rPr>
          <w:rFonts w:eastAsia="Times New Roman" w:cs="Arial"/>
          <w:color w:val="000000"/>
          <w:lang w:val="en-US"/>
        </w:rPr>
        <w:t>ALTITUDE</w:t>
      </w:r>
      <w:r w:rsidRPr="00705EC2">
        <w:rPr>
          <w:rFonts w:eastAsia="Times New Roman" w:cs="Arial"/>
          <w:color w:val="000000"/>
          <w:lang w:val="ru-RU"/>
        </w:rPr>
        <w:t xml:space="preserve"> </w:t>
      </w:r>
      <w:r w:rsidRPr="00705EC2">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w:t>
      </w:r>
      <w:r w:rsidRPr="00705EC2">
        <w:rPr>
          <w:rFonts w:eastAsia="Times New Roman" w:cs="Arial"/>
          <w:color w:val="000000"/>
          <w:lang w:val="en-US"/>
        </w:rPr>
        <w:t>ACE</w:t>
      </w:r>
      <w:r w:rsidRPr="00705EC2">
        <w:rPr>
          <w:rFonts w:eastAsia="Times New Roman" w:cs="Arial"/>
          <w:color w:val="000000"/>
          <w:lang w:eastAsia="bg-BG"/>
        </w:rPr>
        <w:t xml:space="preserve"> инхибитор или ангиотензин </w:t>
      </w:r>
      <w:r w:rsidRPr="00705EC2">
        <w:rPr>
          <w:rFonts w:eastAsia="Times New Roman" w:cs="Arial"/>
          <w:color w:val="000000"/>
          <w:lang w:val="en-US"/>
        </w:rPr>
        <w:t>II</w:t>
      </w:r>
      <w:r w:rsidRPr="00705EC2">
        <w:rPr>
          <w:rFonts w:eastAsia="Times New Roman" w:cs="Arial"/>
          <w:color w:val="000000"/>
          <w:lang w:eastAsia="bg-BG"/>
        </w:rPr>
        <w:t>-рецепторен блокер при пациенти със захарен</w:t>
      </w:r>
      <w:r w:rsidRPr="00705EC2">
        <w:rPr>
          <w:rFonts w:eastAsia="Times New Roman" w:cs="Arial"/>
          <w:color w:val="000000"/>
          <w:lang w:val="ru-RU"/>
        </w:rPr>
        <w:t xml:space="preserve"> </w:t>
      </w:r>
      <w:r w:rsidRPr="00705EC2">
        <w:rPr>
          <w:rFonts w:eastAsia="Times New Roman" w:cs="Arial"/>
          <w:color w:val="000000"/>
          <w:lang w:eastAsia="bg-BG"/>
        </w:rPr>
        <w:t>диабет тип 2 и хронично бъбречно заболяване, сърдечно-съдово заболяване или и двете. Проучването е</w:t>
      </w:r>
      <w:r w:rsidRPr="00705EC2">
        <w:rPr>
          <w:rFonts w:eastAsia="Times New Roman" w:cs="Arial"/>
          <w:color w:val="000000"/>
          <w:lang w:val="ru-RU" w:eastAsia="bg-BG"/>
        </w:rPr>
        <w:t xml:space="preserve"> </w:t>
      </w:r>
      <w:r w:rsidRPr="00705EC2">
        <w:rPr>
          <w:rFonts w:eastAsia="Times New Roman" w:cs="Arial"/>
          <w:color w:val="000000"/>
          <w:lang w:eastAsia="bg-BG"/>
        </w:rPr>
        <w:t>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230726DB" w14:textId="77777777" w:rsidR="00705EC2" w:rsidRPr="00705EC2" w:rsidRDefault="00705EC2" w:rsidP="00705EC2">
      <w:pPr>
        <w:spacing w:line="240" w:lineRule="auto"/>
        <w:rPr>
          <w:rFonts w:eastAsia="Times New Roman" w:cs="Arial"/>
          <w:i/>
          <w:iCs/>
          <w:color w:val="000000"/>
          <w:u w:val="single"/>
          <w:lang w:eastAsia="bg-BG"/>
        </w:rPr>
      </w:pPr>
    </w:p>
    <w:p w14:paraId="42E39397" w14:textId="7CDC1B10" w:rsidR="00705EC2" w:rsidRPr="00705EC2" w:rsidRDefault="00705EC2" w:rsidP="00705EC2">
      <w:pPr>
        <w:spacing w:line="240" w:lineRule="auto"/>
        <w:rPr>
          <w:rFonts w:eastAsia="Times New Roman" w:cs="Arial"/>
          <w:sz w:val="24"/>
          <w:szCs w:val="24"/>
        </w:rPr>
      </w:pPr>
      <w:r w:rsidRPr="00705EC2">
        <w:rPr>
          <w:rFonts w:eastAsia="Times New Roman" w:cs="Arial"/>
          <w:i/>
          <w:iCs/>
          <w:color w:val="000000"/>
          <w:u w:val="single"/>
          <w:lang w:eastAsia="bg-BG"/>
        </w:rPr>
        <w:t>Хидрохлорот иазид</w:t>
      </w:r>
    </w:p>
    <w:p w14:paraId="2FA1D27C" w14:textId="77777777" w:rsidR="00705EC2" w:rsidRPr="00705EC2" w:rsidRDefault="00705EC2" w:rsidP="00705EC2">
      <w:pPr>
        <w:spacing w:line="240" w:lineRule="auto"/>
        <w:rPr>
          <w:rFonts w:eastAsia="Times New Roman" w:cs="Arial"/>
          <w:sz w:val="24"/>
          <w:szCs w:val="24"/>
        </w:rPr>
      </w:pPr>
      <w:r w:rsidRPr="00705EC2">
        <w:rPr>
          <w:rFonts w:eastAsia="Times New Roman" w:cs="Arial"/>
          <w:color w:val="000000"/>
          <w:lang w:eastAsia="bg-BG"/>
        </w:rPr>
        <w:t xml:space="preserve">Основното място на действие на тиазидните диуретици са дисталните извити каналчета в бъбрека. Доказано е, че в бъбречната кора съществува високоафинитетен рецептор, </w:t>
      </w:r>
      <w:r w:rsidRPr="00705EC2">
        <w:rPr>
          <w:rFonts w:eastAsia="Times New Roman" w:cs="Arial"/>
          <w:color w:val="000000"/>
          <w:lang w:eastAsia="bg-BG"/>
        </w:rPr>
        <w:lastRenderedPageBreak/>
        <w:t xml:space="preserve">който е основно свързващо място за тиазидните диуретици и за инхибиране на транспорта на </w:t>
      </w:r>
      <w:proofErr w:type="spellStart"/>
      <w:r w:rsidRPr="00705EC2">
        <w:rPr>
          <w:rFonts w:eastAsia="Times New Roman" w:cs="Arial"/>
          <w:color w:val="000000"/>
          <w:lang w:val="en-US"/>
        </w:rPr>
        <w:t>NaCl</w:t>
      </w:r>
      <w:proofErr w:type="spellEnd"/>
      <w:r w:rsidRPr="00705EC2">
        <w:rPr>
          <w:rFonts w:eastAsia="Times New Roman" w:cs="Arial"/>
          <w:color w:val="000000"/>
          <w:lang w:val="ru-RU"/>
        </w:rPr>
        <w:t xml:space="preserve"> </w:t>
      </w:r>
      <w:r w:rsidRPr="00705EC2">
        <w:rPr>
          <w:rFonts w:eastAsia="Times New Roman" w:cs="Arial"/>
          <w:color w:val="000000"/>
          <w:lang w:eastAsia="bg-BG"/>
        </w:rPr>
        <w:t xml:space="preserve">в дисталното извито каналче. Тиазидните диуретици действат чрез инхибиране на </w:t>
      </w:r>
      <w:r w:rsidRPr="00705EC2">
        <w:rPr>
          <w:rFonts w:eastAsia="Times New Roman" w:cs="Arial"/>
          <w:color w:val="000000"/>
          <w:lang w:val="en-US"/>
        </w:rPr>
        <w:t>Na</w:t>
      </w:r>
      <w:r w:rsidRPr="00705EC2">
        <w:rPr>
          <w:rFonts w:eastAsia="Times New Roman" w:cs="Arial"/>
          <w:color w:val="000000"/>
          <w:vertAlign w:val="superscript"/>
          <w:lang w:val="ru-RU"/>
        </w:rPr>
        <w:t>+</w:t>
      </w:r>
      <w:r w:rsidRPr="00705EC2">
        <w:rPr>
          <w:rFonts w:eastAsia="Times New Roman" w:cs="Arial"/>
          <w:color w:val="000000"/>
          <w:lang w:val="en-US"/>
        </w:rPr>
        <w:t>Cl</w:t>
      </w:r>
      <w:r w:rsidRPr="00705EC2">
        <w:rPr>
          <w:rFonts w:eastAsia="Times New Roman" w:cs="Arial"/>
          <w:color w:val="000000"/>
          <w:vertAlign w:val="superscript"/>
          <w:lang w:val="ru-RU"/>
        </w:rPr>
        <w:t>-</w:t>
      </w:r>
      <w:r w:rsidRPr="00705EC2">
        <w:rPr>
          <w:rFonts w:eastAsia="Times New Roman" w:cs="Arial"/>
          <w:color w:val="000000"/>
          <w:lang w:val="ru-RU"/>
        </w:rPr>
        <w:t xml:space="preserve"> </w:t>
      </w:r>
      <w:r w:rsidRPr="00705EC2">
        <w:rPr>
          <w:rFonts w:eastAsia="Times New Roman" w:cs="Arial"/>
          <w:color w:val="000000"/>
          <w:lang w:eastAsia="bg-BG"/>
        </w:rPr>
        <w:t>симпортер, вероятно чрез конкуриране за мястото за свързване на СГ, и по този начин повлияват механизмите на електролитна реабсорбция: директно повишавайки екскрецията на натрий и хлориди в приблизително еднаква степен и индиректно чрез диуретичното си действие, намалявайки плазмения обем с последващо покачване на плазмената ренинова активност, секреция на алдостерон и загуба на калий с урината, както и намаляване на нивата на серумния калий. Връзката ренин-алдостерон се медиира от ангиотензин II, така че при едновременно прилагане с валсартан редукцията на серумния калий е по-слабо изразена, отколкото наблюдаваната при монотерапия с хидрохлоротиазид.</w:t>
      </w:r>
    </w:p>
    <w:p w14:paraId="35BD6D5F" w14:textId="77777777" w:rsidR="00705EC2" w:rsidRPr="00705EC2" w:rsidRDefault="00705EC2" w:rsidP="00705EC2">
      <w:pPr>
        <w:spacing w:line="240" w:lineRule="auto"/>
        <w:rPr>
          <w:rFonts w:eastAsia="Times New Roman" w:cs="Arial"/>
          <w:color w:val="000000"/>
          <w:u w:val="single"/>
          <w:lang w:eastAsia="bg-BG"/>
        </w:rPr>
      </w:pPr>
    </w:p>
    <w:p w14:paraId="6E14B596" w14:textId="0E3C2E00" w:rsidR="00705EC2" w:rsidRPr="00705EC2" w:rsidRDefault="00705EC2" w:rsidP="00705EC2">
      <w:pPr>
        <w:spacing w:line="240" w:lineRule="auto"/>
        <w:rPr>
          <w:rFonts w:eastAsia="Times New Roman" w:cs="Arial"/>
          <w:sz w:val="24"/>
          <w:szCs w:val="24"/>
        </w:rPr>
      </w:pPr>
      <w:r w:rsidRPr="00705EC2">
        <w:rPr>
          <w:rFonts w:eastAsia="Times New Roman" w:cs="Arial"/>
          <w:color w:val="000000"/>
          <w:u w:val="single"/>
          <w:lang w:eastAsia="bg-BG"/>
        </w:rPr>
        <w:t>Немеланомен рак на кожата:</w:t>
      </w:r>
    </w:p>
    <w:p w14:paraId="2B8733D4" w14:textId="77777777" w:rsidR="00705EC2" w:rsidRPr="00705EC2" w:rsidRDefault="00705EC2" w:rsidP="00705EC2">
      <w:pPr>
        <w:spacing w:line="240" w:lineRule="auto"/>
        <w:rPr>
          <w:rFonts w:eastAsia="Times New Roman" w:cs="Arial"/>
          <w:sz w:val="24"/>
          <w:szCs w:val="24"/>
        </w:rPr>
      </w:pPr>
      <w:r w:rsidRPr="00705EC2">
        <w:rPr>
          <w:rFonts w:eastAsia="Times New Roman" w:cs="Arial"/>
          <w:color w:val="000000"/>
          <w:lang w:eastAsia="bg-BG"/>
        </w:rPr>
        <w:t xml:space="preserve">Въз основа на наличните данни от епидемиологични проучвания е наблюдавана зависима от кумулативната доза връзка между ХХТЗ и НМРК. Едно проучване включва популация, състояща се от 71 533 случаи на БКК и 8 629 случаи на СКК, и популация от съответно 1 430 833 и 172 462 подходящи контроли. Високата употреба на ХХТЗ (кумулативно ≥50 000 </w:t>
      </w:r>
      <w:r w:rsidRPr="00705EC2">
        <w:rPr>
          <w:rFonts w:eastAsia="Times New Roman" w:cs="Arial"/>
          <w:color w:val="000000"/>
          <w:lang w:val="en-US"/>
        </w:rPr>
        <w:t>mg</w:t>
      </w:r>
      <w:r w:rsidRPr="00705EC2">
        <w:rPr>
          <w:rFonts w:eastAsia="Times New Roman" w:cs="Arial"/>
          <w:color w:val="000000"/>
          <w:lang w:val="ru-RU"/>
        </w:rPr>
        <w:t xml:space="preserve">) </w:t>
      </w:r>
      <w:r w:rsidRPr="00705EC2">
        <w:rPr>
          <w:rFonts w:eastAsia="Times New Roman" w:cs="Arial"/>
          <w:color w:val="000000"/>
          <w:lang w:eastAsia="bg-BG"/>
        </w:rPr>
        <w:t xml:space="preserve">е свързана с коригиран </w:t>
      </w:r>
      <w:r w:rsidRPr="00705EC2">
        <w:rPr>
          <w:rFonts w:eastAsia="Times New Roman" w:cs="Arial"/>
          <w:color w:val="000000"/>
          <w:lang w:val="en-US"/>
        </w:rPr>
        <w:t>OR</w:t>
      </w:r>
      <w:r w:rsidRPr="00705EC2">
        <w:rPr>
          <w:rFonts w:eastAsia="Times New Roman" w:cs="Arial"/>
          <w:color w:val="000000"/>
          <w:lang w:val="ru-RU"/>
        </w:rPr>
        <w:t xml:space="preserve"> </w:t>
      </w:r>
      <w:r w:rsidRPr="00705EC2">
        <w:rPr>
          <w:rFonts w:eastAsia="Times New Roman" w:cs="Arial"/>
          <w:color w:val="000000"/>
          <w:lang w:eastAsia="bg-BG"/>
        </w:rPr>
        <w:t xml:space="preserve">1,29 (95% ДИ: 1,23-1,35) за БКК и 3,98 (95% ДИ: 3,68-4,31) за СКК. Наблюдавана е ясна връзка кумулативна доза-отговор както за БКК, така и за СКК. Друго проучване показва възможна връзка между рака на устните (СКК) и експозицията на ХХТЗ: за 633 случаи на рак на устните е подбрана популация от 63 067 подходящи контроли, като се използва стратегия за вземане на проби, определена от риска. Демонстрирана е връзка кумулативна доза-отговор с коригиран </w:t>
      </w:r>
      <w:r w:rsidRPr="00705EC2">
        <w:rPr>
          <w:rFonts w:eastAsia="Times New Roman" w:cs="Arial"/>
          <w:color w:val="000000"/>
          <w:lang w:val="en-US"/>
        </w:rPr>
        <w:t>OR</w:t>
      </w:r>
      <w:r w:rsidRPr="00705EC2">
        <w:rPr>
          <w:rFonts w:eastAsia="Times New Roman" w:cs="Arial"/>
          <w:color w:val="000000"/>
          <w:lang w:val="ru-RU"/>
        </w:rPr>
        <w:t xml:space="preserve"> </w:t>
      </w:r>
      <w:r w:rsidRPr="00705EC2">
        <w:rPr>
          <w:rFonts w:eastAsia="Times New Roman" w:cs="Arial"/>
          <w:color w:val="000000"/>
          <w:lang w:eastAsia="bg-BG"/>
        </w:rPr>
        <w:t xml:space="preserve">2,1 (95% ДИ: 1,7-2,6), нарастващ до </w:t>
      </w:r>
      <w:r w:rsidRPr="00705EC2">
        <w:rPr>
          <w:rFonts w:eastAsia="Times New Roman" w:cs="Arial"/>
          <w:color w:val="000000"/>
          <w:lang w:val="en-US"/>
        </w:rPr>
        <w:t>OR</w:t>
      </w:r>
      <w:r w:rsidRPr="00705EC2">
        <w:rPr>
          <w:rFonts w:eastAsia="Times New Roman" w:cs="Arial"/>
          <w:color w:val="000000"/>
          <w:lang w:val="ru-RU"/>
        </w:rPr>
        <w:t xml:space="preserve"> </w:t>
      </w:r>
      <w:r w:rsidRPr="00705EC2">
        <w:rPr>
          <w:rFonts w:eastAsia="Times New Roman" w:cs="Arial"/>
          <w:color w:val="000000"/>
          <w:lang w:eastAsia="bg-BG"/>
        </w:rPr>
        <w:t xml:space="preserve">3,9 (3,0-4,9) за висока употреба (~ 25 000 </w:t>
      </w:r>
      <w:r w:rsidRPr="00705EC2">
        <w:rPr>
          <w:rFonts w:eastAsia="Times New Roman" w:cs="Arial"/>
          <w:color w:val="000000"/>
          <w:lang w:val="en-US"/>
        </w:rPr>
        <w:t>mg</w:t>
      </w:r>
      <w:r w:rsidRPr="00705EC2">
        <w:rPr>
          <w:rFonts w:eastAsia="Times New Roman" w:cs="Arial"/>
          <w:color w:val="000000"/>
          <w:lang w:val="ru-RU"/>
        </w:rPr>
        <w:t xml:space="preserve">) </w:t>
      </w:r>
      <w:r w:rsidRPr="00705EC2">
        <w:rPr>
          <w:rFonts w:eastAsia="Times New Roman" w:cs="Arial"/>
          <w:color w:val="000000"/>
          <w:lang w:eastAsia="bg-BG"/>
        </w:rPr>
        <w:t xml:space="preserve">и </w:t>
      </w:r>
      <w:r w:rsidRPr="00705EC2">
        <w:rPr>
          <w:rFonts w:eastAsia="Times New Roman" w:cs="Arial"/>
          <w:color w:val="000000"/>
          <w:lang w:val="en-US"/>
        </w:rPr>
        <w:t>OR</w:t>
      </w:r>
      <w:r w:rsidRPr="00705EC2">
        <w:rPr>
          <w:rFonts w:eastAsia="Times New Roman" w:cs="Arial"/>
          <w:color w:val="000000"/>
          <w:lang w:val="ru-RU"/>
        </w:rPr>
        <w:t xml:space="preserve"> </w:t>
      </w:r>
      <w:r w:rsidRPr="00705EC2">
        <w:rPr>
          <w:rFonts w:eastAsia="Times New Roman" w:cs="Arial"/>
          <w:color w:val="000000"/>
          <w:lang w:eastAsia="bg-BG"/>
        </w:rPr>
        <w:t xml:space="preserve">7,7 (5,7-10,5) за най-високата кумулативна доза (~100 000 </w:t>
      </w:r>
      <w:r w:rsidRPr="00705EC2">
        <w:rPr>
          <w:rFonts w:eastAsia="Times New Roman" w:cs="Arial"/>
          <w:color w:val="000000"/>
          <w:lang w:val="en-US"/>
        </w:rPr>
        <w:t>mg</w:t>
      </w:r>
      <w:r w:rsidRPr="00705EC2">
        <w:rPr>
          <w:rFonts w:eastAsia="Times New Roman" w:cs="Arial"/>
          <w:color w:val="000000"/>
          <w:lang w:val="ru-RU"/>
        </w:rPr>
        <w:t xml:space="preserve">) </w:t>
      </w:r>
      <w:r w:rsidRPr="00705EC2">
        <w:rPr>
          <w:rFonts w:eastAsia="Times New Roman" w:cs="Arial"/>
          <w:color w:val="000000"/>
          <w:lang w:eastAsia="bg-BG"/>
        </w:rPr>
        <w:t>(вж. също точка 4.4).</w:t>
      </w:r>
    </w:p>
    <w:p w14:paraId="07BF7F06" w14:textId="3F19B845" w:rsidR="00705EC2" w:rsidRPr="00705EC2" w:rsidRDefault="00705EC2" w:rsidP="00705EC2"/>
    <w:p w14:paraId="78DD93AA" w14:textId="559E7D31" w:rsidR="00B6672E" w:rsidRDefault="002C50EE" w:rsidP="00936AD0">
      <w:pPr>
        <w:pStyle w:val="Heading2"/>
      </w:pPr>
      <w:r>
        <w:t>5.2. Фармакокинетични свойства</w:t>
      </w:r>
    </w:p>
    <w:p w14:paraId="3C359A6A" w14:textId="6F71B7A3" w:rsidR="00705EC2" w:rsidRDefault="00705EC2" w:rsidP="00705EC2"/>
    <w:p w14:paraId="2C846458" w14:textId="77777777" w:rsidR="00705EC2" w:rsidRPr="00705EC2" w:rsidRDefault="00705EC2" w:rsidP="00705EC2">
      <w:pPr>
        <w:spacing w:line="240" w:lineRule="auto"/>
        <w:rPr>
          <w:rFonts w:eastAsia="Times New Roman" w:cs="Arial"/>
          <w:sz w:val="24"/>
          <w:szCs w:val="24"/>
        </w:rPr>
      </w:pPr>
      <w:r w:rsidRPr="00705EC2">
        <w:rPr>
          <w:rFonts w:eastAsia="Times New Roman" w:cs="Arial"/>
          <w:i/>
          <w:iCs/>
          <w:color w:val="000000"/>
          <w:u w:val="single"/>
          <w:lang w:eastAsia="bg-BG"/>
        </w:rPr>
        <w:t>Валсартан/хидрохлоротиазид</w:t>
      </w:r>
    </w:p>
    <w:p w14:paraId="6E0A43E1" w14:textId="77777777" w:rsidR="00705EC2" w:rsidRPr="00705EC2" w:rsidRDefault="00705EC2" w:rsidP="00705EC2">
      <w:pPr>
        <w:spacing w:line="240" w:lineRule="auto"/>
        <w:rPr>
          <w:rFonts w:eastAsia="Times New Roman" w:cs="Arial"/>
          <w:sz w:val="24"/>
          <w:szCs w:val="24"/>
        </w:rPr>
      </w:pPr>
      <w:r w:rsidRPr="00705EC2">
        <w:rPr>
          <w:rFonts w:eastAsia="Times New Roman" w:cs="Arial"/>
          <w:color w:val="000000"/>
          <w:lang w:eastAsia="bg-BG"/>
        </w:rPr>
        <w:t>Системната наличност на хидрохлоротиазид е намалена с около 30% при едновременно прилагане с валсартан. Кинетиката на валсартан не се повлиява значително при едновременно прилагане с хидрохлоротиазид. Наблюдаваното взаимодействие не оказва влияние при употреба на комбинацията валсартан и хидрохлоротиазид, тъй като контролирани клинични проучвания са показали явен антихипертензивен ефект, по-голям от постигнатия при активните вещества, приложени поотделно или при плацебо.</w:t>
      </w:r>
    </w:p>
    <w:p w14:paraId="2F0D08FE" w14:textId="77777777" w:rsidR="00705EC2" w:rsidRPr="00705EC2" w:rsidRDefault="00705EC2" w:rsidP="00705EC2">
      <w:pPr>
        <w:spacing w:line="240" w:lineRule="auto"/>
        <w:rPr>
          <w:rFonts w:eastAsia="Times New Roman" w:cs="Arial"/>
          <w:i/>
          <w:iCs/>
          <w:color w:val="000000"/>
          <w:u w:val="single"/>
          <w:lang w:eastAsia="bg-BG"/>
        </w:rPr>
      </w:pPr>
    </w:p>
    <w:p w14:paraId="1ADB0C9F" w14:textId="2D8DAC05" w:rsidR="00705EC2" w:rsidRPr="00705EC2" w:rsidRDefault="00705EC2" w:rsidP="00705EC2">
      <w:pPr>
        <w:spacing w:line="240" w:lineRule="auto"/>
        <w:rPr>
          <w:rFonts w:eastAsia="Times New Roman" w:cs="Arial"/>
          <w:sz w:val="24"/>
          <w:szCs w:val="24"/>
        </w:rPr>
      </w:pPr>
      <w:r w:rsidRPr="00705EC2">
        <w:rPr>
          <w:rFonts w:eastAsia="Times New Roman" w:cs="Arial"/>
          <w:i/>
          <w:iCs/>
          <w:color w:val="000000"/>
          <w:u w:val="single"/>
          <w:lang w:eastAsia="bg-BG"/>
        </w:rPr>
        <w:t>Валсартан</w:t>
      </w:r>
    </w:p>
    <w:p w14:paraId="607FE93B" w14:textId="77777777" w:rsidR="00705EC2" w:rsidRPr="00705EC2" w:rsidRDefault="00705EC2" w:rsidP="00705EC2">
      <w:pPr>
        <w:spacing w:line="240" w:lineRule="auto"/>
        <w:rPr>
          <w:rFonts w:eastAsia="Times New Roman" w:cs="Arial"/>
          <w:sz w:val="24"/>
          <w:szCs w:val="24"/>
        </w:rPr>
      </w:pPr>
      <w:r w:rsidRPr="00705EC2">
        <w:rPr>
          <w:rFonts w:eastAsia="Times New Roman" w:cs="Arial"/>
          <w:i/>
          <w:iCs/>
          <w:color w:val="000000"/>
          <w:lang w:eastAsia="bg-BG"/>
        </w:rPr>
        <w:t>Абсорбция</w:t>
      </w:r>
    </w:p>
    <w:p w14:paraId="2623627D" w14:textId="77777777" w:rsidR="00705EC2" w:rsidRPr="00705EC2" w:rsidRDefault="00705EC2" w:rsidP="00705EC2">
      <w:pPr>
        <w:spacing w:line="240" w:lineRule="auto"/>
        <w:rPr>
          <w:rFonts w:eastAsia="Times New Roman" w:cs="Arial"/>
          <w:sz w:val="24"/>
          <w:szCs w:val="24"/>
        </w:rPr>
      </w:pPr>
      <w:r w:rsidRPr="00705EC2">
        <w:rPr>
          <w:rFonts w:eastAsia="Times New Roman" w:cs="Arial"/>
          <w:color w:val="000000"/>
          <w:lang w:eastAsia="bg-BG"/>
        </w:rPr>
        <w:t xml:space="preserve">След перорално приложение само на валсартан пиковите плазмени концентрации на валсартан се достигат за 2-4 часа. Средната абсолютна бионаличност е 23%. Храната намалява експозицията (измерена с </w:t>
      </w:r>
      <w:r w:rsidRPr="00705EC2">
        <w:rPr>
          <w:rFonts w:eastAsia="Times New Roman" w:cs="Arial"/>
          <w:color w:val="000000"/>
          <w:lang w:val="en-US"/>
        </w:rPr>
        <w:t>AUC</w:t>
      </w:r>
      <w:r w:rsidRPr="00705EC2">
        <w:rPr>
          <w:rFonts w:eastAsia="Times New Roman" w:cs="Arial"/>
          <w:color w:val="000000"/>
          <w:lang w:val="ru-RU"/>
        </w:rPr>
        <w:t xml:space="preserve">) </w:t>
      </w:r>
      <w:r w:rsidRPr="00705EC2">
        <w:rPr>
          <w:rFonts w:eastAsia="Times New Roman" w:cs="Arial"/>
          <w:color w:val="000000"/>
          <w:lang w:eastAsia="bg-BG"/>
        </w:rPr>
        <w:t>на валсартан с около 40%, а пиковата плазмена концентрация (С</w:t>
      </w:r>
      <w:r w:rsidRPr="00705EC2">
        <w:rPr>
          <w:rFonts w:eastAsia="Times New Roman" w:cs="Arial"/>
          <w:color w:val="000000"/>
          <w:lang w:val="en-US"/>
        </w:rPr>
        <w:t>max</w:t>
      </w:r>
      <w:r w:rsidRPr="00705EC2">
        <w:rPr>
          <w:rFonts w:eastAsia="Times New Roman" w:cs="Arial"/>
          <w:color w:val="000000"/>
          <w:lang w:eastAsia="bg-BG"/>
        </w:rPr>
        <w:t>) С около 50%, въпреки че около 8 часа след приема плазмените концентрации на валсартан са подобни в групите на прием след нахранване и на гладно. Това понижение на</w:t>
      </w:r>
    </w:p>
    <w:p w14:paraId="36861806" w14:textId="77777777" w:rsidR="00705EC2" w:rsidRPr="00705EC2" w:rsidRDefault="00705EC2" w:rsidP="00705EC2">
      <w:pPr>
        <w:spacing w:line="240" w:lineRule="auto"/>
        <w:rPr>
          <w:rFonts w:eastAsia="Times New Roman" w:cs="Arial"/>
          <w:sz w:val="24"/>
          <w:szCs w:val="24"/>
        </w:rPr>
      </w:pPr>
      <w:r w:rsidRPr="00705EC2">
        <w:rPr>
          <w:rFonts w:eastAsia="Times New Roman" w:cs="Arial"/>
          <w:color w:val="000000"/>
          <w:lang w:val="en-US"/>
        </w:rPr>
        <w:t>AUC</w:t>
      </w:r>
      <w:r w:rsidRPr="00705EC2">
        <w:rPr>
          <w:rFonts w:eastAsia="Times New Roman" w:cs="Arial"/>
          <w:color w:val="000000"/>
          <w:lang w:val="ru-RU"/>
        </w:rPr>
        <w:t xml:space="preserve"> </w:t>
      </w:r>
      <w:r w:rsidRPr="00705EC2">
        <w:rPr>
          <w:rFonts w:eastAsia="Times New Roman" w:cs="Arial"/>
          <w:color w:val="000000"/>
          <w:lang w:eastAsia="bg-BG"/>
        </w:rPr>
        <w:t>обаче не се придружава от клинично значимо намаляване на терапевтичния ефект поради което валсартан може да се дава със или без храна.</w:t>
      </w:r>
    </w:p>
    <w:p w14:paraId="13F3AE43" w14:textId="77777777" w:rsidR="00705EC2" w:rsidRPr="00705EC2" w:rsidRDefault="00705EC2" w:rsidP="00705EC2">
      <w:pPr>
        <w:spacing w:line="240" w:lineRule="auto"/>
        <w:rPr>
          <w:rFonts w:eastAsia="Times New Roman" w:cs="Arial"/>
          <w:i/>
          <w:iCs/>
          <w:color w:val="000000"/>
          <w:lang w:eastAsia="bg-BG"/>
        </w:rPr>
      </w:pPr>
    </w:p>
    <w:p w14:paraId="51546403" w14:textId="221ED590" w:rsidR="00705EC2" w:rsidRPr="00705EC2" w:rsidRDefault="00705EC2" w:rsidP="00705EC2">
      <w:pPr>
        <w:spacing w:line="240" w:lineRule="auto"/>
        <w:rPr>
          <w:rFonts w:eastAsia="Times New Roman" w:cs="Arial"/>
          <w:sz w:val="24"/>
          <w:szCs w:val="24"/>
        </w:rPr>
      </w:pPr>
      <w:r w:rsidRPr="00705EC2">
        <w:rPr>
          <w:rFonts w:eastAsia="Times New Roman" w:cs="Arial"/>
          <w:i/>
          <w:iCs/>
          <w:color w:val="000000"/>
          <w:lang w:eastAsia="bg-BG"/>
        </w:rPr>
        <w:t>Разпределение</w:t>
      </w:r>
    </w:p>
    <w:p w14:paraId="498CC247" w14:textId="77777777" w:rsidR="00705EC2" w:rsidRPr="00705EC2" w:rsidRDefault="00705EC2" w:rsidP="00705EC2">
      <w:pPr>
        <w:spacing w:line="240" w:lineRule="auto"/>
        <w:rPr>
          <w:rFonts w:eastAsia="Times New Roman" w:cs="Arial"/>
          <w:sz w:val="24"/>
          <w:szCs w:val="24"/>
        </w:rPr>
      </w:pPr>
      <w:r w:rsidRPr="00705EC2">
        <w:rPr>
          <w:rFonts w:eastAsia="Times New Roman" w:cs="Arial"/>
          <w:color w:val="000000"/>
          <w:lang w:eastAsia="bg-BG"/>
        </w:rPr>
        <w:lastRenderedPageBreak/>
        <w:t>Обемът на разпределение на валсартан при състояние на насищане след интравенозно приложение е около 17 литра, което показва, че валсартан не се разпределя екстензивно в тъканите. Валсартан е в голяма степен свързан със серумните протеини (94-97%), предимно със серумния албумин.</w:t>
      </w:r>
    </w:p>
    <w:p w14:paraId="0F3C840F" w14:textId="77777777" w:rsidR="00705EC2" w:rsidRPr="00705EC2" w:rsidRDefault="00705EC2" w:rsidP="00705EC2">
      <w:pPr>
        <w:spacing w:line="240" w:lineRule="auto"/>
        <w:rPr>
          <w:rFonts w:eastAsia="Times New Roman" w:cs="Arial"/>
          <w:i/>
          <w:iCs/>
          <w:color w:val="000000"/>
          <w:lang w:eastAsia="bg-BG"/>
        </w:rPr>
      </w:pPr>
    </w:p>
    <w:p w14:paraId="3805E7BF" w14:textId="3E3841AE" w:rsidR="00705EC2" w:rsidRPr="00705EC2" w:rsidRDefault="00705EC2" w:rsidP="00705EC2">
      <w:pPr>
        <w:spacing w:line="240" w:lineRule="auto"/>
        <w:rPr>
          <w:rFonts w:eastAsia="Times New Roman" w:cs="Arial"/>
          <w:sz w:val="24"/>
          <w:szCs w:val="24"/>
        </w:rPr>
      </w:pPr>
      <w:r w:rsidRPr="00705EC2">
        <w:rPr>
          <w:rFonts w:eastAsia="Times New Roman" w:cs="Arial"/>
          <w:i/>
          <w:iCs/>
          <w:color w:val="000000"/>
          <w:lang w:eastAsia="bg-BG"/>
        </w:rPr>
        <w:t>Биотрансформация</w:t>
      </w:r>
    </w:p>
    <w:p w14:paraId="55986EF1" w14:textId="77777777" w:rsidR="00705EC2" w:rsidRPr="00705EC2" w:rsidRDefault="00705EC2" w:rsidP="00705EC2">
      <w:pPr>
        <w:spacing w:line="240" w:lineRule="auto"/>
        <w:rPr>
          <w:rFonts w:eastAsia="Times New Roman" w:cs="Arial"/>
          <w:sz w:val="24"/>
          <w:szCs w:val="24"/>
        </w:rPr>
      </w:pPr>
      <w:r w:rsidRPr="00705EC2">
        <w:rPr>
          <w:rFonts w:eastAsia="Times New Roman" w:cs="Arial"/>
          <w:color w:val="000000"/>
          <w:lang w:eastAsia="bg-BG"/>
        </w:rPr>
        <w:t xml:space="preserve">Валсартан не се биотрансформира в голяма степен, тъй като само около 20% от дозата се открива като метаболити. В плазмата е установен хидроксиметаболит в ниски концентрации (по-малко от 10% от </w:t>
      </w:r>
      <w:r w:rsidRPr="00705EC2">
        <w:rPr>
          <w:rFonts w:eastAsia="Times New Roman" w:cs="Arial"/>
          <w:color w:val="000000"/>
          <w:lang w:val="en-US"/>
        </w:rPr>
        <w:t>AUC</w:t>
      </w:r>
      <w:r w:rsidRPr="00705EC2">
        <w:rPr>
          <w:rFonts w:eastAsia="Times New Roman" w:cs="Arial"/>
          <w:color w:val="000000"/>
          <w:lang w:val="ru-RU"/>
        </w:rPr>
        <w:t xml:space="preserve"> </w:t>
      </w:r>
      <w:r w:rsidRPr="00705EC2">
        <w:rPr>
          <w:rFonts w:eastAsia="Times New Roman" w:cs="Arial"/>
          <w:color w:val="000000"/>
          <w:lang w:eastAsia="bg-BG"/>
        </w:rPr>
        <w:t>на валсартан). Този метаболит е фармакологично неактивен.</w:t>
      </w:r>
    </w:p>
    <w:p w14:paraId="48FA72D4" w14:textId="77777777" w:rsidR="00705EC2" w:rsidRPr="00705EC2" w:rsidRDefault="00705EC2" w:rsidP="00705EC2">
      <w:pPr>
        <w:spacing w:line="240" w:lineRule="auto"/>
        <w:rPr>
          <w:rFonts w:eastAsia="Times New Roman" w:cs="Arial"/>
          <w:i/>
          <w:iCs/>
          <w:color w:val="000000"/>
          <w:lang w:eastAsia="bg-BG"/>
        </w:rPr>
      </w:pPr>
    </w:p>
    <w:p w14:paraId="53E4E43F" w14:textId="1FA2F0BE" w:rsidR="00705EC2" w:rsidRPr="00705EC2" w:rsidRDefault="00705EC2" w:rsidP="00705EC2">
      <w:pPr>
        <w:spacing w:line="240" w:lineRule="auto"/>
        <w:rPr>
          <w:rFonts w:eastAsia="Times New Roman" w:cs="Arial"/>
          <w:sz w:val="24"/>
          <w:szCs w:val="24"/>
        </w:rPr>
      </w:pPr>
      <w:r w:rsidRPr="00705EC2">
        <w:rPr>
          <w:rFonts w:eastAsia="Times New Roman" w:cs="Arial"/>
          <w:i/>
          <w:iCs/>
          <w:color w:val="000000"/>
          <w:lang w:eastAsia="bg-BG"/>
        </w:rPr>
        <w:t>Екскреция</w:t>
      </w:r>
    </w:p>
    <w:p w14:paraId="0F1536C8" w14:textId="77777777" w:rsidR="00705EC2" w:rsidRPr="00705EC2" w:rsidRDefault="00705EC2" w:rsidP="00705EC2">
      <w:pPr>
        <w:spacing w:line="240" w:lineRule="auto"/>
        <w:rPr>
          <w:rFonts w:eastAsia="Times New Roman" w:cs="Arial"/>
          <w:sz w:val="24"/>
          <w:szCs w:val="24"/>
        </w:rPr>
      </w:pPr>
      <w:r w:rsidRPr="00705EC2">
        <w:rPr>
          <w:rFonts w:eastAsia="Times New Roman" w:cs="Arial"/>
          <w:color w:val="000000"/>
          <w:lang w:eastAsia="bg-BG"/>
        </w:rPr>
        <w:t>Валсартан показва мултиекспоненциална кинетика (</w:t>
      </w:r>
      <w:r w:rsidRPr="00705EC2">
        <w:rPr>
          <w:rFonts w:eastAsia="Times New Roman" w:cs="Arial"/>
          <w:color w:val="000000"/>
          <w:lang w:val="en-US"/>
        </w:rPr>
        <w:t>t</w:t>
      </w:r>
      <w:r w:rsidRPr="00705EC2">
        <w:rPr>
          <w:rFonts w:eastAsia="Times New Roman" w:cs="Arial"/>
          <w:color w:val="000000"/>
          <w:vertAlign w:val="subscript"/>
          <w:lang w:val="ru-RU"/>
        </w:rPr>
        <w:t>1/2</w:t>
      </w:r>
      <w:r w:rsidRPr="00705EC2">
        <w:rPr>
          <w:rFonts w:eastAsia="Times New Roman" w:cs="Arial"/>
          <w:color w:val="000000"/>
          <w:vertAlign w:val="subscript"/>
          <w:lang w:eastAsia="bg-BG"/>
        </w:rPr>
        <w:t>α</w:t>
      </w:r>
      <w:r w:rsidRPr="00705EC2">
        <w:rPr>
          <w:rFonts w:eastAsia="Times New Roman" w:cs="Arial"/>
          <w:color w:val="000000"/>
          <w:lang w:eastAsia="bg-BG"/>
        </w:rPr>
        <w:t xml:space="preserve"> &lt;1 час и </w:t>
      </w:r>
      <w:r w:rsidRPr="00705EC2">
        <w:rPr>
          <w:rFonts w:eastAsia="Times New Roman" w:cs="Arial"/>
          <w:color w:val="000000"/>
          <w:lang w:val="en-US"/>
        </w:rPr>
        <w:t>t</w:t>
      </w:r>
      <w:r w:rsidRPr="00705EC2">
        <w:rPr>
          <w:rFonts w:eastAsia="Times New Roman" w:cs="Arial"/>
          <w:color w:val="000000"/>
          <w:vertAlign w:val="subscript"/>
          <w:lang w:val="ru-RU"/>
        </w:rPr>
        <w:t>1/2</w:t>
      </w:r>
      <w:r w:rsidRPr="00705EC2">
        <w:rPr>
          <w:rFonts w:eastAsia="Times New Roman" w:cs="Arial"/>
          <w:color w:val="000000"/>
          <w:vertAlign w:val="subscript"/>
          <w:lang w:eastAsia="bg-BG"/>
        </w:rPr>
        <w:t>β</w:t>
      </w:r>
      <w:r w:rsidRPr="00705EC2">
        <w:rPr>
          <w:rFonts w:eastAsia="Times New Roman" w:cs="Arial"/>
          <w:color w:val="000000"/>
          <w:lang w:val="ru-RU"/>
        </w:rPr>
        <w:t xml:space="preserve"> </w:t>
      </w:r>
      <w:r w:rsidRPr="00705EC2">
        <w:rPr>
          <w:rFonts w:eastAsia="Times New Roman" w:cs="Arial"/>
          <w:color w:val="000000"/>
          <w:lang w:eastAsia="bg-BG"/>
        </w:rPr>
        <w:t>около 9 часа). Валсартан се елиминира предимно с фекалиите (около 83% от дозата) и урината (около 13% от дозата), главно като непроменено лекарство. След интравенозно приложение плазменият клирънс на валсартан е около 2 1/час и неговият бъбречен клирънс е 0,62 1/час (около 30% от общия клирънс). Полуживотът на валсартан е 6 часа.</w:t>
      </w:r>
    </w:p>
    <w:p w14:paraId="5A28F0CA" w14:textId="77777777" w:rsidR="00705EC2" w:rsidRPr="00705EC2" w:rsidRDefault="00705EC2" w:rsidP="00705EC2">
      <w:pPr>
        <w:spacing w:line="240" w:lineRule="auto"/>
        <w:rPr>
          <w:rFonts w:eastAsia="Times New Roman" w:cs="Arial"/>
          <w:i/>
          <w:iCs/>
          <w:color w:val="000000"/>
          <w:u w:val="single"/>
          <w:lang w:eastAsia="bg-BG"/>
        </w:rPr>
      </w:pPr>
    </w:p>
    <w:p w14:paraId="3BE34DBB" w14:textId="4B1405A2" w:rsidR="00705EC2" w:rsidRPr="00705EC2" w:rsidRDefault="00705EC2" w:rsidP="00705EC2">
      <w:pPr>
        <w:spacing w:line="240" w:lineRule="auto"/>
        <w:rPr>
          <w:rFonts w:eastAsia="Times New Roman" w:cs="Arial"/>
          <w:sz w:val="24"/>
          <w:szCs w:val="24"/>
        </w:rPr>
      </w:pPr>
      <w:r w:rsidRPr="00705EC2">
        <w:rPr>
          <w:rFonts w:eastAsia="Times New Roman" w:cs="Arial"/>
          <w:i/>
          <w:iCs/>
          <w:color w:val="000000"/>
          <w:u w:val="single"/>
          <w:lang w:eastAsia="bg-BG"/>
        </w:rPr>
        <w:t>Хидрохлоротиазид</w:t>
      </w:r>
    </w:p>
    <w:p w14:paraId="1A29C5D2" w14:textId="77777777" w:rsidR="00705EC2" w:rsidRPr="00705EC2" w:rsidRDefault="00705EC2" w:rsidP="00705EC2">
      <w:pPr>
        <w:spacing w:line="240" w:lineRule="auto"/>
        <w:rPr>
          <w:rFonts w:eastAsia="Times New Roman" w:cs="Arial"/>
          <w:sz w:val="24"/>
          <w:szCs w:val="24"/>
        </w:rPr>
      </w:pPr>
      <w:r w:rsidRPr="00705EC2">
        <w:rPr>
          <w:rFonts w:eastAsia="Times New Roman" w:cs="Arial"/>
          <w:i/>
          <w:iCs/>
          <w:color w:val="000000"/>
          <w:lang w:eastAsia="bg-BG"/>
        </w:rPr>
        <w:t>Абсорбция</w:t>
      </w:r>
    </w:p>
    <w:p w14:paraId="4F96B652" w14:textId="77777777" w:rsidR="00705EC2" w:rsidRPr="00705EC2" w:rsidRDefault="00705EC2" w:rsidP="00705EC2">
      <w:pPr>
        <w:spacing w:line="240" w:lineRule="auto"/>
        <w:rPr>
          <w:rFonts w:eastAsia="Times New Roman" w:cs="Arial"/>
          <w:sz w:val="24"/>
          <w:szCs w:val="24"/>
        </w:rPr>
      </w:pPr>
      <w:r w:rsidRPr="00705EC2">
        <w:rPr>
          <w:rFonts w:eastAsia="Times New Roman" w:cs="Arial"/>
          <w:color w:val="000000"/>
          <w:lang w:eastAsia="bg-BG"/>
        </w:rPr>
        <w:t xml:space="preserve">Абсорбцията на хидрохлоротиазид след перорален прием е бърза </w:t>
      </w:r>
      <w:r w:rsidRPr="00705EC2">
        <w:rPr>
          <w:rFonts w:eastAsia="Times New Roman" w:cs="Arial"/>
          <w:color w:val="000000"/>
          <w:lang w:val="ru-RU"/>
        </w:rPr>
        <w:t>(</w:t>
      </w:r>
      <w:proofErr w:type="spellStart"/>
      <w:r w:rsidRPr="00705EC2">
        <w:rPr>
          <w:rFonts w:eastAsia="Times New Roman" w:cs="Arial"/>
          <w:color w:val="000000"/>
          <w:lang w:val="en-US"/>
        </w:rPr>
        <w:t>tmax</w:t>
      </w:r>
      <w:proofErr w:type="spellEnd"/>
      <w:r w:rsidRPr="00705EC2">
        <w:rPr>
          <w:rFonts w:eastAsia="Times New Roman" w:cs="Arial"/>
          <w:color w:val="000000"/>
          <w:lang w:val="ru-RU"/>
        </w:rPr>
        <w:t xml:space="preserve"> </w:t>
      </w:r>
      <w:r w:rsidRPr="00705EC2">
        <w:rPr>
          <w:rFonts w:eastAsia="Times New Roman" w:cs="Arial"/>
          <w:color w:val="000000"/>
          <w:lang w:eastAsia="bg-BG"/>
        </w:rPr>
        <w:t xml:space="preserve">около 2 ч). Покачването на средната </w:t>
      </w:r>
      <w:r w:rsidRPr="00705EC2">
        <w:rPr>
          <w:rFonts w:eastAsia="Times New Roman" w:cs="Arial"/>
          <w:color w:val="000000"/>
          <w:lang w:val="en-US"/>
        </w:rPr>
        <w:t>AUC</w:t>
      </w:r>
      <w:r w:rsidRPr="00705EC2">
        <w:rPr>
          <w:rFonts w:eastAsia="Times New Roman" w:cs="Arial"/>
          <w:color w:val="000000"/>
          <w:lang w:val="ru-RU"/>
        </w:rPr>
        <w:t xml:space="preserve"> </w:t>
      </w:r>
      <w:r w:rsidRPr="00705EC2">
        <w:rPr>
          <w:rFonts w:eastAsia="Times New Roman" w:cs="Arial"/>
          <w:color w:val="000000"/>
          <w:lang w:eastAsia="bg-BG"/>
        </w:rPr>
        <w:t>е линейно и е пропорционално на дозата в терапевтичния диапазон. Влиянието на храненето на абсорбцията на хидрохлоротиазид, ако има такъв, е малък и без клинично значение. Абсолютната бионаличност на хидрохлоротиазид след перорален прием е 70%.</w:t>
      </w:r>
    </w:p>
    <w:p w14:paraId="63DD47FF" w14:textId="77777777" w:rsidR="00705EC2" w:rsidRPr="00705EC2" w:rsidRDefault="00705EC2" w:rsidP="00705EC2">
      <w:pPr>
        <w:spacing w:line="240" w:lineRule="auto"/>
        <w:rPr>
          <w:rFonts w:eastAsia="Times New Roman" w:cs="Arial"/>
          <w:sz w:val="24"/>
          <w:szCs w:val="24"/>
        </w:rPr>
      </w:pPr>
      <w:r w:rsidRPr="00705EC2">
        <w:rPr>
          <w:rFonts w:eastAsia="Times New Roman" w:cs="Arial"/>
          <w:i/>
          <w:iCs/>
          <w:color w:val="000000"/>
          <w:lang w:eastAsia="bg-BG"/>
        </w:rPr>
        <w:t>Разпределение</w:t>
      </w:r>
    </w:p>
    <w:p w14:paraId="3B1FE42B" w14:textId="77777777" w:rsidR="00705EC2" w:rsidRPr="00705EC2" w:rsidRDefault="00705EC2" w:rsidP="00705EC2">
      <w:pPr>
        <w:spacing w:line="240" w:lineRule="auto"/>
        <w:rPr>
          <w:rFonts w:eastAsia="Times New Roman" w:cs="Arial"/>
          <w:sz w:val="24"/>
          <w:szCs w:val="24"/>
        </w:rPr>
      </w:pPr>
      <w:r w:rsidRPr="00705EC2">
        <w:rPr>
          <w:rFonts w:eastAsia="Times New Roman" w:cs="Arial"/>
          <w:color w:val="000000"/>
          <w:lang w:eastAsia="bg-BG"/>
        </w:rPr>
        <w:t xml:space="preserve">Кинетиката на разпределение и елиминиране като цяло е описана от биекспоненциална функция на разпад. Привидният обем на разпределение е 4-8 </w:t>
      </w:r>
      <w:r w:rsidRPr="00705EC2">
        <w:rPr>
          <w:rFonts w:eastAsia="Times New Roman" w:cs="Arial"/>
          <w:color w:val="000000"/>
          <w:lang w:val="ru-RU"/>
        </w:rPr>
        <w:t>1/</w:t>
      </w:r>
      <w:r w:rsidRPr="00705EC2">
        <w:rPr>
          <w:rFonts w:eastAsia="Times New Roman" w:cs="Arial"/>
          <w:color w:val="000000"/>
          <w:lang w:val="en-US"/>
        </w:rPr>
        <w:t>kg</w:t>
      </w:r>
      <w:r w:rsidRPr="00705EC2">
        <w:rPr>
          <w:rFonts w:eastAsia="Times New Roman" w:cs="Arial"/>
          <w:color w:val="000000"/>
          <w:lang w:val="ru-RU"/>
        </w:rPr>
        <w:t>.</w:t>
      </w:r>
    </w:p>
    <w:p w14:paraId="518119FD" w14:textId="77777777" w:rsidR="00705EC2" w:rsidRPr="00705EC2" w:rsidRDefault="00705EC2" w:rsidP="00705EC2">
      <w:pPr>
        <w:spacing w:line="240" w:lineRule="auto"/>
        <w:rPr>
          <w:rFonts w:eastAsia="Times New Roman" w:cs="Arial"/>
          <w:sz w:val="24"/>
          <w:szCs w:val="24"/>
        </w:rPr>
      </w:pPr>
      <w:r w:rsidRPr="00705EC2">
        <w:rPr>
          <w:rFonts w:eastAsia="Times New Roman" w:cs="Arial"/>
          <w:color w:val="000000"/>
          <w:lang w:eastAsia="bg-BG"/>
        </w:rPr>
        <w:t>Циркулиращият хидрохлоротиазид е свързан със серумните протеини (40-70%), предимно със серумния албумин. Хидрохлоротиазид също така кумулира в еритроцитите приблизително 1,8 пъти повече, отколкото в плазмата.</w:t>
      </w:r>
    </w:p>
    <w:p w14:paraId="772C0728" w14:textId="77777777" w:rsidR="00705EC2" w:rsidRPr="00705EC2" w:rsidRDefault="00705EC2" w:rsidP="00705EC2">
      <w:pPr>
        <w:spacing w:line="240" w:lineRule="auto"/>
        <w:rPr>
          <w:rFonts w:eastAsia="Times New Roman" w:cs="Arial"/>
          <w:i/>
          <w:iCs/>
          <w:color w:val="000000"/>
          <w:lang w:eastAsia="bg-BG"/>
        </w:rPr>
      </w:pPr>
    </w:p>
    <w:p w14:paraId="60CEECFA" w14:textId="6FAA6686" w:rsidR="00705EC2" w:rsidRPr="00705EC2" w:rsidRDefault="00705EC2" w:rsidP="00705EC2">
      <w:pPr>
        <w:spacing w:line="240" w:lineRule="auto"/>
        <w:rPr>
          <w:rFonts w:eastAsia="Times New Roman" w:cs="Arial"/>
          <w:sz w:val="24"/>
          <w:szCs w:val="24"/>
        </w:rPr>
      </w:pPr>
      <w:r w:rsidRPr="00705EC2">
        <w:rPr>
          <w:rFonts w:eastAsia="Times New Roman" w:cs="Arial"/>
          <w:i/>
          <w:iCs/>
          <w:color w:val="000000"/>
          <w:lang w:eastAsia="bg-BG"/>
        </w:rPr>
        <w:t>Екскреция</w:t>
      </w:r>
    </w:p>
    <w:p w14:paraId="7D662C80" w14:textId="77777777" w:rsidR="00705EC2" w:rsidRPr="00705EC2" w:rsidRDefault="00705EC2" w:rsidP="00705EC2">
      <w:pPr>
        <w:spacing w:line="240" w:lineRule="auto"/>
        <w:rPr>
          <w:rFonts w:eastAsia="Times New Roman" w:cs="Arial"/>
          <w:sz w:val="24"/>
          <w:szCs w:val="24"/>
        </w:rPr>
      </w:pPr>
      <w:r w:rsidRPr="00705EC2">
        <w:rPr>
          <w:rFonts w:eastAsia="Times New Roman" w:cs="Arial"/>
          <w:color w:val="000000"/>
          <w:lang w:eastAsia="bg-BG"/>
        </w:rPr>
        <w:t>Хидрохлоротиазид се елиминира основно непроменен. Хидрохлоротиазид се елиминира от плазмата с полуживот средно от 6 до 15 часа в крайната фаза на елиминиране. Няма промяна в кинетиката на хидрохлоротиазид при многократно дозиране и натрупването е минимално при прием веднъж дневно. Повече от 95% от абсорбираната доза се екскретира като непроменено вещество в урината. Бъбречният клирънс се състои от пасивна филтрация и активна секреция в бъбречните тубули.</w:t>
      </w:r>
    </w:p>
    <w:p w14:paraId="0C189EB9" w14:textId="77777777" w:rsidR="00705EC2" w:rsidRPr="00705EC2" w:rsidRDefault="00705EC2" w:rsidP="00705EC2">
      <w:pPr>
        <w:spacing w:line="240" w:lineRule="auto"/>
        <w:rPr>
          <w:rFonts w:eastAsia="Times New Roman" w:cs="Arial"/>
          <w:i/>
          <w:iCs/>
          <w:color w:val="000000"/>
          <w:u w:val="single"/>
          <w:lang w:eastAsia="bg-BG"/>
        </w:rPr>
      </w:pPr>
    </w:p>
    <w:p w14:paraId="53C62A1A" w14:textId="6F1B79B2" w:rsidR="00705EC2" w:rsidRPr="00705EC2" w:rsidRDefault="00705EC2" w:rsidP="00705EC2">
      <w:pPr>
        <w:spacing w:line="240" w:lineRule="auto"/>
        <w:rPr>
          <w:rFonts w:eastAsia="Times New Roman" w:cs="Arial"/>
          <w:sz w:val="24"/>
          <w:szCs w:val="24"/>
        </w:rPr>
      </w:pPr>
      <w:r w:rsidRPr="00705EC2">
        <w:rPr>
          <w:rFonts w:eastAsia="Times New Roman" w:cs="Arial"/>
          <w:i/>
          <w:iCs/>
          <w:color w:val="000000"/>
          <w:u w:val="single"/>
          <w:lang w:eastAsia="bg-BG"/>
        </w:rPr>
        <w:t>Специални групи пациенти</w:t>
      </w:r>
    </w:p>
    <w:p w14:paraId="07C40AA5" w14:textId="77777777" w:rsidR="00705EC2" w:rsidRPr="00705EC2" w:rsidRDefault="00705EC2" w:rsidP="00705EC2">
      <w:pPr>
        <w:spacing w:line="240" w:lineRule="auto"/>
        <w:rPr>
          <w:rFonts w:eastAsia="Times New Roman" w:cs="Arial"/>
          <w:i/>
          <w:iCs/>
          <w:color w:val="000000"/>
          <w:lang w:eastAsia="bg-BG"/>
        </w:rPr>
      </w:pPr>
    </w:p>
    <w:p w14:paraId="744A0E2B" w14:textId="278DD8D4" w:rsidR="00705EC2" w:rsidRPr="00705EC2" w:rsidRDefault="00705EC2" w:rsidP="00705EC2">
      <w:pPr>
        <w:spacing w:line="240" w:lineRule="auto"/>
        <w:rPr>
          <w:rFonts w:eastAsia="Times New Roman" w:cs="Arial"/>
          <w:sz w:val="24"/>
          <w:szCs w:val="24"/>
        </w:rPr>
      </w:pPr>
      <w:r w:rsidRPr="00705EC2">
        <w:rPr>
          <w:rFonts w:eastAsia="Times New Roman" w:cs="Arial"/>
          <w:i/>
          <w:iCs/>
          <w:color w:val="000000"/>
          <w:lang w:eastAsia="bg-BG"/>
        </w:rPr>
        <w:t>Пациенти в старческа възраст</w:t>
      </w:r>
    </w:p>
    <w:p w14:paraId="580E88F2" w14:textId="77777777" w:rsidR="00705EC2" w:rsidRPr="00705EC2" w:rsidRDefault="00705EC2" w:rsidP="00705EC2">
      <w:pPr>
        <w:spacing w:line="240" w:lineRule="auto"/>
        <w:rPr>
          <w:rFonts w:eastAsia="Times New Roman" w:cs="Arial"/>
          <w:sz w:val="24"/>
          <w:szCs w:val="24"/>
        </w:rPr>
      </w:pPr>
      <w:r w:rsidRPr="00705EC2">
        <w:rPr>
          <w:rFonts w:eastAsia="Times New Roman" w:cs="Arial"/>
          <w:color w:val="000000"/>
          <w:lang w:eastAsia="bg-BG"/>
        </w:rPr>
        <w:t>При някои пациенти в старческа възраст е наблюдавано малко по-високо общо разпределение на валсартан в сравнение с младите пациенти. Това обаче няма доказана клинична значимост. Ограничени данни предполагат, че системният клирънс на хидрохлоротиазид е намален при пациенти в старческа възраст, здрави или с хипертония, в сравнение с млади здрави доброволци.</w:t>
      </w:r>
    </w:p>
    <w:p w14:paraId="5139C1A5" w14:textId="77777777" w:rsidR="00705EC2" w:rsidRPr="00705EC2" w:rsidRDefault="00705EC2" w:rsidP="00705EC2">
      <w:pPr>
        <w:spacing w:line="240" w:lineRule="auto"/>
        <w:rPr>
          <w:rFonts w:eastAsia="Times New Roman" w:cs="Arial"/>
          <w:i/>
          <w:iCs/>
          <w:color w:val="000000"/>
          <w:lang w:eastAsia="bg-BG"/>
        </w:rPr>
      </w:pPr>
    </w:p>
    <w:p w14:paraId="40A89989" w14:textId="06D91650" w:rsidR="00705EC2" w:rsidRPr="00705EC2" w:rsidRDefault="00705EC2" w:rsidP="00705EC2">
      <w:pPr>
        <w:spacing w:line="240" w:lineRule="auto"/>
        <w:rPr>
          <w:rFonts w:eastAsia="Times New Roman" w:cs="Arial"/>
          <w:sz w:val="24"/>
          <w:szCs w:val="24"/>
        </w:rPr>
      </w:pPr>
      <w:r w:rsidRPr="00705EC2">
        <w:rPr>
          <w:rFonts w:eastAsia="Times New Roman" w:cs="Arial"/>
          <w:i/>
          <w:iCs/>
          <w:color w:val="000000"/>
          <w:lang w:eastAsia="bg-BG"/>
        </w:rPr>
        <w:t>Бъбречно увреждане</w:t>
      </w:r>
    </w:p>
    <w:p w14:paraId="1F16ECA5" w14:textId="77777777" w:rsidR="00705EC2" w:rsidRPr="00705EC2" w:rsidRDefault="00705EC2" w:rsidP="00705EC2">
      <w:pPr>
        <w:spacing w:line="240" w:lineRule="auto"/>
        <w:rPr>
          <w:rFonts w:eastAsia="Times New Roman" w:cs="Arial"/>
          <w:sz w:val="24"/>
          <w:szCs w:val="24"/>
        </w:rPr>
      </w:pPr>
      <w:r w:rsidRPr="00705EC2">
        <w:rPr>
          <w:rFonts w:eastAsia="Times New Roman" w:cs="Arial"/>
          <w:color w:val="000000"/>
          <w:lang w:eastAsia="bg-BG"/>
        </w:rPr>
        <w:lastRenderedPageBreak/>
        <w:t xml:space="preserve">При прилагане на препоръчваната доза на </w:t>
      </w:r>
      <w:r w:rsidRPr="00705EC2">
        <w:rPr>
          <w:rFonts w:eastAsia="Times New Roman" w:cs="Arial"/>
          <w:color w:val="000000"/>
          <w:lang w:val="en-US"/>
        </w:rPr>
        <w:t>Co</w:t>
      </w:r>
      <w:r w:rsidRPr="00705EC2">
        <w:rPr>
          <w:rFonts w:eastAsia="Times New Roman" w:cs="Arial"/>
          <w:color w:val="000000"/>
          <w:lang w:val="ru-RU"/>
        </w:rPr>
        <w:t>-</w:t>
      </w:r>
      <w:r w:rsidRPr="00705EC2">
        <w:rPr>
          <w:rFonts w:eastAsia="Times New Roman" w:cs="Arial"/>
          <w:color w:val="000000"/>
          <w:lang w:val="en-US"/>
        </w:rPr>
        <w:t>Diovan</w:t>
      </w:r>
      <w:r w:rsidRPr="00705EC2">
        <w:rPr>
          <w:rFonts w:eastAsia="Times New Roman" w:cs="Arial"/>
          <w:color w:val="000000"/>
          <w:lang w:val="ru-RU"/>
        </w:rPr>
        <w:t xml:space="preserve"> </w:t>
      </w:r>
      <w:r w:rsidRPr="00705EC2">
        <w:rPr>
          <w:rFonts w:eastAsia="Times New Roman" w:cs="Arial"/>
          <w:color w:val="000000"/>
          <w:lang w:eastAsia="bg-BG"/>
        </w:rPr>
        <w:t>не се изисква коригиране на</w:t>
      </w:r>
      <w:r w:rsidRPr="00705EC2">
        <w:rPr>
          <w:rFonts w:eastAsia="Times New Roman" w:cs="Arial"/>
          <w:color w:val="000000"/>
          <w:lang w:val="ru-RU"/>
        </w:rPr>
        <w:t xml:space="preserve"> </w:t>
      </w:r>
      <w:r w:rsidRPr="00705EC2">
        <w:rPr>
          <w:rFonts w:eastAsia="Times New Roman" w:cs="Arial"/>
          <w:color w:val="000000"/>
          <w:lang w:eastAsia="bg-BG"/>
        </w:rPr>
        <w:t xml:space="preserve">дозата при пациенти със скорост на гломерулната филтрация </w:t>
      </w:r>
      <w:r w:rsidRPr="00705EC2">
        <w:rPr>
          <w:rFonts w:eastAsia="Times New Roman" w:cs="Arial"/>
          <w:color w:val="000000"/>
          <w:lang w:val="ru-RU"/>
        </w:rPr>
        <w:t>(</w:t>
      </w:r>
      <w:r w:rsidRPr="00705EC2">
        <w:rPr>
          <w:rFonts w:eastAsia="Times New Roman" w:cs="Arial"/>
          <w:color w:val="000000"/>
          <w:lang w:val="en-US"/>
        </w:rPr>
        <w:t>GFR</w:t>
      </w:r>
      <w:r w:rsidRPr="00705EC2">
        <w:rPr>
          <w:rFonts w:eastAsia="Times New Roman" w:cs="Arial"/>
          <w:color w:val="000000"/>
          <w:lang w:val="ru-RU"/>
        </w:rPr>
        <w:t xml:space="preserve">) </w:t>
      </w:r>
      <w:r w:rsidRPr="00705EC2">
        <w:rPr>
          <w:rFonts w:eastAsia="Times New Roman" w:cs="Arial"/>
          <w:color w:val="000000"/>
          <w:lang w:eastAsia="bg-BG"/>
        </w:rPr>
        <w:t xml:space="preserve">30-70 </w:t>
      </w:r>
      <w:r w:rsidRPr="00705EC2">
        <w:rPr>
          <w:rFonts w:eastAsia="Times New Roman" w:cs="Arial"/>
          <w:color w:val="000000"/>
          <w:lang w:val="en-US"/>
        </w:rPr>
        <w:t>ml</w:t>
      </w:r>
      <w:r w:rsidRPr="00705EC2">
        <w:rPr>
          <w:rFonts w:eastAsia="Times New Roman" w:cs="Arial"/>
          <w:color w:val="000000"/>
          <w:lang w:val="ru-RU"/>
        </w:rPr>
        <w:t>/</w:t>
      </w:r>
      <w:r w:rsidRPr="00705EC2">
        <w:rPr>
          <w:rFonts w:eastAsia="Times New Roman" w:cs="Arial"/>
          <w:color w:val="000000"/>
          <w:lang w:val="en-US"/>
        </w:rPr>
        <w:t>min</w:t>
      </w:r>
      <w:r w:rsidRPr="00705EC2">
        <w:rPr>
          <w:rFonts w:eastAsia="Times New Roman" w:cs="Arial"/>
          <w:color w:val="000000"/>
          <w:lang w:val="ru-RU"/>
        </w:rPr>
        <w:t>.</w:t>
      </w:r>
    </w:p>
    <w:p w14:paraId="7513F357" w14:textId="77777777" w:rsidR="00705EC2" w:rsidRPr="00705EC2" w:rsidRDefault="00705EC2" w:rsidP="00705EC2">
      <w:pPr>
        <w:spacing w:line="240" w:lineRule="auto"/>
        <w:rPr>
          <w:rFonts w:eastAsia="Times New Roman" w:cs="Arial"/>
          <w:color w:val="000000"/>
          <w:lang w:eastAsia="bg-BG"/>
        </w:rPr>
      </w:pPr>
    </w:p>
    <w:p w14:paraId="4D81418B" w14:textId="2FC6B4D4" w:rsidR="00705EC2" w:rsidRPr="00705EC2" w:rsidRDefault="00705EC2" w:rsidP="00705EC2">
      <w:pPr>
        <w:spacing w:line="240" w:lineRule="auto"/>
        <w:rPr>
          <w:rFonts w:eastAsia="Times New Roman" w:cs="Arial"/>
          <w:sz w:val="24"/>
          <w:szCs w:val="24"/>
        </w:rPr>
      </w:pPr>
      <w:r w:rsidRPr="00705EC2">
        <w:rPr>
          <w:rFonts w:eastAsia="Times New Roman" w:cs="Arial"/>
          <w:color w:val="000000"/>
          <w:lang w:eastAsia="bg-BG"/>
        </w:rPr>
        <w:t xml:space="preserve">Няма данни за прилагането на </w:t>
      </w:r>
      <w:r w:rsidRPr="00705EC2">
        <w:rPr>
          <w:rFonts w:eastAsia="Times New Roman" w:cs="Arial"/>
          <w:color w:val="000000"/>
          <w:lang w:val="en-US"/>
        </w:rPr>
        <w:t>Co</w:t>
      </w:r>
      <w:r w:rsidRPr="00705EC2">
        <w:rPr>
          <w:rFonts w:eastAsia="Times New Roman" w:cs="Arial"/>
          <w:color w:val="000000"/>
          <w:lang w:val="ru-RU"/>
        </w:rPr>
        <w:t>-</w:t>
      </w:r>
      <w:r w:rsidRPr="00705EC2">
        <w:rPr>
          <w:rFonts w:eastAsia="Times New Roman" w:cs="Arial"/>
          <w:color w:val="000000"/>
          <w:lang w:val="en-US"/>
        </w:rPr>
        <w:t>Diovan</w:t>
      </w:r>
      <w:r w:rsidRPr="00705EC2">
        <w:rPr>
          <w:rFonts w:eastAsia="Times New Roman" w:cs="Arial"/>
          <w:color w:val="000000"/>
          <w:lang w:val="ru-RU"/>
        </w:rPr>
        <w:t xml:space="preserve"> </w:t>
      </w:r>
      <w:r w:rsidRPr="00705EC2">
        <w:rPr>
          <w:rFonts w:eastAsia="Times New Roman" w:cs="Arial"/>
          <w:color w:val="000000"/>
          <w:lang w:eastAsia="bg-BG"/>
        </w:rPr>
        <w:t>при пациенти с тежко бъбречно увреждане</w:t>
      </w:r>
    </w:p>
    <w:p w14:paraId="789ECDF7" w14:textId="196B5801" w:rsidR="00705EC2" w:rsidRPr="00705EC2" w:rsidRDefault="00705EC2" w:rsidP="00705EC2">
      <w:pPr>
        <w:rPr>
          <w:rFonts w:eastAsia="Times New Roman" w:cs="Arial"/>
          <w:color w:val="000000"/>
          <w:lang w:eastAsia="bg-BG"/>
        </w:rPr>
      </w:pPr>
      <w:r w:rsidRPr="00705EC2">
        <w:rPr>
          <w:rFonts w:eastAsia="Times New Roman" w:cs="Arial"/>
          <w:color w:val="000000"/>
          <w:lang w:val="ru-RU"/>
        </w:rPr>
        <w:t>(</w:t>
      </w:r>
      <w:r w:rsidRPr="00705EC2">
        <w:rPr>
          <w:rFonts w:eastAsia="Times New Roman" w:cs="Arial"/>
          <w:color w:val="000000"/>
          <w:lang w:val="en-US"/>
        </w:rPr>
        <w:t>GFR</w:t>
      </w:r>
      <w:r w:rsidRPr="00705EC2">
        <w:rPr>
          <w:rFonts w:eastAsia="Times New Roman" w:cs="Arial"/>
          <w:color w:val="000000"/>
          <w:lang w:val="ru-RU"/>
        </w:rPr>
        <w:t xml:space="preserve"> </w:t>
      </w:r>
      <w:r w:rsidRPr="00705EC2">
        <w:rPr>
          <w:rFonts w:eastAsia="Times New Roman" w:cs="Arial"/>
          <w:color w:val="000000"/>
          <w:lang w:eastAsia="bg-BG"/>
        </w:rPr>
        <w:t xml:space="preserve">&lt;30 </w:t>
      </w:r>
      <w:r w:rsidRPr="00705EC2">
        <w:rPr>
          <w:rFonts w:eastAsia="Times New Roman" w:cs="Arial"/>
          <w:color w:val="000000"/>
          <w:lang w:val="en-US"/>
        </w:rPr>
        <w:t>ml</w:t>
      </w:r>
      <w:r w:rsidRPr="00705EC2">
        <w:rPr>
          <w:rFonts w:eastAsia="Times New Roman" w:cs="Arial"/>
          <w:color w:val="000000"/>
          <w:lang w:val="ru-RU"/>
        </w:rPr>
        <w:t>/</w:t>
      </w:r>
      <w:r w:rsidRPr="00705EC2">
        <w:rPr>
          <w:rFonts w:eastAsia="Times New Roman" w:cs="Arial"/>
          <w:color w:val="000000"/>
          <w:lang w:val="en-US"/>
        </w:rPr>
        <w:t>min</w:t>
      </w:r>
      <w:r w:rsidRPr="00705EC2">
        <w:rPr>
          <w:rFonts w:eastAsia="Times New Roman" w:cs="Arial"/>
          <w:color w:val="000000"/>
          <w:lang w:val="ru-RU"/>
        </w:rPr>
        <w:t xml:space="preserve">) </w:t>
      </w:r>
      <w:r w:rsidRPr="00705EC2">
        <w:rPr>
          <w:rFonts w:eastAsia="Times New Roman" w:cs="Arial"/>
          <w:color w:val="000000"/>
          <w:lang w:eastAsia="bg-BG"/>
        </w:rPr>
        <w:t xml:space="preserve">и при пациенти </w:t>
      </w:r>
      <w:proofErr w:type="gramStart"/>
      <w:r w:rsidRPr="00705EC2">
        <w:rPr>
          <w:rFonts w:eastAsia="Times New Roman" w:cs="Arial"/>
          <w:color w:val="000000"/>
          <w:lang w:eastAsia="bg-BG"/>
        </w:rPr>
        <w:t>на диализа</w:t>
      </w:r>
      <w:proofErr w:type="gramEnd"/>
      <w:r w:rsidRPr="00705EC2">
        <w:rPr>
          <w:rFonts w:eastAsia="Times New Roman" w:cs="Arial"/>
          <w:color w:val="000000"/>
          <w:lang w:eastAsia="bg-BG"/>
        </w:rPr>
        <w:t>. Валсартан се свързва във висока степен с плазмените протеини и не може да бъде отстранен чрез диализа, докато хидрохлортиазид може да бъде очистен чрез диализа.</w:t>
      </w:r>
    </w:p>
    <w:p w14:paraId="461BDA88" w14:textId="359B67C7" w:rsidR="00705EC2" w:rsidRPr="00705EC2" w:rsidRDefault="00705EC2" w:rsidP="00705EC2">
      <w:pPr>
        <w:rPr>
          <w:rFonts w:eastAsia="Times New Roman" w:cs="Arial"/>
          <w:color w:val="000000"/>
          <w:lang w:eastAsia="bg-BG"/>
        </w:rPr>
      </w:pPr>
    </w:p>
    <w:p w14:paraId="4A5AA4BC" w14:textId="77777777" w:rsidR="00705EC2" w:rsidRPr="00705EC2" w:rsidRDefault="00705EC2" w:rsidP="00705EC2">
      <w:pPr>
        <w:spacing w:line="240" w:lineRule="auto"/>
        <w:rPr>
          <w:rFonts w:eastAsia="Times New Roman" w:cs="Arial"/>
          <w:sz w:val="24"/>
          <w:szCs w:val="24"/>
        </w:rPr>
      </w:pPr>
      <w:r w:rsidRPr="00705EC2">
        <w:rPr>
          <w:rFonts w:eastAsia="Times New Roman" w:cs="Arial"/>
          <w:color w:val="000000"/>
          <w:lang w:eastAsia="bg-BG"/>
        </w:rPr>
        <w:t xml:space="preserve">При наличие на бъбречна дифункия, средният плазмен пик и </w:t>
      </w:r>
      <w:r w:rsidRPr="00705EC2">
        <w:rPr>
          <w:rFonts w:eastAsia="Times New Roman" w:cs="Arial"/>
          <w:color w:val="000000"/>
          <w:lang w:val="en-US"/>
        </w:rPr>
        <w:t>AUC</w:t>
      </w:r>
      <w:r w:rsidRPr="00705EC2">
        <w:rPr>
          <w:rFonts w:eastAsia="Times New Roman" w:cs="Arial"/>
          <w:color w:val="000000"/>
          <w:lang w:val="ru-RU"/>
        </w:rPr>
        <w:t xml:space="preserve"> </w:t>
      </w:r>
      <w:r w:rsidRPr="00705EC2">
        <w:rPr>
          <w:rFonts w:eastAsia="Times New Roman" w:cs="Arial"/>
          <w:color w:val="000000"/>
          <w:lang w:eastAsia="bg-BG"/>
        </w:rPr>
        <w:t xml:space="preserve">стойности на хидрохлоротиазид се увеличават и скоростта на отделяне на урина намалява. При пациенти с леко до умерено бъбречно увреждане се наблюдава 3-кратно увеличение на </w:t>
      </w:r>
      <w:r w:rsidRPr="00705EC2">
        <w:rPr>
          <w:rFonts w:eastAsia="Times New Roman" w:cs="Arial"/>
          <w:color w:val="000000"/>
          <w:lang w:val="en-US"/>
        </w:rPr>
        <w:t>AUC</w:t>
      </w:r>
      <w:r w:rsidRPr="00705EC2">
        <w:rPr>
          <w:rFonts w:eastAsia="Times New Roman" w:cs="Arial"/>
          <w:color w:val="000000"/>
          <w:lang w:val="ru-RU"/>
        </w:rPr>
        <w:t xml:space="preserve"> </w:t>
      </w:r>
      <w:r w:rsidRPr="00705EC2">
        <w:rPr>
          <w:rFonts w:eastAsia="Times New Roman" w:cs="Arial"/>
          <w:color w:val="000000"/>
          <w:lang w:eastAsia="bg-BG"/>
        </w:rPr>
        <w:t xml:space="preserve">стойностите на хидрохлоротиазид. При пациенти с тежко бъбречно увреждане се наблюдава 8-кратно увеличение на </w:t>
      </w:r>
      <w:r w:rsidRPr="00705EC2">
        <w:rPr>
          <w:rFonts w:eastAsia="Times New Roman" w:cs="Arial"/>
          <w:color w:val="000000"/>
          <w:lang w:val="en-US"/>
        </w:rPr>
        <w:t>AUC</w:t>
      </w:r>
      <w:r w:rsidRPr="00705EC2">
        <w:rPr>
          <w:rFonts w:eastAsia="Times New Roman" w:cs="Arial"/>
          <w:color w:val="000000"/>
          <w:lang w:val="ru-RU"/>
        </w:rPr>
        <w:t xml:space="preserve"> </w:t>
      </w:r>
      <w:r w:rsidRPr="00705EC2">
        <w:rPr>
          <w:rFonts w:eastAsia="Times New Roman" w:cs="Arial"/>
          <w:color w:val="000000"/>
          <w:lang w:eastAsia="bg-BG"/>
        </w:rPr>
        <w:t>стойностите. Хидрохлоротиазид е противопоказан при пациенти с тежко бъбречно увреждане (вж. точка 4.3).</w:t>
      </w:r>
    </w:p>
    <w:p w14:paraId="5A938EC8" w14:textId="77777777" w:rsidR="00705EC2" w:rsidRPr="00705EC2" w:rsidRDefault="00705EC2" w:rsidP="00705EC2">
      <w:pPr>
        <w:spacing w:line="240" w:lineRule="auto"/>
        <w:rPr>
          <w:rFonts w:eastAsia="Times New Roman" w:cs="Arial"/>
          <w:i/>
          <w:iCs/>
          <w:color w:val="000000"/>
          <w:lang w:eastAsia="bg-BG"/>
        </w:rPr>
      </w:pPr>
    </w:p>
    <w:p w14:paraId="126E8A67" w14:textId="1500CBB5" w:rsidR="00705EC2" w:rsidRPr="00705EC2" w:rsidRDefault="00705EC2" w:rsidP="00705EC2">
      <w:pPr>
        <w:spacing w:line="240" w:lineRule="auto"/>
        <w:rPr>
          <w:rFonts w:eastAsia="Times New Roman" w:cs="Arial"/>
          <w:sz w:val="24"/>
          <w:szCs w:val="24"/>
        </w:rPr>
      </w:pPr>
      <w:r w:rsidRPr="00705EC2">
        <w:rPr>
          <w:rFonts w:eastAsia="Times New Roman" w:cs="Arial"/>
          <w:i/>
          <w:iCs/>
          <w:color w:val="000000"/>
          <w:lang w:eastAsia="bg-BG"/>
        </w:rPr>
        <w:t>Чернодробно увреждане</w:t>
      </w:r>
    </w:p>
    <w:p w14:paraId="35C05D8C" w14:textId="77777777" w:rsidR="00705EC2" w:rsidRPr="00705EC2" w:rsidRDefault="00705EC2" w:rsidP="00705EC2">
      <w:pPr>
        <w:spacing w:line="240" w:lineRule="auto"/>
        <w:rPr>
          <w:rFonts w:eastAsia="Times New Roman" w:cs="Arial"/>
          <w:sz w:val="24"/>
          <w:szCs w:val="24"/>
        </w:rPr>
      </w:pPr>
      <w:r w:rsidRPr="00705EC2">
        <w:rPr>
          <w:rFonts w:eastAsia="Times New Roman" w:cs="Arial"/>
          <w:color w:val="000000"/>
          <w:lang w:eastAsia="bg-BG"/>
        </w:rPr>
        <w:t>Във фармакокинетично изпитване при пациенти с лека (</w:t>
      </w:r>
      <w:r w:rsidRPr="00705EC2">
        <w:rPr>
          <w:rFonts w:eastAsia="Times New Roman" w:cs="Arial"/>
          <w:color w:val="000000"/>
          <w:lang w:val="en-US"/>
        </w:rPr>
        <w:t>n</w:t>
      </w:r>
      <w:r w:rsidRPr="00705EC2">
        <w:rPr>
          <w:rFonts w:eastAsia="Times New Roman" w:cs="Arial"/>
          <w:color w:val="000000"/>
          <w:lang w:eastAsia="bg-BG"/>
        </w:rPr>
        <w:t>=6) до умерена (</w:t>
      </w:r>
      <w:r w:rsidRPr="00705EC2">
        <w:rPr>
          <w:rFonts w:eastAsia="Times New Roman" w:cs="Arial"/>
          <w:color w:val="000000"/>
          <w:lang w:val="en-US"/>
        </w:rPr>
        <w:t>n</w:t>
      </w:r>
      <w:r w:rsidRPr="00705EC2">
        <w:rPr>
          <w:rFonts w:eastAsia="Times New Roman" w:cs="Arial"/>
          <w:color w:val="000000"/>
          <w:lang w:eastAsia="bg-BG"/>
        </w:rPr>
        <w:t>=5) чернодробна дисфункция експозицията на валсартан се повишава приблизително 2 пъти спрямо здрави доброволци (вж. точки 4.2 и 4.4).</w:t>
      </w:r>
    </w:p>
    <w:p w14:paraId="5705E53A" w14:textId="77777777" w:rsidR="00705EC2" w:rsidRPr="00705EC2" w:rsidRDefault="00705EC2" w:rsidP="00705EC2">
      <w:pPr>
        <w:spacing w:line="240" w:lineRule="auto"/>
        <w:rPr>
          <w:rFonts w:eastAsia="Times New Roman" w:cs="Arial"/>
          <w:color w:val="000000"/>
          <w:lang w:eastAsia="bg-BG"/>
        </w:rPr>
      </w:pPr>
    </w:p>
    <w:p w14:paraId="2FD18C51" w14:textId="69D9790D" w:rsidR="00705EC2" w:rsidRPr="00705EC2" w:rsidRDefault="00705EC2" w:rsidP="00705EC2">
      <w:pPr>
        <w:spacing w:line="240" w:lineRule="auto"/>
        <w:rPr>
          <w:rFonts w:eastAsia="Times New Roman" w:cs="Arial"/>
          <w:sz w:val="24"/>
          <w:szCs w:val="24"/>
        </w:rPr>
      </w:pPr>
      <w:r w:rsidRPr="00705EC2">
        <w:rPr>
          <w:rFonts w:eastAsia="Times New Roman" w:cs="Arial"/>
          <w:color w:val="000000"/>
          <w:lang w:eastAsia="bg-BG"/>
        </w:rPr>
        <w:t>Липсват данни за употребата на валсартан при пациенти с тежка чернодробна дисфункция (вж. точка 4.3). Чернодробните заболявания не повлияват значимо фармакокинетиката на хидрохлоротиазид.</w:t>
      </w:r>
    </w:p>
    <w:p w14:paraId="25E90500" w14:textId="77777777" w:rsidR="00705EC2" w:rsidRPr="00705EC2" w:rsidRDefault="00705EC2" w:rsidP="00705EC2"/>
    <w:p w14:paraId="4FB791BE" w14:textId="65DA4EDB" w:rsidR="00B6672E" w:rsidRDefault="002C50EE" w:rsidP="00936AD0">
      <w:pPr>
        <w:pStyle w:val="Heading2"/>
      </w:pPr>
      <w:r>
        <w:t>5.3. Предклинични данни за безопасност</w:t>
      </w:r>
    </w:p>
    <w:p w14:paraId="031018B4" w14:textId="1B906F82" w:rsidR="00705EC2" w:rsidRDefault="00705EC2" w:rsidP="00705EC2"/>
    <w:p w14:paraId="37B30C24" w14:textId="77777777" w:rsidR="00705EC2" w:rsidRPr="00705EC2" w:rsidRDefault="00705EC2" w:rsidP="00705EC2">
      <w:pPr>
        <w:spacing w:line="240" w:lineRule="auto"/>
        <w:rPr>
          <w:rFonts w:eastAsia="Times New Roman" w:cs="Arial"/>
          <w:color w:val="000000"/>
          <w:lang w:eastAsia="bg-BG"/>
        </w:rPr>
      </w:pPr>
      <w:r w:rsidRPr="00705EC2">
        <w:rPr>
          <w:rFonts w:eastAsia="Times New Roman" w:cs="Arial"/>
          <w:color w:val="000000"/>
          <w:lang w:eastAsia="bg-BG"/>
        </w:rPr>
        <w:t xml:space="preserve">Потенциалната токсичност на комбинацията валсартан + хидрохлоротиазид след перорално приложение е изследвана при плъхове и мармозетки в проучвания, продължаващи до шест месеца. Не са установени данни, които биха могли да изключат приложението на терапевтични дози при </w:t>
      </w:r>
    </w:p>
    <w:p w14:paraId="04561ACE" w14:textId="31B2E975" w:rsidR="00705EC2" w:rsidRPr="00705EC2" w:rsidRDefault="00705EC2" w:rsidP="00705EC2">
      <w:pPr>
        <w:spacing w:line="240" w:lineRule="auto"/>
        <w:rPr>
          <w:rFonts w:eastAsia="Times New Roman" w:cs="Arial"/>
          <w:sz w:val="24"/>
          <w:szCs w:val="24"/>
        </w:rPr>
      </w:pPr>
      <w:r w:rsidRPr="00705EC2">
        <w:rPr>
          <w:rFonts w:eastAsia="Times New Roman" w:cs="Arial"/>
          <w:color w:val="000000"/>
          <w:lang w:eastAsia="bg-BG"/>
        </w:rPr>
        <w:t>хора.</w:t>
      </w:r>
    </w:p>
    <w:p w14:paraId="0213C1F9" w14:textId="77777777" w:rsidR="00705EC2" w:rsidRPr="00705EC2" w:rsidRDefault="00705EC2" w:rsidP="00705EC2">
      <w:pPr>
        <w:spacing w:line="240" w:lineRule="auto"/>
        <w:rPr>
          <w:rFonts w:eastAsia="Times New Roman" w:cs="Arial"/>
          <w:color w:val="000000"/>
          <w:lang w:eastAsia="bg-BG"/>
        </w:rPr>
      </w:pPr>
    </w:p>
    <w:p w14:paraId="764F0176" w14:textId="6AE5845D" w:rsidR="00705EC2" w:rsidRPr="00705EC2" w:rsidRDefault="00705EC2" w:rsidP="00705EC2">
      <w:pPr>
        <w:spacing w:line="240" w:lineRule="auto"/>
        <w:rPr>
          <w:rFonts w:eastAsia="Times New Roman" w:cs="Arial"/>
          <w:sz w:val="24"/>
          <w:szCs w:val="24"/>
        </w:rPr>
      </w:pPr>
      <w:r w:rsidRPr="00705EC2">
        <w:rPr>
          <w:rFonts w:eastAsia="Times New Roman" w:cs="Arial"/>
          <w:color w:val="000000"/>
          <w:lang w:eastAsia="bg-BG"/>
        </w:rPr>
        <w:t xml:space="preserve">Измененията, причинени от комбинацията в проучванията за хронична токсичност, е по- вероятно да са предизвикани от валсартан. Токсикологичният прицелен орган е бъбрекът, като реакцията е по-изразена при мармозетни, отколкото при плъхове. Комбинацията води до бъбречно увреждане (нефропатия с тубулна базофилия, покачване на плазмената урея, плазмения креатинин и серумния калий, увеличаване на обема на урината и електролитите в урината от 30 </w:t>
      </w:r>
      <w:r w:rsidRPr="00705EC2">
        <w:rPr>
          <w:rFonts w:eastAsia="Times New Roman" w:cs="Arial"/>
          <w:color w:val="000000"/>
          <w:lang w:val="en-US"/>
        </w:rPr>
        <w:t>mg</w:t>
      </w:r>
      <w:r w:rsidRPr="00705EC2">
        <w:rPr>
          <w:rFonts w:eastAsia="Times New Roman" w:cs="Arial"/>
          <w:color w:val="000000"/>
          <w:lang w:val="ru-RU"/>
        </w:rPr>
        <w:t>/</w:t>
      </w:r>
      <w:r w:rsidRPr="00705EC2">
        <w:rPr>
          <w:rFonts w:eastAsia="Times New Roman" w:cs="Arial"/>
          <w:color w:val="000000"/>
          <w:lang w:val="en-US"/>
        </w:rPr>
        <w:t>kg</w:t>
      </w:r>
      <w:r w:rsidRPr="00705EC2">
        <w:rPr>
          <w:rFonts w:eastAsia="Times New Roman" w:cs="Arial"/>
          <w:color w:val="000000"/>
          <w:lang w:eastAsia="bg-BG"/>
        </w:rPr>
        <w:t xml:space="preserve">/ден валсартан + 9 </w:t>
      </w:r>
      <w:r w:rsidRPr="00705EC2">
        <w:rPr>
          <w:rFonts w:eastAsia="Times New Roman" w:cs="Arial"/>
          <w:color w:val="000000"/>
          <w:lang w:val="en-US"/>
        </w:rPr>
        <w:t>mg</w:t>
      </w:r>
      <w:r w:rsidRPr="00705EC2">
        <w:rPr>
          <w:rFonts w:eastAsia="Times New Roman" w:cs="Arial"/>
          <w:color w:val="000000"/>
          <w:lang w:val="ru-RU"/>
        </w:rPr>
        <w:t>/</w:t>
      </w:r>
      <w:r w:rsidRPr="00705EC2">
        <w:rPr>
          <w:rFonts w:eastAsia="Times New Roman" w:cs="Arial"/>
          <w:color w:val="000000"/>
          <w:lang w:val="en-US"/>
        </w:rPr>
        <w:t>kg</w:t>
      </w:r>
      <w:r w:rsidRPr="00705EC2">
        <w:rPr>
          <w:rFonts w:eastAsia="Times New Roman" w:cs="Arial"/>
          <w:color w:val="000000"/>
          <w:lang w:eastAsia="bg-BG"/>
        </w:rPr>
        <w:t xml:space="preserve">/ден хидрохлоротиазид при плъхове и 10 + 3 </w:t>
      </w:r>
      <w:r w:rsidRPr="00705EC2">
        <w:rPr>
          <w:rFonts w:eastAsia="Times New Roman" w:cs="Arial"/>
          <w:color w:val="000000"/>
          <w:lang w:val="en-US"/>
        </w:rPr>
        <w:t>mg</w:t>
      </w:r>
      <w:r w:rsidRPr="00705EC2">
        <w:rPr>
          <w:rFonts w:eastAsia="Times New Roman" w:cs="Arial"/>
          <w:color w:val="000000"/>
          <w:lang w:val="ru-RU"/>
        </w:rPr>
        <w:t>/</w:t>
      </w:r>
      <w:r w:rsidRPr="00705EC2">
        <w:rPr>
          <w:rFonts w:eastAsia="Times New Roman" w:cs="Arial"/>
          <w:color w:val="000000"/>
          <w:lang w:val="en-US"/>
        </w:rPr>
        <w:t>kg</w:t>
      </w:r>
      <w:r w:rsidRPr="00705EC2">
        <w:rPr>
          <w:rFonts w:eastAsia="Times New Roman" w:cs="Arial"/>
          <w:color w:val="000000"/>
          <w:lang w:eastAsia="bg-BG"/>
        </w:rPr>
        <w:t xml:space="preserve">/ден при мармозетни), веротно по механизма на нарушена бъбречна хемодинамика. При плъхове тези дози съответстват на 0,9 и 3,5 пъти максималната препоръчвана доза при хора (МПДХ) съответно на валсартан и хидрохлоротиазид, изчислени на база </w:t>
      </w:r>
      <w:r w:rsidRPr="00705EC2">
        <w:rPr>
          <w:rFonts w:eastAsia="Times New Roman" w:cs="Arial"/>
          <w:color w:val="000000"/>
          <w:lang w:val="en-US"/>
        </w:rPr>
        <w:t>mg</w:t>
      </w:r>
      <w:r w:rsidRPr="00705EC2">
        <w:rPr>
          <w:rFonts w:eastAsia="Times New Roman" w:cs="Arial"/>
          <w:color w:val="000000"/>
          <w:lang w:val="ru-RU"/>
        </w:rPr>
        <w:t>/</w:t>
      </w:r>
      <w:r w:rsidRPr="00705EC2">
        <w:rPr>
          <w:rFonts w:eastAsia="Times New Roman" w:cs="Arial"/>
          <w:color w:val="000000"/>
          <w:lang w:val="en-US"/>
        </w:rPr>
        <w:t>m</w:t>
      </w:r>
      <w:r w:rsidRPr="00705EC2">
        <w:rPr>
          <w:rFonts w:eastAsia="Times New Roman" w:cs="Arial"/>
          <w:color w:val="000000"/>
          <w:vertAlign w:val="superscript"/>
          <w:lang w:val="ru-RU"/>
        </w:rPr>
        <w:t>2</w:t>
      </w:r>
      <w:r w:rsidRPr="00705EC2">
        <w:rPr>
          <w:rFonts w:eastAsia="Times New Roman" w:cs="Arial"/>
          <w:color w:val="000000"/>
          <w:lang w:val="ru-RU"/>
        </w:rPr>
        <w:t xml:space="preserve">. </w:t>
      </w:r>
      <w:r w:rsidRPr="00705EC2">
        <w:rPr>
          <w:rFonts w:eastAsia="Times New Roman" w:cs="Arial"/>
          <w:color w:val="000000"/>
          <w:lang w:eastAsia="bg-BG"/>
        </w:rPr>
        <w:t xml:space="preserve">При мармозети тези дози съответстват на 0,3 и 1,2 пъти максималната препоръчвана доза при хора (МПДХ) съответно на валсартан и хидрохлоротиазид, изчислени на база </w:t>
      </w:r>
      <w:r w:rsidRPr="00705EC2">
        <w:rPr>
          <w:rFonts w:eastAsia="Times New Roman" w:cs="Arial"/>
          <w:color w:val="000000"/>
          <w:lang w:val="en-US"/>
        </w:rPr>
        <w:t>mg</w:t>
      </w:r>
      <w:r w:rsidRPr="00705EC2">
        <w:rPr>
          <w:rFonts w:eastAsia="Times New Roman" w:cs="Arial"/>
          <w:color w:val="000000"/>
          <w:lang w:val="ru-RU"/>
        </w:rPr>
        <w:t>/</w:t>
      </w:r>
      <w:r w:rsidRPr="00705EC2">
        <w:rPr>
          <w:rFonts w:eastAsia="Times New Roman" w:cs="Arial"/>
          <w:color w:val="000000"/>
          <w:lang w:val="en-US"/>
        </w:rPr>
        <w:t>m</w:t>
      </w:r>
      <w:r w:rsidRPr="00705EC2">
        <w:rPr>
          <w:rFonts w:eastAsia="Times New Roman" w:cs="Arial"/>
          <w:color w:val="000000"/>
          <w:vertAlign w:val="superscript"/>
          <w:lang w:val="ru-RU"/>
        </w:rPr>
        <w:t>2</w:t>
      </w:r>
      <w:r w:rsidRPr="00705EC2">
        <w:rPr>
          <w:rFonts w:eastAsia="Times New Roman" w:cs="Arial"/>
          <w:color w:val="000000"/>
          <w:lang w:val="ru-RU"/>
        </w:rPr>
        <w:t xml:space="preserve">. </w:t>
      </w:r>
      <w:r w:rsidRPr="00705EC2">
        <w:rPr>
          <w:rFonts w:eastAsia="Times New Roman" w:cs="Arial"/>
          <w:color w:val="000000"/>
          <w:lang w:eastAsia="bg-BG"/>
        </w:rPr>
        <w:t xml:space="preserve">(Изчисленията се отнасят за перорална доза от 320 </w:t>
      </w:r>
      <w:r w:rsidRPr="00705EC2">
        <w:rPr>
          <w:rFonts w:eastAsia="Times New Roman" w:cs="Arial"/>
          <w:color w:val="000000"/>
          <w:lang w:val="en-US"/>
        </w:rPr>
        <w:t>mg</w:t>
      </w:r>
      <w:r w:rsidRPr="00705EC2">
        <w:rPr>
          <w:rFonts w:eastAsia="Times New Roman" w:cs="Arial"/>
          <w:color w:val="000000"/>
          <w:lang w:eastAsia="bg-BG"/>
        </w:rPr>
        <w:t xml:space="preserve">/ден валсартан в комбинация с 25 </w:t>
      </w:r>
      <w:r w:rsidRPr="00705EC2">
        <w:rPr>
          <w:rFonts w:eastAsia="Times New Roman" w:cs="Arial"/>
          <w:color w:val="000000"/>
          <w:lang w:val="en-US"/>
        </w:rPr>
        <w:t>mg</w:t>
      </w:r>
      <w:r w:rsidRPr="00705EC2">
        <w:rPr>
          <w:rFonts w:eastAsia="Times New Roman" w:cs="Arial"/>
          <w:color w:val="000000"/>
          <w:lang w:eastAsia="bg-BG"/>
        </w:rPr>
        <w:t xml:space="preserve">/ден хидрохлоротиазид и пациент с тегло 60 </w:t>
      </w:r>
      <w:r w:rsidRPr="00705EC2">
        <w:rPr>
          <w:rFonts w:eastAsia="Times New Roman" w:cs="Arial"/>
          <w:color w:val="000000"/>
          <w:lang w:val="en-US"/>
        </w:rPr>
        <w:t>kg</w:t>
      </w:r>
      <w:r w:rsidRPr="00705EC2">
        <w:rPr>
          <w:rFonts w:eastAsia="Times New Roman" w:cs="Arial"/>
          <w:color w:val="000000"/>
          <w:lang w:val="ru-RU"/>
        </w:rPr>
        <w:t>.)</w:t>
      </w:r>
    </w:p>
    <w:p w14:paraId="20AA6D08" w14:textId="77777777" w:rsidR="00705EC2" w:rsidRPr="00705EC2" w:rsidRDefault="00705EC2" w:rsidP="00705EC2">
      <w:pPr>
        <w:spacing w:line="240" w:lineRule="auto"/>
        <w:rPr>
          <w:rFonts w:eastAsia="Times New Roman" w:cs="Arial"/>
          <w:color w:val="000000"/>
          <w:lang w:eastAsia="bg-BG"/>
        </w:rPr>
      </w:pPr>
    </w:p>
    <w:p w14:paraId="4FF807A6" w14:textId="4B052D5F" w:rsidR="00705EC2" w:rsidRPr="00705EC2" w:rsidRDefault="00705EC2" w:rsidP="00705EC2">
      <w:pPr>
        <w:spacing w:line="240" w:lineRule="auto"/>
        <w:rPr>
          <w:rFonts w:eastAsia="Times New Roman" w:cs="Arial"/>
          <w:sz w:val="24"/>
          <w:szCs w:val="24"/>
        </w:rPr>
      </w:pPr>
      <w:r w:rsidRPr="00705EC2">
        <w:rPr>
          <w:rFonts w:eastAsia="Times New Roman" w:cs="Arial"/>
          <w:color w:val="000000"/>
          <w:lang w:eastAsia="bg-BG"/>
        </w:rPr>
        <w:t xml:space="preserve">Високи дози на комбинацията валсартан - хидрохлоротиазид предизвикват намаляване на еритроцитните показатели (брой на еритроцитите, хемоглобин, хематокрит от 100 + 31 </w:t>
      </w:r>
      <w:r w:rsidRPr="00705EC2">
        <w:rPr>
          <w:rFonts w:eastAsia="Times New Roman" w:cs="Arial"/>
          <w:color w:val="000000"/>
          <w:lang w:val="en-US"/>
        </w:rPr>
        <w:t>mg</w:t>
      </w:r>
      <w:r w:rsidRPr="00705EC2">
        <w:rPr>
          <w:rFonts w:eastAsia="Times New Roman" w:cs="Arial"/>
          <w:color w:val="000000"/>
          <w:lang w:val="ru-RU"/>
        </w:rPr>
        <w:t>/</w:t>
      </w:r>
      <w:r w:rsidRPr="00705EC2">
        <w:rPr>
          <w:rFonts w:eastAsia="Times New Roman" w:cs="Arial"/>
          <w:color w:val="000000"/>
          <w:lang w:val="en-US"/>
        </w:rPr>
        <w:t>kg</w:t>
      </w:r>
      <w:r w:rsidRPr="00705EC2">
        <w:rPr>
          <w:rFonts w:eastAsia="Times New Roman" w:cs="Arial"/>
          <w:color w:val="000000"/>
          <w:lang w:eastAsia="bg-BG"/>
        </w:rPr>
        <w:t xml:space="preserve">/ден при плъхове и 30 + 9 </w:t>
      </w:r>
      <w:r w:rsidRPr="00705EC2">
        <w:rPr>
          <w:rFonts w:eastAsia="Times New Roman" w:cs="Arial"/>
          <w:color w:val="000000"/>
          <w:lang w:val="en-US"/>
        </w:rPr>
        <w:t>mg</w:t>
      </w:r>
      <w:r w:rsidRPr="00705EC2">
        <w:rPr>
          <w:rFonts w:eastAsia="Times New Roman" w:cs="Arial"/>
          <w:color w:val="000000"/>
          <w:lang w:val="ru-RU"/>
        </w:rPr>
        <w:t>/</w:t>
      </w:r>
      <w:r w:rsidRPr="00705EC2">
        <w:rPr>
          <w:rFonts w:eastAsia="Times New Roman" w:cs="Arial"/>
          <w:color w:val="000000"/>
          <w:lang w:val="en-US"/>
        </w:rPr>
        <w:t>kg</w:t>
      </w:r>
      <w:r w:rsidRPr="00705EC2">
        <w:rPr>
          <w:rFonts w:eastAsia="Times New Roman" w:cs="Arial"/>
          <w:color w:val="000000"/>
          <w:lang w:eastAsia="bg-BG"/>
        </w:rPr>
        <w:t xml:space="preserve">/ден при мармозети). При плъхове тези дози </w:t>
      </w:r>
      <w:r w:rsidRPr="00705EC2">
        <w:rPr>
          <w:rFonts w:eastAsia="Times New Roman" w:cs="Arial"/>
          <w:color w:val="000000"/>
          <w:lang w:eastAsia="bg-BG"/>
        </w:rPr>
        <w:lastRenderedPageBreak/>
        <w:t xml:space="preserve">съответстват на 3,0 и 12 пъти максималната препоръчвана доза при хора (МПДХ) съответно на валсартан и хидрохлоротиазид, изчислени на база </w:t>
      </w:r>
      <w:r w:rsidRPr="00705EC2">
        <w:rPr>
          <w:rFonts w:eastAsia="Times New Roman" w:cs="Arial"/>
          <w:color w:val="000000"/>
          <w:lang w:val="en-US"/>
        </w:rPr>
        <w:t>mg</w:t>
      </w:r>
      <w:r w:rsidRPr="00705EC2">
        <w:rPr>
          <w:rFonts w:eastAsia="Times New Roman" w:cs="Arial"/>
          <w:color w:val="000000"/>
          <w:lang w:val="ru-RU"/>
        </w:rPr>
        <w:t>/</w:t>
      </w:r>
      <w:r w:rsidRPr="00705EC2">
        <w:rPr>
          <w:rFonts w:eastAsia="Times New Roman" w:cs="Arial"/>
          <w:color w:val="000000"/>
          <w:lang w:val="en-US"/>
        </w:rPr>
        <w:t>m</w:t>
      </w:r>
      <w:r w:rsidRPr="00705EC2">
        <w:rPr>
          <w:rFonts w:eastAsia="Times New Roman" w:cs="Arial"/>
          <w:color w:val="000000"/>
          <w:vertAlign w:val="superscript"/>
          <w:lang w:val="ru-RU"/>
        </w:rPr>
        <w:t>2</w:t>
      </w:r>
      <w:r w:rsidRPr="00705EC2">
        <w:rPr>
          <w:rFonts w:eastAsia="Times New Roman" w:cs="Arial"/>
          <w:color w:val="000000"/>
          <w:lang w:val="ru-RU"/>
        </w:rPr>
        <w:t xml:space="preserve">. </w:t>
      </w:r>
      <w:r w:rsidRPr="00705EC2">
        <w:rPr>
          <w:rFonts w:eastAsia="Times New Roman" w:cs="Arial"/>
          <w:color w:val="000000"/>
          <w:lang w:eastAsia="bg-BG"/>
        </w:rPr>
        <w:t xml:space="preserve">При мармозетки тези дози съответстват на 0,9 и 3,5 пъти максималната препоръчвана доза при хора (МПДХ) съответно на валсартан и хидрохлоротиазид, изчислени на база </w:t>
      </w:r>
      <w:r w:rsidRPr="00705EC2">
        <w:rPr>
          <w:rFonts w:eastAsia="Times New Roman" w:cs="Arial"/>
          <w:color w:val="000000"/>
          <w:lang w:val="en-US"/>
        </w:rPr>
        <w:t>mg</w:t>
      </w:r>
      <w:r w:rsidRPr="00705EC2">
        <w:rPr>
          <w:rFonts w:eastAsia="Times New Roman" w:cs="Arial"/>
          <w:color w:val="000000"/>
          <w:lang w:val="ru-RU"/>
        </w:rPr>
        <w:t>/</w:t>
      </w:r>
      <w:r w:rsidRPr="00705EC2">
        <w:rPr>
          <w:rFonts w:eastAsia="Times New Roman" w:cs="Arial"/>
          <w:color w:val="000000"/>
          <w:lang w:val="en-US"/>
        </w:rPr>
        <w:t>m</w:t>
      </w:r>
      <w:r w:rsidRPr="00705EC2">
        <w:rPr>
          <w:rFonts w:eastAsia="Times New Roman" w:cs="Arial"/>
          <w:color w:val="000000"/>
          <w:vertAlign w:val="superscript"/>
          <w:lang w:val="ru-RU"/>
        </w:rPr>
        <w:t>2</w:t>
      </w:r>
      <w:r w:rsidRPr="00705EC2">
        <w:rPr>
          <w:rFonts w:eastAsia="Times New Roman" w:cs="Arial"/>
          <w:color w:val="000000"/>
          <w:lang w:val="ru-RU"/>
        </w:rPr>
        <w:t xml:space="preserve">. </w:t>
      </w:r>
      <w:r w:rsidRPr="00705EC2">
        <w:rPr>
          <w:rFonts w:eastAsia="Times New Roman" w:cs="Arial"/>
          <w:color w:val="000000"/>
          <w:lang w:eastAsia="bg-BG"/>
        </w:rPr>
        <w:t xml:space="preserve">(Изчисленията се отнасят за перорална доза от 320 </w:t>
      </w:r>
      <w:r w:rsidRPr="00705EC2">
        <w:rPr>
          <w:rFonts w:eastAsia="Times New Roman" w:cs="Arial"/>
          <w:color w:val="000000"/>
          <w:lang w:val="en-US"/>
        </w:rPr>
        <w:t>mg</w:t>
      </w:r>
      <w:r w:rsidRPr="00705EC2">
        <w:rPr>
          <w:rFonts w:eastAsia="Times New Roman" w:cs="Arial"/>
          <w:color w:val="000000"/>
          <w:lang w:eastAsia="bg-BG"/>
        </w:rPr>
        <w:t xml:space="preserve">/ден валсартан в комбинация с 25 </w:t>
      </w:r>
      <w:r w:rsidRPr="00705EC2">
        <w:rPr>
          <w:rFonts w:eastAsia="Times New Roman" w:cs="Arial"/>
          <w:color w:val="000000"/>
          <w:lang w:val="en-US"/>
        </w:rPr>
        <w:t>mg</w:t>
      </w:r>
      <w:r w:rsidRPr="00705EC2">
        <w:rPr>
          <w:rFonts w:eastAsia="Times New Roman" w:cs="Arial"/>
          <w:color w:val="000000"/>
          <w:lang w:eastAsia="bg-BG"/>
        </w:rPr>
        <w:t xml:space="preserve">/ден хидрохлоротиазид и и пациент с тегло 60 </w:t>
      </w:r>
      <w:r w:rsidRPr="00705EC2">
        <w:rPr>
          <w:rFonts w:eastAsia="Times New Roman" w:cs="Arial"/>
          <w:color w:val="000000"/>
          <w:lang w:val="en-US"/>
        </w:rPr>
        <w:t>kg</w:t>
      </w:r>
      <w:r w:rsidRPr="00705EC2">
        <w:rPr>
          <w:rFonts w:eastAsia="Times New Roman" w:cs="Arial"/>
          <w:color w:val="000000"/>
          <w:lang w:val="ru-RU"/>
        </w:rPr>
        <w:t>).</w:t>
      </w:r>
    </w:p>
    <w:p w14:paraId="4EED1239" w14:textId="77777777" w:rsidR="00705EC2" w:rsidRPr="00705EC2" w:rsidRDefault="00705EC2" w:rsidP="00705EC2">
      <w:pPr>
        <w:rPr>
          <w:rFonts w:eastAsia="Times New Roman" w:cs="Arial"/>
          <w:color w:val="000000"/>
          <w:lang w:eastAsia="bg-BG"/>
        </w:rPr>
      </w:pPr>
    </w:p>
    <w:p w14:paraId="45C4244B" w14:textId="77777777" w:rsidR="00705EC2" w:rsidRPr="00705EC2" w:rsidRDefault="00705EC2" w:rsidP="00705EC2">
      <w:pPr>
        <w:rPr>
          <w:rFonts w:eastAsia="Times New Roman" w:cs="Arial"/>
          <w:sz w:val="24"/>
          <w:szCs w:val="24"/>
        </w:rPr>
      </w:pPr>
      <w:r w:rsidRPr="00705EC2">
        <w:rPr>
          <w:rFonts w:eastAsia="Times New Roman" w:cs="Arial"/>
          <w:color w:val="000000"/>
          <w:lang w:eastAsia="bg-BG"/>
        </w:rPr>
        <w:t xml:space="preserve">При мармозетки се наблюдава увреждане на стомашната лигавица (от 30 + 9 </w:t>
      </w:r>
      <w:r w:rsidRPr="00705EC2">
        <w:rPr>
          <w:rFonts w:eastAsia="Times New Roman" w:cs="Arial"/>
          <w:color w:val="000000"/>
          <w:lang w:val="en-US"/>
        </w:rPr>
        <w:t>mg</w:t>
      </w:r>
      <w:r w:rsidRPr="00705EC2">
        <w:rPr>
          <w:rFonts w:eastAsia="Times New Roman" w:cs="Arial"/>
          <w:color w:val="000000"/>
          <w:lang w:val="ru-RU"/>
        </w:rPr>
        <w:t>/</w:t>
      </w:r>
      <w:r w:rsidRPr="00705EC2">
        <w:rPr>
          <w:rFonts w:eastAsia="Times New Roman" w:cs="Arial"/>
          <w:color w:val="000000"/>
          <w:lang w:val="en-US"/>
        </w:rPr>
        <w:t>kg</w:t>
      </w:r>
      <w:r w:rsidRPr="00705EC2">
        <w:rPr>
          <w:rFonts w:eastAsia="Times New Roman" w:cs="Arial"/>
          <w:color w:val="000000"/>
          <w:lang w:eastAsia="bg-BG"/>
        </w:rPr>
        <w:t xml:space="preserve">/ден). Комбинацията също така води до хиперплазия на аферентните артериоли в бъбреците (при 600 + 188 </w:t>
      </w:r>
      <w:r w:rsidRPr="00705EC2">
        <w:rPr>
          <w:rFonts w:eastAsia="Times New Roman" w:cs="Arial"/>
          <w:color w:val="000000"/>
          <w:lang w:val="en-US"/>
        </w:rPr>
        <w:t>mg</w:t>
      </w:r>
      <w:r w:rsidRPr="00705EC2">
        <w:rPr>
          <w:rFonts w:eastAsia="Times New Roman" w:cs="Arial"/>
          <w:color w:val="000000"/>
          <w:lang w:val="ru-RU"/>
        </w:rPr>
        <w:t>/</w:t>
      </w:r>
      <w:r w:rsidRPr="00705EC2">
        <w:rPr>
          <w:rFonts w:eastAsia="Times New Roman" w:cs="Arial"/>
          <w:color w:val="000000"/>
          <w:lang w:val="en-US"/>
        </w:rPr>
        <w:t>kg</w:t>
      </w:r>
      <w:r w:rsidRPr="00705EC2">
        <w:rPr>
          <w:rFonts w:eastAsia="Times New Roman" w:cs="Arial"/>
          <w:color w:val="000000"/>
          <w:lang w:eastAsia="bg-BG"/>
        </w:rPr>
        <w:t xml:space="preserve">/ден при плъхове и 30 + 9 </w:t>
      </w:r>
      <w:r w:rsidRPr="00705EC2">
        <w:rPr>
          <w:rFonts w:eastAsia="Times New Roman" w:cs="Arial"/>
          <w:color w:val="000000"/>
          <w:lang w:val="en-US"/>
        </w:rPr>
        <w:t>mg</w:t>
      </w:r>
      <w:r w:rsidRPr="00705EC2">
        <w:rPr>
          <w:rFonts w:eastAsia="Times New Roman" w:cs="Arial"/>
          <w:color w:val="000000"/>
          <w:lang w:val="ru-RU"/>
        </w:rPr>
        <w:t>/</w:t>
      </w:r>
      <w:r w:rsidRPr="00705EC2">
        <w:rPr>
          <w:rFonts w:eastAsia="Times New Roman" w:cs="Arial"/>
          <w:color w:val="000000"/>
          <w:lang w:val="en-US"/>
        </w:rPr>
        <w:t>kg</w:t>
      </w:r>
      <w:r w:rsidRPr="00705EC2">
        <w:rPr>
          <w:rFonts w:eastAsia="Times New Roman" w:cs="Arial"/>
          <w:color w:val="000000"/>
          <w:lang w:eastAsia="bg-BG"/>
        </w:rPr>
        <w:t>/ден при мармозетки). При мармозетки дозите</w:t>
      </w:r>
      <w:r w:rsidRPr="00705EC2">
        <w:rPr>
          <w:rFonts w:eastAsia="Times New Roman" w:cs="Arial"/>
          <w:color w:val="000000"/>
          <w:vertAlign w:val="superscript"/>
          <w:lang w:eastAsia="bg-BG"/>
        </w:rPr>
        <w:t xml:space="preserve"> </w:t>
      </w:r>
      <w:r w:rsidRPr="00705EC2">
        <w:rPr>
          <w:rFonts w:eastAsia="Times New Roman" w:cs="Arial"/>
          <w:color w:val="000000"/>
          <w:lang w:eastAsia="bg-BG"/>
        </w:rPr>
        <w:t xml:space="preserve">съответстват на 0,9 и 3,5 пъти максималната препоръчителна доза при хора (МПДХ) съответно на валсартан и хидрохлоротиазид, изчислени на база </w:t>
      </w:r>
      <w:r w:rsidRPr="00705EC2">
        <w:rPr>
          <w:rFonts w:eastAsia="Times New Roman" w:cs="Arial"/>
          <w:color w:val="000000"/>
          <w:lang w:val="en-US"/>
        </w:rPr>
        <w:t>mg</w:t>
      </w:r>
      <w:r w:rsidRPr="00705EC2">
        <w:rPr>
          <w:rFonts w:eastAsia="Times New Roman" w:cs="Arial"/>
          <w:color w:val="000000"/>
          <w:lang w:val="ru-RU"/>
        </w:rPr>
        <w:t>/</w:t>
      </w:r>
      <w:r w:rsidRPr="00705EC2">
        <w:rPr>
          <w:rFonts w:eastAsia="Times New Roman" w:cs="Arial"/>
          <w:color w:val="000000"/>
          <w:lang w:val="en-US"/>
        </w:rPr>
        <w:t>m</w:t>
      </w:r>
      <w:r w:rsidRPr="00705EC2">
        <w:rPr>
          <w:rFonts w:eastAsia="Times New Roman" w:cs="Arial"/>
          <w:color w:val="000000"/>
          <w:vertAlign w:val="superscript"/>
          <w:lang w:val="ru-RU"/>
        </w:rPr>
        <w:t>2</w:t>
      </w:r>
      <w:r w:rsidRPr="00705EC2">
        <w:rPr>
          <w:rFonts w:eastAsia="Times New Roman" w:cs="Arial"/>
          <w:color w:val="000000"/>
          <w:lang w:val="ru-RU"/>
        </w:rPr>
        <w:t xml:space="preserve">. </w:t>
      </w:r>
      <w:r w:rsidRPr="00705EC2">
        <w:rPr>
          <w:rFonts w:eastAsia="Times New Roman" w:cs="Arial"/>
          <w:color w:val="000000"/>
          <w:lang w:eastAsia="bg-BG"/>
        </w:rPr>
        <w:t xml:space="preserve">При плъхове тези дози съответстват на 18 и 73 пъти максималната препоръчителна доза при хора (МПДХ) съответно на валсартан и хидрохлоротиазид, изчислени на база </w:t>
      </w:r>
      <w:r w:rsidRPr="00705EC2">
        <w:rPr>
          <w:rFonts w:eastAsia="Times New Roman" w:cs="Arial"/>
          <w:color w:val="000000"/>
          <w:lang w:val="en-US"/>
        </w:rPr>
        <w:t>mg</w:t>
      </w:r>
      <w:r w:rsidRPr="00705EC2">
        <w:rPr>
          <w:rFonts w:eastAsia="Times New Roman" w:cs="Arial"/>
          <w:color w:val="000000"/>
          <w:lang w:val="ru-RU"/>
        </w:rPr>
        <w:t>/</w:t>
      </w:r>
      <w:r w:rsidRPr="00705EC2">
        <w:rPr>
          <w:rFonts w:eastAsia="Times New Roman" w:cs="Arial"/>
          <w:color w:val="000000"/>
          <w:lang w:val="en-US"/>
        </w:rPr>
        <w:t>m</w:t>
      </w:r>
      <w:r w:rsidRPr="00705EC2">
        <w:rPr>
          <w:rFonts w:eastAsia="Times New Roman" w:cs="Arial"/>
          <w:color w:val="000000"/>
          <w:vertAlign w:val="superscript"/>
          <w:lang w:val="ru-RU"/>
        </w:rPr>
        <w:t>2</w:t>
      </w:r>
      <w:r w:rsidRPr="00705EC2">
        <w:rPr>
          <w:rFonts w:eastAsia="Times New Roman" w:cs="Arial"/>
          <w:color w:val="000000"/>
          <w:lang w:val="ru-RU"/>
        </w:rPr>
        <w:t xml:space="preserve">. </w:t>
      </w:r>
      <w:r w:rsidRPr="00705EC2">
        <w:rPr>
          <w:rFonts w:eastAsia="Times New Roman" w:cs="Arial"/>
          <w:color w:val="000000"/>
          <w:lang w:eastAsia="bg-BG"/>
        </w:rPr>
        <w:t>(Изчисленията се отнасят за</w:t>
      </w:r>
      <w:r w:rsidRPr="00705EC2">
        <w:rPr>
          <w:rFonts w:eastAsia="Times New Roman" w:cs="Arial"/>
          <w:color w:val="000000"/>
          <w:lang w:val="ru-RU" w:eastAsia="bg-BG"/>
        </w:rPr>
        <w:t xml:space="preserve"> </w:t>
      </w:r>
      <w:r w:rsidRPr="00705EC2">
        <w:rPr>
          <w:rFonts w:eastAsia="Times New Roman" w:cs="Arial"/>
          <w:color w:val="000000"/>
          <w:lang w:eastAsia="bg-BG"/>
        </w:rPr>
        <w:t xml:space="preserve">перорална доза от 320 </w:t>
      </w:r>
      <w:r w:rsidRPr="00705EC2">
        <w:rPr>
          <w:rFonts w:eastAsia="Times New Roman" w:cs="Arial"/>
          <w:color w:val="000000"/>
          <w:lang w:val="en-US"/>
        </w:rPr>
        <w:t>mg</w:t>
      </w:r>
      <w:r w:rsidRPr="00705EC2">
        <w:rPr>
          <w:rFonts w:eastAsia="Times New Roman" w:cs="Arial"/>
          <w:color w:val="000000"/>
          <w:lang w:eastAsia="bg-BG"/>
        </w:rPr>
        <w:t xml:space="preserve">/ден валсартан в комбинация с 25 </w:t>
      </w:r>
      <w:r w:rsidRPr="00705EC2">
        <w:rPr>
          <w:rFonts w:eastAsia="Times New Roman" w:cs="Arial"/>
          <w:color w:val="000000"/>
          <w:lang w:val="en-US"/>
        </w:rPr>
        <w:t>mg</w:t>
      </w:r>
      <w:r w:rsidRPr="00705EC2">
        <w:rPr>
          <w:rFonts w:eastAsia="Times New Roman" w:cs="Arial"/>
          <w:color w:val="000000"/>
          <w:lang w:eastAsia="bg-BG"/>
        </w:rPr>
        <w:t xml:space="preserve">/ден хидрохлоротиазид и пациент с тегло 60 </w:t>
      </w:r>
      <w:r w:rsidRPr="00705EC2">
        <w:rPr>
          <w:rFonts w:eastAsia="Times New Roman" w:cs="Arial"/>
          <w:color w:val="000000"/>
          <w:lang w:val="en-US"/>
        </w:rPr>
        <w:t>kg</w:t>
      </w:r>
      <w:r w:rsidRPr="00705EC2">
        <w:rPr>
          <w:rFonts w:eastAsia="Times New Roman" w:cs="Arial"/>
          <w:color w:val="000000"/>
          <w:lang w:val="ru-RU"/>
        </w:rPr>
        <w:t>).</w:t>
      </w:r>
    </w:p>
    <w:p w14:paraId="08D46324" w14:textId="77777777" w:rsidR="00705EC2" w:rsidRPr="00705EC2" w:rsidRDefault="00705EC2" w:rsidP="00705EC2">
      <w:pPr>
        <w:spacing w:line="240" w:lineRule="auto"/>
        <w:rPr>
          <w:rFonts w:eastAsia="Times New Roman" w:cs="Arial"/>
          <w:color w:val="000000"/>
          <w:lang w:eastAsia="bg-BG"/>
        </w:rPr>
      </w:pPr>
    </w:p>
    <w:p w14:paraId="38AA916E" w14:textId="77777777" w:rsidR="00705EC2" w:rsidRPr="00705EC2" w:rsidRDefault="00705EC2" w:rsidP="00705EC2">
      <w:pPr>
        <w:spacing w:line="240" w:lineRule="auto"/>
        <w:rPr>
          <w:rFonts w:eastAsia="Times New Roman" w:cs="Arial"/>
          <w:color w:val="000000"/>
          <w:lang w:eastAsia="bg-BG"/>
        </w:rPr>
      </w:pPr>
      <w:r w:rsidRPr="00705EC2">
        <w:rPr>
          <w:rFonts w:eastAsia="Times New Roman" w:cs="Arial"/>
          <w:color w:val="000000"/>
          <w:lang w:eastAsia="bg-BG"/>
        </w:rPr>
        <w:t xml:space="preserve">Споменатите по-горе ефекти вероятно се дължат на високите дози валсартан (блокиране на ангиотензин </w:t>
      </w:r>
      <w:r w:rsidRPr="00705EC2">
        <w:rPr>
          <w:rFonts w:eastAsia="Times New Roman" w:cs="Arial"/>
          <w:color w:val="000000"/>
          <w:lang w:val="en-US"/>
        </w:rPr>
        <w:t>II</w:t>
      </w:r>
      <w:r w:rsidRPr="00705EC2">
        <w:rPr>
          <w:rFonts w:eastAsia="Times New Roman" w:cs="Arial"/>
          <w:color w:val="000000"/>
          <w:lang w:eastAsia="bg-BG"/>
        </w:rPr>
        <w:t xml:space="preserve">-индуцираната инхибиция на отделянето на ренин и стимулация на ренин-продуциращи клетки) и се срещат и при АСЕ инхибиторите. Тези данни вероятно нямат </w:t>
      </w:r>
    </w:p>
    <w:p w14:paraId="10B13C79" w14:textId="56EC0C8E" w:rsidR="00705EC2" w:rsidRPr="00705EC2" w:rsidRDefault="00705EC2" w:rsidP="00705EC2">
      <w:pPr>
        <w:spacing w:line="240" w:lineRule="auto"/>
        <w:rPr>
          <w:rFonts w:eastAsia="Times New Roman" w:cs="Arial"/>
          <w:sz w:val="24"/>
          <w:szCs w:val="24"/>
        </w:rPr>
      </w:pPr>
      <w:r w:rsidRPr="00705EC2">
        <w:rPr>
          <w:rFonts w:eastAsia="Times New Roman" w:cs="Arial"/>
          <w:color w:val="000000"/>
          <w:lang w:eastAsia="bg-BG"/>
        </w:rPr>
        <w:t>практическо значение по отношение на терапевтичното приложение на валсартан при хора.</w:t>
      </w:r>
    </w:p>
    <w:p w14:paraId="6B0DF143" w14:textId="77777777" w:rsidR="00705EC2" w:rsidRPr="00705EC2" w:rsidRDefault="00705EC2" w:rsidP="00705EC2">
      <w:pPr>
        <w:spacing w:line="240" w:lineRule="auto"/>
        <w:rPr>
          <w:rFonts w:eastAsia="Times New Roman" w:cs="Arial"/>
          <w:color w:val="000000"/>
          <w:lang w:eastAsia="bg-BG"/>
        </w:rPr>
      </w:pPr>
    </w:p>
    <w:p w14:paraId="7A699EA8" w14:textId="029A0DBE" w:rsidR="00705EC2" w:rsidRPr="00705EC2" w:rsidRDefault="00705EC2" w:rsidP="00705EC2">
      <w:pPr>
        <w:spacing w:line="240" w:lineRule="auto"/>
        <w:rPr>
          <w:rFonts w:eastAsia="Times New Roman" w:cs="Arial"/>
          <w:sz w:val="24"/>
          <w:szCs w:val="24"/>
        </w:rPr>
      </w:pPr>
      <w:r w:rsidRPr="00705EC2">
        <w:rPr>
          <w:rFonts w:eastAsia="Times New Roman" w:cs="Arial"/>
          <w:color w:val="000000"/>
          <w:lang w:eastAsia="bg-BG"/>
        </w:rPr>
        <w:t>Комбинацията валсартан - хидрохлоротиазид не е проучвана за мутагенност, хромозомни аномалии или карциногенност, тъй като липсват доказателства за взаимодействие между двете субстанции. Независимо че тестовете са провеждани поотделно за валсартан и хидрохлоротиазид, не са установени доказателства за мутагенност, хромозомни аномалии или карциногенност.</w:t>
      </w:r>
    </w:p>
    <w:p w14:paraId="01DC4637" w14:textId="77777777" w:rsidR="00705EC2" w:rsidRPr="00705EC2" w:rsidRDefault="00705EC2" w:rsidP="00705EC2">
      <w:pPr>
        <w:spacing w:line="240" w:lineRule="auto"/>
        <w:rPr>
          <w:rFonts w:eastAsia="Times New Roman" w:cs="Arial"/>
          <w:color w:val="000000"/>
          <w:lang w:eastAsia="bg-BG"/>
        </w:rPr>
      </w:pPr>
    </w:p>
    <w:p w14:paraId="40F895C8" w14:textId="10ED7CE0" w:rsidR="00705EC2" w:rsidRPr="00705EC2" w:rsidRDefault="00705EC2" w:rsidP="00705EC2">
      <w:pPr>
        <w:spacing w:line="240" w:lineRule="auto"/>
        <w:rPr>
          <w:rFonts w:eastAsia="Times New Roman" w:cs="Arial"/>
          <w:sz w:val="24"/>
          <w:szCs w:val="24"/>
        </w:rPr>
      </w:pPr>
      <w:r w:rsidRPr="00705EC2">
        <w:rPr>
          <w:rFonts w:eastAsia="Times New Roman" w:cs="Arial"/>
          <w:color w:val="000000"/>
          <w:lang w:eastAsia="bg-BG"/>
        </w:rPr>
        <w:t xml:space="preserve">При </w:t>
      </w:r>
      <w:r w:rsidRPr="00705EC2">
        <w:rPr>
          <w:rFonts w:eastAsia="Times New Roman" w:cs="Arial"/>
          <w:i/>
          <w:iCs/>
          <w:color w:val="000000"/>
          <w:lang w:eastAsia="bg-BG"/>
        </w:rPr>
        <w:t>плъхове токсични дози за майката</w:t>
      </w:r>
      <w:r w:rsidRPr="00705EC2">
        <w:rPr>
          <w:rFonts w:eastAsia="Times New Roman" w:cs="Arial"/>
          <w:color w:val="000000"/>
          <w:lang w:eastAsia="bg-BG"/>
        </w:rPr>
        <w:t xml:space="preserve"> (600 </w:t>
      </w:r>
      <w:r w:rsidRPr="00705EC2">
        <w:rPr>
          <w:rFonts w:eastAsia="Times New Roman" w:cs="Arial"/>
          <w:color w:val="000000"/>
          <w:lang w:val="en-US"/>
        </w:rPr>
        <w:t>mg</w:t>
      </w:r>
      <w:r w:rsidRPr="00705EC2">
        <w:rPr>
          <w:rFonts w:eastAsia="Times New Roman" w:cs="Arial"/>
          <w:color w:val="000000"/>
          <w:lang w:val="ru-RU"/>
        </w:rPr>
        <w:t>/</w:t>
      </w:r>
      <w:r w:rsidRPr="00705EC2">
        <w:rPr>
          <w:rFonts w:eastAsia="Times New Roman" w:cs="Arial"/>
          <w:color w:val="000000"/>
          <w:lang w:val="en-US"/>
        </w:rPr>
        <w:t>kg</w:t>
      </w:r>
      <w:r w:rsidRPr="00705EC2">
        <w:rPr>
          <w:rFonts w:eastAsia="Times New Roman" w:cs="Arial"/>
          <w:color w:val="000000"/>
          <w:lang w:eastAsia="bg-BG"/>
        </w:rPr>
        <w:t xml:space="preserve">/ден) по време на последните дни от бременността и периода на лактация са довели до по-ниска степен на преживяемост, по-слабо наддаване на тегло и забавено развитие (отделяне на ушната мида и отваряне на слуховия канал) на поколението (вж. точка 4.6). Тези дози при плъхове (600 </w:t>
      </w:r>
      <w:r w:rsidRPr="00705EC2">
        <w:rPr>
          <w:rFonts w:eastAsia="Times New Roman" w:cs="Arial"/>
          <w:color w:val="000000"/>
          <w:lang w:val="en-US"/>
        </w:rPr>
        <w:t>mg</w:t>
      </w:r>
      <w:r w:rsidRPr="00705EC2">
        <w:rPr>
          <w:rFonts w:eastAsia="Times New Roman" w:cs="Arial"/>
          <w:color w:val="000000"/>
          <w:lang w:val="ru-RU"/>
        </w:rPr>
        <w:t>/</w:t>
      </w:r>
      <w:r w:rsidRPr="00705EC2">
        <w:rPr>
          <w:rFonts w:eastAsia="Times New Roman" w:cs="Arial"/>
          <w:color w:val="000000"/>
          <w:lang w:val="en-US"/>
        </w:rPr>
        <w:t>kg</w:t>
      </w:r>
      <w:r w:rsidRPr="00705EC2">
        <w:rPr>
          <w:rFonts w:eastAsia="Times New Roman" w:cs="Arial"/>
          <w:color w:val="000000"/>
          <w:lang w:eastAsia="bg-BG"/>
        </w:rPr>
        <w:t xml:space="preserve">/ден) представляват приблизително 18 пъти максималната препоръчвана доза при хора на базата на </w:t>
      </w:r>
      <w:r w:rsidRPr="00705EC2">
        <w:rPr>
          <w:rFonts w:eastAsia="Times New Roman" w:cs="Arial"/>
          <w:color w:val="000000"/>
          <w:lang w:val="en-US"/>
        </w:rPr>
        <w:t>mg</w:t>
      </w:r>
      <w:r w:rsidRPr="00705EC2">
        <w:rPr>
          <w:rFonts w:eastAsia="Times New Roman" w:cs="Arial"/>
          <w:color w:val="000000"/>
          <w:lang w:val="ru-RU"/>
        </w:rPr>
        <w:t>/</w:t>
      </w:r>
      <w:r w:rsidRPr="00705EC2">
        <w:rPr>
          <w:rFonts w:eastAsia="Times New Roman" w:cs="Arial"/>
          <w:color w:val="000000"/>
          <w:lang w:val="en-US"/>
        </w:rPr>
        <w:t>m</w:t>
      </w:r>
      <w:r w:rsidRPr="00705EC2">
        <w:rPr>
          <w:rFonts w:eastAsia="Times New Roman" w:cs="Arial"/>
          <w:color w:val="000000"/>
          <w:lang w:val="ru-RU"/>
        </w:rPr>
        <w:t xml:space="preserve">2 </w:t>
      </w:r>
      <w:r w:rsidRPr="00705EC2">
        <w:rPr>
          <w:rFonts w:eastAsia="Times New Roman" w:cs="Arial"/>
          <w:color w:val="000000"/>
          <w:lang w:eastAsia="bg-BG"/>
        </w:rPr>
        <w:t xml:space="preserve">(изчисленията се отнасят за перорална доза 320 </w:t>
      </w:r>
      <w:r w:rsidRPr="00705EC2">
        <w:rPr>
          <w:rFonts w:eastAsia="Times New Roman" w:cs="Arial"/>
          <w:color w:val="000000"/>
          <w:lang w:val="en-US"/>
        </w:rPr>
        <w:t>mg</w:t>
      </w:r>
      <w:r w:rsidRPr="00705EC2">
        <w:rPr>
          <w:rFonts w:eastAsia="Times New Roman" w:cs="Arial"/>
          <w:color w:val="000000"/>
          <w:lang w:eastAsia="bg-BG"/>
        </w:rPr>
        <w:t xml:space="preserve">/ден и и пациент с тегло 60 </w:t>
      </w:r>
      <w:r w:rsidRPr="00705EC2">
        <w:rPr>
          <w:rFonts w:eastAsia="Times New Roman" w:cs="Arial"/>
          <w:color w:val="000000"/>
          <w:lang w:val="en-US"/>
        </w:rPr>
        <w:t>kg</w:t>
      </w:r>
      <w:r w:rsidRPr="00705EC2">
        <w:rPr>
          <w:rFonts w:eastAsia="Times New Roman" w:cs="Arial"/>
          <w:color w:val="000000"/>
          <w:lang w:val="ru-RU"/>
        </w:rPr>
        <w:t xml:space="preserve">). </w:t>
      </w:r>
      <w:r w:rsidRPr="00705EC2">
        <w:rPr>
          <w:rFonts w:eastAsia="Times New Roman" w:cs="Arial"/>
          <w:color w:val="000000"/>
          <w:lang w:eastAsia="bg-BG"/>
        </w:rPr>
        <w:t xml:space="preserve">При прилагане на валсартан/хидрохлоротиазид при плъхове и зайци се наблюдават сходни находки, В проучванията за ембриофетално развитие (Фаза </w:t>
      </w:r>
      <w:r w:rsidRPr="00705EC2">
        <w:rPr>
          <w:rFonts w:eastAsia="Times New Roman" w:cs="Arial"/>
          <w:color w:val="000000"/>
          <w:lang w:val="en-US"/>
        </w:rPr>
        <w:t>II</w:t>
      </w:r>
      <w:r w:rsidRPr="00705EC2">
        <w:rPr>
          <w:rFonts w:eastAsia="Times New Roman" w:cs="Arial"/>
          <w:color w:val="000000"/>
          <w:lang w:eastAsia="bg-BG"/>
        </w:rPr>
        <w:t>) липсват доказателства за тератогенност при прилагане на валсартан/хидрохлооротиазид при плъхове и зайци, въпреки това е била наблюдавана фетотоксичност, свързана с майчина токсичност.</w:t>
      </w:r>
    </w:p>
    <w:p w14:paraId="0F1297F6" w14:textId="77E0FE81" w:rsidR="00705EC2" w:rsidRPr="00705EC2" w:rsidRDefault="00705EC2" w:rsidP="00705EC2"/>
    <w:p w14:paraId="1BA6531D" w14:textId="4596C68B" w:rsidR="00B6672E" w:rsidRDefault="002C50EE" w:rsidP="00936AD0">
      <w:pPr>
        <w:pStyle w:val="Heading1"/>
      </w:pPr>
      <w:r>
        <w:t>7. ПРИТЕЖАТЕЛ НА РАЗРЕШЕНИЕТО ЗА УПОТРЕБА</w:t>
      </w:r>
    </w:p>
    <w:p w14:paraId="444BA5DA" w14:textId="2526707E" w:rsidR="00705EC2" w:rsidRDefault="00705EC2" w:rsidP="00705EC2"/>
    <w:p w14:paraId="48EFDA42" w14:textId="77777777" w:rsidR="00705EC2" w:rsidRPr="00705EC2" w:rsidRDefault="00705EC2" w:rsidP="00705EC2">
      <w:pPr>
        <w:rPr>
          <w:sz w:val="24"/>
          <w:szCs w:val="24"/>
          <w:lang w:val="ru-RU"/>
        </w:rPr>
      </w:pPr>
      <w:r w:rsidRPr="00705EC2">
        <w:rPr>
          <w:lang w:val="en-US"/>
        </w:rPr>
        <w:t>Novartis</w:t>
      </w:r>
      <w:r w:rsidRPr="00705EC2">
        <w:rPr>
          <w:lang w:val="ru-RU"/>
        </w:rPr>
        <w:t xml:space="preserve"> </w:t>
      </w:r>
      <w:r w:rsidRPr="00705EC2">
        <w:rPr>
          <w:lang w:val="en-US"/>
        </w:rPr>
        <w:t>Pharma</w:t>
      </w:r>
      <w:r w:rsidRPr="00705EC2">
        <w:rPr>
          <w:lang w:val="ru-RU"/>
        </w:rPr>
        <w:t xml:space="preserve"> </w:t>
      </w:r>
      <w:r w:rsidRPr="00705EC2">
        <w:rPr>
          <w:lang w:val="en-US"/>
        </w:rPr>
        <w:t>GmbH</w:t>
      </w:r>
    </w:p>
    <w:p w14:paraId="4EB65283" w14:textId="3494DF8F" w:rsidR="00705EC2" w:rsidRPr="00705EC2" w:rsidRDefault="00705EC2" w:rsidP="00705EC2">
      <w:proofErr w:type="spellStart"/>
      <w:r w:rsidRPr="00705EC2">
        <w:rPr>
          <w:lang w:val="en-US"/>
        </w:rPr>
        <w:t>Roonstrasse</w:t>
      </w:r>
      <w:proofErr w:type="spellEnd"/>
      <w:r w:rsidRPr="00705EC2">
        <w:rPr>
          <w:lang w:val="ru-RU"/>
        </w:rPr>
        <w:t xml:space="preserve"> 25, </w:t>
      </w:r>
      <w:r w:rsidRPr="00705EC2">
        <w:rPr>
          <w:lang w:val="en-US"/>
        </w:rPr>
        <w:t>D</w:t>
      </w:r>
      <w:r w:rsidRPr="00705EC2">
        <w:rPr>
          <w:lang w:val="ru-RU"/>
        </w:rPr>
        <w:t xml:space="preserve">-90429 </w:t>
      </w:r>
      <w:proofErr w:type="spellStart"/>
      <w:r w:rsidRPr="00705EC2">
        <w:rPr>
          <w:lang w:val="en-US"/>
        </w:rPr>
        <w:t>Niimberg</w:t>
      </w:r>
      <w:proofErr w:type="spellEnd"/>
      <w:r w:rsidRPr="00705EC2">
        <w:rPr>
          <w:lang w:val="ru-RU"/>
        </w:rPr>
        <w:t xml:space="preserve">, </w:t>
      </w:r>
      <w:r w:rsidRPr="00705EC2">
        <w:rPr>
          <w:lang w:eastAsia="bg-BG"/>
        </w:rPr>
        <w:t>Германия</w:t>
      </w:r>
    </w:p>
    <w:p w14:paraId="508F3A54" w14:textId="4E5132A9" w:rsidR="00B6672E" w:rsidRDefault="00936AD0" w:rsidP="00936AD0">
      <w:pPr>
        <w:pStyle w:val="Heading1"/>
      </w:pPr>
      <w:r>
        <w:lastRenderedPageBreak/>
        <w:t>8.</w:t>
      </w:r>
      <w:r w:rsidR="002C50EE">
        <w:t>НОМЕР НА РАЗРЕШЕНИЕТО ЗА УПОТРЕБА</w:t>
      </w:r>
    </w:p>
    <w:p w14:paraId="1C1162B3" w14:textId="620436AE" w:rsidR="00705EC2" w:rsidRDefault="00705EC2" w:rsidP="00705EC2"/>
    <w:p w14:paraId="56B2A041" w14:textId="61E309C4" w:rsidR="00705EC2" w:rsidRPr="00705EC2" w:rsidRDefault="00705EC2" w:rsidP="00705EC2">
      <w:pPr>
        <w:rPr>
          <w:sz w:val="24"/>
          <w:szCs w:val="24"/>
          <w:lang w:val="ru-RU"/>
        </w:rPr>
      </w:pPr>
      <w:r w:rsidRPr="00705EC2">
        <w:rPr>
          <w:lang w:val="ru-RU"/>
        </w:rPr>
        <w:t>20020026</w:t>
      </w:r>
    </w:p>
    <w:p w14:paraId="2CCB5832" w14:textId="5DFA9FFC" w:rsidR="007C605B" w:rsidRDefault="002C50EE" w:rsidP="007C605B">
      <w:pPr>
        <w:pStyle w:val="Heading1"/>
      </w:pPr>
      <w:r>
        <w:t>9. ДАТА НА ПЪРВО РАЗРЕШАВАНЕ/ПОДНОВЯВАНЕ НА РАЗРЕШЕНИЕТО ЗА УПОТРЕБА</w:t>
      </w:r>
    </w:p>
    <w:p w14:paraId="72D86315" w14:textId="725E02FA" w:rsidR="00705EC2" w:rsidRDefault="00705EC2" w:rsidP="00705EC2"/>
    <w:p w14:paraId="1BA535D2" w14:textId="690691F4" w:rsidR="00705EC2" w:rsidRPr="00705EC2" w:rsidRDefault="00705EC2" w:rsidP="00705EC2">
      <w:pPr>
        <w:rPr>
          <w:sz w:val="24"/>
          <w:szCs w:val="24"/>
        </w:rPr>
      </w:pPr>
      <w:r w:rsidRPr="00705EC2">
        <w:rPr>
          <w:lang w:eastAsia="bg-BG"/>
        </w:rPr>
        <w:t>08.01.2002 Г./22.12.2010 г.</w:t>
      </w:r>
    </w:p>
    <w:p w14:paraId="0E9D0119" w14:textId="0245C6D7" w:rsidR="002C50EE" w:rsidRDefault="002C50EE" w:rsidP="002C50EE">
      <w:pPr>
        <w:pStyle w:val="Heading1"/>
      </w:pPr>
      <w:r>
        <w:t>10. ДАТА НА АКТУАЛИЗИРАНЕ НА ТЕКСТА</w:t>
      </w:r>
    </w:p>
    <w:bookmarkEnd w:id="0"/>
    <w:p w14:paraId="43FB38A2" w14:textId="51BE5AB2" w:rsidR="007C605B" w:rsidRPr="00705EC2" w:rsidRDefault="00705EC2" w:rsidP="00705EC2">
      <w:pPr>
        <w:rPr>
          <w:sz w:val="24"/>
          <w:szCs w:val="24"/>
        </w:rPr>
      </w:pPr>
      <w:r w:rsidRPr="00705EC2">
        <w:rPr>
          <w:lang w:eastAsia="bg-BG"/>
        </w:rPr>
        <w:t>28.08.2020 г.</w:t>
      </w:r>
      <w:bookmarkStart w:id="2" w:name="_GoBack"/>
      <w:bookmarkEnd w:id="2"/>
    </w:p>
    <w:sectPr w:rsidR="007C605B" w:rsidRPr="00705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925FA"/>
    <w:multiLevelType w:val="hybridMultilevel"/>
    <w:tmpl w:val="AF76C12C"/>
    <w:lvl w:ilvl="0" w:tplc="351828D4">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2"/>
  </w:num>
  <w:num w:numId="12">
    <w:abstractNumId w:val="15"/>
  </w:num>
  <w:num w:numId="13">
    <w:abstractNumId w:val="20"/>
  </w:num>
  <w:num w:numId="14">
    <w:abstractNumId w:val="13"/>
  </w:num>
  <w:num w:numId="15">
    <w:abstractNumId w:val="31"/>
  </w:num>
  <w:num w:numId="16">
    <w:abstractNumId w:val="11"/>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3"/>
  </w:num>
  <w:num w:numId="28">
    <w:abstractNumId w:val="6"/>
  </w:num>
  <w:num w:numId="29">
    <w:abstractNumId w:val="21"/>
  </w:num>
  <w:num w:numId="30">
    <w:abstractNumId w:val="36"/>
  </w:num>
  <w:num w:numId="31">
    <w:abstractNumId w:val="5"/>
  </w:num>
  <w:num w:numId="32">
    <w:abstractNumId w:val="35"/>
  </w:num>
  <w:num w:numId="33">
    <w:abstractNumId w:val="30"/>
  </w:num>
  <w:num w:numId="34">
    <w:abstractNumId w:val="34"/>
  </w:num>
  <w:num w:numId="35">
    <w:abstractNumId w:val="7"/>
  </w:num>
  <w:num w:numId="36">
    <w:abstractNumId w:val="1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05EC2"/>
    <w:rsid w:val="007122AD"/>
    <w:rsid w:val="0075649D"/>
    <w:rsid w:val="007C605B"/>
    <w:rsid w:val="007D6C54"/>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7967</Words>
  <Characters>45416</Characters>
  <Application>Microsoft Office Word</Application>
  <DocSecurity>0</DocSecurity>
  <Lines>378</Lines>
  <Paragraphs>106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2022-07-03T15:52:00Z</dcterms:created>
  <dcterms:modified xsi:type="dcterms:W3CDTF">2022-07-03T15:52:00Z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