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FE059B6" w:rsidR="00AA23EC" w:rsidRDefault="00DD466D" w:rsidP="00DD466D">
      <w:pPr>
        <w:pStyle w:val="Heading1"/>
      </w:pPr>
      <w:r>
        <w:t>1.ИМЕ НА ЛЕКАРСТВЕНИЯ ПРОДУКТ</w:t>
      </w:r>
    </w:p>
    <w:p w14:paraId="1CDE7D5A" w14:textId="1E7B9E32" w:rsidR="00680FA6" w:rsidRDefault="00680FA6" w:rsidP="00680FA6"/>
    <w:p w14:paraId="2CD3760E" w14:textId="77777777" w:rsidR="00680FA6" w:rsidRPr="00680FA6" w:rsidRDefault="00680FA6" w:rsidP="00680FA6">
      <w:pPr>
        <w:rPr>
          <w:sz w:val="24"/>
          <w:szCs w:val="24"/>
          <w:lang w:val="ru-RU"/>
        </w:rPr>
      </w:pPr>
      <w:r w:rsidRPr="00680FA6">
        <w:rPr>
          <w:lang w:eastAsia="bg-BG"/>
        </w:rPr>
        <w:t xml:space="preserve">Ко-Диротон 10 </w:t>
      </w:r>
      <w:r w:rsidRPr="00680FA6">
        <w:rPr>
          <w:lang w:val="en-US"/>
        </w:rPr>
        <w:t>mg</w:t>
      </w:r>
      <w:r w:rsidRPr="00680FA6">
        <w:rPr>
          <w:lang w:val="ru-RU"/>
        </w:rPr>
        <w:t>/</w:t>
      </w:r>
      <w:r w:rsidRPr="00680FA6">
        <w:rPr>
          <w:lang w:eastAsia="bg-BG"/>
        </w:rPr>
        <w:t xml:space="preserve">12,5 </w:t>
      </w:r>
      <w:r w:rsidRPr="00680FA6">
        <w:rPr>
          <w:lang w:val="en-US"/>
        </w:rPr>
        <w:t>mg</w:t>
      </w:r>
      <w:r w:rsidRPr="00680FA6">
        <w:rPr>
          <w:lang w:val="ru-RU"/>
        </w:rPr>
        <w:t xml:space="preserve"> </w:t>
      </w:r>
      <w:r w:rsidRPr="00680FA6">
        <w:rPr>
          <w:lang w:eastAsia="bg-BG"/>
        </w:rPr>
        <w:t>таблетки</w:t>
      </w:r>
    </w:p>
    <w:p w14:paraId="4764BF2B" w14:textId="77777777" w:rsidR="00680FA6" w:rsidRPr="00680FA6" w:rsidRDefault="00680FA6" w:rsidP="00680FA6">
      <w:pPr>
        <w:rPr>
          <w:sz w:val="24"/>
          <w:szCs w:val="24"/>
          <w:lang w:val="ru-RU"/>
        </w:rPr>
      </w:pPr>
      <w:r w:rsidRPr="00680FA6">
        <w:rPr>
          <w:lang w:eastAsia="bg-BG"/>
        </w:rPr>
        <w:t xml:space="preserve">Ко-Диротон 20 </w:t>
      </w:r>
      <w:r w:rsidRPr="00680FA6">
        <w:rPr>
          <w:lang w:val="en-US"/>
        </w:rPr>
        <w:t>mg</w:t>
      </w:r>
      <w:r w:rsidRPr="00680FA6">
        <w:rPr>
          <w:lang w:val="ru-RU"/>
        </w:rPr>
        <w:t xml:space="preserve"> </w:t>
      </w:r>
      <w:r w:rsidRPr="00680FA6">
        <w:rPr>
          <w:lang w:eastAsia="bg-BG"/>
        </w:rPr>
        <w:t xml:space="preserve">/12,5 </w:t>
      </w:r>
      <w:r w:rsidRPr="00680FA6">
        <w:rPr>
          <w:lang w:val="en-US"/>
        </w:rPr>
        <w:t>mg</w:t>
      </w:r>
      <w:r w:rsidRPr="00680FA6">
        <w:rPr>
          <w:lang w:val="ru-RU"/>
        </w:rPr>
        <w:t xml:space="preserve"> </w:t>
      </w:r>
      <w:r w:rsidRPr="00680FA6">
        <w:rPr>
          <w:lang w:eastAsia="bg-BG"/>
        </w:rPr>
        <w:t>таблетки</w:t>
      </w:r>
    </w:p>
    <w:p w14:paraId="22EAD8BC" w14:textId="77777777" w:rsidR="00680FA6" w:rsidRDefault="00680FA6" w:rsidP="00680FA6">
      <w:pPr>
        <w:rPr>
          <w:lang w:val="en-US"/>
        </w:rPr>
      </w:pPr>
    </w:p>
    <w:p w14:paraId="7F06A46B" w14:textId="400F382C" w:rsidR="00680FA6" w:rsidRPr="00680FA6" w:rsidRDefault="00680FA6" w:rsidP="00680FA6">
      <w:pPr>
        <w:rPr>
          <w:sz w:val="24"/>
          <w:szCs w:val="24"/>
          <w:lang w:val="en-US"/>
        </w:rPr>
      </w:pPr>
      <w:r w:rsidRPr="00680FA6">
        <w:rPr>
          <w:lang w:val="en-US"/>
        </w:rPr>
        <w:t>Co-</w:t>
      </w:r>
      <w:proofErr w:type="spellStart"/>
      <w:r w:rsidRPr="00680FA6">
        <w:rPr>
          <w:lang w:val="en-US"/>
        </w:rPr>
        <w:t>Diroton</w:t>
      </w:r>
      <w:proofErr w:type="spellEnd"/>
      <w:r w:rsidRPr="00680FA6">
        <w:rPr>
          <w:lang w:val="en-US"/>
        </w:rPr>
        <w:t xml:space="preserve"> </w:t>
      </w:r>
      <w:r w:rsidRPr="00680FA6">
        <w:rPr>
          <w:lang w:eastAsia="bg-BG"/>
        </w:rPr>
        <w:t xml:space="preserve">10 </w:t>
      </w:r>
      <w:r w:rsidRPr="00680FA6">
        <w:rPr>
          <w:lang w:val="en-US"/>
        </w:rPr>
        <w:t>mg/</w:t>
      </w:r>
      <w:r w:rsidRPr="00680FA6">
        <w:rPr>
          <w:lang w:eastAsia="bg-BG"/>
        </w:rPr>
        <w:t>12</w:t>
      </w:r>
      <w:proofErr w:type="gramStart"/>
      <w:r w:rsidRPr="00680FA6">
        <w:rPr>
          <w:lang w:eastAsia="bg-BG"/>
        </w:rPr>
        <w:t>,5</w:t>
      </w:r>
      <w:proofErr w:type="gramEnd"/>
      <w:r w:rsidRPr="00680FA6">
        <w:rPr>
          <w:lang w:eastAsia="bg-BG"/>
        </w:rPr>
        <w:t xml:space="preserve"> </w:t>
      </w:r>
      <w:r w:rsidRPr="00680FA6">
        <w:rPr>
          <w:lang w:val="en-US"/>
        </w:rPr>
        <w:t>mg tablets</w:t>
      </w:r>
    </w:p>
    <w:p w14:paraId="077095FF" w14:textId="3CDE87DF" w:rsidR="00680FA6" w:rsidRPr="00680FA6" w:rsidRDefault="00680FA6" w:rsidP="00680FA6">
      <w:r w:rsidRPr="00680FA6">
        <w:rPr>
          <w:lang w:val="en-US"/>
        </w:rPr>
        <w:t>Co</w:t>
      </w:r>
      <w:r w:rsidRPr="00680FA6">
        <w:rPr>
          <w:lang w:val="ru-RU"/>
        </w:rPr>
        <w:t>-</w:t>
      </w:r>
      <w:proofErr w:type="spellStart"/>
      <w:r w:rsidRPr="00680FA6">
        <w:rPr>
          <w:lang w:val="en-US"/>
        </w:rPr>
        <w:t>Diroton</w:t>
      </w:r>
      <w:proofErr w:type="spellEnd"/>
      <w:r w:rsidRPr="00680FA6">
        <w:rPr>
          <w:lang w:val="ru-RU"/>
        </w:rPr>
        <w:t xml:space="preserve"> 20 </w:t>
      </w:r>
      <w:r w:rsidRPr="00680FA6">
        <w:rPr>
          <w:lang w:val="en-US"/>
        </w:rPr>
        <w:t>mg</w:t>
      </w:r>
      <w:r w:rsidRPr="00680FA6">
        <w:rPr>
          <w:lang w:val="ru-RU"/>
        </w:rPr>
        <w:t>/12</w:t>
      </w:r>
      <w:proofErr w:type="gramStart"/>
      <w:r w:rsidRPr="00680FA6">
        <w:rPr>
          <w:lang w:val="ru-RU"/>
        </w:rPr>
        <w:t>,5</w:t>
      </w:r>
      <w:proofErr w:type="gramEnd"/>
      <w:r w:rsidRPr="00680FA6">
        <w:rPr>
          <w:lang w:val="ru-RU"/>
        </w:rPr>
        <w:t xml:space="preserve"> </w:t>
      </w:r>
      <w:r w:rsidRPr="00680FA6">
        <w:rPr>
          <w:lang w:val="en-US"/>
        </w:rPr>
        <w:t>mg</w:t>
      </w:r>
      <w:r w:rsidRPr="00680FA6">
        <w:rPr>
          <w:lang w:val="ru-RU"/>
        </w:rPr>
        <w:t xml:space="preserve"> </w:t>
      </w:r>
      <w:r w:rsidRPr="00680FA6">
        <w:rPr>
          <w:lang w:val="en-US"/>
        </w:rPr>
        <w:t>tablets</w:t>
      </w:r>
    </w:p>
    <w:p w14:paraId="0A368469" w14:textId="26897B97" w:rsidR="00C0049F" w:rsidRDefault="00DD466D" w:rsidP="009F1313">
      <w:pPr>
        <w:pStyle w:val="Heading1"/>
      </w:pPr>
      <w:r>
        <w:t>2. КАЧЕСТВЕН И КОЛИЧЕСТВЕН СЪСТАВ</w:t>
      </w:r>
    </w:p>
    <w:p w14:paraId="03571ACA" w14:textId="3FAB5D12" w:rsidR="00680FA6" w:rsidRDefault="00680FA6" w:rsidP="00680FA6"/>
    <w:p w14:paraId="0615AEF7" w14:textId="77777777"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u w:val="single"/>
          <w:lang w:eastAsia="bg-BG"/>
        </w:rPr>
        <w:t xml:space="preserve">Ко-Диротон 10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/12,5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 </w:t>
      </w:r>
      <w:r w:rsidRPr="00680FA6">
        <w:rPr>
          <w:rFonts w:eastAsia="Times New Roman" w:cs="Arial"/>
          <w:color w:val="000000"/>
          <w:szCs w:val="20"/>
          <w:u w:val="single"/>
          <w:lang w:eastAsia="bg-BG"/>
        </w:rPr>
        <w:t>таблетки:</w:t>
      </w:r>
    </w:p>
    <w:p w14:paraId="08E5E81D" w14:textId="77777777"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lang w:eastAsia="bg-BG"/>
        </w:rPr>
        <w:t xml:space="preserve">Всяка таблетка съдържа 10 </w:t>
      </w:r>
      <w:r w:rsidRPr="00680FA6">
        <w:rPr>
          <w:rFonts w:eastAsia="Times New Roman" w:cs="Arial"/>
          <w:color w:val="000000"/>
          <w:szCs w:val="20"/>
          <w:lang w:val="en-US"/>
        </w:rPr>
        <w:t>mg</w:t>
      </w:r>
      <w:r w:rsidRPr="00680FA6">
        <w:rPr>
          <w:rFonts w:eastAsia="Times New Roman" w:cs="Arial"/>
          <w:color w:val="000000"/>
          <w:szCs w:val="20"/>
        </w:rPr>
        <w:t xml:space="preserve"> </w:t>
      </w:r>
      <w:r w:rsidRPr="00680FA6">
        <w:rPr>
          <w:rFonts w:eastAsia="Times New Roman" w:cs="Arial"/>
          <w:color w:val="000000"/>
          <w:szCs w:val="20"/>
          <w:lang w:eastAsia="bg-BG"/>
        </w:rPr>
        <w:t xml:space="preserve">лизиноприл </w:t>
      </w:r>
      <w:r w:rsidRPr="00680FA6">
        <w:rPr>
          <w:rFonts w:eastAsia="Times New Roman" w:cs="Arial"/>
          <w:i/>
          <w:iCs/>
          <w:color w:val="000000"/>
          <w:szCs w:val="20"/>
        </w:rPr>
        <w:t>(</w:t>
      </w:r>
      <w:proofErr w:type="spellStart"/>
      <w:r w:rsidRPr="00680FA6">
        <w:rPr>
          <w:rFonts w:eastAsia="Times New Roman" w:cs="Arial"/>
          <w:i/>
          <w:iCs/>
          <w:color w:val="000000"/>
          <w:szCs w:val="20"/>
          <w:lang w:val="en-US"/>
        </w:rPr>
        <w:t>lisinopril</w:t>
      </w:r>
      <w:proofErr w:type="spellEnd"/>
      <w:r w:rsidRPr="00680FA6">
        <w:rPr>
          <w:rFonts w:eastAsia="Times New Roman" w:cs="Arial"/>
          <w:i/>
          <w:iCs/>
          <w:color w:val="000000"/>
          <w:szCs w:val="20"/>
        </w:rPr>
        <w:t>)</w:t>
      </w:r>
      <w:r w:rsidRPr="00680FA6">
        <w:rPr>
          <w:rFonts w:eastAsia="Times New Roman" w:cs="Arial"/>
          <w:color w:val="000000"/>
          <w:szCs w:val="20"/>
        </w:rPr>
        <w:t xml:space="preserve"> </w:t>
      </w:r>
      <w:r w:rsidRPr="00680FA6">
        <w:rPr>
          <w:rFonts w:eastAsia="Times New Roman" w:cs="Arial"/>
          <w:color w:val="000000"/>
          <w:szCs w:val="20"/>
          <w:lang w:eastAsia="bg-BG"/>
        </w:rPr>
        <w:t xml:space="preserve">(като 10,88 </w:t>
      </w:r>
      <w:r w:rsidRPr="00680FA6">
        <w:rPr>
          <w:rFonts w:eastAsia="Times New Roman" w:cs="Arial"/>
          <w:color w:val="000000"/>
          <w:szCs w:val="20"/>
          <w:lang w:val="en-US"/>
        </w:rPr>
        <w:t>mg</w:t>
      </w:r>
      <w:r w:rsidRPr="00680FA6">
        <w:rPr>
          <w:rFonts w:eastAsia="Times New Roman" w:cs="Arial"/>
          <w:color w:val="000000"/>
          <w:szCs w:val="20"/>
        </w:rPr>
        <w:t xml:space="preserve"> </w:t>
      </w:r>
      <w:r w:rsidRPr="00680FA6">
        <w:rPr>
          <w:rFonts w:eastAsia="Times New Roman" w:cs="Arial"/>
          <w:color w:val="000000"/>
          <w:szCs w:val="20"/>
          <w:lang w:eastAsia="bg-BG"/>
        </w:rPr>
        <w:t xml:space="preserve">лизиноприл дихидрат) и 12,5 </w:t>
      </w:r>
      <w:r w:rsidRPr="00680FA6">
        <w:rPr>
          <w:rFonts w:eastAsia="Times New Roman" w:cs="Arial"/>
          <w:color w:val="000000"/>
          <w:szCs w:val="20"/>
          <w:lang w:val="en-US"/>
        </w:rPr>
        <w:t>mg</w:t>
      </w:r>
      <w:r w:rsidRPr="00680FA6">
        <w:rPr>
          <w:rFonts w:eastAsia="Times New Roman" w:cs="Arial"/>
          <w:color w:val="000000"/>
          <w:szCs w:val="20"/>
        </w:rPr>
        <w:t xml:space="preserve"> </w:t>
      </w:r>
      <w:r w:rsidRPr="00680FA6">
        <w:rPr>
          <w:rFonts w:eastAsia="Times New Roman" w:cs="Arial"/>
          <w:color w:val="000000"/>
          <w:szCs w:val="20"/>
          <w:lang w:eastAsia="bg-BG"/>
        </w:rPr>
        <w:t xml:space="preserve">хидрохлоротиазид </w:t>
      </w:r>
      <w:r w:rsidRPr="00680FA6">
        <w:rPr>
          <w:rFonts w:eastAsia="Times New Roman" w:cs="Arial"/>
          <w:i/>
          <w:iCs/>
          <w:color w:val="000000"/>
          <w:szCs w:val="20"/>
        </w:rPr>
        <w:t>(</w:t>
      </w:r>
      <w:r w:rsidRPr="00680FA6">
        <w:rPr>
          <w:rFonts w:eastAsia="Times New Roman" w:cs="Arial"/>
          <w:i/>
          <w:iCs/>
          <w:color w:val="000000"/>
          <w:szCs w:val="20"/>
          <w:lang w:val="en-US"/>
        </w:rPr>
        <w:t>hydrochlorothiazide</w:t>
      </w:r>
      <w:r w:rsidRPr="00680FA6">
        <w:rPr>
          <w:rFonts w:eastAsia="Times New Roman" w:cs="Arial"/>
          <w:i/>
          <w:iCs/>
          <w:color w:val="000000"/>
          <w:szCs w:val="20"/>
        </w:rPr>
        <w:t>)</w:t>
      </w:r>
      <w:r w:rsidRPr="00680FA6">
        <w:rPr>
          <w:rFonts w:eastAsia="Times New Roman" w:cs="Arial"/>
          <w:i/>
          <w:iCs/>
          <w:color w:val="000000"/>
          <w:szCs w:val="20"/>
          <w:lang w:eastAsia="bg-BG"/>
        </w:rPr>
        <w:t>.</w:t>
      </w:r>
    </w:p>
    <w:p w14:paraId="5CE4F4BF" w14:textId="77777777" w:rsidR="00680FA6" w:rsidRPr="00680FA6" w:rsidRDefault="00680FA6" w:rsidP="00680FA6">
      <w:pPr>
        <w:spacing w:line="240" w:lineRule="auto"/>
        <w:rPr>
          <w:rFonts w:eastAsia="Times New Roman" w:cs="Arial"/>
          <w:color w:val="000000"/>
          <w:szCs w:val="20"/>
          <w:u w:val="single"/>
          <w:lang w:eastAsia="bg-BG"/>
        </w:rPr>
      </w:pPr>
    </w:p>
    <w:p w14:paraId="770664B8" w14:textId="4265F7EC"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u w:val="single"/>
          <w:lang w:eastAsia="bg-BG"/>
        </w:rPr>
        <w:t xml:space="preserve">Ко-Диротон 20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/12,5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 </w:t>
      </w:r>
      <w:r w:rsidRPr="00680FA6">
        <w:rPr>
          <w:rFonts w:eastAsia="Times New Roman" w:cs="Arial"/>
          <w:color w:val="000000"/>
          <w:szCs w:val="20"/>
          <w:u w:val="single"/>
          <w:lang w:eastAsia="bg-BG"/>
        </w:rPr>
        <w:t>таблетки:</w:t>
      </w:r>
    </w:p>
    <w:p w14:paraId="4B52CBEC" w14:textId="77777777"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lang w:eastAsia="bg-BG"/>
        </w:rPr>
        <w:t xml:space="preserve">Всяка таблетка съдържа 20 </w:t>
      </w:r>
      <w:r w:rsidRPr="00680FA6">
        <w:rPr>
          <w:rFonts w:eastAsia="Times New Roman" w:cs="Arial"/>
          <w:color w:val="000000"/>
          <w:szCs w:val="20"/>
          <w:lang w:val="en-US"/>
        </w:rPr>
        <w:t>mg</w:t>
      </w:r>
      <w:r w:rsidRPr="00680FA6">
        <w:rPr>
          <w:rFonts w:eastAsia="Times New Roman" w:cs="Arial"/>
          <w:color w:val="000000"/>
          <w:szCs w:val="20"/>
        </w:rPr>
        <w:t xml:space="preserve"> </w:t>
      </w:r>
      <w:r w:rsidRPr="00680FA6">
        <w:rPr>
          <w:rFonts w:eastAsia="Times New Roman" w:cs="Arial"/>
          <w:color w:val="000000"/>
          <w:szCs w:val="20"/>
          <w:lang w:eastAsia="bg-BG"/>
        </w:rPr>
        <w:t xml:space="preserve">лизиноприл </w:t>
      </w:r>
      <w:r w:rsidRPr="00680FA6">
        <w:rPr>
          <w:rFonts w:eastAsia="Times New Roman" w:cs="Arial"/>
          <w:i/>
          <w:iCs/>
          <w:color w:val="000000"/>
          <w:szCs w:val="20"/>
        </w:rPr>
        <w:t>(</w:t>
      </w:r>
      <w:proofErr w:type="spellStart"/>
      <w:r w:rsidRPr="00680FA6">
        <w:rPr>
          <w:rFonts w:eastAsia="Times New Roman" w:cs="Arial"/>
          <w:i/>
          <w:iCs/>
          <w:color w:val="000000"/>
          <w:szCs w:val="20"/>
          <w:lang w:val="en-US"/>
        </w:rPr>
        <w:t>lisinopril</w:t>
      </w:r>
      <w:proofErr w:type="spellEnd"/>
      <w:r w:rsidRPr="00680FA6">
        <w:rPr>
          <w:rFonts w:eastAsia="Times New Roman" w:cs="Arial"/>
          <w:i/>
          <w:iCs/>
          <w:color w:val="000000"/>
          <w:szCs w:val="20"/>
        </w:rPr>
        <w:t>)</w:t>
      </w:r>
      <w:r w:rsidRPr="00680FA6">
        <w:rPr>
          <w:rFonts w:eastAsia="Times New Roman" w:cs="Arial"/>
          <w:color w:val="000000"/>
          <w:szCs w:val="20"/>
        </w:rPr>
        <w:t xml:space="preserve"> </w:t>
      </w:r>
      <w:r w:rsidRPr="00680FA6">
        <w:rPr>
          <w:rFonts w:eastAsia="Times New Roman" w:cs="Arial"/>
          <w:color w:val="000000"/>
          <w:szCs w:val="20"/>
          <w:lang w:eastAsia="bg-BG"/>
        </w:rPr>
        <w:t xml:space="preserve">(като 21,76 </w:t>
      </w:r>
      <w:r w:rsidRPr="00680FA6">
        <w:rPr>
          <w:rFonts w:eastAsia="Times New Roman" w:cs="Arial"/>
          <w:color w:val="000000"/>
          <w:szCs w:val="20"/>
          <w:lang w:val="en-US"/>
        </w:rPr>
        <w:t>mg</w:t>
      </w:r>
      <w:r w:rsidRPr="00680FA6">
        <w:rPr>
          <w:rFonts w:eastAsia="Times New Roman" w:cs="Arial"/>
          <w:color w:val="000000"/>
          <w:szCs w:val="20"/>
        </w:rPr>
        <w:t xml:space="preserve"> </w:t>
      </w:r>
      <w:r w:rsidRPr="00680FA6">
        <w:rPr>
          <w:rFonts w:eastAsia="Times New Roman" w:cs="Arial"/>
          <w:color w:val="000000"/>
          <w:szCs w:val="20"/>
          <w:lang w:eastAsia="bg-BG"/>
        </w:rPr>
        <w:t xml:space="preserve">лизиноприл дихидрат) и 12,5 </w:t>
      </w:r>
      <w:r w:rsidRPr="00680FA6">
        <w:rPr>
          <w:rFonts w:eastAsia="Times New Roman" w:cs="Arial"/>
          <w:color w:val="000000"/>
          <w:szCs w:val="20"/>
          <w:lang w:val="en-US"/>
        </w:rPr>
        <w:t>mg</w:t>
      </w:r>
      <w:r w:rsidRPr="00680FA6">
        <w:rPr>
          <w:rFonts w:eastAsia="Times New Roman" w:cs="Arial"/>
          <w:color w:val="000000"/>
          <w:szCs w:val="20"/>
        </w:rPr>
        <w:t xml:space="preserve"> </w:t>
      </w:r>
      <w:r w:rsidRPr="00680FA6">
        <w:rPr>
          <w:rFonts w:eastAsia="Times New Roman" w:cs="Arial"/>
          <w:color w:val="000000"/>
          <w:szCs w:val="20"/>
          <w:lang w:eastAsia="bg-BG"/>
        </w:rPr>
        <w:t xml:space="preserve">хидрохлоротиазид </w:t>
      </w:r>
      <w:r w:rsidRPr="00680FA6">
        <w:rPr>
          <w:rFonts w:eastAsia="Times New Roman" w:cs="Arial"/>
          <w:i/>
          <w:iCs/>
          <w:color w:val="000000"/>
          <w:szCs w:val="20"/>
        </w:rPr>
        <w:t>(</w:t>
      </w:r>
      <w:r w:rsidRPr="00680FA6">
        <w:rPr>
          <w:rFonts w:eastAsia="Times New Roman" w:cs="Arial"/>
          <w:i/>
          <w:iCs/>
          <w:color w:val="000000"/>
          <w:szCs w:val="20"/>
          <w:lang w:val="en-US"/>
        </w:rPr>
        <w:t>hydrochlorothiazide</w:t>
      </w:r>
      <w:r w:rsidRPr="00680FA6">
        <w:rPr>
          <w:rFonts w:eastAsia="Times New Roman" w:cs="Arial"/>
          <w:i/>
          <w:iCs/>
          <w:color w:val="000000"/>
          <w:szCs w:val="20"/>
        </w:rPr>
        <w:t>).</w:t>
      </w:r>
    </w:p>
    <w:p w14:paraId="2C1E6364" w14:textId="77777777" w:rsidR="00680FA6" w:rsidRPr="00680FA6" w:rsidRDefault="00680FA6" w:rsidP="00680FA6"/>
    <w:p w14:paraId="614984C4" w14:textId="65F40F61" w:rsidR="008A6AF2" w:rsidRDefault="00DD466D" w:rsidP="002C50EE">
      <w:pPr>
        <w:pStyle w:val="Heading1"/>
      </w:pPr>
      <w:r>
        <w:t>3. ЛЕКАРСТВЕНА ФОРМА</w:t>
      </w:r>
    </w:p>
    <w:p w14:paraId="5EFEED14" w14:textId="74DA073B" w:rsidR="00680FA6" w:rsidRDefault="00680FA6" w:rsidP="00680FA6"/>
    <w:p w14:paraId="093AFD22" w14:textId="77777777"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lang w:eastAsia="bg-BG"/>
        </w:rPr>
        <w:t>Таблетка</w:t>
      </w:r>
    </w:p>
    <w:p w14:paraId="4495F78F" w14:textId="77777777" w:rsidR="00680FA6" w:rsidRPr="00680FA6" w:rsidRDefault="00680FA6" w:rsidP="00680FA6">
      <w:pPr>
        <w:spacing w:line="240" w:lineRule="auto"/>
        <w:rPr>
          <w:rFonts w:eastAsia="Times New Roman" w:cs="Arial"/>
          <w:color w:val="000000"/>
          <w:szCs w:val="20"/>
          <w:u w:val="single"/>
          <w:lang w:eastAsia="bg-BG"/>
        </w:rPr>
      </w:pPr>
    </w:p>
    <w:p w14:paraId="370DB62D" w14:textId="153C47AA"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u w:val="single"/>
          <w:lang w:eastAsia="bg-BG"/>
        </w:rPr>
        <w:t xml:space="preserve">Ко-Диротон 10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/12,5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 </w:t>
      </w:r>
      <w:r w:rsidRPr="00680FA6">
        <w:rPr>
          <w:rFonts w:eastAsia="Times New Roman" w:cs="Arial"/>
          <w:color w:val="000000"/>
          <w:szCs w:val="20"/>
          <w:u w:val="single"/>
          <w:lang w:eastAsia="bg-BG"/>
        </w:rPr>
        <w:t>таблетки:</w:t>
      </w:r>
    </w:p>
    <w:p w14:paraId="2412B85D" w14:textId="77777777"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lang w:eastAsia="bg-BG"/>
        </w:rPr>
        <w:t xml:space="preserve">Кръгли, плоски, светло сини с оскъдни оцветявания от по-тъмен цвят таблетки, с диаметър около 8 </w:t>
      </w:r>
      <w:r w:rsidRPr="00680FA6">
        <w:rPr>
          <w:rFonts w:eastAsia="Times New Roman" w:cs="Arial"/>
          <w:color w:val="000000"/>
          <w:szCs w:val="20"/>
          <w:lang w:val="en-US"/>
        </w:rPr>
        <w:t>mm</w:t>
      </w:r>
      <w:r w:rsidRPr="00680FA6">
        <w:rPr>
          <w:rFonts w:eastAsia="Times New Roman" w:cs="Arial"/>
          <w:color w:val="000000"/>
          <w:szCs w:val="20"/>
          <w:lang w:val="ru-RU"/>
        </w:rPr>
        <w:t xml:space="preserve"> </w:t>
      </w:r>
      <w:r w:rsidRPr="00680FA6">
        <w:rPr>
          <w:rFonts w:eastAsia="Times New Roman" w:cs="Arial"/>
          <w:color w:val="000000"/>
          <w:szCs w:val="20"/>
          <w:lang w:eastAsia="bg-BG"/>
        </w:rPr>
        <w:t>и скосени ръбове, с гравиран надпис "С43" от едната страна.</w:t>
      </w:r>
    </w:p>
    <w:p w14:paraId="39268154" w14:textId="77777777" w:rsidR="00680FA6" w:rsidRPr="00680FA6" w:rsidRDefault="00680FA6" w:rsidP="00680FA6">
      <w:pPr>
        <w:spacing w:line="240" w:lineRule="auto"/>
        <w:rPr>
          <w:rFonts w:eastAsia="Times New Roman" w:cs="Arial"/>
          <w:color w:val="000000"/>
          <w:szCs w:val="20"/>
          <w:u w:val="single"/>
          <w:lang w:eastAsia="bg-BG"/>
        </w:rPr>
      </w:pPr>
    </w:p>
    <w:p w14:paraId="7D377D5B" w14:textId="72156091"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u w:val="single"/>
          <w:lang w:eastAsia="bg-BG"/>
        </w:rPr>
        <w:t xml:space="preserve">Ко-Диротон 20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/12,5 </w:t>
      </w:r>
      <w:r w:rsidRPr="00680FA6">
        <w:rPr>
          <w:rFonts w:eastAsia="Times New Roman" w:cs="Arial"/>
          <w:color w:val="000000"/>
          <w:szCs w:val="20"/>
          <w:u w:val="single"/>
          <w:lang w:val="en-US"/>
        </w:rPr>
        <w:t>mg</w:t>
      </w:r>
      <w:r w:rsidRPr="00680FA6">
        <w:rPr>
          <w:rFonts w:eastAsia="Times New Roman" w:cs="Arial"/>
          <w:color w:val="000000"/>
          <w:szCs w:val="20"/>
          <w:u w:val="single"/>
          <w:lang w:val="ru-RU"/>
        </w:rPr>
        <w:t xml:space="preserve"> </w:t>
      </w:r>
      <w:r w:rsidRPr="00680FA6">
        <w:rPr>
          <w:rFonts w:eastAsia="Times New Roman" w:cs="Arial"/>
          <w:color w:val="000000"/>
          <w:szCs w:val="20"/>
          <w:u w:val="single"/>
          <w:lang w:eastAsia="bg-BG"/>
        </w:rPr>
        <w:t>таблетки:</w:t>
      </w:r>
    </w:p>
    <w:p w14:paraId="54D10764" w14:textId="77777777" w:rsidR="00680FA6" w:rsidRPr="00680FA6" w:rsidRDefault="00680FA6" w:rsidP="00680FA6">
      <w:pPr>
        <w:spacing w:line="240" w:lineRule="auto"/>
        <w:rPr>
          <w:rFonts w:eastAsia="Times New Roman" w:cs="Arial"/>
          <w:sz w:val="28"/>
          <w:szCs w:val="24"/>
        </w:rPr>
      </w:pPr>
      <w:r w:rsidRPr="00680FA6">
        <w:rPr>
          <w:rFonts w:eastAsia="Times New Roman" w:cs="Arial"/>
          <w:color w:val="000000"/>
          <w:szCs w:val="20"/>
          <w:lang w:eastAsia="bg-BG"/>
        </w:rPr>
        <w:t xml:space="preserve">Кръгли, плоски, светло зелени с оскъдни оцветявания от по-тъмен цвят таблетки, с диаметър около 8 </w:t>
      </w:r>
      <w:r w:rsidRPr="00680FA6">
        <w:rPr>
          <w:rFonts w:eastAsia="Times New Roman" w:cs="Arial"/>
          <w:color w:val="000000"/>
          <w:szCs w:val="20"/>
          <w:lang w:val="en-US"/>
        </w:rPr>
        <w:t>mm</w:t>
      </w:r>
      <w:r w:rsidRPr="00680FA6">
        <w:rPr>
          <w:rFonts w:eastAsia="Times New Roman" w:cs="Arial"/>
          <w:color w:val="000000"/>
          <w:szCs w:val="20"/>
          <w:lang w:val="ru-RU"/>
        </w:rPr>
        <w:t xml:space="preserve"> </w:t>
      </w:r>
      <w:r w:rsidRPr="00680FA6">
        <w:rPr>
          <w:rFonts w:eastAsia="Times New Roman" w:cs="Arial"/>
          <w:color w:val="000000"/>
          <w:szCs w:val="20"/>
          <w:lang w:eastAsia="bg-BG"/>
        </w:rPr>
        <w:t>и скосени ръбове, с гравиран надпис "С44" от едната страна.</w:t>
      </w:r>
    </w:p>
    <w:p w14:paraId="6B546302" w14:textId="77777777" w:rsidR="00680FA6" w:rsidRPr="00680FA6" w:rsidRDefault="00680FA6" w:rsidP="00680FA6"/>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7AE7A64" w:rsidR="00395555" w:rsidRDefault="00395555" w:rsidP="00395555"/>
    <w:p w14:paraId="2B9A44CB" w14:textId="4DC16758" w:rsidR="00680FA6" w:rsidRDefault="00680FA6" w:rsidP="00680FA6">
      <w:pPr>
        <w:rPr>
          <w:lang w:eastAsia="bg-BG"/>
        </w:rPr>
      </w:pPr>
      <w:r w:rsidRPr="00680FA6">
        <w:rPr>
          <w:lang w:eastAsia="bg-BG"/>
        </w:rPr>
        <w:t>Лечение на лека до умерена хипертония при пациенти, които са стабилизирани с отделните активни вещества, прилагани в същите дози.</w:t>
      </w:r>
    </w:p>
    <w:p w14:paraId="0FA68871" w14:textId="77777777" w:rsidR="00680FA6" w:rsidRPr="00680FA6" w:rsidRDefault="00680FA6" w:rsidP="00680FA6">
      <w:pPr>
        <w:rPr>
          <w:sz w:val="24"/>
          <w:szCs w:val="24"/>
        </w:rPr>
      </w:pPr>
    </w:p>
    <w:p w14:paraId="7C0CA5EB" w14:textId="3AB35051" w:rsidR="00C0049F" w:rsidRDefault="002C50EE" w:rsidP="009F1313">
      <w:pPr>
        <w:pStyle w:val="Heading2"/>
      </w:pPr>
      <w:r>
        <w:t>4.2. Дозировка и начин на приложение</w:t>
      </w:r>
    </w:p>
    <w:p w14:paraId="0C1CF3CB" w14:textId="02CD18FE" w:rsidR="00680FA6" w:rsidRDefault="00680FA6" w:rsidP="00680FA6"/>
    <w:p w14:paraId="0CB28480" w14:textId="77777777" w:rsidR="00680FA6" w:rsidRPr="00680FA6" w:rsidRDefault="00680FA6" w:rsidP="00680FA6">
      <w:pPr>
        <w:pStyle w:val="Heading3"/>
        <w:rPr>
          <w:rFonts w:eastAsia="Times New Roman"/>
          <w:u w:val="single"/>
        </w:rPr>
      </w:pPr>
      <w:r w:rsidRPr="00680FA6">
        <w:rPr>
          <w:rFonts w:eastAsia="Times New Roman"/>
          <w:u w:val="single"/>
          <w:lang w:eastAsia="bg-BG"/>
        </w:rPr>
        <w:t>Дозировка</w:t>
      </w:r>
    </w:p>
    <w:p w14:paraId="7E311FAD" w14:textId="77777777" w:rsidR="00680FA6" w:rsidRPr="00680FA6" w:rsidRDefault="00680FA6" w:rsidP="00680FA6">
      <w:pPr>
        <w:spacing w:line="240" w:lineRule="auto"/>
        <w:rPr>
          <w:rFonts w:eastAsia="Times New Roman" w:cs="Arial"/>
          <w:i/>
          <w:iCs/>
          <w:color w:val="000000"/>
          <w:lang w:eastAsia="bg-BG"/>
        </w:rPr>
      </w:pPr>
    </w:p>
    <w:p w14:paraId="3791C963" w14:textId="462B177E" w:rsidR="00680FA6" w:rsidRPr="00680FA6" w:rsidRDefault="00680FA6" w:rsidP="00680FA6">
      <w:pPr>
        <w:spacing w:line="240" w:lineRule="auto"/>
        <w:rPr>
          <w:rFonts w:eastAsia="Times New Roman" w:cs="Arial"/>
        </w:rPr>
      </w:pPr>
      <w:r w:rsidRPr="00680FA6">
        <w:rPr>
          <w:rFonts w:eastAsia="Times New Roman" w:cs="Arial"/>
          <w:i/>
          <w:iCs/>
          <w:color w:val="000000"/>
          <w:lang w:eastAsia="bg-BG"/>
        </w:rPr>
        <w:t>Есенциална хипертония</w:t>
      </w:r>
    </w:p>
    <w:p w14:paraId="6EE7BF37" w14:textId="77777777" w:rsidR="00680FA6" w:rsidRPr="00680FA6" w:rsidRDefault="00680FA6" w:rsidP="00680FA6">
      <w:pPr>
        <w:spacing w:line="240" w:lineRule="auto"/>
        <w:rPr>
          <w:rFonts w:eastAsia="Times New Roman" w:cs="Arial"/>
        </w:rPr>
      </w:pPr>
      <w:r w:rsidRPr="00680FA6">
        <w:rPr>
          <w:rFonts w:eastAsia="Times New Roman" w:cs="Arial"/>
          <w:color w:val="000000"/>
          <w:lang w:eastAsia="bg-BG"/>
        </w:rPr>
        <w:lastRenderedPageBreak/>
        <w:t xml:space="preserve">Комбинацията с фиксирана доза не е подходяща за начална терапия. Фиксираната доза може да замени комбинацията от 10 </w:t>
      </w:r>
      <w:r w:rsidRPr="00680FA6">
        <w:rPr>
          <w:rFonts w:eastAsia="Times New Roman" w:cs="Arial"/>
          <w:color w:val="000000"/>
          <w:lang w:val="en-US"/>
        </w:rPr>
        <w:t>mg</w:t>
      </w:r>
      <w:r w:rsidRPr="00680FA6">
        <w:rPr>
          <w:rFonts w:eastAsia="Times New Roman" w:cs="Arial"/>
          <w:color w:val="000000"/>
          <w:lang w:val="ru-RU"/>
        </w:rPr>
        <w:t xml:space="preserve"> </w:t>
      </w:r>
      <w:r w:rsidRPr="00680FA6">
        <w:rPr>
          <w:rFonts w:eastAsia="Times New Roman" w:cs="Arial"/>
          <w:color w:val="000000"/>
          <w:lang w:eastAsia="bg-BG"/>
        </w:rPr>
        <w:t xml:space="preserve">или 20 </w:t>
      </w:r>
      <w:r w:rsidRPr="00680FA6">
        <w:rPr>
          <w:rFonts w:eastAsia="Times New Roman" w:cs="Arial"/>
          <w:color w:val="000000"/>
          <w:lang w:val="en-US"/>
        </w:rPr>
        <w:t>mg</w:t>
      </w:r>
      <w:r w:rsidRPr="00680FA6">
        <w:rPr>
          <w:rFonts w:eastAsia="Times New Roman" w:cs="Arial"/>
          <w:color w:val="000000"/>
          <w:lang w:val="ru-RU"/>
        </w:rPr>
        <w:t xml:space="preserve"> </w:t>
      </w:r>
      <w:r w:rsidRPr="00680FA6">
        <w:rPr>
          <w:rFonts w:eastAsia="Times New Roman" w:cs="Arial"/>
          <w:color w:val="000000"/>
          <w:lang w:eastAsia="bg-BG"/>
        </w:rPr>
        <w:t xml:space="preserve">лизиноприл и 12,5 </w:t>
      </w:r>
      <w:r w:rsidRPr="00680FA6">
        <w:rPr>
          <w:rFonts w:eastAsia="Times New Roman" w:cs="Arial"/>
          <w:color w:val="000000"/>
          <w:lang w:val="en-US"/>
        </w:rPr>
        <w:t>mg</w:t>
      </w:r>
      <w:r w:rsidRPr="00680FA6">
        <w:rPr>
          <w:rFonts w:eastAsia="Times New Roman" w:cs="Arial"/>
          <w:color w:val="000000"/>
          <w:lang w:val="ru-RU"/>
        </w:rPr>
        <w:t xml:space="preserve"> </w:t>
      </w:r>
      <w:r w:rsidRPr="00680FA6">
        <w:rPr>
          <w:rFonts w:eastAsia="Times New Roman" w:cs="Arial"/>
          <w:color w:val="000000"/>
          <w:lang w:eastAsia="bg-BG"/>
        </w:rPr>
        <w:t>хидрохлоротиазид при пациенти, при които е постигнато стабилизиране с отделните активни вещества, давани в същите дози като отделни лекарствени продукти.</w:t>
      </w:r>
    </w:p>
    <w:p w14:paraId="377C43FD" w14:textId="77777777" w:rsidR="00680FA6" w:rsidRPr="00680FA6" w:rsidRDefault="00680FA6" w:rsidP="00680FA6">
      <w:pPr>
        <w:rPr>
          <w:rFonts w:eastAsia="Times New Roman" w:cs="Arial"/>
          <w:color w:val="000000"/>
          <w:lang w:eastAsia="bg-BG"/>
        </w:rPr>
      </w:pPr>
    </w:p>
    <w:p w14:paraId="114475C2" w14:textId="35491D13" w:rsidR="00680FA6" w:rsidRPr="00680FA6" w:rsidRDefault="00680FA6" w:rsidP="00680FA6">
      <w:pPr>
        <w:rPr>
          <w:rFonts w:eastAsia="Times New Roman" w:cs="Arial"/>
          <w:color w:val="000000"/>
          <w:lang w:eastAsia="bg-BG"/>
        </w:rPr>
      </w:pPr>
      <w:r w:rsidRPr="00680FA6">
        <w:rPr>
          <w:rFonts w:eastAsia="Times New Roman" w:cs="Arial"/>
          <w:color w:val="000000"/>
          <w:lang w:eastAsia="bg-BG"/>
        </w:rPr>
        <w:t>Обичайната доза е една таблетка, приемана веднъж дневно. Като всички продукти, приемани веднъж дневно, Ко-Диротон трябва да се приема приблизително по едно и също време всеки ден.</w:t>
      </w:r>
    </w:p>
    <w:p w14:paraId="50ED2569" w14:textId="34C1203C" w:rsidR="00680FA6" w:rsidRPr="00680FA6" w:rsidRDefault="00680FA6" w:rsidP="00680FA6">
      <w:pPr>
        <w:rPr>
          <w:rFonts w:eastAsia="Times New Roman" w:cs="Arial"/>
          <w:color w:val="000000"/>
          <w:lang w:eastAsia="bg-BG"/>
        </w:rPr>
      </w:pPr>
    </w:p>
    <w:p w14:paraId="3D95C190" w14:textId="77777777" w:rsidR="00680FA6" w:rsidRPr="00680FA6" w:rsidRDefault="00680FA6" w:rsidP="00680FA6">
      <w:pPr>
        <w:spacing w:line="240" w:lineRule="auto"/>
        <w:rPr>
          <w:rFonts w:eastAsia="Times New Roman" w:cs="Arial"/>
        </w:rPr>
      </w:pPr>
      <w:r w:rsidRPr="00680FA6">
        <w:rPr>
          <w:rFonts w:eastAsia="Times New Roman" w:cs="Arial"/>
          <w:color w:val="000000"/>
          <w:lang w:eastAsia="bg-BG"/>
        </w:rPr>
        <w:t>По принцип, ако желаният терапевтичен ефект не се достигне в период от 2 до 4 седмици при това ниво на дозата, дозата може да бъде повишена на две таблетки, приемани веднъж дневно.</w:t>
      </w:r>
    </w:p>
    <w:p w14:paraId="4E9F131A" w14:textId="77777777" w:rsidR="00680FA6" w:rsidRPr="00680FA6" w:rsidRDefault="00680FA6" w:rsidP="00680FA6">
      <w:pPr>
        <w:spacing w:line="240" w:lineRule="auto"/>
        <w:rPr>
          <w:rFonts w:eastAsia="Times New Roman" w:cs="Arial"/>
          <w:i/>
          <w:iCs/>
          <w:color w:val="000000"/>
          <w:lang w:eastAsia="bg-BG"/>
        </w:rPr>
      </w:pPr>
    </w:p>
    <w:p w14:paraId="352F8622" w14:textId="51734807" w:rsidR="00680FA6" w:rsidRPr="00680FA6" w:rsidRDefault="00680FA6" w:rsidP="00680FA6">
      <w:pPr>
        <w:spacing w:line="240" w:lineRule="auto"/>
        <w:rPr>
          <w:rFonts w:eastAsia="Times New Roman" w:cs="Arial"/>
        </w:rPr>
      </w:pPr>
      <w:r w:rsidRPr="00680FA6">
        <w:rPr>
          <w:rFonts w:eastAsia="Times New Roman" w:cs="Arial"/>
          <w:i/>
          <w:iCs/>
          <w:color w:val="000000"/>
          <w:lang w:eastAsia="bg-BG"/>
        </w:rPr>
        <w:t>Бъбречно увреждане</w:t>
      </w:r>
    </w:p>
    <w:p w14:paraId="7B399180" w14:textId="77777777" w:rsidR="00680FA6" w:rsidRPr="00680FA6" w:rsidRDefault="00680FA6" w:rsidP="00680FA6">
      <w:pPr>
        <w:spacing w:line="240" w:lineRule="auto"/>
        <w:rPr>
          <w:rFonts w:eastAsia="Times New Roman" w:cs="Arial"/>
        </w:rPr>
      </w:pPr>
      <w:r w:rsidRPr="00680FA6">
        <w:rPr>
          <w:rFonts w:eastAsia="Times New Roman" w:cs="Arial"/>
          <w:color w:val="000000"/>
          <w:lang w:eastAsia="bg-BG"/>
        </w:rPr>
        <w:t xml:space="preserve">Тиазидите може да не са подходящи диуретици за употреба при пациенти с бъбречни увреждания и са неефективни при стойности на креатининовия клирънс 30 </w:t>
      </w:r>
      <w:r w:rsidRPr="00680FA6">
        <w:rPr>
          <w:rFonts w:eastAsia="Times New Roman" w:cs="Arial"/>
          <w:color w:val="000000"/>
          <w:lang w:val="en-US"/>
        </w:rPr>
        <w:t>ml</w:t>
      </w:r>
      <w:r w:rsidRPr="00680FA6">
        <w:rPr>
          <w:rFonts w:eastAsia="Times New Roman" w:cs="Arial"/>
          <w:color w:val="000000"/>
          <w:lang w:val="ru-RU"/>
        </w:rPr>
        <w:t>/</w:t>
      </w:r>
      <w:r w:rsidRPr="00680FA6">
        <w:rPr>
          <w:rFonts w:eastAsia="Times New Roman" w:cs="Arial"/>
          <w:color w:val="000000"/>
          <w:lang w:val="en-US"/>
        </w:rPr>
        <w:t>min</w:t>
      </w:r>
      <w:r w:rsidRPr="00680FA6">
        <w:rPr>
          <w:rFonts w:eastAsia="Times New Roman" w:cs="Arial"/>
          <w:color w:val="000000"/>
          <w:lang w:val="ru-RU"/>
        </w:rPr>
        <w:t xml:space="preserve"> </w:t>
      </w:r>
      <w:r w:rsidRPr="00680FA6">
        <w:rPr>
          <w:rFonts w:eastAsia="Times New Roman" w:cs="Arial"/>
          <w:color w:val="000000"/>
          <w:lang w:eastAsia="bg-BG"/>
        </w:rPr>
        <w:t>или по-ниски (т.е. умерена или тежка бъбречна недостатъчност).</w:t>
      </w:r>
    </w:p>
    <w:p w14:paraId="0584C481" w14:textId="77777777" w:rsidR="00680FA6" w:rsidRPr="00680FA6" w:rsidRDefault="00680FA6" w:rsidP="00680FA6">
      <w:pPr>
        <w:spacing w:line="240" w:lineRule="auto"/>
        <w:rPr>
          <w:rFonts w:eastAsia="Times New Roman" w:cs="Arial"/>
          <w:color w:val="000000"/>
          <w:lang w:eastAsia="bg-BG"/>
        </w:rPr>
      </w:pPr>
    </w:p>
    <w:p w14:paraId="6A8FE2D1" w14:textId="5A4AE01E" w:rsidR="00680FA6" w:rsidRPr="00680FA6" w:rsidRDefault="00680FA6" w:rsidP="00680FA6">
      <w:pPr>
        <w:spacing w:line="240" w:lineRule="auto"/>
        <w:rPr>
          <w:rFonts w:eastAsia="Times New Roman" w:cs="Arial"/>
        </w:rPr>
      </w:pPr>
      <w:r w:rsidRPr="00680FA6">
        <w:rPr>
          <w:rFonts w:eastAsia="Times New Roman" w:cs="Arial"/>
          <w:color w:val="000000"/>
          <w:lang w:eastAsia="bg-BG"/>
        </w:rPr>
        <w:t>Ко-Диротон не трябва да се употребява като начална терапия при пациенти с бъбречна недостатъчност.</w:t>
      </w:r>
    </w:p>
    <w:p w14:paraId="24C2A544" w14:textId="77777777" w:rsidR="00680FA6" w:rsidRPr="00680FA6" w:rsidRDefault="00680FA6" w:rsidP="00680FA6">
      <w:pPr>
        <w:spacing w:line="240" w:lineRule="auto"/>
        <w:rPr>
          <w:rFonts w:eastAsia="Times New Roman" w:cs="Arial"/>
          <w:color w:val="000000"/>
          <w:lang w:eastAsia="bg-BG"/>
        </w:rPr>
      </w:pPr>
    </w:p>
    <w:p w14:paraId="2CFD6DEE" w14:textId="6D20F778" w:rsidR="00680FA6" w:rsidRPr="00680FA6" w:rsidRDefault="00680FA6" w:rsidP="00680FA6">
      <w:pPr>
        <w:spacing w:line="240" w:lineRule="auto"/>
        <w:rPr>
          <w:rFonts w:eastAsia="Times New Roman" w:cs="Arial"/>
        </w:rPr>
      </w:pPr>
      <w:r w:rsidRPr="00680FA6">
        <w:rPr>
          <w:rFonts w:eastAsia="Times New Roman" w:cs="Arial"/>
          <w:color w:val="000000"/>
          <w:lang w:eastAsia="bg-BG"/>
        </w:rPr>
        <w:t xml:space="preserve">При пациенти с креатининов клирънс &gt;30 и &lt;80 </w:t>
      </w:r>
      <w:r w:rsidRPr="00680FA6">
        <w:rPr>
          <w:rFonts w:eastAsia="Times New Roman" w:cs="Arial"/>
          <w:color w:val="000000"/>
          <w:lang w:val="en-US"/>
        </w:rPr>
        <w:t>mL</w:t>
      </w:r>
      <w:r w:rsidRPr="00680FA6">
        <w:rPr>
          <w:rFonts w:eastAsia="Times New Roman" w:cs="Arial"/>
          <w:color w:val="000000"/>
          <w:lang w:val="ru-RU"/>
        </w:rPr>
        <w:t>/</w:t>
      </w:r>
      <w:r w:rsidRPr="00680FA6">
        <w:rPr>
          <w:rFonts w:eastAsia="Times New Roman" w:cs="Arial"/>
          <w:color w:val="000000"/>
          <w:lang w:val="en-US"/>
        </w:rPr>
        <w:t>min</w:t>
      </w:r>
      <w:r w:rsidRPr="00680FA6">
        <w:rPr>
          <w:rFonts w:eastAsia="Times New Roman" w:cs="Arial"/>
          <w:color w:val="000000"/>
          <w:lang w:val="ru-RU"/>
        </w:rPr>
        <w:t xml:space="preserve">), </w:t>
      </w:r>
      <w:r w:rsidRPr="00680FA6">
        <w:rPr>
          <w:rFonts w:eastAsia="Times New Roman" w:cs="Arial"/>
          <w:color w:val="000000"/>
          <w:lang w:eastAsia="bg-BG"/>
        </w:rPr>
        <w:t xml:space="preserve">Ко-Диротон може да се използва, но само след титриране на отделните компоненти. Препоръчваната доза лизиноприл, когато се използва самостоятелно при лека бъбречна недостатъчност, е 5 до 10 </w:t>
      </w:r>
      <w:r w:rsidRPr="00680FA6">
        <w:rPr>
          <w:rFonts w:eastAsia="Times New Roman" w:cs="Arial"/>
          <w:color w:val="000000"/>
          <w:lang w:val="en-US"/>
        </w:rPr>
        <w:t>mg</w:t>
      </w:r>
      <w:r w:rsidRPr="00680FA6">
        <w:rPr>
          <w:rFonts w:eastAsia="Times New Roman" w:cs="Arial"/>
          <w:color w:val="000000"/>
          <w:lang w:val="ru-RU"/>
        </w:rPr>
        <w:t>.</w:t>
      </w:r>
    </w:p>
    <w:p w14:paraId="50BC915A" w14:textId="77777777" w:rsidR="00680FA6" w:rsidRPr="00680FA6" w:rsidRDefault="00680FA6" w:rsidP="00680FA6">
      <w:pPr>
        <w:spacing w:line="240" w:lineRule="auto"/>
        <w:rPr>
          <w:rFonts w:eastAsia="Times New Roman" w:cs="Arial"/>
          <w:i/>
          <w:iCs/>
          <w:color w:val="000000"/>
          <w:lang w:eastAsia="bg-BG"/>
        </w:rPr>
      </w:pPr>
    </w:p>
    <w:p w14:paraId="116EFC8F" w14:textId="3134C6D4" w:rsidR="00680FA6" w:rsidRPr="00680FA6" w:rsidRDefault="00680FA6" w:rsidP="00680FA6">
      <w:pPr>
        <w:spacing w:line="240" w:lineRule="auto"/>
        <w:rPr>
          <w:rFonts w:eastAsia="Times New Roman" w:cs="Arial"/>
        </w:rPr>
      </w:pPr>
      <w:r w:rsidRPr="00680FA6">
        <w:rPr>
          <w:rFonts w:eastAsia="Times New Roman" w:cs="Arial"/>
          <w:i/>
          <w:iCs/>
          <w:color w:val="000000"/>
          <w:lang w:eastAsia="bg-BG"/>
        </w:rPr>
        <w:t>Предхождаща терапия с диуретици</w:t>
      </w:r>
    </w:p>
    <w:p w14:paraId="69DBBD28" w14:textId="77777777" w:rsidR="00680FA6" w:rsidRPr="00680FA6" w:rsidRDefault="00680FA6" w:rsidP="00680FA6">
      <w:pPr>
        <w:spacing w:line="240" w:lineRule="auto"/>
        <w:rPr>
          <w:rFonts w:eastAsia="Times New Roman" w:cs="Arial"/>
        </w:rPr>
      </w:pPr>
      <w:r w:rsidRPr="00680FA6">
        <w:rPr>
          <w:rFonts w:eastAsia="Times New Roman" w:cs="Arial"/>
          <w:color w:val="000000"/>
          <w:lang w:eastAsia="bg-BG"/>
        </w:rPr>
        <w:t xml:space="preserve">След прилагането на началната доза Ко-Диротон може да настъпи симптоматична хипотония; това е по-характерно за пациенти, при които има намаление на водно-електролитния баланс като резултат от предишно лечение с диуретици. Лечението с диуретици трябва да се прекрати 2-3 дни преди началото на лечението с Ко-Диротон. Ако това не е възможно, лечението трябва да се започне само с лизиноприл - 5 </w:t>
      </w:r>
      <w:r w:rsidRPr="00680FA6">
        <w:rPr>
          <w:rFonts w:eastAsia="Times New Roman" w:cs="Arial"/>
          <w:color w:val="000000"/>
          <w:lang w:val="en-US"/>
        </w:rPr>
        <w:t>mg</w:t>
      </w:r>
      <w:r w:rsidRPr="00680FA6">
        <w:rPr>
          <w:rFonts w:eastAsia="Times New Roman" w:cs="Arial"/>
          <w:color w:val="000000"/>
          <w:lang w:val="ru-RU"/>
        </w:rPr>
        <w:t xml:space="preserve"> </w:t>
      </w:r>
      <w:r w:rsidRPr="00680FA6">
        <w:rPr>
          <w:rFonts w:eastAsia="Times New Roman" w:cs="Arial"/>
          <w:color w:val="000000"/>
          <w:lang w:eastAsia="bg-BG"/>
        </w:rPr>
        <w:t>доза.</w:t>
      </w:r>
    </w:p>
    <w:p w14:paraId="6D856306" w14:textId="77777777" w:rsidR="00680FA6" w:rsidRPr="00680FA6" w:rsidRDefault="00680FA6" w:rsidP="00680FA6">
      <w:pPr>
        <w:spacing w:line="240" w:lineRule="auto"/>
        <w:rPr>
          <w:rFonts w:eastAsia="Times New Roman" w:cs="Arial"/>
          <w:i/>
          <w:iCs/>
          <w:color w:val="000000"/>
          <w:lang w:eastAsia="bg-BG"/>
        </w:rPr>
      </w:pPr>
    </w:p>
    <w:p w14:paraId="2DF4A51D" w14:textId="3F8507B4" w:rsidR="00680FA6" w:rsidRPr="00680FA6" w:rsidRDefault="00680FA6" w:rsidP="00680FA6">
      <w:pPr>
        <w:spacing w:line="240" w:lineRule="auto"/>
        <w:rPr>
          <w:rFonts w:eastAsia="Times New Roman" w:cs="Arial"/>
        </w:rPr>
      </w:pPr>
      <w:r w:rsidRPr="00680FA6">
        <w:rPr>
          <w:rFonts w:eastAsia="Times New Roman" w:cs="Arial"/>
          <w:i/>
          <w:iCs/>
          <w:color w:val="000000"/>
          <w:lang w:eastAsia="bg-BG"/>
        </w:rPr>
        <w:t>Старческа възраст</w:t>
      </w:r>
    </w:p>
    <w:p w14:paraId="1D6F0D7F" w14:textId="60307F00" w:rsidR="00680FA6" w:rsidRPr="00680FA6" w:rsidRDefault="00680FA6" w:rsidP="00680FA6">
      <w:pPr>
        <w:spacing w:line="240" w:lineRule="auto"/>
        <w:rPr>
          <w:rFonts w:eastAsia="Times New Roman" w:cs="Arial"/>
        </w:rPr>
      </w:pPr>
      <w:r w:rsidRPr="00680FA6">
        <w:rPr>
          <w:rFonts w:eastAsia="Times New Roman" w:cs="Arial"/>
          <w:color w:val="000000"/>
          <w:lang w:eastAsia="bg-BG"/>
        </w:rPr>
        <w:t>Не се налага корекция на дозата при пациенти в старческа възраст.</w:t>
      </w:r>
    </w:p>
    <w:p w14:paraId="17DDD72E" w14:textId="77777777" w:rsidR="00680FA6" w:rsidRPr="00680FA6" w:rsidRDefault="00680FA6" w:rsidP="00680FA6">
      <w:pPr>
        <w:spacing w:line="240" w:lineRule="auto"/>
        <w:rPr>
          <w:rFonts w:eastAsia="Times New Roman" w:cs="Arial"/>
          <w:color w:val="000000"/>
          <w:lang w:eastAsia="bg-BG"/>
        </w:rPr>
      </w:pPr>
    </w:p>
    <w:p w14:paraId="4865914F" w14:textId="7CD1CE22" w:rsidR="00680FA6" w:rsidRPr="00680FA6" w:rsidRDefault="00680FA6" w:rsidP="00680FA6">
      <w:pPr>
        <w:spacing w:line="240" w:lineRule="auto"/>
        <w:rPr>
          <w:rFonts w:eastAsia="Times New Roman" w:cs="Arial"/>
        </w:rPr>
      </w:pPr>
      <w:r w:rsidRPr="00680FA6">
        <w:rPr>
          <w:rFonts w:eastAsia="Times New Roman" w:cs="Arial"/>
          <w:color w:val="000000"/>
          <w:lang w:eastAsia="bg-BG"/>
        </w:rPr>
        <w:t>При клинични изпитвания ефикасността и поносимостга на лизиноприл и хидрохлоротиазид, прилагани едновременно, са подобни и при по-възрастни, и при по-млади пациенти с хипертония.</w:t>
      </w:r>
    </w:p>
    <w:p w14:paraId="6DC36A4C" w14:textId="77777777" w:rsidR="00680FA6" w:rsidRPr="00680FA6" w:rsidRDefault="00680FA6" w:rsidP="00680FA6">
      <w:pPr>
        <w:spacing w:line="240" w:lineRule="auto"/>
        <w:rPr>
          <w:rFonts w:eastAsia="Times New Roman" w:cs="Arial"/>
          <w:color w:val="000000"/>
          <w:lang w:eastAsia="bg-BG"/>
        </w:rPr>
      </w:pPr>
    </w:p>
    <w:p w14:paraId="7B846B2C" w14:textId="0E3A4DB2" w:rsidR="00680FA6" w:rsidRPr="00680FA6" w:rsidRDefault="00680FA6" w:rsidP="00680FA6">
      <w:pPr>
        <w:spacing w:line="240" w:lineRule="auto"/>
        <w:rPr>
          <w:rFonts w:eastAsia="Times New Roman" w:cs="Arial"/>
        </w:rPr>
      </w:pPr>
      <w:r w:rsidRPr="00680FA6">
        <w:rPr>
          <w:rFonts w:eastAsia="Times New Roman" w:cs="Arial"/>
          <w:color w:val="000000"/>
          <w:lang w:eastAsia="bg-BG"/>
        </w:rPr>
        <w:t xml:space="preserve">В границите на дозата 20-80 </w:t>
      </w:r>
      <w:r w:rsidRPr="00680FA6">
        <w:rPr>
          <w:rFonts w:eastAsia="Times New Roman" w:cs="Arial"/>
          <w:color w:val="000000"/>
          <w:lang w:val="en-US"/>
        </w:rPr>
        <w:t>mg</w:t>
      </w:r>
      <w:r w:rsidRPr="00680FA6">
        <w:rPr>
          <w:rFonts w:eastAsia="Times New Roman" w:cs="Arial"/>
          <w:color w:val="000000"/>
          <w:lang w:val="ru-RU"/>
        </w:rPr>
        <w:t xml:space="preserve"> </w:t>
      </w:r>
      <w:r w:rsidRPr="00680FA6">
        <w:rPr>
          <w:rFonts w:eastAsia="Times New Roman" w:cs="Arial"/>
          <w:color w:val="000000"/>
          <w:lang w:eastAsia="bg-BG"/>
        </w:rPr>
        <w:t>лизиноприл е ефективен в еднаква степен при пациенти в старческа възраст (на 65 години или повече) и при по-млади пациенти с хипертония, монотерапията с лизиноприл е толкова ефективна при намаляване на диастоличното кръвно налягане, колкото и монотерапията с хидрохлоротиазид или с атенолол. В клинични изпитвания е установено, че възрастта не оказва влияние върху поносимостга на лизиноприл.</w:t>
      </w:r>
    </w:p>
    <w:p w14:paraId="657D2D28" w14:textId="77777777" w:rsidR="00680FA6" w:rsidRPr="00680FA6" w:rsidRDefault="00680FA6" w:rsidP="00680FA6">
      <w:pPr>
        <w:spacing w:line="240" w:lineRule="auto"/>
        <w:rPr>
          <w:rFonts w:eastAsia="Times New Roman" w:cs="Arial"/>
          <w:i/>
          <w:iCs/>
          <w:color w:val="000000"/>
          <w:lang w:eastAsia="bg-BG"/>
        </w:rPr>
      </w:pPr>
    </w:p>
    <w:p w14:paraId="22107145" w14:textId="17670024" w:rsidR="00680FA6" w:rsidRPr="00680FA6" w:rsidRDefault="00680FA6" w:rsidP="00680FA6">
      <w:pPr>
        <w:spacing w:line="240" w:lineRule="auto"/>
        <w:rPr>
          <w:rFonts w:eastAsia="Times New Roman" w:cs="Arial"/>
        </w:rPr>
      </w:pPr>
      <w:r w:rsidRPr="00680FA6">
        <w:rPr>
          <w:rFonts w:eastAsia="Times New Roman" w:cs="Arial"/>
          <w:i/>
          <w:iCs/>
          <w:color w:val="000000"/>
          <w:lang w:eastAsia="bg-BG"/>
        </w:rPr>
        <w:t>Педиатрична популация</w:t>
      </w:r>
    </w:p>
    <w:p w14:paraId="6BD62853" w14:textId="77777777" w:rsidR="00680FA6" w:rsidRPr="00680FA6" w:rsidRDefault="00680FA6" w:rsidP="00680FA6">
      <w:pPr>
        <w:spacing w:line="240" w:lineRule="auto"/>
        <w:rPr>
          <w:rFonts w:eastAsia="Times New Roman" w:cs="Arial"/>
        </w:rPr>
      </w:pPr>
      <w:r w:rsidRPr="00680FA6">
        <w:rPr>
          <w:rFonts w:eastAsia="Times New Roman" w:cs="Arial"/>
          <w:color w:val="000000"/>
          <w:lang w:eastAsia="bg-BG"/>
        </w:rPr>
        <w:t>Безопасността и ефикасността при деца не е установена.</w:t>
      </w:r>
    </w:p>
    <w:p w14:paraId="35BFBA9E" w14:textId="77777777" w:rsidR="00680FA6" w:rsidRPr="00680FA6" w:rsidRDefault="00680FA6" w:rsidP="00680FA6">
      <w:pPr>
        <w:spacing w:line="240" w:lineRule="auto"/>
        <w:rPr>
          <w:rFonts w:eastAsia="Times New Roman" w:cs="Arial"/>
          <w:color w:val="000000"/>
          <w:u w:val="single"/>
          <w:lang w:eastAsia="bg-BG"/>
        </w:rPr>
      </w:pPr>
    </w:p>
    <w:p w14:paraId="11D5E434" w14:textId="021D367B" w:rsidR="00680FA6" w:rsidRPr="00680FA6" w:rsidRDefault="00680FA6" w:rsidP="00680FA6">
      <w:pPr>
        <w:pStyle w:val="Heading3"/>
        <w:rPr>
          <w:rFonts w:eastAsia="Times New Roman"/>
          <w:u w:val="single"/>
        </w:rPr>
      </w:pPr>
      <w:r w:rsidRPr="00680FA6">
        <w:rPr>
          <w:rFonts w:eastAsia="Times New Roman"/>
          <w:u w:val="single"/>
          <w:lang w:eastAsia="bg-BG"/>
        </w:rPr>
        <w:lastRenderedPageBreak/>
        <w:t>Начин на приложение</w:t>
      </w:r>
    </w:p>
    <w:p w14:paraId="71240D64" w14:textId="239FE073" w:rsidR="00680FA6" w:rsidRPr="00680FA6" w:rsidRDefault="00680FA6" w:rsidP="00680FA6">
      <w:pPr>
        <w:spacing w:line="240" w:lineRule="auto"/>
        <w:rPr>
          <w:rFonts w:eastAsia="Times New Roman" w:cs="Arial"/>
          <w:color w:val="000000"/>
          <w:lang w:eastAsia="bg-BG"/>
        </w:rPr>
      </w:pPr>
      <w:r w:rsidRPr="00680FA6">
        <w:rPr>
          <w:rFonts w:eastAsia="Times New Roman" w:cs="Arial"/>
          <w:color w:val="000000"/>
          <w:lang w:eastAsia="bg-BG"/>
        </w:rPr>
        <w:t>За перорално приложение.</w:t>
      </w:r>
    </w:p>
    <w:p w14:paraId="6FFE77A2" w14:textId="77777777" w:rsidR="00680FA6" w:rsidRPr="00680FA6" w:rsidRDefault="00680FA6" w:rsidP="00680FA6"/>
    <w:p w14:paraId="62B13D0B" w14:textId="47725D7D" w:rsidR="00395555" w:rsidRDefault="002C50EE" w:rsidP="008A6AF2">
      <w:pPr>
        <w:pStyle w:val="Heading2"/>
      </w:pPr>
      <w:r>
        <w:t>4.3. Противопоказания</w:t>
      </w:r>
    </w:p>
    <w:p w14:paraId="097969B8" w14:textId="11D95B23" w:rsidR="00680FA6" w:rsidRDefault="00680FA6" w:rsidP="00680FA6"/>
    <w:p w14:paraId="728EAC45" w14:textId="77777777" w:rsidR="00680FA6" w:rsidRPr="00680FA6" w:rsidRDefault="00680FA6" w:rsidP="00680FA6">
      <w:pPr>
        <w:pStyle w:val="ListParagraph"/>
        <w:numPr>
          <w:ilvl w:val="0"/>
          <w:numId w:val="32"/>
        </w:numPr>
        <w:rPr>
          <w:sz w:val="24"/>
          <w:szCs w:val="24"/>
        </w:rPr>
      </w:pPr>
      <w:r w:rsidRPr="00680FA6">
        <w:rPr>
          <w:lang w:eastAsia="bg-BG"/>
        </w:rPr>
        <w:t>Свръхчувствителност към активните вещества или към някое от помощните вещества, изброени в точка 6.1.</w:t>
      </w:r>
    </w:p>
    <w:p w14:paraId="6673BFC9" w14:textId="77777777" w:rsidR="00680FA6" w:rsidRPr="00680FA6" w:rsidRDefault="00680FA6" w:rsidP="00680FA6">
      <w:pPr>
        <w:pStyle w:val="ListParagraph"/>
        <w:numPr>
          <w:ilvl w:val="0"/>
          <w:numId w:val="32"/>
        </w:numPr>
        <w:rPr>
          <w:sz w:val="24"/>
          <w:szCs w:val="24"/>
        </w:rPr>
      </w:pPr>
      <w:r w:rsidRPr="00680FA6">
        <w:rPr>
          <w:lang w:eastAsia="bg-BG"/>
        </w:rPr>
        <w:t>Свръхчувствителност към друг инхибитор на ангиотензин-конвертиращия ензим (АСЕ). Свръхчувствителност към някакви сулфонамид-производни.</w:t>
      </w:r>
    </w:p>
    <w:p w14:paraId="01917171" w14:textId="77777777" w:rsidR="00680FA6" w:rsidRPr="00680FA6" w:rsidRDefault="00680FA6" w:rsidP="00680FA6">
      <w:pPr>
        <w:pStyle w:val="ListParagraph"/>
        <w:numPr>
          <w:ilvl w:val="0"/>
          <w:numId w:val="32"/>
        </w:numPr>
        <w:rPr>
          <w:sz w:val="24"/>
          <w:szCs w:val="24"/>
        </w:rPr>
      </w:pPr>
      <w:r w:rsidRPr="00680FA6">
        <w:rPr>
          <w:lang w:eastAsia="bg-BG"/>
        </w:rPr>
        <w:t>Анамнеза за ангиоедем, свързан с предхождаща терапия с АСЕ инхибитор.</w:t>
      </w:r>
    </w:p>
    <w:p w14:paraId="43B9B359" w14:textId="77777777" w:rsidR="00680FA6" w:rsidRPr="00680FA6" w:rsidRDefault="00680FA6" w:rsidP="00680FA6">
      <w:pPr>
        <w:pStyle w:val="ListParagraph"/>
        <w:numPr>
          <w:ilvl w:val="0"/>
          <w:numId w:val="32"/>
        </w:numPr>
        <w:rPr>
          <w:sz w:val="24"/>
          <w:szCs w:val="24"/>
        </w:rPr>
      </w:pPr>
      <w:r w:rsidRPr="00680FA6">
        <w:rPr>
          <w:lang w:eastAsia="bg-BG"/>
        </w:rPr>
        <w:t>Наследствен или идиопатичен ангиоедем.</w:t>
      </w:r>
    </w:p>
    <w:p w14:paraId="4622391F" w14:textId="77777777" w:rsidR="00680FA6" w:rsidRPr="00680FA6" w:rsidRDefault="00680FA6" w:rsidP="00680FA6">
      <w:pPr>
        <w:pStyle w:val="ListParagraph"/>
        <w:numPr>
          <w:ilvl w:val="0"/>
          <w:numId w:val="32"/>
        </w:numPr>
        <w:rPr>
          <w:sz w:val="24"/>
          <w:szCs w:val="24"/>
        </w:rPr>
      </w:pPr>
      <w:r w:rsidRPr="00680FA6">
        <w:rPr>
          <w:lang w:eastAsia="bg-BG"/>
        </w:rPr>
        <w:t>Втори и трети триместъри на бременността (вж. точки 4.4 и 4.6).</w:t>
      </w:r>
    </w:p>
    <w:p w14:paraId="29F62CC2" w14:textId="5E6F7E0C" w:rsidR="00680FA6" w:rsidRPr="00680FA6" w:rsidRDefault="00680FA6" w:rsidP="00680FA6">
      <w:pPr>
        <w:pStyle w:val="ListParagraph"/>
        <w:numPr>
          <w:ilvl w:val="0"/>
          <w:numId w:val="32"/>
        </w:numPr>
        <w:rPr>
          <w:sz w:val="24"/>
          <w:szCs w:val="24"/>
        </w:rPr>
      </w:pPr>
      <w:r w:rsidRPr="00680FA6">
        <w:rPr>
          <w:lang w:eastAsia="bg-BG"/>
        </w:rPr>
        <w:t xml:space="preserve">Тежка бъбречна недостатъчност (креатининов клирънс &lt;30 </w:t>
      </w:r>
      <w:r w:rsidRPr="00680FA6">
        <w:rPr>
          <w:lang w:val="en-US"/>
        </w:rPr>
        <w:t>mL</w:t>
      </w:r>
      <w:r w:rsidRPr="00680FA6">
        <w:rPr>
          <w:lang w:val="ru-RU"/>
        </w:rPr>
        <w:t>/</w:t>
      </w:r>
      <w:r w:rsidRPr="00680FA6">
        <w:rPr>
          <w:lang w:val="en-US"/>
        </w:rPr>
        <w:t>min</w:t>
      </w:r>
      <w:r w:rsidRPr="00680FA6">
        <w:rPr>
          <w:lang w:val="ru-RU"/>
        </w:rPr>
        <w:t>).</w:t>
      </w:r>
    </w:p>
    <w:p w14:paraId="76437197" w14:textId="76E7AFA3" w:rsidR="00680FA6" w:rsidRPr="00680FA6" w:rsidRDefault="00680FA6" w:rsidP="00680FA6">
      <w:pPr>
        <w:pStyle w:val="ListParagraph"/>
        <w:numPr>
          <w:ilvl w:val="0"/>
          <w:numId w:val="32"/>
        </w:numPr>
        <w:rPr>
          <w:sz w:val="24"/>
          <w:szCs w:val="24"/>
        </w:rPr>
      </w:pPr>
      <w:r>
        <w:t>Анургия</w:t>
      </w:r>
    </w:p>
    <w:p w14:paraId="370C1E01" w14:textId="5113AC3E" w:rsidR="00680FA6" w:rsidRPr="00680FA6" w:rsidRDefault="00680FA6" w:rsidP="00680FA6">
      <w:pPr>
        <w:pStyle w:val="ListParagraph"/>
        <w:numPr>
          <w:ilvl w:val="0"/>
          <w:numId w:val="32"/>
        </w:numPr>
        <w:rPr>
          <w:sz w:val="24"/>
          <w:szCs w:val="24"/>
        </w:rPr>
      </w:pPr>
      <w:r w:rsidRPr="00680FA6">
        <w:rPr>
          <w:lang w:eastAsia="bg-BG"/>
        </w:rPr>
        <w:t>Тежко чернодробно увреждане.</w:t>
      </w:r>
    </w:p>
    <w:p w14:paraId="66E7DC3C" w14:textId="77777777" w:rsidR="00680FA6" w:rsidRPr="00680FA6" w:rsidRDefault="00680FA6" w:rsidP="00680FA6">
      <w:pPr>
        <w:pStyle w:val="ListParagraph"/>
        <w:numPr>
          <w:ilvl w:val="0"/>
          <w:numId w:val="32"/>
        </w:numPr>
        <w:rPr>
          <w:sz w:val="24"/>
          <w:szCs w:val="24"/>
        </w:rPr>
      </w:pPr>
      <w:r w:rsidRPr="00680FA6">
        <w:rPr>
          <w:lang w:eastAsia="bg-BG"/>
        </w:rPr>
        <w:t>Едновременната употреба на Ко-Диротон с алискирен-съдържащи</w:t>
      </w:r>
      <w:r w:rsidRPr="00680FA6">
        <w:rPr>
          <w:lang w:val="ru-RU"/>
        </w:rPr>
        <w:t xml:space="preserve"> </w:t>
      </w:r>
      <w:r w:rsidRPr="00680FA6">
        <w:rPr>
          <w:lang w:eastAsia="bg-BG"/>
        </w:rPr>
        <w:t>продукти е</w:t>
      </w:r>
    </w:p>
    <w:p w14:paraId="5A8A1665" w14:textId="7AC3AFA5" w:rsidR="00680FA6" w:rsidRDefault="00680FA6" w:rsidP="00680FA6">
      <w:pPr>
        <w:pStyle w:val="ListParagraph"/>
        <w:numPr>
          <w:ilvl w:val="0"/>
          <w:numId w:val="32"/>
        </w:numPr>
        <w:rPr>
          <w:lang w:eastAsia="bg-BG"/>
        </w:rPr>
      </w:pPr>
      <w:r w:rsidRPr="00680FA6">
        <w:rPr>
          <w:lang w:eastAsia="bg-BG"/>
        </w:rPr>
        <w:t>противопоказана при пациенти със захарен диабет или бъбречно увреждане (</w:t>
      </w:r>
      <w:r w:rsidRPr="00680FA6">
        <w:rPr>
          <w:lang w:val="en-US"/>
        </w:rPr>
        <w:t>GFR</w:t>
      </w:r>
      <w:r w:rsidRPr="00680FA6">
        <w:rPr>
          <w:lang w:val="ru-RU"/>
        </w:rPr>
        <w:t xml:space="preserve"> &lt;60</w:t>
      </w:r>
      <w:r w:rsidRPr="00680FA6">
        <w:rPr>
          <w:i/>
          <w:iCs/>
          <w:lang w:val="ru-RU"/>
        </w:rPr>
        <w:t xml:space="preserve"> </w:t>
      </w:r>
      <w:r w:rsidRPr="00680FA6">
        <w:rPr>
          <w:lang w:val="en-US"/>
        </w:rPr>
        <w:t>mL</w:t>
      </w:r>
      <w:r w:rsidRPr="00680FA6">
        <w:rPr>
          <w:lang w:val="ru-RU"/>
        </w:rPr>
        <w:t>/</w:t>
      </w:r>
      <w:r w:rsidRPr="00680FA6">
        <w:rPr>
          <w:lang w:val="en-US"/>
        </w:rPr>
        <w:t>min</w:t>
      </w:r>
      <w:r w:rsidRPr="00680FA6">
        <w:rPr>
          <w:lang w:val="ru-RU"/>
        </w:rPr>
        <w:t xml:space="preserve">/1,73 </w:t>
      </w:r>
      <w:r w:rsidRPr="00680FA6">
        <w:rPr>
          <w:lang w:val="en-US"/>
        </w:rPr>
        <w:t>m</w:t>
      </w:r>
      <w:r w:rsidRPr="00680FA6">
        <w:rPr>
          <w:vertAlign w:val="superscript"/>
          <w:lang w:val="ru-RU"/>
        </w:rPr>
        <w:t>2</w:t>
      </w:r>
      <w:r w:rsidRPr="00680FA6">
        <w:rPr>
          <w:lang w:val="ru-RU"/>
        </w:rPr>
        <w:t xml:space="preserve">) </w:t>
      </w:r>
      <w:r w:rsidRPr="00680FA6">
        <w:rPr>
          <w:lang w:eastAsia="bg-BG"/>
        </w:rPr>
        <w:t>(вж. точки 4.5 и 5.1)</w:t>
      </w:r>
    </w:p>
    <w:p w14:paraId="7037C865" w14:textId="77777777" w:rsidR="00680FA6" w:rsidRPr="00680FA6" w:rsidRDefault="00680FA6" w:rsidP="00680FA6">
      <w:pPr>
        <w:pStyle w:val="ListParagraph"/>
        <w:numPr>
          <w:ilvl w:val="0"/>
          <w:numId w:val="32"/>
        </w:numPr>
        <w:rPr>
          <w:sz w:val="24"/>
          <w:szCs w:val="24"/>
        </w:rPr>
      </w:pPr>
      <w:r w:rsidRPr="00680FA6">
        <w:rPr>
          <w:lang w:eastAsia="bg-BG"/>
        </w:rPr>
        <w:t>Съпътстваща употреба при терапия със сакубитрил/валсартан. Цилазаприл не трябва да се започва по-рано от 36 часа след последната доза сакубитрил/валсартан (вж. също точки 4.4 и 4.5).</w:t>
      </w:r>
    </w:p>
    <w:p w14:paraId="1FF3B277" w14:textId="63123208" w:rsidR="00680FA6" w:rsidRPr="00680FA6" w:rsidRDefault="00680FA6" w:rsidP="00680FA6"/>
    <w:p w14:paraId="5A4AC413" w14:textId="50E9AF20" w:rsidR="00395555" w:rsidRDefault="002C50EE" w:rsidP="008A6AF2">
      <w:pPr>
        <w:pStyle w:val="Heading2"/>
      </w:pPr>
      <w:r>
        <w:t>4.4. Специални предупреждения и предпазни мерки при употреба</w:t>
      </w:r>
    </w:p>
    <w:p w14:paraId="2FF031DF" w14:textId="2CB60A49" w:rsidR="00566CBD" w:rsidRDefault="00566CBD" w:rsidP="00566CBD"/>
    <w:p w14:paraId="7187D5D9" w14:textId="7777777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Симптоматична хипотония</w:t>
      </w:r>
    </w:p>
    <w:p w14:paraId="0323D99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Симптоматична хипотония се наблюдава рядко при пациенти с неусложнена хипертония, но е по- вероятно да се наблюдава ако пациентите са със загуба на течности, напр. вследствие на диуретична терапия, диета с ограничение на солта, диализа, диария или повръщане или тежка ренин-зависима хипертония (вж. точки 4.5 и 4.8). При такива пациенти серумните електролити трябва да се определят редовно, на подходящи интервали. При пациенти с повишен риск от развитие на симптоматична хипотония, началото на терапията и коригирането на дозата, трябва да се извършват внимателно под медицинско наблюдение. Особено внимание се изисква при пациенти с исхемична болест на сърцето или мозъчно-съдова болест, тъй като рязкото спадане на кръвното налягане може да доведе до инфаркт на миокарда или мозъчно-съдов инцидент.</w:t>
      </w:r>
    </w:p>
    <w:p w14:paraId="73D4540C" w14:textId="77777777" w:rsidR="00566CBD" w:rsidRPr="00566CBD" w:rsidRDefault="00566CBD" w:rsidP="00566CBD">
      <w:pPr>
        <w:spacing w:line="240" w:lineRule="auto"/>
        <w:rPr>
          <w:rFonts w:eastAsia="Times New Roman" w:cs="Arial"/>
          <w:color w:val="000000"/>
          <w:lang w:eastAsia="bg-BG"/>
        </w:rPr>
      </w:pPr>
    </w:p>
    <w:p w14:paraId="115F8E7D" w14:textId="0E8DDFEE" w:rsidR="00566CBD" w:rsidRPr="00566CBD" w:rsidRDefault="00566CBD" w:rsidP="00566CBD">
      <w:pPr>
        <w:spacing w:line="240" w:lineRule="auto"/>
        <w:rPr>
          <w:rFonts w:eastAsia="Times New Roman" w:cs="Arial"/>
        </w:rPr>
      </w:pPr>
      <w:r w:rsidRPr="00566CBD">
        <w:rPr>
          <w:rFonts w:eastAsia="Times New Roman" w:cs="Arial"/>
          <w:color w:val="000000"/>
          <w:lang w:eastAsia="bg-BG"/>
        </w:rPr>
        <w:t>Ако се появи хипотония, пациентът трябва да бъде поставен в легнало положение и, ако е необходимо, да се направи интравенозно вливане на нормален физиологиченн разтвор. Преходна хипотонична реакция не е противопоказание за по-нататъшно приложение. След като се възстановят ефективният кръвен обем и налягане е възможно повторно започване на терапията с намалена доза; също е възможно някой от компонентите да се използва самостоятелно.</w:t>
      </w:r>
    </w:p>
    <w:p w14:paraId="7EE6B443" w14:textId="77777777" w:rsidR="00566CBD" w:rsidRPr="00566CBD" w:rsidRDefault="00566CBD" w:rsidP="00566CBD">
      <w:pPr>
        <w:spacing w:line="240" w:lineRule="auto"/>
        <w:rPr>
          <w:rFonts w:eastAsia="Times New Roman" w:cs="Arial"/>
          <w:color w:val="000000"/>
          <w:lang w:eastAsia="bg-BG"/>
        </w:rPr>
      </w:pPr>
    </w:p>
    <w:p w14:paraId="19EA04F7" w14:textId="33A93F1B"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някои пациенти със сърдечна недостатъчност, които имат нормално или ниско артериално налягане може да се наблюдава допълнително понижаване на системното артериално налягане с лизиноприл. Този ефект е очакван и обикновено не е причина за прекратяване на лечението. Ако хипотонията стане симптоматична може да се наложи понижаване на дозата или прекратяване на лечението с лизиноприл- хидрохлоротиазид.</w:t>
      </w:r>
    </w:p>
    <w:p w14:paraId="2234231A" w14:textId="77777777" w:rsidR="00566CBD" w:rsidRPr="00566CBD" w:rsidRDefault="00566CBD" w:rsidP="00566CBD">
      <w:pPr>
        <w:spacing w:line="240" w:lineRule="auto"/>
        <w:rPr>
          <w:rFonts w:eastAsia="Times New Roman" w:cs="Arial"/>
          <w:i/>
          <w:iCs/>
          <w:color w:val="000000"/>
          <w:lang w:eastAsia="bg-BG"/>
        </w:rPr>
      </w:pPr>
    </w:p>
    <w:p w14:paraId="41CD4103" w14:textId="739E7D26"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Стеноза на аортната и митралната клапа/хипертрофична кардиомиопатия</w:t>
      </w:r>
    </w:p>
    <w:p w14:paraId="7A43DC4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Както и другите АСЕ инхибитори, лизиноприл трябва да се прилага с повишено внимание при пациенти със стеноза на митралната клапа и обструкция на изходящия кръвен поток от лявата камера, като аортна стеноза или хипертрофична кардиомиопатия.</w:t>
      </w:r>
    </w:p>
    <w:p w14:paraId="5EE3C781" w14:textId="77777777" w:rsidR="00566CBD" w:rsidRPr="00566CBD" w:rsidRDefault="00566CBD" w:rsidP="00566CBD">
      <w:pPr>
        <w:spacing w:line="240" w:lineRule="auto"/>
        <w:rPr>
          <w:rFonts w:eastAsia="Times New Roman" w:cs="Arial"/>
          <w:i/>
          <w:iCs/>
          <w:color w:val="000000"/>
          <w:lang w:eastAsia="bg-BG"/>
        </w:rPr>
      </w:pPr>
    </w:p>
    <w:p w14:paraId="1866F8AC" w14:textId="45335F82"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Двойна блокада на ренин-ангиотензин-алдостероновата система (РААС)</w:t>
      </w:r>
    </w:p>
    <w:p w14:paraId="415EA6A4"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Има данни, че едновременната употреба на АСЕ инхибитори, ангиотензин П-рецепторни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П-рецепторни блокери или алискирен (вж. точки 4.5 и 5.1).</w:t>
      </w:r>
    </w:p>
    <w:p w14:paraId="672BB858"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34BEED9"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АСЕ инхибитори и ангиотензин </w:t>
      </w:r>
      <w:r w:rsidRPr="00566CBD">
        <w:rPr>
          <w:rFonts w:eastAsia="Times New Roman" w:cs="Arial"/>
          <w:color w:val="000000"/>
          <w:lang w:val="en-US"/>
        </w:rPr>
        <w:t>II</w:t>
      </w:r>
      <w:r w:rsidRPr="00566CBD">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64235562" w14:textId="77777777" w:rsidR="00566CBD" w:rsidRPr="00566CBD" w:rsidRDefault="00566CBD" w:rsidP="00566CBD">
      <w:pPr>
        <w:spacing w:line="240" w:lineRule="auto"/>
        <w:rPr>
          <w:rFonts w:eastAsia="Times New Roman" w:cs="Arial"/>
          <w:i/>
          <w:iCs/>
          <w:color w:val="000000"/>
          <w:lang w:eastAsia="bg-BG"/>
        </w:rPr>
      </w:pPr>
    </w:p>
    <w:p w14:paraId="6316BD5E" w14:textId="6369926D"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Бъбречно увреждане</w:t>
      </w:r>
    </w:p>
    <w:p w14:paraId="5EB556ED" w14:textId="3A8F7F1F" w:rsidR="00566CBD" w:rsidRPr="00566CBD" w:rsidRDefault="00566CBD" w:rsidP="00566CBD">
      <w:pPr>
        <w:rPr>
          <w:rFonts w:eastAsia="Times New Roman" w:cs="Arial"/>
          <w:color w:val="000000"/>
          <w:lang w:eastAsia="bg-BG"/>
        </w:rPr>
      </w:pPr>
      <w:r w:rsidRPr="00566CBD">
        <w:rPr>
          <w:rFonts w:eastAsia="Times New Roman" w:cs="Arial"/>
          <w:color w:val="000000"/>
          <w:lang w:eastAsia="bg-BG"/>
        </w:rPr>
        <w:t xml:space="preserve">Тиазидите може да не са подходящи за употреба диуретици при пациенти с бъбречно увреждане и са неефективни при стойности на креатининовия клирънс 30 </w:t>
      </w:r>
      <w:r w:rsidRPr="00566CBD">
        <w:rPr>
          <w:rFonts w:eastAsia="Times New Roman" w:cs="Arial"/>
          <w:color w:val="000000"/>
          <w:lang w:val="en-US"/>
        </w:rPr>
        <w:t>mL</w:t>
      </w:r>
      <w:r w:rsidRPr="00566CBD">
        <w:rPr>
          <w:rFonts w:eastAsia="Times New Roman" w:cs="Arial"/>
          <w:color w:val="000000"/>
          <w:lang w:val="ru-RU"/>
        </w:rPr>
        <w:t>/</w:t>
      </w:r>
      <w:r w:rsidRPr="00566CBD">
        <w:rPr>
          <w:rFonts w:eastAsia="Times New Roman" w:cs="Arial"/>
          <w:color w:val="000000"/>
          <w:lang w:val="en-US"/>
        </w:rPr>
        <w:t>min</w:t>
      </w:r>
      <w:r w:rsidRPr="00566CBD">
        <w:rPr>
          <w:rFonts w:eastAsia="Times New Roman" w:cs="Arial"/>
          <w:color w:val="000000"/>
          <w:lang w:val="ru-RU"/>
        </w:rPr>
        <w:t xml:space="preserve"> </w:t>
      </w:r>
      <w:r w:rsidRPr="00566CBD">
        <w:rPr>
          <w:rFonts w:eastAsia="Times New Roman" w:cs="Arial"/>
          <w:color w:val="000000"/>
          <w:lang w:eastAsia="bg-BG"/>
        </w:rPr>
        <w:t>или по-малко</w:t>
      </w:r>
      <w:r w:rsidRPr="00566CBD">
        <w:rPr>
          <w:rFonts w:eastAsia="Times New Roman" w:cs="Arial"/>
          <w:color w:val="000000"/>
          <w:lang w:val="ru-RU"/>
        </w:rPr>
        <w:t xml:space="preserve"> (</w:t>
      </w:r>
      <w:r w:rsidRPr="00566CBD">
        <w:rPr>
          <w:rFonts w:eastAsia="Times New Roman" w:cs="Arial"/>
          <w:color w:val="000000"/>
          <w:lang w:eastAsia="bg-BG"/>
        </w:rPr>
        <w:t>съответстващи на умерена или тежка бъбречна недостатъчност).</w:t>
      </w:r>
    </w:p>
    <w:p w14:paraId="2E0C9F08" w14:textId="353DB66C" w:rsidR="00566CBD" w:rsidRPr="00566CBD" w:rsidRDefault="00566CBD" w:rsidP="00566CBD">
      <w:pPr>
        <w:rPr>
          <w:rFonts w:eastAsia="Times New Roman" w:cs="Arial"/>
          <w:color w:val="000000"/>
          <w:lang w:eastAsia="bg-BG"/>
        </w:rPr>
      </w:pPr>
    </w:p>
    <w:p w14:paraId="3434FF88"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Лизиноприл/хидрохлоротиазид не трябва да се прилага при пациенти с бъбречна недостатъчност (креатининов клирънс по-малко или равно на &lt;80 </w:t>
      </w:r>
      <w:r w:rsidRPr="00566CBD">
        <w:rPr>
          <w:rFonts w:eastAsia="Times New Roman" w:cs="Arial"/>
          <w:color w:val="000000"/>
          <w:lang w:val="en-US"/>
        </w:rPr>
        <w:t>mL</w:t>
      </w:r>
      <w:r w:rsidRPr="00566CBD">
        <w:rPr>
          <w:rFonts w:eastAsia="Times New Roman" w:cs="Arial"/>
          <w:color w:val="000000"/>
          <w:lang w:val="ru-RU"/>
        </w:rPr>
        <w:t>/</w:t>
      </w:r>
      <w:r w:rsidRPr="00566CBD">
        <w:rPr>
          <w:rFonts w:eastAsia="Times New Roman" w:cs="Arial"/>
          <w:color w:val="000000"/>
          <w:lang w:val="en-US"/>
        </w:rPr>
        <w:t>min</w:t>
      </w:r>
      <w:r w:rsidRPr="00566CBD">
        <w:rPr>
          <w:rFonts w:eastAsia="Times New Roman" w:cs="Arial"/>
          <w:color w:val="000000"/>
          <w:lang w:val="ru-RU"/>
        </w:rPr>
        <w:t xml:space="preserve">), </w:t>
      </w:r>
      <w:r w:rsidRPr="00566CBD">
        <w:rPr>
          <w:rFonts w:eastAsia="Times New Roman" w:cs="Arial"/>
          <w:color w:val="000000"/>
          <w:lang w:eastAsia="bg-BG"/>
        </w:rPr>
        <w:t>докато титрирането на отделните компоненти не покаже нужда от дозите, налични в комбинираната таблетка.</w:t>
      </w:r>
    </w:p>
    <w:p w14:paraId="295301AD" w14:textId="77777777" w:rsidR="00566CBD" w:rsidRPr="00566CBD" w:rsidRDefault="00566CBD" w:rsidP="00566CBD">
      <w:pPr>
        <w:spacing w:line="240" w:lineRule="auto"/>
        <w:rPr>
          <w:rFonts w:eastAsia="Times New Roman" w:cs="Arial"/>
          <w:color w:val="000000"/>
          <w:lang w:eastAsia="bg-BG"/>
        </w:rPr>
      </w:pPr>
    </w:p>
    <w:p w14:paraId="703BD16E" w14:textId="557CA1AB"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пациенти със сърдечна недостатъчност, хипотония, наблюдаваща се след започване на лечението с АСЕ-инхибитори може да доведе до по-нататъшното влошаване на бъбречната функция. В такива случаи има съобщения за остра бъбречна недостатъчност, обикновено обратима.</w:t>
      </w:r>
    </w:p>
    <w:p w14:paraId="67196D22" w14:textId="77777777" w:rsidR="00566CBD" w:rsidRPr="00566CBD" w:rsidRDefault="00566CBD" w:rsidP="00566CBD">
      <w:pPr>
        <w:spacing w:line="240" w:lineRule="auto"/>
        <w:rPr>
          <w:rFonts w:eastAsia="Times New Roman" w:cs="Arial"/>
          <w:color w:val="000000"/>
          <w:lang w:eastAsia="bg-BG"/>
        </w:rPr>
      </w:pPr>
    </w:p>
    <w:p w14:paraId="41DE5EAC" w14:textId="171DA396"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някои пациенти с двустранна стеноза на бъбречната артерия или със стеноза на артерията към единствен бъбрек, които са били лекувани с инхибитори на ангиотензин-конвертиращия ензим, са наблюдавани повишение на кръвната урея и серумния креатинин, обикновено обратими при прекъсване на терапията. Това е особено вероятно при пациенти с бъбречна недостатъчност. Ако също така е налице и бъбречносъдова хипертония, съществува повишен риск от тежка хипотония и бъбречна недостатъчност. При такива пациенти, лечението трябва да се провежда под непосредствено медицинско наблюдение с ниски дози и внимателно титриране на дозата. Тъй като лечението с диуретици може да е фактор, който допринася за гореспоменатото, бъбречната функция трябва да се наблюдава по време на първите няколко седмици на лечението с лизиноприл/хидрохлоротиазид.</w:t>
      </w:r>
    </w:p>
    <w:p w14:paraId="5C05354C" w14:textId="77777777" w:rsidR="00566CBD" w:rsidRPr="00566CBD" w:rsidRDefault="00566CBD" w:rsidP="00566CBD">
      <w:pPr>
        <w:spacing w:line="240" w:lineRule="auto"/>
        <w:rPr>
          <w:rFonts w:eastAsia="Times New Roman" w:cs="Arial"/>
          <w:color w:val="000000"/>
          <w:lang w:eastAsia="bg-BG"/>
        </w:rPr>
      </w:pPr>
    </w:p>
    <w:p w14:paraId="0AE2D41D" w14:textId="621F0B66"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някои пациенти с хипертония, без изявено преди това бъбречно заболяване, се развива обикновено незначително и преходно повишаване на кръвната урея и серумния креатинин, когато лизиноприл се прилага заедно с диуретик.</w:t>
      </w:r>
    </w:p>
    <w:p w14:paraId="312B3863" w14:textId="77777777" w:rsidR="00566CBD" w:rsidRPr="00566CBD" w:rsidRDefault="00566CBD" w:rsidP="00566CBD">
      <w:pPr>
        <w:spacing w:line="240" w:lineRule="auto"/>
        <w:rPr>
          <w:rFonts w:eastAsia="Times New Roman" w:cs="Arial"/>
          <w:color w:val="000000"/>
          <w:lang w:eastAsia="bg-BG"/>
        </w:rPr>
      </w:pPr>
    </w:p>
    <w:p w14:paraId="3AF01807" w14:textId="70741A8B" w:rsidR="00566CBD" w:rsidRPr="00566CBD" w:rsidRDefault="00566CBD" w:rsidP="00566CBD">
      <w:pPr>
        <w:spacing w:line="240" w:lineRule="auto"/>
        <w:rPr>
          <w:rFonts w:eastAsia="Times New Roman" w:cs="Arial"/>
        </w:rPr>
      </w:pPr>
      <w:r w:rsidRPr="00566CBD">
        <w:rPr>
          <w:rFonts w:eastAsia="Times New Roman" w:cs="Arial"/>
          <w:color w:val="000000"/>
          <w:lang w:eastAsia="bg-BG"/>
        </w:rPr>
        <w:lastRenderedPageBreak/>
        <w:t>Това е по-вероятно да се появи при пациенти с предшестващо бъбречно увреждане. Необходимо е понижаване на дозата и/или прекратяване на лечението с диуретика и/или лизиноприл.</w:t>
      </w:r>
    </w:p>
    <w:p w14:paraId="33FA5C5C" w14:textId="77777777" w:rsidR="00566CBD" w:rsidRPr="00566CBD" w:rsidRDefault="00566CBD" w:rsidP="00566CBD">
      <w:pPr>
        <w:spacing w:line="240" w:lineRule="auto"/>
        <w:rPr>
          <w:rFonts w:eastAsia="Times New Roman" w:cs="Arial"/>
          <w:i/>
          <w:iCs/>
          <w:color w:val="000000"/>
          <w:lang w:eastAsia="bg-BG"/>
        </w:rPr>
      </w:pPr>
    </w:p>
    <w:p w14:paraId="27D6A6ED" w14:textId="4EDA9E5E"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Преди лечение с диуретик</w:t>
      </w:r>
    </w:p>
    <w:p w14:paraId="70CE9887"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Терапията с диуретици трябва да бъде преустановена 2-3 дни преди започване на лечението с лизиноприл/хидрохлоротиазид. Ако това не е възможно, лечението трябва да започне само с лизиноприл в доза от 5 </w:t>
      </w:r>
      <w:r w:rsidRPr="00566CBD">
        <w:rPr>
          <w:rFonts w:eastAsia="Times New Roman" w:cs="Arial"/>
          <w:color w:val="000000"/>
          <w:lang w:val="en-US"/>
        </w:rPr>
        <w:t>mg</w:t>
      </w:r>
      <w:r w:rsidRPr="00566CBD">
        <w:rPr>
          <w:rFonts w:eastAsia="Times New Roman" w:cs="Arial"/>
          <w:color w:val="000000"/>
          <w:lang w:val="ru-RU"/>
        </w:rPr>
        <w:t>.</w:t>
      </w:r>
    </w:p>
    <w:p w14:paraId="2D02023A" w14:textId="77777777" w:rsidR="00566CBD" w:rsidRPr="00566CBD" w:rsidRDefault="00566CBD" w:rsidP="00566CBD">
      <w:pPr>
        <w:spacing w:line="240" w:lineRule="auto"/>
        <w:rPr>
          <w:rFonts w:eastAsia="Times New Roman" w:cs="Arial"/>
          <w:i/>
          <w:iCs/>
          <w:color w:val="000000"/>
          <w:lang w:eastAsia="bg-BG"/>
        </w:rPr>
      </w:pPr>
    </w:p>
    <w:p w14:paraId="40BE695B" w14:textId="26B5F19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Бъбречна трансплантация</w:t>
      </w:r>
    </w:p>
    <w:p w14:paraId="63DC9AB4"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Не трябва да се използва, тъй като няма опит с пациенти, при които наскоро е трансплантиран бъбрек.</w:t>
      </w:r>
    </w:p>
    <w:p w14:paraId="71D4CF9C" w14:textId="77777777" w:rsidR="00566CBD" w:rsidRPr="00566CBD" w:rsidRDefault="00566CBD" w:rsidP="00566CBD">
      <w:pPr>
        <w:spacing w:line="240" w:lineRule="auto"/>
        <w:rPr>
          <w:rFonts w:eastAsia="Times New Roman" w:cs="Arial"/>
          <w:i/>
          <w:iCs/>
          <w:color w:val="000000"/>
          <w:lang w:eastAsia="bg-BG"/>
        </w:rPr>
      </w:pPr>
    </w:p>
    <w:p w14:paraId="2127D2A5" w14:textId="411C32C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Анафилактоидни реакции при пациенти на хемодиализа</w:t>
      </w:r>
    </w:p>
    <w:p w14:paraId="0FC8C2F6"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Употребата на лизиноприл/хидрохлоротиазид не е показана при пациенти, които се нуждаят от диализа поради бъбречна недостатъчност.</w:t>
      </w:r>
    </w:p>
    <w:p w14:paraId="23EC01A1"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Анафилактоидни реакции са наблюдавани при пациенти, провеждащи хемодиализа (напр. с високо пропускливи мембрани </w:t>
      </w:r>
      <w:r w:rsidRPr="00566CBD">
        <w:rPr>
          <w:rFonts w:eastAsia="Times New Roman" w:cs="Arial"/>
          <w:color w:val="000000"/>
          <w:lang w:val="en-US"/>
        </w:rPr>
        <w:t>AN</w:t>
      </w:r>
      <w:r w:rsidRPr="00566CBD">
        <w:rPr>
          <w:rFonts w:eastAsia="Times New Roman" w:cs="Arial"/>
          <w:color w:val="000000"/>
          <w:lang w:val="ru-RU"/>
        </w:rPr>
        <w:t xml:space="preserve"> </w:t>
      </w:r>
      <w:r w:rsidRPr="00566CBD">
        <w:rPr>
          <w:rFonts w:eastAsia="Times New Roman" w:cs="Arial"/>
          <w:color w:val="000000"/>
          <w:lang w:eastAsia="bg-BG"/>
        </w:rPr>
        <w:t xml:space="preserve">69) и по време на липопротеинова афереза с ниска плътност </w:t>
      </w:r>
      <w:r w:rsidRPr="00566CBD">
        <w:rPr>
          <w:rFonts w:eastAsia="Times New Roman" w:cs="Arial"/>
          <w:color w:val="000000"/>
          <w:lang w:val="ru-RU"/>
        </w:rPr>
        <w:t>(</w:t>
      </w:r>
      <w:r w:rsidRPr="00566CBD">
        <w:rPr>
          <w:rFonts w:eastAsia="Times New Roman" w:cs="Arial"/>
          <w:color w:val="000000"/>
          <w:lang w:val="en-US"/>
        </w:rPr>
        <w:t>LDL</w:t>
      </w:r>
      <w:r w:rsidRPr="00566CBD">
        <w:rPr>
          <w:rFonts w:eastAsia="Times New Roman" w:cs="Arial"/>
          <w:color w:val="000000"/>
          <w:lang w:val="ru-RU"/>
        </w:rPr>
        <w:t xml:space="preserve">) </w:t>
      </w:r>
      <w:r w:rsidRPr="00566CBD">
        <w:rPr>
          <w:rFonts w:eastAsia="Times New Roman" w:cs="Arial"/>
          <w:color w:val="000000"/>
          <w:lang w:eastAsia="bg-BG"/>
        </w:rPr>
        <w:t>с декстран сулфат и лекувани едновременно с АСЕ-инхибитор. При такива пациенти трябва да се обсъди използването на друг вид диализни мембрани или на друг клас антихипертензивни средства.</w:t>
      </w:r>
    </w:p>
    <w:p w14:paraId="641C073E" w14:textId="77777777" w:rsidR="00566CBD" w:rsidRPr="00566CBD" w:rsidRDefault="00566CBD" w:rsidP="00566CBD">
      <w:pPr>
        <w:spacing w:line="240" w:lineRule="auto"/>
        <w:rPr>
          <w:rFonts w:eastAsia="Times New Roman" w:cs="Arial"/>
          <w:i/>
          <w:iCs/>
          <w:color w:val="000000"/>
          <w:lang w:eastAsia="bg-BG"/>
        </w:rPr>
      </w:pPr>
    </w:p>
    <w:p w14:paraId="3007420D" w14:textId="4DB9987E"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 xml:space="preserve">Анафилактоидниреакции, свързани с липопротеинова афереза с ниска плътност </w:t>
      </w:r>
      <w:r w:rsidRPr="00566CBD">
        <w:rPr>
          <w:rFonts w:eastAsia="Times New Roman" w:cs="Arial"/>
          <w:i/>
          <w:iCs/>
          <w:color w:val="000000"/>
          <w:lang w:val="ru-RU"/>
        </w:rPr>
        <w:t>(</w:t>
      </w:r>
      <w:r w:rsidRPr="00566CBD">
        <w:rPr>
          <w:rFonts w:eastAsia="Times New Roman" w:cs="Arial"/>
          <w:i/>
          <w:iCs/>
          <w:color w:val="000000"/>
          <w:lang w:val="en-US"/>
        </w:rPr>
        <w:t>LDL</w:t>
      </w:r>
      <w:r w:rsidRPr="00566CBD">
        <w:rPr>
          <w:rFonts w:eastAsia="Times New Roman" w:cs="Arial"/>
          <w:i/>
          <w:iCs/>
          <w:color w:val="000000"/>
          <w:lang w:val="ru-RU"/>
        </w:rPr>
        <w:t>)</w:t>
      </w:r>
    </w:p>
    <w:p w14:paraId="217DA7EB"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В редки случаи пациенти, лекувани с АСЕ инхибитори, получават животозастрашаващи анафилактични реакции по време на липопротеинова афереза с ниска плътност </w:t>
      </w:r>
      <w:r w:rsidRPr="00566CBD">
        <w:rPr>
          <w:rFonts w:eastAsia="Times New Roman" w:cs="Arial"/>
          <w:color w:val="000000"/>
          <w:lang w:val="ru-RU"/>
        </w:rPr>
        <w:t>(</w:t>
      </w:r>
      <w:r w:rsidRPr="00566CBD">
        <w:rPr>
          <w:rFonts w:eastAsia="Times New Roman" w:cs="Arial"/>
          <w:color w:val="000000"/>
          <w:lang w:val="en-US"/>
        </w:rPr>
        <w:t>LDL</w:t>
      </w:r>
      <w:r w:rsidRPr="00566CBD">
        <w:rPr>
          <w:rFonts w:eastAsia="Times New Roman" w:cs="Arial"/>
          <w:color w:val="000000"/>
          <w:lang w:val="ru-RU"/>
        </w:rPr>
        <w:t xml:space="preserve">) </w:t>
      </w:r>
      <w:r w:rsidRPr="00566CBD">
        <w:rPr>
          <w:rFonts w:eastAsia="Times New Roman" w:cs="Arial"/>
          <w:color w:val="000000"/>
          <w:lang w:eastAsia="bg-BG"/>
        </w:rPr>
        <w:t>с декстран сулфат. Тези реакции могат да се избегнат чрез временно прекъсване на терапията с АСЕ инхибитори преди всяка афереза.</w:t>
      </w:r>
    </w:p>
    <w:p w14:paraId="4B77CB28" w14:textId="77777777" w:rsidR="00566CBD" w:rsidRPr="00566CBD" w:rsidRDefault="00566CBD" w:rsidP="00566CBD">
      <w:pPr>
        <w:spacing w:line="240" w:lineRule="auto"/>
        <w:rPr>
          <w:rFonts w:eastAsia="Times New Roman" w:cs="Arial"/>
          <w:i/>
          <w:iCs/>
          <w:color w:val="000000"/>
          <w:lang w:eastAsia="bg-BG"/>
        </w:rPr>
      </w:pPr>
    </w:p>
    <w:p w14:paraId="6C9FA8E0" w14:textId="0C2D934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Чернодробно заболяване</w:t>
      </w:r>
    </w:p>
    <w:p w14:paraId="441E96A8"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Тиазидните диуретици трябва да се прилагат с повишено внимание при пациенти с нарушена чернодробна функция или прогресиращо чернодробно заболяване, тъй като минимални промени във водно-електролитния баланс могат да доведат до хепатална кома (вж. точка 4.3). Рядко </w:t>
      </w:r>
      <w:r w:rsidRPr="00566CBD">
        <w:rPr>
          <w:rFonts w:eastAsia="Times New Roman" w:cs="Arial"/>
          <w:color w:val="000000"/>
          <w:lang w:val="en-US"/>
        </w:rPr>
        <w:t>ACE</w:t>
      </w:r>
      <w:r w:rsidRPr="00566CBD">
        <w:rPr>
          <w:rFonts w:eastAsia="Times New Roman" w:cs="Arial"/>
          <w:color w:val="000000"/>
          <w:lang w:val="ru-RU"/>
        </w:rPr>
        <w:t xml:space="preserve"> </w:t>
      </w:r>
    </w:p>
    <w:p w14:paraId="6486797B"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инхибиторите се свързват със синдром, който започва с холестатична жълтеница или хепатит и прогресира до внезапно и бързоразвиваща се некроза и (понякога) смърт. Механизъм на този</w:t>
      </w:r>
    </w:p>
    <w:p w14:paraId="69B83F47" w14:textId="77777777" w:rsidR="00566CBD" w:rsidRPr="00566CBD" w:rsidRDefault="00566CBD" w:rsidP="00566CBD">
      <w:pPr>
        <w:rPr>
          <w:rFonts w:eastAsia="Times New Roman" w:cs="Arial"/>
        </w:rPr>
      </w:pPr>
      <w:r w:rsidRPr="00566CBD">
        <w:rPr>
          <w:rFonts w:eastAsia="Times New Roman" w:cs="Arial"/>
          <w:color w:val="000000"/>
          <w:lang w:eastAsia="bg-BG"/>
        </w:rPr>
        <w:t>синдром не е изяснен. При пациентите, които приемат лизиноприл/хидрохлоротиазид, и които</w:t>
      </w:r>
      <w:r w:rsidRPr="00566CBD">
        <w:rPr>
          <w:rFonts w:eastAsia="Times New Roman" w:cs="Arial"/>
          <w:color w:val="000000"/>
          <w:lang w:val="ru-RU" w:eastAsia="bg-BG"/>
        </w:rPr>
        <w:t xml:space="preserve"> </w:t>
      </w:r>
      <w:r w:rsidRPr="00566CBD">
        <w:rPr>
          <w:rFonts w:eastAsia="Times New Roman" w:cs="Arial"/>
          <w:color w:val="000000"/>
          <w:lang w:eastAsia="bg-BG"/>
        </w:rPr>
        <w:t>развиват жълтеница или изразено повишаване на чернодробните ензими, лизиноприл/хидрохлоротиазид трябва да се спре и да се проведе подходящо медицинско проследяване.</w:t>
      </w:r>
    </w:p>
    <w:p w14:paraId="2AC4C0B8" w14:textId="77777777" w:rsidR="00566CBD" w:rsidRPr="00566CBD" w:rsidRDefault="00566CBD" w:rsidP="00566CBD">
      <w:pPr>
        <w:spacing w:line="240" w:lineRule="auto"/>
        <w:rPr>
          <w:rFonts w:eastAsia="Times New Roman" w:cs="Arial"/>
          <w:i/>
          <w:iCs/>
          <w:color w:val="000000"/>
          <w:lang w:eastAsia="bg-BG"/>
        </w:rPr>
      </w:pPr>
    </w:p>
    <w:p w14:paraId="5C6065BA" w14:textId="334CF7A2"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Хирургия/анестезия</w:t>
      </w:r>
    </w:p>
    <w:p w14:paraId="792B6FB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По време на големи хирургични интервенции или по време на анестезия с лекарства, които предизвикват хипотония, лизиноприл може да блокира вторичното образуване на ангиотензин II в отговор на компенсаторното освобождаване на ренин. Хипотония, за която се счита, че е настъпила по този механизъм, може да се коригира с увеличаване на обема.</w:t>
      </w:r>
    </w:p>
    <w:p w14:paraId="0BA0CF36" w14:textId="77777777" w:rsidR="00566CBD" w:rsidRPr="00566CBD" w:rsidRDefault="00566CBD" w:rsidP="00566CBD">
      <w:pPr>
        <w:spacing w:line="240" w:lineRule="auto"/>
        <w:rPr>
          <w:rFonts w:eastAsia="Times New Roman" w:cs="Arial"/>
          <w:i/>
          <w:iCs/>
          <w:color w:val="000000"/>
          <w:lang w:eastAsia="bg-BG"/>
        </w:rPr>
      </w:pPr>
    </w:p>
    <w:p w14:paraId="126A26A3" w14:textId="5922158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Метаболитни и ендокринни реакции</w:t>
      </w:r>
    </w:p>
    <w:p w14:paraId="0D58FCA1"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lastRenderedPageBreak/>
        <w:t>Терапията с АСЕ-инхибитори и тиазиди може да наруши глюкозния толеранс. Може да е необходима корекция на дозата на антидиабетните лекарства, включително и на инсулина. При пациенти с диабет, лекувани с перорални андидиабетни средства или инсулин, нивата на кръвната захар по време на първия месец от лечението с АСЕ-инхибитор трябва да бъдат мониторирани внимателно.</w:t>
      </w:r>
    </w:p>
    <w:p w14:paraId="53E1045D" w14:textId="77777777" w:rsidR="00566CBD" w:rsidRPr="00566CBD" w:rsidRDefault="00566CBD" w:rsidP="00566CBD">
      <w:pPr>
        <w:spacing w:line="240" w:lineRule="auto"/>
        <w:rPr>
          <w:rFonts w:eastAsia="Times New Roman" w:cs="Arial"/>
          <w:color w:val="000000"/>
          <w:lang w:eastAsia="bg-BG"/>
        </w:rPr>
      </w:pPr>
    </w:p>
    <w:p w14:paraId="29E075EB" w14:textId="333A0510" w:rsidR="00566CBD" w:rsidRPr="00566CBD" w:rsidRDefault="00566CBD" w:rsidP="00566CBD">
      <w:pPr>
        <w:spacing w:line="240" w:lineRule="auto"/>
        <w:rPr>
          <w:rFonts w:eastAsia="Times New Roman" w:cs="Arial"/>
        </w:rPr>
      </w:pPr>
      <w:r w:rsidRPr="00566CBD">
        <w:rPr>
          <w:rFonts w:eastAsia="Times New Roman" w:cs="Arial"/>
          <w:color w:val="000000"/>
          <w:lang w:eastAsia="bg-BG"/>
        </w:rPr>
        <w:t>По време на терапията с тиазиди може да се прояви латентен захарен диабет.</w:t>
      </w:r>
    </w:p>
    <w:p w14:paraId="655314ED" w14:textId="77777777" w:rsidR="00566CBD" w:rsidRPr="00566CBD" w:rsidRDefault="00566CBD" w:rsidP="00566CBD">
      <w:pPr>
        <w:spacing w:line="240" w:lineRule="auto"/>
        <w:rPr>
          <w:rFonts w:eastAsia="Times New Roman" w:cs="Arial"/>
          <w:color w:val="000000"/>
          <w:lang w:eastAsia="bg-BG"/>
        </w:rPr>
      </w:pPr>
    </w:p>
    <w:p w14:paraId="23189283" w14:textId="7A713D8C" w:rsidR="00566CBD" w:rsidRPr="00566CBD" w:rsidRDefault="00566CBD" w:rsidP="00566CBD">
      <w:pPr>
        <w:spacing w:line="240" w:lineRule="auto"/>
        <w:rPr>
          <w:rFonts w:eastAsia="Times New Roman" w:cs="Arial"/>
        </w:rPr>
      </w:pPr>
      <w:r w:rsidRPr="00566CBD">
        <w:rPr>
          <w:rFonts w:eastAsia="Times New Roman" w:cs="Arial"/>
          <w:color w:val="000000"/>
          <w:lang w:eastAsia="bg-BG"/>
        </w:rPr>
        <w:t>Повишаването на нивата на холестерола и триглицеридите може да се свърже с диуретичната терапия с тиазиди.</w:t>
      </w:r>
    </w:p>
    <w:p w14:paraId="7A1EFF64" w14:textId="77777777" w:rsidR="00566CBD" w:rsidRPr="00566CBD" w:rsidRDefault="00566CBD" w:rsidP="00566CBD">
      <w:pPr>
        <w:spacing w:line="240" w:lineRule="auto"/>
        <w:rPr>
          <w:rFonts w:eastAsia="Times New Roman" w:cs="Arial"/>
          <w:color w:val="000000"/>
          <w:lang w:eastAsia="bg-BG"/>
        </w:rPr>
      </w:pPr>
    </w:p>
    <w:p w14:paraId="00B972C7" w14:textId="3F56A5AF" w:rsidR="00566CBD" w:rsidRPr="00566CBD" w:rsidRDefault="00566CBD" w:rsidP="00566CBD">
      <w:pPr>
        <w:spacing w:line="240" w:lineRule="auto"/>
        <w:rPr>
          <w:rFonts w:eastAsia="Times New Roman" w:cs="Arial"/>
        </w:rPr>
      </w:pPr>
      <w:r w:rsidRPr="00566CBD">
        <w:rPr>
          <w:rFonts w:eastAsia="Times New Roman" w:cs="Arial"/>
          <w:color w:val="000000"/>
          <w:lang w:eastAsia="bg-BG"/>
        </w:rPr>
        <w:t>Терапията с тиазиди може да засили хиперурикемията и/или подаграта при някои пациенти. Въпреки това, лизиноприл може да увеличи пикочната киселина в урината и по този начин може да намали хиперурикемичния ефект на хидрохлоротиазид.</w:t>
      </w:r>
    </w:p>
    <w:p w14:paraId="1F198F81" w14:textId="77777777" w:rsidR="00566CBD" w:rsidRPr="00566CBD" w:rsidRDefault="00566CBD" w:rsidP="00566CBD">
      <w:pPr>
        <w:spacing w:line="240" w:lineRule="auto"/>
        <w:rPr>
          <w:rFonts w:eastAsia="Times New Roman" w:cs="Arial"/>
          <w:i/>
          <w:iCs/>
          <w:color w:val="000000"/>
          <w:lang w:eastAsia="bg-BG"/>
        </w:rPr>
      </w:pPr>
    </w:p>
    <w:p w14:paraId="6574DED5" w14:textId="123890D9"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Електролитен дисбаланс</w:t>
      </w:r>
    </w:p>
    <w:p w14:paraId="4F958777"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Както при всички пациенти получаващи диуретична терапия, така и тук трябва да се провежда периодичен контрол на серумните електролити на подходящи интервали.</w:t>
      </w:r>
    </w:p>
    <w:p w14:paraId="367ACFB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Тиазидите, включително хидрохлоротиазид, могат да предизвикат воден или електролитен дисбаланс (хипокалиемия, хипонатриемия и хипохлоремична алкалоза). Предупреждаващи признаци на водния или електролитен дисбаланс са сухота в устата, жажда, слабост, летаргия, сънливост, мускулни болки или крампи, мускулна умора, хипотензия, олигурия, тахикардия и гастро-интестинални нарушения, като гадене или повръщане. При горещо време може да се наблюдава дилуционна хипонатриемия при пациенти с отоци. Хлорният дефицит като цяло е умерен и не е необходимо лечение. Доказано е, че тиазидите повишават магнезиевата екскреция през бъбреците, което може да доведе до хипомагнезиемия.</w:t>
      </w:r>
    </w:p>
    <w:p w14:paraId="207FD0D7"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Тиазидните диуретцици могат да понижат уринната калциева екскреция и да предизвикат периодично и слабо повишаване на серумния калций. Значителната хиперкалциемия може да е доказателство за скрит хиперпарагиреоидизъм. Преди изследване на функцията на паратиреоидните жлези, приемът на тиазиди трябва да бъде преустановен.</w:t>
      </w:r>
    </w:p>
    <w:p w14:paraId="32DB9B68" w14:textId="77777777" w:rsidR="00566CBD" w:rsidRPr="00566CBD" w:rsidRDefault="00566CBD" w:rsidP="00566CBD">
      <w:pPr>
        <w:spacing w:line="240" w:lineRule="auto"/>
        <w:rPr>
          <w:rFonts w:eastAsia="Times New Roman" w:cs="Arial"/>
          <w:i/>
          <w:iCs/>
          <w:color w:val="000000"/>
          <w:lang w:eastAsia="bg-BG"/>
        </w:rPr>
      </w:pPr>
    </w:p>
    <w:p w14:paraId="627B7968" w14:textId="32A303F5"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Хиперкалиемия</w:t>
      </w:r>
    </w:p>
    <w:p w14:paraId="35ED788D"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или такива пациенти, които употребяват други лекарства, свързани с повишаване на серумния калий (напр. хепарин, триметоприм или комбинацията триметоприм/сулфаметоксазол известна също като ко- тримоксазол) и особено антагонисти на алдостерона или ангиотензин-рецепторни блокери, може да възникне хиперкалиемия. Ако прилагането на описаните по-горе продукти се счита за подходящо се препоръчва редовно проследяване на серумния калий и бъбречната функция (вж.точка 4.5)</w:t>
      </w:r>
    </w:p>
    <w:p w14:paraId="5FB5239E" w14:textId="77777777" w:rsidR="00566CBD" w:rsidRPr="00566CBD" w:rsidRDefault="00566CBD" w:rsidP="00566CBD">
      <w:pPr>
        <w:rPr>
          <w:rFonts w:eastAsia="Times New Roman" w:cs="Arial"/>
          <w:i/>
          <w:iCs/>
          <w:color w:val="000000"/>
          <w:lang w:eastAsia="bg-BG"/>
        </w:rPr>
      </w:pPr>
    </w:p>
    <w:p w14:paraId="1B8C0FC6" w14:textId="43244129" w:rsidR="00566CBD" w:rsidRPr="00566CBD" w:rsidRDefault="00566CBD" w:rsidP="00566CBD">
      <w:pPr>
        <w:rPr>
          <w:rFonts w:eastAsia="Times New Roman" w:cs="Arial"/>
          <w:i/>
          <w:iCs/>
          <w:color w:val="000000"/>
          <w:lang w:eastAsia="bg-BG"/>
        </w:rPr>
      </w:pPr>
      <w:r w:rsidRPr="00566CBD">
        <w:rPr>
          <w:rFonts w:eastAsia="Times New Roman" w:cs="Arial"/>
          <w:i/>
          <w:iCs/>
          <w:color w:val="000000"/>
          <w:lang w:eastAsia="bg-BG"/>
        </w:rPr>
        <w:t>Диабетици</w:t>
      </w:r>
    </w:p>
    <w:p w14:paraId="35B80253"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диабетици, които провеждат лечение с перорални ангидиабетни средства или инсулин, трябва да се осъществява редовен гликемичен контрол по време на първия месец от лечението с АСЕ-инхибитор (вж. точка 4.5).</w:t>
      </w:r>
    </w:p>
    <w:p w14:paraId="0EAA01E2" w14:textId="77777777" w:rsidR="00566CBD" w:rsidRPr="00566CBD" w:rsidRDefault="00566CBD" w:rsidP="00566CBD">
      <w:pPr>
        <w:spacing w:line="240" w:lineRule="auto"/>
        <w:rPr>
          <w:rFonts w:eastAsia="Times New Roman" w:cs="Arial"/>
          <w:i/>
          <w:iCs/>
          <w:color w:val="000000"/>
          <w:lang w:eastAsia="bg-BG"/>
        </w:rPr>
      </w:pPr>
    </w:p>
    <w:p w14:paraId="6F3DE9B0" w14:textId="3C972D1A"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Свръхчувствителност/ангиоедем</w:t>
      </w:r>
    </w:p>
    <w:p w14:paraId="353B0657" w14:textId="55B319A3" w:rsidR="00566CBD" w:rsidRPr="00566CBD" w:rsidRDefault="00566CBD" w:rsidP="00566CBD">
      <w:pPr>
        <w:pStyle w:val="ListParagraph"/>
        <w:numPr>
          <w:ilvl w:val="0"/>
          <w:numId w:val="32"/>
        </w:numPr>
        <w:spacing w:line="240" w:lineRule="auto"/>
        <w:rPr>
          <w:rFonts w:eastAsia="Times New Roman" w:cs="Arial"/>
        </w:rPr>
      </w:pPr>
      <w:r w:rsidRPr="00566CBD">
        <w:rPr>
          <w:rFonts w:eastAsia="Times New Roman" w:cs="Arial"/>
          <w:color w:val="000000"/>
          <w:u w:val="single"/>
          <w:lang w:eastAsia="bg-BG"/>
        </w:rPr>
        <w:lastRenderedPageBreak/>
        <w:t>АСЕ-инхибитори</w:t>
      </w:r>
    </w:p>
    <w:p w14:paraId="346F05C2"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пациенти, лекувани с инхибитори на ангиотензин-конвертиращия ензим, в това число и лизиноприл са съобщавани ангиоедем на лицето, крайниците, устните, езика, глотиса и/или ларинкса, които не са чести. Това може да се случи по всяко време на лечението. В такива случаи, лечението с лизиноприл се преустановява веднага и се предприема подходящо лечение и наблюдение, за да се осигури пълно отзвучаване на симптомите, преди да се изпише пациентът. Дори и в случаи на ограничен оток само на езика, без респираторен дистрес, може да е необходимо продължително наблюдение на пациентите, тъй като лечението с антихистамини и кортикостероиди може да не е достатъчно.</w:t>
      </w:r>
    </w:p>
    <w:p w14:paraId="2C88D5E2" w14:textId="77777777" w:rsidR="00566CBD" w:rsidRPr="00566CBD" w:rsidRDefault="00566CBD" w:rsidP="00566CBD">
      <w:pPr>
        <w:spacing w:line="240" w:lineRule="auto"/>
        <w:rPr>
          <w:rFonts w:eastAsia="Times New Roman" w:cs="Arial"/>
          <w:color w:val="000000"/>
          <w:lang w:eastAsia="bg-BG"/>
        </w:rPr>
      </w:pPr>
    </w:p>
    <w:p w14:paraId="223CA843" w14:textId="2B1700DD" w:rsidR="00566CBD" w:rsidRPr="00566CBD" w:rsidRDefault="00566CBD" w:rsidP="00566CBD">
      <w:pPr>
        <w:spacing w:line="240" w:lineRule="auto"/>
        <w:rPr>
          <w:rFonts w:eastAsia="Times New Roman" w:cs="Arial"/>
        </w:rPr>
      </w:pPr>
      <w:r w:rsidRPr="00566CBD">
        <w:rPr>
          <w:rFonts w:eastAsia="Times New Roman" w:cs="Arial"/>
          <w:color w:val="000000"/>
          <w:lang w:eastAsia="bg-BG"/>
        </w:rPr>
        <w:t>Много рядко се съобщава за фатален изход, поради ангиоедем, свързан с оток на ларинкса или езика. Пациенти, при които са засегнати езика, глотиса или ларинкса,е възможно да възникне обструкция на дихателните пътища, особено при тези с анамнеза за операция на дихателните пътища. При такива случаи трябва да се проведе незабавно спешна терапия. Това включва прилагане на адреналин и/или поддържане на проходимостта на дихателните пътища на пациента. Пациентът трябва да бъде под внимателно медицинско наблюдение до пълно и трайно изчезване на симптомите.</w:t>
      </w:r>
    </w:p>
    <w:p w14:paraId="50BBF5F7" w14:textId="77777777" w:rsidR="00566CBD" w:rsidRPr="00566CBD" w:rsidRDefault="00566CBD" w:rsidP="00566CBD">
      <w:pPr>
        <w:spacing w:line="240" w:lineRule="auto"/>
        <w:rPr>
          <w:rFonts w:eastAsia="Times New Roman" w:cs="Arial"/>
          <w:color w:val="000000"/>
          <w:lang w:eastAsia="bg-BG"/>
        </w:rPr>
      </w:pPr>
    </w:p>
    <w:p w14:paraId="0C0FE271" w14:textId="18821067" w:rsidR="00566CBD" w:rsidRPr="00566CBD" w:rsidRDefault="00566CBD" w:rsidP="00566CBD">
      <w:pPr>
        <w:spacing w:line="240" w:lineRule="auto"/>
        <w:rPr>
          <w:rFonts w:eastAsia="Times New Roman" w:cs="Arial"/>
        </w:rPr>
      </w:pPr>
      <w:r w:rsidRPr="00566CBD">
        <w:rPr>
          <w:rFonts w:eastAsia="Times New Roman" w:cs="Arial"/>
          <w:color w:val="000000"/>
          <w:lang w:eastAsia="bg-BG"/>
        </w:rPr>
        <w:t>Инхибиторите на ангиотензин-конвертиращия ензин предизвикват ангиоедем с по-висока честота при чернокожи пациенти, отколкото при пациенти, които не са чернокожи.</w:t>
      </w:r>
    </w:p>
    <w:p w14:paraId="56DB4931" w14:textId="77777777" w:rsidR="00566CBD" w:rsidRPr="00566CBD" w:rsidRDefault="00566CBD" w:rsidP="00566CBD">
      <w:pPr>
        <w:spacing w:line="240" w:lineRule="auto"/>
        <w:rPr>
          <w:rFonts w:eastAsia="Times New Roman" w:cs="Arial"/>
          <w:color w:val="000000"/>
          <w:lang w:eastAsia="bg-BG"/>
        </w:rPr>
      </w:pPr>
    </w:p>
    <w:p w14:paraId="586EC332" w14:textId="55D7E78F"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пациенти с анамнеза за ангиоедем, несвързан с терапия с АСЕ-инхибитори, може да има увеличен риск от ангиоедем, докато приемат АСЕ-инхибитор (вж. точка 4.3).</w:t>
      </w:r>
    </w:p>
    <w:p w14:paraId="7F623CC8" w14:textId="77777777" w:rsidR="00566CBD" w:rsidRPr="00566CBD" w:rsidRDefault="00566CBD" w:rsidP="00566CBD">
      <w:pPr>
        <w:spacing w:line="240" w:lineRule="auto"/>
        <w:rPr>
          <w:rFonts w:eastAsia="Times New Roman" w:cs="Arial"/>
          <w:color w:val="000000"/>
          <w:lang w:eastAsia="bg-BG"/>
        </w:rPr>
      </w:pPr>
    </w:p>
    <w:p w14:paraId="2C432D35" w14:textId="3593BA63" w:rsidR="00566CBD" w:rsidRPr="00566CBD" w:rsidRDefault="00566CBD" w:rsidP="00566CBD">
      <w:pPr>
        <w:spacing w:line="240" w:lineRule="auto"/>
        <w:rPr>
          <w:rFonts w:eastAsia="Times New Roman" w:cs="Arial"/>
        </w:rPr>
      </w:pPr>
      <w:r w:rsidRPr="00566CBD">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282A0E24"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Съпътстващата употреба на АСЕ инхибитори с рацекадотрил, </w:t>
      </w:r>
      <w:proofErr w:type="spellStart"/>
      <w:r w:rsidRPr="00566CBD">
        <w:rPr>
          <w:rFonts w:eastAsia="Times New Roman" w:cs="Arial"/>
          <w:color w:val="000000"/>
          <w:lang w:val="en-US"/>
        </w:rPr>
        <w:t>mTOR</w:t>
      </w:r>
      <w:proofErr w:type="spellEnd"/>
      <w:r w:rsidRPr="00566CBD">
        <w:rPr>
          <w:rFonts w:eastAsia="Times New Roman" w:cs="Arial"/>
          <w:color w:val="000000"/>
          <w:lang w:val="ru-RU"/>
        </w:rPr>
        <w:t xml:space="preserve"> </w:t>
      </w:r>
      <w:r w:rsidRPr="00566CBD">
        <w:rPr>
          <w:rFonts w:eastAsia="Times New Roman" w:cs="Arial"/>
          <w:color w:val="000000"/>
          <w:lang w:eastAsia="bg-BG"/>
        </w:rPr>
        <w:t>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w:t>
      </w:r>
    </w:p>
    <w:p w14:paraId="706D4448"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Необходимо е да се подходи с повишено внимание, когато се започва лечение с рацекадотрил, </w:t>
      </w:r>
      <w:proofErr w:type="spellStart"/>
      <w:r w:rsidRPr="00566CBD">
        <w:rPr>
          <w:rFonts w:eastAsia="Times New Roman" w:cs="Arial"/>
          <w:color w:val="000000"/>
          <w:lang w:val="en-US"/>
        </w:rPr>
        <w:t>mTOR</w:t>
      </w:r>
      <w:proofErr w:type="spellEnd"/>
      <w:r w:rsidRPr="00566CBD">
        <w:rPr>
          <w:rFonts w:eastAsia="Times New Roman" w:cs="Arial"/>
          <w:color w:val="000000"/>
          <w:lang w:val="ru-RU"/>
        </w:rPr>
        <w:t xml:space="preserve"> </w:t>
      </w:r>
      <w:r w:rsidRPr="00566CBD">
        <w:rPr>
          <w:rFonts w:eastAsia="Times New Roman" w:cs="Arial"/>
          <w:color w:val="000000"/>
          <w:lang w:eastAsia="bg-BG"/>
        </w:rPr>
        <w:t>инхибитори и вилдаглиптин при пациент, който вече приема АСЕ инхибитор.</w:t>
      </w:r>
    </w:p>
    <w:p w14:paraId="26D39705" w14:textId="77777777" w:rsidR="00566CBD" w:rsidRPr="00566CBD" w:rsidRDefault="00566CBD" w:rsidP="00566CBD">
      <w:pPr>
        <w:spacing w:line="240" w:lineRule="auto"/>
        <w:rPr>
          <w:rFonts w:eastAsia="Times New Roman" w:cs="Arial"/>
          <w:color w:val="000000"/>
          <w:u w:val="single"/>
          <w:lang w:eastAsia="bg-BG"/>
        </w:rPr>
      </w:pPr>
    </w:p>
    <w:p w14:paraId="2AE169C1" w14:textId="2D2A0A19" w:rsidR="00566CBD" w:rsidRPr="00566CBD" w:rsidRDefault="00566CBD" w:rsidP="00566CBD">
      <w:pPr>
        <w:pStyle w:val="ListParagraph"/>
        <w:numPr>
          <w:ilvl w:val="0"/>
          <w:numId w:val="32"/>
        </w:numPr>
        <w:spacing w:line="240" w:lineRule="auto"/>
        <w:rPr>
          <w:rFonts w:eastAsia="Times New Roman" w:cs="Arial"/>
        </w:rPr>
      </w:pPr>
      <w:r w:rsidRPr="00566CBD">
        <w:rPr>
          <w:rFonts w:eastAsia="Times New Roman" w:cs="Arial"/>
          <w:color w:val="000000"/>
          <w:u w:val="single"/>
          <w:lang w:eastAsia="bg-BG"/>
        </w:rPr>
        <w:t>Тиазиди</w:t>
      </w:r>
    </w:p>
    <w:p w14:paraId="24A2E4A9"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пациенти, които приемат тиазиди, могат да се появят реакции на свръхчувствителност със или без анамнеза за алергия и бронхиална астма. При употреба на тиазиди се съобщава за обостряне или активиране на системен лупус еритематозус.</w:t>
      </w:r>
    </w:p>
    <w:p w14:paraId="4AF6D5EA" w14:textId="77777777" w:rsidR="00566CBD" w:rsidRPr="00566CBD" w:rsidRDefault="00566CBD" w:rsidP="00566CBD">
      <w:pPr>
        <w:spacing w:line="240" w:lineRule="auto"/>
        <w:rPr>
          <w:rFonts w:eastAsia="Times New Roman" w:cs="Arial"/>
          <w:i/>
          <w:iCs/>
          <w:color w:val="000000"/>
          <w:lang w:eastAsia="bg-BG"/>
        </w:rPr>
      </w:pPr>
    </w:p>
    <w:p w14:paraId="182AEF2E" w14:textId="1E5556FC"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Десензибилизация</w:t>
      </w:r>
    </w:p>
    <w:p w14:paraId="42266BA3"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Пациенти, получаващи АСЕ инхибитори по време на десензибилизираща терапия (напр. </w:t>
      </w:r>
      <w:proofErr w:type="gramStart"/>
      <w:r w:rsidRPr="00566CBD">
        <w:rPr>
          <w:rFonts w:eastAsia="Times New Roman" w:cs="Arial"/>
          <w:color w:val="000000"/>
          <w:lang w:val="en-US"/>
        </w:rPr>
        <w:t>hymenoptera</w:t>
      </w:r>
      <w:proofErr w:type="gramEnd"/>
      <w:r w:rsidRPr="00566CBD">
        <w:rPr>
          <w:rFonts w:eastAsia="Times New Roman" w:cs="Arial"/>
          <w:color w:val="000000"/>
          <w:lang w:val="ru-RU"/>
        </w:rPr>
        <w:t xml:space="preserve"> </w:t>
      </w:r>
      <w:r w:rsidRPr="00566CBD">
        <w:rPr>
          <w:rFonts w:eastAsia="Times New Roman" w:cs="Arial"/>
          <w:color w:val="000000"/>
          <w:lang w:val="en-US"/>
        </w:rPr>
        <w:t>venom</w:t>
      </w:r>
      <w:r w:rsidRPr="00566CBD">
        <w:rPr>
          <w:rFonts w:eastAsia="Times New Roman" w:cs="Arial"/>
          <w:color w:val="000000"/>
          <w:lang w:val="ru-RU"/>
        </w:rPr>
        <w:t xml:space="preserve">) </w:t>
      </w:r>
      <w:r w:rsidRPr="00566CBD">
        <w:rPr>
          <w:rFonts w:eastAsia="Times New Roman" w:cs="Arial"/>
          <w:color w:val="000000"/>
          <w:lang w:eastAsia="bg-BG"/>
        </w:rPr>
        <w:t>могат да получат анафилактоидни реакции. При същите пациенти тези реакции са избегнати при временно прекратяване на терапията с АСЕ инхибитори, но се появяват отново непреднамерено подновяване на лечението.</w:t>
      </w:r>
      <w:bookmarkStart w:id="1" w:name="bookmark0"/>
      <w:bookmarkEnd w:id="1"/>
    </w:p>
    <w:p w14:paraId="2E3AFDBC" w14:textId="77777777" w:rsidR="00566CBD" w:rsidRPr="00566CBD" w:rsidRDefault="00566CBD" w:rsidP="00566CBD">
      <w:pPr>
        <w:spacing w:line="240" w:lineRule="auto"/>
        <w:rPr>
          <w:rFonts w:eastAsia="Times New Roman" w:cs="Arial"/>
        </w:rPr>
      </w:pPr>
    </w:p>
    <w:p w14:paraId="2197A0E8" w14:textId="1D67B29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Немеланомен </w:t>
      </w:r>
      <w:r w:rsidRPr="00566CBD">
        <w:rPr>
          <w:rFonts w:eastAsia="Times New Roman" w:cs="Arial"/>
          <w:i/>
          <w:iCs/>
          <w:color w:val="000000"/>
          <w:lang w:eastAsia="bg-BG"/>
        </w:rPr>
        <w:t>рак на кожата</w:t>
      </w:r>
    </w:p>
    <w:p w14:paraId="1CB4064C" w14:textId="77777777" w:rsidR="00566CBD" w:rsidRPr="00566CBD" w:rsidRDefault="00566CBD" w:rsidP="00566CBD">
      <w:pPr>
        <w:rPr>
          <w:rFonts w:eastAsia="Times New Roman" w:cs="Arial"/>
        </w:rPr>
      </w:pPr>
      <w:r w:rsidRPr="00566CBD">
        <w:rPr>
          <w:rFonts w:eastAsia="Times New Roman" w:cs="Arial"/>
          <w:color w:val="000000"/>
          <w:lang w:eastAsia="bg-BG"/>
        </w:rPr>
        <w:lastRenderedPageBreak/>
        <w:t>В две епидемиологични проучвания, основаващи се на датския национален раков регистър, е</w:t>
      </w:r>
      <w:r w:rsidRPr="00566CBD">
        <w:rPr>
          <w:rFonts w:eastAsia="Times New Roman" w:cs="Arial"/>
          <w:i/>
          <w:iCs/>
          <w:color w:val="000000"/>
          <w:lang w:eastAsia="bg-BG"/>
        </w:rPr>
        <w:t xml:space="preserve"> </w:t>
      </w:r>
      <w:r w:rsidRPr="00566CBD">
        <w:rPr>
          <w:rFonts w:eastAsia="Times New Roman" w:cs="Arial"/>
          <w:color w:val="000000"/>
          <w:lang w:eastAsia="bg-BG"/>
        </w:rPr>
        <w:t>наблюдаван повишен риск от немеланомен рак на кожата (НМРК) [базалноклетъчен карционом (БКК)</w:t>
      </w:r>
      <w:r w:rsidRPr="00566CBD">
        <w:rPr>
          <w:rFonts w:eastAsia="Times New Roman" w:cs="Arial"/>
          <w:color w:val="000000"/>
          <w:lang w:val="ru-RU" w:eastAsia="bg-BG"/>
        </w:rPr>
        <w:t xml:space="preserve"> </w:t>
      </w:r>
      <w:r w:rsidRPr="00566CBD">
        <w:rPr>
          <w:rFonts w:eastAsia="Times New Roman" w:cs="Arial"/>
          <w:color w:val="000000"/>
          <w:lang w:eastAsia="bg-BG"/>
        </w:rPr>
        <w:t>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416260A9"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72482A46" w14:textId="77777777" w:rsidR="00566CBD" w:rsidRPr="00566CBD" w:rsidRDefault="00566CBD" w:rsidP="00566CBD">
      <w:pPr>
        <w:spacing w:line="240" w:lineRule="auto"/>
        <w:rPr>
          <w:rFonts w:eastAsia="Times New Roman" w:cs="Arial"/>
          <w:i/>
          <w:iCs/>
          <w:color w:val="000000"/>
          <w:lang w:eastAsia="bg-BG"/>
        </w:rPr>
      </w:pPr>
    </w:p>
    <w:p w14:paraId="7622FF12" w14:textId="699ACA1A"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Неутропения/Агранулоцитоза</w:t>
      </w:r>
    </w:p>
    <w:p w14:paraId="37A040E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Неутропения/агранулоцитоза, тромбоцитопения и анемия са докладвани при пациенти, лекувани с АСЕ инхибитори. При пациенти с нормална бъбречна функция и липса на други утежняващи фактори, неутропения се наблюдава рядко. Неутропенията и агранулоцитозата са обратими след прекратяване приема на АСЕ инхибитора. Лизиноприл трябва да се използва с много голямо внимание при пациенти със съдови колагенози, имуносупресивна терапия, лечение с алопуринол и прокаинамид или комбинация от тези утежняващи фактори, особено при наличие на нарушена бъбречна функция. Някои от тези пациенти развиват сериозни инфекции, които не се поддават на интензивна антибиотична терапия. Ако лизиноприл се прилага при такива пациенти, препоръчителен е периодичен контрол на левкоцитите, като пациентите се инструктират да съобщават за признаци на инфекция.</w:t>
      </w:r>
    </w:p>
    <w:p w14:paraId="44823738" w14:textId="77777777" w:rsidR="00566CBD" w:rsidRPr="00566CBD" w:rsidRDefault="00566CBD" w:rsidP="00566CBD">
      <w:pPr>
        <w:spacing w:line="240" w:lineRule="auto"/>
        <w:rPr>
          <w:rFonts w:eastAsia="Times New Roman" w:cs="Arial"/>
          <w:i/>
          <w:iCs/>
          <w:color w:val="000000"/>
          <w:lang w:eastAsia="bg-BG"/>
        </w:rPr>
      </w:pPr>
    </w:p>
    <w:p w14:paraId="19E70FBA" w14:textId="558AAFAC"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Раса</w:t>
      </w:r>
    </w:p>
    <w:p w14:paraId="50530752"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Чернокожите пациенти са с повишен риск от развитие на ангиоедем при лечение с АСЕ-инхибитори в сравнение с нечернокожите пациенти.</w:t>
      </w:r>
    </w:p>
    <w:p w14:paraId="51783533" w14:textId="77777777" w:rsidR="00566CBD" w:rsidRPr="00566CBD" w:rsidRDefault="00566CBD" w:rsidP="00566CBD">
      <w:pPr>
        <w:spacing w:line="240" w:lineRule="auto"/>
        <w:rPr>
          <w:rFonts w:eastAsia="Times New Roman" w:cs="Arial"/>
          <w:color w:val="000000"/>
          <w:lang w:eastAsia="bg-BG"/>
        </w:rPr>
      </w:pPr>
    </w:p>
    <w:p w14:paraId="1C4CA9D6" w14:textId="66A134EC" w:rsidR="00566CBD" w:rsidRPr="00566CBD" w:rsidRDefault="00566CBD" w:rsidP="00566CBD">
      <w:pPr>
        <w:spacing w:line="240" w:lineRule="auto"/>
        <w:rPr>
          <w:rFonts w:eastAsia="Times New Roman" w:cs="Arial"/>
        </w:rPr>
      </w:pPr>
      <w:r w:rsidRPr="00566CBD">
        <w:rPr>
          <w:rFonts w:eastAsia="Times New Roman" w:cs="Arial"/>
          <w:color w:val="000000"/>
          <w:lang w:eastAsia="bg-BG"/>
        </w:rPr>
        <w:t>Както и другите АСЕ-инхибитори, лизиноприл може да е по-малко ефективен при понижаване на кръвното налягане при чернокожи пациенти, отколкото при нечернокожи пациенти, което вероятно се дължи на по-голямата честота на разпространение на ниско рениново ниво при чернокожите хипертоници.</w:t>
      </w:r>
    </w:p>
    <w:p w14:paraId="102DA25C" w14:textId="77777777" w:rsidR="00566CBD" w:rsidRPr="00566CBD" w:rsidRDefault="00566CBD" w:rsidP="00566CBD">
      <w:pPr>
        <w:spacing w:line="240" w:lineRule="auto"/>
        <w:rPr>
          <w:rFonts w:eastAsia="Times New Roman" w:cs="Arial"/>
          <w:i/>
          <w:iCs/>
          <w:color w:val="000000"/>
          <w:lang w:eastAsia="bg-BG"/>
        </w:rPr>
      </w:pPr>
    </w:p>
    <w:p w14:paraId="441C3070" w14:textId="528D4219"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Кашлица</w:t>
      </w:r>
    </w:p>
    <w:p w14:paraId="087B0D49"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Има съобщения за кашлица, свързана с лечението с АСЕ-инхибитори. Характерно за кашлицата е, че тя е непродуктивна, продължителна и изчезва след преустановяване на лечението. Индуцираната от АСЕ-инхибитор кашлица, трябва да се има в предвид при диференциалната диагноза на кашлицата.</w:t>
      </w:r>
    </w:p>
    <w:p w14:paraId="25D259A6" w14:textId="77777777" w:rsidR="00566CBD" w:rsidRPr="00566CBD" w:rsidRDefault="00566CBD" w:rsidP="00566CBD">
      <w:pPr>
        <w:spacing w:line="240" w:lineRule="auto"/>
        <w:rPr>
          <w:rFonts w:eastAsia="Times New Roman" w:cs="Arial"/>
          <w:i/>
          <w:iCs/>
          <w:color w:val="000000"/>
          <w:lang w:eastAsia="bg-BG"/>
        </w:rPr>
      </w:pPr>
    </w:p>
    <w:p w14:paraId="73B95FC4" w14:textId="41BA5EC4"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Литий</w:t>
      </w:r>
    </w:p>
    <w:p w14:paraId="299BCF86"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Обикновено комбинацията на АСЕ-инхибитори и литий не е препоръчителна (вж. точка 4.5).</w:t>
      </w:r>
    </w:p>
    <w:p w14:paraId="36F4C11D" w14:textId="77777777" w:rsidR="00566CBD" w:rsidRPr="00566CBD" w:rsidRDefault="00566CBD" w:rsidP="00566CBD">
      <w:pPr>
        <w:spacing w:line="240" w:lineRule="auto"/>
        <w:rPr>
          <w:rFonts w:eastAsia="Times New Roman" w:cs="Arial"/>
          <w:i/>
          <w:iCs/>
          <w:color w:val="000000"/>
          <w:lang w:eastAsia="bg-BG"/>
        </w:rPr>
      </w:pPr>
    </w:p>
    <w:p w14:paraId="5975221E" w14:textId="5A24203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Анти-допинг тест</w:t>
      </w:r>
    </w:p>
    <w:p w14:paraId="7DAABBF3"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Хидрохлоротиазид, който се съдържа в това лекарство може да даде позитивен резултат при провеждане на анти-допинг тест.</w:t>
      </w:r>
    </w:p>
    <w:p w14:paraId="74938361" w14:textId="77777777" w:rsidR="00566CBD" w:rsidRPr="00566CBD" w:rsidRDefault="00566CBD" w:rsidP="00566CBD">
      <w:pPr>
        <w:spacing w:line="240" w:lineRule="auto"/>
        <w:rPr>
          <w:rFonts w:eastAsia="Times New Roman" w:cs="Arial"/>
          <w:i/>
          <w:iCs/>
          <w:color w:val="000000"/>
          <w:lang w:eastAsia="bg-BG"/>
        </w:rPr>
      </w:pPr>
    </w:p>
    <w:p w14:paraId="19F95E6D" w14:textId="11C603FC"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Бременност</w:t>
      </w:r>
    </w:p>
    <w:p w14:paraId="60E496C9" w14:textId="34BDD12B" w:rsidR="00566CBD" w:rsidRDefault="00566CBD" w:rsidP="00566CBD">
      <w:pPr>
        <w:rPr>
          <w:rFonts w:eastAsia="Times New Roman" w:cs="Arial"/>
          <w:color w:val="000000"/>
          <w:lang w:eastAsia="bg-BG"/>
        </w:rPr>
      </w:pPr>
      <w:r w:rsidRPr="00566CBD">
        <w:rPr>
          <w:rFonts w:eastAsia="Times New Roman" w:cs="Arial"/>
          <w:color w:val="000000"/>
          <w:lang w:eastAsia="bg-BG"/>
        </w:rPr>
        <w:t>Не трябва да се започва употребата на АСЕ-инхибитори по време на бременност. Освен ако непрекъснатата терапия с АСЕ-инхибитори не се счита за изключително важна, пациентките, планиращи бременност, трябва да преминат на алтернативна антихипертонична терапия с установен профил на безопасност за употреба по време на бременност. При диагностициране на бременност, лечението с АСЕ-инхибитори трябва незабавно да бъде спряно и, ако е уместни, трябва да се започне алтернативна терапия (вж. точки 4.3 и 4.6).</w:t>
      </w:r>
    </w:p>
    <w:p w14:paraId="710E22BA" w14:textId="77777777" w:rsidR="00566CBD" w:rsidRPr="00566CBD" w:rsidRDefault="00566CBD" w:rsidP="00566CBD">
      <w:pPr>
        <w:rPr>
          <w:rFonts w:cs="Arial"/>
          <w:lang w:val="ru-RU"/>
        </w:rPr>
      </w:pPr>
    </w:p>
    <w:p w14:paraId="1244F76A" w14:textId="46573E0B" w:rsidR="00395555" w:rsidRDefault="002C50EE" w:rsidP="008A6AF2">
      <w:pPr>
        <w:pStyle w:val="Heading2"/>
      </w:pPr>
      <w:r>
        <w:t>4.5. Взаимодействие с други лекарствени продукти и други форми на взаимодействие</w:t>
      </w:r>
    </w:p>
    <w:p w14:paraId="1BF40B3C" w14:textId="7C5FAB19" w:rsidR="00566CBD" w:rsidRDefault="00566CBD" w:rsidP="00566CBD"/>
    <w:p w14:paraId="37E6AB88" w14:textId="7777777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Антихипертензивни средства</w:t>
      </w:r>
    </w:p>
    <w:p w14:paraId="274F4125"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Когато се комбинира с други антихипертензивни средства може да се наблюдава допълнителен спад в кръвното налягане. Едновременното приложение на глицерилтри нитрат и други нитрати или други вазодилататори може допълнително да намали кръвното налягане.</w:t>
      </w:r>
    </w:p>
    <w:p w14:paraId="2682FFE2"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Комбинирането на лизиноприл с лекарства, съдържащи алискирен трябва да се избягва (вж. точки 4.3 и 4.4).</w:t>
      </w:r>
    </w:p>
    <w:p w14:paraId="0A9F59F8"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П-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58A4790D" w14:textId="77777777" w:rsidR="00566CBD" w:rsidRPr="00566CBD" w:rsidRDefault="00566CBD" w:rsidP="00566CBD">
      <w:pPr>
        <w:spacing w:line="240" w:lineRule="auto"/>
        <w:rPr>
          <w:rFonts w:eastAsia="Times New Roman" w:cs="Arial"/>
          <w:i/>
          <w:iCs/>
          <w:color w:val="000000"/>
          <w:lang w:eastAsia="bg-BG"/>
        </w:rPr>
      </w:pPr>
    </w:p>
    <w:p w14:paraId="1E4B42E8" w14:textId="1578DC34"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Лекарствени продукти, които могат да повишат риска от ангиоедем</w:t>
      </w:r>
    </w:p>
    <w:p w14:paraId="48528085"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201937AC"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Съпътстващата употреба на АСЕ инхибитори с инхибитори на </w:t>
      </w:r>
      <w:proofErr w:type="spellStart"/>
      <w:r w:rsidRPr="00566CBD">
        <w:rPr>
          <w:rFonts w:eastAsia="Times New Roman" w:cs="Arial"/>
          <w:color w:val="000000"/>
          <w:lang w:val="en-US"/>
        </w:rPr>
        <w:t>mTOR</w:t>
      </w:r>
      <w:proofErr w:type="spellEnd"/>
      <w:r w:rsidRPr="00566CBD">
        <w:rPr>
          <w:rFonts w:eastAsia="Times New Roman" w:cs="Arial"/>
          <w:color w:val="000000"/>
          <w:lang w:val="ru-RU"/>
        </w:rPr>
        <w:t xml:space="preserve"> </w:t>
      </w:r>
      <w:r w:rsidRPr="00566CBD">
        <w:rPr>
          <w:rFonts w:eastAsia="Times New Roman" w:cs="Arial"/>
          <w:color w:val="000000"/>
          <w:lang w:eastAsia="bg-BG"/>
        </w:rPr>
        <w:t xml:space="preserve">(напр. темсиролимус, сиролимус, еверолимус) или инхибитори на неутралната ендопептидаза </w:t>
      </w:r>
      <w:r w:rsidRPr="00566CBD">
        <w:rPr>
          <w:rFonts w:eastAsia="Times New Roman" w:cs="Arial"/>
          <w:color w:val="000000"/>
          <w:lang w:val="ru-RU"/>
        </w:rPr>
        <w:t>(</w:t>
      </w:r>
      <w:r w:rsidRPr="00566CBD">
        <w:rPr>
          <w:rFonts w:eastAsia="Times New Roman" w:cs="Arial"/>
          <w:color w:val="000000"/>
          <w:lang w:val="en-US"/>
        </w:rPr>
        <w:t>NEP</w:t>
      </w:r>
      <w:r w:rsidRPr="00566CBD">
        <w:rPr>
          <w:rFonts w:eastAsia="Times New Roman" w:cs="Arial"/>
          <w:color w:val="000000"/>
          <w:lang w:val="ru-RU"/>
        </w:rPr>
        <w:t xml:space="preserve"> </w:t>
      </w:r>
      <w:r w:rsidRPr="00566CBD">
        <w:rPr>
          <w:rFonts w:eastAsia="Times New Roman" w:cs="Arial"/>
          <w:color w:val="000000"/>
          <w:lang w:eastAsia="bg-BG"/>
        </w:rPr>
        <w:t>инхибитори) (напр. рацекадотрил), или тъканни активатори на плазминоген, или вилдаглиптин може да доведе до повишен риска от ангиоедем.</w:t>
      </w:r>
    </w:p>
    <w:p w14:paraId="717E893F" w14:textId="77777777" w:rsidR="00566CBD" w:rsidRPr="00566CBD" w:rsidRDefault="00566CBD" w:rsidP="00566CBD">
      <w:pPr>
        <w:spacing w:line="240" w:lineRule="auto"/>
        <w:rPr>
          <w:rFonts w:eastAsia="Times New Roman" w:cs="Arial"/>
          <w:i/>
          <w:iCs/>
          <w:color w:val="000000"/>
          <w:lang w:eastAsia="bg-BG"/>
        </w:rPr>
      </w:pPr>
    </w:p>
    <w:p w14:paraId="027994A9" w14:textId="38C4D079"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Литий</w:t>
      </w:r>
    </w:p>
    <w:p w14:paraId="0D48BC56"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едновременно приложение на литий с АСЕ инхибитори има съобщения за обратимо повишаване на серумните концентрации на литий и токсичност, Диуретиците и АСЕ инхибиторите намаляват бъбречния клирънс на литий и са предпоставка за висок риск от литиева токсичност. Поради това не се препоръчва комбинацията от лизиноприл и хидрохлоротиазид с литий, но ако приложението на тази комбинация е необходимо се провежда внимателно проследяване на серумните концентрации на литий (вж, точка 4.4).</w:t>
      </w:r>
    </w:p>
    <w:p w14:paraId="033FDBC4" w14:textId="77777777" w:rsidR="00566CBD" w:rsidRPr="00566CBD" w:rsidRDefault="00566CBD" w:rsidP="00566CBD">
      <w:pPr>
        <w:spacing w:line="240" w:lineRule="auto"/>
        <w:rPr>
          <w:rFonts w:eastAsia="Times New Roman" w:cs="Arial"/>
          <w:i/>
          <w:iCs/>
          <w:color w:val="000000"/>
          <w:lang w:eastAsia="bg-BG"/>
        </w:rPr>
      </w:pPr>
    </w:p>
    <w:p w14:paraId="3A6DF7C7" w14:textId="1E64272E"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Калиеви добавки, калий-съхраняващи диуретици или калий-съдържащи заместители на солта и други лекарства, които биха могли да повишат нивата на калий</w:t>
      </w:r>
    </w:p>
    <w:p w14:paraId="27C7512C"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 съхраняващи диуретици (напр. спиронолактон, триамтерен или амилорид), хранителни добавки или съдържащи калий или калий-съдържащи заместители на солта </w:t>
      </w:r>
      <w:r w:rsidRPr="00566CBD">
        <w:rPr>
          <w:rFonts w:eastAsia="Times New Roman" w:cs="Arial"/>
          <w:color w:val="000000"/>
          <w:lang w:eastAsia="bg-BG"/>
        </w:rPr>
        <w:lastRenderedPageBreak/>
        <w:t>може да доведе до значително повишение на серумния калий, особено при пациенти с нарушена бъбречна функция или диабет.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 съхраняващ диуретик подобно на амилорид. Поради това не се препоръчва комбинирането на лизиноприл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5106E9B3" w14:textId="77777777" w:rsidR="00566CBD" w:rsidRPr="00566CBD" w:rsidRDefault="00566CBD" w:rsidP="00566CBD">
      <w:pPr>
        <w:spacing w:line="240" w:lineRule="auto"/>
        <w:rPr>
          <w:rFonts w:eastAsia="Times New Roman" w:cs="Arial"/>
          <w:i/>
          <w:iCs/>
          <w:color w:val="000000"/>
          <w:lang w:eastAsia="bg-BG"/>
        </w:rPr>
      </w:pPr>
    </w:p>
    <w:p w14:paraId="2481BEE8" w14:textId="43DEAFB1"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Хепарин</w:t>
      </w:r>
    </w:p>
    <w:p w14:paraId="20858D6B"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1AAE78EC" w14:textId="77777777" w:rsidR="00566CBD" w:rsidRPr="00566CBD" w:rsidRDefault="00566CBD" w:rsidP="00566CBD">
      <w:pPr>
        <w:spacing w:line="240" w:lineRule="auto"/>
        <w:rPr>
          <w:rFonts w:eastAsia="Times New Roman" w:cs="Arial"/>
          <w:i/>
          <w:iCs/>
          <w:color w:val="000000"/>
          <w:lang w:eastAsia="bg-BG"/>
        </w:rPr>
      </w:pPr>
    </w:p>
    <w:p w14:paraId="3E8F121F" w14:textId="0ED19E31"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 xml:space="preserve">Лекарствени продукти, предизвикващи </w:t>
      </w:r>
      <w:proofErr w:type="spellStart"/>
      <w:r w:rsidRPr="00566CBD">
        <w:rPr>
          <w:rFonts w:eastAsia="Times New Roman" w:cs="Arial"/>
          <w:i/>
          <w:iCs/>
          <w:color w:val="000000"/>
          <w:lang w:val="en-US"/>
        </w:rPr>
        <w:t>torsades</w:t>
      </w:r>
      <w:proofErr w:type="spellEnd"/>
      <w:r w:rsidRPr="00566CBD">
        <w:rPr>
          <w:rFonts w:eastAsia="Times New Roman" w:cs="Arial"/>
          <w:i/>
          <w:iCs/>
          <w:color w:val="000000"/>
          <w:lang w:val="ru-RU"/>
        </w:rPr>
        <w:t xml:space="preserve"> </w:t>
      </w:r>
      <w:r w:rsidRPr="00566CBD">
        <w:rPr>
          <w:rFonts w:eastAsia="Times New Roman" w:cs="Arial"/>
          <w:i/>
          <w:iCs/>
          <w:color w:val="000000"/>
          <w:lang w:val="en-US"/>
        </w:rPr>
        <w:t>de</w:t>
      </w:r>
      <w:r w:rsidRPr="00566CBD">
        <w:rPr>
          <w:rFonts w:eastAsia="Times New Roman" w:cs="Arial"/>
          <w:i/>
          <w:iCs/>
          <w:color w:val="000000"/>
          <w:lang w:val="ru-RU"/>
        </w:rPr>
        <w:t xml:space="preserve"> </w:t>
      </w:r>
      <w:r w:rsidRPr="00566CBD">
        <w:rPr>
          <w:rFonts w:eastAsia="Times New Roman" w:cs="Arial"/>
          <w:i/>
          <w:iCs/>
          <w:color w:val="000000"/>
          <w:lang w:val="en-US"/>
        </w:rPr>
        <w:t>pointes</w:t>
      </w:r>
    </w:p>
    <w:p w14:paraId="11B6F759"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Поради риск от хипокалиемия се изисква повишено внимание при използването на хидрохлоротиазид едновременно с лекарствени продукти, които предизвикват </w:t>
      </w:r>
      <w:proofErr w:type="spellStart"/>
      <w:r w:rsidRPr="00566CBD">
        <w:rPr>
          <w:rFonts w:eastAsia="Times New Roman" w:cs="Arial"/>
          <w:color w:val="000000"/>
          <w:lang w:val="en-US"/>
        </w:rPr>
        <w:t>torsades</w:t>
      </w:r>
      <w:proofErr w:type="spellEnd"/>
      <w:r w:rsidRPr="00566CBD">
        <w:rPr>
          <w:rFonts w:eastAsia="Times New Roman" w:cs="Arial"/>
          <w:color w:val="000000"/>
        </w:rPr>
        <w:t xml:space="preserve"> </w:t>
      </w:r>
      <w:r w:rsidRPr="00566CBD">
        <w:rPr>
          <w:rFonts w:eastAsia="Times New Roman" w:cs="Arial"/>
          <w:color w:val="000000"/>
          <w:lang w:val="en-US"/>
        </w:rPr>
        <w:t>de</w:t>
      </w:r>
      <w:r w:rsidRPr="00566CBD">
        <w:rPr>
          <w:rFonts w:eastAsia="Times New Roman" w:cs="Arial"/>
          <w:color w:val="000000"/>
        </w:rPr>
        <w:t xml:space="preserve"> </w:t>
      </w:r>
      <w:r w:rsidRPr="00566CBD">
        <w:rPr>
          <w:rFonts w:eastAsia="Times New Roman" w:cs="Arial"/>
          <w:color w:val="000000"/>
          <w:lang w:val="en-US"/>
        </w:rPr>
        <w:t>pointes</w:t>
      </w:r>
      <w:r w:rsidRPr="00566CBD">
        <w:rPr>
          <w:rFonts w:eastAsia="Times New Roman" w:cs="Arial"/>
          <w:color w:val="000000"/>
        </w:rPr>
        <w:t xml:space="preserve"> </w:t>
      </w:r>
      <w:r w:rsidRPr="00566CBD">
        <w:rPr>
          <w:rFonts w:eastAsia="Times New Roman" w:cs="Arial"/>
          <w:color w:val="000000"/>
          <w:lang w:eastAsia="bg-BG"/>
        </w:rPr>
        <w:t xml:space="preserve">и чието приложение се асоциира с </w:t>
      </w:r>
      <w:proofErr w:type="spellStart"/>
      <w:r w:rsidRPr="00566CBD">
        <w:rPr>
          <w:rFonts w:eastAsia="Times New Roman" w:cs="Arial"/>
          <w:color w:val="000000"/>
          <w:lang w:val="en-US"/>
        </w:rPr>
        <w:t>torsades</w:t>
      </w:r>
      <w:proofErr w:type="spellEnd"/>
      <w:r w:rsidRPr="00566CBD">
        <w:rPr>
          <w:rFonts w:eastAsia="Times New Roman" w:cs="Arial"/>
          <w:color w:val="000000"/>
        </w:rPr>
        <w:t xml:space="preserve"> </w:t>
      </w:r>
      <w:r w:rsidRPr="00566CBD">
        <w:rPr>
          <w:rFonts w:eastAsia="Times New Roman" w:cs="Arial"/>
          <w:color w:val="000000"/>
          <w:lang w:val="en-US"/>
        </w:rPr>
        <w:t>de</w:t>
      </w:r>
      <w:r w:rsidRPr="00566CBD">
        <w:rPr>
          <w:rFonts w:eastAsia="Times New Roman" w:cs="Arial"/>
          <w:color w:val="000000"/>
        </w:rPr>
        <w:t xml:space="preserve"> </w:t>
      </w:r>
      <w:r w:rsidRPr="00566CBD">
        <w:rPr>
          <w:rFonts w:eastAsia="Times New Roman" w:cs="Arial"/>
          <w:color w:val="000000"/>
          <w:lang w:val="en-US"/>
        </w:rPr>
        <w:t>pointes</w:t>
      </w:r>
      <w:r w:rsidRPr="00566CBD">
        <w:rPr>
          <w:rFonts w:eastAsia="Times New Roman" w:cs="Arial"/>
          <w:color w:val="000000"/>
        </w:rPr>
        <w:t xml:space="preserve"> </w:t>
      </w:r>
      <w:r w:rsidRPr="00566CBD">
        <w:rPr>
          <w:rFonts w:eastAsia="Times New Roman" w:cs="Arial"/>
          <w:color w:val="000000"/>
          <w:lang w:eastAsia="bg-BG"/>
        </w:rPr>
        <w:t>, като някои антиаритмици, антипсихотици и др.</w:t>
      </w:r>
    </w:p>
    <w:p w14:paraId="6E716236" w14:textId="77777777" w:rsidR="00566CBD" w:rsidRPr="00566CBD" w:rsidRDefault="00566CBD" w:rsidP="00566CBD">
      <w:pPr>
        <w:rPr>
          <w:rFonts w:eastAsia="Times New Roman" w:cs="Arial"/>
          <w:i/>
          <w:iCs/>
          <w:color w:val="000000"/>
          <w:lang w:eastAsia="bg-BG"/>
        </w:rPr>
      </w:pPr>
    </w:p>
    <w:p w14:paraId="7D33E806" w14:textId="3261B546" w:rsidR="00566CBD" w:rsidRPr="00566CBD" w:rsidRDefault="00566CBD" w:rsidP="00566CBD">
      <w:pPr>
        <w:rPr>
          <w:rFonts w:eastAsia="Times New Roman" w:cs="Arial"/>
          <w:i/>
          <w:iCs/>
          <w:color w:val="000000"/>
          <w:lang w:eastAsia="bg-BG"/>
        </w:rPr>
      </w:pPr>
      <w:r w:rsidRPr="00566CBD">
        <w:rPr>
          <w:rFonts w:eastAsia="Times New Roman" w:cs="Arial"/>
          <w:i/>
          <w:iCs/>
          <w:color w:val="000000"/>
          <w:lang w:eastAsia="bg-BG"/>
        </w:rPr>
        <w:t>Трициклични антидепресанти/антипсихотици/анестетици</w:t>
      </w:r>
    </w:p>
    <w:p w14:paraId="399B32F6"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Едновременната употреба на някои анестетици, трициклични антидепресанти и антипсихотици заедно с АСЕ инхибитори може да доведе до допълнително понижаване на артериалното налягане (вж. точка 4.4).</w:t>
      </w:r>
    </w:p>
    <w:p w14:paraId="083885B0" w14:textId="77777777" w:rsidR="00566CBD" w:rsidRPr="00566CBD" w:rsidRDefault="00566CBD" w:rsidP="00566CBD">
      <w:pPr>
        <w:spacing w:line="240" w:lineRule="auto"/>
        <w:rPr>
          <w:rFonts w:eastAsia="Times New Roman" w:cs="Arial"/>
          <w:i/>
          <w:iCs/>
          <w:color w:val="000000"/>
          <w:lang w:eastAsia="bg-BG"/>
        </w:rPr>
      </w:pPr>
    </w:p>
    <w:p w14:paraId="11FECB08" w14:textId="270865DD"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w:t>
      </w:r>
      <w:r w:rsidRPr="00566CBD">
        <w:rPr>
          <w:rFonts w:eastAsia="Times New Roman" w:cs="Arial"/>
          <w:color w:val="000000"/>
          <w:lang w:eastAsia="bg-BG"/>
        </w:rPr>
        <w:t xml:space="preserve">Редовната употреба на НСПВС (включително на селективни инхибитори на циклооксигеназа-2, ацетилсалицилова киселина ≥3 </w:t>
      </w:r>
      <w:r w:rsidRPr="00566CBD">
        <w:rPr>
          <w:rFonts w:eastAsia="Times New Roman" w:cs="Arial"/>
          <w:color w:val="000000"/>
          <w:lang w:val="en-US"/>
        </w:rPr>
        <w:t>g</w:t>
      </w:r>
      <w:r w:rsidRPr="00566CBD">
        <w:rPr>
          <w:rFonts w:eastAsia="Times New Roman" w:cs="Arial"/>
          <w:color w:val="000000"/>
          <w:lang w:eastAsia="bg-BG"/>
        </w:rPr>
        <w:t>/ден и неселективни НСПВС) може да намали антихипертензивния ефект на АСЕ инхибиторите и тиазидни диуретици. НСПВС и АСЕ инхибитори могат да окажат адитивен ефект за влошаване на бъбречната функция. Тези ефекти обикновено са обратими. Рядко може да настъпи остра бъбречна недостатъчност, особено при пациенти с нарушена бъбречна функция, като например пациенти в старческа възраст или дехидратирани пациенти.</w:t>
      </w:r>
    </w:p>
    <w:p w14:paraId="2DF450B7" w14:textId="77777777" w:rsidR="00566CBD" w:rsidRPr="00566CBD" w:rsidRDefault="00566CBD" w:rsidP="00566CBD">
      <w:pPr>
        <w:spacing w:line="240" w:lineRule="auto"/>
        <w:rPr>
          <w:rFonts w:eastAsia="Times New Roman" w:cs="Arial"/>
          <w:i/>
          <w:iCs/>
          <w:color w:val="000000"/>
          <w:lang w:eastAsia="bg-BG"/>
        </w:rPr>
      </w:pPr>
    </w:p>
    <w:p w14:paraId="76BFA634" w14:textId="7B6D5F7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Злато</w:t>
      </w:r>
    </w:p>
    <w:p w14:paraId="315810D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Нитритоидни реакции (симптоми на вазодилатация, включително зачервяване, гадене, замаяност и хипотония, които могат да бъдат много тежки) след инжекционно прилагане на злато (напр. натриев ауротиомалат) са докладвани по-често при пациенти приемащи АСЕ инхибитор.</w:t>
      </w:r>
    </w:p>
    <w:p w14:paraId="1774544A" w14:textId="77777777" w:rsidR="00566CBD" w:rsidRPr="00566CBD" w:rsidRDefault="00566CBD" w:rsidP="00566CBD">
      <w:pPr>
        <w:spacing w:line="240" w:lineRule="auto"/>
        <w:rPr>
          <w:rFonts w:eastAsia="Times New Roman" w:cs="Arial"/>
          <w:i/>
          <w:iCs/>
          <w:color w:val="000000"/>
          <w:lang w:eastAsia="bg-BG"/>
        </w:rPr>
      </w:pPr>
    </w:p>
    <w:p w14:paraId="1A8B4DB2" w14:textId="10C95952"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Симпатикомиметици</w:t>
      </w:r>
    </w:p>
    <w:p w14:paraId="6D30589D"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Симпатикомиметиците могат да намалят антихипертензивния ефект на АСЕ инхибиторите. Тиазидите могат да понижат отговора на артериалното налягане към норадреналин, но не достатъчно, за да се изключи ефективността на понижаващото средство за терапевтична употреба.</w:t>
      </w:r>
    </w:p>
    <w:p w14:paraId="770E834F" w14:textId="77777777" w:rsidR="00566CBD" w:rsidRPr="00566CBD" w:rsidRDefault="00566CBD" w:rsidP="00566CBD">
      <w:pPr>
        <w:spacing w:line="240" w:lineRule="auto"/>
        <w:rPr>
          <w:rFonts w:eastAsia="Times New Roman" w:cs="Arial"/>
          <w:i/>
          <w:iCs/>
          <w:color w:val="000000"/>
          <w:lang w:eastAsia="bg-BG"/>
        </w:rPr>
      </w:pPr>
    </w:p>
    <w:p w14:paraId="72C46CA7" w14:textId="64D268E2"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Антидиабетични лекарства</w:t>
      </w:r>
    </w:p>
    <w:p w14:paraId="748938F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Лечението с тиазидни диуретици може да наруши глюкозния толеранс. По-вероятно е този ефект да се наблюдава през първите седмици на комбинирано лечение и при пациенти с увредена бъбречна функция. Необходимата доза на други антидиабетни лекарствени средства, включително инсулин, при пациенти с диабет, може да се повиши, понижи или да не се промени.</w:t>
      </w:r>
    </w:p>
    <w:p w14:paraId="4F5BC7D4"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lastRenderedPageBreak/>
        <w:t>Хипогликемичният ефект на диазоксид може да се повиши вследствие на тиазиди.</w:t>
      </w:r>
    </w:p>
    <w:p w14:paraId="10DB8B41" w14:textId="77777777" w:rsidR="00566CBD" w:rsidRPr="00566CBD" w:rsidRDefault="00566CBD" w:rsidP="00566CBD">
      <w:pPr>
        <w:spacing w:line="240" w:lineRule="auto"/>
        <w:rPr>
          <w:rFonts w:eastAsia="Times New Roman" w:cs="Arial"/>
          <w:i/>
          <w:iCs/>
          <w:color w:val="000000"/>
          <w:lang w:eastAsia="bg-BG"/>
        </w:rPr>
      </w:pPr>
    </w:p>
    <w:p w14:paraId="0F0DF758" w14:textId="02D06C68"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Амфотерицин В (парентерално), карбеноксолон, кортикостероиди, кортикотропин (АСТН) или стимулиращи лаксативи</w:t>
      </w:r>
    </w:p>
    <w:p w14:paraId="25D6B0F4"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Може да се очаква, че ефектът на понижаване на съдържанието на калий на хидрохлоротиазид може да се усили от лекарства, свързани със загуба на калий и хипокалиемия (напр. калийуретични диуретици, лаксативи, амфотерицин, карбеноксолон, производни на салициловата киселина). Хипокалиемия може да се развие по време на едновременна употреба със стероиди или адренокортикотропен хормон (АСТН).</w:t>
      </w:r>
    </w:p>
    <w:p w14:paraId="4FD115F3" w14:textId="77777777" w:rsidR="00566CBD" w:rsidRPr="00566CBD" w:rsidRDefault="00566CBD" w:rsidP="00566CBD">
      <w:pPr>
        <w:spacing w:line="240" w:lineRule="auto"/>
        <w:rPr>
          <w:rFonts w:eastAsia="Times New Roman" w:cs="Arial"/>
          <w:i/>
          <w:iCs/>
          <w:color w:val="000000"/>
          <w:lang w:eastAsia="bg-BG"/>
        </w:rPr>
      </w:pPr>
    </w:p>
    <w:p w14:paraId="384F4D25" w14:textId="5179FC4E"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Калциеви соли</w:t>
      </w:r>
    </w:p>
    <w:p w14:paraId="554F4960"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 xml:space="preserve">Тиазидните диуретици може да повишат нивата на серумния калций поради понижена екскреция. Ако трябва да се назначи прием на калциеви добавки или витамин </w:t>
      </w:r>
      <w:r w:rsidRPr="00566CBD">
        <w:rPr>
          <w:rFonts w:eastAsia="Times New Roman" w:cs="Arial"/>
          <w:color w:val="000000"/>
          <w:lang w:val="en-US"/>
        </w:rPr>
        <w:t>D</w:t>
      </w:r>
      <w:r w:rsidRPr="00566CBD">
        <w:rPr>
          <w:rFonts w:eastAsia="Times New Roman" w:cs="Arial"/>
          <w:color w:val="000000"/>
          <w:lang w:val="ru-RU"/>
        </w:rPr>
        <w:t xml:space="preserve">, </w:t>
      </w:r>
      <w:r w:rsidRPr="00566CBD">
        <w:rPr>
          <w:rFonts w:eastAsia="Times New Roman" w:cs="Arial"/>
          <w:color w:val="000000"/>
          <w:lang w:eastAsia="bg-BG"/>
        </w:rPr>
        <w:t>е необходимо проследяване нивата на серумния калций и дозата им трябва да се коригира съответно.</w:t>
      </w:r>
    </w:p>
    <w:p w14:paraId="001DF18A" w14:textId="77777777" w:rsidR="00566CBD" w:rsidRPr="00566CBD" w:rsidRDefault="00566CBD" w:rsidP="00566CBD">
      <w:pPr>
        <w:spacing w:line="240" w:lineRule="auto"/>
        <w:rPr>
          <w:rFonts w:eastAsia="Times New Roman" w:cs="Arial"/>
          <w:i/>
          <w:iCs/>
          <w:color w:val="000000"/>
          <w:lang w:eastAsia="bg-BG"/>
        </w:rPr>
      </w:pPr>
    </w:p>
    <w:p w14:paraId="5DBEC5E9" w14:textId="2343EE69"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Сърдечни гликозиди</w:t>
      </w:r>
    </w:p>
    <w:p w14:paraId="7ABB53E8"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Хипокалиемията може да повиши чувствителността или засили отговора от страна на сърцето към дигиталисовата токсичност (напр. вентрикуларна раздразнителност).</w:t>
      </w:r>
    </w:p>
    <w:p w14:paraId="6A30FE54" w14:textId="77777777" w:rsidR="00566CBD" w:rsidRPr="00566CBD" w:rsidRDefault="00566CBD" w:rsidP="00566CBD">
      <w:pPr>
        <w:spacing w:line="240" w:lineRule="auto"/>
        <w:rPr>
          <w:rFonts w:eastAsia="Times New Roman" w:cs="Arial"/>
          <w:i/>
          <w:iCs/>
          <w:color w:val="000000"/>
          <w:lang w:eastAsia="bg-BG"/>
        </w:rPr>
      </w:pPr>
    </w:p>
    <w:p w14:paraId="7F8EEA6E" w14:textId="17C7E1E0"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Холестирамин и колестипол</w:t>
      </w:r>
    </w:p>
    <w:p w14:paraId="28C4879B"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Абсорбцията на хидрохлоротиазид се намалява вследствие на колестипол и холестирамин. Следователно сулфонамидните диуретици трябва да се вземат поне 1 час преди или 4-6 часа след прием на тези средства.</w:t>
      </w:r>
    </w:p>
    <w:p w14:paraId="4B8CB166" w14:textId="77777777" w:rsidR="00566CBD" w:rsidRPr="00566CBD" w:rsidRDefault="00566CBD" w:rsidP="00566CBD">
      <w:pPr>
        <w:spacing w:line="240" w:lineRule="auto"/>
        <w:rPr>
          <w:rFonts w:eastAsia="Times New Roman" w:cs="Arial"/>
          <w:i/>
          <w:iCs/>
          <w:color w:val="000000"/>
          <w:lang w:eastAsia="bg-BG"/>
        </w:rPr>
      </w:pPr>
    </w:p>
    <w:p w14:paraId="169312B6" w14:textId="7499CE4F"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Недеполяризиращи мускулни релаксанти</w:t>
      </w:r>
    </w:p>
    <w:p w14:paraId="69741977" w14:textId="6F7E63E7" w:rsidR="00566CBD" w:rsidRPr="00566CBD" w:rsidRDefault="00566CBD" w:rsidP="00566CBD">
      <w:pPr>
        <w:rPr>
          <w:rFonts w:eastAsia="Times New Roman" w:cs="Arial"/>
          <w:color w:val="000000"/>
          <w:lang w:eastAsia="bg-BG"/>
        </w:rPr>
      </w:pPr>
      <w:r w:rsidRPr="00566CBD">
        <w:rPr>
          <w:rFonts w:eastAsia="Times New Roman" w:cs="Arial"/>
          <w:color w:val="000000"/>
          <w:lang w:eastAsia="bg-BG"/>
        </w:rPr>
        <w:t>Тиазидите може да повишат отговора към недеполяризиращи мускулни релаксанти (напр. тубокурарин).</w:t>
      </w:r>
    </w:p>
    <w:p w14:paraId="5ECB8A8E" w14:textId="418F4A52" w:rsidR="00566CBD" w:rsidRPr="00566CBD" w:rsidRDefault="00566CBD" w:rsidP="00566CBD">
      <w:pPr>
        <w:rPr>
          <w:rFonts w:eastAsia="Times New Roman" w:cs="Arial"/>
          <w:color w:val="000000"/>
          <w:lang w:eastAsia="bg-BG"/>
        </w:rPr>
      </w:pPr>
    </w:p>
    <w:p w14:paraId="4C87FF17" w14:textId="7777777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Соталол</w:t>
      </w:r>
    </w:p>
    <w:p w14:paraId="1851EE5F"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Индуцираната от тиазид хипокалиемия може да увеличи риска от соталол индуцирана аритмия.</w:t>
      </w:r>
    </w:p>
    <w:p w14:paraId="51F0444C" w14:textId="77777777" w:rsidR="00566CBD" w:rsidRPr="00566CBD" w:rsidRDefault="00566CBD" w:rsidP="00566CBD">
      <w:pPr>
        <w:spacing w:line="240" w:lineRule="auto"/>
        <w:rPr>
          <w:rFonts w:eastAsia="Times New Roman" w:cs="Arial"/>
          <w:i/>
          <w:iCs/>
          <w:color w:val="000000"/>
          <w:lang w:eastAsia="bg-BG"/>
        </w:rPr>
      </w:pPr>
    </w:p>
    <w:p w14:paraId="1A328443" w14:textId="35672B2E"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Алопуринол</w:t>
      </w:r>
    </w:p>
    <w:p w14:paraId="1F08B856"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Едновременната употреба на АСЕ инхибитори и алопуринол повишава риска от бъбречно увреждане и може да доведе до нарастване на риска от левкопения.</w:t>
      </w:r>
    </w:p>
    <w:p w14:paraId="11C45E6D" w14:textId="77777777" w:rsidR="00566CBD" w:rsidRPr="00566CBD" w:rsidRDefault="00566CBD" w:rsidP="00566CBD">
      <w:pPr>
        <w:spacing w:line="240" w:lineRule="auto"/>
        <w:rPr>
          <w:rFonts w:eastAsia="Times New Roman" w:cs="Arial"/>
          <w:i/>
          <w:iCs/>
          <w:color w:val="000000"/>
          <w:lang w:eastAsia="bg-BG"/>
        </w:rPr>
      </w:pPr>
    </w:p>
    <w:p w14:paraId="2C948559" w14:textId="6F0E46F0"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Циклоспорин</w:t>
      </w:r>
    </w:p>
    <w:p w14:paraId="58CC7375"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Едновременната употреба на АСЕ инхибитори и циклоспорин повишава риска от бъбречно увреждане и хиперкалиемия. Препоръчва се проследяване на серумния калий.</w:t>
      </w:r>
    </w:p>
    <w:p w14:paraId="36763E53"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Едновременното лечение с циклоспорин може да повиши риска от хиперурикемия и усложнения от подагра.</w:t>
      </w:r>
    </w:p>
    <w:p w14:paraId="2505EAD2" w14:textId="77777777" w:rsidR="00566CBD" w:rsidRPr="00566CBD" w:rsidRDefault="00566CBD" w:rsidP="00566CBD">
      <w:pPr>
        <w:spacing w:line="240" w:lineRule="auto"/>
        <w:rPr>
          <w:rFonts w:eastAsia="Times New Roman" w:cs="Arial"/>
          <w:i/>
          <w:iCs/>
          <w:color w:val="000000"/>
          <w:lang w:eastAsia="bg-BG"/>
        </w:rPr>
      </w:pPr>
    </w:p>
    <w:p w14:paraId="7141C26D" w14:textId="28A6E0AC"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Ловастатин</w:t>
      </w:r>
    </w:p>
    <w:p w14:paraId="02CCCC5B"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Едновременната употреба на АСЕ инхибитори и ловастатин повишава риска от хиперкалиемия.</w:t>
      </w:r>
    </w:p>
    <w:p w14:paraId="1959E4B0" w14:textId="77777777" w:rsidR="00566CBD" w:rsidRPr="00566CBD" w:rsidRDefault="00566CBD" w:rsidP="00566CBD">
      <w:pPr>
        <w:spacing w:line="240" w:lineRule="auto"/>
        <w:rPr>
          <w:rFonts w:eastAsia="Times New Roman" w:cs="Arial"/>
          <w:i/>
          <w:iCs/>
          <w:color w:val="000000"/>
          <w:lang w:eastAsia="bg-BG"/>
        </w:rPr>
      </w:pPr>
    </w:p>
    <w:p w14:paraId="05C8832C" w14:textId="6AE2C985"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Цитостатици, имуносупресанти и прокаинамид</w:t>
      </w:r>
    </w:p>
    <w:p w14:paraId="03AA0D25" w14:textId="77777777" w:rsidR="00566CBD" w:rsidRPr="00566CBD" w:rsidRDefault="00566CBD" w:rsidP="00566CBD">
      <w:pPr>
        <w:spacing w:line="240" w:lineRule="auto"/>
        <w:rPr>
          <w:rFonts w:eastAsia="Times New Roman" w:cs="Arial"/>
          <w:color w:val="000000"/>
          <w:lang w:eastAsia="bg-BG"/>
        </w:rPr>
      </w:pPr>
      <w:r w:rsidRPr="00566CBD">
        <w:rPr>
          <w:rFonts w:eastAsia="Times New Roman" w:cs="Arial"/>
          <w:color w:val="000000"/>
          <w:lang w:eastAsia="bg-BG"/>
        </w:rPr>
        <w:t xml:space="preserve">Тиазидите може да понижат бъбречната екскреция на цитотоксични лекарствени продукти (напр. </w:t>
      </w:r>
    </w:p>
    <w:p w14:paraId="785CE6BB" w14:textId="1B14AFD4" w:rsidR="00566CBD" w:rsidRPr="00566CBD" w:rsidRDefault="00566CBD" w:rsidP="00566CBD">
      <w:pPr>
        <w:spacing w:line="240" w:lineRule="auto"/>
        <w:rPr>
          <w:rFonts w:eastAsia="Times New Roman" w:cs="Arial"/>
        </w:rPr>
      </w:pPr>
      <w:r w:rsidRPr="00566CBD">
        <w:rPr>
          <w:rFonts w:eastAsia="Times New Roman" w:cs="Arial"/>
          <w:color w:val="000000"/>
          <w:lang w:eastAsia="bg-BG"/>
        </w:rPr>
        <w:t>циклофосфамид, метотрексат) и да усилят техния миелосупресивен ефект (вж. точка 4.4).</w:t>
      </w:r>
    </w:p>
    <w:p w14:paraId="43E2B266" w14:textId="77777777" w:rsidR="00566CBD" w:rsidRPr="00566CBD" w:rsidRDefault="00566CBD" w:rsidP="00566CBD">
      <w:pPr>
        <w:spacing w:line="240" w:lineRule="auto"/>
        <w:rPr>
          <w:rFonts w:eastAsia="Times New Roman" w:cs="Arial"/>
          <w:i/>
          <w:iCs/>
          <w:color w:val="000000"/>
          <w:lang w:eastAsia="bg-BG"/>
        </w:rPr>
      </w:pPr>
    </w:p>
    <w:p w14:paraId="1F0C8A2A" w14:textId="2DC6EF9A"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Едновременно лечение с други лекарства</w:t>
      </w:r>
    </w:p>
    <w:p w14:paraId="3F1D29BA"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Тиазидите може да повишат риска от нежелани лекарствени реакции, причинени от амантадин. Постуралната (ортостатична) хипотония може да се засили от едновременен прием на алкохол, барбитурати или анестетици.</w:t>
      </w:r>
    </w:p>
    <w:p w14:paraId="102CA077" w14:textId="77777777" w:rsidR="00566CBD" w:rsidRPr="00566CBD" w:rsidRDefault="00566CBD" w:rsidP="00566CBD">
      <w:pPr>
        <w:spacing w:line="240" w:lineRule="auto"/>
        <w:rPr>
          <w:rFonts w:eastAsia="Times New Roman" w:cs="Arial"/>
          <w:i/>
          <w:iCs/>
          <w:color w:val="000000"/>
          <w:lang w:eastAsia="bg-BG"/>
        </w:rPr>
      </w:pPr>
    </w:p>
    <w:p w14:paraId="5CD68E73" w14:textId="2A0B579B"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Способност за шофиране и работа с машини</w:t>
      </w:r>
    </w:p>
    <w:p w14:paraId="3122F25F" w14:textId="51CE2012" w:rsidR="00566CBD" w:rsidRDefault="00566CBD" w:rsidP="00566CBD">
      <w:pPr>
        <w:rPr>
          <w:rFonts w:eastAsia="Times New Roman" w:cs="Arial"/>
          <w:color w:val="000000"/>
          <w:lang w:eastAsia="bg-BG"/>
        </w:rPr>
      </w:pPr>
      <w:r w:rsidRPr="00566CBD">
        <w:rPr>
          <w:rFonts w:eastAsia="Times New Roman" w:cs="Arial"/>
          <w:color w:val="000000"/>
          <w:lang w:eastAsia="bg-BG"/>
        </w:rPr>
        <w:t>Комбинирани продукти, съдържащи лизиноприл/хидрохлоротиазид, може да повлияят в малка до умерена степен способността за шофиране и работа с машини (вж. точка 4.7).</w:t>
      </w:r>
    </w:p>
    <w:p w14:paraId="6BB13F42" w14:textId="77777777" w:rsidR="00566CBD" w:rsidRPr="00566CBD" w:rsidRDefault="00566CBD" w:rsidP="00566CBD">
      <w:pPr>
        <w:rPr>
          <w:rFonts w:cs="Arial"/>
        </w:rPr>
      </w:pPr>
    </w:p>
    <w:p w14:paraId="6EADE4D6" w14:textId="09D4B653" w:rsidR="00395555" w:rsidRDefault="002C50EE" w:rsidP="008A6AF2">
      <w:pPr>
        <w:pStyle w:val="Heading2"/>
      </w:pPr>
      <w:r>
        <w:t>4.6. Фертилитет, бременност и кърмене</w:t>
      </w:r>
    </w:p>
    <w:p w14:paraId="40633EA2" w14:textId="3A669455" w:rsidR="00566CBD" w:rsidRDefault="00566CBD" w:rsidP="00566CBD"/>
    <w:p w14:paraId="0037D1E1" w14:textId="77777777" w:rsidR="00566CBD" w:rsidRPr="00566CBD" w:rsidRDefault="00566CBD" w:rsidP="00566CBD">
      <w:pPr>
        <w:pStyle w:val="Heading3"/>
        <w:rPr>
          <w:rFonts w:eastAsia="Times New Roman"/>
          <w:u w:val="single"/>
        </w:rPr>
      </w:pPr>
      <w:r w:rsidRPr="00566CBD">
        <w:rPr>
          <w:rFonts w:eastAsia="Times New Roman"/>
          <w:u w:val="single"/>
          <w:lang w:eastAsia="bg-BG"/>
        </w:rPr>
        <w:t>Бременност</w:t>
      </w:r>
    </w:p>
    <w:p w14:paraId="2226B0F4" w14:textId="77777777" w:rsidR="00566CBD" w:rsidRPr="00566CBD" w:rsidRDefault="00566CBD" w:rsidP="00566CBD">
      <w:pPr>
        <w:spacing w:line="240" w:lineRule="auto"/>
        <w:rPr>
          <w:rFonts w:eastAsia="Times New Roman" w:cs="Arial"/>
          <w:i/>
          <w:iCs/>
          <w:color w:val="000000"/>
          <w:u w:val="single"/>
          <w:lang w:eastAsia="bg-BG"/>
        </w:rPr>
      </w:pPr>
    </w:p>
    <w:p w14:paraId="787B475A" w14:textId="435EAD2F" w:rsidR="00566CBD" w:rsidRPr="00566CBD" w:rsidRDefault="00566CBD" w:rsidP="00566CBD">
      <w:pPr>
        <w:spacing w:line="240" w:lineRule="auto"/>
        <w:rPr>
          <w:rFonts w:eastAsia="Times New Roman" w:cs="Arial"/>
        </w:rPr>
      </w:pPr>
      <w:r w:rsidRPr="00566CBD">
        <w:rPr>
          <w:rFonts w:eastAsia="Times New Roman" w:cs="Arial"/>
          <w:i/>
          <w:iCs/>
          <w:color w:val="000000"/>
          <w:u w:val="single"/>
          <w:lang w:eastAsia="bg-BG"/>
        </w:rPr>
        <w:t>АСЕ инхибитори</w:t>
      </w:r>
    </w:p>
    <w:p w14:paraId="2C6D44C1"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Употребата на АСЕ инхибитори не се препоръчва по време на първия триместър на бременността (вж. точка 4.4). Употребата на АСЕ инхибитори е противопоказана през втория и третия триместър на бременността (вж. точка 4.3 и 4.4).</w:t>
      </w:r>
    </w:p>
    <w:p w14:paraId="7E75DC83" w14:textId="77777777" w:rsidR="00566CBD" w:rsidRPr="00566CBD" w:rsidRDefault="00566CBD" w:rsidP="00566CBD">
      <w:pPr>
        <w:spacing w:line="240" w:lineRule="auto"/>
        <w:rPr>
          <w:rFonts w:eastAsia="Times New Roman" w:cs="Arial"/>
          <w:color w:val="000000"/>
          <w:lang w:eastAsia="bg-BG"/>
        </w:rPr>
      </w:pPr>
    </w:p>
    <w:p w14:paraId="76F3681E" w14:textId="415F420E" w:rsidR="00566CBD" w:rsidRPr="00566CBD" w:rsidRDefault="00566CBD" w:rsidP="00566CBD">
      <w:pPr>
        <w:spacing w:line="240" w:lineRule="auto"/>
        <w:rPr>
          <w:rFonts w:eastAsia="Times New Roman" w:cs="Arial"/>
        </w:rPr>
      </w:pPr>
      <w:r w:rsidRPr="00566CBD">
        <w:rPr>
          <w:rFonts w:eastAsia="Times New Roman" w:cs="Arial"/>
          <w:color w:val="000000"/>
          <w:lang w:eastAsia="bg-BG"/>
        </w:rPr>
        <w:t>Няма заключение за епидемиологични доказателства относно риска от тератогенност след експозиция на АСЕ-инхибитори по време на първия триместър на бременността; въпреки това, не може да се изключи слабо увеличение на риска. Освен ако непрекъснатата терапия с АСЕ- инхибитори не се счита за изключително важна, пациентките, планиращи бременност, трябва да преминат на алтернативна антихипертензивна терапия с установен профил на безопасност за употреба по време на бременност. При диагностициране на бременност, лечението с АСЕ- инхибитори трябва веднага да бъде спряно и, ако е уместно, трябва да се започне алтернативна терапия.</w:t>
      </w:r>
    </w:p>
    <w:p w14:paraId="3FECF5FA" w14:textId="77777777" w:rsidR="00566CBD" w:rsidRPr="00566CBD" w:rsidRDefault="00566CBD" w:rsidP="00566CBD">
      <w:pPr>
        <w:spacing w:line="240" w:lineRule="auto"/>
        <w:rPr>
          <w:rFonts w:eastAsia="Times New Roman" w:cs="Arial"/>
          <w:color w:val="000000"/>
          <w:lang w:eastAsia="bg-BG"/>
        </w:rPr>
      </w:pPr>
    </w:p>
    <w:p w14:paraId="72EE3617" w14:textId="0A998E18" w:rsidR="00566CBD" w:rsidRPr="00566CBD" w:rsidRDefault="00566CBD" w:rsidP="00566CBD">
      <w:pPr>
        <w:spacing w:line="240" w:lineRule="auto"/>
        <w:rPr>
          <w:rFonts w:eastAsia="Times New Roman" w:cs="Arial"/>
        </w:rPr>
      </w:pPr>
      <w:r w:rsidRPr="00566CBD">
        <w:rPr>
          <w:rFonts w:eastAsia="Times New Roman" w:cs="Arial"/>
          <w:color w:val="000000"/>
          <w:lang w:eastAsia="bg-BG"/>
        </w:rPr>
        <w:t>Известно е, че експозицията на терапия с АСЕ инхибитори през втория и третия триместър индуцира фетотоксичност при хората (намалена бъбречна функция, олигохидрамнион, забавяне в осификацията на черепа) и неонатална токсичност (бъбречна недостатъчност, хипотония, хиперкалиемия) (вж. също точка 5.3). Ако експозицията на АСЕ-инхибитор е започнала от втория триместър на бременността, препоръчва се ултразвуково изследване на бъбречната функция и черепа</w:t>
      </w:r>
    </w:p>
    <w:p w14:paraId="0C5565A9" w14:textId="00A547B3" w:rsidR="00566CBD" w:rsidRPr="00566CBD" w:rsidRDefault="00566CBD" w:rsidP="00566CBD">
      <w:pPr>
        <w:rPr>
          <w:rFonts w:eastAsia="Times New Roman" w:cs="Arial"/>
          <w:color w:val="000000"/>
          <w:lang w:eastAsia="bg-BG"/>
        </w:rPr>
      </w:pPr>
      <w:r w:rsidRPr="00566CBD">
        <w:rPr>
          <w:rFonts w:eastAsia="Times New Roman" w:cs="Arial"/>
          <w:color w:val="000000"/>
          <w:lang w:eastAsia="bg-BG"/>
        </w:rPr>
        <w:t>Децата, чиито майки са приемали АСЕ-инхибитори трябва внимателно да се наблюдават за хипотония (вж. също точка 4.3 и 4.4).</w:t>
      </w:r>
    </w:p>
    <w:p w14:paraId="5FBC4344" w14:textId="546D6C1B" w:rsidR="00566CBD" w:rsidRPr="00566CBD" w:rsidRDefault="00566CBD" w:rsidP="00566CBD">
      <w:pPr>
        <w:rPr>
          <w:rFonts w:eastAsia="Times New Roman" w:cs="Arial"/>
          <w:color w:val="000000"/>
          <w:lang w:eastAsia="bg-BG"/>
        </w:rPr>
      </w:pPr>
    </w:p>
    <w:p w14:paraId="637B1B40" w14:textId="77777777"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Хидрихлоротиазид</w:t>
      </w:r>
    </w:p>
    <w:p w14:paraId="04D16050"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Има ограничен опит с хидрохлоротиазид по време на бременност, особено през първия триместър. Експерименталните проучвания при животни са недостатъчни.</w:t>
      </w:r>
    </w:p>
    <w:p w14:paraId="48C2F462" w14:textId="77777777" w:rsidR="00566CBD" w:rsidRPr="00566CBD" w:rsidRDefault="00566CBD" w:rsidP="00566CBD">
      <w:pPr>
        <w:spacing w:line="240" w:lineRule="auto"/>
        <w:rPr>
          <w:rFonts w:eastAsia="Times New Roman" w:cs="Arial"/>
          <w:color w:val="000000"/>
          <w:lang w:eastAsia="bg-BG"/>
        </w:rPr>
      </w:pPr>
    </w:p>
    <w:p w14:paraId="6F688C6A" w14:textId="12D9CE10" w:rsidR="00566CBD" w:rsidRPr="00566CBD" w:rsidRDefault="00566CBD" w:rsidP="00566CBD">
      <w:pPr>
        <w:spacing w:line="240" w:lineRule="auto"/>
        <w:rPr>
          <w:rFonts w:eastAsia="Times New Roman" w:cs="Arial"/>
        </w:rPr>
      </w:pPr>
      <w:r w:rsidRPr="00566CBD">
        <w:rPr>
          <w:rFonts w:eastAsia="Times New Roman" w:cs="Arial"/>
          <w:color w:val="000000"/>
          <w:lang w:eastAsia="bg-BG"/>
        </w:rPr>
        <w:t>Хидрохлоротиазид преминава през плацентата. Въз основа на фармакологичния механизъм на действие на хидрохлортиазид употребата му по време на втория и третия триместър може да компрометира фето-плацентарната перфузия и може да причини на плода и новороденото ефекти като жълтеница, нарушение на електролитния баланс и тромбоцитопения.</w:t>
      </w:r>
    </w:p>
    <w:p w14:paraId="6CDDC4F5" w14:textId="77777777" w:rsidR="00566CBD" w:rsidRPr="00566CBD" w:rsidRDefault="00566CBD" w:rsidP="00566CBD">
      <w:pPr>
        <w:spacing w:line="240" w:lineRule="auto"/>
        <w:rPr>
          <w:rFonts w:eastAsia="Times New Roman" w:cs="Arial"/>
          <w:color w:val="000000"/>
          <w:lang w:eastAsia="bg-BG"/>
        </w:rPr>
      </w:pPr>
    </w:p>
    <w:p w14:paraId="18DFB6EC" w14:textId="654A4249" w:rsidR="00566CBD" w:rsidRPr="00566CBD" w:rsidRDefault="00566CBD" w:rsidP="00566CBD">
      <w:pPr>
        <w:spacing w:line="240" w:lineRule="auto"/>
        <w:rPr>
          <w:rFonts w:eastAsia="Times New Roman" w:cs="Arial"/>
        </w:rPr>
      </w:pPr>
      <w:r w:rsidRPr="00566CBD">
        <w:rPr>
          <w:rFonts w:eastAsia="Times New Roman" w:cs="Arial"/>
          <w:color w:val="000000"/>
          <w:lang w:eastAsia="bg-BG"/>
        </w:rPr>
        <w:lastRenderedPageBreak/>
        <w:t>Хидрохлоротиазид не трябва да се използва при отоци при бременни, гестационна хипертония или прееклампсия, поради риск от намаляване на плазмения обем и плацентата хипоперфузия, без да има благотворен ефект върху хода на заболяването.</w:t>
      </w:r>
    </w:p>
    <w:p w14:paraId="644C7C52" w14:textId="77777777" w:rsidR="00566CBD" w:rsidRPr="00566CBD" w:rsidRDefault="00566CBD" w:rsidP="00566CBD">
      <w:pPr>
        <w:spacing w:line="240" w:lineRule="auto"/>
        <w:rPr>
          <w:rFonts w:eastAsia="Times New Roman" w:cs="Arial"/>
          <w:color w:val="000000"/>
          <w:lang w:eastAsia="bg-BG"/>
        </w:rPr>
      </w:pPr>
    </w:p>
    <w:p w14:paraId="59792B50" w14:textId="64EC9CE9" w:rsidR="00566CBD" w:rsidRPr="00566CBD" w:rsidRDefault="00566CBD" w:rsidP="00566CBD">
      <w:pPr>
        <w:spacing w:line="240" w:lineRule="auto"/>
        <w:rPr>
          <w:rFonts w:eastAsia="Times New Roman" w:cs="Arial"/>
        </w:rPr>
      </w:pPr>
      <w:r w:rsidRPr="00566CBD">
        <w:rPr>
          <w:rFonts w:eastAsia="Times New Roman" w:cs="Arial"/>
          <w:color w:val="000000"/>
          <w:lang w:eastAsia="bg-BG"/>
        </w:rPr>
        <w:t>Хидрохлоротиазид не трябва да се използва за есенциална хипертония при бременни жени, освен в редките случаи, когато не може да се прилага друго лечение.</w:t>
      </w:r>
    </w:p>
    <w:p w14:paraId="541C8379" w14:textId="77777777" w:rsidR="00566CBD" w:rsidRPr="00566CBD" w:rsidRDefault="00566CBD" w:rsidP="00566CBD">
      <w:pPr>
        <w:spacing w:line="240" w:lineRule="auto"/>
        <w:rPr>
          <w:rFonts w:eastAsia="Times New Roman" w:cs="Arial"/>
          <w:color w:val="000000"/>
          <w:u w:val="single"/>
          <w:lang w:eastAsia="bg-BG"/>
        </w:rPr>
      </w:pPr>
    </w:p>
    <w:p w14:paraId="187F8304" w14:textId="42C9D5D1" w:rsidR="00566CBD" w:rsidRPr="00566CBD" w:rsidRDefault="00566CBD" w:rsidP="00566CBD">
      <w:pPr>
        <w:pStyle w:val="Heading3"/>
        <w:rPr>
          <w:rFonts w:eastAsia="Times New Roman"/>
          <w:u w:val="single"/>
        </w:rPr>
      </w:pPr>
      <w:r w:rsidRPr="00566CBD">
        <w:rPr>
          <w:rFonts w:eastAsia="Times New Roman"/>
          <w:u w:val="single"/>
          <w:lang w:eastAsia="bg-BG"/>
        </w:rPr>
        <w:t>Кърмене</w:t>
      </w:r>
    </w:p>
    <w:p w14:paraId="7F7EE951" w14:textId="77777777" w:rsidR="00566CBD" w:rsidRPr="00566CBD" w:rsidRDefault="00566CBD" w:rsidP="00566CBD">
      <w:pPr>
        <w:spacing w:line="240" w:lineRule="auto"/>
        <w:rPr>
          <w:rFonts w:eastAsia="Times New Roman" w:cs="Arial"/>
          <w:i/>
          <w:iCs/>
          <w:color w:val="000000"/>
          <w:lang w:eastAsia="bg-BG"/>
        </w:rPr>
      </w:pPr>
    </w:p>
    <w:p w14:paraId="6ED1F9F5" w14:textId="73FE57E5"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АСЕ инхибитори</w:t>
      </w:r>
    </w:p>
    <w:p w14:paraId="086F0D1D"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Няма достатъчно информация по отношение на използването на лизиноприл/хидрохлоротиазид по време на кърмене, затова лизиноприл/хидрохлоротиазид не се препоръчва и за предпочитане е алтернативно лечение с по-добър профил на безопасност, установен по време на кърмене, особено при кърмене на новородено или недоносено бебе.</w:t>
      </w:r>
    </w:p>
    <w:p w14:paraId="184396D6" w14:textId="77777777" w:rsidR="00566CBD" w:rsidRPr="00566CBD" w:rsidRDefault="00566CBD" w:rsidP="00566CBD">
      <w:pPr>
        <w:spacing w:line="240" w:lineRule="auto"/>
        <w:rPr>
          <w:rFonts w:eastAsia="Times New Roman" w:cs="Arial"/>
          <w:i/>
          <w:iCs/>
          <w:color w:val="000000"/>
          <w:lang w:eastAsia="bg-BG"/>
        </w:rPr>
      </w:pPr>
    </w:p>
    <w:p w14:paraId="2756D499" w14:textId="6DDB7C7C" w:rsidR="00566CBD" w:rsidRPr="00566CBD" w:rsidRDefault="00566CBD" w:rsidP="00566CBD">
      <w:pPr>
        <w:spacing w:line="240" w:lineRule="auto"/>
        <w:rPr>
          <w:rFonts w:eastAsia="Times New Roman" w:cs="Arial"/>
        </w:rPr>
      </w:pPr>
      <w:r w:rsidRPr="00566CBD">
        <w:rPr>
          <w:rFonts w:eastAsia="Times New Roman" w:cs="Arial"/>
          <w:i/>
          <w:iCs/>
          <w:color w:val="000000"/>
          <w:lang w:eastAsia="bg-BG"/>
        </w:rPr>
        <w:t>Хидрохлоротиазид</w:t>
      </w:r>
    </w:p>
    <w:p w14:paraId="4926BADD" w14:textId="77777777" w:rsidR="00566CBD" w:rsidRPr="00566CBD" w:rsidRDefault="00566CBD" w:rsidP="00566CBD">
      <w:pPr>
        <w:spacing w:line="240" w:lineRule="auto"/>
        <w:rPr>
          <w:rFonts w:eastAsia="Times New Roman" w:cs="Arial"/>
        </w:rPr>
      </w:pPr>
      <w:r w:rsidRPr="00566CBD">
        <w:rPr>
          <w:rFonts w:eastAsia="Times New Roman" w:cs="Arial"/>
          <w:color w:val="000000"/>
          <w:lang w:eastAsia="bg-BG"/>
        </w:rPr>
        <w:t>Хидрохлоротиазид се екскретира в кърмата в малки количества. Тиазидите, приемани във високи дози, причиняващи интензивна диуреза, могат да потиснат лактацията. Употребата на лизиноприл/хидрохлоротиазид не се препоръчва през периода на кърмене. Ако лизиноприл/хидрохлоротиазид се прилага през периода на кърмене, употребата му трябва да се извършва в минималните възможни дози.</w:t>
      </w:r>
    </w:p>
    <w:p w14:paraId="04D93C67" w14:textId="77777777" w:rsidR="00566CBD" w:rsidRPr="00566CBD" w:rsidRDefault="00566CBD" w:rsidP="00566CBD"/>
    <w:p w14:paraId="5766770B" w14:textId="1F3105E9" w:rsidR="00395555" w:rsidRDefault="002C50EE" w:rsidP="008A6AF2">
      <w:pPr>
        <w:pStyle w:val="Heading2"/>
      </w:pPr>
      <w:r>
        <w:t>4.7. Ефекти върху способността за шофиране и работа с машини</w:t>
      </w:r>
    </w:p>
    <w:p w14:paraId="36BC8513" w14:textId="794A040A" w:rsidR="00566CBD" w:rsidRDefault="00566CBD" w:rsidP="00566CBD"/>
    <w:p w14:paraId="2B7C8BDC" w14:textId="77777777" w:rsidR="00566CBD" w:rsidRPr="00566CBD" w:rsidRDefault="00566CBD" w:rsidP="00566CBD">
      <w:pPr>
        <w:rPr>
          <w:sz w:val="24"/>
          <w:szCs w:val="24"/>
        </w:rPr>
      </w:pPr>
      <w:r w:rsidRPr="00566CBD">
        <w:rPr>
          <w:lang w:eastAsia="bg-BG"/>
        </w:rPr>
        <w:t>Какго и при други антихипертензивни лекарствени продукти, комбинираният продукт лизиноприл/хидрохлоротиазид може да има леко до умерено влияние по отношение на способността за шофиране и работа с машини, особено в началото на лечението или при промяна на дозата и също когато се употребява с алкохол, но тези ефекти зависят от индивидуалната чувствителност.</w:t>
      </w:r>
    </w:p>
    <w:p w14:paraId="640E363C" w14:textId="77777777" w:rsidR="00566CBD" w:rsidRPr="00566CBD" w:rsidRDefault="00566CBD" w:rsidP="00566CBD">
      <w:pPr>
        <w:rPr>
          <w:sz w:val="24"/>
          <w:szCs w:val="24"/>
        </w:rPr>
      </w:pPr>
      <w:r w:rsidRPr="00566CBD">
        <w:rPr>
          <w:lang w:eastAsia="bg-BG"/>
        </w:rPr>
        <w:t>При шофиране или работа с машини трябва да се има предвид , че понякога могат да се наблюдават замайване или умора.</w:t>
      </w:r>
    </w:p>
    <w:p w14:paraId="2789E12E" w14:textId="77777777" w:rsidR="00566CBD" w:rsidRPr="00566CBD" w:rsidRDefault="00566CBD" w:rsidP="00566CBD"/>
    <w:p w14:paraId="4FE16E21" w14:textId="1043884C" w:rsidR="00395555" w:rsidRDefault="002C50EE" w:rsidP="008A6AF2">
      <w:pPr>
        <w:pStyle w:val="Heading2"/>
      </w:pPr>
      <w:r>
        <w:t>4.8. Нежелани лекарствени реакции</w:t>
      </w:r>
    </w:p>
    <w:p w14:paraId="09D07FB0" w14:textId="1EBF3FA2" w:rsidR="00566CBD" w:rsidRDefault="00566CBD" w:rsidP="00566CBD"/>
    <w:p w14:paraId="2AF5EC0B" w14:textId="77777777" w:rsidR="00566CBD" w:rsidRPr="00566CBD" w:rsidRDefault="00566CBD" w:rsidP="00566CBD">
      <w:pPr>
        <w:spacing w:line="240" w:lineRule="auto"/>
        <w:rPr>
          <w:rFonts w:eastAsia="Times New Roman" w:cs="Arial"/>
          <w:sz w:val="28"/>
          <w:szCs w:val="24"/>
        </w:rPr>
      </w:pPr>
      <w:r w:rsidRPr="00566CBD">
        <w:rPr>
          <w:rFonts w:eastAsia="Times New Roman" w:cs="Arial"/>
          <w:color w:val="000000"/>
          <w:szCs w:val="20"/>
          <w:lang w:eastAsia="bg-BG"/>
        </w:rPr>
        <w:t>Следните нежелани реакции са наблюдавани и съобщавани по време на лечение с лизиноприл и/или хидрохлоротиазид със съответната честота: много чести (≥1/10), чести (≥1/100 до &lt; 1/10), нечести (≥1/1000 до &lt;1/100), редки (≥1/10 000 до &lt; 1/1000), много редки (&lt;1/10 000), с неизвестна честота (не може да се оцени от наличните данни).</w:t>
      </w:r>
    </w:p>
    <w:p w14:paraId="376D21C3" w14:textId="77777777" w:rsidR="00566CBD" w:rsidRPr="00566CBD" w:rsidRDefault="00566CBD" w:rsidP="00566CBD">
      <w:pPr>
        <w:spacing w:line="240" w:lineRule="auto"/>
        <w:rPr>
          <w:rFonts w:eastAsia="Times New Roman" w:cs="Arial"/>
          <w:sz w:val="28"/>
          <w:szCs w:val="24"/>
        </w:rPr>
      </w:pPr>
      <w:r w:rsidRPr="00566CBD">
        <w:rPr>
          <w:rFonts w:eastAsia="Times New Roman" w:cs="Arial"/>
          <w:color w:val="000000"/>
          <w:szCs w:val="20"/>
          <w:lang w:eastAsia="bg-BG"/>
        </w:rPr>
        <w:t>Най-често съобщаваните нежелани лекарствени реакции са кашлица, замайване, хипотензия и главоболие, които могат да се наблюдават при 1 до 10% от лекуваните пациенти. В клинични изпитвания, наблюдаваните нежелани ефекти, обикновено са слабо изразени и преходни ,като в повечето случаи не се налага прекратяване на лечението.</w:t>
      </w:r>
    </w:p>
    <w:p w14:paraId="70B4FF6B" w14:textId="77777777" w:rsidR="00566CBD" w:rsidRPr="00566CBD" w:rsidRDefault="00566CBD" w:rsidP="00566CBD">
      <w:pPr>
        <w:spacing w:line="240" w:lineRule="auto"/>
        <w:rPr>
          <w:rFonts w:eastAsia="Times New Roman" w:cs="Arial"/>
          <w:sz w:val="28"/>
          <w:szCs w:val="24"/>
        </w:rPr>
      </w:pPr>
    </w:p>
    <w:p w14:paraId="29F8E246" w14:textId="49AEE617" w:rsidR="00566CBD" w:rsidRDefault="00566CBD" w:rsidP="00566CBD">
      <w:pPr>
        <w:rPr>
          <w:rFonts w:eastAsia="Times New Roman" w:cs="Arial"/>
          <w:b/>
          <w:bCs/>
          <w:color w:val="000000"/>
          <w:szCs w:val="20"/>
          <w:lang w:eastAsia="bg-BG"/>
        </w:rPr>
      </w:pPr>
      <w:r w:rsidRPr="00566CBD">
        <w:rPr>
          <w:rFonts w:eastAsia="Times New Roman" w:cs="Arial"/>
          <w:b/>
          <w:bCs/>
          <w:color w:val="000000"/>
          <w:szCs w:val="20"/>
          <w:lang w:eastAsia="bg-BG"/>
        </w:rPr>
        <w:t>Лизиноприл</w:t>
      </w:r>
    </w:p>
    <w:tbl>
      <w:tblPr>
        <w:tblStyle w:val="TableGrid"/>
        <w:tblW w:w="0" w:type="auto"/>
        <w:tblLook w:val="04A0" w:firstRow="1" w:lastRow="0" w:firstColumn="1" w:lastColumn="0" w:noHBand="0" w:noVBand="1"/>
      </w:tblPr>
      <w:tblGrid>
        <w:gridCol w:w="4591"/>
        <w:gridCol w:w="4759"/>
      </w:tblGrid>
      <w:tr w:rsidR="00566CBD" w14:paraId="6F45F0A0" w14:textId="77777777" w:rsidTr="00566CBD">
        <w:tc>
          <w:tcPr>
            <w:tcW w:w="9576" w:type="dxa"/>
            <w:gridSpan w:val="2"/>
          </w:tcPr>
          <w:p w14:paraId="1A349BB3" w14:textId="5DBF7DA9" w:rsidR="00566CBD" w:rsidRPr="00566CBD" w:rsidRDefault="00566CBD" w:rsidP="00566CBD">
            <w:pPr>
              <w:rPr>
                <w:rFonts w:cs="Arial"/>
                <w:b/>
                <w:sz w:val="24"/>
              </w:rPr>
            </w:pPr>
            <w:r w:rsidRPr="00566CBD">
              <w:rPr>
                <w:b/>
              </w:rPr>
              <w:t>Нарушения на кръвта и лимфната система</w:t>
            </w:r>
          </w:p>
        </w:tc>
      </w:tr>
      <w:tr w:rsidR="00566CBD" w14:paraId="40939885" w14:textId="77777777" w:rsidTr="00566CBD">
        <w:tc>
          <w:tcPr>
            <w:tcW w:w="4788" w:type="dxa"/>
          </w:tcPr>
          <w:p w14:paraId="692D18B8" w14:textId="58CE34D4" w:rsidR="00566CBD" w:rsidRDefault="00566CBD" w:rsidP="00566CBD">
            <w:pPr>
              <w:rPr>
                <w:rFonts w:cs="Arial"/>
                <w:sz w:val="24"/>
              </w:rPr>
            </w:pPr>
            <w:r w:rsidRPr="006D1A3E">
              <w:t>Редки</w:t>
            </w:r>
          </w:p>
        </w:tc>
        <w:tc>
          <w:tcPr>
            <w:tcW w:w="4788" w:type="dxa"/>
          </w:tcPr>
          <w:p w14:paraId="021A2895" w14:textId="26B3C689" w:rsidR="00566CBD" w:rsidRPr="00566CBD" w:rsidRDefault="00566CBD" w:rsidP="00566CBD">
            <w:pPr>
              <w:rPr>
                <w:rFonts w:cs="Arial"/>
                <w:sz w:val="24"/>
                <w:lang w:val="en-US"/>
              </w:rPr>
            </w:pPr>
            <w:r>
              <w:t>Понижаване на хемоглобина</w:t>
            </w:r>
            <w:r>
              <w:rPr>
                <w:lang w:val="en-US"/>
              </w:rPr>
              <w:t xml:space="preserve">, </w:t>
            </w:r>
            <w:r w:rsidRPr="00566CBD">
              <w:t>хематокрита.</w:t>
            </w:r>
          </w:p>
        </w:tc>
      </w:tr>
      <w:tr w:rsidR="00566CBD" w14:paraId="0DECE222" w14:textId="77777777" w:rsidTr="00566CBD">
        <w:tc>
          <w:tcPr>
            <w:tcW w:w="4788" w:type="dxa"/>
          </w:tcPr>
          <w:p w14:paraId="794F0F97" w14:textId="041551E8" w:rsidR="00566CBD" w:rsidRDefault="00566CBD" w:rsidP="00566CBD">
            <w:pPr>
              <w:rPr>
                <w:rFonts w:cs="Arial"/>
                <w:sz w:val="24"/>
              </w:rPr>
            </w:pPr>
            <w:r>
              <w:lastRenderedPageBreak/>
              <w:t>Много редки</w:t>
            </w:r>
          </w:p>
        </w:tc>
        <w:tc>
          <w:tcPr>
            <w:tcW w:w="4788" w:type="dxa"/>
            <w:vAlign w:val="bottom"/>
          </w:tcPr>
          <w:p w14:paraId="69160C90" w14:textId="40F3EDAC" w:rsidR="00566CBD" w:rsidRDefault="00566CBD" w:rsidP="00566CBD">
            <w:pPr>
              <w:rPr>
                <w:rFonts w:cs="Arial"/>
                <w:sz w:val="24"/>
              </w:rPr>
            </w:pPr>
            <w:r>
              <w:t>Потискане на костния мозък, анемия, тромбоцитопения, левкопения, неутропения, агранулоцитоза (вж. точка 4,4), хемолитична анемия, лимфаденопатия, автоимунно заболяване.</w:t>
            </w:r>
          </w:p>
        </w:tc>
      </w:tr>
      <w:tr w:rsidR="00566CBD" w14:paraId="2B44E740" w14:textId="77777777" w:rsidTr="00566CBD">
        <w:tc>
          <w:tcPr>
            <w:tcW w:w="9576" w:type="dxa"/>
            <w:gridSpan w:val="2"/>
          </w:tcPr>
          <w:p w14:paraId="041B6D83" w14:textId="45CFEC6C" w:rsidR="00566CBD" w:rsidRPr="00566CBD" w:rsidRDefault="00566CBD" w:rsidP="00566CBD">
            <w:pPr>
              <w:rPr>
                <w:rFonts w:cs="Arial"/>
                <w:b/>
                <w:sz w:val="24"/>
              </w:rPr>
            </w:pPr>
            <w:r w:rsidRPr="00566CBD">
              <w:rPr>
                <w:b/>
              </w:rPr>
              <w:t>Нарушения на имунната система</w:t>
            </w:r>
          </w:p>
        </w:tc>
      </w:tr>
      <w:tr w:rsidR="00566CBD" w14:paraId="6065A77B" w14:textId="77777777" w:rsidTr="00566CBD">
        <w:tc>
          <w:tcPr>
            <w:tcW w:w="4788" w:type="dxa"/>
            <w:vAlign w:val="bottom"/>
          </w:tcPr>
          <w:p w14:paraId="0D683F9F" w14:textId="7730832F" w:rsidR="00566CBD" w:rsidRDefault="00566CBD" w:rsidP="00566CBD">
            <w:pPr>
              <w:rPr>
                <w:rFonts w:cs="Arial"/>
                <w:sz w:val="24"/>
              </w:rPr>
            </w:pPr>
            <w:r>
              <w:t>С неизвестна честота</w:t>
            </w:r>
          </w:p>
        </w:tc>
        <w:tc>
          <w:tcPr>
            <w:tcW w:w="4788" w:type="dxa"/>
            <w:vAlign w:val="bottom"/>
          </w:tcPr>
          <w:p w14:paraId="735D612B" w14:textId="1B25A99F" w:rsidR="00566CBD" w:rsidRDefault="00566CBD" w:rsidP="00566CBD">
            <w:pPr>
              <w:rPr>
                <w:rFonts w:cs="Arial"/>
                <w:sz w:val="24"/>
              </w:rPr>
            </w:pPr>
            <w:r>
              <w:t>Анафилактични/анафилактоидни реакции.</w:t>
            </w:r>
          </w:p>
        </w:tc>
      </w:tr>
      <w:tr w:rsidR="00566CBD" w14:paraId="4FB733BD" w14:textId="77777777" w:rsidTr="00566CBD">
        <w:tc>
          <w:tcPr>
            <w:tcW w:w="9576" w:type="dxa"/>
            <w:gridSpan w:val="2"/>
          </w:tcPr>
          <w:p w14:paraId="6F37EE20" w14:textId="4E083306" w:rsidR="00566CBD" w:rsidRPr="00566CBD" w:rsidRDefault="00566CBD" w:rsidP="00566CBD">
            <w:pPr>
              <w:rPr>
                <w:b/>
                <w:sz w:val="24"/>
                <w:szCs w:val="24"/>
              </w:rPr>
            </w:pPr>
            <w:r w:rsidRPr="00566CBD">
              <w:rPr>
                <w:b/>
                <w:lang w:eastAsia="bg-BG"/>
              </w:rPr>
              <w:t>Нарушения на ендокринната система</w:t>
            </w:r>
          </w:p>
        </w:tc>
      </w:tr>
      <w:tr w:rsidR="00566CBD" w14:paraId="4426A883" w14:textId="77777777" w:rsidTr="00566CBD">
        <w:tc>
          <w:tcPr>
            <w:tcW w:w="4788" w:type="dxa"/>
          </w:tcPr>
          <w:p w14:paraId="4248CC13" w14:textId="5BD75E66" w:rsidR="00566CBD" w:rsidRDefault="00566CBD" w:rsidP="00566CBD">
            <w:pPr>
              <w:rPr>
                <w:rFonts w:cs="Arial"/>
                <w:sz w:val="24"/>
              </w:rPr>
            </w:pPr>
            <w:r>
              <w:t>Редки</w:t>
            </w:r>
          </w:p>
        </w:tc>
        <w:tc>
          <w:tcPr>
            <w:tcW w:w="4788" w:type="dxa"/>
            <w:vAlign w:val="bottom"/>
          </w:tcPr>
          <w:p w14:paraId="7DC9DCC0" w14:textId="704D4572" w:rsidR="00566CBD" w:rsidRDefault="00566CBD" w:rsidP="00566CBD">
            <w:pPr>
              <w:rPr>
                <w:rFonts w:cs="Arial"/>
                <w:sz w:val="24"/>
              </w:rPr>
            </w:pPr>
            <w:r>
              <w:t xml:space="preserve">Синдром на неадекватна секреция на антидиуретичния хормон </w:t>
            </w:r>
            <w:r w:rsidRPr="00566CBD">
              <w:rPr>
                <w:lang w:val="ru-RU"/>
              </w:rPr>
              <w:t>(</w:t>
            </w:r>
            <w:r>
              <w:rPr>
                <w:lang w:val="en-US"/>
              </w:rPr>
              <w:t>SIADH</w:t>
            </w:r>
            <w:r w:rsidRPr="00566CBD">
              <w:rPr>
                <w:lang w:val="ru-RU"/>
              </w:rPr>
              <w:t>).</w:t>
            </w:r>
          </w:p>
        </w:tc>
      </w:tr>
      <w:tr w:rsidR="00566CBD" w14:paraId="50C845B5" w14:textId="77777777" w:rsidTr="00566CBD">
        <w:tc>
          <w:tcPr>
            <w:tcW w:w="9576" w:type="dxa"/>
            <w:gridSpan w:val="2"/>
          </w:tcPr>
          <w:p w14:paraId="2BFE2B1A" w14:textId="2A07869E" w:rsidR="00566CBD" w:rsidRPr="00566CBD" w:rsidRDefault="00566CBD" w:rsidP="00566CBD">
            <w:pPr>
              <w:rPr>
                <w:rFonts w:cs="Arial"/>
                <w:b/>
                <w:sz w:val="24"/>
              </w:rPr>
            </w:pPr>
            <w:r w:rsidRPr="00566CBD">
              <w:rPr>
                <w:b/>
              </w:rPr>
              <w:t>Нарушения на метаболизма и храненето</w:t>
            </w:r>
          </w:p>
        </w:tc>
      </w:tr>
      <w:tr w:rsidR="00566CBD" w14:paraId="5C245884" w14:textId="77777777" w:rsidTr="00566CBD">
        <w:tc>
          <w:tcPr>
            <w:tcW w:w="4788" w:type="dxa"/>
            <w:vAlign w:val="bottom"/>
          </w:tcPr>
          <w:p w14:paraId="2E27129D" w14:textId="3763EA1D" w:rsidR="00566CBD" w:rsidRDefault="00566CBD" w:rsidP="00566CBD">
            <w:pPr>
              <w:rPr>
                <w:rFonts w:cs="Arial"/>
                <w:sz w:val="24"/>
              </w:rPr>
            </w:pPr>
            <w:r>
              <w:t>Много редки</w:t>
            </w:r>
          </w:p>
        </w:tc>
        <w:tc>
          <w:tcPr>
            <w:tcW w:w="4788" w:type="dxa"/>
            <w:vAlign w:val="bottom"/>
          </w:tcPr>
          <w:p w14:paraId="2C01CD0E" w14:textId="0F192DDC" w:rsidR="00566CBD" w:rsidRDefault="00566CBD" w:rsidP="00566CBD">
            <w:pPr>
              <w:rPr>
                <w:rFonts w:cs="Arial"/>
                <w:sz w:val="24"/>
              </w:rPr>
            </w:pPr>
            <w:r>
              <w:t>Хипогликемия.</w:t>
            </w:r>
          </w:p>
        </w:tc>
      </w:tr>
      <w:tr w:rsidR="00566CBD" w14:paraId="51565ADD" w14:textId="77777777" w:rsidTr="00566CBD">
        <w:tc>
          <w:tcPr>
            <w:tcW w:w="9576" w:type="dxa"/>
            <w:gridSpan w:val="2"/>
          </w:tcPr>
          <w:p w14:paraId="27B12147" w14:textId="78ACD074" w:rsidR="00566CBD" w:rsidRPr="00566CBD" w:rsidRDefault="00566CBD" w:rsidP="00566CBD">
            <w:pPr>
              <w:rPr>
                <w:rFonts w:cs="Arial"/>
                <w:b/>
                <w:sz w:val="24"/>
              </w:rPr>
            </w:pPr>
            <w:r w:rsidRPr="00566CBD">
              <w:rPr>
                <w:b/>
              </w:rPr>
              <w:t>Психични нарушения</w:t>
            </w:r>
          </w:p>
        </w:tc>
      </w:tr>
      <w:tr w:rsidR="00566CBD" w14:paraId="31CD5ADE" w14:textId="77777777" w:rsidTr="00566CBD">
        <w:tc>
          <w:tcPr>
            <w:tcW w:w="4788" w:type="dxa"/>
          </w:tcPr>
          <w:p w14:paraId="78E8A15B" w14:textId="2CC8FFFE" w:rsidR="00566CBD" w:rsidRDefault="00566CBD" w:rsidP="00566CBD">
            <w:pPr>
              <w:rPr>
                <w:rFonts w:cs="Arial"/>
                <w:sz w:val="24"/>
              </w:rPr>
            </w:pPr>
            <w:r>
              <w:t>Нечести</w:t>
            </w:r>
          </w:p>
        </w:tc>
        <w:tc>
          <w:tcPr>
            <w:tcW w:w="4788" w:type="dxa"/>
            <w:vAlign w:val="bottom"/>
          </w:tcPr>
          <w:p w14:paraId="0F830E6E" w14:textId="36117729" w:rsidR="00566CBD" w:rsidRDefault="00566CBD" w:rsidP="00566CBD">
            <w:pPr>
              <w:rPr>
                <w:rFonts w:cs="Arial"/>
                <w:sz w:val="24"/>
              </w:rPr>
            </w:pPr>
            <w:r>
              <w:t>Промени в настроението, депресивни симптоми.</w:t>
            </w:r>
          </w:p>
        </w:tc>
      </w:tr>
      <w:tr w:rsidR="00566CBD" w14:paraId="5800B0C7" w14:textId="77777777" w:rsidTr="00566CBD">
        <w:tc>
          <w:tcPr>
            <w:tcW w:w="4788" w:type="dxa"/>
            <w:vAlign w:val="bottom"/>
          </w:tcPr>
          <w:p w14:paraId="2E23C660" w14:textId="57152919" w:rsidR="00566CBD" w:rsidRDefault="00566CBD" w:rsidP="00566CBD">
            <w:pPr>
              <w:rPr>
                <w:rFonts w:cs="Arial"/>
                <w:sz w:val="24"/>
              </w:rPr>
            </w:pPr>
            <w:r>
              <w:t>Редки</w:t>
            </w:r>
          </w:p>
        </w:tc>
        <w:tc>
          <w:tcPr>
            <w:tcW w:w="4788" w:type="dxa"/>
            <w:vAlign w:val="bottom"/>
          </w:tcPr>
          <w:p w14:paraId="2D7E0E8B" w14:textId="61D68FAD" w:rsidR="00566CBD" w:rsidRDefault="00566CBD" w:rsidP="00566CBD">
            <w:pPr>
              <w:rPr>
                <w:rFonts w:cs="Arial"/>
                <w:sz w:val="24"/>
              </w:rPr>
            </w:pPr>
            <w:r>
              <w:t>Умствено объркване.</w:t>
            </w:r>
          </w:p>
        </w:tc>
      </w:tr>
      <w:tr w:rsidR="00566CBD" w14:paraId="25A87C5C" w14:textId="77777777" w:rsidTr="00566CBD">
        <w:tc>
          <w:tcPr>
            <w:tcW w:w="4788" w:type="dxa"/>
            <w:vAlign w:val="bottom"/>
          </w:tcPr>
          <w:p w14:paraId="2D8AAAAB" w14:textId="7F52D9C1" w:rsidR="00566CBD" w:rsidRDefault="00566CBD" w:rsidP="00566CBD">
            <w:pPr>
              <w:rPr>
                <w:rFonts w:cs="Arial"/>
                <w:sz w:val="24"/>
              </w:rPr>
            </w:pPr>
            <w:r>
              <w:t>С неизвестна честота</w:t>
            </w:r>
          </w:p>
        </w:tc>
        <w:tc>
          <w:tcPr>
            <w:tcW w:w="4788" w:type="dxa"/>
            <w:vAlign w:val="bottom"/>
          </w:tcPr>
          <w:p w14:paraId="3BC23CEF" w14:textId="2878AF42" w:rsidR="00566CBD" w:rsidRDefault="00566CBD" w:rsidP="00566CBD">
            <w:pPr>
              <w:rPr>
                <w:rFonts w:cs="Arial"/>
                <w:sz w:val="24"/>
              </w:rPr>
            </w:pPr>
            <w:r>
              <w:t>Халюцинации.</w:t>
            </w:r>
          </w:p>
        </w:tc>
      </w:tr>
      <w:tr w:rsidR="00566CBD" w14:paraId="6FF22C54" w14:textId="77777777" w:rsidTr="00566CBD">
        <w:tc>
          <w:tcPr>
            <w:tcW w:w="9576" w:type="dxa"/>
            <w:gridSpan w:val="2"/>
          </w:tcPr>
          <w:p w14:paraId="5E72AA0A" w14:textId="0522EB11" w:rsidR="00566CBD" w:rsidRPr="00566CBD" w:rsidRDefault="00566CBD" w:rsidP="00566CBD">
            <w:pPr>
              <w:rPr>
                <w:rFonts w:cs="Arial"/>
                <w:b/>
                <w:sz w:val="24"/>
              </w:rPr>
            </w:pPr>
            <w:r w:rsidRPr="00566CBD">
              <w:rPr>
                <w:b/>
              </w:rPr>
              <w:t>Нарушения на нервната система</w:t>
            </w:r>
          </w:p>
        </w:tc>
      </w:tr>
      <w:tr w:rsidR="00566CBD" w14:paraId="622EAA74" w14:textId="77777777" w:rsidTr="00566CBD">
        <w:tc>
          <w:tcPr>
            <w:tcW w:w="4788" w:type="dxa"/>
            <w:vAlign w:val="bottom"/>
          </w:tcPr>
          <w:p w14:paraId="389B8588" w14:textId="62A6B534" w:rsidR="00566CBD" w:rsidRDefault="00566CBD" w:rsidP="00566CBD">
            <w:pPr>
              <w:rPr>
                <w:rFonts w:cs="Arial"/>
                <w:sz w:val="24"/>
              </w:rPr>
            </w:pPr>
            <w:r>
              <w:t>Чести</w:t>
            </w:r>
          </w:p>
        </w:tc>
        <w:tc>
          <w:tcPr>
            <w:tcW w:w="4788" w:type="dxa"/>
            <w:vAlign w:val="bottom"/>
          </w:tcPr>
          <w:p w14:paraId="415E855A" w14:textId="308269C7" w:rsidR="00566CBD" w:rsidRDefault="00566CBD" w:rsidP="00566CBD">
            <w:pPr>
              <w:rPr>
                <w:rFonts w:cs="Arial"/>
                <w:sz w:val="24"/>
              </w:rPr>
            </w:pPr>
            <w:r>
              <w:t>Замайване, главоболие, синкоп.</w:t>
            </w:r>
          </w:p>
        </w:tc>
      </w:tr>
      <w:tr w:rsidR="00566CBD" w14:paraId="3684C12F" w14:textId="77777777" w:rsidTr="00566CBD">
        <w:tc>
          <w:tcPr>
            <w:tcW w:w="4788" w:type="dxa"/>
          </w:tcPr>
          <w:p w14:paraId="334E1F66" w14:textId="1620C1A0" w:rsidR="00566CBD" w:rsidRDefault="00566CBD" w:rsidP="00566CBD">
            <w:pPr>
              <w:rPr>
                <w:rFonts w:cs="Arial"/>
                <w:sz w:val="24"/>
              </w:rPr>
            </w:pPr>
            <w:r>
              <w:t>Нечести</w:t>
            </w:r>
          </w:p>
        </w:tc>
        <w:tc>
          <w:tcPr>
            <w:tcW w:w="4788" w:type="dxa"/>
            <w:vAlign w:val="bottom"/>
          </w:tcPr>
          <w:p w14:paraId="57175E2D" w14:textId="01B0D1CC" w:rsidR="00566CBD" w:rsidRDefault="00566CBD" w:rsidP="00566CBD">
            <w:pPr>
              <w:rPr>
                <w:rFonts w:cs="Arial"/>
                <w:sz w:val="24"/>
              </w:rPr>
            </w:pPr>
            <w:r>
              <w:t>Парестезия, вертиго, нарушения на вкуса, нарушения на съня.</w:t>
            </w:r>
          </w:p>
        </w:tc>
      </w:tr>
      <w:tr w:rsidR="00566CBD" w14:paraId="20D6FAA7" w14:textId="77777777" w:rsidTr="00566CBD">
        <w:tc>
          <w:tcPr>
            <w:tcW w:w="4788" w:type="dxa"/>
            <w:vAlign w:val="bottom"/>
          </w:tcPr>
          <w:p w14:paraId="1DF403F0" w14:textId="776D3B33" w:rsidR="00566CBD" w:rsidRDefault="00566CBD" w:rsidP="00566CBD">
            <w:pPr>
              <w:rPr>
                <w:rFonts w:cs="Arial"/>
                <w:sz w:val="24"/>
              </w:rPr>
            </w:pPr>
            <w:r>
              <w:t>Редки</w:t>
            </w:r>
          </w:p>
        </w:tc>
        <w:tc>
          <w:tcPr>
            <w:tcW w:w="4788" w:type="dxa"/>
            <w:vAlign w:val="bottom"/>
          </w:tcPr>
          <w:p w14:paraId="3547DC30" w14:textId="3485074B" w:rsidR="00566CBD" w:rsidRDefault="00566CBD" w:rsidP="00566CBD">
            <w:pPr>
              <w:rPr>
                <w:rFonts w:cs="Arial"/>
                <w:sz w:val="24"/>
              </w:rPr>
            </w:pPr>
            <w:r>
              <w:t>Нарушения на обонянието.</w:t>
            </w:r>
          </w:p>
        </w:tc>
      </w:tr>
      <w:tr w:rsidR="00566CBD" w14:paraId="237EA143" w14:textId="77777777" w:rsidTr="00566CBD">
        <w:tc>
          <w:tcPr>
            <w:tcW w:w="9576" w:type="dxa"/>
            <w:gridSpan w:val="2"/>
          </w:tcPr>
          <w:p w14:paraId="1685BBB4" w14:textId="09360FC7" w:rsidR="00566CBD" w:rsidRPr="00566CBD" w:rsidRDefault="00566CBD" w:rsidP="00566CBD">
            <w:pPr>
              <w:rPr>
                <w:b/>
                <w:sz w:val="24"/>
                <w:szCs w:val="24"/>
              </w:rPr>
            </w:pPr>
            <w:r w:rsidRPr="00566CBD">
              <w:rPr>
                <w:b/>
                <w:lang w:eastAsia="bg-BG"/>
              </w:rPr>
              <w:t>Сърдечни нарушения</w:t>
            </w:r>
          </w:p>
        </w:tc>
      </w:tr>
      <w:tr w:rsidR="00566CBD" w14:paraId="3EDC4589" w14:textId="77777777" w:rsidTr="00566CBD">
        <w:tc>
          <w:tcPr>
            <w:tcW w:w="4788" w:type="dxa"/>
          </w:tcPr>
          <w:p w14:paraId="4BFD5C02" w14:textId="0DFCC523" w:rsidR="00566CBD" w:rsidRDefault="00566CBD" w:rsidP="00566CBD">
            <w:pPr>
              <w:rPr>
                <w:rFonts w:cs="Arial"/>
                <w:sz w:val="24"/>
              </w:rPr>
            </w:pPr>
            <w:r>
              <w:t>Нечести</w:t>
            </w:r>
          </w:p>
        </w:tc>
        <w:tc>
          <w:tcPr>
            <w:tcW w:w="4788" w:type="dxa"/>
            <w:vAlign w:val="bottom"/>
          </w:tcPr>
          <w:p w14:paraId="51BF9C4E" w14:textId="352387E9" w:rsidR="00566CBD" w:rsidRDefault="00566CBD" w:rsidP="00566CBD">
            <w:pPr>
              <w:rPr>
                <w:rFonts w:cs="Arial"/>
                <w:sz w:val="24"/>
              </w:rPr>
            </w:pPr>
            <w:r>
              <w:t>Миокарден инфаркт или мозъчно-съдови инциденти, вероятно вторично на есцесивна хипотоноя при високо рискови пациенти (вж. точка 4.4), палпитации, тахикардия.</w:t>
            </w:r>
          </w:p>
        </w:tc>
      </w:tr>
      <w:tr w:rsidR="00566CBD" w14:paraId="0200AC0D" w14:textId="77777777" w:rsidTr="00566CBD">
        <w:tc>
          <w:tcPr>
            <w:tcW w:w="9576" w:type="dxa"/>
            <w:gridSpan w:val="2"/>
          </w:tcPr>
          <w:p w14:paraId="5FB01ACA" w14:textId="381B50D6" w:rsidR="00566CBD" w:rsidRPr="00566CBD" w:rsidRDefault="00566CBD" w:rsidP="00566CBD">
            <w:pPr>
              <w:rPr>
                <w:rFonts w:cs="Arial"/>
                <w:b/>
                <w:sz w:val="24"/>
              </w:rPr>
            </w:pPr>
            <w:r w:rsidRPr="00566CBD">
              <w:rPr>
                <w:b/>
              </w:rPr>
              <w:t>Съдови нарушения</w:t>
            </w:r>
          </w:p>
        </w:tc>
      </w:tr>
      <w:tr w:rsidR="00566CBD" w14:paraId="4C57D94E" w14:textId="77777777" w:rsidTr="00566CBD">
        <w:tc>
          <w:tcPr>
            <w:tcW w:w="4788" w:type="dxa"/>
          </w:tcPr>
          <w:p w14:paraId="6ED51B14" w14:textId="53F9B464" w:rsidR="00566CBD" w:rsidRDefault="00566CBD" w:rsidP="00566CBD">
            <w:pPr>
              <w:rPr>
                <w:rFonts w:cs="Arial"/>
                <w:sz w:val="24"/>
              </w:rPr>
            </w:pPr>
            <w:r>
              <w:t>Чести</w:t>
            </w:r>
          </w:p>
        </w:tc>
        <w:tc>
          <w:tcPr>
            <w:tcW w:w="4788" w:type="dxa"/>
            <w:vAlign w:val="bottom"/>
          </w:tcPr>
          <w:p w14:paraId="007CBC7E" w14:textId="2D8A3CCB" w:rsidR="00566CBD" w:rsidRDefault="00566CBD" w:rsidP="00566CBD">
            <w:pPr>
              <w:rPr>
                <w:rFonts w:cs="Arial"/>
                <w:sz w:val="24"/>
              </w:rPr>
            </w:pPr>
            <w:r>
              <w:t>Ортостатични ефекти (включително ортостатична хипотония).</w:t>
            </w:r>
          </w:p>
        </w:tc>
      </w:tr>
      <w:tr w:rsidR="00566CBD" w14:paraId="47BD3892" w14:textId="77777777" w:rsidTr="00566CBD">
        <w:tc>
          <w:tcPr>
            <w:tcW w:w="4788" w:type="dxa"/>
            <w:vAlign w:val="bottom"/>
          </w:tcPr>
          <w:p w14:paraId="613873A1" w14:textId="2B4AF0C5" w:rsidR="00566CBD" w:rsidRDefault="00566CBD" w:rsidP="00566CBD">
            <w:pPr>
              <w:rPr>
                <w:rFonts w:cs="Arial"/>
                <w:sz w:val="24"/>
              </w:rPr>
            </w:pPr>
            <w:r>
              <w:t>Нечести</w:t>
            </w:r>
          </w:p>
        </w:tc>
        <w:tc>
          <w:tcPr>
            <w:tcW w:w="4788" w:type="dxa"/>
            <w:vAlign w:val="bottom"/>
          </w:tcPr>
          <w:p w14:paraId="4DB8DB2D" w14:textId="750371CE" w:rsidR="00566CBD" w:rsidRDefault="00566CBD" w:rsidP="00566CBD">
            <w:pPr>
              <w:rPr>
                <w:rFonts w:cs="Arial"/>
                <w:sz w:val="24"/>
              </w:rPr>
            </w:pPr>
            <w:r>
              <w:t xml:space="preserve">Синдром на </w:t>
            </w:r>
            <w:r>
              <w:rPr>
                <w:lang w:val="en-US"/>
              </w:rPr>
              <w:t>Raynaud.</w:t>
            </w:r>
          </w:p>
        </w:tc>
      </w:tr>
      <w:tr w:rsidR="00566CBD" w14:paraId="0D352E95" w14:textId="77777777" w:rsidTr="00566CBD">
        <w:tc>
          <w:tcPr>
            <w:tcW w:w="4788" w:type="dxa"/>
            <w:vAlign w:val="bottom"/>
          </w:tcPr>
          <w:p w14:paraId="4130101B" w14:textId="2031ED8A" w:rsidR="00566CBD" w:rsidRDefault="00566CBD" w:rsidP="00566CBD">
            <w:pPr>
              <w:rPr>
                <w:rFonts w:cs="Arial"/>
                <w:sz w:val="24"/>
              </w:rPr>
            </w:pPr>
            <w:r>
              <w:t>С неизвестна честота</w:t>
            </w:r>
          </w:p>
        </w:tc>
        <w:tc>
          <w:tcPr>
            <w:tcW w:w="4788" w:type="dxa"/>
            <w:vAlign w:val="bottom"/>
          </w:tcPr>
          <w:p w14:paraId="6BE6B831" w14:textId="36728ACB" w:rsidR="00566CBD" w:rsidRDefault="00566CBD" w:rsidP="00566CBD">
            <w:pPr>
              <w:rPr>
                <w:rFonts w:cs="Arial"/>
                <w:sz w:val="24"/>
              </w:rPr>
            </w:pPr>
            <w:r>
              <w:t>Зачервяване.</w:t>
            </w:r>
          </w:p>
        </w:tc>
      </w:tr>
      <w:tr w:rsidR="00566CBD" w14:paraId="03E0FFC5" w14:textId="77777777" w:rsidTr="00566CBD">
        <w:tc>
          <w:tcPr>
            <w:tcW w:w="9576" w:type="dxa"/>
            <w:gridSpan w:val="2"/>
          </w:tcPr>
          <w:p w14:paraId="1F8D1EBD" w14:textId="09810B07" w:rsidR="00566CBD" w:rsidRPr="00566CBD" w:rsidRDefault="00566CBD" w:rsidP="00566CBD">
            <w:pPr>
              <w:rPr>
                <w:rFonts w:cs="Arial"/>
                <w:b/>
                <w:sz w:val="24"/>
              </w:rPr>
            </w:pPr>
            <w:r w:rsidRPr="00566CBD">
              <w:rPr>
                <w:b/>
              </w:rPr>
              <w:t>Респираторни, гръдни и медиастинални нарушения</w:t>
            </w:r>
          </w:p>
        </w:tc>
      </w:tr>
      <w:tr w:rsidR="00566CBD" w14:paraId="47004569" w14:textId="77777777" w:rsidTr="00566CBD">
        <w:tc>
          <w:tcPr>
            <w:tcW w:w="4788" w:type="dxa"/>
            <w:vAlign w:val="bottom"/>
          </w:tcPr>
          <w:p w14:paraId="69C0EA80" w14:textId="6CA611AF" w:rsidR="00566CBD" w:rsidRDefault="00566CBD" w:rsidP="00566CBD">
            <w:pPr>
              <w:rPr>
                <w:rFonts w:cs="Arial"/>
                <w:sz w:val="24"/>
              </w:rPr>
            </w:pPr>
            <w:r>
              <w:t>Чести</w:t>
            </w:r>
          </w:p>
        </w:tc>
        <w:tc>
          <w:tcPr>
            <w:tcW w:w="4788" w:type="dxa"/>
            <w:vAlign w:val="bottom"/>
          </w:tcPr>
          <w:p w14:paraId="28F12AB6" w14:textId="3A01565E" w:rsidR="00566CBD" w:rsidRDefault="00566CBD" w:rsidP="00566CBD">
            <w:pPr>
              <w:rPr>
                <w:rFonts w:cs="Arial"/>
                <w:sz w:val="24"/>
              </w:rPr>
            </w:pPr>
            <w:r>
              <w:t>Кашлица (вж. точка 4.4).</w:t>
            </w:r>
          </w:p>
        </w:tc>
      </w:tr>
      <w:tr w:rsidR="00566CBD" w14:paraId="56123021" w14:textId="77777777" w:rsidTr="00566CBD">
        <w:tc>
          <w:tcPr>
            <w:tcW w:w="4788" w:type="dxa"/>
            <w:vAlign w:val="bottom"/>
          </w:tcPr>
          <w:p w14:paraId="707396F2" w14:textId="605B2E49" w:rsidR="00566CBD" w:rsidRDefault="00566CBD" w:rsidP="00566CBD">
            <w:pPr>
              <w:rPr>
                <w:rFonts w:cs="Arial"/>
                <w:sz w:val="24"/>
              </w:rPr>
            </w:pPr>
            <w:r>
              <w:t>Нечести</w:t>
            </w:r>
          </w:p>
        </w:tc>
        <w:tc>
          <w:tcPr>
            <w:tcW w:w="4788" w:type="dxa"/>
            <w:vAlign w:val="bottom"/>
          </w:tcPr>
          <w:p w14:paraId="1D72BEE6" w14:textId="250B9411" w:rsidR="00566CBD" w:rsidRDefault="00566CBD" w:rsidP="00566CBD">
            <w:pPr>
              <w:rPr>
                <w:rFonts w:cs="Arial"/>
                <w:sz w:val="24"/>
              </w:rPr>
            </w:pPr>
            <w:r>
              <w:t>Ринит.</w:t>
            </w:r>
          </w:p>
        </w:tc>
      </w:tr>
      <w:tr w:rsidR="00566CBD" w14:paraId="5CDAAE52" w14:textId="77777777" w:rsidTr="00566CBD">
        <w:tc>
          <w:tcPr>
            <w:tcW w:w="4788" w:type="dxa"/>
          </w:tcPr>
          <w:p w14:paraId="12CD5322" w14:textId="483C1915" w:rsidR="00566CBD" w:rsidRDefault="00566CBD" w:rsidP="00566CBD">
            <w:pPr>
              <w:rPr>
                <w:rFonts w:cs="Arial"/>
                <w:sz w:val="24"/>
              </w:rPr>
            </w:pPr>
            <w:r>
              <w:t>Много редки</w:t>
            </w:r>
          </w:p>
        </w:tc>
        <w:tc>
          <w:tcPr>
            <w:tcW w:w="4788" w:type="dxa"/>
            <w:vAlign w:val="bottom"/>
          </w:tcPr>
          <w:p w14:paraId="69FAFD77" w14:textId="449B0A5A" w:rsidR="00566CBD" w:rsidRDefault="00566CBD" w:rsidP="00566CBD">
            <w:pPr>
              <w:rPr>
                <w:rFonts w:cs="Arial"/>
                <w:sz w:val="24"/>
              </w:rPr>
            </w:pPr>
            <w:r>
              <w:t>Бронхоспазъм, синузит, алергичен алвеолит/еозинофилна пневмония.</w:t>
            </w:r>
          </w:p>
        </w:tc>
      </w:tr>
      <w:tr w:rsidR="00566CBD" w14:paraId="6F9F502C" w14:textId="77777777" w:rsidTr="00566CBD">
        <w:tc>
          <w:tcPr>
            <w:tcW w:w="9576" w:type="dxa"/>
            <w:gridSpan w:val="2"/>
          </w:tcPr>
          <w:p w14:paraId="5EDA1688" w14:textId="1F9B77BF" w:rsidR="00566CBD" w:rsidRPr="00566CBD" w:rsidRDefault="00566CBD" w:rsidP="00566CBD">
            <w:pPr>
              <w:rPr>
                <w:b/>
                <w:sz w:val="24"/>
                <w:szCs w:val="24"/>
              </w:rPr>
            </w:pPr>
            <w:r w:rsidRPr="00566CBD">
              <w:rPr>
                <w:b/>
                <w:lang w:eastAsia="bg-BG"/>
              </w:rPr>
              <w:t>Стомашно-чревни нарушения</w:t>
            </w:r>
          </w:p>
        </w:tc>
      </w:tr>
      <w:tr w:rsidR="00566CBD" w14:paraId="7D276FE0" w14:textId="77777777" w:rsidTr="00566CBD">
        <w:trPr>
          <w:trHeight w:val="115"/>
        </w:trPr>
        <w:tc>
          <w:tcPr>
            <w:tcW w:w="4788" w:type="dxa"/>
            <w:vAlign w:val="bottom"/>
          </w:tcPr>
          <w:p w14:paraId="4DD38FFC" w14:textId="127F3538" w:rsidR="00566CBD" w:rsidRDefault="00566CBD" w:rsidP="00566CBD">
            <w:pPr>
              <w:rPr>
                <w:rFonts w:cs="Arial"/>
                <w:sz w:val="24"/>
              </w:rPr>
            </w:pPr>
            <w:r>
              <w:t>Чести</w:t>
            </w:r>
          </w:p>
        </w:tc>
        <w:tc>
          <w:tcPr>
            <w:tcW w:w="4788" w:type="dxa"/>
            <w:vAlign w:val="bottom"/>
          </w:tcPr>
          <w:p w14:paraId="484794E2" w14:textId="352966AF" w:rsidR="00566CBD" w:rsidRDefault="00566CBD" w:rsidP="00566CBD">
            <w:pPr>
              <w:rPr>
                <w:rFonts w:cs="Arial"/>
                <w:sz w:val="24"/>
              </w:rPr>
            </w:pPr>
            <w:r>
              <w:t>Диария, повръщане.</w:t>
            </w:r>
          </w:p>
        </w:tc>
      </w:tr>
      <w:tr w:rsidR="00566CBD" w14:paraId="016E5E9D" w14:textId="77777777" w:rsidTr="00566CBD">
        <w:tc>
          <w:tcPr>
            <w:tcW w:w="4788" w:type="dxa"/>
          </w:tcPr>
          <w:p w14:paraId="6CFBD30B" w14:textId="10550A0A" w:rsidR="00566CBD" w:rsidRDefault="00566CBD" w:rsidP="00566CBD">
            <w:pPr>
              <w:rPr>
                <w:rFonts w:cs="Arial"/>
                <w:sz w:val="24"/>
              </w:rPr>
            </w:pPr>
            <w:r>
              <w:t>Нечести</w:t>
            </w:r>
          </w:p>
        </w:tc>
        <w:tc>
          <w:tcPr>
            <w:tcW w:w="4788" w:type="dxa"/>
            <w:vAlign w:val="bottom"/>
          </w:tcPr>
          <w:p w14:paraId="13DC31C7" w14:textId="296ED988" w:rsidR="00566CBD" w:rsidRDefault="00566CBD" w:rsidP="00566CBD">
            <w:pPr>
              <w:rPr>
                <w:rFonts w:cs="Arial"/>
                <w:sz w:val="24"/>
              </w:rPr>
            </w:pPr>
            <w:r>
              <w:t>Гадене, коремна болка и нарушено храносмилане.</w:t>
            </w:r>
          </w:p>
        </w:tc>
      </w:tr>
      <w:tr w:rsidR="00566CBD" w14:paraId="0B774CFD" w14:textId="77777777" w:rsidTr="00566CBD">
        <w:tc>
          <w:tcPr>
            <w:tcW w:w="4788" w:type="dxa"/>
            <w:vAlign w:val="bottom"/>
          </w:tcPr>
          <w:p w14:paraId="02304CCF" w14:textId="1C9BFD37" w:rsidR="00566CBD" w:rsidRDefault="00566CBD" w:rsidP="00566CBD">
            <w:pPr>
              <w:rPr>
                <w:rFonts w:cs="Arial"/>
                <w:sz w:val="24"/>
              </w:rPr>
            </w:pPr>
            <w:r>
              <w:t>Редки</w:t>
            </w:r>
          </w:p>
        </w:tc>
        <w:tc>
          <w:tcPr>
            <w:tcW w:w="4788" w:type="dxa"/>
            <w:vAlign w:val="bottom"/>
          </w:tcPr>
          <w:p w14:paraId="11FF5547" w14:textId="274DF369" w:rsidR="00566CBD" w:rsidRDefault="00566CBD" w:rsidP="00566CBD">
            <w:pPr>
              <w:rPr>
                <w:rFonts w:cs="Arial"/>
                <w:sz w:val="24"/>
              </w:rPr>
            </w:pPr>
            <w:r>
              <w:t>Сухота в устата.</w:t>
            </w:r>
          </w:p>
        </w:tc>
      </w:tr>
      <w:tr w:rsidR="00566CBD" w14:paraId="61D1E0B1" w14:textId="77777777" w:rsidTr="00566CBD">
        <w:tc>
          <w:tcPr>
            <w:tcW w:w="4788" w:type="dxa"/>
            <w:vAlign w:val="bottom"/>
          </w:tcPr>
          <w:p w14:paraId="7AD135F9" w14:textId="747FC11B" w:rsidR="00566CBD" w:rsidRDefault="00566CBD" w:rsidP="00566CBD">
            <w:pPr>
              <w:rPr>
                <w:rFonts w:cs="Arial"/>
                <w:sz w:val="24"/>
              </w:rPr>
            </w:pPr>
            <w:r>
              <w:t>Много редки</w:t>
            </w:r>
          </w:p>
        </w:tc>
        <w:tc>
          <w:tcPr>
            <w:tcW w:w="4788" w:type="dxa"/>
            <w:vAlign w:val="bottom"/>
          </w:tcPr>
          <w:p w14:paraId="47109285" w14:textId="64203153" w:rsidR="00566CBD" w:rsidRDefault="00566CBD" w:rsidP="00566CBD">
            <w:pPr>
              <w:rPr>
                <w:rFonts w:cs="Arial"/>
                <w:sz w:val="24"/>
              </w:rPr>
            </w:pPr>
            <w:r>
              <w:t>Панкреатит, интестинален ангиоедем.</w:t>
            </w:r>
          </w:p>
        </w:tc>
      </w:tr>
      <w:tr w:rsidR="00566CBD" w14:paraId="42425DB8" w14:textId="77777777" w:rsidTr="00566CBD">
        <w:tc>
          <w:tcPr>
            <w:tcW w:w="9576" w:type="dxa"/>
            <w:gridSpan w:val="2"/>
          </w:tcPr>
          <w:p w14:paraId="30EE5512" w14:textId="614DDBF8" w:rsidR="00566CBD" w:rsidRPr="00566CBD" w:rsidRDefault="00566CBD" w:rsidP="00566CBD">
            <w:pPr>
              <w:rPr>
                <w:b/>
                <w:sz w:val="24"/>
                <w:szCs w:val="24"/>
              </w:rPr>
            </w:pPr>
            <w:r w:rsidRPr="00566CBD">
              <w:rPr>
                <w:b/>
                <w:lang w:eastAsia="bg-BG"/>
              </w:rPr>
              <w:t>Хепатобнлиарни нарушения</w:t>
            </w:r>
          </w:p>
        </w:tc>
      </w:tr>
      <w:tr w:rsidR="00566CBD" w14:paraId="0892AC1F" w14:textId="77777777" w:rsidTr="00566CBD">
        <w:tc>
          <w:tcPr>
            <w:tcW w:w="4788" w:type="dxa"/>
          </w:tcPr>
          <w:p w14:paraId="07122EF1" w14:textId="022C86B2" w:rsidR="00566CBD" w:rsidRDefault="00566CBD" w:rsidP="00566CBD">
            <w:pPr>
              <w:rPr>
                <w:rFonts w:cs="Arial"/>
                <w:sz w:val="24"/>
              </w:rPr>
            </w:pPr>
            <w:r>
              <w:lastRenderedPageBreak/>
              <w:t>Нечести</w:t>
            </w:r>
          </w:p>
        </w:tc>
        <w:tc>
          <w:tcPr>
            <w:tcW w:w="4788" w:type="dxa"/>
            <w:vAlign w:val="bottom"/>
          </w:tcPr>
          <w:p w14:paraId="5F9F97E2" w14:textId="0137FFAF" w:rsidR="00566CBD" w:rsidRDefault="00566CBD" w:rsidP="00566CBD">
            <w:pPr>
              <w:rPr>
                <w:rFonts w:cs="Arial"/>
                <w:sz w:val="24"/>
              </w:rPr>
            </w:pPr>
            <w:r>
              <w:t>Повишени чернодробни ензими и билирубин.</w:t>
            </w:r>
          </w:p>
        </w:tc>
      </w:tr>
      <w:tr w:rsidR="00566CBD" w14:paraId="40A2A683" w14:textId="77777777" w:rsidTr="00566CBD">
        <w:tc>
          <w:tcPr>
            <w:tcW w:w="4788" w:type="dxa"/>
          </w:tcPr>
          <w:p w14:paraId="7DE1CDC4" w14:textId="5C5885B6" w:rsidR="00566CBD" w:rsidRDefault="00566CBD" w:rsidP="00566CBD">
            <w:pPr>
              <w:rPr>
                <w:rFonts w:cs="Arial"/>
                <w:sz w:val="24"/>
              </w:rPr>
            </w:pPr>
            <w:r>
              <w:t>Много редки</w:t>
            </w:r>
          </w:p>
        </w:tc>
        <w:tc>
          <w:tcPr>
            <w:tcW w:w="4788" w:type="dxa"/>
            <w:vAlign w:val="bottom"/>
          </w:tcPr>
          <w:p w14:paraId="5A9FD45C" w14:textId="4B0E7D3D" w:rsidR="00566CBD" w:rsidRDefault="00566CBD" w:rsidP="00566CBD">
            <w:pPr>
              <w:rPr>
                <w:rFonts w:cs="Arial"/>
                <w:sz w:val="24"/>
              </w:rPr>
            </w:pPr>
            <w:r>
              <w:t>Хепатит-хепатоцелуларен или холестатичен, жълтеница, чернодробна недостатъчнист (вж. точка 4.4).</w:t>
            </w:r>
          </w:p>
        </w:tc>
      </w:tr>
      <w:tr w:rsidR="00566CBD" w14:paraId="0B44B5E2" w14:textId="77777777" w:rsidTr="00566CBD">
        <w:tc>
          <w:tcPr>
            <w:tcW w:w="9576" w:type="dxa"/>
            <w:gridSpan w:val="2"/>
          </w:tcPr>
          <w:p w14:paraId="76433492" w14:textId="59D2B49F" w:rsidR="00566CBD" w:rsidRPr="00566CBD" w:rsidRDefault="00566CBD" w:rsidP="00566CBD">
            <w:pPr>
              <w:rPr>
                <w:rFonts w:cs="Arial"/>
                <w:b/>
                <w:sz w:val="24"/>
              </w:rPr>
            </w:pPr>
            <w:r w:rsidRPr="00566CBD">
              <w:rPr>
                <w:b/>
              </w:rPr>
              <w:t>Нарушения на кожата и подкожната тъкан</w:t>
            </w:r>
          </w:p>
        </w:tc>
      </w:tr>
      <w:tr w:rsidR="00566CBD" w14:paraId="7B282006" w14:textId="77777777" w:rsidTr="00566CBD">
        <w:tc>
          <w:tcPr>
            <w:tcW w:w="4788" w:type="dxa"/>
            <w:vAlign w:val="bottom"/>
          </w:tcPr>
          <w:p w14:paraId="660267DB" w14:textId="7A755599" w:rsidR="00566CBD" w:rsidRDefault="00566CBD" w:rsidP="00566CBD">
            <w:pPr>
              <w:rPr>
                <w:rFonts w:cs="Arial"/>
                <w:sz w:val="24"/>
              </w:rPr>
            </w:pPr>
            <w:r>
              <w:t>Нечести</w:t>
            </w:r>
          </w:p>
        </w:tc>
        <w:tc>
          <w:tcPr>
            <w:tcW w:w="4788" w:type="dxa"/>
            <w:vAlign w:val="bottom"/>
          </w:tcPr>
          <w:p w14:paraId="055724B6" w14:textId="0261D11C" w:rsidR="00566CBD" w:rsidRDefault="00566CBD" w:rsidP="00566CBD">
            <w:pPr>
              <w:rPr>
                <w:rFonts w:cs="Arial"/>
                <w:sz w:val="24"/>
              </w:rPr>
            </w:pPr>
            <w:r>
              <w:t>Обрив, пруритус.</w:t>
            </w:r>
          </w:p>
        </w:tc>
      </w:tr>
      <w:tr w:rsidR="00566CBD" w14:paraId="08315174" w14:textId="77777777" w:rsidTr="00566CBD">
        <w:tc>
          <w:tcPr>
            <w:tcW w:w="4788" w:type="dxa"/>
          </w:tcPr>
          <w:p w14:paraId="4D617213" w14:textId="7D9FE2D4" w:rsidR="00566CBD" w:rsidRDefault="00566CBD" w:rsidP="00566CBD">
            <w:pPr>
              <w:rPr>
                <w:rFonts w:cs="Arial"/>
                <w:sz w:val="24"/>
              </w:rPr>
            </w:pPr>
            <w:r>
              <w:t>Редки</w:t>
            </w:r>
          </w:p>
        </w:tc>
        <w:tc>
          <w:tcPr>
            <w:tcW w:w="4788" w:type="dxa"/>
          </w:tcPr>
          <w:p w14:paraId="2E623252" w14:textId="68564A3D" w:rsidR="00566CBD" w:rsidRPr="00566CBD" w:rsidRDefault="00566CBD" w:rsidP="00566CBD">
            <w:r>
              <w:t xml:space="preserve">Свръхчъвствутелност/ангионевротичен </w:t>
            </w:r>
            <w:r w:rsidRPr="00566CBD">
              <w:t>оток</w:t>
            </w:r>
            <w:r w:rsidRPr="00566CBD">
              <w:rPr>
                <w:lang w:val="ru-RU"/>
              </w:rPr>
              <w:t xml:space="preserve"> </w:t>
            </w:r>
            <w:r w:rsidRPr="00566CBD">
              <w:rPr>
                <w:lang w:eastAsia="bg-BG"/>
              </w:rPr>
              <w:t>на лицето, крайниците, устните, езика, глотиса и/или ларинкса (вж. точка 4.4), уртикария, алопеция, псориазис.</w:t>
            </w:r>
          </w:p>
        </w:tc>
      </w:tr>
      <w:tr w:rsidR="00566CBD" w14:paraId="33B08216" w14:textId="77777777" w:rsidTr="00566CBD">
        <w:tc>
          <w:tcPr>
            <w:tcW w:w="4788" w:type="dxa"/>
          </w:tcPr>
          <w:p w14:paraId="670E8490" w14:textId="74194328" w:rsidR="00566CBD" w:rsidRDefault="00566CBD" w:rsidP="00566CBD">
            <w:pPr>
              <w:rPr>
                <w:rFonts w:cs="Arial"/>
                <w:sz w:val="24"/>
              </w:rPr>
            </w:pPr>
            <w:r>
              <w:t>Много редки</w:t>
            </w:r>
          </w:p>
        </w:tc>
        <w:tc>
          <w:tcPr>
            <w:tcW w:w="4788" w:type="dxa"/>
          </w:tcPr>
          <w:p w14:paraId="330075B5" w14:textId="08324C39" w:rsidR="00566CBD" w:rsidRDefault="00566CBD" w:rsidP="00566CBD">
            <w:pPr>
              <w:rPr>
                <w:rFonts w:cs="Arial"/>
                <w:sz w:val="24"/>
              </w:rPr>
            </w:pPr>
            <w:r>
              <w:t xml:space="preserve">Диафореза, пемфигус, токсична епидермална некролиза, синдорм на </w:t>
            </w:r>
            <w:r>
              <w:rPr>
                <w:lang w:val="en-US"/>
              </w:rPr>
              <w:t>Stevens</w:t>
            </w:r>
            <w:r w:rsidRPr="00566CBD">
              <w:t xml:space="preserve">- </w:t>
            </w:r>
            <w:r>
              <w:rPr>
                <w:lang w:val="en-US"/>
              </w:rPr>
              <w:t>Johnson</w:t>
            </w:r>
            <w:r w:rsidRPr="00566CBD">
              <w:t xml:space="preserve">, </w:t>
            </w:r>
            <w:r>
              <w:t>еритема мултиформе, кожна псевдолимфома,**</w:t>
            </w:r>
          </w:p>
        </w:tc>
      </w:tr>
      <w:tr w:rsidR="00566CBD" w14:paraId="2D7DB4D9" w14:textId="77777777" w:rsidTr="00566CBD">
        <w:tc>
          <w:tcPr>
            <w:tcW w:w="9576" w:type="dxa"/>
            <w:gridSpan w:val="2"/>
          </w:tcPr>
          <w:p w14:paraId="38D06349" w14:textId="255F57E3" w:rsidR="00566CBD" w:rsidRPr="00566CBD" w:rsidRDefault="00566CBD" w:rsidP="00566CBD">
            <w:pPr>
              <w:rPr>
                <w:rFonts w:cs="Arial"/>
                <w:b/>
                <w:sz w:val="24"/>
              </w:rPr>
            </w:pPr>
            <w:r w:rsidRPr="00566CBD">
              <w:rPr>
                <w:b/>
              </w:rPr>
              <w:t>Нарушения на бъбреците и пикочните пътища</w:t>
            </w:r>
          </w:p>
        </w:tc>
      </w:tr>
      <w:tr w:rsidR="00566CBD" w14:paraId="00BD908A" w14:textId="77777777" w:rsidTr="00566CBD">
        <w:tc>
          <w:tcPr>
            <w:tcW w:w="4788" w:type="dxa"/>
          </w:tcPr>
          <w:p w14:paraId="4A8FADB1" w14:textId="512C3925" w:rsidR="00566CBD" w:rsidRDefault="00566CBD" w:rsidP="00566CBD">
            <w:pPr>
              <w:rPr>
                <w:rFonts w:cs="Arial"/>
                <w:sz w:val="24"/>
              </w:rPr>
            </w:pPr>
            <w:r>
              <w:t>Чести</w:t>
            </w:r>
          </w:p>
        </w:tc>
        <w:tc>
          <w:tcPr>
            <w:tcW w:w="4788" w:type="dxa"/>
          </w:tcPr>
          <w:p w14:paraId="0507365F" w14:textId="289913D7" w:rsidR="00566CBD" w:rsidRDefault="00566CBD" w:rsidP="00566CBD">
            <w:pPr>
              <w:rPr>
                <w:rFonts w:cs="Arial"/>
                <w:sz w:val="24"/>
              </w:rPr>
            </w:pPr>
            <w:r>
              <w:t>Бъбречна дисфункция.</w:t>
            </w:r>
          </w:p>
        </w:tc>
      </w:tr>
      <w:tr w:rsidR="00566CBD" w14:paraId="44785BEF" w14:textId="77777777" w:rsidTr="00566CBD">
        <w:tc>
          <w:tcPr>
            <w:tcW w:w="4788" w:type="dxa"/>
          </w:tcPr>
          <w:p w14:paraId="035EB030" w14:textId="139AD8F4" w:rsidR="00566CBD" w:rsidRDefault="00566CBD" w:rsidP="00566CBD">
            <w:pPr>
              <w:rPr>
                <w:rFonts w:cs="Arial"/>
                <w:sz w:val="24"/>
              </w:rPr>
            </w:pPr>
            <w:r>
              <w:t>Редки</w:t>
            </w:r>
          </w:p>
        </w:tc>
        <w:tc>
          <w:tcPr>
            <w:tcW w:w="4788" w:type="dxa"/>
          </w:tcPr>
          <w:p w14:paraId="6299E1CD" w14:textId="3681C4CF" w:rsidR="00566CBD" w:rsidRDefault="00566CBD" w:rsidP="00566CBD">
            <w:pPr>
              <w:rPr>
                <w:rFonts w:cs="Arial"/>
                <w:sz w:val="24"/>
              </w:rPr>
            </w:pPr>
            <w:r>
              <w:t>Уремия, остра бъбречна недостатъчност.</w:t>
            </w:r>
          </w:p>
        </w:tc>
      </w:tr>
      <w:tr w:rsidR="00566CBD" w14:paraId="6F694E68" w14:textId="77777777" w:rsidTr="00566CBD">
        <w:tc>
          <w:tcPr>
            <w:tcW w:w="4788" w:type="dxa"/>
          </w:tcPr>
          <w:p w14:paraId="586BADF9" w14:textId="2B680D92" w:rsidR="00566CBD" w:rsidRDefault="00566CBD" w:rsidP="00566CBD">
            <w:pPr>
              <w:rPr>
                <w:rFonts w:cs="Arial"/>
                <w:sz w:val="24"/>
              </w:rPr>
            </w:pPr>
            <w:r>
              <w:t>Много редки</w:t>
            </w:r>
          </w:p>
        </w:tc>
        <w:tc>
          <w:tcPr>
            <w:tcW w:w="4788" w:type="dxa"/>
          </w:tcPr>
          <w:p w14:paraId="35FE149B" w14:textId="51DD61BF" w:rsidR="00566CBD" w:rsidRDefault="00566CBD" w:rsidP="00566CBD">
            <w:pPr>
              <w:rPr>
                <w:rFonts w:cs="Arial"/>
                <w:sz w:val="24"/>
              </w:rPr>
            </w:pPr>
            <w:r>
              <w:t>Олигурия/анурия.</w:t>
            </w:r>
          </w:p>
        </w:tc>
      </w:tr>
      <w:tr w:rsidR="00566CBD" w14:paraId="12AAE9FC" w14:textId="77777777" w:rsidTr="00566CBD">
        <w:tc>
          <w:tcPr>
            <w:tcW w:w="9576" w:type="dxa"/>
            <w:gridSpan w:val="2"/>
          </w:tcPr>
          <w:p w14:paraId="18370AED" w14:textId="165023D0" w:rsidR="00566CBD" w:rsidRPr="00566CBD" w:rsidRDefault="00566CBD" w:rsidP="00566CBD">
            <w:pPr>
              <w:rPr>
                <w:rFonts w:cs="Arial"/>
                <w:b/>
                <w:sz w:val="24"/>
              </w:rPr>
            </w:pPr>
            <w:r w:rsidRPr="00566CBD">
              <w:rPr>
                <w:b/>
              </w:rPr>
              <w:t>Нарушения на възпроизводителната система и гърдата</w:t>
            </w:r>
          </w:p>
        </w:tc>
      </w:tr>
      <w:tr w:rsidR="00566CBD" w14:paraId="37EFEFE1" w14:textId="77777777" w:rsidTr="00566CBD">
        <w:tc>
          <w:tcPr>
            <w:tcW w:w="4788" w:type="dxa"/>
          </w:tcPr>
          <w:p w14:paraId="41DF31C1" w14:textId="704E1A58" w:rsidR="00566CBD" w:rsidRDefault="00566CBD" w:rsidP="00566CBD">
            <w:pPr>
              <w:rPr>
                <w:rFonts w:cs="Arial"/>
                <w:sz w:val="24"/>
              </w:rPr>
            </w:pPr>
            <w:r>
              <w:t>Нечести</w:t>
            </w:r>
          </w:p>
        </w:tc>
        <w:tc>
          <w:tcPr>
            <w:tcW w:w="4788" w:type="dxa"/>
          </w:tcPr>
          <w:p w14:paraId="2A847E59" w14:textId="7F55A59D" w:rsidR="00566CBD" w:rsidRDefault="00566CBD" w:rsidP="00566CBD">
            <w:pPr>
              <w:rPr>
                <w:rFonts w:cs="Arial"/>
                <w:sz w:val="24"/>
              </w:rPr>
            </w:pPr>
            <w:r>
              <w:t>Импотентност.</w:t>
            </w:r>
          </w:p>
        </w:tc>
      </w:tr>
      <w:tr w:rsidR="00566CBD" w14:paraId="4769196D" w14:textId="77777777" w:rsidTr="00566CBD">
        <w:tc>
          <w:tcPr>
            <w:tcW w:w="4788" w:type="dxa"/>
          </w:tcPr>
          <w:p w14:paraId="0AD25286" w14:textId="13BF7DC9" w:rsidR="00566CBD" w:rsidRDefault="00566CBD" w:rsidP="00566CBD">
            <w:pPr>
              <w:rPr>
                <w:rFonts w:cs="Arial"/>
                <w:sz w:val="24"/>
              </w:rPr>
            </w:pPr>
            <w:r>
              <w:t>Редки</w:t>
            </w:r>
          </w:p>
        </w:tc>
        <w:tc>
          <w:tcPr>
            <w:tcW w:w="4788" w:type="dxa"/>
          </w:tcPr>
          <w:p w14:paraId="41B4929B" w14:textId="34494456" w:rsidR="00566CBD" w:rsidRDefault="00566CBD" w:rsidP="00566CBD">
            <w:pPr>
              <w:rPr>
                <w:rFonts w:cs="Arial"/>
                <w:sz w:val="24"/>
              </w:rPr>
            </w:pPr>
            <w:r>
              <w:t>Гинекомастия.</w:t>
            </w:r>
          </w:p>
        </w:tc>
      </w:tr>
      <w:tr w:rsidR="00566CBD" w14:paraId="2C52C592" w14:textId="77777777" w:rsidTr="00566CBD">
        <w:tc>
          <w:tcPr>
            <w:tcW w:w="9576" w:type="dxa"/>
            <w:gridSpan w:val="2"/>
          </w:tcPr>
          <w:p w14:paraId="1BA5379A" w14:textId="5A770816" w:rsidR="00566CBD" w:rsidRPr="00566CBD" w:rsidRDefault="00566CBD" w:rsidP="00566CBD">
            <w:pPr>
              <w:rPr>
                <w:rFonts w:cs="Arial"/>
                <w:b/>
                <w:sz w:val="24"/>
              </w:rPr>
            </w:pPr>
            <w:r w:rsidRPr="00566CBD">
              <w:rPr>
                <w:b/>
              </w:rPr>
              <w:t>Общи нарушения и ефекти на мястото на приложение</w:t>
            </w:r>
          </w:p>
        </w:tc>
      </w:tr>
      <w:tr w:rsidR="00566CBD" w14:paraId="3538904D" w14:textId="77777777" w:rsidTr="00566CBD">
        <w:tc>
          <w:tcPr>
            <w:tcW w:w="4788" w:type="dxa"/>
          </w:tcPr>
          <w:p w14:paraId="7E723579" w14:textId="034EF8EA" w:rsidR="00566CBD" w:rsidRDefault="00566CBD" w:rsidP="00566CBD">
            <w:pPr>
              <w:rPr>
                <w:rFonts w:cs="Arial"/>
                <w:sz w:val="24"/>
              </w:rPr>
            </w:pPr>
            <w:r>
              <w:t>Нечести</w:t>
            </w:r>
          </w:p>
        </w:tc>
        <w:tc>
          <w:tcPr>
            <w:tcW w:w="4788" w:type="dxa"/>
          </w:tcPr>
          <w:p w14:paraId="7E7A4F13" w14:textId="07AFCC74" w:rsidR="00566CBD" w:rsidRDefault="00566CBD" w:rsidP="00566CBD">
            <w:pPr>
              <w:rPr>
                <w:rFonts w:cs="Arial"/>
                <w:sz w:val="24"/>
              </w:rPr>
            </w:pPr>
            <w:r>
              <w:t>Астения, умора.</w:t>
            </w:r>
          </w:p>
        </w:tc>
      </w:tr>
      <w:tr w:rsidR="00566CBD" w14:paraId="72F6055F" w14:textId="77777777" w:rsidTr="00566CBD">
        <w:tc>
          <w:tcPr>
            <w:tcW w:w="9576" w:type="dxa"/>
            <w:gridSpan w:val="2"/>
          </w:tcPr>
          <w:p w14:paraId="0D3986D3" w14:textId="6FC22AA9" w:rsidR="00566CBD" w:rsidRPr="00566CBD" w:rsidRDefault="00566CBD" w:rsidP="00566CBD">
            <w:pPr>
              <w:rPr>
                <w:b/>
                <w:sz w:val="24"/>
                <w:szCs w:val="24"/>
              </w:rPr>
            </w:pPr>
            <w:r w:rsidRPr="00566CBD">
              <w:rPr>
                <w:b/>
                <w:lang w:eastAsia="bg-BG"/>
              </w:rPr>
              <w:t>Изследвания</w:t>
            </w:r>
          </w:p>
        </w:tc>
      </w:tr>
      <w:tr w:rsidR="00566CBD" w14:paraId="5325F270" w14:textId="77777777" w:rsidTr="00566CBD">
        <w:tc>
          <w:tcPr>
            <w:tcW w:w="4788" w:type="dxa"/>
          </w:tcPr>
          <w:p w14:paraId="6338FA9B" w14:textId="36393460" w:rsidR="00566CBD" w:rsidRDefault="00566CBD" w:rsidP="00566CBD">
            <w:pPr>
              <w:rPr>
                <w:rFonts w:cs="Arial"/>
                <w:sz w:val="24"/>
              </w:rPr>
            </w:pPr>
            <w:r>
              <w:t>Нечести</w:t>
            </w:r>
          </w:p>
        </w:tc>
        <w:tc>
          <w:tcPr>
            <w:tcW w:w="4788" w:type="dxa"/>
          </w:tcPr>
          <w:p w14:paraId="1BF2F822" w14:textId="4B9B0B36" w:rsidR="00566CBD" w:rsidRDefault="00566CBD" w:rsidP="00566CBD">
            <w:pPr>
              <w:rPr>
                <w:rFonts w:cs="Arial"/>
                <w:sz w:val="24"/>
              </w:rPr>
            </w:pPr>
            <w:r>
              <w:t>Повишаване на уреята в кръвта, повишаване на серумния креатинин, хиперкалиемия.</w:t>
            </w:r>
          </w:p>
        </w:tc>
      </w:tr>
      <w:tr w:rsidR="00566CBD" w14:paraId="4AC56648" w14:textId="77777777" w:rsidTr="00566CBD">
        <w:tc>
          <w:tcPr>
            <w:tcW w:w="4788" w:type="dxa"/>
          </w:tcPr>
          <w:p w14:paraId="71D29477" w14:textId="1609E346" w:rsidR="00566CBD" w:rsidRDefault="00566CBD" w:rsidP="00566CBD">
            <w:pPr>
              <w:rPr>
                <w:rFonts w:cs="Arial"/>
                <w:sz w:val="24"/>
              </w:rPr>
            </w:pPr>
            <w:r>
              <w:t>Редки</w:t>
            </w:r>
          </w:p>
        </w:tc>
        <w:tc>
          <w:tcPr>
            <w:tcW w:w="4788" w:type="dxa"/>
          </w:tcPr>
          <w:p w14:paraId="36969B02" w14:textId="1460A0F1" w:rsidR="00566CBD" w:rsidRDefault="00566CBD" w:rsidP="00566CBD">
            <w:pPr>
              <w:rPr>
                <w:rFonts w:cs="Arial"/>
                <w:sz w:val="24"/>
              </w:rPr>
            </w:pPr>
            <w:r>
              <w:t>Хипонатриемия.</w:t>
            </w:r>
          </w:p>
        </w:tc>
      </w:tr>
    </w:tbl>
    <w:p w14:paraId="28A918A1" w14:textId="1BA71F1D" w:rsidR="00566CBD" w:rsidRPr="00566CBD" w:rsidRDefault="00566CBD" w:rsidP="00566CBD">
      <w:pPr>
        <w:rPr>
          <w:lang w:eastAsia="bg-BG"/>
        </w:rPr>
      </w:pPr>
      <w:r w:rsidRPr="00566CBD">
        <w:rPr>
          <w:lang w:val="ru-RU" w:eastAsia="bg-BG"/>
        </w:rPr>
        <w:t>*</w:t>
      </w:r>
      <w:r w:rsidRPr="00566CBD">
        <w:rPr>
          <w:lang w:eastAsia="bg-BG"/>
        </w:rPr>
        <w:t>Много рядко се съобщава, че при някои пациенти нежеланата поява на хепатит прогресира до чернодробна недостатъчност. Пациентите, приемащи комбинацията лизиноприл/хидрохлоротиазид, при които се е появила жълтеница или изразено повишаване на чернодробните ензими, трябва да прекратят лечението с комбинацията лизиноприл/хидрохлоротиазид и да бъдат под медицинско наблюдение.</w:t>
      </w:r>
    </w:p>
    <w:p w14:paraId="7A22AB6E" w14:textId="756151C8" w:rsidR="00566CBD" w:rsidRPr="00566CBD" w:rsidRDefault="00566CBD" w:rsidP="00566CBD">
      <w:pPr>
        <w:rPr>
          <w:lang w:eastAsia="bg-BG"/>
        </w:rPr>
      </w:pPr>
      <w:r w:rsidRPr="00566CBD">
        <w:rPr>
          <w:lang w:eastAsia="bg-BG"/>
        </w:rPr>
        <w:t>*</w:t>
      </w:r>
      <w:r w:rsidRPr="00566CBD">
        <w:rPr>
          <w:lang w:val="ru-RU" w:eastAsia="bg-BG"/>
        </w:rPr>
        <w:t>*</w:t>
      </w:r>
      <w:r w:rsidRPr="00566CBD">
        <w:rPr>
          <w:lang w:eastAsia="bg-BG"/>
        </w:rPr>
        <w:t xml:space="preserve"> Има съобщения за симптомокомплекс, който може да включва един или повече от следните симптоми: повишена температура, васкулит, миалгия, артралгия/артрит, позитивни антинуклеарни тела </w:t>
      </w:r>
      <w:r w:rsidRPr="00566CBD">
        <w:rPr>
          <w:lang w:val="ru-RU"/>
        </w:rPr>
        <w:t>(</w:t>
      </w:r>
      <w:r w:rsidRPr="00566CBD">
        <w:rPr>
          <w:lang w:val="en-US"/>
        </w:rPr>
        <w:t>ANA</w:t>
      </w:r>
      <w:r w:rsidRPr="00566CBD">
        <w:rPr>
          <w:lang w:val="ru-RU"/>
        </w:rPr>
        <w:t xml:space="preserve">), </w:t>
      </w:r>
      <w:r w:rsidRPr="00566CBD">
        <w:rPr>
          <w:lang w:eastAsia="bg-BG"/>
        </w:rPr>
        <w:t>ускорена скорост на утайка на еритроцити (СУЕ), еозинофилия и левкоцитоза, обрив, фотосенсибилизация или други дерматологични прояви.</w:t>
      </w:r>
    </w:p>
    <w:p w14:paraId="10014455" w14:textId="77777777" w:rsidR="00566CBD" w:rsidRDefault="00566CBD" w:rsidP="00566CBD">
      <w:pPr>
        <w:rPr>
          <w:b/>
          <w:bCs/>
          <w:lang w:eastAsia="bg-BG"/>
        </w:rPr>
      </w:pPr>
    </w:p>
    <w:p w14:paraId="1F179E16" w14:textId="68188709" w:rsidR="00566CBD" w:rsidRPr="00566CBD" w:rsidRDefault="00566CBD" w:rsidP="00566CBD">
      <w:pPr>
        <w:rPr>
          <w:sz w:val="24"/>
          <w:szCs w:val="24"/>
        </w:rPr>
      </w:pPr>
      <w:r w:rsidRPr="00566CBD">
        <w:rPr>
          <w:b/>
          <w:bCs/>
          <w:lang w:eastAsia="bg-BG"/>
        </w:rPr>
        <w:t xml:space="preserve">Хидрохлоротиазид </w:t>
      </w:r>
      <w:r w:rsidRPr="00566CBD">
        <w:rPr>
          <w:lang w:eastAsia="bg-BG"/>
        </w:rPr>
        <w:t>(с неизвестна честота)</w:t>
      </w:r>
    </w:p>
    <w:tbl>
      <w:tblPr>
        <w:tblStyle w:val="TableGrid"/>
        <w:tblW w:w="0" w:type="auto"/>
        <w:tblLook w:val="04A0" w:firstRow="1" w:lastRow="0" w:firstColumn="1" w:lastColumn="0" w:noHBand="0" w:noVBand="1"/>
      </w:tblPr>
      <w:tblGrid>
        <w:gridCol w:w="4646"/>
        <w:gridCol w:w="4704"/>
      </w:tblGrid>
      <w:tr w:rsidR="00566CBD" w14:paraId="51E9951D" w14:textId="77777777" w:rsidTr="00566CBD">
        <w:tc>
          <w:tcPr>
            <w:tcW w:w="4788" w:type="dxa"/>
            <w:vAlign w:val="bottom"/>
          </w:tcPr>
          <w:p w14:paraId="22B00930" w14:textId="076F9D79" w:rsidR="00566CBD" w:rsidRPr="00566CBD" w:rsidRDefault="00566CBD" w:rsidP="00566CBD">
            <w:pPr>
              <w:rPr>
                <w:rFonts w:cs="Arial"/>
              </w:rPr>
            </w:pPr>
            <w:r w:rsidRPr="00566CBD">
              <w:rPr>
                <w:b/>
                <w:bCs/>
                <w:szCs w:val="20"/>
              </w:rPr>
              <w:t>Инфекции и инфестации</w:t>
            </w:r>
          </w:p>
        </w:tc>
        <w:tc>
          <w:tcPr>
            <w:tcW w:w="4788" w:type="dxa"/>
            <w:vAlign w:val="bottom"/>
          </w:tcPr>
          <w:p w14:paraId="565D3C92" w14:textId="5FF8E181" w:rsidR="00566CBD" w:rsidRPr="00566CBD" w:rsidRDefault="00566CBD" w:rsidP="00566CBD">
            <w:pPr>
              <w:rPr>
                <w:rFonts w:cs="Arial"/>
              </w:rPr>
            </w:pPr>
            <w:r w:rsidRPr="00566CBD">
              <w:rPr>
                <w:szCs w:val="20"/>
              </w:rPr>
              <w:t>Сиалоаденит</w:t>
            </w:r>
          </w:p>
        </w:tc>
      </w:tr>
      <w:tr w:rsidR="00566CBD" w14:paraId="0B332C86" w14:textId="77777777" w:rsidTr="00566CBD">
        <w:tc>
          <w:tcPr>
            <w:tcW w:w="4788" w:type="dxa"/>
            <w:vAlign w:val="bottom"/>
          </w:tcPr>
          <w:p w14:paraId="090A5ED8" w14:textId="69EFF4B1" w:rsidR="00566CBD" w:rsidRPr="00566CBD" w:rsidRDefault="00566CBD" w:rsidP="00566CBD">
            <w:pPr>
              <w:rPr>
                <w:rFonts w:cs="Arial"/>
              </w:rPr>
            </w:pPr>
            <w:r w:rsidRPr="00566CBD">
              <w:rPr>
                <w:b/>
                <w:bCs/>
                <w:szCs w:val="20"/>
              </w:rPr>
              <w:t>Неоплазми — доброкачествени, злокачествени и неопределени (вкл. кисти и полипи)</w:t>
            </w:r>
          </w:p>
        </w:tc>
        <w:tc>
          <w:tcPr>
            <w:tcW w:w="4788" w:type="dxa"/>
            <w:vAlign w:val="bottom"/>
          </w:tcPr>
          <w:p w14:paraId="6DE527C2" w14:textId="358B1A8B" w:rsidR="00566CBD" w:rsidRPr="00566CBD" w:rsidRDefault="00566CBD" w:rsidP="00566CBD">
            <w:pPr>
              <w:rPr>
                <w:rFonts w:cs="Arial"/>
              </w:rPr>
            </w:pPr>
            <w:r w:rsidRPr="00566CBD">
              <w:rPr>
                <w:szCs w:val="20"/>
              </w:rPr>
              <w:t>Немеланомен рак на кожата (базалноклетъчен карцином и сквамозноклетъчен карцином).</w:t>
            </w:r>
          </w:p>
        </w:tc>
      </w:tr>
      <w:tr w:rsidR="00566CBD" w14:paraId="7E107558" w14:textId="77777777" w:rsidTr="00566CBD">
        <w:tc>
          <w:tcPr>
            <w:tcW w:w="4788" w:type="dxa"/>
          </w:tcPr>
          <w:p w14:paraId="453FCBA6" w14:textId="34862415" w:rsidR="00566CBD" w:rsidRPr="00566CBD" w:rsidRDefault="00566CBD" w:rsidP="00566CBD">
            <w:pPr>
              <w:rPr>
                <w:rFonts w:cs="Arial"/>
              </w:rPr>
            </w:pPr>
            <w:r w:rsidRPr="00566CBD">
              <w:rPr>
                <w:b/>
                <w:bCs/>
                <w:szCs w:val="20"/>
              </w:rPr>
              <w:t>Нарушения на кръвта и лимфната система</w:t>
            </w:r>
          </w:p>
        </w:tc>
        <w:tc>
          <w:tcPr>
            <w:tcW w:w="4788" w:type="dxa"/>
            <w:vAlign w:val="bottom"/>
          </w:tcPr>
          <w:p w14:paraId="3B747745" w14:textId="19230E73" w:rsidR="00566CBD" w:rsidRPr="00566CBD" w:rsidRDefault="00566CBD" w:rsidP="00566CBD">
            <w:pPr>
              <w:rPr>
                <w:rFonts w:cs="Arial"/>
              </w:rPr>
            </w:pPr>
            <w:r w:rsidRPr="00566CBD">
              <w:rPr>
                <w:szCs w:val="20"/>
              </w:rPr>
              <w:t xml:space="preserve">Левкопения, неутропения/агранулоцитоза, тромбоцитопения, апластична анемия, </w:t>
            </w:r>
            <w:r w:rsidRPr="00566CBD">
              <w:rPr>
                <w:szCs w:val="20"/>
              </w:rPr>
              <w:lastRenderedPageBreak/>
              <w:t>хемолитична анемия, потискане на костния мозък.</w:t>
            </w:r>
          </w:p>
        </w:tc>
      </w:tr>
      <w:tr w:rsidR="00566CBD" w14:paraId="109410AF" w14:textId="77777777" w:rsidTr="00566CBD">
        <w:tc>
          <w:tcPr>
            <w:tcW w:w="4788" w:type="dxa"/>
          </w:tcPr>
          <w:p w14:paraId="5872A4A8" w14:textId="70EE1CEE" w:rsidR="00566CBD" w:rsidRPr="00566CBD" w:rsidRDefault="00566CBD" w:rsidP="00566CBD">
            <w:pPr>
              <w:rPr>
                <w:rFonts w:cs="Arial"/>
              </w:rPr>
            </w:pPr>
            <w:r w:rsidRPr="00566CBD">
              <w:rPr>
                <w:b/>
                <w:bCs/>
                <w:szCs w:val="20"/>
              </w:rPr>
              <w:lastRenderedPageBreak/>
              <w:t>Нарушения на метаболизма и храненето</w:t>
            </w:r>
          </w:p>
        </w:tc>
        <w:tc>
          <w:tcPr>
            <w:tcW w:w="4788" w:type="dxa"/>
            <w:vAlign w:val="bottom"/>
          </w:tcPr>
          <w:p w14:paraId="4123AC41" w14:textId="79D8B76A" w:rsidR="00566CBD" w:rsidRPr="00566CBD" w:rsidRDefault="00566CBD" w:rsidP="00566CBD">
            <w:pPr>
              <w:rPr>
                <w:rFonts w:cs="Arial"/>
              </w:rPr>
            </w:pPr>
            <w:r w:rsidRPr="00566CBD">
              <w:rPr>
                <w:szCs w:val="20"/>
              </w:rPr>
              <w:t>Анорексия, хипергликемия, глюкозурия, хиперурикемия, електролитен дисбаланс (включително хипонатриемия и хипокалиемия, хипохлоремична алкалоза и хипомагнезиемия), повишение на холестерола и триглицеридите, подагра.</w:t>
            </w:r>
          </w:p>
        </w:tc>
      </w:tr>
      <w:tr w:rsidR="00566CBD" w14:paraId="56D8A55D" w14:textId="77777777" w:rsidTr="00566CBD">
        <w:tc>
          <w:tcPr>
            <w:tcW w:w="4788" w:type="dxa"/>
            <w:vAlign w:val="bottom"/>
          </w:tcPr>
          <w:p w14:paraId="1B50BF9A" w14:textId="0A015F83" w:rsidR="00566CBD" w:rsidRPr="00566CBD" w:rsidRDefault="00566CBD" w:rsidP="00566CBD">
            <w:pPr>
              <w:rPr>
                <w:rFonts w:cs="Arial"/>
              </w:rPr>
            </w:pPr>
            <w:r w:rsidRPr="00566CBD">
              <w:rPr>
                <w:b/>
                <w:bCs/>
                <w:szCs w:val="20"/>
              </w:rPr>
              <w:t>Психични нарушения</w:t>
            </w:r>
          </w:p>
        </w:tc>
        <w:tc>
          <w:tcPr>
            <w:tcW w:w="4788" w:type="dxa"/>
            <w:vAlign w:val="bottom"/>
          </w:tcPr>
          <w:p w14:paraId="03D32900" w14:textId="71B9DDC2" w:rsidR="00566CBD" w:rsidRPr="00566CBD" w:rsidRDefault="00566CBD" w:rsidP="00566CBD">
            <w:pPr>
              <w:rPr>
                <w:rFonts w:cs="Arial"/>
              </w:rPr>
            </w:pPr>
            <w:r w:rsidRPr="00566CBD">
              <w:rPr>
                <w:szCs w:val="20"/>
              </w:rPr>
              <w:t>Безпокойство, депресия, нарушения на съня.</w:t>
            </w:r>
          </w:p>
        </w:tc>
      </w:tr>
      <w:tr w:rsidR="00566CBD" w14:paraId="5B5B68DC" w14:textId="77777777" w:rsidTr="00566CBD">
        <w:tc>
          <w:tcPr>
            <w:tcW w:w="4788" w:type="dxa"/>
            <w:vAlign w:val="bottom"/>
          </w:tcPr>
          <w:p w14:paraId="504CBBBF" w14:textId="027D4C06" w:rsidR="00566CBD" w:rsidRPr="00566CBD" w:rsidRDefault="00566CBD" w:rsidP="00566CBD">
            <w:pPr>
              <w:rPr>
                <w:rFonts w:cs="Arial"/>
              </w:rPr>
            </w:pPr>
            <w:r w:rsidRPr="00566CBD">
              <w:rPr>
                <w:b/>
                <w:bCs/>
                <w:szCs w:val="20"/>
              </w:rPr>
              <w:t>Нарушения на нервната система</w:t>
            </w:r>
          </w:p>
        </w:tc>
        <w:tc>
          <w:tcPr>
            <w:tcW w:w="4788" w:type="dxa"/>
            <w:vAlign w:val="bottom"/>
          </w:tcPr>
          <w:p w14:paraId="2ACB7BDC" w14:textId="1BDA2F10" w:rsidR="00566CBD" w:rsidRPr="00566CBD" w:rsidRDefault="00566CBD" w:rsidP="00566CBD">
            <w:pPr>
              <w:rPr>
                <w:rFonts w:cs="Arial"/>
              </w:rPr>
            </w:pPr>
            <w:r w:rsidRPr="00566CBD">
              <w:rPr>
                <w:szCs w:val="20"/>
              </w:rPr>
              <w:t>Загуба на апетит, парестезия, слаб световъртеж.</w:t>
            </w:r>
          </w:p>
        </w:tc>
      </w:tr>
      <w:tr w:rsidR="00566CBD" w14:paraId="443026BA" w14:textId="77777777" w:rsidTr="00566CBD">
        <w:tc>
          <w:tcPr>
            <w:tcW w:w="4788" w:type="dxa"/>
          </w:tcPr>
          <w:p w14:paraId="5CD293C4" w14:textId="1C4C4B17" w:rsidR="00566CBD" w:rsidRPr="00566CBD" w:rsidRDefault="00566CBD" w:rsidP="00566CBD">
            <w:pPr>
              <w:rPr>
                <w:rFonts w:cs="Arial"/>
              </w:rPr>
            </w:pPr>
            <w:r w:rsidRPr="00566CBD">
              <w:rPr>
                <w:b/>
                <w:bCs/>
                <w:szCs w:val="20"/>
              </w:rPr>
              <w:t>Нарушения на очите</w:t>
            </w:r>
          </w:p>
        </w:tc>
        <w:tc>
          <w:tcPr>
            <w:tcW w:w="4788" w:type="dxa"/>
            <w:vAlign w:val="bottom"/>
          </w:tcPr>
          <w:p w14:paraId="157BA9DC" w14:textId="35E96668" w:rsidR="00566CBD" w:rsidRPr="00566CBD" w:rsidRDefault="00566CBD" w:rsidP="00566CBD">
            <w:pPr>
              <w:rPr>
                <w:rFonts w:cs="Arial"/>
              </w:rPr>
            </w:pPr>
            <w:r w:rsidRPr="00566CBD">
              <w:rPr>
                <w:szCs w:val="20"/>
              </w:rPr>
              <w:t>Ксантопсия, преходно замъглено виждане, остра миопия и остра зaкpитoъгълна глаукома.</w:t>
            </w:r>
          </w:p>
        </w:tc>
      </w:tr>
      <w:tr w:rsidR="00566CBD" w14:paraId="5AD49A04" w14:textId="77777777" w:rsidTr="00566CBD">
        <w:tc>
          <w:tcPr>
            <w:tcW w:w="4788" w:type="dxa"/>
            <w:vAlign w:val="bottom"/>
          </w:tcPr>
          <w:p w14:paraId="064A8431" w14:textId="560A6E55" w:rsidR="00566CBD" w:rsidRPr="00566CBD" w:rsidRDefault="00566CBD" w:rsidP="00566CBD">
            <w:pPr>
              <w:rPr>
                <w:rFonts w:cs="Arial"/>
              </w:rPr>
            </w:pPr>
            <w:r w:rsidRPr="00566CBD">
              <w:rPr>
                <w:b/>
                <w:bCs/>
                <w:szCs w:val="20"/>
              </w:rPr>
              <w:t>Нарушения на ухото и лабиринта</w:t>
            </w:r>
          </w:p>
        </w:tc>
        <w:tc>
          <w:tcPr>
            <w:tcW w:w="4788" w:type="dxa"/>
            <w:vAlign w:val="bottom"/>
          </w:tcPr>
          <w:p w14:paraId="73BDFE60" w14:textId="6937A8D0" w:rsidR="00566CBD" w:rsidRPr="00566CBD" w:rsidRDefault="00566CBD" w:rsidP="00566CBD">
            <w:pPr>
              <w:rPr>
                <w:rFonts w:cs="Arial"/>
              </w:rPr>
            </w:pPr>
            <w:r w:rsidRPr="00566CBD">
              <w:rPr>
                <w:szCs w:val="20"/>
              </w:rPr>
              <w:t>Вертиго.</w:t>
            </w:r>
          </w:p>
        </w:tc>
      </w:tr>
      <w:tr w:rsidR="00566CBD" w14:paraId="518A0404" w14:textId="77777777" w:rsidTr="00566CBD">
        <w:tc>
          <w:tcPr>
            <w:tcW w:w="4788" w:type="dxa"/>
            <w:vAlign w:val="bottom"/>
          </w:tcPr>
          <w:p w14:paraId="29257015" w14:textId="17543005" w:rsidR="00566CBD" w:rsidRPr="00566CBD" w:rsidRDefault="00566CBD" w:rsidP="00566CBD">
            <w:pPr>
              <w:rPr>
                <w:rFonts w:cs="Arial"/>
              </w:rPr>
            </w:pPr>
            <w:r w:rsidRPr="00566CBD">
              <w:rPr>
                <w:b/>
                <w:bCs/>
                <w:szCs w:val="20"/>
              </w:rPr>
              <w:t>Сърдечни нарушения</w:t>
            </w:r>
          </w:p>
        </w:tc>
        <w:tc>
          <w:tcPr>
            <w:tcW w:w="4788" w:type="dxa"/>
            <w:vAlign w:val="bottom"/>
          </w:tcPr>
          <w:p w14:paraId="1C49AD4C" w14:textId="13C2FE58" w:rsidR="00566CBD" w:rsidRPr="00566CBD" w:rsidRDefault="00566CBD" w:rsidP="00566CBD">
            <w:pPr>
              <w:rPr>
                <w:rFonts w:cs="Arial"/>
              </w:rPr>
            </w:pPr>
            <w:r w:rsidRPr="00566CBD">
              <w:rPr>
                <w:szCs w:val="20"/>
              </w:rPr>
              <w:t>Ортостатична хипотония.</w:t>
            </w:r>
          </w:p>
        </w:tc>
      </w:tr>
      <w:tr w:rsidR="00566CBD" w14:paraId="08DD71F8" w14:textId="77777777" w:rsidTr="00566CBD">
        <w:tc>
          <w:tcPr>
            <w:tcW w:w="4788" w:type="dxa"/>
          </w:tcPr>
          <w:p w14:paraId="36C8EB44" w14:textId="3AA4373B" w:rsidR="00566CBD" w:rsidRPr="00566CBD" w:rsidRDefault="00566CBD" w:rsidP="00566CBD">
            <w:pPr>
              <w:rPr>
                <w:rFonts w:cs="Arial"/>
              </w:rPr>
            </w:pPr>
            <w:r w:rsidRPr="00566CBD">
              <w:rPr>
                <w:b/>
                <w:bCs/>
                <w:szCs w:val="20"/>
              </w:rPr>
              <w:t>Съдови нарушения</w:t>
            </w:r>
          </w:p>
        </w:tc>
        <w:tc>
          <w:tcPr>
            <w:tcW w:w="4788" w:type="dxa"/>
            <w:vAlign w:val="bottom"/>
          </w:tcPr>
          <w:p w14:paraId="48E7B44A" w14:textId="77777777" w:rsidR="00566CBD" w:rsidRPr="00566CBD" w:rsidRDefault="00566CBD" w:rsidP="00566CBD">
            <w:r w:rsidRPr="00566CBD">
              <w:rPr>
                <w:szCs w:val="20"/>
              </w:rPr>
              <w:t>Некротизиращ ангиит (васкулит, кожен</w:t>
            </w:r>
          </w:p>
          <w:p w14:paraId="54F65310" w14:textId="7BFC5D43" w:rsidR="00566CBD" w:rsidRPr="00566CBD" w:rsidRDefault="00566CBD" w:rsidP="00566CBD">
            <w:pPr>
              <w:rPr>
                <w:rFonts w:cs="Arial"/>
              </w:rPr>
            </w:pPr>
            <w:r w:rsidRPr="00566CBD">
              <w:rPr>
                <w:szCs w:val="20"/>
              </w:rPr>
              <w:t>васкулит).</w:t>
            </w:r>
          </w:p>
        </w:tc>
      </w:tr>
      <w:tr w:rsidR="00566CBD" w14:paraId="5C5B037A" w14:textId="77777777" w:rsidTr="00566CBD">
        <w:tc>
          <w:tcPr>
            <w:tcW w:w="4788" w:type="dxa"/>
            <w:vAlign w:val="bottom"/>
          </w:tcPr>
          <w:p w14:paraId="1EABD0CD" w14:textId="77777777" w:rsidR="00566CBD" w:rsidRDefault="00566CBD" w:rsidP="00566CBD">
            <w:pPr>
              <w:rPr>
                <w:b/>
                <w:bCs/>
                <w:szCs w:val="20"/>
              </w:rPr>
            </w:pPr>
            <w:r w:rsidRPr="00566CBD">
              <w:rPr>
                <w:b/>
                <w:bCs/>
                <w:szCs w:val="20"/>
              </w:rPr>
              <w:t>Респираторни, гръдни и медиастинални</w:t>
            </w:r>
          </w:p>
          <w:p w14:paraId="3269F2D0" w14:textId="468F3AD5" w:rsidR="00566CBD" w:rsidRPr="00566CBD" w:rsidRDefault="00566CBD" w:rsidP="00566CBD">
            <w:pPr>
              <w:rPr>
                <w:rFonts w:cs="Arial"/>
                <w:b/>
              </w:rPr>
            </w:pPr>
            <w:r w:rsidRPr="00566CBD">
              <w:rPr>
                <w:b/>
              </w:rPr>
              <w:t>нарушения</w:t>
            </w:r>
          </w:p>
        </w:tc>
        <w:tc>
          <w:tcPr>
            <w:tcW w:w="4788" w:type="dxa"/>
            <w:vAlign w:val="bottom"/>
          </w:tcPr>
          <w:p w14:paraId="2594E67D" w14:textId="7AB11DF4" w:rsidR="00566CBD" w:rsidRPr="00566CBD" w:rsidRDefault="00566CBD" w:rsidP="00566CBD">
            <w:pPr>
              <w:rPr>
                <w:rFonts w:ascii="Times New Roman" w:eastAsia="Times New Roman" w:hAnsi="Times New Roman" w:cs="Times New Roman"/>
                <w:sz w:val="24"/>
                <w:szCs w:val="24"/>
              </w:rPr>
            </w:pPr>
            <w:r w:rsidRPr="00566CBD">
              <w:rPr>
                <w:szCs w:val="20"/>
              </w:rPr>
              <w:t>Респираторен дистрес (включително пневмонит</w:t>
            </w:r>
            <w:r w:rsidRPr="00566CBD">
              <w:rPr>
                <w:szCs w:val="20"/>
                <w:lang w:val="ru-RU"/>
              </w:rPr>
              <w:t xml:space="preserve"> </w:t>
            </w:r>
            <w:r w:rsidRPr="00566CBD">
              <w:rPr>
                <w:lang w:eastAsia="bg-BG"/>
              </w:rPr>
              <w:t>и белодробен едем).</w:t>
            </w:r>
          </w:p>
        </w:tc>
      </w:tr>
      <w:tr w:rsidR="00566CBD" w14:paraId="6EDA15E0" w14:textId="77777777" w:rsidTr="00566CBD">
        <w:tc>
          <w:tcPr>
            <w:tcW w:w="4788" w:type="dxa"/>
          </w:tcPr>
          <w:p w14:paraId="2AA156C2" w14:textId="044C5FA3" w:rsidR="00566CBD" w:rsidRPr="00566CBD" w:rsidRDefault="00566CBD" w:rsidP="00566CBD">
            <w:pPr>
              <w:rPr>
                <w:rFonts w:cs="Arial"/>
              </w:rPr>
            </w:pPr>
            <w:r w:rsidRPr="00566CBD">
              <w:rPr>
                <w:b/>
                <w:bCs/>
                <w:szCs w:val="20"/>
              </w:rPr>
              <w:t>Стомашно-чревни нарушения</w:t>
            </w:r>
          </w:p>
        </w:tc>
        <w:tc>
          <w:tcPr>
            <w:tcW w:w="4788" w:type="dxa"/>
          </w:tcPr>
          <w:p w14:paraId="0A8A187C" w14:textId="00FDB5C1" w:rsidR="00566CBD" w:rsidRPr="00566CBD" w:rsidRDefault="00566CBD" w:rsidP="00566CBD">
            <w:pPr>
              <w:rPr>
                <w:rFonts w:cs="Arial"/>
              </w:rPr>
            </w:pPr>
            <w:r w:rsidRPr="00566CBD">
              <w:rPr>
                <w:szCs w:val="20"/>
              </w:rPr>
              <w:t>Гастрит, диария, запек, панкреатит.</w:t>
            </w:r>
          </w:p>
        </w:tc>
      </w:tr>
      <w:tr w:rsidR="00566CBD" w14:paraId="334217E1" w14:textId="77777777" w:rsidTr="00566CBD">
        <w:tc>
          <w:tcPr>
            <w:tcW w:w="4788" w:type="dxa"/>
          </w:tcPr>
          <w:p w14:paraId="3F86217E" w14:textId="20324FCF" w:rsidR="00566CBD" w:rsidRPr="00566CBD" w:rsidRDefault="00566CBD" w:rsidP="00566CBD">
            <w:pPr>
              <w:rPr>
                <w:rFonts w:cs="Arial"/>
              </w:rPr>
            </w:pPr>
            <w:r w:rsidRPr="00566CBD">
              <w:rPr>
                <w:b/>
                <w:bCs/>
                <w:szCs w:val="20"/>
              </w:rPr>
              <w:t>Хепатобилиарни нарушения</w:t>
            </w:r>
          </w:p>
        </w:tc>
        <w:tc>
          <w:tcPr>
            <w:tcW w:w="4788" w:type="dxa"/>
          </w:tcPr>
          <w:p w14:paraId="17BFC700" w14:textId="452C6F7F" w:rsidR="00566CBD" w:rsidRPr="00566CBD" w:rsidRDefault="00566CBD" w:rsidP="00566CBD">
            <w:pPr>
              <w:rPr>
                <w:rFonts w:cs="Arial"/>
              </w:rPr>
            </w:pPr>
            <w:r w:rsidRPr="00566CBD">
              <w:rPr>
                <w:szCs w:val="20"/>
              </w:rPr>
              <w:t>Жълтеница (интрахепатална холестатична жълтеница).</w:t>
            </w:r>
          </w:p>
        </w:tc>
      </w:tr>
      <w:tr w:rsidR="00566CBD" w14:paraId="39E2B8B9" w14:textId="77777777" w:rsidTr="00566CBD">
        <w:tc>
          <w:tcPr>
            <w:tcW w:w="4788" w:type="dxa"/>
          </w:tcPr>
          <w:p w14:paraId="099AD428" w14:textId="54BE426D" w:rsidR="00566CBD" w:rsidRPr="00566CBD" w:rsidRDefault="00566CBD" w:rsidP="00566CBD">
            <w:pPr>
              <w:rPr>
                <w:rFonts w:cs="Arial"/>
              </w:rPr>
            </w:pPr>
            <w:r w:rsidRPr="00566CBD">
              <w:rPr>
                <w:b/>
                <w:bCs/>
                <w:szCs w:val="20"/>
              </w:rPr>
              <w:t>Нарушения на кожата и подкожната тъкан</w:t>
            </w:r>
          </w:p>
        </w:tc>
        <w:tc>
          <w:tcPr>
            <w:tcW w:w="4788" w:type="dxa"/>
          </w:tcPr>
          <w:p w14:paraId="13C9A59A" w14:textId="22072551" w:rsidR="00566CBD" w:rsidRPr="00566CBD" w:rsidRDefault="00566CBD" w:rsidP="00566CBD">
            <w:pPr>
              <w:rPr>
                <w:rFonts w:cs="Arial"/>
              </w:rPr>
            </w:pPr>
            <w:r w:rsidRPr="00566CBD">
              <w:rPr>
                <w:szCs w:val="20"/>
              </w:rPr>
              <w:t>Реакции на фоточувствителност, обрив, системен лупус еритематодес, кожен лупус еритематозо-подобни реакции, обостряне на кожен лупус еритематодес, уртикария, анафилактични реакции, токсична епидермална некролиза.</w:t>
            </w:r>
          </w:p>
        </w:tc>
      </w:tr>
      <w:tr w:rsidR="00566CBD" w14:paraId="35E47686" w14:textId="77777777" w:rsidTr="00566CBD">
        <w:tc>
          <w:tcPr>
            <w:tcW w:w="4788" w:type="dxa"/>
          </w:tcPr>
          <w:p w14:paraId="49D55863" w14:textId="072F667A" w:rsidR="00566CBD" w:rsidRPr="00566CBD" w:rsidRDefault="00566CBD" w:rsidP="00566CBD">
            <w:pPr>
              <w:rPr>
                <w:rFonts w:cs="Arial"/>
              </w:rPr>
            </w:pPr>
            <w:r w:rsidRPr="00566CBD">
              <w:rPr>
                <w:b/>
                <w:bCs/>
                <w:szCs w:val="20"/>
              </w:rPr>
              <w:t>Нарушения ма мускулно-скелетната система и съединителната тъкан</w:t>
            </w:r>
          </w:p>
        </w:tc>
        <w:tc>
          <w:tcPr>
            <w:tcW w:w="4788" w:type="dxa"/>
          </w:tcPr>
          <w:p w14:paraId="18ACBD3C" w14:textId="407B05D3" w:rsidR="00566CBD" w:rsidRPr="00566CBD" w:rsidRDefault="00566CBD" w:rsidP="00566CBD">
            <w:pPr>
              <w:rPr>
                <w:rFonts w:cs="Arial"/>
              </w:rPr>
            </w:pPr>
            <w:r w:rsidRPr="00566CBD">
              <w:rPr>
                <w:szCs w:val="20"/>
              </w:rPr>
              <w:t>Мускулен спазъм, мускулна слабост.</w:t>
            </w:r>
          </w:p>
        </w:tc>
      </w:tr>
      <w:tr w:rsidR="00566CBD" w14:paraId="553DCB69" w14:textId="77777777" w:rsidTr="00566CBD">
        <w:tc>
          <w:tcPr>
            <w:tcW w:w="4788" w:type="dxa"/>
          </w:tcPr>
          <w:p w14:paraId="18A3B059" w14:textId="4A9B4FA3" w:rsidR="00566CBD" w:rsidRPr="00566CBD" w:rsidRDefault="00566CBD" w:rsidP="00566CBD">
            <w:pPr>
              <w:rPr>
                <w:rFonts w:cs="Arial"/>
              </w:rPr>
            </w:pPr>
            <w:r w:rsidRPr="00566CBD">
              <w:rPr>
                <w:b/>
                <w:bCs/>
                <w:szCs w:val="20"/>
              </w:rPr>
              <w:t>Нарушения на бъбреците и пикочните пътища</w:t>
            </w:r>
          </w:p>
        </w:tc>
        <w:tc>
          <w:tcPr>
            <w:tcW w:w="4788" w:type="dxa"/>
          </w:tcPr>
          <w:p w14:paraId="5AB10C9D" w14:textId="434AEDD7" w:rsidR="00566CBD" w:rsidRPr="00566CBD" w:rsidRDefault="00566CBD" w:rsidP="00566CBD">
            <w:pPr>
              <w:rPr>
                <w:rFonts w:cs="Arial"/>
              </w:rPr>
            </w:pPr>
            <w:r w:rsidRPr="00566CBD">
              <w:rPr>
                <w:szCs w:val="20"/>
              </w:rPr>
              <w:t>Бъбречна дисфункция,интерстициален нефрит.</w:t>
            </w:r>
          </w:p>
        </w:tc>
      </w:tr>
      <w:tr w:rsidR="00566CBD" w14:paraId="6865B34F" w14:textId="77777777" w:rsidTr="00566CBD">
        <w:tc>
          <w:tcPr>
            <w:tcW w:w="4788" w:type="dxa"/>
          </w:tcPr>
          <w:p w14:paraId="3EB155F5" w14:textId="2C9331D7" w:rsidR="00566CBD" w:rsidRPr="00566CBD" w:rsidRDefault="00566CBD" w:rsidP="00566CBD">
            <w:pPr>
              <w:rPr>
                <w:rFonts w:cs="Arial"/>
              </w:rPr>
            </w:pPr>
            <w:r w:rsidRPr="00566CBD">
              <w:rPr>
                <w:b/>
                <w:bCs/>
                <w:szCs w:val="20"/>
              </w:rPr>
              <w:t>Общи нарушения и ефекти на мястото на приложение</w:t>
            </w:r>
          </w:p>
        </w:tc>
        <w:tc>
          <w:tcPr>
            <w:tcW w:w="4788" w:type="dxa"/>
          </w:tcPr>
          <w:p w14:paraId="343B778A" w14:textId="25EBCBB1" w:rsidR="00566CBD" w:rsidRPr="00566CBD" w:rsidRDefault="00566CBD" w:rsidP="00566CBD">
            <w:pPr>
              <w:rPr>
                <w:rFonts w:cs="Arial"/>
              </w:rPr>
            </w:pPr>
            <w:r w:rsidRPr="00566CBD">
              <w:rPr>
                <w:szCs w:val="20"/>
              </w:rPr>
              <w:t>Треска, слабост.</w:t>
            </w:r>
          </w:p>
        </w:tc>
      </w:tr>
    </w:tbl>
    <w:p w14:paraId="0F700536" w14:textId="77777777" w:rsidR="00566CBD" w:rsidRDefault="00566CBD" w:rsidP="00566CBD">
      <w:pPr>
        <w:spacing w:line="240" w:lineRule="auto"/>
        <w:rPr>
          <w:rFonts w:ascii="Times New Roman" w:eastAsia="Times New Roman" w:hAnsi="Times New Roman" w:cs="Times New Roman"/>
          <w:i/>
          <w:iCs/>
          <w:color w:val="000000"/>
          <w:sz w:val="20"/>
          <w:szCs w:val="20"/>
          <w:lang w:eastAsia="bg-BG"/>
        </w:rPr>
      </w:pPr>
    </w:p>
    <w:p w14:paraId="092C9E22" w14:textId="3E02E09F" w:rsidR="00566CBD" w:rsidRPr="00566CBD" w:rsidRDefault="00566CBD" w:rsidP="00566CBD">
      <w:pPr>
        <w:spacing w:line="240" w:lineRule="auto"/>
        <w:rPr>
          <w:rFonts w:eastAsia="Times New Roman" w:cs="Arial"/>
          <w:sz w:val="28"/>
          <w:szCs w:val="24"/>
        </w:rPr>
      </w:pPr>
      <w:r w:rsidRPr="00566CBD">
        <w:rPr>
          <w:rFonts w:eastAsia="Times New Roman" w:cs="Arial"/>
          <w:i/>
          <w:iCs/>
          <w:color w:val="000000"/>
          <w:szCs w:val="20"/>
          <w:lang w:eastAsia="bg-BG"/>
        </w:rPr>
        <w:t>Описание на избрани нежелани реакции</w:t>
      </w:r>
    </w:p>
    <w:p w14:paraId="774570BC" w14:textId="77777777" w:rsidR="00566CBD" w:rsidRPr="00566CBD" w:rsidRDefault="00566CBD" w:rsidP="00566CBD">
      <w:pPr>
        <w:spacing w:line="240" w:lineRule="auto"/>
        <w:rPr>
          <w:rFonts w:eastAsia="Times New Roman" w:cs="Arial"/>
          <w:color w:val="000000"/>
          <w:szCs w:val="20"/>
          <w:lang w:eastAsia="bg-BG"/>
        </w:rPr>
      </w:pPr>
    </w:p>
    <w:p w14:paraId="0FBB41CA" w14:textId="55715136" w:rsidR="00566CBD" w:rsidRPr="00566CBD" w:rsidRDefault="00566CBD" w:rsidP="00566CBD">
      <w:pPr>
        <w:spacing w:line="240" w:lineRule="auto"/>
        <w:rPr>
          <w:rFonts w:eastAsia="Times New Roman" w:cs="Arial"/>
          <w:sz w:val="28"/>
          <w:szCs w:val="24"/>
        </w:rPr>
      </w:pPr>
      <w:r w:rsidRPr="00566CBD">
        <w:rPr>
          <w:rFonts w:eastAsia="Times New Roman" w:cs="Arial"/>
          <w:color w:val="000000"/>
          <w:szCs w:val="2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51877A72" w14:textId="77777777" w:rsidR="00566CBD" w:rsidRPr="00566CBD" w:rsidRDefault="00566CBD" w:rsidP="00566CBD">
      <w:pPr>
        <w:spacing w:line="240" w:lineRule="auto"/>
        <w:rPr>
          <w:rFonts w:eastAsia="Times New Roman" w:cs="Arial"/>
          <w:color w:val="000000"/>
          <w:szCs w:val="20"/>
          <w:u w:val="single"/>
          <w:lang w:eastAsia="bg-BG"/>
        </w:rPr>
      </w:pPr>
    </w:p>
    <w:p w14:paraId="1DD7A825" w14:textId="23FD8FEF" w:rsidR="00566CBD" w:rsidRPr="00566CBD" w:rsidRDefault="00566CBD" w:rsidP="00566CBD">
      <w:pPr>
        <w:spacing w:line="240" w:lineRule="auto"/>
        <w:rPr>
          <w:rFonts w:eastAsia="Times New Roman" w:cs="Arial"/>
          <w:sz w:val="28"/>
          <w:szCs w:val="24"/>
        </w:rPr>
      </w:pPr>
      <w:r w:rsidRPr="00566CBD">
        <w:rPr>
          <w:rFonts w:eastAsia="Times New Roman" w:cs="Arial"/>
          <w:color w:val="000000"/>
          <w:szCs w:val="20"/>
          <w:u w:val="single"/>
          <w:lang w:eastAsia="bg-BG"/>
        </w:rPr>
        <w:t>Съобщаване на подозирани нежелани реакции</w:t>
      </w:r>
    </w:p>
    <w:p w14:paraId="755A4B09" w14:textId="77777777" w:rsidR="00566CBD" w:rsidRPr="00566CBD" w:rsidRDefault="00566CBD" w:rsidP="00566CBD">
      <w:pPr>
        <w:spacing w:line="240" w:lineRule="auto"/>
        <w:rPr>
          <w:rFonts w:eastAsia="Times New Roman" w:cs="Arial"/>
          <w:sz w:val="28"/>
          <w:szCs w:val="24"/>
        </w:rPr>
      </w:pPr>
      <w:r w:rsidRPr="00566CBD">
        <w:rPr>
          <w:rFonts w:eastAsia="Times New Roman" w:cs="Arial"/>
          <w:color w:val="000000"/>
          <w:szCs w:val="2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 продукт. От медицинските специалисти се </w:t>
      </w:r>
      <w:r w:rsidRPr="00566CBD">
        <w:rPr>
          <w:rFonts w:eastAsia="Times New Roman" w:cs="Arial"/>
          <w:color w:val="000000"/>
          <w:szCs w:val="20"/>
          <w:lang w:eastAsia="bg-BG"/>
        </w:rPr>
        <w:lastRenderedPageBreak/>
        <w:t xml:space="preserve">изисква да съобщават всяка подозирана нежелана реакция чрез Изпълнителна агенция по лекарствата ул. „Дамян Груев” №8,1303 София , тел.: +35 928903417, уебсайт: </w:t>
      </w:r>
      <w:r w:rsidRPr="00566CBD">
        <w:rPr>
          <w:rFonts w:eastAsia="Times New Roman" w:cs="Arial"/>
          <w:sz w:val="28"/>
          <w:szCs w:val="24"/>
        </w:rPr>
        <w:fldChar w:fldCharType="begin"/>
      </w:r>
      <w:r w:rsidRPr="00566CBD">
        <w:rPr>
          <w:rFonts w:eastAsia="Times New Roman" w:cs="Arial"/>
          <w:sz w:val="28"/>
          <w:szCs w:val="24"/>
        </w:rPr>
        <w:instrText xml:space="preserve"> HYPERLINK "http://www.bda.bg" </w:instrText>
      </w:r>
      <w:r w:rsidRPr="00566CBD">
        <w:rPr>
          <w:rFonts w:eastAsia="Times New Roman" w:cs="Arial"/>
          <w:sz w:val="28"/>
          <w:szCs w:val="24"/>
        </w:rPr>
      </w:r>
      <w:r w:rsidRPr="00566CBD">
        <w:rPr>
          <w:rFonts w:eastAsia="Times New Roman" w:cs="Arial"/>
          <w:sz w:val="28"/>
          <w:szCs w:val="24"/>
        </w:rPr>
        <w:fldChar w:fldCharType="separate"/>
      </w:r>
      <w:r w:rsidRPr="00566CBD">
        <w:rPr>
          <w:rFonts w:eastAsia="Times New Roman" w:cs="Arial"/>
          <w:color w:val="000000"/>
          <w:szCs w:val="20"/>
          <w:u w:val="single"/>
          <w:lang w:val="en-US"/>
        </w:rPr>
        <w:t>www.bda.bg</w:t>
      </w:r>
      <w:r w:rsidRPr="00566CBD">
        <w:rPr>
          <w:rFonts w:eastAsia="Times New Roman" w:cs="Arial"/>
          <w:sz w:val="28"/>
          <w:szCs w:val="24"/>
        </w:rPr>
        <w:fldChar w:fldCharType="end"/>
      </w:r>
      <w:r w:rsidRPr="00566CBD">
        <w:rPr>
          <w:rFonts w:eastAsia="Times New Roman" w:cs="Arial"/>
          <w:color w:val="000000"/>
          <w:szCs w:val="20"/>
          <w:lang w:val="en-US"/>
        </w:rPr>
        <w:t>.</w:t>
      </w:r>
    </w:p>
    <w:p w14:paraId="55BDD745" w14:textId="50BCA046" w:rsidR="00566CBD" w:rsidRPr="00566CBD" w:rsidRDefault="00566CBD" w:rsidP="00566CBD">
      <w:pPr>
        <w:rPr>
          <w:rFonts w:cs="Arial"/>
          <w:sz w:val="24"/>
        </w:rPr>
      </w:pPr>
    </w:p>
    <w:p w14:paraId="4ED30546" w14:textId="1E045F0E" w:rsidR="007C605B" w:rsidRDefault="002C50EE" w:rsidP="009F1313">
      <w:pPr>
        <w:pStyle w:val="Heading2"/>
      </w:pPr>
      <w:r>
        <w:t>4.9. Предозиране</w:t>
      </w:r>
    </w:p>
    <w:p w14:paraId="28BF6AFD" w14:textId="527829A6" w:rsidR="00566CBD" w:rsidRDefault="00566CBD" w:rsidP="00566CBD"/>
    <w:p w14:paraId="455A6C5C" w14:textId="0698746C" w:rsidR="00566CBD" w:rsidRPr="00603F57" w:rsidRDefault="00566CBD" w:rsidP="00603F57">
      <w:pPr>
        <w:pStyle w:val="Heading3"/>
        <w:rPr>
          <w:rFonts w:eastAsia="Times New Roman"/>
          <w:i/>
          <w:sz w:val="28"/>
        </w:rPr>
      </w:pPr>
      <w:r w:rsidRPr="00603F57">
        <w:rPr>
          <w:rFonts w:eastAsia="Times New Roman"/>
          <w:i/>
          <w:lang w:eastAsia="bg-BG"/>
        </w:rPr>
        <w:t>Симптоми</w:t>
      </w:r>
    </w:p>
    <w:p w14:paraId="38FBE362" w14:textId="1F4EF02C" w:rsidR="00566CBD" w:rsidRPr="00603F57" w:rsidRDefault="00566CBD" w:rsidP="00566CBD">
      <w:pPr>
        <w:spacing w:line="240" w:lineRule="auto"/>
        <w:rPr>
          <w:rFonts w:eastAsia="Times New Roman" w:cs="Arial"/>
          <w:sz w:val="28"/>
          <w:szCs w:val="24"/>
        </w:rPr>
      </w:pPr>
      <w:r w:rsidRPr="00603F57">
        <w:rPr>
          <w:rFonts w:eastAsia="Times New Roman" w:cs="Arial"/>
          <w:color w:val="000000"/>
          <w:szCs w:val="20"/>
          <w:lang w:eastAsia="bg-BG"/>
        </w:rPr>
        <w:t>Съществува ограничена информация по отношение на предозиране при хора. Симптомите свързани с предозиране на АСЕ-инхибитори могат да включват хипотония,циркулаторен шок, електролитни нарушения, бъбречна недостатъчност, хипервентилация, тахикардия, палпитации, брадикардия, замайване, тревожност и кашлица.</w:t>
      </w:r>
    </w:p>
    <w:p w14:paraId="5E05C8DD" w14:textId="77777777" w:rsidR="00566CBD" w:rsidRPr="00603F57" w:rsidRDefault="00566CBD" w:rsidP="00566CBD">
      <w:pPr>
        <w:spacing w:line="240" w:lineRule="auto"/>
        <w:rPr>
          <w:rFonts w:eastAsia="Times New Roman" w:cs="Arial"/>
          <w:color w:val="000000"/>
          <w:szCs w:val="20"/>
          <w:lang w:eastAsia="bg-BG"/>
        </w:rPr>
      </w:pPr>
    </w:p>
    <w:p w14:paraId="324EF7E6" w14:textId="12C300E3" w:rsidR="00566CBD" w:rsidRPr="00603F57" w:rsidRDefault="00566CBD" w:rsidP="00566CBD">
      <w:pPr>
        <w:spacing w:line="240" w:lineRule="auto"/>
        <w:rPr>
          <w:rFonts w:eastAsia="Times New Roman" w:cs="Arial"/>
          <w:sz w:val="28"/>
          <w:szCs w:val="24"/>
        </w:rPr>
      </w:pPr>
      <w:r w:rsidRPr="00603F57">
        <w:rPr>
          <w:rFonts w:eastAsia="Times New Roman" w:cs="Arial"/>
          <w:color w:val="000000"/>
          <w:szCs w:val="20"/>
          <w:lang w:eastAsia="bg-BG"/>
        </w:rPr>
        <w:t>Допълнителни симптоми при предозиране на хидрохлоротиазид са повишена диуреза, намалено ниво на съзнание (вкл. кома), конвулсии, парези, сърдечни аритмии и бъбречна недостатъчност.</w:t>
      </w:r>
    </w:p>
    <w:p w14:paraId="0B4936AB" w14:textId="77777777" w:rsidR="00566CBD" w:rsidRPr="00603F57" w:rsidRDefault="00566CBD" w:rsidP="00566CBD">
      <w:pPr>
        <w:spacing w:line="240" w:lineRule="auto"/>
        <w:rPr>
          <w:rFonts w:eastAsia="Times New Roman" w:cs="Arial"/>
          <w:color w:val="000000"/>
          <w:szCs w:val="20"/>
          <w:lang w:eastAsia="bg-BG"/>
        </w:rPr>
      </w:pPr>
    </w:p>
    <w:p w14:paraId="1A890F78" w14:textId="02A19120" w:rsidR="00566CBD" w:rsidRPr="00603F57" w:rsidRDefault="00566CBD" w:rsidP="00566CBD">
      <w:pPr>
        <w:spacing w:line="240" w:lineRule="auto"/>
        <w:rPr>
          <w:rFonts w:eastAsia="Times New Roman" w:cs="Arial"/>
          <w:sz w:val="28"/>
          <w:szCs w:val="24"/>
        </w:rPr>
      </w:pPr>
      <w:r w:rsidRPr="00603F57">
        <w:rPr>
          <w:rFonts w:eastAsia="Times New Roman" w:cs="Arial"/>
          <w:color w:val="000000"/>
          <w:szCs w:val="20"/>
          <w:lang w:eastAsia="bg-BG"/>
        </w:rPr>
        <w:t>Ако също е приложен и дигиталис, хипокалиемията може да обостри сърдечните аритмии.</w:t>
      </w:r>
    </w:p>
    <w:p w14:paraId="37040E8A" w14:textId="77777777" w:rsidR="00566CBD" w:rsidRPr="00603F57" w:rsidRDefault="00566CBD" w:rsidP="00566CBD">
      <w:pPr>
        <w:spacing w:line="240" w:lineRule="auto"/>
        <w:rPr>
          <w:rFonts w:eastAsia="Times New Roman" w:cs="Arial"/>
          <w:i/>
          <w:iCs/>
          <w:color w:val="000000"/>
          <w:szCs w:val="20"/>
          <w:lang w:eastAsia="bg-BG"/>
        </w:rPr>
      </w:pPr>
    </w:p>
    <w:p w14:paraId="17232B10" w14:textId="40131471" w:rsidR="00566CBD" w:rsidRPr="00603F57" w:rsidRDefault="00566CBD" w:rsidP="00603F57">
      <w:pPr>
        <w:pStyle w:val="Heading3"/>
        <w:rPr>
          <w:rFonts w:eastAsia="Times New Roman"/>
          <w:i/>
          <w:sz w:val="28"/>
        </w:rPr>
      </w:pPr>
      <w:r w:rsidRPr="00603F57">
        <w:rPr>
          <w:rFonts w:eastAsia="Times New Roman"/>
          <w:i/>
          <w:lang w:eastAsia="bg-BG"/>
        </w:rPr>
        <w:t>Лечение</w:t>
      </w:r>
    </w:p>
    <w:p w14:paraId="3B37CEB1" w14:textId="1EF7B106" w:rsidR="00566CBD" w:rsidRPr="00603F57" w:rsidRDefault="00566CBD" w:rsidP="00566CBD">
      <w:pPr>
        <w:spacing w:line="240" w:lineRule="auto"/>
        <w:rPr>
          <w:rFonts w:eastAsia="Times New Roman" w:cs="Arial"/>
          <w:sz w:val="28"/>
          <w:szCs w:val="24"/>
        </w:rPr>
      </w:pPr>
      <w:r w:rsidRPr="00603F57">
        <w:rPr>
          <w:rFonts w:eastAsia="Times New Roman" w:cs="Arial"/>
          <w:color w:val="000000"/>
          <w:szCs w:val="20"/>
          <w:lang w:eastAsia="bg-BG"/>
        </w:rPr>
        <w:t>При предозиране се препоръчва лечение с интравенозна инфузия на физиологичен разтвор. Ако се наблюдава хипотония пациентът трябва да се постави в легнало положение. Може да се проведе лечение с инфузия на ангиотензин II и/или да се приложат интравенозно катехоламини, ако са налични. Ако са налице гастроинтестинални нарушения се прилагат мерки за елиминиране на лизиноприл (напр. предизвикване на повръщане, лаваж на стомаха, прилагат се абсорбенти и натриев сулфат) Дизиноприл може да бъде отстранен от системната циркулация посредством хемодиализа (вж. точка 4.4). При резистентна на терапия брадикардия е показано лечение с пейсмейкър. Често трябва да се проследяват жизнени показатели, серумните електролити и серумния креатинин.</w:t>
      </w:r>
    </w:p>
    <w:p w14:paraId="3D5D51AC" w14:textId="77777777" w:rsidR="00566CBD" w:rsidRPr="00603F57" w:rsidRDefault="00566CBD" w:rsidP="00566CBD">
      <w:pPr>
        <w:rPr>
          <w:rFonts w:eastAsia="Times New Roman" w:cs="Arial"/>
          <w:color w:val="000000"/>
          <w:szCs w:val="20"/>
          <w:lang w:eastAsia="bg-BG"/>
        </w:rPr>
      </w:pPr>
    </w:p>
    <w:p w14:paraId="66E2B8EB" w14:textId="35168E49" w:rsidR="00566CBD" w:rsidRPr="00603F57" w:rsidRDefault="00566CBD" w:rsidP="00566CBD">
      <w:pPr>
        <w:rPr>
          <w:rFonts w:cs="Arial"/>
          <w:sz w:val="24"/>
        </w:rPr>
      </w:pPr>
      <w:r w:rsidRPr="00603F57">
        <w:rPr>
          <w:rFonts w:eastAsia="Times New Roman" w:cs="Arial"/>
          <w:color w:val="000000"/>
          <w:szCs w:val="20"/>
          <w:lang w:eastAsia="bg-BG"/>
        </w:rPr>
        <w:t>Брадикардия или силни вагусови реакции трябва да бъдат лекувани чрез приложение на атропин.</w:t>
      </w:r>
    </w:p>
    <w:p w14:paraId="02081B24" w14:textId="1F46E296" w:rsidR="00395555" w:rsidRPr="00395555" w:rsidRDefault="002C50EE" w:rsidP="008A6AF2">
      <w:pPr>
        <w:pStyle w:val="Heading1"/>
      </w:pPr>
      <w:r>
        <w:t>5. ФАРМАКОЛОГИЧНИ СВОЙСТВА</w:t>
      </w:r>
    </w:p>
    <w:p w14:paraId="5350637D" w14:textId="3D5DBA6C" w:rsidR="00395555" w:rsidRDefault="002C50EE" w:rsidP="008A6AF2">
      <w:pPr>
        <w:pStyle w:val="Heading2"/>
      </w:pPr>
      <w:r>
        <w:t>5.1. Фармакодинамични свойства</w:t>
      </w:r>
    </w:p>
    <w:p w14:paraId="4FC59467" w14:textId="69DB2515" w:rsidR="00603F57" w:rsidRDefault="00603F57" w:rsidP="00603F57"/>
    <w:p w14:paraId="28BD35F5"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Фармакотерапевтична група: Средства, действащи върху ренин-ангиотензиновата система, АСЕ инхибитори и диуретици. АТС код: С09В АОЗ.</w:t>
      </w:r>
    </w:p>
    <w:p w14:paraId="5A976701" w14:textId="77777777" w:rsidR="00603F57" w:rsidRPr="00603F57" w:rsidRDefault="00603F57" w:rsidP="00603F57">
      <w:pPr>
        <w:spacing w:line="240" w:lineRule="auto"/>
        <w:rPr>
          <w:rFonts w:eastAsia="Times New Roman" w:cs="Arial"/>
          <w:color w:val="000000"/>
          <w:szCs w:val="20"/>
          <w:lang w:eastAsia="bg-BG"/>
        </w:rPr>
      </w:pPr>
    </w:p>
    <w:p w14:paraId="7DCBBA63" w14:textId="0CD1758D"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Ко-Диротон е комбинация с фиксирана доза, съдържаща лизиноприл, инхибитор на ангиотензин- конвертиращия ензим (АСЕ) и хидрохлоротиазид, тиазиден диуретик. И двата компонента имат допълващ се начин на действие и упражняват адитивен антихипертензивен ефект.</w:t>
      </w:r>
    </w:p>
    <w:p w14:paraId="7A587CB9" w14:textId="77777777" w:rsidR="00603F57" w:rsidRPr="00603F57" w:rsidRDefault="00603F57" w:rsidP="00603F57">
      <w:pPr>
        <w:spacing w:line="240" w:lineRule="auto"/>
        <w:rPr>
          <w:rFonts w:eastAsia="Times New Roman" w:cs="Arial"/>
          <w:b/>
          <w:bCs/>
          <w:color w:val="000000"/>
          <w:szCs w:val="20"/>
          <w:lang w:eastAsia="bg-BG"/>
        </w:rPr>
      </w:pPr>
    </w:p>
    <w:p w14:paraId="0BBA65A0" w14:textId="0ABC7170" w:rsidR="00603F57" w:rsidRPr="00603F57" w:rsidRDefault="00603F57" w:rsidP="00603F57">
      <w:pPr>
        <w:spacing w:line="240" w:lineRule="auto"/>
        <w:rPr>
          <w:rFonts w:eastAsia="Times New Roman" w:cs="Arial"/>
          <w:sz w:val="28"/>
          <w:szCs w:val="24"/>
        </w:rPr>
      </w:pPr>
      <w:r w:rsidRPr="00603F57">
        <w:rPr>
          <w:rFonts w:eastAsia="Times New Roman" w:cs="Arial"/>
          <w:b/>
          <w:bCs/>
          <w:color w:val="000000"/>
          <w:szCs w:val="20"/>
          <w:lang w:eastAsia="bg-BG"/>
        </w:rPr>
        <w:t>Лизиноприл</w:t>
      </w:r>
    </w:p>
    <w:p w14:paraId="08D94FC5"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u w:val="single"/>
          <w:lang w:eastAsia="bg-BG"/>
        </w:rPr>
        <w:t>Механизъм на дейстивие</w:t>
      </w:r>
    </w:p>
    <w:p w14:paraId="13D5E53A"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lastRenderedPageBreak/>
        <w:t>Лизиноприл е инхибитор на пептидил дипептидазата. Той инхибира ангиотензин-конвертиращия ензим (АСЕ), който катализира превръщането на ангиотензин I във вазоконстриктиращия пептид ангиотензин И. Ангиотензин II също стимулира секрецията на алдостерон от адреналния кортекс. Инхибирането на АСЕ предизвиква намаляване на концентрацията на ангиотензин II, което води до намалена вазипресорна активност и намалена секреция на алдостерон. Намаляването на последната може да доведе до увеличаване на серумната концентрация на калий.</w:t>
      </w:r>
    </w:p>
    <w:p w14:paraId="69499700" w14:textId="77777777" w:rsidR="00603F57" w:rsidRPr="00603F57" w:rsidRDefault="00603F57" w:rsidP="00603F57">
      <w:pPr>
        <w:spacing w:line="240" w:lineRule="auto"/>
        <w:rPr>
          <w:rFonts w:eastAsia="Times New Roman" w:cs="Arial"/>
          <w:color w:val="000000"/>
          <w:szCs w:val="20"/>
          <w:u w:val="single"/>
          <w:lang w:eastAsia="bg-BG"/>
        </w:rPr>
      </w:pPr>
    </w:p>
    <w:p w14:paraId="0FC79F71" w14:textId="2FB5B766"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u w:val="single"/>
          <w:lang w:eastAsia="bg-BG"/>
        </w:rPr>
        <w:t>Фармакодинамични ефекти</w:t>
      </w:r>
    </w:p>
    <w:p w14:paraId="783C5C75"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Въпреки че се смята, че механизмът, чрез който лизиноприл понижава кръвното налягане е предимно чрез супресия на системата ренин-ангиотензин-алдостерон, лизиноприл има антихипертензивен ефект дори и при пациенти с хипертония с ниско плазмено ниво на ренин. АСЕ е идентичен с кининаза II, ензим, който разгражда брадикинина. Дали повишените нива на брадикинин, мощен вазодилаторен пептид, играят роля в терапевтичния ефект на лизиноприл предстои да се изясни.</w:t>
      </w:r>
    </w:p>
    <w:p w14:paraId="7FC088BB" w14:textId="77777777" w:rsidR="00603F57" w:rsidRPr="00603F57" w:rsidRDefault="00603F57" w:rsidP="00603F57">
      <w:pPr>
        <w:spacing w:line="240" w:lineRule="auto"/>
        <w:rPr>
          <w:rFonts w:eastAsia="Times New Roman" w:cs="Arial"/>
          <w:color w:val="000000"/>
          <w:szCs w:val="20"/>
          <w:u w:val="single"/>
          <w:lang w:eastAsia="bg-BG"/>
        </w:rPr>
      </w:pPr>
    </w:p>
    <w:p w14:paraId="3EB3ED5D" w14:textId="4732B7C3"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u w:val="single"/>
          <w:lang w:eastAsia="bg-BG"/>
        </w:rPr>
        <w:t>Клинична ефикасност и безопасност</w:t>
      </w:r>
    </w:p>
    <w:p w14:paraId="17A5E22D" w14:textId="585D429D" w:rsidR="00603F57" w:rsidRPr="00603F57" w:rsidRDefault="00603F57" w:rsidP="00603F57">
      <w:pPr>
        <w:spacing w:line="240" w:lineRule="auto"/>
        <w:rPr>
          <w:rFonts w:eastAsia="Times New Roman" w:cs="Arial"/>
          <w:sz w:val="28"/>
          <w:szCs w:val="24"/>
        </w:rPr>
      </w:pPr>
      <w:r w:rsidRPr="00603F57">
        <w:rPr>
          <w:rFonts w:eastAsia="Times New Roman" w:cs="Arial"/>
          <w:i/>
          <w:iCs/>
          <w:color w:val="000000"/>
          <w:szCs w:val="20"/>
          <w:lang w:eastAsia="bg-BG"/>
        </w:rPr>
        <w:t xml:space="preserve">Ренин-ангиотензиновата система </w:t>
      </w:r>
      <w:r w:rsidRPr="00603F57">
        <w:rPr>
          <w:rFonts w:eastAsia="Times New Roman" w:cs="Arial"/>
          <w:i/>
          <w:iCs/>
          <w:color w:val="000000"/>
          <w:szCs w:val="20"/>
          <w:lang w:val="ru-RU"/>
        </w:rPr>
        <w:t>(</w:t>
      </w:r>
      <w:r w:rsidRPr="00603F57">
        <w:rPr>
          <w:rFonts w:eastAsia="Times New Roman" w:cs="Arial"/>
          <w:i/>
          <w:iCs/>
          <w:color w:val="000000"/>
          <w:szCs w:val="20"/>
          <w:lang w:val="en-US"/>
        </w:rPr>
        <w:t>RAS</w:t>
      </w:r>
      <w:r w:rsidRPr="00603F57">
        <w:rPr>
          <w:rFonts w:eastAsia="Times New Roman" w:cs="Arial"/>
          <w:i/>
          <w:iCs/>
          <w:color w:val="000000"/>
          <w:szCs w:val="20"/>
          <w:lang w:val="ru-RU"/>
        </w:rPr>
        <w:t xml:space="preserve">) </w:t>
      </w:r>
      <w:r w:rsidRPr="00603F57">
        <w:rPr>
          <w:rFonts w:eastAsia="Times New Roman" w:cs="Arial"/>
          <w:i/>
          <w:iCs/>
          <w:color w:val="000000"/>
          <w:szCs w:val="20"/>
          <w:lang w:eastAsia="bg-BG"/>
        </w:rPr>
        <w:t>- активни вещества</w:t>
      </w:r>
    </w:p>
    <w:p w14:paraId="51E2A692"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Две големи рандомизирани контролирани проучвания - </w:t>
      </w:r>
      <w:r w:rsidRPr="00603F57">
        <w:rPr>
          <w:rFonts w:eastAsia="Times New Roman" w:cs="Arial"/>
          <w:color w:val="000000"/>
          <w:szCs w:val="20"/>
          <w:lang w:val="en-US"/>
        </w:rPr>
        <w:t>ONTARGET</w:t>
      </w:r>
      <w:r w:rsidRPr="00603F57">
        <w:rPr>
          <w:rFonts w:eastAsia="Times New Roman" w:cs="Arial"/>
          <w:color w:val="000000"/>
          <w:szCs w:val="20"/>
        </w:rPr>
        <w:t xml:space="preserve"> (</w:t>
      </w:r>
      <w:r w:rsidRPr="00603F57">
        <w:rPr>
          <w:rFonts w:eastAsia="Times New Roman" w:cs="Arial"/>
          <w:color w:val="000000"/>
          <w:szCs w:val="20"/>
          <w:lang w:val="en-US"/>
        </w:rPr>
        <w:t>Ongoing</w:t>
      </w:r>
      <w:r w:rsidRPr="00603F57">
        <w:rPr>
          <w:rFonts w:eastAsia="Times New Roman" w:cs="Arial"/>
          <w:color w:val="000000"/>
          <w:szCs w:val="20"/>
        </w:rPr>
        <w:t xml:space="preserve"> </w:t>
      </w:r>
      <w:proofErr w:type="spellStart"/>
      <w:r w:rsidRPr="00603F57">
        <w:rPr>
          <w:rFonts w:eastAsia="Times New Roman" w:cs="Arial"/>
          <w:color w:val="000000"/>
          <w:szCs w:val="20"/>
          <w:lang w:val="en-US"/>
        </w:rPr>
        <w:t>Telmisartan</w:t>
      </w:r>
      <w:proofErr w:type="spellEnd"/>
      <w:r w:rsidRPr="00603F57">
        <w:rPr>
          <w:rFonts w:eastAsia="Times New Roman" w:cs="Arial"/>
          <w:color w:val="000000"/>
          <w:szCs w:val="20"/>
        </w:rPr>
        <w:t xml:space="preserve"> </w:t>
      </w:r>
      <w:r w:rsidRPr="00603F57">
        <w:rPr>
          <w:rFonts w:eastAsia="Times New Roman" w:cs="Arial"/>
          <w:color w:val="000000"/>
          <w:szCs w:val="20"/>
          <w:lang w:val="en-US"/>
        </w:rPr>
        <w:t>Alone</w:t>
      </w:r>
      <w:r w:rsidRPr="00603F57">
        <w:rPr>
          <w:rFonts w:eastAsia="Times New Roman" w:cs="Arial"/>
          <w:color w:val="000000"/>
          <w:szCs w:val="20"/>
        </w:rPr>
        <w:t xml:space="preserve"> </w:t>
      </w:r>
      <w:r w:rsidRPr="00603F57">
        <w:rPr>
          <w:rFonts w:eastAsia="Times New Roman" w:cs="Arial"/>
          <w:color w:val="000000"/>
          <w:szCs w:val="20"/>
          <w:lang w:val="en-US"/>
        </w:rPr>
        <w:t>and</w:t>
      </w:r>
      <w:r w:rsidRPr="00603F57">
        <w:rPr>
          <w:rFonts w:eastAsia="Times New Roman" w:cs="Arial"/>
          <w:color w:val="000000"/>
          <w:szCs w:val="20"/>
        </w:rPr>
        <w:t xml:space="preserve"> </w:t>
      </w:r>
      <w:r w:rsidRPr="00603F57">
        <w:rPr>
          <w:rFonts w:eastAsia="Times New Roman" w:cs="Arial"/>
          <w:color w:val="000000"/>
          <w:szCs w:val="20"/>
          <w:lang w:val="en-US"/>
        </w:rPr>
        <w:t>in</w:t>
      </w:r>
      <w:r w:rsidRPr="00603F57">
        <w:rPr>
          <w:rFonts w:eastAsia="Times New Roman" w:cs="Arial"/>
          <w:color w:val="000000"/>
          <w:szCs w:val="20"/>
        </w:rPr>
        <w:t xml:space="preserve"> </w:t>
      </w:r>
      <w:r w:rsidRPr="00603F57">
        <w:rPr>
          <w:rFonts w:eastAsia="Times New Roman" w:cs="Arial"/>
          <w:color w:val="000000"/>
          <w:szCs w:val="20"/>
          <w:lang w:val="en-US"/>
        </w:rPr>
        <w:t>combination</w:t>
      </w:r>
      <w:r w:rsidRPr="00603F57">
        <w:rPr>
          <w:rFonts w:eastAsia="Times New Roman" w:cs="Arial"/>
          <w:color w:val="000000"/>
          <w:szCs w:val="20"/>
        </w:rPr>
        <w:t xml:space="preserve"> </w:t>
      </w:r>
      <w:r w:rsidRPr="00603F57">
        <w:rPr>
          <w:rFonts w:eastAsia="Times New Roman" w:cs="Arial"/>
          <w:color w:val="000000"/>
          <w:szCs w:val="20"/>
          <w:lang w:val="en-US"/>
        </w:rPr>
        <w:t>with</w:t>
      </w:r>
      <w:r w:rsidRPr="00603F57">
        <w:rPr>
          <w:rFonts w:eastAsia="Times New Roman" w:cs="Arial"/>
          <w:color w:val="000000"/>
          <w:szCs w:val="20"/>
        </w:rPr>
        <w:t xml:space="preserve"> </w:t>
      </w:r>
      <w:r w:rsidRPr="00603F57">
        <w:rPr>
          <w:rFonts w:eastAsia="Times New Roman" w:cs="Arial"/>
          <w:color w:val="000000"/>
          <w:szCs w:val="20"/>
          <w:lang w:val="en-US"/>
        </w:rPr>
        <w:t>Ramipril</w:t>
      </w:r>
      <w:r w:rsidRPr="00603F57">
        <w:rPr>
          <w:rFonts w:eastAsia="Times New Roman" w:cs="Arial"/>
          <w:color w:val="000000"/>
          <w:szCs w:val="20"/>
        </w:rPr>
        <w:t xml:space="preserve"> </w:t>
      </w:r>
      <w:r w:rsidRPr="00603F57">
        <w:rPr>
          <w:rFonts w:eastAsia="Times New Roman" w:cs="Arial"/>
          <w:color w:val="000000"/>
          <w:szCs w:val="20"/>
          <w:lang w:val="en-US"/>
        </w:rPr>
        <w:t>Global</w:t>
      </w:r>
      <w:r w:rsidRPr="00603F57">
        <w:rPr>
          <w:rFonts w:eastAsia="Times New Roman" w:cs="Arial"/>
          <w:color w:val="000000"/>
          <w:szCs w:val="20"/>
        </w:rPr>
        <w:t xml:space="preserve"> </w:t>
      </w:r>
      <w:r w:rsidRPr="00603F57">
        <w:rPr>
          <w:rFonts w:eastAsia="Times New Roman" w:cs="Arial"/>
          <w:color w:val="000000"/>
          <w:szCs w:val="20"/>
          <w:lang w:val="en-US"/>
        </w:rPr>
        <w:t>Endpoint</w:t>
      </w:r>
      <w:r w:rsidRPr="00603F57">
        <w:rPr>
          <w:rFonts w:eastAsia="Times New Roman" w:cs="Arial"/>
          <w:color w:val="000000"/>
          <w:szCs w:val="20"/>
        </w:rPr>
        <w:t xml:space="preserve"> </w:t>
      </w:r>
      <w:r w:rsidRPr="00603F57">
        <w:rPr>
          <w:rFonts w:eastAsia="Times New Roman" w:cs="Arial"/>
          <w:color w:val="000000"/>
          <w:szCs w:val="20"/>
          <w:lang w:val="en-US"/>
        </w:rPr>
        <w:t>Trial</w:t>
      </w:r>
      <w:r w:rsidRPr="00603F57">
        <w:rPr>
          <w:rFonts w:eastAsia="Times New Roman" w:cs="Arial"/>
          <w:color w:val="000000"/>
          <w:szCs w:val="20"/>
        </w:rPr>
        <w:t xml:space="preserve"> - </w:t>
      </w:r>
      <w:r w:rsidRPr="00603F57">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603F57">
        <w:rPr>
          <w:rFonts w:eastAsia="Times New Roman" w:cs="Arial"/>
          <w:color w:val="000000"/>
          <w:szCs w:val="20"/>
          <w:lang w:val="en-US"/>
        </w:rPr>
        <w:t>VA</w:t>
      </w:r>
      <w:r w:rsidRPr="00603F57">
        <w:rPr>
          <w:rFonts w:eastAsia="Times New Roman" w:cs="Arial"/>
          <w:color w:val="000000"/>
          <w:szCs w:val="20"/>
        </w:rPr>
        <w:t xml:space="preserve"> </w:t>
      </w:r>
      <w:r w:rsidRPr="00603F57">
        <w:rPr>
          <w:rFonts w:eastAsia="Times New Roman" w:cs="Arial"/>
          <w:color w:val="000000"/>
          <w:szCs w:val="20"/>
          <w:lang w:val="en-US"/>
        </w:rPr>
        <w:t>NEPHRON</w:t>
      </w:r>
      <w:r w:rsidRPr="00603F57">
        <w:rPr>
          <w:rFonts w:eastAsia="Times New Roman" w:cs="Arial"/>
          <w:color w:val="000000"/>
          <w:szCs w:val="20"/>
        </w:rPr>
        <w:t>-</w:t>
      </w:r>
      <w:r w:rsidRPr="00603F57">
        <w:rPr>
          <w:rFonts w:eastAsia="Times New Roman" w:cs="Arial"/>
          <w:color w:val="000000"/>
          <w:szCs w:val="20"/>
          <w:lang w:val="en-US"/>
        </w:rPr>
        <w:t>D</w:t>
      </w:r>
      <w:r w:rsidRPr="00603F57">
        <w:rPr>
          <w:rFonts w:eastAsia="Times New Roman" w:cs="Arial"/>
          <w:color w:val="000000"/>
          <w:szCs w:val="20"/>
        </w:rPr>
        <w:t xml:space="preserve"> </w:t>
      </w:r>
      <w:r w:rsidRPr="00603F57">
        <w:rPr>
          <w:rFonts w:eastAsia="Times New Roman" w:cs="Arial"/>
          <w:color w:val="000000"/>
          <w:szCs w:val="2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F1D2127"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val="en-US"/>
        </w:rPr>
        <w:t>ONTARGET</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03F57">
        <w:rPr>
          <w:rFonts w:eastAsia="Times New Roman" w:cs="Arial"/>
          <w:color w:val="000000"/>
          <w:szCs w:val="20"/>
          <w:lang w:val="en-US"/>
        </w:rPr>
        <w:t>VA</w:t>
      </w:r>
      <w:r w:rsidRPr="00603F57">
        <w:rPr>
          <w:rFonts w:eastAsia="Times New Roman" w:cs="Arial"/>
          <w:color w:val="000000"/>
          <w:szCs w:val="20"/>
          <w:lang w:val="ru-RU"/>
        </w:rPr>
        <w:t xml:space="preserve"> </w:t>
      </w:r>
      <w:r w:rsidRPr="00603F57">
        <w:rPr>
          <w:rFonts w:eastAsia="Times New Roman" w:cs="Arial"/>
          <w:color w:val="000000"/>
          <w:szCs w:val="20"/>
          <w:lang w:val="en-US"/>
        </w:rPr>
        <w:t>NEPHRON</w:t>
      </w:r>
      <w:r w:rsidRPr="00603F57">
        <w:rPr>
          <w:rFonts w:eastAsia="Times New Roman" w:cs="Arial"/>
          <w:color w:val="000000"/>
          <w:szCs w:val="20"/>
          <w:lang w:val="ru-RU"/>
        </w:rPr>
        <w:t>-</w:t>
      </w:r>
      <w:r w:rsidRPr="00603F57">
        <w:rPr>
          <w:rFonts w:eastAsia="Times New Roman" w:cs="Arial"/>
          <w:color w:val="000000"/>
          <w:szCs w:val="20"/>
          <w:lang w:val="en-US"/>
        </w:rPr>
        <w:t>D</w:t>
      </w:r>
      <w:r w:rsidRPr="00603F57">
        <w:rPr>
          <w:rFonts w:eastAsia="Times New Roman" w:cs="Arial"/>
          <w:color w:val="000000"/>
          <w:szCs w:val="20"/>
          <w:lang w:val="ru-RU"/>
        </w:rPr>
        <w:t xml:space="preserve"> </w:t>
      </w:r>
      <w:r w:rsidRPr="00603F57">
        <w:rPr>
          <w:rFonts w:eastAsia="Times New Roman" w:cs="Arial"/>
          <w:color w:val="000000"/>
          <w:szCs w:val="20"/>
          <w:lang w:eastAsia="bg-BG"/>
        </w:rPr>
        <w:t>е проучване при пациенти със захарен диабет тип 2 и диабетна нефропатия.</w:t>
      </w:r>
    </w:p>
    <w:p w14:paraId="1B8DC783"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П-рецепторни блокери следователно не трябва да се използват едновременно при пациенти с диабетна нефропатия.</w:t>
      </w:r>
    </w:p>
    <w:p w14:paraId="172A8587" w14:textId="7D5787D2" w:rsidR="00603F57" w:rsidRPr="00603F57" w:rsidRDefault="00603F57" w:rsidP="00603F57">
      <w:pPr>
        <w:rPr>
          <w:rFonts w:eastAsia="Times New Roman" w:cs="Arial"/>
          <w:color w:val="000000"/>
          <w:szCs w:val="20"/>
          <w:lang w:eastAsia="bg-BG"/>
        </w:rPr>
      </w:pPr>
      <w:r w:rsidRPr="00603F57">
        <w:rPr>
          <w:rFonts w:eastAsia="Times New Roman" w:cs="Arial"/>
          <w:color w:val="000000"/>
          <w:szCs w:val="20"/>
          <w:lang w:val="en-US"/>
        </w:rPr>
        <w:t>ALTITUDE</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03F57">
        <w:rPr>
          <w:rFonts w:eastAsia="Times New Roman" w:cs="Arial"/>
          <w:color w:val="000000"/>
          <w:szCs w:val="20"/>
          <w:lang w:val="en-US"/>
        </w:rPr>
        <w:t>II</w:t>
      </w:r>
      <w:r w:rsidRPr="00603F57">
        <w:rPr>
          <w:rFonts w:eastAsia="Times New Roman" w:cs="Arial"/>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w:t>
      </w:r>
      <w:r w:rsidRPr="00603F57">
        <w:rPr>
          <w:rFonts w:eastAsia="Times New Roman" w:cs="Arial"/>
          <w:i/>
          <w:iCs/>
          <w:color w:val="000000"/>
          <w:szCs w:val="20"/>
          <w:lang w:eastAsia="bg-BG"/>
        </w:rPr>
        <w:t xml:space="preserve"> </w:t>
      </w:r>
      <w:r w:rsidRPr="00603F57">
        <w:rPr>
          <w:rFonts w:eastAsia="Times New Roman" w:cs="Arial"/>
          <w:color w:val="000000"/>
          <w:szCs w:val="20"/>
          <w:lang w:eastAsia="bg-BG"/>
        </w:rPr>
        <w:t>групата на плацебо.</w:t>
      </w:r>
    </w:p>
    <w:p w14:paraId="22028A2A" w14:textId="567B1EEF" w:rsidR="00603F57" w:rsidRPr="00603F57" w:rsidRDefault="00603F57" w:rsidP="00603F57">
      <w:pPr>
        <w:rPr>
          <w:rFonts w:eastAsia="Times New Roman" w:cs="Arial"/>
          <w:color w:val="000000"/>
          <w:szCs w:val="20"/>
          <w:lang w:eastAsia="bg-BG"/>
        </w:rPr>
      </w:pPr>
    </w:p>
    <w:p w14:paraId="18C34E96" w14:textId="77777777" w:rsidR="00603F57" w:rsidRPr="00603F57" w:rsidRDefault="00603F57" w:rsidP="00603F57">
      <w:pPr>
        <w:spacing w:line="240" w:lineRule="auto"/>
        <w:rPr>
          <w:rFonts w:eastAsia="Times New Roman" w:cs="Arial"/>
          <w:sz w:val="28"/>
          <w:szCs w:val="24"/>
        </w:rPr>
      </w:pPr>
      <w:r w:rsidRPr="00603F57">
        <w:rPr>
          <w:rFonts w:eastAsia="Times New Roman" w:cs="Arial"/>
          <w:b/>
          <w:bCs/>
          <w:color w:val="000000"/>
          <w:szCs w:val="20"/>
          <w:lang w:eastAsia="bg-BG"/>
        </w:rPr>
        <w:t>Хидрохлоротиазид</w:t>
      </w:r>
    </w:p>
    <w:p w14:paraId="17AA938E"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u w:val="single"/>
          <w:lang w:eastAsia="bg-BG"/>
        </w:rPr>
        <w:t>Механизъм на дейстивие</w:t>
      </w:r>
    </w:p>
    <w:p w14:paraId="05EB77DF"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lastRenderedPageBreak/>
        <w:t>Хидрохлоротиазид е диуретик и антихипертензивно средство. Влияе на дисталния ренален тубуларен механизъм на електролитна реабсорбция и увеличава екскретирането на натрий и хлориди в приблизително равни количества. Натриурезата може да е съпроводена от загуба на калий и бикарбонат. Механизмът на антихипертензивния ефект на тиазидите не е известен.</w:t>
      </w:r>
    </w:p>
    <w:p w14:paraId="6940918B" w14:textId="77777777" w:rsidR="00603F57" w:rsidRPr="00603F57" w:rsidRDefault="00603F57" w:rsidP="00603F57">
      <w:pPr>
        <w:spacing w:line="240" w:lineRule="auto"/>
        <w:rPr>
          <w:rFonts w:eastAsia="Times New Roman" w:cs="Arial"/>
          <w:color w:val="000000"/>
          <w:szCs w:val="20"/>
          <w:u w:val="single"/>
          <w:lang w:eastAsia="bg-BG"/>
        </w:rPr>
      </w:pPr>
    </w:p>
    <w:p w14:paraId="35624BDA" w14:textId="64569936"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u w:val="single"/>
          <w:lang w:eastAsia="bg-BG"/>
        </w:rPr>
        <w:t>Фармакодинамични ефекти</w:t>
      </w:r>
    </w:p>
    <w:p w14:paraId="1704B99F"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Тиазидите обикновено не влияят на нормалното кръвно налягане,</w:t>
      </w:r>
    </w:p>
    <w:p w14:paraId="1A6308D5" w14:textId="77777777" w:rsidR="00603F57" w:rsidRPr="00603F57" w:rsidRDefault="00603F57" w:rsidP="00603F57">
      <w:pPr>
        <w:spacing w:line="240" w:lineRule="auto"/>
        <w:rPr>
          <w:rFonts w:eastAsia="Times New Roman" w:cs="Arial"/>
          <w:color w:val="000000"/>
          <w:szCs w:val="20"/>
          <w:u w:val="single"/>
          <w:lang w:eastAsia="bg-BG"/>
        </w:rPr>
      </w:pPr>
    </w:p>
    <w:p w14:paraId="2B51D0EB" w14:textId="37678B98"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u w:val="single"/>
          <w:lang w:eastAsia="bg-BG"/>
        </w:rPr>
        <w:t>Немеланомен рак на кожата</w:t>
      </w:r>
    </w:p>
    <w:p w14:paraId="4C5EA112" w14:textId="6D1C7508" w:rsidR="00603F57" w:rsidRPr="00603F57" w:rsidRDefault="00603F57" w:rsidP="00603F57">
      <w:pPr>
        <w:rPr>
          <w:rFonts w:eastAsia="Times New Roman" w:cs="Arial"/>
          <w:color w:val="000000"/>
          <w:szCs w:val="20"/>
          <w:lang w:eastAsia="bg-BG"/>
        </w:rPr>
      </w:pPr>
      <w:r w:rsidRPr="00603F57">
        <w:rPr>
          <w:rFonts w:eastAsia="Times New Roman" w:cs="Arial"/>
          <w:color w:val="000000"/>
          <w:szCs w:val="2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603F57">
        <w:rPr>
          <w:rFonts w:eastAsia="Times New Roman" w:cs="Arial"/>
          <w:color w:val="000000"/>
          <w:szCs w:val="20"/>
          <w:lang w:val="en-US"/>
        </w:rPr>
        <w:t>mg</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е свързана с коригиран </w:t>
      </w:r>
      <w:r w:rsidRPr="00603F57">
        <w:rPr>
          <w:rFonts w:eastAsia="Times New Roman" w:cs="Arial"/>
          <w:color w:val="000000"/>
          <w:szCs w:val="20"/>
          <w:lang w:val="en-US"/>
        </w:rPr>
        <w:t>OR</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603F57">
        <w:rPr>
          <w:rFonts w:eastAsia="Times New Roman" w:cs="Arial"/>
          <w:color w:val="000000"/>
          <w:szCs w:val="20"/>
          <w:lang w:val="en-US"/>
        </w:rPr>
        <w:t>OR</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2,1 (95% ДИ: 1,7-2,6), нарастващ до </w:t>
      </w:r>
      <w:r w:rsidRPr="00603F57">
        <w:rPr>
          <w:rFonts w:eastAsia="Times New Roman" w:cs="Arial"/>
          <w:color w:val="000000"/>
          <w:szCs w:val="20"/>
          <w:lang w:val="en-US"/>
        </w:rPr>
        <w:t>OR</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3,9 (3,0-4,9) за висока употреба (~25 000 </w:t>
      </w:r>
      <w:r w:rsidRPr="00603F57">
        <w:rPr>
          <w:rFonts w:eastAsia="Times New Roman" w:cs="Arial"/>
          <w:color w:val="000000"/>
          <w:szCs w:val="20"/>
          <w:lang w:val="en-US"/>
        </w:rPr>
        <w:t>mg</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и </w:t>
      </w:r>
      <w:r w:rsidRPr="00603F57">
        <w:rPr>
          <w:rFonts w:eastAsia="Times New Roman" w:cs="Arial"/>
          <w:color w:val="000000"/>
          <w:szCs w:val="20"/>
          <w:lang w:val="en-US"/>
        </w:rPr>
        <w:t>OR</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7,7 (5,7-10,5) за най- високата кумулативна доза 100 000 </w:t>
      </w:r>
      <w:r w:rsidRPr="00603F57">
        <w:rPr>
          <w:rFonts w:eastAsia="Times New Roman" w:cs="Arial"/>
          <w:color w:val="000000"/>
          <w:szCs w:val="20"/>
          <w:lang w:val="en-US"/>
        </w:rPr>
        <w:t>mg</w:t>
      </w:r>
      <w:r w:rsidRPr="00603F57">
        <w:rPr>
          <w:rFonts w:eastAsia="Times New Roman" w:cs="Arial"/>
          <w:color w:val="000000"/>
          <w:szCs w:val="20"/>
          <w:lang w:val="ru-RU"/>
        </w:rPr>
        <w:t xml:space="preserve">) </w:t>
      </w:r>
      <w:r w:rsidRPr="00603F57">
        <w:rPr>
          <w:rFonts w:eastAsia="Times New Roman" w:cs="Arial"/>
          <w:color w:val="000000"/>
          <w:szCs w:val="20"/>
          <w:lang w:eastAsia="bg-BG"/>
        </w:rPr>
        <w:t>(вж. също точка 4.4).</w:t>
      </w:r>
    </w:p>
    <w:p w14:paraId="77C2B78D" w14:textId="77777777" w:rsidR="00603F57" w:rsidRPr="00603F57" w:rsidRDefault="00603F57" w:rsidP="00603F57"/>
    <w:p w14:paraId="26535098" w14:textId="4C367032" w:rsidR="00395555" w:rsidRDefault="002C50EE" w:rsidP="008A6AF2">
      <w:pPr>
        <w:pStyle w:val="Heading2"/>
      </w:pPr>
      <w:r>
        <w:t>5.2. Фармакокинетични свойства</w:t>
      </w:r>
    </w:p>
    <w:p w14:paraId="5F7B005C" w14:textId="0CC9AD3B" w:rsidR="00603F57" w:rsidRDefault="00603F57" w:rsidP="00603F57"/>
    <w:p w14:paraId="53D0E467"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Едновременното приложение на лизиноприл и хидрохлоротиазид влияе слабо или не влияе върху бионаличностга на всяко от двете лекарства. Установена е биоеквивалентност след приложение на комбинираната таблетна форма и на съответните количества от двете съставки, приложени по отделно.</w:t>
      </w:r>
    </w:p>
    <w:p w14:paraId="590BB819" w14:textId="77777777" w:rsidR="00603F57" w:rsidRPr="00603F57" w:rsidRDefault="00603F57" w:rsidP="00603F57">
      <w:pPr>
        <w:spacing w:line="240" w:lineRule="auto"/>
        <w:rPr>
          <w:rFonts w:eastAsia="Times New Roman" w:cs="Arial"/>
          <w:b/>
          <w:bCs/>
          <w:color w:val="000000"/>
          <w:szCs w:val="20"/>
          <w:lang w:eastAsia="bg-BG"/>
        </w:rPr>
      </w:pPr>
    </w:p>
    <w:p w14:paraId="0FD71F95" w14:textId="607A90A3" w:rsidR="00603F57" w:rsidRPr="00603F57" w:rsidRDefault="00603F57" w:rsidP="00603F57">
      <w:pPr>
        <w:spacing w:line="240" w:lineRule="auto"/>
        <w:rPr>
          <w:rFonts w:eastAsia="Times New Roman" w:cs="Arial"/>
          <w:sz w:val="28"/>
          <w:szCs w:val="24"/>
        </w:rPr>
      </w:pPr>
      <w:r w:rsidRPr="00603F57">
        <w:rPr>
          <w:rFonts w:eastAsia="Times New Roman" w:cs="Arial"/>
          <w:b/>
          <w:bCs/>
          <w:color w:val="000000"/>
          <w:szCs w:val="20"/>
          <w:lang w:eastAsia="bg-BG"/>
        </w:rPr>
        <w:t>Лизиноприл</w:t>
      </w:r>
    </w:p>
    <w:p w14:paraId="4AE35AA4" w14:textId="77777777" w:rsidR="00603F57" w:rsidRPr="00603F57" w:rsidRDefault="00603F57" w:rsidP="00603F57">
      <w:pPr>
        <w:pStyle w:val="Heading3"/>
        <w:rPr>
          <w:rFonts w:eastAsia="Times New Roman"/>
          <w:sz w:val="28"/>
          <w:u w:val="single"/>
        </w:rPr>
      </w:pPr>
      <w:r w:rsidRPr="00603F57">
        <w:rPr>
          <w:rFonts w:eastAsia="Times New Roman"/>
          <w:u w:val="single"/>
          <w:lang w:eastAsia="bg-BG"/>
        </w:rPr>
        <w:t>Абсорбция</w:t>
      </w:r>
    </w:p>
    <w:p w14:paraId="0F19124F"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След перорално приложение пиковите плазмени концентрации се достигат след приблизително 7 часа, въпреки че при пациенти с остър инфаркт на миокарда се наблюдава забавяне във времето за достигане на максимални плазмени концентрации. Въз основа на възстановяването в урината, средното абсорбирано количество на лизиноприл е приблизително 25% с разлики между отделните индивиди 6-60% при всички изпитвани дозировки (5-80 </w:t>
      </w:r>
      <w:r w:rsidRPr="00603F57">
        <w:rPr>
          <w:rFonts w:eastAsia="Times New Roman" w:cs="Arial"/>
          <w:color w:val="000000"/>
          <w:szCs w:val="20"/>
          <w:lang w:val="en-US"/>
        </w:rPr>
        <w:t>mg</w:t>
      </w:r>
      <w:r w:rsidRPr="00603F57">
        <w:rPr>
          <w:rFonts w:eastAsia="Times New Roman" w:cs="Arial"/>
          <w:color w:val="000000"/>
          <w:szCs w:val="20"/>
          <w:lang w:val="ru-RU"/>
        </w:rPr>
        <w:t xml:space="preserve">). </w:t>
      </w:r>
      <w:r w:rsidRPr="00603F57">
        <w:rPr>
          <w:rFonts w:eastAsia="Times New Roman" w:cs="Arial"/>
          <w:color w:val="000000"/>
          <w:szCs w:val="20"/>
          <w:lang w:eastAsia="bg-BG"/>
        </w:rPr>
        <w:t>Абсолютната бионаличност намалява приблизително с 16% при пациенти със сърдечна недостатъчност.</w:t>
      </w:r>
    </w:p>
    <w:p w14:paraId="6864360F" w14:textId="77777777" w:rsidR="00603F57" w:rsidRPr="00603F57" w:rsidRDefault="00603F57" w:rsidP="00603F57">
      <w:pPr>
        <w:spacing w:line="240" w:lineRule="auto"/>
        <w:rPr>
          <w:rFonts w:eastAsia="Times New Roman" w:cs="Arial"/>
          <w:color w:val="000000"/>
          <w:szCs w:val="20"/>
          <w:lang w:eastAsia="bg-BG"/>
        </w:rPr>
      </w:pPr>
    </w:p>
    <w:p w14:paraId="4FE0142D" w14:textId="44576901"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Абсорбцията на лизиноприл не се влияе от едновременното приемане на храна.</w:t>
      </w:r>
    </w:p>
    <w:p w14:paraId="42A45EF2" w14:textId="77777777" w:rsidR="00603F57" w:rsidRPr="00603F57" w:rsidRDefault="00603F57" w:rsidP="00603F57">
      <w:pPr>
        <w:spacing w:line="240" w:lineRule="auto"/>
        <w:rPr>
          <w:rFonts w:eastAsia="Times New Roman" w:cs="Arial"/>
          <w:color w:val="000000"/>
          <w:szCs w:val="20"/>
          <w:u w:val="single"/>
          <w:lang w:eastAsia="bg-BG"/>
        </w:rPr>
      </w:pPr>
    </w:p>
    <w:p w14:paraId="6272D405" w14:textId="34949CFD" w:rsidR="00603F57" w:rsidRPr="00603F57" w:rsidRDefault="00603F57" w:rsidP="00603F57">
      <w:pPr>
        <w:pStyle w:val="Heading3"/>
        <w:rPr>
          <w:rFonts w:eastAsia="Times New Roman"/>
          <w:sz w:val="28"/>
          <w:u w:val="single"/>
        </w:rPr>
      </w:pPr>
      <w:r w:rsidRPr="00603F57">
        <w:rPr>
          <w:rFonts w:eastAsia="Times New Roman"/>
          <w:u w:val="single"/>
          <w:lang w:eastAsia="bg-BG"/>
        </w:rPr>
        <w:t>Разпределение</w:t>
      </w:r>
    </w:p>
    <w:p w14:paraId="6A3C9D34"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Лизиноприл изглежда не се свързва с други плазмените протеини, различни от циркулиращия ангиотензин-конвертиращ ензим (АСЕ).</w:t>
      </w:r>
    </w:p>
    <w:p w14:paraId="18EBE441" w14:textId="77777777" w:rsidR="00603F57" w:rsidRPr="00603F57" w:rsidRDefault="00603F57" w:rsidP="00603F57">
      <w:pPr>
        <w:spacing w:line="240" w:lineRule="auto"/>
        <w:rPr>
          <w:rFonts w:eastAsia="Times New Roman" w:cs="Arial"/>
          <w:color w:val="000000"/>
          <w:szCs w:val="20"/>
          <w:lang w:eastAsia="bg-BG"/>
        </w:rPr>
      </w:pPr>
    </w:p>
    <w:p w14:paraId="3267C87B" w14:textId="1D21133E"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Изпитванията върху плъхове са показали, че лизиноприл преминава кръвно-мозъчната бариера в малка степен.</w:t>
      </w:r>
    </w:p>
    <w:p w14:paraId="6D9C3819" w14:textId="77777777" w:rsidR="00603F57" w:rsidRPr="00603F57" w:rsidRDefault="00603F57" w:rsidP="00603F57">
      <w:pPr>
        <w:spacing w:line="240" w:lineRule="auto"/>
        <w:rPr>
          <w:rFonts w:eastAsia="Times New Roman" w:cs="Arial"/>
          <w:color w:val="000000"/>
          <w:szCs w:val="20"/>
          <w:u w:val="single"/>
          <w:lang w:eastAsia="bg-BG"/>
        </w:rPr>
      </w:pPr>
    </w:p>
    <w:p w14:paraId="5282E26F" w14:textId="677AD076" w:rsidR="00603F57" w:rsidRPr="00603F57" w:rsidRDefault="00603F57" w:rsidP="00603F57">
      <w:pPr>
        <w:pStyle w:val="Heading3"/>
        <w:rPr>
          <w:rFonts w:eastAsia="Times New Roman"/>
          <w:sz w:val="28"/>
          <w:u w:val="single"/>
        </w:rPr>
      </w:pPr>
      <w:r w:rsidRPr="00603F57">
        <w:rPr>
          <w:rFonts w:eastAsia="Times New Roman"/>
          <w:u w:val="single"/>
          <w:lang w:eastAsia="bg-BG"/>
        </w:rPr>
        <w:t>Елиминиране</w:t>
      </w:r>
    </w:p>
    <w:p w14:paraId="300761D0" w14:textId="2CA043F7" w:rsidR="00603F57" w:rsidRPr="00603F57" w:rsidRDefault="00603F57" w:rsidP="00603F57">
      <w:pPr>
        <w:rPr>
          <w:rFonts w:eastAsia="Times New Roman" w:cs="Arial"/>
          <w:color w:val="000000"/>
          <w:szCs w:val="20"/>
          <w:lang w:eastAsia="bg-BG"/>
        </w:rPr>
      </w:pPr>
      <w:r w:rsidRPr="00603F57">
        <w:rPr>
          <w:rFonts w:eastAsia="Times New Roman" w:cs="Arial"/>
          <w:color w:val="000000"/>
          <w:szCs w:val="20"/>
          <w:lang w:eastAsia="bg-BG"/>
        </w:rPr>
        <w:t>Лизиноприл не се метаболизира в организма и абсорбираното лекарство се екскретира непроменено напълно в урината.</w:t>
      </w:r>
    </w:p>
    <w:p w14:paraId="1B5C36F8" w14:textId="3BB59293" w:rsidR="00603F57" w:rsidRPr="00603F57" w:rsidRDefault="00603F57" w:rsidP="00603F57">
      <w:pPr>
        <w:rPr>
          <w:rFonts w:eastAsia="Times New Roman" w:cs="Arial"/>
          <w:color w:val="000000"/>
          <w:szCs w:val="20"/>
          <w:lang w:eastAsia="bg-BG"/>
        </w:rPr>
      </w:pPr>
    </w:p>
    <w:p w14:paraId="24633E9E"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При многократно дозиране лизиноприл има ефективен плазмен полуживот на кумулация 12,6 часа. Клирънсът на лизиноприл при здрави индивиди е приблизително 50 </w:t>
      </w:r>
      <w:r w:rsidRPr="00603F57">
        <w:rPr>
          <w:rFonts w:eastAsia="Times New Roman" w:cs="Arial"/>
          <w:color w:val="000000"/>
          <w:szCs w:val="20"/>
          <w:lang w:val="en-US"/>
        </w:rPr>
        <w:t>mL</w:t>
      </w:r>
      <w:r w:rsidRPr="00603F57">
        <w:rPr>
          <w:rFonts w:eastAsia="Times New Roman" w:cs="Arial"/>
          <w:color w:val="000000"/>
          <w:szCs w:val="20"/>
          <w:lang w:val="ru-RU"/>
        </w:rPr>
        <w:t>/</w:t>
      </w:r>
      <w:r w:rsidRPr="00603F57">
        <w:rPr>
          <w:rFonts w:eastAsia="Times New Roman" w:cs="Arial"/>
          <w:color w:val="000000"/>
          <w:szCs w:val="20"/>
          <w:lang w:val="en-US"/>
        </w:rPr>
        <w:t>min</w:t>
      </w:r>
      <w:r w:rsidRPr="00603F57">
        <w:rPr>
          <w:rFonts w:eastAsia="Times New Roman" w:cs="Arial"/>
          <w:color w:val="000000"/>
          <w:szCs w:val="20"/>
          <w:lang w:val="ru-RU"/>
        </w:rPr>
        <w:t xml:space="preserve">. </w:t>
      </w:r>
      <w:r w:rsidRPr="00603F57">
        <w:rPr>
          <w:rFonts w:eastAsia="Times New Roman" w:cs="Arial"/>
          <w:color w:val="000000"/>
          <w:szCs w:val="20"/>
          <w:lang w:eastAsia="bg-BG"/>
        </w:rPr>
        <w:t>Намаляването на серумните концентрации показва удължена терминалана фаза, не води до кумулация на лекарството. Тази терминална фаза вероятно представя насищаемо свързване към АСЕ и не е пропорционална на дозата.</w:t>
      </w:r>
    </w:p>
    <w:p w14:paraId="65022369" w14:textId="77777777" w:rsidR="00603F57" w:rsidRPr="00603F57" w:rsidRDefault="00603F57" w:rsidP="00603F57">
      <w:pPr>
        <w:spacing w:line="240" w:lineRule="auto"/>
        <w:rPr>
          <w:rFonts w:eastAsia="Times New Roman" w:cs="Arial"/>
          <w:i/>
          <w:iCs/>
          <w:color w:val="000000"/>
          <w:szCs w:val="20"/>
          <w:lang w:eastAsia="bg-BG"/>
        </w:rPr>
      </w:pPr>
    </w:p>
    <w:p w14:paraId="0E65ED06" w14:textId="0D17CC37" w:rsidR="00603F57" w:rsidRPr="00603F57" w:rsidRDefault="00603F57" w:rsidP="00603F57">
      <w:pPr>
        <w:spacing w:line="240" w:lineRule="auto"/>
        <w:rPr>
          <w:rFonts w:eastAsia="Times New Roman" w:cs="Arial"/>
          <w:sz w:val="28"/>
          <w:szCs w:val="24"/>
        </w:rPr>
      </w:pPr>
      <w:r w:rsidRPr="00603F57">
        <w:rPr>
          <w:rFonts w:eastAsia="Times New Roman" w:cs="Arial"/>
          <w:i/>
          <w:iCs/>
          <w:color w:val="000000"/>
          <w:szCs w:val="20"/>
          <w:lang w:eastAsia="bg-BG"/>
        </w:rPr>
        <w:t>Чернодробно увреждане</w:t>
      </w:r>
    </w:p>
    <w:p w14:paraId="7742A670" w14:textId="22114F31"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Нарушената чернодробна функция при пациенти с цироза води до намаляване на абсорбцията на лизиноприл (около 30%, установено при изследване на урината) и до увеличение на експозицията (приблизително 50%) в сравнение със здрави индивиди, поради намаления клирънс.</w:t>
      </w:r>
    </w:p>
    <w:p w14:paraId="41AE70FD" w14:textId="77777777" w:rsidR="00603F57" w:rsidRPr="00603F57" w:rsidRDefault="00603F57" w:rsidP="00603F57">
      <w:pPr>
        <w:spacing w:line="240" w:lineRule="auto"/>
        <w:rPr>
          <w:rFonts w:eastAsia="Times New Roman" w:cs="Arial"/>
          <w:i/>
          <w:iCs/>
          <w:color w:val="000000"/>
          <w:szCs w:val="20"/>
          <w:lang w:eastAsia="bg-BG"/>
        </w:rPr>
      </w:pPr>
    </w:p>
    <w:p w14:paraId="52F81DC8" w14:textId="72870A98" w:rsidR="00603F57" w:rsidRPr="00603F57" w:rsidRDefault="00603F57" w:rsidP="00603F57">
      <w:pPr>
        <w:spacing w:line="240" w:lineRule="auto"/>
        <w:rPr>
          <w:rFonts w:eastAsia="Times New Roman" w:cs="Arial"/>
          <w:sz w:val="28"/>
          <w:szCs w:val="24"/>
        </w:rPr>
      </w:pPr>
      <w:r w:rsidRPr="00603F57">
        <w:rPr>
          <w:rFonts w:eastAsia="Times New Roman" w:cs="Arial"/>
          <w:i/>
          <w:iCs/>
          <w:color w:val="000000"/>
          <w:szCs w:val="20"/>
          <w:lang w:eastAsia="bg-BG"/>
        </w:rPr>
        <w:t>Бъбречно увреждане</w:t>
      </w:r>
    </w:p>
    <w:p w14:paraId="139B6EAE"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Нарушената бъбречна функция намалява елиминирането на лизиноприл, който се отделя през бъбреците, но това намаление става клинично значимо само когато скоростта на гломерулна филтрация е под 30 </w:t>
      </w:r>
      <w:r w:rsidRPr="00603F57">
        <w:rPr>
          <w:rFonts w:eastAsia="Times New Roman" w:cs="Arial"/>
          <w:color w:val="000000"/>
          <w:szCs w:val="20"/>
          <w:lang w:val="en-US"/>
        </w:rPr>
        <w:t>mL</w:t>
      </w:r>
      <w:r w:rsidRPr="00603F57">
        <w:rPr>
          <w:rFonts w:eastAsia="Times New Roman" w:cs="Arial"/>
          <w:color w:val="000000"/>
          <w:szCs w:val="20"/>
          <w:lang w:val="ru-RU"/>
        </w:rPr>
        <w:t>/</w:t>
      </w:r>
      <w:r w:rsidRPr="00603F57">
        <w:rPr>
          <w:rFonts w:eastAsia="Times New Roman" w:cs="Arial"/>
          <w:color w:val="000000"/>
          <w:szCs w:val="20"/>
          <w:lang w:val="en-US"/>
        </w:rPr>
        <w:t>min</w:t>
      </w:r>
      <w:r w:rsidRPr="00603F57">
        <w:rPr>
          <w:rFonts w:eastAsia="Times New Roman" w:cs="Arial"/>
          <w:color w:val="000000"/>
          <w:szCs w:val="20"/>
          <w:lang w:val="ru-RU"/>
        </w:rPr>
        <w:t>.</w:t>
      </w:r>
    </w:p>
    <w:p w14:paraId="3242B0B4" w14:textId="77777777" w:rsidR="00603F57" w:rsidRPr="00603F57" w:rsidRDefault="00603F57" w:rsidP="00603F57">
      <w:pPr>
        <w:spacing w:line="240" w:lineRule="auto"/>
        <w:rPr>
          <w:rFonts w:eastAsia="Times New Roman" w:cs="Arial"/>
          <w:b/>
          <w:bCs/>
          <w:color w:val="000000"/>
          <w:szCs w:val="20"/>
          <w:lang w:eastAsia="bg-BG"/>
        </w:rPr>
      </w:pPr>
    </w:p>
    <w:p w14:paraId="4CF1C7B3" w14:textId="25B34D7A" w:rsidR="00603F57" w:rsidRDefault="00603F57" w:rsidP="00603F57">
      <w:pPr>
        <w:spacing w:line="240" w:lineRule="auto"/>
        <w:rPr>
          <w:rFonts w:eastAsia="Times New Roman" w:cs="Arial"/>
          <w:b/>
          <w:bCs/>
          <w:color w:val="000000"/>
          <w:szCs w:val="20"/>
          <w:lang w:val="en-US"/>
        </w:rPr>
      </w:pPr>
      <w:r w:rsidRPr="00603F57">
        <w:rPr>
          <w:rFonts w:eastAsia="Times New Roman" w:cs="Arial"/>
          <w:b/>
          <w:bCs/>
          <w:color w:val="000000"/>
          <w:szCs w:val="20"/>
          <w:lang w:eastAsia="bg-BG"/>
        </w:rPr>
        <w:t xml:space="preserve">Таблица 1. Фармакокинетични параметри на лизиноприл на различни групи пациенти е бъбречни нарушения след многократно прилагане на доза от 5 </w:t>
      </w:r>
      <w:r w:rsidRPr="00603F57">
        <w:rPr>
          <w:rFonts w:eastAsia="Times New Roman" w:cs="Arial"/>
          <w:b/>
          <w:bCs/>
          <w:color w:val="000000"/>
          <w:szCs w:val="20"/>
          <w:lang w:val="en-US"/>
        </w:rPr>
        <w:t>mg</w:t>
      </w:r>
    </w:p>
    <w:tbl>
      <w:tblPr>
        <w:tblStyle w:val="TableGrid"/>
        <w:tblW w:w="0" w:type="auto"/>
        <w:tblLook w:val="04A0" w:firstRow="1" w:lastRow="0" w:firstColumn="1" w:lastColumn="0" w:noHBand="0" w:noVBand="1"/>
      </w:tblPr>
      <w:tblGrid>
        <w:gridCol w:w="1619"/>
        <w:gridCol w:w="1518"/>
        <w:gridCol w:w="1556"/>
        <w:gridCol w:w="1536"/>
        <w:gridCol w:w="1568"/>
        <w:gridCol w:w="1553"/>
      </w:tblGrid>
      <w:tr w:rsidR="00603F57" w14:paraId="28CCC011" w14:textId="77777777" w:rsidTr="00603F57">
        <w:tc>
          <w:tcPr>
            <w:tcW w:w="1596" w:type="dxa"/>
          </w:tcPr>
          <w:p w14:paraId="61CF8FF8" w14:textId="61077CAB" w:rsidR="00603F57" w:rsidRPr="00603F57" w:rsidRDefault="00603F57" w:rsidP="00603F57">
            <w:pPr>
              <w:spacing w:line="240" w:lineRule="auto"/>
              <w:rPr>
                <w:rFonts w:ascii="Times New Roman" w:eastAsia="Times New Roman" w:hAnsi="Times New Roman" w:cs="Times New Roman"/>
                <w:szCs w:val="24"/>
              </w:rPr>
            </w:pPr>
            <w:r w:rsidRPr="00603F57">
              <w:rPr>
                <w:b/>
                <w:bCs/>
                <w:szCs w:val="20"/>
              </w:rPr>
              <w:t>Бъбречна функция измерена чрез креатининов клирънс</w:t>
            </w:r>
          </w:p>
        </w:tc>
        <w:tc>
          <w:tcPr>
            <w:tcW w:w="1596" w:type="dxa"/>
          </w:tcPr>
          <w:p w14:paraId="72D2FDD3" w14:textId="77469218" w:rsidR="00603F57" w:rsidRPr="00603F57" w:rsidRDefault="00603F57" w:rsidP="00603F57">
            <w:pPr>
              <w:spacing w:line="240" w:lineRule="auto"/>
              <w:rPr>
                <w:rFonts w:ascii="Times New Roman" w:eastAsia="Times New Roman" w:hAnsi="Times New Roman" w:cs="Times New Roman"/>
                <w:szCs w:val="24"/>
              </w:rPr>
            </w:pPr>
            <w:r w:rsidRPr="00603F57">
              <w:rPr>
                <w:b/>
                <w:bCs/>
                <w:szCs w:val="20"/>
                <w:lang w:val="en-US"/>
              </w:rPr>
              <w:t>n</w:t>
            </w:r>
          </w:p>
        </w:tc>
        <w:tc>
          <w:tcPr>
            <w:tcW w:w="1596" w:type="dxa"/>
          </w:tcPr>
          <w:p w14:paraId="695FAB16" w14:textId="77777777" w:rsidR="00603F57" w:rsidRPr="00603F57" w:rsidRDefault="00603F57" w:rsidP="00603F57">
            <w:proofErr w:type="spellStart"/>
            <w:r w:rsidRPr="00603F57">
              <w:rPr>
                <w:b/>
                <w:bCs/>
                <w:szCs w:val="20"/>
                <w:lang w:val="en-US"/>
              </w:rPr>
              <w:t>C</w:t>
            </w:r>
            <w:r w:rsidRPr="00603F57">
              <w:rPr>
                <w:b/>
                <w:bCs/>
                <w:szCs w:val="20"/>
                <w:vertAlign w:val="subscript"/>
                <w:lang w:val="en-US"/>
              </w:rPr>
              <w:t>max</w:t>
            </w:r>
            <w:proofErr w:type="spellEnd"/>
          </w:p>
          <w:p w14:paraId="2360749A" w14:textId="16335B50" w:rsidR="00603F57" w:rsidRPr="00603F57" w:rsidRDefault="00603F57" w:rsidP="00603F57">
            <w:pPr>
              <w:spacing w:line="240" w:lineRule="auto"/>
              <w:rPr>
                <w:rFonts w:ascii="Times New Roman" w:eastAsia="Times New Roman" w:hAnsi="Times New Roman" w:cs="Times New Roman"/>
                <w:szCs w:val="24"/>
              </w:rPr>
            </w:pPr>
            <w:r w:rsidRPr="00603F57">
              <w:rPr>
                <w:b/>
                <w:bCs/>
                <w:szCs w:val="20"/>
                <w:lang w:val="en-US"/>
              </w:rPr>
              <w:t>(ng/ml)</w:t>
            </w:r>
          </w:p>
        </w:tc>
        <w:tc>
          <w:tcPr>
            <w:tcW w:w="1596" w:type="dxa"/>
          </w:tcPr>
          <w:p w14:paraId="4665EF9E" w14:textId="4B42CA41" w:rsidR="00603F57" w:rsidRPr="00603F57" w:rsidRDefault="00603F57" w:rsidP="00603F57">
            <w:pPr>
              <w:spacing w:line="240" w:lineRule="auto"/>
              <w:rPr>
                <w:rFonts w:ascii="Times New Roman" w:eastAsia="Times New Roman" w:hAnsi="Times New Roman" w:cs="Times New Roman"/>
                <w:szCs w:val="24"/>
              </w:rPr>
            </w:pPr>
            <w:r w:rsidRPr="00603F57">
              <w:rPr>
                <w:b/>
                <w:bCs/>
                <w:szCs w:val="20"/>
              </w:rPr>
              <w:t>Т</w:t>
            </w:r>
            <w:r w:rsidRPr="00603F57">
              <w:rPr>
                <w:b/>
                <w:bCs/>
                <w:szCs w:val="20"/>
                <w:vertAlign w:val="subscript"/>
                <w:lang w:val="en-US"/>
              </w:rPr>
              <w:t>max</w:t>
            </w:r>
            <w:r w:rsidRPr="00603F57">
              <w:rPr>
                <w:b/>
                <w:bCs/>
                <w:szCs w:val="20"/>
              </w:rPr>
              <w:t xml:space="preserve"> (ч)</w:t>
            </w:r>
          </w:p>
        </w:tc>
        <w:tc>
          <w:tcPr>
            <w:tcW w:w="1596" w:type="dxa"/>
          </w:tcPr>
          <w:p w14:paraId="4FA658AA" w14:textId="5C55F04F" w:rsidR="00603F57" w:rsidRPr="00603F57" w:rsidRDefault="00603F57" w:rsidP="00603F57">
            <w:pPr>
              <w:spacing w:line="240" w:lineRule="auto"/>
              <w:rPr>
                <w:rFonts w:ascii="Times New Roman" w:eastAsia="Times New Roman" w:hAnsi="Times New Roman" w:cs="Times New Roman"/>
                <w:szCs w:val="24"/>
              </w:rPr>
            </w:pPr>
            <w:r w:rsidRPr="00603F57">
              <w:rPr>
                <w:b/>
                <w:bCs/>
                <w:szCs w:val="20"/>
                <w:lang w:val="en-US"/>
              </w:rPr>
              <w:t xml:space="preserve">AUC </w:t>
            </w:r>
            <w:r w:rsidRPr="00603F57">
              <w:rPr>
                <w:b/>
                <w:bCs/>
                <w:szCs w:val="20"/>
              </w:rPr>
              <w:t xml:space="preserve">(0-24 ч) </w:t>
            </w:r>
            <w:r w:rsidRPr="00603F57">
              <w:rPr>
                <w:b/>
                <w:bCs/>
                <w:szCs w:val="20"/>
                <w:lang w:val="en-US"/>
              </w:rPr>
              <w:t>(ng</w:t>
            </w:r>
            <w:r w:rsidRPr="00603F57">
              <w:rPr>
                <w:b/>
                <w:bCs/>
                <w:szCs w:val="20"/>
              </w:rPr>
              <w:t>/ч/</w:t>
            </w:r>
            <w:r w:rsidRPr="00603F57">
              <w:rPr>
                <w:b/>
                <w:bCs/>
                <w:szCs w:val="20"/>
                <w:lang w:val="en-US"/>
              </w:rPr>
              <w:t>ml</w:t>
            </w:r>
            <w:r w:rsidRPr="00603F57">
              <w:rPr>
                <w:b/>
                <w:bCs/>
                <w:szCs w:val="20"/>
              </w:rPr>
              <w:t>)</w:t>
            </w:r>
          </w:p>
        </w:tc>
        <w:tc>
          <w:tcPr>
            <w:tcW w:w="1596" w:type="dxa"/>
          </w:tcPr>
          <w:p w14:paraId="67F0F897" w14:textId="77777777" w:rsidR="00603F57" w:rsidRPr="00603F57" w:rsidRDefault="00603F57" w:rsidP="00603F57">
            <w:r w:rsidRPr="00603F57">
              <w:rPr>
                <w:rFonts w:cs="Arial"/>
                <w:szCs w:val="20"/>
                <w:lang w:val="en-US"/>
              </w:rPr>
              <w:t>t</w:t>
            </w:r>
            <w:r w:rsidRPr="00603F57">
              <w:rPr>
                <w:rFonts w:cs="Arial"/>
                <w:szCs w:val="20"/>
                <w:vertAlign w:val="subscript"/>
                <w:lang w:val="en-US"/>
              </w:rPr>
              <w:t>1/2</w:t>
            </w:r>
          </w:p>
          <w:p w14:paraId="3BA44A8C" w14:textId="227D964B" w:rsidR="00603F57" w:rsidRPr="00603F57" w:rsidRDefault="00603F57" w:rsidP="00603F57">
            <w:pPr>
              <w:spacing w:line="240" w:lineRule="auto"/>
              <w:rPr>
                <w:rFonts w:ascii="Times New Roman" w:eastAsia="Times New Roman" w:hAnsi="Times New Roman" w:cs="Times New Roman"/>
                <w:szCs w:val="24"/>
              </w:rPr>
            </w:pPr>
            <w:r w:rsidRPr="00603F57">
              <w:rPr>
                <w:rFonts w:cs="Arial"/>
                <w:szCs w:val="20"/>
              </w:rPr>
              <w:t>(ч)</w:t>
            </w:r>
          </w:p>
        </w:tc>
      </w:tr>
      <w:tr w:rsidR="00603F57" w14:paraId="0A43E205" w14:textId="77777777" w:rsidTr="00603F57">
        <w:tc>
          <w:tcPr>
            <w:tcW w:w="1596" w:type="dxa"/>
          </w:tcPr>
          <w:p w14:paraId="51F11288" w14:textId="46FB8221" w:rsidR="00603F57" w:rsidRPr="00603F57" w:rsidRDefault="00603F57" w:rsidP="00603F57">
            <w:pPr>
              <w:spacing w:line="240" w:lineRule="auto"/>
              <w:rPr>
                <w:rFonts w:ascii="Times New Roman" w:eastAsia="Times New Roman" w:hAnsi="Times New Roman" w:cs="Times New Roman"/>
                <w:szCs w:val="24"/>
              </w:rPr>
            </w:pPr>
            <w:r w:rsidRPr="00603F57">
              <w:rPr>
                <w:szCs w:val="20"/>
              </w:rPr>
              <w:t xml:space="preserve">&gt;80 </w:t>
            </w:r>
            <w:r w:rsidRPr="00603F57">
              <w:rPr>
                <w:szCs w:val="20"/>
                <w:lang w:val="en-US"/>
              </w:rPr>
              <w:t>ml/min</w:t>
            </w:r>
          </w:p>
        </w:tc>
        <w:tc>
          <w:tcPr>
            <w:tcW w:w="1596" w:type="dxa"/>
          </w:tcPr>
          <w:p w14:paraId="2860DAC0" w14:textId="39BBFF62" w:rsidR="00603F57" w:rsidRPr="00603F57" w:rsidRDefault="00603F57" w:rsidP="00603F57">
            <w:pPr>
              <w:spacing w:line="240" w:lineRule="auto"/>
              <w:rPr>
                <w:rFonts w:ascii="Times New Roman" w:eastAsia="Times New Roman" w:hAnsi="Times New Roman" w:cs="Times New Roman"/>
                <w:szCs w:val="24"/>
              </w:rPr>
            </w:pPr>
            <w:r w:rsidRPr="00603F57">
              <w:rPr>
                <w:szCs w:val="20"/>
                <w:lang w:val="en-US"/>
              </w:rPr>
              <w:t>6</w:t>
            </w:r>
          </w:p>
        </w:tc>
        <w:tc>
          <w:tcPr>
            <w:tcW w:w="1596" w:type="dxa"/>
          </w:tcPr>
          <w:p w14:paraId="26B4CE72" w14:textId="7C4132CE" w:rsidR="00603F57" w:rsidRPr="00603F57" w:rsidRDefault="00603F57" w:rsidP="00603F57">
            <w:pPr>
              <w:spacing w:line="240" w:lineRule="auto"/>
              <w:rPr>
                <w:rFonts w:ascii="Times New Roman" w:eastAsia="Times New Roman" w:hAnsi="Times New Roman" w:cs="Times New Roman"/>
                <w:szCs w:val="24"/>
              </w:rPr>
            </w:pPr>
            <w:r w:rsidRPr="00603F57">
              <w:rPr>
                <w:szCs w:val="20"/>
                <w:lang w:val="en-US"/>
              </w:rPr>
              <w:t>40,3</w:t>
            </w:r>
          </w:p>
        </w:tc>
        <w:tc>
          <w:tcPr>
            <w:tcW w:w="1596" w:type="dxa"/>
          </w:tcPr>
          <w:p w14:paraId="0160A4F7" w14:textId="6C4711BA" w:rsidR="00603F57" w:rsidRPr="00603F57" w:rsidRDefault="00603F57" w:rsidP="00603F57">
            <w:pPr>
              <w:spacing w:line="240" w:lineRule="auto"/>
              <w:rPr>
                <w:rFonts w:ascii="Times New Roman" w:eastAsia="Times New Roman" w:hAnsi="Times New Roman" w:cs="Times New Roman"/>
                <w:szCs w:val="24"/>
              </w:rPr>
            </w:pPr>
            <w:r w:rsidRPr="00603F57">
              <w:rPr>
                <w:szCs w:val="20"/>
              </w:rPr>
              <w:t>6</w:t>
            </w:r>
          </w:p>
        </w:tc>
        <w:tc>
          <w:tcPr>
            <w:tcW w:w="1596" w:type="dxa"/>
          </w:tcPr>
          <w:p w14:paraId="73A53806" w14:textId="7D800760" w:rsidR="00603F57" w:rsidRPr="00603F57" w:rsidRDefault="00603F57" w:rsidP="00603F57">
            <w:pPr>
              <w:spacing w:line="240" w:lineRule="auto"/>
              <w:rPr>
                <w:rFonts w:ascii="Times New Roman" w:eastAsia="Times New Roman" w:hAnsi="Times New Roman" w:cs="Times New Roman"/>
                <w:szCs w:val="24"/>
              </w:rPr>
            </w:pPr>
            <w:r w:rsidRPr="00603F57">
              <w:rPr>
                <w:szCs w:val="20"/>
              </w:rPr>
              <w:t>492+/-172</w:t>
            </w:r>
          </w:p>
        </w:tc>
        <w:tc>
          <w:tcPr>
            <w:tcW w:w="1596" w:type="dxa"/>
          </w:tcPr>
          <w:p w14:paraId="24632309" w14:textId="33A7E2FD" w:rsidR="00603F57" w:rsidRPr="00603F57" w:rsidRDefault="00603F57" w:rsidP="00603F57">
            <w:pPr>
              <w:spacing w:line="240" w:lineRule="auto"/>
              <w:rPr>
                <w:rFonts w:ascii="Times New Roman" w:eastAsia="Times New Roman" w:hAnsi="Times New Roman" w:cs="Times New Roman"/>
                <w:szCs w:val="24"/>
              </w:rPr>
            </w:pPr>
            <w:r w:rsidRPr="00603F57">
              <w:rPr>
                <w:szCs w:val="20"/>
              </w:rPr>
              <w:t>6,0+/-1,1</w:t>
            </w:r>
          </w:p>
        </w:tc>
      </w:tr>
      <w:tr w:rsidR="00603F57" w14:paraId="746D5BD7" w14:textId="77777777" w:rsidTr="00603F57">
        <w:tc>
          <w:tcPr>
            <w:tcW w:w="1596" w:type="dxa"/>
          </w:tcPr>
          <w:p w14:paraId="694293CF" w14:textId="4ABBDA27" w:rsidR="00603F57" w:rsidRPr="00603F57" w:rsidRDefault="00603F57" w:rsidP="00603F57">
            <w:pPr>
              <w:spacing w:line="240" w:lineRule="auto"/>
              <w:rPr>
                <w:rFonts w:ascii="Times New Roman" w:eastAsia="Times New Roman" w:hAnsi="Times New Roman" w:cs="Times New Roman"/>
                <w:szCs w:val="24"/>
              </w:rPr>
            </w:pPr>
            <w:r w:rsidRPr="00603F57">
              <w:rPr>
                <w:szCs w:val="20"/>
              </w:rPr>
              <w:t xml:space="preserve">30-80 </w:t>
            </w:r>
            <w:r w:rsidRPr="00603F57">
              <w:rPr>
                <w:szCs w:val="20"/>
                <w:lang w:val="en-US"/>
              </w:rPr>
              <w:t>ml/min</w:t>
            </w:r>
          </w:p>
        </w:tc>
        <w:tc>
          <w:tcPr>
            <w:tcW w:w="1596" w:type="dxa"/>
          </w:tcPr>
          <w:p w14:paraId="3A2D5CAB" w14:textId="23ACE6A2" w:rsidR="00603F57" w:rsidRPr="00603F57" w:rsidRDefault="00603F57" w:rsidP="00603F57">
            <w:pPr>
              <w:spacing w:line="240" w:lineRule="auto"/>
              <w:rPr>
                <w:rFonts w:ascii="Times New Roman" w:eastAsia="Times New Roman" w:hAnsi="Times New Roman" w:cs="Times New Roman"/>
                <w:szCs w:val="24"/>
              </w:rPr>
            </w:pPr>
            <w:r w:rsidRPr="00603F57">
              <w:rPr>
                <w:szCs w:val="20"/>
                <w:lang w:val="en-US"/>
              </w:rPr>
              <w:t>6</w:t>
            </w:r>
          </w:p>
        </w:tc>
        <w:tc>
          <w:tcPr>
            <w:tcW w:w="1596" w:type="dxa"/>
          </w:tcPr>
          <w:p w14:paraId="7948D83F" w14:textId="3B188DDF" w:rsidR="00603F57" w:rsidRPr="00603F57" w:rsidRDefault="00603F57" w:rsidP="00603F57">
            <w:pPr>
              <w:spacing w:line="240" w:lineRule="auto"/>
              <w:rPr>
                <w:rFonts w:ascii="Times New Roman" w:eastAsia="Times New Roman" w:hAnsi="Times New Roman" w:cs="Times New Roman"/>
                <w:szCs w:val="24"/>
              </w:rPr>
            </w:pPr>
            <w:r w:rsidRPr="00603F57">
              <w:rPr>
                <w:szCs w:val="20"/>
                <w:lang w:val="en-US"/>
              </w:rPr>
              <w:t>36,6</w:t>
            </w:r>
          </w:p>
        </w:tc>
        <w:tc>
          <w:tcPr>
            <w:tcW w:w="1596" w:type="dxa"/>
          </w:tcPr>
          <w:p w14:paraId="7A9CD7B4" w14:textId="3807869E" w:rsidR="00603F57" w:rsidRPr="00603F57" w:rsidRDefault="00603F57" w:rsidP="00603F57">
            <w:pPr>
              <w:spacing w:line="240" w:lineRule="auto"/>
              <w:rPr>
                <w:rFonts w:ascii="Times New Roman" w:eastAsia="Times New Roman" w:hAnsi="Times New Roman" w:cs="Times New Roman"/>
                <w:szCs w:val="24"/>
              </w:rPr>
            </w:pPr>
            <w:r w:rsidRPr="00603F57">
              <w:rPr>
                <w:szCs w:val="20"/>
              </w:rPr>
              <w:t>8</w:t>
            </w:r>
          </w:p>
        </w:tc>
        <w:tc>
          <w:tcPr>
            <w:tcW w:w="1596" w:type="dxa"/>
          </w:tcPr>
          <w:p w14:paraId="6E0C071A" w14:textId="13C436BD" w:rsidR="00603F57" w:rsidRPr="00603F57" w:rsidRDefault="00603F57" w:rsidP="00603F57">
            <w:pPr>
              <w:spacing w:line="240" w:lineRule="auto"/>
              <w:rPr>
                <w:rFonts w:ascii="Times New Roman" w:eastAsia="Times New Roman" w:hAnsi="Times New Roman" w:cs="Times New Roman"/>
                <w:szCs w:val="24"/>
              </w:rPr>
            </w:pPr>
            <w:r w:rsidRPr="00603F57">
              <w:rPr>
                <w:szCs w:val="20"/>
              </w:rPr>
              <w:t>555+/-364</w:t>
            </w:r>
          </w:p>
        </w:tc>
        <w:tc>
          <w:tcPr>
            <w:tcW w:w="1596" w:type="dxa"/>
          </w:tcPr>
          <w:p w14:paraId="5E79743E" w14:textId="6974B43E" w:rsidR="00603F57" w:rsidRPr="00603F57" w:rsidRDefault="00603F57" w:rsidP="00603F57">
            <w:pPr>
              <w:spacing w:line="240" w:lineRule="auto"/>
              <w:rPr>
                <w:rFonts w:ascii="Times New Roman" w:eastAsia="Times New Roman" w:hAnsi="Times New Roman" w:cs="Times New Roman"/>
                <w:szCs w:val="24"/>
              </w:rPr>
            </w:pPr>
            <w:r w:rsidRPr="00603F57">
              <w:rPr>
                <w:szCs w:val="20"/>
              </w:rPr>
              <w:t>11,8+/-1,9</w:t>
            </w:r>
          </w:p>
        </w:tc>
      </w:tr>
      <w:tr w:rsidR="00603F57" w14:paraId="0073F5DC" w14:textId="77777777" w:rsidTr="00603F57">
        <w:tc>
          <w:tcPr>
            <w:tcW w:w="1596" w:type="dxa"/>
          </w:tcPr>
          <w:p w14:paraId="226947D6" w14:textId="3D33A895" w:rsidR="00603F57" w:rsidRPr="00603F57" w:rsidRDefault="00603F57" w:rsidP="00603F57">
            <w:pPr>
              <w:spacing w:line="240" w:lineRule="auto"/>
              <w:rPr>
                <w:rFonts w:ascii="Times New Roman" w:eastAsia="Times New Roman" w:hAnsi="Times New Roman" w:cs="Times New Roman"/>
                <w:szCs w:val="24"/>
              </w:rPr>
            </w:pPr>
            <w:r w:rsidRPr="00603F57">
              <w:rPr>
                <w:szCs w:val="20"/>
              </w:rPr>
              <w:t xml:space="preserve">5-30 </w:t>
            </w:r>
            <w:r w:rsidRPr="00603F57">
              <w:rPr>
                <w:szCs w:val="20"/>
                <w:lang w:val="en-US"/>
              </w:rPr>
              <w:t>ml/min</w:t>
            </w:r>
          </w:p>
        </w:tc>
        <w:tc>
          <w:tcPr>
            <w:tcW w:w="1596" w:type="dxa"/>
          </w:tcPr>
          <w:p w14:paraId="3BF5929E" w14:textId="01D731DA" w:rsidR="00603F57" w:rsidRPr="00603F57" w:rsidRDefault="00603F57" w:rsidP="00603F57">
            <w:pPr>
              <w:spacing w:line="240" w:lineRule="auto"/>
              <w:rPr>
                <w:rFonts w:ascii="Times New Roman" w:eastAsia="Times New Roman" w:hAnsi="Times New Roman" w:cs="Times New Roman"/>
                <w:szCs w:val="24"/>
              </w:rPr>
            </w:pPr>
            <w:r w:rsidRPr="00603F57">
              <w:rPr>
                <w:szCs w:val="20"/>
                <w:lang w:val="en-US"/>
              </w:rPr>
              <w:t>6</w:t>
            </w:r>
          </w:p>
        </w:tc>
        <w:tc>
          <w:tcPr>
            <w:tcW w:w="1596" w:type="dxa"/>
          </w:tcPr>
          <w:p w14:paraId="570681E0" w14:textId="37A023E1" w:rsidR="00603F57" w:rsidRPr="00603F57" w:rsidRDefault="00603F57" w:rsidP="00603F57">
            <w:pPr>
              <w:spacing w:line="240" w:lineRule="auto"/>
              <w:rPr>
                <w:rFonts w:ascii="Times New Roman" w:eastAsia="Times New Roman" w:hAnsi="Times New Roman" w:cs="Times New Roman"/>
                <w:szCs w:val="24"/>
              </w:rPr>
            </w:pPr>
            <w:r w:rsidRPr="00603F57">
              <w:rPr>
                <w:szCs w:val="20"/>
                <w:lang w:val="en-US"/>
              </w:rPr>
              <w:t>106,7</w:t>
            </w:r>
          </w:p>
        </w:tc>
        <w:tc>
          <w:tcPr>
            <w:tcW w:w="1596" w:type="dxa"/>
          </w:tcPr>
          <w:p w14:paraId="2FB15D58" w14:textId="158D449D" w:rsidR="00603F57" w:rsidRPr="00603F57" w:rsidRDefault="00603F57" w:rsidP="00603F57">
            <w:pPr>
              <w:spacing w:line="240" w:lineRule="auto"/>
              <w:rPr>
                <w:rFonts w:ascii="Times New Roman" w:eastAsia="Times New Roman" w:hAnsi="Times New Roman" w:cs="Times New Roman"/>
                <w:szCs w:val="24"/>
              </w:rPr>
            </w:pPr>
            <w:r w:rsidRPr="00603F57">
              <w:rPr>
                <w:szCs w:val="20"/>
              </w:rPr>
              <w:t>8</w:t>
            </w:r>
          </w:p>
        </w:tc>
        <w:tc>
          <w:tcPr>
            <w:tcW w:w="1596" w:type="dxa"/>
          </w:tcPr>
          <w:p w14:paraId="4256D32F" w14:textId="678DE54B" w:rsidR="00603F57" w:rsidRPr="00603F57" w:rsidRDefault="00603F57" w:rsidP="00603F57">
            <w:pPr>
              <w:spacing w:line="240" w:lineRule="auto"/>
              <w:rPr>
                <w:rFonts w:ascii="Times New Roman" w:eastAsia="Times New Roman" w:hAnsi="Times New Roman" w:cs="Times New Roman"/>
                <w:szCs w:val="24"/>
              </w:rPr>
            </w:pPr>
            <w:r w:rsidRPr="00603F57">
              <w:rPr>
                <w:szCs w:val="20"/>
              </w:rPr>
              <w:t>2228+/-938</w:t>
            </w:r>
          </w:p>
        </w:tc>
        <w:tc>
          <w:tcPr>
            <w:tcW w:w="1596" w:type="dxa"/>
          </w:tcPr>
          <w:p w14:paraId="17F0803A" w14:textId="49A2592B" w:rsidR="00603F57" w:rsidRPr="00603F57" w:rsidRDefault="00603F57" w:rsidP="00603F57">
            <w:pPr>
              <w:spacing w:line="240" w:lineRule="auto"/>
              <w:rPr>
                <w:rFonts w:ascii="Times New Roman" w:eastAsia="Times New Roman" w:hAnsi="Times New Roman" w:cs="Times New Roman"/>
                <w:szCs w:val="24"/>
              </w:rPr>
            </w:pPr>
            <w:r w:rsidRPr="00603F57">
              <w:rPr>
                <w:szCs w:val="20"/>
              </w:rPr>
              <w:t>19,5+/-5,2</w:t>
            </w:r>
          </w:p>
        </w:tc>
      </w:tr>
    </w:tbl>
    <w:p w14:paraId="6AAFF5C5" w14:textId="7443A82D" w:rsidR="00603F57" w:rsidRDefault="00603F57" w:rsidP="00603F57">
      <w:pPr>
        <w:spacing w:line="240" w:lineRule="auto"/>
        <w:rPr>
          <w:rFonts w:ascii="Times New Roman" w:eastAsia="Times New Roman" w:hAnsi="Times New Roman" w:cs="Times New Roman"/>
          <w:sz w:val="24"/>
          <w:szCs w:val="24"/>
        </w:rPr>
      </w:pPr>
    </w:p>
    <w:p w14:paraId="61023F64"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С креатининов клирънс 30-80 </w:t>
      </w:r>
      <w:r w:rsidRPr="00603F57">
        <w:rPr>
          <w:rFonts w:eastAsia="Times New Roman" w:cs="Arial"/>
          <w:color w:val="000000"/>
          <w:szCs w:val="20"/>
          <w:lang w:val="en-US"/>
        </w:rPr>
        <w:t>mL</w:t>
      </w:r>
      <w:r w:rsidRPr="00603F57">
        <w:rPr>
          <w:rFonts w:eastAsia="Times New Roman" w:cs="Arial"/>
          <w:color w:val="000000"/>
          <w:szCs w:val="20"/>
          <w:lang w:val="ru-RU"/>
        </w:rPr>
        <w:t>/</w:t>
      </w:r>
      <w:r w:rsidRPr="00603F57">
        <w:rPr>
          <w:rFonts w:eastAsia="Times New Roman" w:cs="Arial"/>
          <w:color w:val="000000"/>
          <w:szCs w:val="20"/>
          <w:lang w:val="en-US"/>
        </w:rPr>
        <w:t>min</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средно </w:t>
      </w:r>
      <w:r w:rsidRPr="00603F57">
        <w:rPr>
          <w:rFonts w:eastAsia="Times New Roman" w:cs="Arial"/>
          <w:color w:val="000000"/>
          <w:szCs w:val="20"/>
          <w:lang w:val="en-US"/>
        </w:rPr>
        <w:t>AUC</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се увеличава само с 13%, 4,5-кратно увеличение на средната </w:t>
      </w:r>
      <w:r w:rsidRPr="00603F57">
        <w:rPr>
          <w:rFonts w:eastAsia="Times New Roman" w:cs="Arial"/>
          <w:color w:val="000000"/>
          <w:szCs w:val="20"/>
          <w:lang w:val="en-US"/>
        </w:rPr>
        <w:t>AUC</w:t>
      </w:r>
      <w:r w:rsidRPr="00603F57">
        <w:rPr>
          <w:rFonts w:eastAsia="Times New Roman" w:cs="Arial"/>
          <w:color w:val="000000"/>
          <w:szCs w:val="20"/>
          <w:lang w:val="ru-RU"/>
        </w:rPr>
        <w:t xml:space="preserve"> </w:t>
      </w:r>
      <w:r w:rsidRPr="00603F57">
        <w:rPr>
          <w:rFonts w:eastAsia="Times New Roman" w:cs="Arial"/>
          <w:color w:val="000000"/>
          <w:szCs w:val="20"/>
          <w:lang w:eastAsia="bg-BG"/>
        </w:rPr>
        <w:t xml:space="preserve">е наблюдавано с креатининов клирънс 5-30 </w:t>
      </w:r>
      <w:r w:rsidRPr="00603F57">
        <w:rPr>
          <w:rFonts w:eastAsia="Times New Roman" w:cs="Arial"/>
          <w:color w:val="000000"/>
          <w:szCs w:val="20"/>
          <w:lang w:val="en-US"/>
        </w:rPr>
        <w:t>mL</w:t>
      </w:r>
      <w:r w:rsidRPr="00603F57">
        <w:rPr>
          <w:rFonts w:eastAsia="Times New Roman" w:cs="Arial"/>
          <w:color w:val="000000"/>
          <w:szCs w:val="20"/>
          <w:lang w:val="ru-RU"/>
        </w:rPr>
        <w:t>/</w:t>
      </w:r>
      <w:r w:rsidRPr="00603F57">
        <w:rPr>
          <w:rFonts w:eastAsia="Times New Roman" w:cs="Arial"/>
          <w:color w:val="000000"/>
          <w:szCs w:val="20"/>
          <w:lang w:val="en-US"/>
        </w:rPr>
        <w:t>min</w:t>
      </w:r>
      <w:r w:rsidRPr="00603F57">
        <w:rPr>
          <w:rFonts w:eastAsia="Times New Roman" w:cs="Arial"/>
          <w:color w:val="000000"/>
          <w:szCs w:val="20"/>
          <w:lang w:val="ru-RU"/>
        </w:rPr>
        <w:t>.</w:t>
      </w:r>
    </w:p>
    <w:p w14:paraId="2E46CD19"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Лизиноприл може да бъде отстранен чрез диализа. По време на 4 часа хемодиализа, плазмените концентрации на лизиноприл намалявт средно с 60%, с диализен клирънс между 40 и 55 </w:t>
      </w:r>
      <w:r w:rsidRPr="00603F57">
        <w:rPr>
          <w:rFonts w:eastAsia="Times New Roman" w:cs="Arial"/>
          <w:color w:val="000000"/>
          <w:szCs w:val="20"/>
          <w:lang w:val="en-US"/>
        </w:rPr>
        <w:t>mL</w:t>
      </w:r>
      <w:r w:rsidRPr="00603F57">
        <w:rPr>
          <w:rFonts w:eastAsia="Times New Roman" w:cs="Arial"/>
          <w:color w:val="000000"/>
          <w:szCs w:val="20"/>
          <w:lang w:val="ru-RU"/>
        </w:rPr>
        <w:t>/</w:t>
      </w:r>
      <w:r w:rsidRPr="00603F57">
        <w:rPr>
          <w:rFonts w:eastAsia="Times New Roman" w:cs="Arial"/>
          <w:color w:val="000000"/>
          <w:szCs w:val="20"/>
          <w:lang w:val="en-US"/>
        </w:rPr>
        <w:t>min</w:t>
      </w:r>
      <w:r w:rsidRPr="00603F57">
        <w:rPr>
          <w:rFonts w:eastAsia="Times New Roman" w:cs="Arial"/>
          <w:color w:val="000000"/>
          <w:szCs w:val="20"/>
          <w:lang w:val="ru-RU"/>
        </w:rPr>
        <w:t>.</w:t>
      </w:r>
    </w:p>
    <w:p w14:paraId="50EE3575" w14:textId="77777777" w:rsidR="00603F57" w:rsidRPr="00603F57" w:rsidRDefault="00603F57" w:rsidP="00603F57">
      <w:pPr>
        <w:spacing w:line="240" w:lineRule="auto"/>
        <w:rPr>
          <w:rFonts w:eastAsia="Times New Roman" w:cs="Arial"/>
          <w:i/>
          <w:iCs/>
          <w:color w:val="000000"/>
          <w:szCs w:val="20"/>
          <w:lang w:eastAsia="bg-BG"/>
        </w:rPr>
      </w:pPr>
    </w:p>
    <w:p w14:paraId="6D3715E4" w14:textId="73244168" w:rsidR="00603F57" w:rsidRPr="00603F57" w:rsidRDefault="00603F57" w:rsidP="00603F57">
      <w:pPr>
        <w:spacing w:line="240" w:lineRule="auto"/>
        <w:rPr>
          <w:rFonts w:eastAsia="Times New Roman" w:cs="Arial"/>
          <w:sz w:val="28"/>
          <w:szCs w:val="24"/>
        </w:rPr>
      </w:pPr>
      <w:r w:rsidRPr="00603F57">
        <w:rPr>
          <w:rFonts w:eastAsia="Times New Roman" w:cs="Arial"/>
          <w:i/>
          <w:iCs/>
          <w:color w:val="000000"/>
          <w:szCs w:val="20"/>
          <w:lang w:eastAsia="bg-BG"/>
        </w:rPr>
        <w:t>Сърдечна недостатъчност</w:t>
      </w:r>
    </w:p>
    <w:p w14:paraId="754FB58D"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 xml:space="preserve">Пациентите със сърдечна недостатъчност имат по-голяма експозиция на лизиноприл в сравнение със здрави индивиди (увеличение в </w:t>
      </w:r>
      <w:r w:rsidRPr="00603F57">
        <w:rPr>
          <w:rFonts w:eastAsia="Times New Roman" w:cs="Arial"/>
          <w:color w:val="000000"/>
          <w:szCs w:val="20"/>
          <w:lang w:val="en-US"/>
        </w:rPr>
        <w:t>AUC</w:t>
      </w:r>
      <w:r w:rsidRPr="00603F57">
        <w:rPr>
          <w:rFonts w:eastAsia="Times New Roman" w:cs="Arial"/>
          <w:color w:val="000000"/>
          <w:szCs w:val="20"/>
          <w:lang w:val="ru-RU"/>
        </w:rPr>
        <w:t xml:space="preserve"> </w:t>
      </w:r>
      <w:r w:rsidRPr="00603F57">
        <w:rPr>
          <w:rFonts w:eastAsia="Times New Roman" w:cs="Arial"/>
          <w:color w:val="000000"/>
          <w:szCs w:val="20"/>
          <w:lang w:eastAsia="bg-BG"/>
        </w:rPr>
        <w:t>средно 125%), но въз основа на възстановяването на лизиноприл в урината, има намаляване на абсорбцията приблизително с 16% в сравнение със здрави индивиди.</w:t>
      </w:r>
    </w:p>
    <w:p w14:paraId="6164CD49" w14:textId="77777777" w:rsidR="00603F57" w:rsidRPr="00603F57" w:rsidRDefault="00603F57" w:rsidP="00603F57">
      <w:pPr>
        <w:spacing w:line="240" w:lineRule="auto"/>
        <w:rPr>
          <w:rFonts w:eastAsia="Times New Roman" w:cs="Arial"/>
          <w:i/>
          <w:iCs/>
          <w:color w:val="000000"/>
          <w:szCs w:val="20"/>
          <w:lang w:eastAsia="bg-BG"/>
        </w:rPr>
      </w:pPr>
    </w:p>
    <w:p w14:paraId="0DF4C774" w14:textId="13208396" w:rsidR="00603F57" w:rsidRPr="00603F57" w:rsidRDefault="00603F57" w:rsidP="00603F57">
      <w:pPr>
        <w:spacing w:line="240" w:lineRule="auto"/>
        <w:rPr>
          <w:rFonts w:eastAsia="Times New Roman" w:cs="Arial"/>
          <w:sz w:val="28"/>
          <w:szCs w:val="24"/>
        </w:rPr>
      </w:pPr>
      <w:r w:rsidRPr="00603F57">
        <w:rPr>
          <w:rFonts w:eastAsia="Times New Roman" w:cs="Arial"/>
          <w:i/>
          <w:iCs/>
          <w:color w:val="000000"/>
          <w:szCs w:val="20"/>
          <w:lang w:eastAsia="bg-BG"/>
        </w:rPr>
        <w:t>Старческа възраст</w:t>
      </w:r>
    </w:p>
    <w:p w14:paraId="02946FE8"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Пациентите в старческа възраст имат по-висока серумна концентрация и по-високи стойности на площта под кривата плазмена концентрация - време (увеличена приблизително с 60%) отколкото по- млади пациенти.</w:t>
      </w:r>
    </w:p>
    <w:p w14:paraId="0C3D6F46" w14:textId="77777777" w:rsidR="00603F57" w:rsidRPr="00603F57" w:rsidRDefault="00603F57" w:rsidP="00603F57">
      <w:pPr>
        <w:spacing w:line="240" w:lineRule="auto"/>
        <w:rPr>
          <w:rFonts w:eastAsia="Times New Roman" w:cs="Arial"/>
          <w:b/>
          <w:bCs/>
          <w:color w:val="000000"/>
          <w:szCs w:val="20"/>
          <w:lang w:eastAsia="bg-BG"/>
        </w:rPr>
      </w:pPr>
    </w:p>
    <w:p w14:paraId="1395C4B1" w14:textId="71029C92" w:rsidR="00603F57" w:rsidRPr="00603F57" w:rsidRDefault="00603F57" w:rsidP="00603F57">
      <w:pPr>
        <w:spacing w:line="240" w:lineRule="auto"/>
        <w:rPr>
          <w:rFonts w:eastAsia="Times New Roman" w:cs="Arial"/>
          <w:sz w:val="28"/>
          <w:szCs w:val="24"/>
        </w:rPr>
      </w:pPr>
      <w:r w:rsidRPr="00603F57">
        <w:rPr>
          <w:rFonts w:eastAsia="Times New Roman" w:cs="Arial"/>
          <w:b/>
          <w:bCs/>
          <w:color w:val="000000"/>
          <w:szCs w:val="20"/>
          <w:lang w:eastAsia="bg-BG"/>
        </w:rPr>
        <w:t>Хидрохлоротиазид</w:t>
      </w:r>
    </w:p>
    <w:p w14:paraId="73A770A0" w14:textId="77777777"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След проследяване на плазмените концентрации не по-малко от 24 часа е установено, че плазменият полуживот на хидрохлоротиазид варира между 5,6 и 14,8 часа.</w:t>
      </w:r>
    </w:p>
    <w:p w14:paraId="2CAEA429" w14:textId="77777777" w:rsidR="00603F57" w:rsidRPr="00603F57" w:rsidRDefault="00603F57" w:rsidP="00603F57">
      <w:pPr>
        <w:spacing w:line="240" w:lineRule="auto"/>
        <w:rPr>
          <w:rFonts w:eastAsia="Times New Roman" w:cs="Arial"/>
          <w:color w:val="000000"/>
          <w:szCs w:val="20"/>
          <w:lang w:eastAsia="bg-BG"/>
        </w:rPr>
      </w:pPr>
    </w:p>
    <w:p w14:paraId="79988F0D" w14:textId="2BE28901"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Поне 61% от дозата се елиминира непроменена в рамките на 24 часа. След перорален хидрохлоротиазид, диурезата започва след 2 часа, достига пик след около 4 часа и продължава 6 до 12 часа.</w:t>
      </w:r>
    </w:p>
    <w:p w14:paraId="66638635" w14:textId="77777777" w:rsidR="00603F57" w:rsidRPr="00603F57" w:rsidRDefault="00603F57" w:rsidP="00603F57">
      <w:pPr>
        <w:spacing w:line="240" w:lineRule="auto"/>
        <w:rPr>
          <w:rFonts w:eastAsia="Times New Roman" w:cs="Arial"/>
          <w:color w:val="000000"/>
          <w:szCs w:val="20"/>
          <w:lang w:eastAsia="bg-BG"/>
        </w:rPr>
      </w:pPr>
    </w:p>
    <w:p w14:paraId="6297B337" w14:textId="19297468" w:rsidR="00603F57" w:rsidRPr="00603F57" w:rsidRDefault="00603F57" w:rsidP="00603F57">
      <w:pPr>
        <w:spacing w:line="240" w:lineRule="auto"/>
        <w:rPr>
          <w:rFonts w:eastAsia="Times New Roman" w:cs="Arial"/>
          <w:sz w:val="28"/>
          <w:szCs w:val="24"/>
        </w:rPr>
      </w:pPr>
      <w:r w:rsidRPr="00603F57">
        <w:rPr>
          <w:rFonts w:eastAsia="Times New Roman" w:cs="Arial"/>
          <w:color w:val="000000"/>
          <w:szCs w:val="20"/>
          <w:lang w:eastAsia="bg-BG"/>
        </w:rPr>
        <w:t>Хидрохлоротиазид преминава през плацентата, но не и през кръвно-мозъчната бариера</w:t>
      </w:r>
    </w:p>
    <w:p w14:paraId="3FC4DA02" w14:textId="77777777" w:rsidR="00603F57" w:rsidRPr="00603F57" w:rsidRDefault="00603F57" w:rsidP="00603F57"/>
    <w:p w14:paraId="028E658A" w14:textId="2FC8D837" w:rsidR="00395555" w:rsidRDefault="002C50EE" w:rsidP="008A6AF2">
      <w:pPr>
        <w:pStyle w:val="Heading2"/>
      </w:pPr>
      <w:r>
        <w:t>5.3. Предклинични данни за безопасност</w:t>
      </w:r>
    </w:p>
    <w:p w14:paraId="3A403AFA" w14:textId="77777777" w:rsidR="00603F57" w:rsidRDefault="00603F57" w:rsidP="00603F57"/>
    <w:p w14:paraId="471B87F4" w14:textId="103E1F37" w:rsidR="00603F57" w:rsidRPr="00603F57" w:rsidRDefault="00603F57" w:rsidP="00603F57">
      <w:r>
        <w:t>Лизиноприл и хидрохлоротиазид са две лекарства, за които е получен богат клиничен опит, както самостоятелно, така и в комбинация. Цялата необходима информация за лекуващия лекар е представена в други точки от кратката характеристика на продукта.</w:t>
      </w:r>
    </w:p>
    <w:p w14:paraId="6A7820AB" w14:textId="4D2352ED" w:rsidR="008A6AF2" w:rsidRDefault="002C50EE" w:rsidP="00395555">
      <w:pPr>
        <w:pStyle w:val="Heading1"/>
      </w:pPr>
      <w:r>
        <w:t>7. ПРИТЕЖАТЕЛ НА РАЗРЕШЕНИЕТО ЗА УПОТРЕБА</w:t>
      </w:r>
    </w:p>
    <w:p w14:paraId="5F311A39" w14:textId="79C7EB86" w:rsidR="00603F57" w:rsidRDefault="00603F57" w:rsidP="00603F57"/>
    <w:p w14:paraId="0725B084" w14:textId="77777777" w:rsidR="00603F57" w:rsidRDefault="00603F57" w:rsidP="00603F57">
      <w:r>
        <w:t xml:space="preserve">Gedeon Richter Pic. </w:t>
      </w:r>
    </w:p>
    <w:p w14:paraId="0AB869D9" w14:textId="77777777" w:rsidR="00603F57" w:rsidRDefault="00603F57" w:rsidP="00603F57">
      <w:r>
        <w:t xml:space="preserve">H-l </w:t>
      </w:r>
      <w:r>
        <w:rPr>
          <w:lang w:eastAsia="bg-BG"/>
        </w:rPr>
        <w:t xml:space="preserve">103 </w:t>
      </w:r>
      <w:r>
        <w:t xml:space="preserve">Budapest, </w:t>
      </w:r>
    </w:p>
    <w:p w14:paraId="05A36653" w14:textId="5FC160D4" w:rsidR="00603F57" w:rsidRDefault="00603F57" w:rsidP="00603F57">
      <w:r>
        <w:t>Gyomroi 6t 19-21,</w:t>
      </w:r>
    </w:p>
    <w:p w14:paraId="18AC8B4C" w14:textId="3FA35477" w:rsidR="00603F57" w:rsidRPr="00603F57" w:rsidRDefault="00603F57" w:rsidP="00603F57">
      <w:r>
        <w:t>Унгария</w:t>
      </w:r>
    </w:p>
    <w:p w14:paraId="04840D59" w14:textId="77EC3457" w:rsidR="002C50EE" w:rsidRDefault="002C50EE" w:rsidP="00395555">
      <w:pPr>
        <w:pStyle w:val="Heading1"/>
      </w:pPr>
      <w:r>
        <w:t>8. НОМЕР НА РАЗРЕШЕНИЕТО ЗА УПОТРЕБА</w:t>
      </w:r>
    </w:p>
    <w:p w14:paraId="3BA0E903" w14:textId="2717F83A" w:rsidR="00603F57" w:rsidRDefault="00603F57" w:rsidP="00603F57"/>
    <w:p w14:paraId="41C0DE24" w14:textId="77777777" w:rsidR="00603F57" w:rsidRPr="00603F57" w:rsidRDefault="00603F57" w:rsidP="00603F57">
      <w:pPr>
        <w:rPr>
          <w:sz w:val="24"/>
          <w:szCs w:val="24"/>
        </w:rPr>
      </w:pPr>
      <w:r w:rsidRPr="00603F57">
        <w:rPr>
          <w:lang w:eastAsia="bg-BG"/>
        </w:rPr>
        <w:t xml:space="preserve">Ко-Диротон 10 </w:t>
      </w:r>
      <w:r w:rsidRPr="00603F57">
        <w:rPr>
          <w:lang w:val="en-US"/>
        </w:rPr>
        <w:t>mg</w:t>
      </w:r>
      <w:r w:rsidRPr="00603F57">
        <w:rPr>
          <w:lang w:val="ru-RU"/>
        </w:rPr>
        <w:t xml:space="preserve">/12,5 </w:t>
      </w:r>
      <w:r w:rsidRPr="00603F57">
        <w:rPr>
          <w:lang w:val="en-US"/>
        </w:rPr>
        <w:t>mg</w:t>
      </w:r>
      <w:r w:rsidRPr="00603F57">
        <w:rPr>
          <w:lang w:val="ru-RU"/>
        </w:rPr>
        <w:t xml:space="preserve"> </w:t>
      </w:r>
      <w:r w:rsidRPr="00603F57">
        <w:rPr>
          <w:lang w:eastAsia="bg-BG"/>
        </w:rPr>
        <w:t>таблетки: 20090490</w:t>
      </w:r>
    </w:p>
    <w:p w14:paraId="5D9A7E45" w14:textId="1F16F0C2" w:rsidR="00603F57" w:rsidRPr="00603F57" w:rsidRDefault="00603F57" w:rsidP="00603F57">
      <w:r w:rsidRPr="00603F57">
        <w:rPr>
          <w:lang w:eastAsia="bg-BG"/>
        </w:rPr>
        <w:t xml:space="preserve">Ко-Диротон 20 </w:t>
      </w:r>
      <w:r w:rsidRPr="00603F57">
        <w:rPr>
          <w:lang w:val="en-US"/>
        </w:rPr>
        <w:t>mg</w:t>
      </w:r>
      <w:r w:rsidRPr="00603F57">
        <w:rPr>
          <w:lang w:val="ru-RU"/>
        </w:rPr>
        <w:t xml:space="preserve">/12,5 </w:t>
      </w:r>
      <w:r w:rsidRPr="00603F57">
        <w:rPr>
          <w:lang w:val="en-US"/>
        </w:rPr>
        <w:t>mg</w:t>
      </w:r>
      <w:r w:rsidRPr="00603F57">
        <w:rPr>
          <w:lang w:val="ru-RU"/>
        </w:rPr>
        <w:t xml:space="preserve"> </w:t>
      </w:r>
      <w:r w:rsidRPr="00603F57">
        <w:rPr>
          <w:lang w:eastAsia="bg-BG"/>
        </w:rPr>
        <w:t>таблетки: 20090491</w:t>
      </w:r>
    </w:p>
    <w:p w14:paraId="2CCB5832" w14:textId="4E1F089C" w:rsidR="007C605B" w:rsidRDefault="002C50EE" w:rsidP="007C605B">
      <w:pPr>
        <w:pStyle w:val="Heading1"/>
      </w:pPr>
      <w:r>
        <w:t>9. ДАТА НА ПЪРВО РАЗРЕШАВАНЕ/ПОДНОВЯВАНЕ НА РАЗРЕШЕНИЕТО ЗА УПОТРЕБА</w:t>
      </w:r>
    </w:p>
    <w:p w14:paraId="179A231D" w14:textId="0F41CC3B" w:rsidR="00603F57" w:rsidRDefault="00603F57" w:rsidP="00603F57"/>
    <w:p w14:paraId="57DDE97F" w14:textId="77777777" w:rsidR="00603F57" w:rsidRPr="00603F57" w:rsidRDefault="00603F57" w:rsidP="00603F57">
      <w:pPr>
        <w:rPr>
          <w:sz w:val="24"/>
          <w:szCs w:val="24"/>
        </w:rPr>
      </w:pPr>
      <w:r w:rsidRPr="00603F57">
        <w:rPr>
          <w:lang w:eastAsia="bg-BG"/>
        </w:rPr>
        <w:t>Дата на първо разрешаване: 12.11.2009</w:t>
      </w:r>
    </w:p>
    <w:p w14:paraId="6A44ABDA" w14:textId="77539DFA" w:rsidR="00603F57" w:rsidRPr="00603F57" w:rsidRDefault="00603F57" w:rsidP="00603F57">
      <w:r w:rsidRPr="00603F57">
        <w:rPr>
          <w:lang w:eastAsia="bg-BG"/>
        </w:rPr>
        <w:t>Дата на последно подновяване: 22.11.2013</w:t>
      </w:r>
    </w:p>
    <w:p w14:paraId="0E9D0119" w14:textId="0245C6D7" w:rsidR="002C50EE" w:rsidRDefault="002C50EE" w:rsidP="002C50EE">
      <w:pPr>
        <w:pStyle w:val="Heading1"/>
      </w:pPr>
      <w:r>
        <w:t>10. ДАТА НА АКТУАЛИЗИРАНЕ НА ТЕКСТА</w:t>
      </w:r>
    </w:p>
    <w:bookmarkEnd w:id="0"/>
    <w:p w14:paraId="43FB38A2" w14:textId="2AA92743" w:rsidR="007C605B" w:rsidRPr="003E3126" w:rsidRDefault="00603F57" w:rsidP="00603F57">
      <w:r>
        <w:t>03.03.2019</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958C4"/>
    <w:multiLevelType w:val="hybridMultilevel"/>
    <w:tmpl w:val="463CE3E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66CBD"/>
    <w:rsid w:val="00593A00"/>
    <w:rsid w:val="005A66D9"/>
    <w:rsid w:val="00603F57"/>
    <w:rsid w:val="00605BCA"/>
    <w:rsid w:val="006158A1"/>
    <w:rsid w:val="00617B1F"/>
    <w:rsid w:val="00672487"/>
    <w:rsid w:val="00672600"/>
    <w:rsid w:val="00680FA6"/>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7557</Words>
  <Characters>43078</Characters>
  <Application>Microsoft Office Word</Application>
  <DocSecurity>0</DocSecurity>
  <Lines>358</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2022-01-25T00:23:00Z</dcterms:created>
  <dcterms:modified xsi:type="dcterms:W3CDTF">2022-01-25T00:23:00Z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