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53139445" w:rsidR="007122AD" w:rsidRDefault="00DD466D" w:rsidP="00936AD0">
      <w:pPr>
        <w:pStyle w:val="Heading1"/>
      </w:pPr>
      <w:r>
        <w:t>1.ИМЕ НА ЛЕКАРСТВЕНИЯ ПРОДУКТ</w:t>
      </w:r>
    </w:p>
    <w:p w14:paraId="312C029E" w14:textId="006D424A" w:rsidR="00082715" w:rsidRDefault="00082715" w:rsidP="00082715"/>
    <w:p w14:paraId="55C0A056" w14:textId="77777777" w:rsidR="00082715" w:rsidRPr="00082715" w:rsidRDefault="00082715" w:rsidP="00082715">
      <w:pPr>
        <w:rPr>
          <w:sz w:val="24"/>
          <w:szCs w:val="24"/>
        </w:rPr>
      </w:pPr>
      <w:r w:rsidRPr="00082715">
        <w:rPr>
          <w:lang w:eastAsia="bg-BG"/>
        </w:rPr>
        <w:t xml:space="preserve">КО-ИРБЕК 150 </w:t>
      </w:r>
      <w:r w:rsidRPr="00082715">
        <w:rPr>
          <w:i/>
          <w:iCs/>
          <w:lang w:val="en-US"/>
        </w:rPr>
        <w:t>mg</w:t>
      </w:r>
      <w:r w:rsidRPr="00082715">
        <w:rPr>
          <w:i/>
          <w:iCs/>
        </w:rPr>
        <w:t xml:space="preserve">/12,5 </w:t>
      </w:r>
      <w:r w:rsidRPr="00082715">
        <w:rPr>
          <w:i/>
          <w:iCs/>
          <w:lang w:val="en-US"/>
        </w:rPr>
        <w:t>mg</w:t>
      </w:r>
      <w:r w:rsidRPr="00082715">
        <w:t xml:space="preserve"> </w:t>
      </w:r>
      <w:r w:rsidRPr="00082715">
        <w:rPr>
          <w:lang w:eastAsia="bg-BG"/>
        </w:rPr>
        <w:t>таблетки</w:t>
      </w:r>
    </w:p>
    <w:p w14:paraId="59D3DB35" w14:textId="77777777" w:rsidR="00082715" w:rsidRPr="00082715" w:rsidRDefault="00082715" w:rsidP="00082715">
      <w:pPr>
        <w:rPr>
          <w:sz w:val="24"/>
          <w:szCs w:val="24"/>
        </w:rPr>
      </w:pPr>
      <w:r w:rsidRPr="00082715">
        <w:rPr>
          <w:lang w:val="en-US"/>
        </w:rPr>
        <w:t>CO</w:t>
      </w:r>
      <w:r w:rsidRPr="00082715">
        <w:t>-</w:t>
      </w:r>
      <w:r w:rsidRPr="00082715">
        <w:rPr>
          <w:lang w:val="en-US"/>
        </w:rPr>
        <w:t>IRBEC</w:t>
      </w:r>
      <w:r w:rsidRPr="00082715">
        <w:t xml:space="preserve"> </w:t>
      </w:r>
      <w:r w:rsidRPr="00082715">
        <w:rPr>
          <w:lang w:eastAsia="bg-BG"/>
        </w:rPr>
        <w:t xml:space="preserve">150 </w:t>
      </w:r>
      <w:r w:rsidRPr="00082715">
        <w:rPr>
          <w:lang w:val="en-US"/>
        </w:rPr>
        <w:t>mg</w:t>
      </w:r>
      <w:r w:rsidRPr="00082715">
        <w:t>/12</w:t>
      </w:r>
      <w:proofErr w:type="gramStart"/>
      <w:r w:rsidRPr="00082715">
        <w:t>,5</w:t>
      </w:r>
      <w:proofErr w:type="gramEnd"/>
      <w:r w:rsidRPr="00082715">
        <w:t xml:space="preserve"> </w:t>
      </w:r>
      <w:r w:rsidRPr="00082715">
        <w:rPr>
          <w:lang w:val="en-US"/>
        </w:rPr>
        <w:t>mg</w:t>
      </w:r>
      <w:r w:rsidRPr="00082715">
        <w:t xml:space="preserve"> </w:t>
      </w:r>
      <w:r w:rsidRPr="00082715">
        <w:rPr>
          <w:lang w:val="en-US"/>
        </w:rPr>
        <w:t>tablets</w:t>
      </w:r>
    </w:p>
    <w:p w14:paraId="7A94D105" w14:textId="77777777" w:rsidR="00082715" w:rsidRPr="00082715" w:rsidRDefault="00082715" w:rsidP="00082715"/>
    <w:p w14:paraId="6920A680" w14:textId="2F8D6389" w:rsidR="00C40420" w:rsidRDefault="00DD466D" w:rsidP="004A448E">
      <w:pPr>
        <w:pStyle w:val="Heading1"/>
      </w:pPr>
      <w:r>
        <w:t>2. КАЧЕСТВЕН И КОЛИЧЕСТВЕН СЪСТАВ</w:t>
      </w:r>
    </w:p>
    <w:p w14:paraId="5E304C18" w14:textId="7DE41FF0" w:rsidR="00082715" w:rsidRDefault="00082715" w:rsidP="00082715"/>
    <w:p w14:paraId="4DC99348" w14:textId="77777777" w:rsidR="00082715" w:rsidRPr="00082715" w:rsidRDefault="00082715" w:rsidP="00082715">
      <w:pPr>
        <w:rPr>
          <w:sz w:val="24"/>
          <w:szCs w:val="24"/>
        </w:rPr>
      </w:pPr>
      <w:r w:rsidRPr="00082715">
        <w:rPr>
          <w:lang w:eastAsia="bg-BG"/>
        </w:rPr>
        <w:t xml:space="preserve">Всяка таблетка съдържа 150 </w:t>
      </w:r>
      <w:r w:rsidRPr="00082715">
        <w:rPr>
          <w:lang w:val="en-US"/>
        </w:rPr>
        <w:t>mg</w:t>
      </w:r>
      <w:r w:rsidRPr="00082715">
        <w:t xml:space="preserve"> </w:t>
      </w:r>
      <w:r w:rsidRPr="00082715">
        <w:rPr>
          <w:lang w:eastAsia="bg-BG"/>
        </w:rPr>
        <w:t xml:space="preserve">ирбесартан </w:t>
      </w:r>
      <w:r w:rsidRPr="00082715">
        <w:rPr>
          <w:i/>
          <w:iCs/>
        </w:rPr>
        <w:t>(</w:t>
      </w:r>
      <w:proofErr w:type="spellStart"/>
      <w:r w:rsidRPr="00082715">
        <w:rPr>
          <w:i/>
          <w:iCs/>
          <w:lang w:val="en-US"/>
        </w:rPr>
        <w:t>Irbesartan</w:t>
      </w:r>
      <w:proofErr w:type="spellEnd"/>
      <w:r w:rsidRPr="00082715">
        <w:rPr>
          <w:i/>
          <w:iCs/>
        </w:rPr>
        <w:t>)</w:t>
      </w:r>
      <w:r w:rsidRPr="00082715">
        <w:t xml:space="preserve"> </w:t>
      </w:r>
      <w:r w:rsidRPr="00082715">
        <w:rPr>
          <w:lang w:eastAsia="bg-BG"/>
        </w:rPr>
        <w:t xml:space="preserve">и 12,5 </w:t>
      </w:r>
      <w:r w:rsidRPr="00082715">
        <w:rPr>
          <w:lang w:val="en-US"/>
        </w:rPr>
        <w:t>mg</w:t>
      </w:r>
      <w:r w:rsidRPr="00082715">
        <w:t xml:space="preserve"> </w:t>
      </w:r>
      <w:r w:rsidRPr="00082715">
        <w:rPr>
          <w:lang w:eastAsia="bg-BG"/>
        </w:rPr>
        <w:t xml:space="preserve">хидрохлоротиазид </w:t>
      </w:r>
      <w:r w:rsidRPr="00082715">
        <w:rPr>
          <w:i/>
          <w:iCs/>
        </w:rPr>
        <w:t>(</w:t>
      </w:r>
      <w:r w:rsidRPr="00082715">
        <w:rPr>
          <w:i/>
          <w:iCs/>
          <w:lang w:val="en-US"/>
        </w:rPr>
        <w:t>Hydrochlorothiazide</w:t>
      </w:r>
      <w:r w:rsidRPr="00082715">
        <w:rPr>
          <w:i/>
          <w:iCs/>
        </w:rPr>
        <w:t>).</w:t>
      </w:r>
    </w:p>
    <w:p w14:paraId="04818958" w14:textId="77777777" w:rsidR="00082715" w:rsidRDefault="00082715" w:rsidP="00082715">
      <w:pPr>
        <w:rPr>
          <w:lang w:eastAsia="bg-BG"/>
        </w:rPr>
      </w:pPr>
    </w:p>
    <w:p w14:paraId="492410FD" w14:textId="07AC9FF7" w:rsidR="00082715" w:rsidRPr="00082715" w:rsidRDefault="00082715" w:rsidP="00082715">
      <w:pPr>
        <w:rPr>
          <w:sz w:val="24"/>
          <w:szCs w:val="24"/>
        </w:rPr>
      </w:pPr>
      <w:r w:rsidRPr="00082715">
        <w:rPr>
          <w:lang w:eastAsia="bg-BG"/>
        </w:rPr>
        <w:t>Помощни вещества с известно действие: лактоза монохидрат и др.</w:t>
      </w:r>
    </w:p>
    <w:p w14:paraId="33AA379E" w14:textId="77777777" w:rsidR="00082715" w:rsidRPr="00082715" w:rsidRDefault="00082715" w:rsidP="00082715"/>
    <w:p w14:paraId="614984C4" w14:textId="2AF7F6E7" w:rsidR="008A6AF2" w:rsidRDefault="00DD466D" w:rsidP="002C50EE">
      <w:pPr>
        <w:pStyle w:val="Heading1"/>
      </w:pPr>
      <w:r>
        <w:t>3. ЛЕКАРСТВЕНА ФОРМА</w:t>
      </w:r>
    </w:p>
    <w:p w14:paraId="05C7B877" w14:textId="59FC57B7" w:rsidR="00082715" w:rsidRDefault="00082715" w:rsidP="00082715"/>
    <w:p w14:paraId="5596D969" w14:textId="77777777" w:rsidR="00082715" w:rsidRPr="00082715" w:rsidRDefault="00082715" w:rsidP="00082715">
      <w:pPr>
        <w:rPr>
          <w:sz w:val="24"/>
          <w:szCs w:val="24"/>
        </w:rPr>
      </w:pPr>
      <w:r w:rsidRPr="00082715">
        <w:rPr>
          <w:lang w:eastAsia="bg-BG"/>
        </w:rPr>
        <w:t>Филмирана таблетка.</w:t>
      </w:r>
    </w:p>
    <w:p w14:paraId="171F6AB0" w14:textId="77777777" w:rsidR="00082715" w:rsidRPr="00082715" w:rsidRDefault="00082715" w:rsidP="00082715">
      <w:pPr>
        <w:rPr>
          <w:sz w:val="24"/>
          <w:szCs w:val="24"/>
        </w:rPr>
      </w:pPr>
      <w:r w:rsidRPr="00082715">
        <w:rPr>
          <w:lang w:eastAsia="bg-BG"/>
        </w:rPr>
        <w:t xml:space="preserve">Бели, цилиндрични, двойноизпъкнали таблетки без надпис или щамповани с надпис </w:t>
      </w:r>
      <w:r w:rsidRPr="00082715">
        <w:rPr>
          <w:lang w:val="en-US"/>
        </w:rPr>
        <w:t>IH</w:t>
      </w:r>
      <w:r w:rsidRPr="00082715">
        <w:rPr>
          <w:lang w:val="ru-RU"/>
        </w:rPr>
        <w:t xml:space="preserve">1, </w:t>
      </w:r>
      <w:r w:rsidRPr="00082715">
        <w:rPr>
          <w:lang w:eastAsia="bg-BG"/>
        </w:rPr>
        <w:t>от едната страна.</w:t>
      </w:r>
    </w:p>
    <w:p w14:paraId="40BDE0F2" w14:textId="77777777" w:rsidR="00082715" w:rsidRPr="00082715" w:rsidRDefault="00082715" w:rsidP="00082715"/>
    <w:p w14:paraId="490FC2C4" w14:textId="0F4A4A75" w:rsidR="002C50EE" w:rsidRDefault="002C50EE" w:rsidP="002C50EE">
      <w:pPr>
        <w:pStyle w:val="Heading1"/>
      </w:pPr>
      <w:r>
        <w:t>4. КЛИНИЧНИ ДАННИ</w:t>
      </w:r>
    </w:p>
    <w:p w14:paraId="74330405" w14:textId="2B4C97BD" w:rsidR="007122AD" w:rsidRDefault="002C50EE" w:rsidP="00936AD0">
      <w:pPr>
        <w:pStyle w:val="Heading2"/>
      </w:pPr>
      <w:r>
        <w:t>4.1. Терапевтични показания</w:t>
      </w:r>
    </w:p>
    <w:p w14:paraId="3465F12C" w14:textId="45E1F1B6" w:rsidR="00082715" w:rsidRDefault="00082715" w:rsidP="00082715"/>
    <w:p w14:paraId="2CF5B2FD" w14:textId="77777777" w:rsidR="00082715" w:rsidRPr="00082715" w:rsidRDefault="00082715" w:rsidP="00082715">
      <w:pPr>
        <w:rPr>
          <w:sz w:val="24"/>
          <w:szCs w:val="24"/>
        </w:rPr>
      </w:pPr>
      <w:r w:rsidRPr="00082715">
        <w:rPr>
          <w:lang w:eastAsia="bg-BG"/>
        </w:rPr>
        <w:t>Лечение на есенциална хипертония.</w:t>
      </w:r>
    </w:p>
    <w:p w14:paraId="68E05FCF" w14:textId="77777777" w:rsidR="00082715" w:rsidRPr="00082715" w:rsidRDefault="00082715" w:rsidP="00082715">
      <w:pPr>
        <w:rPr>
          <w:sz w:val="24"/>
          <w:szCs w:val="24"/>
        </w:rPr>
      </w:pPr>
      <w:r w:rsidRPr="00082715">
        <w:rPr>
          <w:lang w:eastAsia="bg-BG"/>
        </w:rPr>
        <w:t>Тази фиксирана дозова комбинация е показана при възрастни пациенти, чието кръвно налягане не е адекватно контролирано от самостоятелното приложение на ирбесартан или хидрохлоротиазид (вж. точка 5.1).</w:t>
      </w:r>
    </w:p>
    <w:p w14:paraId="0802ACF6" w14:textId="77777777" w:rsidR="00082715" w:rsidRPr="00082715" w:rsidRDefault="00082715" w:rsidP="00082715"/>
    <w:p w14:paraId="53F5B866" w14:textId="02C8887B" w:rsidR="007122AD" w:rsidRDefault="002C50EE" w:rsidP="00936AD0">
      <w:pPr>
        <w:pStyle w:val="Heading2"/>
      </w:pPr>
      <w:r>
        <w:t>4.2. Дозировка и начин на приложение</w:t>
      </w:r>
    </w:p>
    <w:p w14:paraId="622888F5" w14:textId="481B1AA3" w:rsidR="00082715" w:rsidRDefault="00082715" w:rsidP="00082715"/>
    <w:p w14:paraId="37E69C19" w14:textId="77777777" w:rsidR="00082715" w:rsidRPr="00082715" w:rsidRDefault="00082715" w:rsidP="00082715">
      <w:pPr>
        <w:spacing w:line="240" w:lineRule="auto"/>
        <w:rPr>
          <w:rFonts w:eastAsia="Times New Roman" w:cs="Arial"/>
          <w:sz w:val="28"/>
          <w:szCs w:val="24"/>
        </w:rPr>
      </w:pPr>
      <w:r w:rsidRPr="00082715">
        <w:rPr>
          <w:rFonts w:eastAsia="Times New Roman" w:cs="Arial"/>
          <w:color w:val="000000"/>
          <w:szCs w:val="20"/>
          <w:lang w:eastAsia="bg-BG"/>
        </w:rPr>
        <w:t>Ирбесартан/хидрохлоротиазид може да се приема веднъж дневно, със или без храна. Може да се препоръча титриране на дозата с отделните съставки (т.е ирбесартан и хидрохлоротиазид).</w:t>
      </w:r>
    </w:p>
    <w:p w14:paraId="4CABE592" w14:textId="77777777" w:rsidR="00082715" w:rsidRPr="00082715" w:rsidRDefault="00082715" w:rsidP="00082715">
      <w:pPr>
        <w:spacing w:line="240" w:lineRule="auto"/>
        <w:rPr>
          <w:rFonts w:eastAsia="Times New Roman" w:cs="Arial"/>
          <w:color w:val="000000"/>
          <w:szCs w:val="20"/>
          <w:lang w:eastAsia="bg-BG"/>
        </w:rPr>
      </w:pPr>
    </w:p>
    <w:p w14:paraId="24FF2A40" w14:textId="093EE38A" w:rsidR="00082715" w:rsidRPr="00082715" w:rsidRDefault="00082715" w:rsidP="00082715">
      <w:pPr>
        <w:spacing w:line="240" w:lineRule="auto"/>
        <w:rPr>
          <w:rFonts w:eastAsia="Times New Roman" w:cs="Arial"/>
          <w:sz w:val="28"/>
          <w:szCs w:val="24"/>
        </w:rPr>
      </w:pPr>
      <w:r w:rsidRPr="00082715">
        <w:rPr>
          <w:rFonts w:eastAsia="Times New Roman" w:cs="Arial"/>
          <w:color w:val="000000"/>
          <w:szCs w:val="20"/>
          <w:lang w:eastAsia="bg-BG"/>
        </w:rPr>
        <w:t>Когато е клинично подходящо, при директното преминаване от монотерапия към фиксираните комбинации може да се има предвид следното:</w:t>
      </w:r>
    </w:p>
    <w:p w14:paraId="49CC7143" w14:textId="77777777" w:rsidR="00082715" w:rsidRPr="00082715" w:rsidRDefault="00082715" w:rsidP="00082715">
      <w:pPr>
        <w:pStyle w:val="ListParagraph"/>
        <w:numPr>
          <w:ilvl w:val="0"/>
          <w:numId w:val="37"/>
        </w:numPr>
        <w:spacing w:line="240" w:lineRule="auto"/>
        <w:rPr>
          <w:rFonts w:eastAsia="Times New Roman" w:cs="Arial"/>
          <w:color w:val="000000"/>
          <w:szCs w:val="20"/>
          <w:lang w:eastAsia="bg-BG"/>
        </w:rPr>
      </w:pPr>
      <w:r w:rsidRPr="00082715">
        <w:rPr>
          <w:rFonts w:eastAsia="Times New Roman" w:cs="Arial"/>
          <w:color w:val="000000"/>
          <w:szCs w:val="20"/>
          <w:lang w:eastAsia="bg-BG"/>
        </w:rPr>
        <w:t xml:space="preserve">Ирбесартан/хидрохлоротиазид 150 </w:t>
      </w:r>
      <w:r w:rsidRPr="00082715">
        <w:rPr>
          <w:rFonts w:eastAsia="Times New Roman" w:cs="Arial"/>
          <w:color w:val="000000"/>
          <w:szCs w:val="20"/>
          <w:lang w:val="en-US"/>
        </w:rPr>
        <w:t>mg</w:t>
      </w:r>
      <w:r w:rsidRPr="00082715">
        <w:rPr>
          <w:rFonts w:eastAsia="Times New Roman" w:cs="Arial"/>
          <w:color w:val="000000"/>
          <w:szCs w:val="20"/>
          <w:lang w:val="ru-RU"/>
        </w:rPr>
        <w:t xml:space="preserve">/12,5 </w:t>
      </w:r>
      <w:r w:rsidRPr="00082715">
        <w:rPr>
          <w:rFonts w:eastAsia="Times New Roman" w:cs="Arial"/>
          <w:color w:val="000000"/>
          <w:szCs w:val="20"/>
          <w:lang w:val="en-US"/>
        </w:rPr>
        <w:t>mg</w:t>
      </w:r>
      <w:r w:rsidRPr="00082715">
        <w:rPr>
          <w:rFonts w:eastAsia="Times New Roman" w:cs="Arial"/>
          <w:color w:val="000000"/>
          <w:szCs w:val="20"/>
          <w:lang w:val="ru-RU"/>
        </w:rPr>
        <w:t xml:space="preserve"> </w:t>
      </w:r>
      <w:r w:rsidRPr="00082715">
        <w:rPr>
          <w:rFonts w:eastAsia="Times New Roman" w:cs="Arial"/>
          <w:color w:val="000000"/>
          <w:szCs w:val="20"/>
          <w:lang w:eastAsia="bg-BG"/>
        </w:rPr>
        <w:t xml:space="preserve">може да се прилага при пациенти, чието кръвно налягане не е адекватно контролирано при самостоятелното приложение на хидрохлоротиазид или ирбесартан 150 </w:t>
      </w:r>
      <w:r w:rsidRPr="00082715">
        <w:rPr>
          <w:rFonts w:eastAsia="Times New Roman" w:cs="Arial"/>
          <w:color w:val="000000"/>
          <w:szCs w:val="20"/>
          <w:lang w:val="en-US"/>
        </w:rPr>
        <w:t>mg</w:t>
      </w:r>
      <w:r w:rsidRPr="00082715">
        <w:rPr>
          <w:rFonts w:eastAsia="Times New Roman" w:cs="Arial"/>
          <w:color w:val="000000"/>
          <w:szCs w:val="20"/>
          <w:lang w:val="ru-RU"/>
        </w:rPr>
        <w:t>;</w:t>
      </w:r>
    </w:p>
    <w:p w14:paraId="064CA519" w14:textId="22559F49" w:rsidR="00082715" w:rsidRPr="00082715" w:rsidRDefault="00082715" w:rsidP="00082715">
      <w:pPr>
        <w:pStyle w:val="ListParagraph"/>
        <w:numPr>
          <w:ilvl w:val="0"/>
          <w:numId w:val="37"/>
        </w:numPr>
        <w:spacing w:line="240" w:lineRule="auto"/>
        <w:rPr>
          <w:rFonts w:eastAsia="Times New Roman" w:cs="Arial"/>
          <w:color w:val="000000"/>
          <w:szCs w:val="20"/>
          <w:lang w:eastAsia="bg-BG"/>
        </w:rPr>
      </w:pPr>
      <w:r w:rsidRPr="00082715">
        <w:rPr>
          <w:rFonts w:eastAsia="Times New Roman" w:cs="Arial"/>
          <w:color w:val="000000"/>
          <w:szCs w:val="20"/>
          <w:lang w:eastAsia="bg-BG"/>
        </w:rPr>
        <w:t xml:space="preserve">Ирбесартан/хидрохлоротиазид </w:t>
      </w:r>
      <w:r w:rsidRPr="00082715">
        <w:rPr>
          <w:rFonts w:eastAsia="Times New Roman" w:cs="Arial"/>
          <w:color w:val="000000"/>
          <w:szCs w:val="20"/>
          <w:lang w:val="ru-RU"/>
        </w:rPr>
        <w:t>300</w:t>
      </w:r>
      <w:r w:rsidRPr="00082715">
        <w:rPr>
          <w:rFonts w:eastAsia="Times New Roman" w:cs="Arial"/>
          <w:color w:val="000000"/>
          <w:szCs w:val="20"/>
          <w:lang w:val="en-US"/>
        </w:rPr>
        <w:t>mg</w:t>
      </w:r>
      <w:r w:rsidRPr="00082715">
        <w:rPr>
          <w:rFonts w:eastAsia="Times New Roman" w:cs="Arial"/>
          <w:color w:val="000000"/>
          <w:szCs w:val="20"/>
          <w:lang w:val="ru-RU"/>
        </w:rPr>
        <w:t>/</w:t>
      </w:r>
      <w:r w:rsidRPr="00082715">
        <w:rPr>
          <w:rFonts w:eastAsia="Times New Roman" w:cs="Arial"/>
          <w:color w:val="000000"/>
          <w:szCs w:val="20"/>
          <w:lang w:eastAsia="bg-BG"/>
        </w:rPr>
        <w:t>12,</w:t>
      </w:r>
      <w:r w:rsidRPr="00082715">
        <w:rPr>
          <w:rFonts w:eastAsia="Times New Roman" w:cs="Arial"/>
          <w:color w:val="000000"/>
          <w:szCs w:val="20"/>
          <w:lang w:val="ru-RU"/>
        </w:rPr>
        <w:t>5</w:t>
      </w:r>
      <w:r w:rsidRPr="00082715">
        <w:rPr>
          <w:rFonts w:eastAsia="Times New Roman" w:cs="Arial"/>
          <w:color w:val="000000"/>
          <w:szCs w:val="20"/>
          <w:lang w:val="en-US"/>
        </w:rPr>
        <w:t>mg</w:t>
      </w:r>
      <w:r w:rsidRPr="00082715">
        <w:rPr>
          <w:rFonts w:eastAsia="Times New Roman" w:cs="Arial"/>
          <w:color w:val="000000"/>
          <w:szCs w:val="20"/>
          <w:lang w:val="ru-RU"/>
        </w:rPr>
        <w:t xml:space="preserve"> </w:t>
      </w:r>
      <w:r w:rsidRPr="00082715">
        <w:rPr>
          <w:rFonts w:eastAsia="Times New Roman" w:cs="Arial"/>
          <w:color w:val="000000"/>
          <w:szCs w:val="20"/>
          <w:lang w:eastAsia="bg-BG"/>
        </w:rPr>
        <w:t xml:space="preserve">може да се прилага при пациенти, при които не </w:t>
      </w:r>
      <w:r w:rsidRPr="00082715">
        <w:rPr>
          <w:rFonts w:eastAsia="Times New Roman" w:cs="Arial"/>
          <w:i/>
          <w:iCs/>
          <w:color w:val="000000"/>
          <w:szCs w:val="20"/>
          <w:lang w:eastAsia="bg-BG"/>
        </w:rPr>
        <w:t>е</w:t>
      </w:r>
      <w:r w:rsidRPr="00082715">
        <w:rPr>
          <w:rFonts w:eastAsia="Times New Roman" w:cs="Arial"/>
          <w:color w:val="000000"/>
          <w:szCs w:val="20"/>
          <w:lang w:eastAsia="bg-BG"/>
        </w:rPr>
        <w:t xml:space="preserve"> постигнат достатъчен контрол при самостоятелното приложение на ирбесартан 300 </w:t>
      </w:r>
      <w:r w:rsidRPr="00082715">
        <w:rPr>
          <w:rFonts w:eastAsia="Times New Roman" w:cs="Arial"/>
          <w:color w:val="000000"/>
          <w:szCs w:val="20"/>
          <w:lang w:val="en-US"/>
        </w:rPr>
        <w:t>mg</w:t>
      </w:r>
      <w:r w:rsidRPr="00082715">
        <w:rPr>
          <w:rFonts w:eastAsia="Times New Roman" w:cs="Arial"/>
          <w:color w:val="000000"/>
          <w:szCs w:val="20"/>
          <w:lang w:val="ru-RU"/>
        </w:rPr>
        <w:t xml:space="preserve"> </w:t>
      </w:r>
      <w:r w:rsidRPr="00082715">
        <w:rPr>
          <w:rFonts w:eastAsia="Times New Roman" w:cs="Arial"/>
          <w:color w:val="000000"/>
          <w:szCs w:val="20"/>
          <w:lang w:eastAsia="bg-BG"/>
        </w:rPr>
        <w:t xml:space="preserve">или ирбесартан/хидрохлоротиазид 150 </w:t>
      </w:r>
      <w:r w:rsidRPr="00082715">
        <w:rPr>
          <w:rFonts w:eastAsia="Times New Roman" w:cs="Arial"/>
          <w:color w:val="000000"/>
          <w:szCs w:val="20"/>
          <w:lang w:val="en-US"/>
        </w:rPr>
        <w:t>mg</w:t>
      </w:r>
      <w:r w:rsidRPr="00082715">
        <w:rPr>
          <w:rFonts w:eastAsia="Times New Roman" w:cs="Arial"/>
          <w:color w:val="000000"/>
          <w:szCs w:val="20"/>
          <w:lang w:val="ru-RU"/>
        </w:rPr>
        <w:t xml:space="preserve">/12,5 </w:t>
      </w:r>
      <w:r w:rsidRPr="00082715">
        <w:rPr>
          <w:rFonts w:eastAsia="Times New Roman" w:cs="Arial"/>
          <w:color w:val="000000"/>
          <w:szCs w:val="20"/>
          <w:lang w:val="en-US"/>
        </w:rPr>
        <w:t>mg</w:t>
      </w:r>
      <w:r w:rsidRPr="00082715">
        <w:rPr>
          <w:rFonts w:eastAsia="Times New Roman" w:cs="Arial"/>
          <w:color w:val="000000"/>
          <w:szCs w:val="20"/>
          <w:lang w:val="ru-RU"/>
        </w:rPr>
        <w:t>.</w:t>
      </w:r>
    </w:p>
    <w:p w14:paraId="064B591D" w14:textId="77777777" w:rsidR="00082715" w:rsidRPr="00082715" w:rsidRDefault="00082715" w:rsidP="00082715">
      <w:pPr>
        <w:spacing w:line="240" w:lineRule="auto"/>
        <w:rPr>
          <w:rFonts w:eastAsia="Times New Roman" w:cs="Arial"/>
          <w:color w:val="000000"/>
          <w:szCs w:val="20"/>
          <w:lang w:eastAsia="bg-BG"/>
        </w:rPr>
      </w:pPr>
    </w:p>
    <w:p w14:paraId="45666C19" w14:textId="4321E497" w:rsidR="00082715" w:rsidRPr="00082715" w:rsidRDefault="00082715" w:rsidP="00082715">
      <w:pPr>
        <w:spacing w:line="240" w:lineRule="auto"/>
        <w:rPr>
          <w:rFonts w:eastAsia="Times New Roman" w:cs="Arial"/>
          <w:sz w:val="28"/>
          <w:szCs w:val="24"/>
        </w:rPr>
      </w:pPr>
      <w:r w:rsidRPr="00082715">
        <w:rPr>
          <w:rFonts w:eastAsia="Times New Roman" w:cs="Arial"/>
          <w:color w:val="000000"/>
          <w:szCs w:val="20"/>
          <w:lang w:eastAsia="bg-BG"/>
        </w:rPr>
        <w:t xml:space="preserve">Не се препоръчва еднократен дневен прием на дози, по-високи от 300 </w:t>
      </w:r>
      <w:r w:rsidRPr="00082715">
        <w:rPr>
          <w:rFonts w:eastAsia="Times New Roman" w:cs="Arial"/>
          <w:color w:val="000000"/>
          <w:szCs w:val="20"/>
          <w:lang w:val="en-US"/>
        </w:rPr>
        <w:t>mg</w:t>
      </w:r>
      <w:r w:rsidRPr="00082715">
        <w:rPr>
          <w:rFonts w:eastAsia="Times New Roman" w:cs="Arial"/>
          <w:color w:val="000000"/>
          <w:szCs w:val="20"/>
          <w:lang w:val="ru-RU"/>
        </w:rPr>
        <w:t xml:space="preserve"> </w:t>
      </w:r>
      <w:r w:rsidRPr="00082715">
        <w:rPr>
          <w:rFonts w:eastAsia="Times New Roman" w:cs="Arial"/>
          <w:color w:val="000000"/>
          <w:szCs w:val="20"/>
          <w:lang w:eastAsia="bg-BG"/>
        </w:rPr>
        <w:t xml:space="preserve">ирбесартан и 25 </w:t>
      </w:r>
      <w:r w:rsidRPr="00082715">
        <w:rPr>
          <w:rFonts w:eastAsia="Times New Roman" w:cs="Arial"/>
          <w:color w:val="000000"/>
          <w:szCs w:val="20"/>
          <w:lang w:val="en-US"/>
        </w:rPr>
        <w:t>mg</w:t>
      </w:r>
      <w:r w:rsidRPr="00082715">
        <w:rPr>
          <w:rFonts w:eastAsia="Times New Roman" w:cs="Arial"/>
          <w:color w:val="000000"/>
          <w:szCs w:val="20"/>
          <w:lang w:val="ru-RU"/>
        </w:rPr>
        <w:t xml:space="preserve"> </w:t>
      </w:r>
      <w:r w:rsidRPr="00082715">
        <w:rPr>
          <w:rFonts w:eastAsia="Times New Roman" w:cs="Arial"/>
          <w:color w:val="000000"/>
          <w:szCs w:val="20"/>
          <w:lang w:eastAsia="bg-BG"/>
        </w:rPr>
        <w:t>хидрохлоротиазид. Когато е необходимо, ирбесартан/хидрохлоротиазид може да бъде прилаган заедно с друг антихипертензивен лекарствен продукт (вж. точка 4.5).</w:t>
      </w:r>
    </w:p>
    <w:p w14:paraId="71183F6E" w14:textId="77777777" w:rsidR="00082715" w:rsidRPr="00082715" w:rsidRDefault="00082715" w:rsidP="00082715">
      <w:pPr>
        <w:rPr>
          <w:rFonts w:eastAsia="Times New Roman" w:cs="Arial"/>
          <w:color w:val="000000"/>
          <w:szCs w:val="20"/>
          <w:u w:val="single"/>
          <w:lang w:eastAsia="bg-BG"/>
        </w:rPr>
      </w:pPr>
    </w:p>
    <w:p w14:paraId="52D9C4D1" w14:textId="4A466143" w:rsidR="00082715" w:rsidRPr="00082715" w:rsidRDefault="00082715" w:rsidP="00082715">
      <w:pPr>
        <w:rPr>
          <w:rFonts w:eastAsia="Times New Roman" w:cs="Arial"/>
          <w:color w:val="000000"/>
          <w:szCs w:val="20"/>
          <w:lang w:eastAsia="bg-BG"/>
        </w:rPr>
      </w:pPr>
      <w:r w:rsidRPr="00082715">
        <w:rPr>
          <w:rFonts w:eastAsia="Times New Roman" w:cs="Arial"/>
          <w:color w:val="000000"/>
          <w:szCs w:val="20"/>
          <w:u w:val="single"/>
          <w:lang w:eastAsia="bg-BG"/>
        </w:rPr>
        <w:t>Бъбречно увреждане:</w:t>
      </w:r>
      <w:r w:rsidRPr="00082715">
        <w:rPr>
          <w:rFonts w:eastAsia="Times New Roman" w:cs="Arial"/>
          <w:color w:val="000000"/>
          <w:szCs w:val="20"/>
          <w:lang w:eastAsia="bg-BG"/>
        </w:rPr>
        <w:t xml:space="preserve"> поради съдържанието на хидрохлоротиазид, ирбесартан/хидрохлоротиазид не се препоръчва при пациенти с тежка бъбречна дисфункция (креатининов клирънс </w:t>
      </w:r>
      <w:r w:rsidRPr="00082715">
        <w:rPr>
          <w:rFonts w:eastAsia="Times New Roman" w:cs="Arial"/>
          <w:color w:val="000000"/>
          <w:szCs w:val="20"/>
          <w:lang w:val="ru-RU"/>
        </w:rPr>
        <w:t>&lt;30</w:t>
      </w:r>
      <w:r w:rsidRPr="00082715">
        <w:rPr>
          <w:rFonts w:eastAsia="Times New Roman" w:cs="Arial"/>
          <w:color w:val="000000"/>
          <w:szCs w:val="20"/>
          <w:lang w:val="en-US"/>
        </w:rPr>
        <w:t>ml</w:t>
      </w:r>
      <w:r w:rsidRPr="00082715">
        <w:rPr>
          <w:rFonts w:eastAsia="Times New Roman" w:cs="Arial"/>
          <w:color w:val="000000"/>
          <w:szCs w:val="20"/>
          <w:lang w:val="ru-RU"/>
        </w:rPr>
        <w:t>/</w:t>
      </w:r>
      <w:r w:rsidRPr="00082715">
        <w:rPr>
          <w:rFonts w:eastAsia="Times New Roman" w:cs="Arial"/>
          <w:color w:val="000000"/>
          <w:szCs w:val="20"/>
          <w:lang w:val="en-US"/>
        </w:rPr>
        <w:t>min</w:t>
      </w:r>
      <w:r w:rsidRPr="00082715">
        <w:rPr>
          <w:rFonts w:eastAsia="Times New Roman" w:cs="Arial"/>
          <w:color w:val="000000"/>
          <w:szCs w:val="20"/>
          <w:lang w:val="ru-RU"/>
        </w:rPr>
        <w:t xml:space="preserve">). </w:t>
      </w:r>
      <w:r w:rsidRPr="00082715">
        <w:rPr>
          <w:rFonts w:eastAsia="Times New Roman" w:cs="Arial"/>
          <w:color w:val="000000"/>
          <w:szCs w:val="20"/>
          <w:lang w:eastAsia="bg-BG"/>
        </w:rPr>
        <w:t xml:space="preserve">При тази група за предпочитане са бримковите, вместо тиазидните диуретици. Не е необходимо адаптиране на дозата при пациенти с увредена бъбречна функция, чийто креатининов клирънс е &gt; 30 </w:t>
      </w:r>
      <w:r w:rsidRPr="00082715">
        <w:rPr>
          <w:rFonts w:eastAsia="Times New Roman" w:cs="Arial"/>
          <w:color w:val="000000"/>
          <w:szCs w:val="20"/>
          <w:lang w:val="en-US"/>
        </w:rPr>
        <w:t>ml</w:t>
      </w:r>
      <w:r w:rsidRPr="00082715">
        <w:rPr>
          <w:rFonts w:eastAsia="Times New Roman" w:cs="Arial"/>
          <w:color w:val="000000"/>
          <w:szCs w:val="20"/>
          <w:lang w:val="ru-RU"/>
        </w:rPr>
        <w:t>/</w:t>
      </w:r>
      <w:r w:rsidRPr="00082715">
        <w:rPr>
          <w:rFonts w:eastAsia="Times New Roman" w:cs="Arial"/>
          <w:color w:val="000000"/>
          <w:szCs w:val="20"/>
          <w:lang w:val="en-US"/>
        </w:rPr>
        <w:t>min</w:t>
      </w:r>
      <w:r w:rsidRPr="00082715">
        <w:rPr>
          <w:rFonts w:eastAsia="Times New Roman" w:cs="Arial"/>
          <w:color w:val="000000"/>
          <w:szCs w:val="20"/>
          <w:lang w:val="ru-RU"/>
        </w:rPr>
        <w:t xml:space="preserve"> </w:t>
      </w:r>
      <w:r w:rsidRPr="00082715">
        <w:rPr>
          <w:rFonts w:eastAsia="Times New Roman" w:cs="Arial"/>
          <w:color w:val="000000"/>
          <w:szCs w:val="20"/>
          <w:lang w:eastAsia="bg-BG"/>
        </w:rPr>
        <w:t>(вж. точки 4.3 и 4.4).</w:t>
      </w:r>
    </w:p>
    <w:p w14:paraId="090E1C63" w14:textId="7D63BBA8" w:rsidR="00082715" w:rsidRPr="00082715" w:rsidRDefault="00082715" w:rsidP="00082715">
      <w:pPr>
        <w:rPr>
          <w:rFonts w:eastAsia="Times New Roman" w:cs="Arial"/>
          <w:color w:val="000000"/>
          <w:szCs w:val="20"/>
          <w:lang w:eastAsia="bg-BG"/>
        </w:rPr>
      </w:pPr>
    </w:p>
    <w:p w14:paraId="47BFAF76" w14:textId="77777777" w:rsidR="00082715" w:rsidRPr="00082715" w:rsidRDefault="00082715" w:rsidP="00082715">
      <w:pPr>
        <w:spacing w:line="240" w:lineRule="auto"/>
        <w:rPr>
          <w:rFonts w:eastAsia="Times New Roman" w:cs="Arial"/>
          <w:sz w:val="28"/>
          <w:szCs w:val="24"/>
        </w:rPr>
      </w:pPr>
      <w:r w:rsidRPr="00082715">
        <w:rPr>
          <w:rFonts w:eastAsia="Times New Roman" w:cs="Arial"/>
          <w:color w:val="000000"/>
          <w:szCs w:val="20"/>
          <w:u w:val="single"/>
          <w:lang w:eastAsia="bg-BG"/>
        </w:rPr>
        <w:t>Чернодробно увреждане:</w:t>
      </w:r>
      <w:r w:rsidRPr="00082715">
        <w:rPr>
          <w:rFonts w:eastAsia="Times New Roman" w:cs="Arial"/>
          <w:color w:val="000000"/>
          <w:szCs w:val="20"/>
          <w:lang w:eastAsia="bg-BG"/>
        </w:rPr>
        <w:t xml:space="preserve"> Ирбесартан/хидрохлоротиазид не е показан при пациенти с тежко чернодробно увреждане. Необходимо е повишено внимание при приложението на тиазиди при пациенти с увредена чернодробна функция. Не е необходима промяна на дозата при пациенти с леко до умерено чернодробно увреждане (вж. точка 4.3).</w:t>
      </w:r>
    </w:p>
    <w:p w14:paraId="712395E1" w14:textId="77777777" w:rsidR="00082715" w:rsidRPr="00082715" w:rsidRDefault="00082715" w:rsidP="00082715">
      <w:pPr>
        <w:spacing w:line="240" w:lineRule="auto"/>
        <w:rPr>
          <w:rFonts w:eastAsia="Times New Roman" w:cs="Arial"/>
          <w:color w:val="000000"/>
          <w:szCs w:val="20"/>
          <w:u w:val="single"/>
          <w:lang w:eastAsia="bg-BG"/>
        </w:rPr>
      </w:pPr>
    </w:p>
    <w:p w14:paraId="1FBB1D6F" w14:textId="31CF19F5" w:rsidR="00082715" w:rsidRPr="00082715" w:rsidRDefault="00082715" w:rsidP="00082715">
      <w:pPr>
        <w:spacing w:line="240" w:lineRule="auto"/>
        <w:rPr>
          <w:rFonts w:eastAsia="Times New Roman" w:cs="Arial"/>
          <w:sz w:val="28"/>
          <w:szCs w:val="24"/>
        </w:rPr>
      </w:pPr>
      <w:r w:rsidRPr="00082715">
        <w:rPr>
          <w:rFonts w:eastAsia="Times New Roman" w:cs="Arial"/>
          <w:color w:val="000000"/>
          <w:szCs w:val="20"/>
          <w:u w:val="single"/>
          <w:lang w:eastAsia="bg-BG"/>
        </w:rPr>
        <w:t>Пациенти в старческа възраст:</w:t>
      </w:r>
      <w:r w:rsidRPr="00082715">
        <w:rPr>
          <w:rFonts w:eastAsia="Times New Roman" w:cs="Arial"/>
          <w:color w:val="000000"/>
          <w:szCs w:val="20"/>
          <w:lang w:eastAsia="bg-BG"/>
        </w:rPr>
        <w:t xml:space="preserve"> не се налага промяна на дозата на ирбесартан/хидрохлоротиазид при пациентите в старческа възраст.</w:t>
      </w:r>
    </w:p>
    <w:p w14:paraId="408462CD" w14:textId="77777777" w:rsidR="00082715" w:rsidRPr="00082715" w:rsidRDefault="00082715" w:rsidP="00082715">
      <w:pPr>
        <w:spacing w:line="240" w:lineRule="auto"/>
        <w:rPr>
          <w:rFonts w:eastAsia="Times New Roman" w:cs="Arial"/>
          <w:color w:val="000000"/>
          <w:szCs w:val="20"/>
          <w:u w:val="single"/>
          <w:lang w:eastAsia="bg-BG"/>
        </w:rPr>
      </w:pPr>
    </w:p>
    <w:p w14:paraId="6864DD73" w14:textId="0090727A" w:rsidR="00082715" w:rsidRPr="00082715" w:rsidRDefault="00082715" w:rsidP="00082715">
      <w:pPr>
        <w:spacing w:line="240" w:lineRule="auto"/>
        <w:rPr>
          <w:rFonts w:ascii="Times New Roman" w:eastAsia="Times New Roman" w:hAnsi="Times New Roman" w:cs="Times New Roman"/>
          <w:sz w:val="24"/>
          <w:szCs w:val="24"/>
        </w:rPr>
      </w:pPr>
      <w:r w:rsidRPr="00082715">
        <w:rPr>
          <w:rFonts w:eastAsia="Times New Roman" w:cs="Arial"/>
          <w:color w:val="000000"/>
          <w:szCs w:val="20"/>
          <w:u w:val="single"/>
          <w:lang w:eastAsia="bg-BG"/>
        </w:rPr>
        <w:t>Педиатрични пациенти</w:t>
      </w:r>
      <w:r w:rsidRPr="00082715">
        <w:rPr>
          <w:rFonts w:eastAsia="Times New Roman" w:cs="Arial"/>
          <w:color w:val="000000"/>
          <w:szCs w:val="20"/>
          <w:lang w:eastAsia="bg-BG"/>
        </w:rPr>
        <w:t>: ирбесартан/хидрохлоротиазид не се препоръчва за употреба при деца и юноши поради липса на данни за безопасност и ефикасност.</w:t>
      </w:r>
    </w:p>
    <w:p w14:paraId="002F9C48" w14:textId="3D8B2A02" w:rsidR="000677AB" w:rsidRPr="00082715" w:rsidRDefault="000677AB" w:rsidP="00082715"/>
    <w:p w14:paraId="0F253247" w14:textId="2189DAF7" w:rsidR="007122AD" w:rsidRDefault="002C50EE" w:rsidP="00936AD0">
      <w:pPr>
        <w:pStyle w:val="Heading2"/>
      </w:pPr>
      <w:r>
        <w:t>4.3. Противопоказания</w:t>
      </w:r>
    </w:p>
    <w:p w14:paraId="40A1E875" w14:textId="1E5FA939" w:rsidR="000677AB" w:rsidRDefault="000677AB" w:rsidP="000677AB"/>
    <w:p w14:paraId="55E1CA21" w14:textId="77777777" w:rsidR="000677AB" w:rsidRPr="000677AB" w:rsidRDefault="000677AB" w:rsidP="000677AB">
      <w:pPr>
        <w:pStyle w:val="ListParagraph"/>
        <w:numPr>
          <w:ilvl w:val="0"/>
          <w:numId w:val="38"/>
        </w:numPr>
        <w:rPr>
          <w:lang w:eastAsia="bg-BG"/>
        </w:rPr>
      </w:pPr>
      <w:r w:rsidRPr="000677AB">
        <w:rPr>
          <w:lang w:eastAsia="bg-BG"/>
        </w:rPr>
        <w:t>Свръхчувствителност към активните съставки или към някое от помощните вещества изброени в точка 6.1, или към други производни на сулфонамидите (хидрохлоротиазид е производно на сулфонамидите);</w:t>
      </w:r>
    </w:p>
    <w:p w14:paraId="52142EBA" w14:textId="77777777" w:rsidR="000677AB" w:rsidRPr="000677AB" w:rsidRDefault="000677AB" w:rsidP="000677AB">
      <w:pPr>
        <w:pStyle w:val="ListParagraph"/>
        <w:numPr>
          <w:ilvl w:val="0"/>
          <w:numId w:val="38"/>
        </w:numPr>
        <w:rPr>
          <w:lang w:eastAsia="bg-BG"/>
        </w:rPr>
      </w:pPr>
      <w:r w:rsidRPr="000677AB">
        <w:rPr>
          <w:lang w:eastAsia="bg-BG"/>
        </w:rPr>
        <w:t>Втори и трети триместри на бременността (вж. точки 4.4 и 4.6);</w:t>
      </w:r>
    </w:p>
    <w:p w14:paraId="6B516E22" w14:textId="77777777" w:rsidR="000677AB" w:rsidRPr="000677AB" w:rsidRDefault="000677AB" w:rsidP="000677AB">
      <w:pPr>
        <w:pStyle w:val="ListParagraph"/>
        <w:numPr>
          <w:ilvl w:val="0"/>
          <w:numId w:val="38"/>
        </w:numPr>
        <w:rPr>
          <w:lang w:eastAsia="bg-BG"/>
        </w:rPr>
      </w:pPr>
      <w:r w:rsidRPr="000677AB">
        <w:rPr>
          <w:lang w:eastAsia="bg-BG"/>
        </w:rPr>
        <w:t xml:space="preserve">Тежко бъбречно увреждане (креатининов клирънс &lt; 30 </w:t>
      </w:r>
      <w:r w:rsidRPr="000677AB">
        <w:rPr>
          <w:lang w:val="en-US"/>
        </w:rPr>
        <w:t>ml</w:t>
      </w:r>
      <w:r w:rsidRPr="000677AB">
        <w:rPr>
          <w:lang w:val="ru-RU"/>
        </w:rPr>
        <w:t>/</w:t>
      </w:r>
      <w:r w:rsidRPr="000677AB">
        <w:rPr>
          <w:lang w:val="en-US"/>
        </w:rPr>
        <w:t>min</w:t>
      </w:r>
      <w:r w:rsidRPr="000677AB">
        <w:rPr>
          <w:lang w:val="ru-RU"/>
        </w:rPr>
        <w:t>);</w:t>
      </w:r>
    </w:p>
    <w:p w14:paraId="2DFB0304" w14:textId="77777777" w:rsidR="000677AB" w:rsidRPr="000677AB" w:rsidRDefault="000677AB" w:rsidP="000677AB">
      <w:pPr>
        <w:pStyle w:val="ListParagraph"/>
        <w:numPr>
          <w:ilvl w:val="0"/>
          <w:numId w:val="38"/>
        </w:numPr>
        <w:rPr>
          <w:lang w:eastAsia="bg-BG"/>
        </w:rPr>
      </w:pPr>
      <w:r w:rsidRPr="000677AB">
        <w:rPr>
          <w:lang w:eastAsia="bg-BG"/>
        </w:rPr>
        <w:t>Рефракгерна хипокалиемия, хиперкалцемия;</w:t>
      </w:r>
    </w:p>
    <w:p w14:paraId="11AF8341" w14:textId="77777777" w:rsidR="000677AB" w:rsidRPr="000677AB" w:rsidRDefault="000677AB" w:rsidP="000677AB">
      <w:pPr>
        <w:pStyle w:val="ListParagraph"/>
        <w:numPr>
          <w:ilvl w:val="0"/>
          <w:numId w:val="38"/>
        </w:numPr>
        <w:rPr>
          <w:lang w:eastAsia="bg-BG"/>
        </w:rPr>
      </w:pPr>
      <w:r w:rsidRPr="000677AB">
        <w:rPr>
          <w:lang w:eastAsia="bg-BG"/>
        </w:rPr>
        <w:t>Тежко чернодробно увреждане, билиарна цироза и холестаза.</w:t>
      </w:r>
    </w:p>
    <w:p w14:paraId="4712F6E9" w14:textId="3D9713F3" w:rsidR="000677AB" w:rsidRPr="000677AB" w:rsidRDefault="000677AB" w:rsidP="000677AB"/>
    <w:p w14:paraId="0E0BDCC7" w14:textId="526900CC" w:rsidR="007122AD" w:rsidRDefault="002C50EE" w:rsidP="00936AD0">
      <w:pPr>
        <w:pStyle w:val="Heading2"/>
      </w:pPr>
      <w:r>
        <w:t>4.4. Специални предупреждения и предпазни мерки при употреба</w:t>
      </w:r>
    </w:p>
    <w:p w14:paraId="21506D86" w14:textId="2586783C" w:rsidR="000677AB" w:rsidRDefault="000677AB" w:rsidP="000677AB"/>
    <w:p w14:paraId="2FE943B5" w14:textId="77777777"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u w:val="single"/>
          <w:lang w:eastAsia="bg-BG"/>
        </w:rPr>
        <w:t>Хипотония - пациенти с намален вътресъдов обем:</w:t>
      </w:r>
      <w:r w:rsidRPr="000677AB">
        <w:rPr>
          <w:rFonts w:eastAsia="Times New Roman" w:cs="Arial"/>
          <w:color w:val="000000"/>
          <w:szCs w:val="20"/>
          <w:lang w:eastAsia="bg-BG"/>
        </w:rPr>
        <w:t xml:space="preserve"> ирбесартан/хидрохлоротиазид рядко води до симптоматична хипотония при хипертензивни пациенти без други рискови фактори за хипотония. Симптоматична хипотония може да се очаква при пациенти с недостатъчен обем и/или недостиг на натрий в резултат на интензивна диуретична терапия, диета с ограничен прием на натрий или повръщане. Тези състояния трябва да бъдат коригирани преди започване на лечението с Ирбесартан/Хидрохлоротиазид.</w:t>
      </w:r>
    </w:p>
    <w:p w14:paraId="02C3D304" w14:textId="77777777" w:rsidR="000677AB" w:rsidRPr="000677AB" w:rsidRDefault="000677AB" w:rsidP="000677AB">
      <w:pPr>
        <w:spacing w:line="240" w:lineRule="auto"/>
        <w:rPr>
          <w:rFonts w:eastAsia="Times New Roman" w:cs="Arial"/>
          <w:color w:val="000000"/>
          <w:szCs w:val="20"/>
          <w:u w:val="single"/>
          <w:lang w:eastAsia="bg-BG"/>
        </w:rPr>
      </w:pPr>
    </w:p>
    <w:p w14:paraId="22D746DB" w14:textId="594337E3"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u w:val="single"/>
          <w:lang w:eastAsia="bg-BG"/>
        </w:rPr>
        <w:t>Стеноза на бъбречната артерия - Реноваскуларна хипертония:</w:t>
      </w:r>
      <w:r w:rsidRPr="000677AB">
        <w:rPr>
          <w:rFonts w:eastAsia="Times New Roman" w:cs="Arial"/>
          <w:color w:val="000000"/>
          <w:szCs w:val="20"/>
          <w:lang w:eastAsia="bg-BG"/>
        </w:rPr>
        <w:t xml:space="preserve"> съществува повишен риск от тежка хипотония и бъбречна недостатъчност, в случай че пациенти с двустранна стеноза на бъбречната артерия или стеноза на артерията на единствения функциониращ бъбрек бъдат лекувани с инхибитори на ангиотензин-конвертиращия ензим или ангиотензин-</w:t>
      </w:r>
      <w:r w:rsidRPr="000677AB">
        <w:rPr>
          <w:rFonts w:eastAsia="Times New Roman" w:cs="Arial"/>
          <w:color w:val="000000"/>
          <w:szCs w:val="20"/>
          <w:lang w:val="en-US"/>
        </w:rPr>
        <w:t>II</w:t>
      </w:r>
      <w:r w:rsidRPr="000677AB">
        <w:rPr>
          <w:rFonts w:eastAsia="Times New Roman" w:cs="Arial"/>
          <w:color w:val="000000"/>
          <w:szCs w:val="20"/>
          <w:lang w:eastAsia="bg-BG"/>
        </w:rPr>
        <w:t xml:space="preserve"> рецепторни антагонисти. Въпреки че това не е документирано при Ирбесартан/Хидрохлоротиазид, подобен ефект трябва да се очаква.</w:t>
      </w:r>
    </w:p>
    <w:p w14:paraId="1120024E" w14:textId="77777777" w:rsidR="000677AB" w:rsidRPr="000677AB" w:rsidRDefault="000677AB" w:rsidP="000677AB">
      <w:pPr>
        <w:spacing w:line="240" w:lineRule="auto"/>
        <w:rPr>
          <w:rFonts w:eastAsia="Times New Roman" w:cs="Arial"/>
          <w:color w:val="000000"/>
          <w:szCs w:val="20"/>
          <w:u w:val="single"/>
          <w:lang w:eastAsia="bg-BG"/>
        </w:rPr>
      </w:pPr>
    </w:p>
    <w:p w14:paraId="37C5F9B4" w14:textId="2D82E1DF"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u w:val="single"/>
          <w:lang w:eastAsia="bg-BG"/>
        </w:rPr>
        <w:t>Бъбречно увреждане и бъбречна трансплантация:</w:t>
      </w:r>
    </w:p>
    <w:p w14:paraId="4109466E" w14:textId="77777777"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lang w:eastAsia="bg-BG"/>
        </w:rPr>
        <w:t xml:space="preserve">В случай, че Ирбесартан/хидрохлоротиазид се прилага при пациенти с увредена бъбречна функция, се препоръчва периодично проследяване на серумните нива на креатинина и пикочната киселина. Няма опит с приложението на Ирбесартан/хидрохлоротиазид при пациенти със скорошна бъбречна трансплантация. ирбесартан/хидрохлоротиазид не трябва да се прилага при пациенти с тежко бъбречно увреждане (креатининов клирънс &lt; 30 </w:t>
      </w:r>
      <w:r w:rsidRPr="000677AB">
        <w:rPr>
          <w:rFonts w:eastAsia="Times New Roman" w:cs="Arial"/>
          <w:color w:val="000000"/>
          <w:szCs w:val="20"/>
          <w:lang w:val="en-US"/>
        </w:rPr>
        <w:t>ml</w:t>
      </w:r>
      <w:r w:rsidRPr="000677AB">
        <w:rPr>
          <w:rFonts w:eastAsia="Times New Roman" w:cs="Arial"/>
          <w:color w:val="000000"/>
          <w:szCs w:val="20"/>
          <w:lang w:val="ru-RU"/>
        </w:rPr>
        <w:t>/</w:t>
      </w:r>
      <w:r w:rsidRPr="000677AB">
        <w:rPr>
          <w:rFonts w:eastAsia="Times New Roman" w:cs="Arial"/>
          <w:color w:val="000000"/>
          <w:szCs w:val="20"/>
          <w:lang w:val="en-US"/>
        </w:rPr>
        <w:t>min</w:t>
      </w:r>
      <w:r w:rsidRPr="000677AB">
        <w:rPr>
          <w:rFonts w:eastAsia="Times New Roman" w:cs="Arial"/>
          <w:color w:val="000000"/>
          <w:szCs w:val="20"/>
          <w:lang w:val="ru-RU"/>
        </w:rPr>
        <w:t xml:space="preserve">) </w:t>
      </w:r>
      <w:r w:rsidRPr="000677AB">
        <w:rPr>
          <w:rFonts w:eastAsia="Times New Roman" w:cs="Arial"/>
          <w:color w:val="000000"/>
          <w:szCs w:val="20"/>
          <w:lang w:eastAsia="bg-BG"/>
        </w:rPr>
        <w:t xml:space="preserve">(вж. точка 4.3). Свързана с тиазидните диуретици азотемия може да се появи при пациенти с увредена бъбречна функция. Не е необходима промяна на дозата при пациенти с бъбречно увреждане, чийто креатининов клирънс е &gt; 30 </w:t>
      </w:r>
      <w:r w:rsidRPr="000677AB">
        <w:rPr>
          <w:rFonts w:eastAsia="Times New Roman" w:cs="Arial"/>
          <w:color w:val="000000"/>
          <w:szCs w:val="20"/>
          <w:lang w:val="en-US"/>
        </w:rPr>
        <w:t>ml</w:t>
      </w:r>
      <w:r w:rsidRPr="000677AB">
        <w:rPr>
          <w:rFonts w:eastAsia="Times New Roman" w:cs="Arial"/>
          <w:color w:val="000000"/>
          <w:szCs w:val="20"/>
          <w:lang w:val="ru-RU"/>
        </w:rPr>
        <w:t>/</w:t>
      </w:r>
      <w:r w:rsidRPr="000677AB">
        <w:rPr>
          <w:rFonts w:eastAsia="Times New Roman" w:cs="Arial"/>
          <w:color w:val="000000"/>
          <w:szCs w:val="20"/>
          <w:lang w:val="en-US"/>
        </w:rPr>
        <w:t>min</w:t>
      </w:r>
      <w:r w:rsidRPr="000677AB">
        <w:rPr>
          <w:rFonts w:eastAsia="Times New Roman" w:cs="Arial"/>
          <w:color w:val="000000"/>
          <w:szCs w:val="20"/>
          <w:lang w:val="ru-RU"/>
        </w:rPr>
        <w:t xml:space="preserve">. </w:t>
      </w:r>
      <w:r w:rsidRPr="000677AB">
        <w:rPr>
          <w:rFonts w:eastAsia="Times New Roman" w:cs="Arial"/>
          <w:color w:val="000000"/>
          <w:szCs w:val="20"/>
          <w:lang w:eastAsia="bg-BG"/>
        </w:rPr>
        <w:t xml:space="preserve">Въпреки това, при пациентите с леко до умерено бъбречно увреждане (креатининов клирънс &gt; 30 </w:t>
      </w:r>
      <w:r w:rsidRPr="000677AB">
        <w:rPr>
          <w:rFonts w:eastAsia="Times New Roman" w:cs="Arial"/>
          <w:color w:val="000000"/>
          <w:szCs w:val="20"/>
          <w:lang w:val="en-US"/>
        </w:rPr>
        <w:t>ml</w:t>
      </w:r>
      <w:r w:rsidRPr="000677AB">
        <w:rPr>
          <w:rFonts w:eastAsia="Times New Roman" w:cs="Arial"/>
          <w:color w:val="000000"/>
          <w:szCs w:val="20"/>
          <w:lang w:val="ru-RU"/>
        </w:rPr>
        <w:t>/</w:t>
      </w:r>
      <w:r w:rsidRPr="000677AB">
        <w:rPr>
          <w:rFonts w:eastAsia="Times New Roman" w:cs="Arial"/>
          <w:color w:val="000000"/>
          <w:szCs w:val="20"/>
          <w:lang w:val="en-US"/>
        </w:rPr>
        <w:t>min</w:t>
      </w:r>
      <w:r w:rsidRPr="000677AB">
        <w:rPr>
          <w:rFonts w:eastAsia="Times New Roman" w:cs="Arial"/>
          <w:color w:val="000000"/>
          <w:szCs w:val="20"/>
          <w:lang w:val="ru-RU"/>
        </w:rPr>
        <w:t xml:space="preserve">, </w:t>
      </w:r>
      <w:r w:rsidRPr="000677AB">
        <w:rPr>
          <w:rFonts w:eastAsia="Times New Roman" w:cs="Arial"/>
          <w:color w:val="000000"/>
          <w:szCs w:val="20"/>
          <w:lang w:eastAsia="bg-BG"/>
        </w:rPr>
        <w:t xml:space="preserve">но &lt; 60 </w:t>
      </w:r>
      <w:r w:rsidRPr="000677AB">
        <w:rPr>
          <w:rFonts w:eastAsia="Times New Roman" w:cs="Arial"/>
          <w:color w:val="000000"/>
          <w:szCs w:val="20"/>
          <w:lang w:val="en-US"/>
        </w:rPr>
        <w:t>ml</w:t>
      </w:r>
      <w:r w:rsidRPr="000677AB">
        <w:rPr>
          <w:rFonts w:eastAsia="Times New Roman" w:cs="Arial"/>
          <w:color w:val="000000"/>
          <w:szCs w:val="20"/>
          <w:lang w:val="ru-RU"/>
        </w:rPr>
        <w:t>/</w:t>
      </w:r>
      <w:r w:rsidRPr="000677AB">
        <w:rPr>
          <w:rFonts w:eastAsia="Times New Roman" w:cs="Arial"/>
          <w:color w:val="000000"/>
          <w:szCs w:val="20"/>
          <w:lang w:val="en-US"/>
        </w:rPr>
        <w:t>min</w:t>
      </w:r>
      <w:r w:rsidRPr="000677AB">
        <w:rPr>
          <w:rFonts w:eastAsia="Times New Roman" w:cs="Arial"/>
          <w:color w:val="000000"/>
          <w:szCs w:val="20"/>
          <w:lang w:val="ru-RU"/>
        </w:rPr>
        <w:t xml:space="preserve">), </w:t>
      </w:r>
      <w:r w:rsidRPr="000677AB">
        <w:rPr>
          <w:rFonts w:eastAsia="Times New Roman" w:cs="Arial"/>
          <w:color w:val="000000"/>
          <w:szCs w:val="20"/>
          <w:lang w:eastAsia="bg-BG"/>
        </w:rPr>
        <w:t>тази фиксирана дозова комбинация трябва да се прилага с повишено внимание.</w:t>
      </w:r>
    </w:p>
    <w:p w14:paraId="2612E6AE" w14:textId="77777777" w:rsidR="000677AB" w:rsidRPr="000677AB" w:rsidRDefault="000677AB" w:rsidP="000677AB">
      <w:pPr>
        <w:spacing w:line="240" w:lineRule="auto"/>
        <w:rPr>
          <w:rFonts w:eastAsia="Times New Roman" w:cs="Arial"/>
          <w:color w:val="000000"/>
          <w:szCs w:val="20"/>
          <w:u w:val="single"/>
          <w:lang w:eastAsia="bg-BG"/>
        </w:rPr>
      </w:pPr>
    </w:p>
    <w:p w14:paraId="1BDFD436" w14:textId="14053019"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u w:val="single"/>
          <w:lang w:eastAsia="bg-BG"/>
        </w:rPr>
        <w:t>Чернодробно увреждане:</w:t>
      </w:r>
      <w:r w:rsidRPr="000677AB">
        <w:rPr>
          <w:rFonts w:eastAsia="Times New Roman" w:cs="Arial"/>
          <w:color w:val="000000"/>
          <w:szCs w:val="20"/>
          <w:lang w:eastAsia="bg-BG"/>
        </w:rPr>
        <w:t xml:space="preserve"> тиазидите трябва да се прилагат с внимание при пациентите с увредена чернодробна функция или прогресивно чернодробно заболяване, тъй като малки промени във водно-електролитния баланс може да ускорят появата на чернодробна кома. Няма клиничен опит с ирбесартан/хидрохлоротиазид при пациенти с чернодробно увреждане.</w:t>
      </w:r>
    </w:p>
    <w:p w14:paraId="30BDC224" w14:textId="77777777" w:rsidR="000677AB" w:rsidRPr="000677AB" w:rsidRDefault="000677AB" w:rsidP="000677AB">
      <w:pPr>
        <w:rPr>
          <w:rFonts w:eastAsia="Times New Roman" w:cs="Arial"/>
          <w:color w:val="000000"/>
          <w:szCs w:val="20"/>
          <w:u w:val="single"/>
          <w:lang w:eastAsia="bg-BG"/>
        </w:rPr>
      </w:pPr>
    </w:p>
    <w:p w14:paraId="38851C5C" w14:textId="77777777" w:rsidR="000677AB" w:rsidRPr="000677AB" w:rsidRDefault="000677AB" w:rsidP="000677AB">
      <w:pPr>
        <w:rPr>
          <w:rFonts w:eastAsia="Times New Roman" w:cs="Arial"/>
          <w:sz w:val="28"/>
          <w:szCs w:val="24"/>
        </w:rPr>
      </w:pPr>
      <w:r w:rsidRPr="000677AB">
        <w:rPr>
          <w:rFonts w:eastAsia="Times New Roman" w:cs="Arial"/>
          <w:color w:val="000000"/>
          <w:szCs w:val="20"/>
          <w:u w:val="single"/>
          <w:lang w:eastAsia="bg-BG"/>
        </w:rPr>
        <w:t xml:space="preserve">Аортна стеноза и стеноза на митралната клапа, обструктивна хипертрофична кардиомиопатия: </w:t>
      </w:r>
      <w:r w:rsidRPr="000677AB">
        <w:rPr>
          <w:rFonts w:eastAsia="Times New Roman" w:cs="Arial"/>
          <w:color w:val="000000"/>
          <w:szCs w:val="20"/>
          <w:lang w:eastAsia="bg-BG"/>
        </w:rPr>
        <w:t>както и при останалите вазодилататори, необходимо е повишено внимание при пациентите, страдащи от аортна стеноза или стеноза на митралната клапа или обструктивна хипертрофична кардиомиопатия.</w:t>
      </w:r>
    </w:p>
    <w:p w14:paraId="5E2E81F9" w14:textId="77777777" w:rsidR="000677AB" w:rsidRPr="000677AB" w:rsidRDefault="000677AB" w:rsidP="000677AB">
      <w:pPr>
        <w:spacing w:line="240" w:lineRule="auto"/>
        <w:rPr>
          <w:rFonts w:eastAsia="Times New Roman" w:cs="Arial"/>
          <w:color w:val="000000"/>
          <w:szCs w:val="20"/>
          <w:u w:val="single"/>
          <w:lang w:eastAsia="bg-BG"/>
        </w:rPr>
      </w:pPr>
    </w:p>
    <w:p w14:paraId="659DD8C6" w14:textId="37F8C872"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u w:val="single"/>
          <w:lang w:eastAsia="bg-BG"/>
        </w:rPr>
        <w:t>Първичен алдостеронизъм:</w:t>
      </w:r>
      <w:r w:rsidRPr="000677AB">
        <w:rPr>
          <w:rFonts w:eastAsia="Times New Roman" w:cs="Arial"/>
          <w:color w:val="000000"/>
          <w:szCs w:val="20"/>
          <w:lang w:eastAsia="bg-BG"/>
        </w:rPr>
        <w:t xml:space="preserve"> пациентите с първичен алдостеронизъм обикновено не отговарят на антихипертензивни средства, действащи чрез инхибиране на системата ренин-ангиотензин. Ето защо не се препоръчва употребата на Ирбесартан/Хидрохлоротиазид.</w:t>
      </w:r>
    </w:p>
    <w:p w14:paraId="7675D2F5" w14:textId="77777777" w:rsidR="000677AB" w:rsidRPr="000677AB" w:rsidRDefault="000677AB" w:rsidP="000677AB">
      <w:pPr>
        <w:spacing w:line="240" w:lineRule="auto"/>
        <w:rPr>
          <w:rFonts w:eastAsia="Times New Roman" w:cs="Arial"/>
          <w:color w:val="000000"/>
          <w:szCs w:val="20"/>
          <w:u w:val="single"/>
          <w:lang w:eastAsia="bg-BG"/>
        </w:rPr>
      </w:pPr>
    </w:p>
    <w:p w14:paraId="73921E96" w14:textId="393D0F04"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u w:val="single"/>
          <w:lang w:eastAsia="bg-BG"/>
        </w:rPr>
        <w:t>Метаболитни и ендокринни ефекти:</w:t>
      </w:r>
      <w:r w:rsidRPr="000677AB">
        <w:rPr>
          <w:rFonts w:eastAsia="Times New Roman" w:cs="Arial"/>
          <w:color w:val="000000"/>
          <w:szCs w:val="20"/>
          <w:lang w:eastAsia="bg-BG"/>
        </w:rPr>
        <w:t xml:space="preserve"> лечението с тиазиди може да наруши глкжозния толеранс. При пациентите с диабет може да е необходима промяна на дозата на инсулина или пероралните хипогликемични средства. Латентният захарен диабет може да стане манифестен по време на лечението с тиазиди.</w:t>
      </w:r>
    </w:p>
    <w:p w14:paraId="47AC4798" w14:textId="77777777"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lang w:eastAsia="bg-BG"/>
        </w:rPr>
        <w:t xml:space="preserve">Повишение на холестерола и нивата на триглицеридите може да бъде свързано с тиазидната диуретична терапия, въпреки че при дозата от 12,5 </w:t>
      </w:r>
      <w:r w:rsidRPr="000677AB">
        <w:rPr>
          <w:rFonts w:eastAsia="Times New Roman" w:cs="Arial"/>
          <w:color w:val="000000"/>
          <w:szCs w:val="20"/>
          <w:lang w:val="en-US"/>
        </w:rPr>
        <w:t>mg</w:t>
      </w:r>
      <w:r w:rsidRPr="000677AB">
        <w:rPr>
          <w:rFonts w:eastAsia="Times New Roman" w:cs="Arial"/>
          <w:color w:val="000000"/>
          <w:szCs w:val="20"/>
          <w:lang w:val="ru-RU"/>
        </w:rPr>
        <w:t xml:space="preserve">, </w:t>
      </w:r>
      <w:r w:rsidRPr="000677AB">
        <w:rPr>
          <w:rFonts w:eastAsia="Times New Roman" w:cs="Arial"/>
          <w:color w:val="000000"/>
          <w:szCs w:val="20"/>
          <w:lang w:eastAsia="bg-BG"/>
        </w:rPr>
        <w:t>съдържаща се в Ирбесартан/Хидрохлоротиазид, е съобщаван минимален ефект или липса на такъв. При някои пациенти, приемащи тиазиди, е възможно ускоряване на появата на хиперурикемия или подагра.</w:t>
      </w:r>
    </w:p>
    <w:p w14:paraId="7FF349C0" w14:textId="77777777" w:rsidR="000677AB" w:rsidRPr="000677AB" w:rsidRDefault="000677AB" w:rsidP="000677AB">
      <w:pPr>
        <w:spacing w:line="240" w:lineRule="auto"/>
        <w:rPr>
          <w:rFonts w:eastAsia="Times New Roman" w:cs="Arial"/>
          <w:color w:val="000000"/>
          <w:szCs w:val="20"/>
          <w:u w:val="single"/>
          <w:lang w:eastAsia="bg-BG"/>
        </w:rPr>
      </w:pPr>
    </w:p>
    <w:p w14:paraId="374369A9" w14:textId="7660F065"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u w:val="single"/>
          <w:lang w:eastAsia="bg-BG"/>
        </w:rPr>
        <w:t>Нарушение в баланса на електролитите:</w:t>
      </w:r>
      <w:r w:rsidRPr="000677AB">
        <w:rPr>
          <w:rFonts w:eastAsia="Times New Roman" w:cs="Arial"/>
          <w:color w:val="000000"/>
          <w:szCs w:val="20"/>
          <w:lang w:eastAsia="bg-BG"/>
        </w:rPr>
        <w:t xml:space="preserve"> както при всички пациенти на диуретично лечение е необходимо периодично проследяване на серумните електролити през определен интервал от време. Тиазидите, включително хидрохлоротиазид, може да доведат до нарушение на баланса на електролитите (хипокалиемия, хипонатриемия и хипохлоремична алкалоза). Предупредителни признаци на водния или електролитен дисбаланс са сухота в устата, жажда, слабост, летаргия, сънливост, безпокойство, мускулна болка и крампи, мускулна слабост, хипотония, олигурия, тахикардия и нарушения от страна на стомашно-чревния тракт, например гадене и повръщане. Въпреки че при употребата на тиазидни диуретици е възможно развитието на хипокалиемия, едновременното лечение с ирбесартан може да намали индуцираната от </w:t>
      </w:r>
      <w:r w:rsidRPr="000677AB">
        <w:rPr>
          <w:rFonts w:eastAsia="Times New Roman" w:cs="Arial"/>
          <w:color w:val="000000"/>
          <w:szCs w:val="20"/>
          <w:lang w:eastAsia="bg-BG"/>
        </w:rPr>
        <w:lastRenderedPageBreak/>
        <w:t xml:space="preserve">диуретика хипокалиемия. </w:t>
      </w:r>
      <w:r w:rsidRPr="000677AB">
        <w:rPr>
          <w:rFonts w:eastAsia="Times New Roman" w:cs="Arial"/>
          <w:i/>
          <w:iCs/>
          <w:color w:val="000000"/>
          <w:szCs w:val="20"/>
          <w:lang w:eastAsia="bg-BG"/>
        </w:rPr>
        <w:t>Рискът</w:t>
      </w:r>
      <w:r w:rsidRPr="000677AB">
        <w:rPr>
          <w:rFonts w:eastAsia="Times New Roman" w:cs="Arial"/>
          <w:color w:val="000000"/>
          <w:szCs w:val="20"/>
          <w:lang w:eastAsia="bg-BG"/>
        </w:rPr>
        <w:t xml:space="preserve"> от хипокалиемия е по-голям при пациентите с чернодробна цироза, при пациентите с форсирана диуреза, при пациентите с неадекватен перорален прием на електролити и при пациентите на подлежащо лечение с кортикосгероиди или АКТХ. Обратно на това, поради съдържанието на ирбесартан в ирбесартан/хидрохлоротиазид е възможна появата на хиперкалиемия, особено при наличието на бъбречно увреждане и/или сърдечна недостатъчност и захарен диабет. При пациентите с повишен риск се препоръчва съответно проследяване на калий. Калий-съхраняващи диуретици, калиеви добавки или калий-съдържащи заместители на солта трябва да се прилагат внимателно по време на лечението с ирбесартан/хидрохлоротиазид (вж. точка 4.5).</w:t>
      </w:r>
    </w:p>
    <w:p w14:paraId="34631CF6" w14:textId="77777777" w:rsidR="000677AB" w:rsidRPr="000677AB" w:rsidRDefault="000677AB" w:rsidP="000677AB">
      <w:pPr>
        <w:spacing w:line="240" w:lineRule="auto"/>
        <w:rPr>
          <w:rFonts w:eastAsia="Times New Roman" w:cs="Arial"/>
          <w:color w:val="000000"/>
          <w:szCs w:val="20"/>
          <w:lang w:eastAsia="bg-BG"/>
        </w:rPr>
      </w:pPr>
    </w:p>
    <w:p w14:paraId="30395143" w14:textId="33613CB8"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lang w:eastAsia="bg-BG"/>
        </w:rPr>
        <w:t>Няма данни, че ирбесартан би могъл да намали или предотврати индуцираната от диуретика хипонатриемия. Недостигът на хлориди обикновено е лек и не изисква лечение.</w:t>
      </w:r>
    </w:p>
    <w:p w14:paraId="0C6135BC" w14:textId="77777777" w:rsidR="000677AB" w:rsidRPr="000677AB" w:rsidRDefault="000677AB" w:rsidP="000677AB">
      <w:pPr>
        <w:spacing w:line="240" w:lineRule="auto"/>
        <w:rPr>
          <w:rFonts w:eastAsia="Times New Roman" w:cs="Arial"/>
          <w:color w:val="000000"/>
          <w:szCs w:val="20"/>
          <w:lang w:eastAsia="bg-BG"/>
        </w:rPr>
      </w:pPr>
    </w:p>
    <w:p w14:paraId="21EF3B27" w14:textId="595AD318"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lang w:eastAsia="bg-BG"/>
        </w:rPr>
        <w:t>Тиазидите може да понижат екскрецията на калций чрез урината и да доведат да появата на едновременно и леко повишение на серумния калций при отсъствието на известни нарушения на калциевия метаболизъм. Значителната хиперкалциемия може да бъде признак на скрит хиперпаратиреоидизъм. Приемът на тиазиди трябва да бъде преустановен преди провеждането на изследвания на функцията на паращитовидните жлези.</w:t>
      </w:r>
    </w:p>
    <w:p w14:paraId="71BD0967" w14:textId="77777777"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lang w:eastAsia="bg-BG"/>
        </w:rPr>
        <w:t>Тиазидите са показали повишение на екскрецията на магнезия с урината, което може да доведе до хипомагнезиемия.</w:t>
      </w:r>
    </w:p>
    <w:p w14:paraId="120CB80B" w14:textId="77777777" w:rsidR="000677AB" w:rsidRPr="000677AB" w:rsidRDefault="000677AB" w:rsidP="000677AB">
      <w:pPr>
        <w:spacing w:line="240" w:lineRule="auto"/>
        <w:rPr>
          <w:rFonts w:eastAsia="Times New Roman" w:cs="Arial"/>
          <w:color w:val="000000"/>
          <w:szCs w:val="20"/>
          <w:u w:val="single"/>
          <w:lang w:eastAsia="bg-BG"/>
        </w:rPr>
      </w:pPr>
    </w:p>
    <w:p w14:paraId="7C1EA422" w14:textId="08572400"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u w:val="single"/>
          <w:lang w:eastAsia="bg-BG"/>
        </w:rPr>
        <w:t>Литий:</w:t>
      </w:r>
      <w:r w:rsidRPr="000677AB">
        <w:rPr>
          <w:rFonts w:eastAsia="Times New Roman" w:cs="Arial"/>
          <w:color w:val="000000"/>
          <w:szCs w:val="20"/>
          <w:lang w:eastAsia="bg-BG"/>
        </w:rPr>
        <w:t xml:space="preserve"> комбинирането на литий и ирбесартан/хидрохлоротиазид не се препоръчва (вж. точка 4.5).</w:t>
      </w:r>
    </w:p>
    <w:p w14:paraId="6A7F082F" w14:textId="77777777" w:rsidR="000677AB" w:rsidRPr="000677AB" w:rsidRDefault="000677AB" w:rsidP="000677AB">
      <w:pPr>
        <w:spacing w:line="240" w:lineRule="auto"/>
        <w:rPr>
          <w:rFonts w:eastAsia="Times New Roman" w:cs="Arial"/>
          <w:color w:val="000000"/>
          <w:szCs w:val="20"/>
          <w:u w:val="single"/>
          <w:lang w:eastAsia="bg-BG"/>
        </w:rPr>
      </w:pPr>
    </w:p>
    <w:p w14:paraId="3E8BA5F6" w14:textId="0CFD3FA3"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u w:val="single"/>
          <w:lang w:eastAsia="bg-BG"/>
        </w:rPr>
        <w:t>Анти-допинг тест:</w:t>
      </w:r>
      <w:r w:rsidRPr="000677AB">
        <w:rPr>
          <w:rFonts w:eastAsia="Times New Roman" w:cs="Arial"/>
          <w:color w:val="000000"/>
          <w:szCs w:val="20"/>
          <w:lang w:eastAsia="bg-BG"/>
        </w:rPr>
        <w:t xml:space="preserve"> хидрохлоротиазидът, съдържащ се в този лекарствен продукт, може да доведе до положителен аналитичен резултат при анти-допинг тест.</w:t>
      </w:r>
    </w:p>
    <w:p w14:paraId="47D7F149" w14:textId="77777777" w:rsidR="000677AB" w:rsidRPr="000677AB" w:rsidRDefault="000677AB" w:rsidP="000677AB">
      <w:pPr>
        <w:rPr>
          <w:rFonts w:eastAsia="Times New Roman" w:cs="Arial"/>
          <w:color w:val="000000"/>
          <w:szCs w:val="20"/>
          <w:u w:val="single"/>
          <w:lang w:eastAsia="bg-BG"/>
        </w:rPr>
      </w:pPr>
    </w:p>
    <w:p w14:paraId="58B3BFDF" w14:textId="77777777" w:rsidR="000677AB" w:rsidRPr="000677AB" w:rsidRDefault="000677AB" w:rsidP="000677AB">
      <w:pPr>
        <w:rPr>
          <w:rFonts w:eastAsia="Times New Roman" w:cs="Arial"/>
          <w:color w:val="000000"/>
          <w:szCs w:val="20"/>
          <w:lang w:eastAsia="bg-BG"/>
        </w:rPr>
      </w:pPr>
      <w:r w:rsidRPr="000677AB">
        <w:rPr>
          <w:rFonts w:eastAsia="Times New Roman" w:cs="Arial"/>
          <w:color w:val="000000"/>
          <w:szCs w:val="20"/>
          <w:u w:val="single"/>
          <w:lang w:eastAsia="bg-BG"/>
        </w:rPr>
        <w:t>Обши:</w:t>
      </w:r>
      <w:r w:rsidRPr="000677AB">
        <w:rPr>
          <w:rFonts w:eastAsia="Times New Roman" w:cs="Arial"/>
          <w:color w:val="000000"/>
          <w:szCs w:val="20"/>
          <w:lang w:eastAsia="bg-BG"/>
        </w:rPr>
        <w:t xml:space="preserve"> при пациентите, чийто съдов тонус и бъбречна функция зависят предимно от активността на системата ренин-ангиотензин-алдостерон (напр. пациенти с тежка конгестивна сърддчна недостатъчност или подлежащо бъбречно заболяване, включително стеноза на бъбречната артерия), лечението с инхибитори на ангиотензин-конвертиращия ензим или ангиотензин-</w:t>
      </w:r>
      <w:r w:rsidRPr="000677AB">
        <w:rPr>
          <w:rFonts w:eastAsia="Times New Roman" w:cs="Arial"/>
          <w:color w:val="000000"/>
          <w:szCs w:val="20"/>
          <w:lang w:val="en-US"/>
        </w:rPr>
        <w:t>II</w:t>
      </w:r>
      <w:r w:rsidRPr="000677AB">
        <w:rPr>
          <w:rFonts w:eastAsia="Times New Roman" w:cs="Arial"/>
          <w:color w:val="000000"/>
          <w:szCs w:val="20"/>
        </w:rPr>
        <w:t xml:space="preserve"> </w:t>
      </w:r>
      <w:r w:rsidRPr="000677AB">
        <w:rPr>
          <w:rFonts w:eastAsia="Times New Roman" w:cs="Arial"/>
          <w:color w:val="000000"/>
          <w:szCs w:val="20"/>
          <w:lang w:eastAsia="bg-BG"/>
        </w:rPr>
        <w:t xml:space="preserve">рецепторни антагонисти, повлияващи тази система, са свързани с остра хипотония, азотемия, олигурия или рядко остра бъбречна недостатъчност. </w:t>
      </w:r>
    </w:p>
    <w:p w14:paraId="0BE5887E" w14:textId="52C82D0D" w:rsidR="000677AB" w:rsidRPr="000677AB" w:rsidRDefault="000677AB" w:rsidP="000677AB">
      <w:pPr>
        <w:rPr>
          <w:rFonts w:eastAsia="Times New Roman" w:cs="Arial"/>
          <w:sz w:val="28"/>
          <w:szCs w:val="24"/>
        </w:rPr>
      </w:pPr>
      <w:r w:rsidRPr="000677AB">
        <w:rPr>
          <w:rFonts w:eastAsia="Times New Roman" w:cs="Arial"/>
          <w:color w:val="000000"/>
          <w:szCs w:val="20"/>
          <w:lang w:eastAsia="bg-BG"/>
        </w:rPr>
        <w:t>Както при останалите антихипертензивни средства, прекомерното понижение на кръвното налягане при пациентите с исхемична кардиопатия или исхемично сърдечно-съдово заболяване може да бъде резултат от инфаркт на миокарда или инсулт.</w:t>
      </w:r>
    </w:p>
    <w:p w14:paraId="7FB212AD" w14:textId="77777777"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lang w:eastAsia="bg-BG"/>
        </w:rPr>
        <w:t>Реакции на свръхчувствителност към хидрохлоротиазид може да настъпят при пациенти със или без анамнеза за алергия или бронхиална астма, но са по-характерни при пациентите с такава анамнеза.</w:t>
      </w:r>
    </w:p>
    <w:p w14:paraId="6D836CEF" w14:textId="77777777"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lang w:eastAsia="bg-BG"/>
        </w:rPr>
        <w:t>Екзацербация или активиране на системен лупус еритематозус е съобщено при употребата на тиазидни диуретици.</w:t>
      </w:r>
    </w:p>
    <w:p w14:paraId="65F6F0DA" w14:textId="77777777" w:rsidR="000677AB" w:rsidRPr="000677AB" w:rsidRDefault="000677AB" w:rsidP="000677AB">
      <w:pPr>
        <w:spacing w:line="240" w:lineRule="auto"/>
        <w:rPr>
          <w:rFonts w:eastAsia="Times New Roman" w:cs="Arial"/>
          <w:sz w:val="28"/>
          <w:szCs w:val="24"/>
        </w:rPr>
      </w:pPr>
      <w:r w:rsidRPr="000677AB">
        <w:rPr>
          <w:rFonts w:eastAsia="Times New Roman" w:cs="Arial"/>
          <w:i/>
          <w:iCs/>
          <w:color w:val="000000"/>
          <w:szCs w:val="20"/>
          <w:lang w:eastAsia="bg-BG"/>
        </w:rPr>
        <w:t>Съобщени са</w:t>
      </w:r>
      <w:r w:rsidRPr="000677AB">
        <w:rPr>
          <w:rFonts w:eastAsia="Times New Roman" w:cs="Arial"/>
          <w:color w:val="000000"/>
          <w:szCs w:val="20"/>
          <w:lang w:eastAsia="bg-BG"/>
        </w:rPr>
        <w:t xml:space="preserve"> случаи на реакции на фоточуствителност при употреба на тиазидни диуретици (вж. точка 4.8). Ако по време на лечението се прояви реакция на фоточуствителност, препоръчва се лечението да се прекрати. Ако се счита за необходимо повторно прилагане на диуретика, препоръчва се изложените на слънце или на изкуствена </w:t>
      </w:r>
      <w:r w:rsidRPr="000677AB">
        <w:rPr>
          <w:rFonts w:eastAsia="Times New Roman" w:cs="Arial"/>
          <w:color w:val="000000"/>
          <w:szCs w:val="20"/>
          <w:lang w:val="en-US"/>
        </w:rPr>
        <w:t>UVA</w:t>
      </w:r>
      <w:r w:rsidRPr="000677AB">
        <w:rPr>
          <w:rFonts w:eastAsia="Times New Roman" w:cs="Arial"/>
          <w:color w:val="000000"/>
          <w:szCs w:val="20"/>
          <w:lang w:val="ru-RU"/>
        </w:rPr>
        <w:t xml:space="preserve"> </w:t>
      </w:r>
      <w:r w:rsidRPr="000677AB">
        <w:rPr>
          <w:rFonts w:eastAsia="Times New Roman" w:cs="Arial"/>
          <w:color w:val="000000"/>
          <w:szCs w:val="20"/>
          <w:lang w:eastAsia="bg-BG"/>
        </w:rPr>
        <w:t>светлина области да се защитят.</w:t>
      </w:r>
    </w:p>
    <w:p w14:paraId="7C03E46E" w14:textId="77777777" w:rsidR="000677AB" w:rsidRPr="000677AB" w:rsidRDefault="000677AB" w:rsidP="000677AB">
      <w:pPr>
        <w:spacing w:line="240" w:lineRule="auto"/>
        <w:rPr>
          <w:rFonts w:eastAsia="Times New Roman" w:cs="Arial"/>
          <w:color w:val="000000"/>
          <w:szCs w:val="20"/>
          <w:u w:val="single"/>
          <w:lang w:eastAsia="bg-BG"/>
        </w:rPr>
      </w:pPr>
    </w:p>
    <w:p w14:paraId="4D82C7EA" w14:textId="64751DC4"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u w:val="single"/>
          <w:lang w:eastAsia="bg-BG"/>
        </w:rPr>
        <w:t>Бременност:</w:t>
      </w:r>
      <w:r w:rsidRPr="000677AB">
        <w:rPr>
          <w:rFonts w:eastAsia="Times New Roman" w:cs="Arial"/>
          <w:color w:val="000000"/>
          <w:szCs w:val="20"/>
          <w:lang w:eastAsia="bg-BG"/>
        </w:rPr>
        <w:t xml:space="preserve"> лечение с ангиотензин-</w:t>
      </w:r>
      <w:r w:rsidRPr="000677AB">
        <w:rPr>
          <w:rFonts w:eastAsia="Times New Roman" w:cs="Arial"/>
          <w:color w:val="000000"/>
          <w:szCs w:val="20"/>
          <w:lang w:val="en-US"/>
        </w:rPr>
        <w:t>II</w:t>
      </w:r>
      <w:r w:rsidRPr="000677AB">
        <w:rPr>
          <w:rFonts w:eastAsia="Times New Roman" w:cs="Arial"/>
          <w:color w:val="000000"/>
          <w:szCs w:val="20"/>
          <w:lang w:eastAsia="bg-BG"/>
        </w:rPr>
        <w:t xml:space="preserve"> рецепторни антагонисти </w:t>
      </w:r>
      <w:r w:rsidRPr="000677AB">
        <w:rPr>
          <w:rFonts w:eastAsia="Times New Roman" w:cs="Arial"/>
          <w:color w:val="000000"/>
          <w:szCs w:val="20"/>
          <w:lang w:val="ru-RU"/>
        </w:rPr>
        <w:t>(</w:t>
      </w:r>
      <w:r w:rsidRPr="000677AB">
        <w:rPr>
          <w:rFonts w:eastAsia="Times New Roman" w:cs="Arial"/>
          <w:color w:val="000000"/>
          <w:szCs w:val="20"/>
          <w:lang w:val="en-US"/>
        </w:rPr>
        <w:t>AIIRAs</w:t>
      </w:r>
      <w:r w:rsidRPr="000677AB">
        <w:rPr>
          <w:rFonts w:eastAsia="Times New Roman" w:cs="Arial"/>
          <w:color w:val="000000"/>
          <w:szCs w:val="20"/>
          <w:lang w:val="ru-RU"/>
        </w:rPr>
        <w:t xml:space="preserve">) </w:t>
      </w:r>
      <w:r w:rsidRPr="000677AB">
        <w:rPr>
          <w:rFonts w:eastAsia="Times New Roman" w:cs="Arial"/>
          <w:color w:val="000000"/>
          <w:szCs w:val="20"/>
          <w:lang w:eastAsia="bg-BG"/>
        </w:rPr>
        <w:t xml:space="preserve">не трябва да се започва по време на бременност. Пациентките, които планират бременност, трябва да преминат на алтернативно антихипертензивно лечение с установен профил на безопасност при употреба по време на бременност, освен ако продължително лечение с </w:t>
      </w:r>
      <w:r w:rsidRPr="000677AB">
        <w:rPr>
          <w:rFonts w:eastAsia="Times New Roman" w:cs="Arial"/>
          <w:color w:val="000000"/>
          <w:szCs w:val="20"/>
          <w:lang w:val="en-US"/>
        </w:rPr>
        <w:t>AIIRAs</w:t>
      </w:r>
      <w:r w:rsidRPr="000677AB">
        <w:rPr>
          <w:rFonts w:eastAsia="Times New Roman" w:cs="Arial"/>
          <w:color w:val="000000"/>
          <w:szCs w:val="20"/>
          <w:lang w:val="ru-RU"/>
        </w:rPr>
        <w:t xml:space="preserve"> </w:t>
      </w:r>
      <w:r w:rsidRPr="000677AB">
        <w:rPr>
          <w:rFonts w:eastAsia="Times New Roman" w:cs="Arial"/>
          <w:color w:val="000000"/>
          <w:szCs w:val="20"/>
          <w:lang w:eastAsia="bg-BG"/>
        </w:rPr>
        <w:t xml:space="preserve">е крайно наложително. Когато се установи бременност, лечението с </w:t>
      </w:r>
      <w:r w:rsidRPr="000677AB">
        <w:rPr>
          <w:rFonts w:eastAsia="Times New Roman" w:cs="Arial"/>
          <w:color w:val="000000"/>
          <w:szCs w:val="20"/>
          <w:lang w:val="en-US"/>
        </w:rPr>
        <w:t>AIIRAs</w:t>
      </w:r>
      <w:r w:rsidRPr="000677AB">
        <w:rPr>
          <w:rFonts w:eastAsia="Times New Roman" w:cs="Arial"/>
          <w:color w:val="000000"/>
          <w:szCs w:val="20"/>
          <w:lang w:val="ru-RU"/>
        </w:rPr>
        <w:t xml:space="preserve"> </w:t>
      </w:r>
      <w:r w:rsidRPr="000677AB">
        <w:rPr>
          <w:rFonts w:eastAsia="Times New Roman" w:cs="Arial"/>
          <w:color w:val="000000"/>
          <w:szCs w:val="20"/>
          <w:lang w:eastAsia="bg-BG"/>
        </w:rPr>
        <w:t>трябва незабавно да се прекрати и, ако е подходящо, да се започне алтернативно лечение (вж. точки 4.3 и 4.6).</w:t>
      </w:r>
    </w:p>
    <w:p w14:paraId="307EE267" w14:textId="77777777" w:rsidR="000677AB" w:rsidRPr="000677AB" w:rsidRDefault="000677AB" w:rsidP="000677AB">
      <w:pPr>
        <w:spacing w:line="240" w:lineRule="auto"/>
        <w:rPr>
          <w:rFonts w:eastAsia="Times New Roman" w:cs="Arial"/>
          <w:color w:val="000000"/>
          <w:szCs w:val="20"/>
          <w:u w:val="single"/>
          <w:lang w:eastAsia="bg-BG"/>
        </w:rPr>
      </w:pPr>
    </w:p>
    <w:p w14:paraId="2D3C4B5A" w14:textId="3C5F564F"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u w:val="single"/>
          <w:lang w:eastAsia="bg-BG"/>
        </w:rPr>
        <w:t>Лактоза:</w:t>
      </w:r>
      <w:r w:rsidRPr="000677AB">
        <w:rPr>
          <w:rFonts w:eastAsia="Times New Roman" w:cs="Arial"/>
          <w:color w:val="000000"/>
          <w:szCs w:val="20"/>
          <w:lang w:eastAsia="bg-BG"/>
        </w:rPr>
        <w:t xml:space="preserve"> този лекарствен продукт съдържа лактоза. Пациентите с редки наследствени проблеми на галактозна непоносимост, </w:t>
      </w:r>
      <w:r w:rsidRPr="000677AB">
        <w:rPr>
          <w:rFonts w:eastAsia="Times New Roman" w:cs="Arial"/>
          <w:color w:val="000000"/>
          <w:szCs w:val="20"/>
          <w:lang w:val="en-US"/>
        </w:rPr>
        <w:t>Lapp</w:t>
      </w:r>
      <w:r w:rsidRPr="000677AB">
        <w:rPr>
          <w:rFonts w:eastAsia="Times New Roman" w:cs="Arial"/>
          <w:color w:val="000000"/>
          <w:szCs w:val="20"/>
          <w:lang w:eastAsia="bg-BG"/>
        </w:rPr>
        <w:t>-лактазна недостатъчност или глюкозо-галактозна малабсорбция, не трябва да приемат този лекарствен продукт.</w:t>
      </w:r>
    </w:p>
    <w:p w14:paraId="150C3DCD" w14:textId="035DADCF" w:rsidR="000677AB" w:rsidRPr="000677AB" w:rsidRDefault="000677AB" w:rsidP="000677AB">
      <w:pPr>
        <w:rPr>
          <w:rFonts w:ascii="Times New Roman" w:eastAsia="Times New Roman" w:hAnsi="Times New Roman" w:cs="Times New Roman"/>
          <w:color w:val="000000"/>
          <w:sz w:val="20"/>
          <w:szCs w:val="20"/>
        </w:rPr>
      </w:pPr>
    </w:p>
    <w:p w14:paraId="0734264C" w14:textId="7076F372"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1E664997" w14:textId="5521E2EC" w:rsidR="000677AB" w:rsidRDefault="000677AB" w:rsidP="000677AB"/>
    <w:p w14:paraId="7509242C" w14:textId="77777777"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u w:val="single"/>
          <w:lang w:eastAsia="bg-BG"/>
        </w:rPr>
        <w:t>Други антихипертензивни средства:</w:t>
      </w:r>
      <w:r w:rsidRPr="000677AB">
        <w:rPr>
          <w:rFonts w:eastAsia="Times New Roman" w:cs="Arial"/>
          <w:color w:val="000000"/>
          <w:szCs w:val="20"/>
          <w:lang w:eastAsia="bg-BG"/>
        </w:rPr>
        <w:t xml:space="preserve"> антихипертензивния ефект на ирбесартан/хидрохлоротиазид може да бъде повишен при едновременна употреба на други антихипертензивни средства. Ирбесартан и хидрохлоротиазид (в дози до 300 </w:t>
      </w:r>
      <w:r w:rsidRPr="000677AB">
        <w:rPr>
          <w:rFonts w:eastAsia="Times New Roman" w:cs="Arial"/>
          <w:color w:val="000000"/>
          <w:szCs w:val="20"/>
          <w:lang w:val="en-US"/>
        </w:rPr>
        <w:t>mg</w:t>
      </w:r>
      <w:r w:rsidRPr="000677AB">
        <w:rPr>
          <w:rFonts w:eastAsia="Times New Roman" w:cs="Arial"/>
          <w:color w:val="000000"/>
          <w:szCs w:val="20"/>
          <w:lang w:val="ru-RU"/>
        </w:rPr>
        <w:t xml:space="preserve"> </w:t>
      </w:r>
      <w:r w:rsidRPr="000677AB">
        <w:rPr>
          <w:rFonts w:eastAsia="Times New Roman" w:cs="Arial"/>
          <w:color w:val="000000"/>
          <w:szCs w:val="20"/>
          <w:lang w:eastAsia="bg-BG"/>
        </w:rPr>
        <w:t xml:space="preserve">ирбесартан/25 </w:t>
      </w:r>
      <w:r w:rsidRPr="000677AB">
        <w:rPr>
          <w:rFonts w:eastAsia="Times New Roman" w:cs="Arial"/>
          <w:color w:val="000000"/>
          <w:szCs w:val="20"/>
          <w:lang w:val="en-US"/>
        </w:rPr>
        <w:t>mg</w:t>
      </w:r>
      <w:r w:rsidRPr="000677AB">
        <w:rPr>
          <w:rFonts w:eastAsia="Times New Roman" w:cs="Arial"/>
          <w:color w:val="000000"/>
          <w:szCs w:val="20"/>
          <w:lang w:val="ru-RU"/>
        </w:rPr>
        <w:t xml:space="preserve"> </w:t>
      </w:r>
      <w:r w:rsidRPr="000677AB">
        <w:rPr>
          <w:rFonts w:eastAsia="Times New Roman" w:cs="Arial"/>
          <w:color w:val="000000"/>
          <w:szCs w:val="20"/>
          <w:lang w:eastAsia="bg-BG"/>
        </w:rPr>
        <w:t>хидрохлоротиазид) са прилагани безопасно заедно с други антихипертензивни средства, включително блокери на калциевите канали и бета-адренергични блокери. Предшестващото лечение с висока доза диуретици може да доведе до появата на хиповолемия и риск от хипотония, при започване на лечението с ирбесартан със или без тиазидни диуретици, освен в случаите, когато обемът на течностите не е първо коригиран (вж. точка 4.4).</w:t>
      </w:r>
    </w:p>
    <w:p w14:paraId="1164689D" w14:textId="77777777" w:rsidR="000677AB" w:rsidRPr="000677AB" w:rsidRDefault="000677AB" w:rsidP="000677AB">
      <w:pPr>
        <w:spacing w:line="240" w:lineRule="auto"/>
        <w:rPr>
          <w:rFonts w:eastAsia="Times New Roman" w:cs="Arial"/>
          <w:color w:val="000000"/>
          <w:szCs w:val="20"/>
          <w:u w:val="single"/>
          <w:lang w:eastAsia="bg-BG"/>
        </w:rPr>
      </w:pPr>
    </w:p>
    <w:p w14:paraId="7ABDAE95" w14:textId="025EFEDF"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u w:val="single"/>
          <w:lang w:eastAsia="bg-BG"/>
        </w:rPr>
        <w:t>Литий:</w:t>
      </w:r>
      <w:r w:rsidRPr="000677AB">
        <w:rPr>
          <w:rFonts w:eastAsia="Times New Roman" w:cs="Arial"/>
          <w:color w:val="000000"/>
          <w:szCs w:val="20"/>
          <w:lang w:eastAsia="bg-BG"/>
        </w:rPr>
        <w:t xml:space="preserve"> докладвано е обратимо повишаване на серумните концентрации на литий и литиева токсичност при едновременното приложение на литий и инхибитори на ангиотензин- конвертиращия ензим. Подобни ефекти при ирбесартан са докладвани много рядко. Освен това тиазидите понижават бъбречният клирънс на литий, така че рискът от литиева токсичност може да бъде повишен при Ирбесартан/Хидрохлоротиазид. Ето защо комбинирането на литий и ирбесартан/хидрохлоротиазид не се препоръчва (вж. точка 4.4). Ако тази комбинация е доказано необходима, то се препоръчва внимателно проследяване на серумните нива на литий.</w:t>
      </w:r>
    </w:p>
    <w:p w14:paraId="2299D3CC" w14:textId="77777777" w:rsidR="000677AB" w:rsidRPr="000677AB" w:rsidRDefault="000677AB" w:rsidP="000677AB">
      <w:pPr>
        <w:rPr>
          <w:rFonts w:eastAsia="Times New Roman" w:cs="Arial"/>
          <w:color w:val="000000"/>
          <w:szCs w:val="20"/>
          <w:u w:val="single"/>
          <w:lang w:eastAsia="bg-BG"/>
        </w:rPr>
      </w:pPr>
    </w:p>
    <w:p w14:paraId="100B5300" w14:textId="540DF9F8" w:rsidR="000677AB" w:rsidRPr="000677AB" w:rsidRDefault="000677AB" w:rsidP="000677AB">
      <w:pPr>
        <w:rPr>
          <w:rFonts w:eastAsia="Times New Roman" w:cs="Arial"/>
          <w:color w:val="000000"/>
          <w:szCs w:val="20"/>
          <w:lang w:eastAsia="bg-BG"/>
        </w:rPr>
      </w:pPr>
      <w:r w:rsidRPr="000677AB">
        <w:rPr>
          <w:rFonts w:eastAsia="Times New Roman" w:cs="Arial"/>
          <w:color w:val="000000"/>
          <w:szCs w:val="20"/>
          <w:u w:val="single"/>
          <w:lang w:eastAsia="bg-BG"/>
        </w:rPr>
        <w:t xml:space="preserve">Лекарствени </w:t>
      </w:r>
      <w:r w:rsidRPr="000677AB">
        <w:rPr>
          <w:rFonts w:eastAsia="Times New Roman" w:cs="Arial"/>
          <w:smallCaps/>
          <w:color w:val="000000"/>
          <w:szCs w:val="20"/>
          <w:u w:val="single"/>
          <w:lang w:eastAsia="bg-BG"/>
        </w:rPr>
        <w:t>продукти,</w:t>
      </w:r>
      <w:r w:rsidRPr="000677AB">
        <w:rPr>
          <w:rFonts w:eastAsia="Times New Roman" w:cs="Arial"/>
          <w:color w:val="000000"/>
          <w:szCs w:val="20"/>
          <w:u w:val="single"/>
          <w:lang w:eastAsia="bg-BG"/>
        </w:rPr>
        <w:t xml:space="preserve"> повлияващи калий:</w:t>
      </w:r>
      <w:r w:rsidRPr="000677AB">
        <w:rPr>
          <w:rFonts w:eastAsia="Times New Roman" w:cs="Arial"/>
          <w:color w:val="000000"/>
          <w:szCs w:val="20"/>
          <w:lang w:eastAsia="bg-BG"/>
        </w:rPr>
        <w:t xml:space="preserve"> понижаващият съдържанието на калий ефект на хидрохлоротиазид се намалява от калий-съхраняващия ефект на ирбесартан. Освен това, този ефект на хидрохлоротиазид върху серумният калий може да се очаква да бъде потенциран от други лекарствени </w:t>
      </w:r>
      <w:r w:rsidRPr="000677AB">
        <w:rPr>
          <w:rFonts w:eastAsia="Times New Roman" w:cs="Arial"/>
          <w:i/>
          <w:iCs/>
          <w:color w:val="000000"/>
          <w:szCs w:val="20"/>
          <w:lang w:eastAsia="bg-BG"/>
        </w:rPr>
        <w:t>продукти, свързани със загубата на</w:t>
      </w:r>
      <w:r w:rsidRPr="000677AB">
        <w:rPr>
          <w:rFonts w:eastAsia="Times New Roman" w:cs="Arial"/>
          <w:color w:val="000000"/>
          <w:szCs w:val="20"/>
          <w:lang w:eastAsia="bg-BG"/>
        </w:rPr>
        <w:t xml:space="preserve"> калий и хипокалиемия (напр. други калийуретични диуретици, лаксативи, амфотерицин, карбеноксолон, пеницилин </w:t>
      </w:r>
      <w:r w:rsidRPr="000677AB">
        <w:rPr>
          <w:rFonts w:eastAsia="Times New Roman" w:cs="Arial"/>
          <w:color w:val="000000"/>
          <w:szCs w:val="20"/>
          <w:lang w:val="en-US"/>
        </w:rPr>
        <w:t>G</w:t>
      </w:r>
      <w:r w:rsidRPr="000677AB">
        <w:rPr>
          <w:rFonts w:eastAsia="Times New Roman" w:cs="Arial"/>
          <w:color w:val="000000"/>
          <w:szCs w:val="20"/>
          <w:lang w:val="ru-RU"/>
        </w:rPr>
        <w:t xml:space="preserve"> </w:t>
      </w:r>
      <w:r w:rsidRPr="000677AB">
        <w:rPr>
          <w:rFonts w:eastAsia="Times New Roman" w:cs="Arial"/>
          <w:color w:val="000000"/>
          <w:szCs w:val="20"/>
          <w:lang w:eastAsia="bg-BG"/>
        </w:rPr>
        <w:t>натрий). Обратно на това, въз основа на опита с употребата на други лекарства, повлияващи ренин- ангиотензиновата система, едновременното приложение с калий-съхраняващи диуретици, калиеви добавки, заместители на солта, съдържащи калий или други лекарства, които може да повишат серумните нива на калия (напр. хепарин натрий), може да доведе до повишаване на</w:t>
      </w:r>
      <w:r w:rsidRPr="000677AB">
        <w:rPr>
          <w:rFonts w:eastAsia="Times New Roman" w:cs="Arial"/>
          <w:color w:val="000000"/>
          <w:szCs w:val="20"/>
          <w:lang w:val="ru-RU"/>
        </w:rPr>
        <w:t xml:space="preserve"> </w:t>
      </w:r>
      <w:r w:rsidRPr="000677AB">
        <w:rPr>
          <w:rFonts w:eastAsia="Times New Roman" w:cs="Arial"/>
          <w:color w:val="000000"/>
          <w:szCs w:val="20"/>
          <w:lang w:eastAsia="bg-BG"/>
        </w:rPr>
        <w:t>нивата на серумния калий. Препоръчва се съответно проследяване на серумния калий при пациентите с повишен риск (вж. точка 4.4).</w:t>
      </w:r>
    </w:p>
    <w:p w14:paraId="373B9302" w14:textId="03838D7F" w:rsidR="000677AB" w:rsidRPr="000677AB" w:rsidRDefault="000677AB" w:rsidP="000677AB">
      <w:pPr>
        <w:rPr>
          <w:rFonts w:eastAsia="Times New Roman" w:cs="Arial"/>
          <w:color w:val="000000"/>
          <w:szCs w:val="20"/>
          <w:lang w:eastAsia="bg-BG"/>
        </w:rPr>
      </w:pPr>
    </w:p>
    <w:p w14:paraId="15181EF7" w14:textId="77777777"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u w:val="single"/>
          <w:lang w:eastAsia="bg-BG"/>
        </w:rPr>
        <w:lastRenderedPageBreak/>
        <w:t>Лекарствени продукти, повлияващи се от нарушението на серумния калий:</w:t>
      </w:r>
      <w:r w:rsidRPr="000677AB">
        <w:rPr>
          <w:rFonts w:eastAsia="Times New Roman" w:cs="Arial"/>
          <w:color w:val="000000"/>
          <w:szCs w:val="20"/>
          <w:lang w:eastAsia="bg-BG"/>
        </w:rPr>
        <w:t xml:space="preserve"> препоръчва се периодично проследяване на серумния калий при приложението на ирбесартан/хидрохлоротиазид с лекарствени продукти, повлияващи се от нарушението на серумния калий (например сърдечни гликозиди, антиаритмици).</w:t>
      </w:r>
    </w:p>
    <w:p w14:paraId="0AC8D8B3" w14:textId="77777777" w:rsidR="000677AB" w:rsidRPr="000677AB" w:rsidRDefault="000677AB" w:rsidP="000677AB">
      <w:pPr>
        <w:spacing w:line="240" w:lineRule="auto"/>
        <w:rPr>
          <w:rFonts w:eastAsia="Times New Roman" w:cs="Arial"/>
          <w:color w:val="000000"/>
          <w:szCs w:val="20"/>
          <w:u w:val="single"/>
          <w:lang w:eastAsia="bg-BG"/>
        </w:rPr>
      </w:pPr>
    </w:p>
    <w:p w14:paraId="59689FAD" w14:textId="0ADAE67C"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u w:val="single"/>
          <w:lang w:eastAsia="bg-BG"/>
        </w:rPr>
        <w:t>Нестероидни противовъзпалителни средства:</w:t>
      </w:r>
      <w:r w:rsidRPr="000677AB">
        <w:rPr>
          <w:rFonts w:eastAsia="Times New Roman" w:cs="Arial"/>
          <w:color w:val="000000"/>
          <w:szCs w:val="20"/>
          <w:lang w:eastAsia="bg-BG"/>
        </w:rPr>
        <w:t xml:space="preserve"> при едновременната употреба на ангиотензин-</w:t>
      </w:r>
      <w:r w:rsidRPr="000677AB">
        <w:rPr>
          <w:rFonts w:eastAsia="Times New Roman" w:cs="Arial"/>
          <w:color w:val="000000"/>
          <w:szCs w:val="20"/>
          <w:lang w:val="en-US"/>
        </w:rPr>
        <w:t>II</w:t>
      </w:r>
      <w:r w:rsidRPr="000677AB">
        <w:rPr>
          <w:rFonts w:eastAsia="Times New Roman" w:cs="Arial"/>
          <w:color w:val="000000"/>
          <w:szCs w:val="20"/>
          <w:lang w:eastAsia="bg-BG"/>
        </w:rPr>
        <w:t xml:space="preserve"> антагонисти и нестероидни противовъзпалителни средства (като селективни СОХ-2 инхибитори, ацетилсалицилова киселина (&gt; 3 </w:t>
      </w:r>
      <w:r w:rsidRPr="000677AB">
        <w:rPr>
          <w:rFonts w:eastAsia="Times New Roman" w:cs="Arial"/>
          <w:color w:val="000000"/>
          <w:szCs w:val="20"/>
          <w:lang w:val="en-US"/>
        </w:rPr>
        <w:t>g</w:t>
      </w:r>
      <w:r w:rsidRPr="000677AB">
        <w:rPr>
          <w:rFonts w:eastAsia="Times New Roman" w:cs="Arial"/>
          <w:color w:val="000000"/>
          <w:szCs w:val="20"/>
          <w:lang w:eastAsia="bg-BG"/>
        </w:rPr>
        <w:t>/дневно) и неселекгивни НПВС) може да настъпи намаляване на антихипертензивния ефект. Подобно на АСЕ инхибиторите, едновременното приложение на ангиотензин-</w:t>
      </w:r>
      <w:r w:rsidRPr="000677AB">
        <w:rPr>
          <w:rFonts w:eastAsia="Times New Roman" w:cs="Arial"/>
          <w:color w:val="000000"/>
          <w:szCs w:val="20"/>
          <w:lang w:val="en-US"/>
        </w:rPr>
        <w:t>II</w:t>
      </w:r>
      <w:r w:rsidRPr="000677AB">
        <w:rPr>
          <w:rFonts w:eastAsia="Times New Roman" w:cs="Arial"/>
          <w:color w:val="000000"/>
          <w:szCs w:val="20"/>
          <w:lang w:eastAsia="bg-BG"/>
        </w:rPr>
        <w:t xml:space="preserve"> антагонисти и нестероидни противовъзпалителни средства може да доведе до повишаване на риска от влошаване на бъбречната функция, включително до възможността за поява на остра бъбречна недостатъчност, повишение на серумния калий, особено при пациенти с предшестващо нарушение на бъбречната функция. Комбинирането трябва да става с повишено внимание, особено при пациентите в старческа възраст. Пациентите трябва да бъдат съответно хидратирани, като е необходимо проследяване на бъбречната функция след започване на комбинираното лечение и периодично след това.</w:t>
      </w:r>
    </w:p>
    <w:p w14:paraId="3DD9E8EA" w14:textId="77777777" w:rsidR="000677AB" w:rsidRPr="000677AB" w:rsidRDefault="000677AB" w:rsidP="000677AB">
      <w:pPr>
        <w:spacing w:line="240" w:lineRule="auto"/>
        <w:rPr>
          <w:rFonts w:eastAsia="Times New Roman" w:cs="Arial"/>
          <w:color w:val="000000"/>
          <w:szCs w:val="20"/>
          <w:u w:val="single"/>
          <w:lang w:eastAsia="bg-BG"/>
        </w:rPr>
      </w:pPr>
    </w:p>
    <w:p w14:paraId="1DC2A7A9" w14:textId="562E009A"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u w:val="single"/>
          <w:lang w:eastAsia="bg-BG"/>
        </w:rPr>
        <w:t>Допълнителна информация относно взаимодействията на ирбесартан:</w:t>
      </w:r>
      <w:r w:rsidRPr="000677AB">
        <w:rPr>
          <w:rFonts w:eastAsia="Times New Roman" w:cs="Arial"/>
          <w:color w:val="000000"/>
          <w:szCs w:val="20"/>
          <w:lang w:eastAsia="bg-BG"/>
        </w:rPr>
        <w:t xml:space="preserve"> при клинични проучвания фармакокинетиката на ирбесартан не е повлияна от хидрохлоротиазид. Ирбесартан се метаболизира основно с помощта на </w:t>
      </w:r>
      <w:r w:rsidRPr="000677AB">
        <w:rPr>
          <w:rFonts w:eastAsia="Times New Roman" w:cs="Arial"/>
          <w:color w:val="000000"/>
          <w:szCs w:val="20"/>
          <w:lang w:val="en-US"/>
        </w:rPr>
        <w:t>CYP</w:t>
      </w:r>
      <w:r w:rsidRPr="000677AB">
        <w:rPr>
          <w:rFonts w:eastAsia="Times New Roman" w:cs="Arial"/>
          <w:color w:val="000000"/>
          <w:szCs w:val="20"/>
          <w:lang w:val="ru-RU"/>
        </w:rPr>
        <w:t>2</w:t>
      </w:r>
      <w:r w:rsidRPr="000677AB">
        <w:rPr>
          <w:rFonts w:eastAsia="Times New Roman" w:cs="Arial"/>
          <w:color w:val="000000"/>
          <w:szCs w:val="20"/>
          <w:lang w:val="en-US"/>
        </w:rPr>
        <w:t>C</w:t>
      </w:r>
      <w:r w:rsidRPr="000677AB">
        <w:rPr>
          <w:rFonts w:eastAsia="Times New Roman" w:cs="Arial"/>
          <w:color w:val="000000"/>
          <w:szCs w:val="20"/>
          <w:lang w:val="ru-RU"/>
        </w:rPr>
        <w:t xml:space="preserve">9 </w:t>
      </w:r>
      <w:r w:rsidRPr="000677AB">
        <w:rPr>
          <w:rFonts w:eastAsia="Times New Roman" w:cs="Arial"/>
          <w:color w:val="000000"/>
          <w:szCs w:val="20"/>
          <w:lang w:eastAsia="bg-BG"/>
        </w:rPr>
        <w:t xml:space="preserve">и в по-малка степен чрез глюкорониране. Не са наблюдавани значими фармакокинетични и фармакодинамични взаимодействия при едновременното приложение на ирбесартан с варфарин, който се метаболизира с помощта на </w:t>
      </w:r>
      <w:r w:rsidRPr="000677AB">
        <w:rPr>
          <w:rFonts w:eastAsia="Times New Roman" w:cs="Arial"/>
          <w:color w:val="000000"/>
          <w:szCs w:val="20"/>
          <w:lang w:val="en-US"/>
        </w:rPr>
        <w:t>CYP</w:t>
      </w:r>
      <w:r w:rsidRPr="000677AB">
        <w:rPr>
          <w:rFonts w:eastAsia="Times New Roman" w:cs="Arial"/>
          <w:color w:val="000000"/>
          <w:szCs w:val="20"/>
          <w:lang w:val="ru-RU"/>
        </w:rPr>
        <w:t>2</w:t>
      </w:r>
      <w:r w:rsidRPr="000677AB">
        <w:rPr>
          <w:rFonts w:eastAsia="Times New Roman" w:cs="Arial"/>
          <w:color w:val="000000"/>
          <w:szCs w:val="20"/>
          <w:lang w:val="en-US"/>
        </w:rPr>
        <w:t>C</w:t>
      </w:r>
      <w:r w:rsidRPr="000677AB">
        <w:rPr>
          <w:rFonts w:eastAsia="Times New Roman" w:cs="Arial"/>
          <w:color w:val="000000"/>
          <w:szCs w:val="20"/>
          <w:lang w:val="ru-RU"/>
        </w:rPr>
        <w:t xml:space="preserve">9. </w:t>
      </w:r>
      <w:r w:rsidRPr="000677AB">
        <w:rPr>
          <w:rFonts w:eastAsia="Times New Roman" w:cs="Arial"/>
          <w:color w:val="000000"/>
          <w:szCs w:val="20"/>
          <w:lang w:eastAsia="bg-BG"/>
        </w:rPr>
        <w:t>Ефектите на</w:t>
      </w:r>
      <w:r w:rsidRPr="000677AB">
        <w:rPr>
          <w:rFonts w:eastAsia="Times New Roman" w:cs="Arial"/>
          <w:color w:val="000000"/>
          <w:szCs w:val="20"/>
          <w:lang w:val="ru-RU"/>
        </w:rPr>
        <w:t xml:space="preserve"> </w:t>
      </w:r>
      <w:r w:rsidRPr="000677AB">
        <w:rPr>
          <w:rFonts w:eastAsia="Times New Roman" w:cs="Arial"/>
          <w:color w:val="000000"/>
          <w:szCs w:val="20"/>
          <w:lang w:eastAsia="bg-BG"/>
        </w:rPr>
        <w:t>индукторите на</w:t>
      </w:r>
      <w:r w:rsidRPr="000677AB">
        <w:rPr>
          <w:rFonts w:eastAsia="Times New Roman" w:cs="Arial"/>
          <w:color w:val="000000"/>
          <w:szCs w:val="20"/>
          <w:lang w:val="ru-RU"/>
        </w:rPr>
        <w:t xml:space="preserve"> </w:t>
      </w:r>
      <w:r w:rsidRPr="000677AB">
        <w:rPr>
          <w:rFonts w:eastAsia="Times New Roman" w:cs="Arial"/>
          <w:color w:val="000000"/>
          <w:szCs w:val="20"/>
          <w:lang w:val="en-US"/>
        </w:rPr>
        <w:t>CYP</w:t>
      </w:r>
      <w:r w:rsidRPr="000677AB">
        <w:rPr>
          <w:rFonts w:eastAsia="Times New Roman" w:cs="Arial"/>
          <w:color w:val="000000"/>
          <w:szCs w:val="20"/>
          <w:lang w:val="ru-RU"/>
        </w:rPr>
        <w:t>2</w:t>
      </w:r>
      <w:r w:rsidRPr="000677AB">
        <w:rPr>
          <w:rFonts w:eastAsia="Times New Roman" w:cs="Arial"/>
          <w:color w:val="000000"/>
          <w:szCs w:val="20"/>
          <w:lang w:val="en-US"/>
        </w:rPr>
        <w:t>C</w:t>
      </w:r>
      <w:r w:rsidRPr="000677AB">
        <w:rPr>
          <w:rFonts w:eastAsia="Times New Roman" w:cs="Arial"/>
          <w:color w:val="000000"/>
          <w:szCs w:val="20"/>
          <w:lang w:val="ru-RU"/>
        </w:rPr>
        <w:t xml:space="preserve">9, </w:t>
      </w:r>
      <w:r w:rsidRPr="000677AB">
        <w:rPr>
          <w:rFonts w:eastAsia="Times New Roman" w:cs="Arial"/>
          <w:color w:val="000000"/>
          <w:szCs w:val="20"/>
          <w:lang w:eastAsia="bg-BG"/>
        </w:rPr>
        <w:t>например рифампицин, върху фармакокинетиката на ирбесартан не са проучени. Фармакокинетиката на дигоксин не се променя при едновременно приложение с ирбесартан.</w:t>
      </w:r>
    </w:p>
    <w:p w14:paraId="2093C1CD" w14:textId="77777777" w:rsidR="000677AB" w:rsidRPr="000677AB" w:rsidRDefault="000677AB" w:rsidP="000677AB">
      <w:pPr>
        <w:spacing w:line="240" w:lineRule="auto"/>
        <w:rPr>
          <w:rFonts w:eastAsia="Times New Roman" w:cs="Arial"/>
          <w:color w:val="000000"/>
          <w:szCs w:val="20"/>
          <w:u w:val="single"/>
          <w:lang w:eastAsia="bg-BG"/>
        </w:rPr>
      </w:pPr>
    </w:p>
    <w:p w14:paraId="4FA6C2E1" w14:textId="6BC93218"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u w:val="single"/>
          <w:lang w:eastAsia="bg-BG"/>
        </w:rPr>
        <w:t>Допълнителна информатгия относно взаимодействията на хидрохлоротиазид:</w:t>
      </w:r>
      <w:r w:rsidRPr="000677AB">
        <w:rPr>
          <w:rFonts w:eastAsia="Times New Roman" w:cs="Arial"/>
          <w:color w:val="000000"/>
          <w:szCs w:val="20"/>
          <w:lang w:eastAsia="bg-BG"/>
        </w:rPr>
        <w:t xml:space="preserve"> при съвместното им приложение представените по-долу лекарствени продукти може да взаимодействат с тиазвдните диуретици:</w:t>
      </w:r>
    </w:p>
    <w:p w14:paraId="14B49FD0" w14:textId="77777777" w:rsidR="000677AB" w:rsidRPr="000677AB" w:rsidRDefault="000677AB" w:rsidP="000677AB">
      <w:pPr>
        <w:spacing w:line="240" w:lineRule="auto"/>
        <w:rPr>
          <w:rFonts w:eastAsia="Times New Roman" w:cs="Arial"/>
          <w:i/>
          <w:iCs/>
          <w:color w:val="000000"/>
          <w:szCs w:val="20"/>
          <w:lang w:eastAsia="bg-BG"/>
        </w:rPr>
      </w:pPr>
    </w:p>
    <w:p w14:paraId="4B8F0C54" w14:textId="5F7E8B58" w:rsidR="000677AB" w:rsidRPr="000677AB" w:rsidRDefault="000677AB" w:rsidP="000677AB">
      <w:pPr>
        <w:spacing w:line="240" w:lineRule="auto"/>
        <w:rPr>
          <w:rFonts w:eastAsia="Times New Roman" w:cs="Arial"/>
          <w:sz w:val="28"/>
          <w:szCs w:val="24"/>
        </w:rPr>
      </w:pPr>
      <w:r w:rsidRPr="000677AB">
        <w:rPr>
          <w:rFonts w:eastAsia="Times New Roman" w:cs="Arial"/>
          <w:i/>
          <w:iCs/>
          <w:color w:val="000000"/>
          <w:szCs w:val="20"/>
          <w:lang w:eastAsia="bg-BG"/>
        </w:rPr>
        <w:t>Алкохол:</w:t>
      </w:r>
      <w:r w:rsidRPr="000677AB">
        <w:rPr>
          <w:rFonts w:eastAsia="Times New Roman" w:cs="Arial"/>
          <w:color w:val="000000"/>
          <w:szCs w:val="20"/>
          <w:lang w:eastAsia="bg-BG"/>
        </w:rPr>
        <w:t xml:space="preserve"> може да настъпи потенциране на ортостатичната хипотония;</w:t>
      </w:r>
    </w:p>
    <w:p w14:paraId="07058EFB" w14:textId="77777777" w:rsidR="000677AB" w:rsidRPr="000677AB" w:rsidRDefault="000677AB" w:rsidP="000677AB">
      <w:pPr>
        <w:spacing w:line="240" w:lineRule="auto"/>
        <w:rPr>
          <w:rFonts w:eastAsia="Times New Roman" w:cs="Arial"/>
          <w:i/>
          <w:iCs/>
          <w:color w:val="000000"/>
          <w:szCs w:val="20"/>
          <w:lang w:eastAsia="bg-BG"/>
        </w:rPr>
      </w:pPr>
    </w:p>
    <w:p w14:paraId="3C76C6D6" w14:textId="33B6CDE5" w:rsidR="000677AB" w:rsidRPr="000677AB" w:rsidRDefault="000677AB" w:rsidP="000677AB">
      <w:pPr>
        <w:spacing w:line="240" w:lineRule="auto"/>
        <w:rPr>
          <w:rFonts w:eastAsia="Times New Roman" w:cs="Arial"/>
          <w:color w:val="000000"/>
          <w:szCs w:val="20"/>
          <w:lang w:eastAsia="bg-BG"/>
        </w:rPr>
      </w:pPr>
      <w:r w:rsidRPr="000677AB">
        <w:rPr>
          <w:rFonts w:eastAsia="Times New Roman" w:cs="Arial"/>
          <w:i/>
          <w:iCs/>
          <w:color w:val="000000"/>
          <w:szCs w:val="20"/>
          <w:lang w:eastAsia="bg-BG"/>
        </w:rPr>
        <w:t>Антидиабетни лекарствени продукти (перорални средства и инсулина):</w:t>
      </w:r>
      <w:r w:rsidRPr="000677AB">
        <w:rPr>
          <w:rFonts w:eastAsia="Times New Roman" w:cs="Arial"/>
          <w:color w:val="000000"/>
          <w:szCs w:val="20"/>
          <w:lang w:eastAsia="bg-BG"/>
        </w:rPr>
        <w:t xml:space="preserve"> може да е необходимо коригиране </w:t>
      </w:r>
    </w:p>
    <w:p w14:paraId="49D8BD25" w14:textId="7063B72A"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lang w:eastAsia="bg-BG"/>
        </w:rPr>
        <w:t>на дозата на антидиабетния лекарствен продукт (вж. точка 4.4);</w:t>
      </w:r>
    </w:p>
    <w:p w14:paraId="020A03E2" w14:textId="77777777" w:rsidR="000677AB" w:rsidRPr="000677AB" w:rsidRDefault="000677AB" w:rsidP="000677AB">
      <w:pPr>
        <w:spacing w:line="240" w:lineRule="auto"/>
        <w:rPr>
          <w:rFonts w:eastAsia="Times New Roman" w:cs="Arial"/>
          <w:i/>
          <w:iCs/>
          <w:color w:val="000000"/>
          <w:szCs w:val="20"/>
          <w:lang w:eastAsia="bg-BG"/>
        </w:rPr>
      </w:pPr>
    </w:p>
    <w:p w14:paraId="1ADD0AFC" w14:textId="7B4ADCEA" w:rsidR="000677AB" w:rsidRPr="000677AB" w:rsidRDefault="000677AB" w:rsidP="000677AB">
      <w:pPr>
        <w:spacing w:line="240" w:lineRule="auto"/>
        <w:rPr>
          <w:rFonts w:eastAsia="Times New Roman" w:cs="Arial"/>
          <w:sz w:val="28"/>
          <w:szCs w:val="24"/>
        </w:rPr>
      </w:pPr>
      <w:r w:rsidRPr="000677AB">
        <w:rPr>
          <w:rFonts w:eastAsia="Times New Roman" w:cs="Arial"/>
          <w:i/>
          <w:iCs/>
          <w:color w:val="000000"/>
          <w:szCs w:val="20"/>
          <w:lang w:eastAsia="bg-BG"/>
        </w:rPr>
        <w:t>Холестирамин и холестиполови смоли:</w:t>
      </w:r>
      <w:r w:rsidRPr="000677AB">
        <w:rPr>
          <w:rFonts w:eastAsia="Times New Roman" w:cs="Arial"/>
          <w:color w:val="000000"/>
          <w:szCs w:val="20"/>
          <w:lang w:eastAsia="bg-BG"/>
        </w:rPr>
        <w:t xml:space="preserve"> абсорбцияга на хидрохлоротиазид е нарушена в присъствието на анионни обменни смоли; ирбесартан/хидрохлоротиазид трябва да се приема поне един час преди или четири часа след приема на такива лекарства.</w:t>
      </w:r>
    </w:p>
    <w:p w14:paraId="1F620A8C" w14:textId="77777777" w:rsidR="000677AB" w:rsidRPr="000677AB" w:rsidRDefault="000677AB" w:rsidP="000677AB">
      <w:pPr>
        <w:spacing w:line="240" w:lineRule="auto"/>
        <w:rPr>
          <w:rFonts w:eastAsia="Times New Roman" w:cs="Arial"/>
          <w:i/>
          <w:iCs/>
          <w:color w:val="000000"/>
          <w:szCs w:val="20"/>
          <w:lang w:eastAsia="bg-BG"/>
        </w:rPr>
      </w:pPr>
    </w:p>
    <w:p w14:paraId="2CFB3785" w14:textId="5543A6C7" w:rsidR="000677AB" w:rsidRPr="000677AB" w:rsidRDefault="000677AB" w:rsidP="000677AB">
      <w:pPr>
        <w:spacing w:line="240" w:lineRule="auto"/>
        <w:rPr>
          <w:rFonts w:eastAsia="Times New Roman" w:cs="Arial"/>
          <w:sz w:val="28"/>
          <w:szCs w:val="24"/>
        </w:rPr>
      </w:pPr>
      <w:r w:rsidRPr="000677AB">
        <w:rPr>
          <w:rFonts w:eastAsia="Times New Roman" w:cs="Arial"/>
          <w:i/>
          <w:iCs/>
          <w:color w:val="000000"/>
          <w:szCs w:val="20"/>
          <w:lang w:eastAsia="bg-BG"/>
        </w:rPr>
        <w:t>Кортикостероиди, АКТХ:</w:t>
      </w:r>
      <w:r w:rsidRPr="000677AB">
        <w:rPr>
          <w:rFonts w:eastAsia="Times New Roman" w:cs="Arial"/>
          <w:color w:val="000000"/>
          <w:szCs w:val="20"/>
          <w:lang w:eastAsia="bg-BG"/>
        </w:rPr>
        <w:t xml:space="preserve"> недостига на електролити, особено хипокалиемия, може да бъде повишен;</w:t>
      </w:r>
    </w:p>
    <w:p w14:paraId="727A19EB" w14:textId="77777777" w:rsidR="000677AB" w:rsidRPr="000677AB" w:rsidRDefault="000677AB" w:rsidP="000677AB">
      <w:pPr>
        <w:spacing w:line="240" w:lineRule="auto"/>
        <w:rPr>
          <w:rFonts w:eastAsia="Times New Roman" w:cs="Arial"/>
          <w:i/>
          <w:iCs/>
          <w:color w:val="000000"/>
          <w:szCs w:val="20"/>
          <w:lang w:eastAsia="bg-BG"/>
        </w:rPr>
      </w:pPr>
    </w:p>
    <w:p w14:paraId="3C8DB837" w14:textId="0F3B56B5" w:rsidR="000677AB" w:rsidRPr="000677AB" w:rsidRDefault="000677AB" w:rsidP="000677AB">
      <w:pPr>
        <w:spacing w:line="240" w:lineRule="auto"/>
        <w:rPr>
          <w:rFonts w:eastAsia="Times New Roman" w:cs="Arial"/>
          <w:sz w:val="28"/>
          <w:szCs w:val="24"/>
        </w:rPr>
      </w:pPr>
      <w:r w:rsidRPr="000677AB">
        <w:rPr>
          <w:rFonts w:eastAsia="Times New Roman" w:cs="Arial"/>
          <w:i/>
          <w:iCs/>
          <w:color w:val="000000"/>
          <w:szCs w:val="20"/>
          <w:lang w:eastAsia="bg-BG"/>
        </w:rPr>
        <w:t>Сърдечни гликозиди:</w:t>
      </w:r>
      <w:r w:rsidRPr="000677AB">
        <w:rPr>
          <w:rFonts w:eastAsia="Times New Roman" w:cs="Arial"/>
          <w:color w:val="000000"/>
          <w:szCs w:val="20"/>
          <w:lang w:eastAsia="bg-BG"/>
        </w:rPr>
        <w:t xml:space="preserve"> предизвиканата от тиазидите хипокалиемия или хипомагнезиемия благоприятства появата на индуцираната от дигиталиса сърдечна аритмия (вж. точка 4.4);</w:t>
      </w:r>
    </w:p>
    <w:p w14:paraId="50519EAA" w14:textId="77777777" w:rsidR="000677AB" w:rsidRPr="000677AB" w:rsidRDefault="000677AB" w:rsidP="000677AB">
      <w:pPr>
        <w:spacing w:line="240" w:lineRule="auto"/>
        <w:rPr>
          <w:rFonts w:eastAsia="Times New Roman" w:cs="Arial"/>
          <w:i/>
          <w:iCs/>
          <w:color w:val="000000"/>
          <w:szCs w:val="20"/>
          <w:lang w:eastAsia="bg-BG"/>
        </w:rPr>
      </w:pPr>
    </w:p>
    <w:p w14:paraId="23E0FA16" w14:textId="5141471A" w:rsidR="000677AB" w:rsidRPr="000677AB" w:rsidRDefault="000677AB" w:rsidP="000677AB">
      <w:pPr>
        <w:spacing w:line="240" w:lineRule="auto"/>
        <w:rPr>
          <w:rFonts w:eastAsia="Times New Roman" w:cs="Arial"/>
          <w:sz w:val="28"/>
          <w:szCs w:val="24"/>
        </w:rPr>
      </w:pPr>
      <w:r w:rsidRPr="000677AB">
        <w:rPr>
          <w:rFonts w:eastAsia="Times New Roman" w:cs="Arial"/>
          <w:i/>
          <w:iCs/>
          <w:color w:val="000000"/>
          <w:szCs w:val="20"/>
          <w:lang w:eastAsia="bg-BG"/>
        </w:rPr>
        <w:t>Нестероидни противовъзпалителни средства:</w:t>
      </w:r>
      <w:r w:rsidRPr="000677AB">
        <w:rPr>
          <w:rFonts w:eastAsia="Times New Roman" w:cs="Arial"/>
          <w:color w:val="000000"/>
          <w:szCs w:val="20"/>
          <w:lang w:eastAsia="bg-BG"/>
        </w:rPr>
        <w:t xml:space="preserve"> приложението на нестероидни противовъзпалителни средства може да намали диуретичния, натрийуретичния и антихипертензивен ефект на тиазидните диуретици при някои пациенти;</w:t>
      </w:r>
    </w:p>
    <w:p w14:paraId="5D398773" w14:textId="77777777" w:rsidR="000677AB" w:rsidRPr="000677AB" w:rsidRDefault="000677AB" w:rsidP="000677AB">
      <w:pPr>
        <w:spacing w:line="240" w:lineRule="auto"/>
        <w:rPr>
          <w:rFonts w:eastAsia="Times New Roman" w:cs="Arial"/>
          <w:i/>
          <w:iCs/>
          <w:color w:val="000000"/>
          <w:szCs w:val="20"/>
          <w:lang w:eastAsia="bg-BG"/>
        </w:rPr>
      </w:pPr>
    </w:p>
    <w:p w14:paraId="08E6EB3F" w14:textId="6640C103" w:rsidR="000677AB" w:rsidRPr="000677AB" w:rsidRDefault="000677AB" w:rsidP="000677AB">
      <w:pPr>
        <w:spacing w:line="240" w:lineRule="auto"/>
        <w:rPr>
          <w:rFonts w:eastAsia="Times New Roman" w:cs="Arial"/>
          <w:sz w:val="28"/>
          <w:szCs w:val="24"/>
        </w:rPr>
      </w:pPr>
      <w:r w:rsidRPr="000677AB">
        <w:rPr>
          <w:rFonts w:eastAsia="Times New Roman" w:cs="Arial"/>
          <w:i/>
          <w:iCs/>
          <w:color w:val="000000"/>
          <w:szCs w:val="20"/>
          <w:lang w:eastAsia="bg-BG"/>
        </w:rPr>
        <w:t>Пресорни амини (напр. норадреналин):</w:t>
      </w:r>
      <w:r w:rsidRPr="000677AB">
        <w:rPr>
          <w:rFonts w:eastAsia="Times New Roman" w:cs="Arial"/>
          <w:color w:val="000000"/>
          <w:szCs w:val="20"/>
          <w:lang w:eastAsia="bg-BG"/>
        </w:rPr>
        <w:t xml:space="preserve"> ефектът на пресорните амини може да бъде намален, но не в такава степен, че да изключи възможността за тяхната употреба;</w:t>
      </w:r>
    </w:p>
    <w:p w14:paraId="520E67A9" w14:textId="77777777" w:rsidR="000677AB" w:rsidRPr="000677AB" w:rsidRDefault="000677AB" w:rsidP="000677AB">
      <w:pPr>
        <w:rPr>
          <w:rFonts w:eastAsia="Times New Roman" w:cs="Arial"/>
          <w:i/>
          <w:iCs/>
          <w:color w:val="000000"/>
          <w:szCs w:val="20"/>
          <w:lang w:eastAsia="bg-BG"/>
        </w:rPr>
      </w:pPr>
    </w:p>
    <w:p w14:paraId="68D7E57A" w14:textId="0DABAD25" w:rsidR="000677AB" w:rsidRPr="000677AB" w:rsidRDefault="000677AB" w:rsidP="000677AB">
      <w:pPr>
        <w:rPr>
          <w:rFonts w:eastAsia="Times New Roman" w:cs="Arial"/>
          <w:color w:val="000000"/>
          <w:szCs w:val="20"/>
          <w:lang w:eastAsia="bg-BG"/>
        </w:rPr>
      </w:pPr>
      <w:r w:rsidRPr="000677AB">
        <w:rPr>
          <w:rFonts w:eastAsia="Times New Roman" w:cs="Arial"/>
          <w:i/>
          <w:iCs/>
          <w:color w:val="000000"/>
          <w:szCs w:val="20"/>
          <w:lang w:eastAsia="bg-BG"/>
        </w:rPr>
        <w:t>Недеполяризиращи релаксанти на скелетната мускулатура (напр. тубокурарин):</w:t>
      </w:r>
      <w:r w:rsidRPr="000677AB">
        <w:rPr>
          <w:rFonts w:eastAsia="Times New Roman" w:cs="Arial"/>
          <w:color w:val="000000"/>
          <w:szCs w:val="20"/>
          <w:lang w:eastAsia="bg-BG"/>
        </w:rPr>
        <w:t xml:space="preserve"> ефектът на</w:t>
      </w:r>
      <w:r w:rsidRPr="000677AB">
        <w:rPr>
          <w:rFonts w:eastAsia="Times New Roman" w:cs="Arial"/>
          <w:color w:val="000000"/>
          <w:szCs w:val="20"/>
          <w:u w:val="single"/>
          <w:lang w:eastAsia="bg-BG"/>
        </w:rPr>
        <w:t xml:space="preserve"> </w:t>
      </w:r>
      <w:r w:rsidRPr="000677AB">
        <w:rPr>
          <w:rFonts w:eastAsia="Times New Roman" w:cs="Arial"/>
          <w:color w:val="000000"/>
          <w:szCs w:val="20"/>
          <w:lang w:eastAsia="bg-BG"/>
        </w:rPr>
        <w:t>недеполяризиращи релаксанти на скелетната мускулатура може да бъде потенциран от хидрохлоротиазид;</w:t>
      </w:r>
    </w:p>
    <w:p w14:paraId="0E1E1A65" w14:textId="33E73FC7" w:rsidR="000677AB" w:rsidRPr="000677AB" w:rsidRDefault="000677AB" w:rsidP="000677AB">
      <w:pPr>
        <w:rPr>
          <w:rFonts w:eastAsia="Times New Roman" w:cs="Arial"/>
          <w:color w:val="000000"/>
          <w:szCs w:val="20"/>
          <w:lang w:eastAsia="bg-BG"/>
        </w:rPr>
      </w:pPr>
    </w:p>
    <w:p w14:paraId="3F251D07" w14:textId="77777777" w:rsidR="000677AB" w:rsidRPr="000677AB" w:rsidRDefault="000677AB" w:rsidP="000677AB">
      <w:pPr>
        <w:spacing w:line="240" w:lineRule="auto"/>
        <w:rPr>
          <w:rFonts w:eastAsia="Times New Roman" w:cs="Arial"/>
          <w:sz w:val="28"/>
          <w:szCs w:val="24"/>
        </w:rPr>
      </w:pPr>
      <w:r w:rsidRPr="000677AB">
        <w:rPr>
          <w:rFonts w:eastAsia="Times New Roman" w:cs="Arial"/>
          <w:i/>
          <w:iCs/>
          <w:color w:val="000000"/>
          <w:szCs w:val="20"/>
          <w:lang w:eastAsia="bg-BG"/>
        </w:rPr>
        <w:t>Лекарствени продукти за лечение на подагра:</w:t>
      </w:r>
      <w:r w:rsidRPr="000677AB">
        <w:rPr>
          <w:rFonts w:eastAsia="Times New Roman" w:cs="Arial"/>
          <w:color w:val="000000"/>
          <w:szCs w:val="20"/>
          <w:lang w:eastAsia="bg-BG"/>
        </w:rPr>
        <w:t xml:space="preserve"> може да е необходима промяна на дозата на антиподагрозните лекарствени продукти, тъй като хидрохлоротиазид може да повиши нивата на серумната пикочна киселина. Може да е необходимо повишаване дозата на пробенаццд или сулфинпиразон. Едновременното приложение с тиазидни диуретици може да повиши честотата на хипергензивните реакции при алопуринол;</w:t>
      </w:r>
    </w:p>
    <w:p w14:paraId="18E715A4" w14:textId="77777777" w:rsidR="000677AB" w:rsidRPr="000677AB" w:rsidRDefault="000677AB" w:rsidP="000677AB">
      <w:pPr>
        <w:spacing w:line="240" w:lineRule="auto"/>
        <w:rPr>
          <w:rFonts w:eastAsia="Times New Roman" w:cs="Arial"/>
          <w:i/>
          <w:iCs/>
          <w:color w:val="000000"/>
          <w:szCs w:val="20"/>
          <w:lang w:eastAsia="bg-BG"/>
        </w:rPr>
      </w:pPr>
    </w:p>
    <w:p w14:paraId="0DD7627F" w14:textId="2E0535A0" w:rsidR="000677AB" w:rsidRPr="000677AB" w:rsidRDefault="000677AB" w:rsidP="000677AB">
      <w:pPr>
        <w:spacing w:line="240" w:lineRule="auto"/>
        <w:rPr>
          <w:rFonts w:eastAsia="Times New Roman" w:cs="Arial"/>
          <w:sz w:val="28"/>
          <w:szCs w:val="24"/>
        </w:rPr>
      </w:pPr>
      <w:r w:rsidRPr="000677AB">
        <w:rPr>
          <w:rFonts w:eastAsia="Times New Roman" w:cs="Arial"/>
          <w:i/>
          <w:iCs/>
          <w:color w:val="000000"/>
          <w:szCs w:val="20"/>
          <w:lang w:eastAsia="bg-BG"/>
        </w:rPr>
        <w:t>Калциеви соли:</w:t>
      </w:r>
      <w:r w:rsidRPr="000677AB">
        <w:rPr>
          <w:rFonts w:eastAsia="Times New Roman" w:cs="Arial"/>
          <w:color w:val="000000"/>
          <w:szCs w:val="20"/>
          <w:lang w:eastAsia="bg-BG"/>
        </w:rPr>
        <w:t xml:space="preserve"> тиазидните диуретици може да повишат нивата на серумния калций поради понижена екскреция. Ако трябва да бъдат приложени калциеви добавки или лекарствени продукти, съхраняващи калция (напр. лечение с витамин </w:t>
      </w:r>
      <w:r w:rsidRPr="000677AB">
        <w:rPr>
          <w:rFonts w:eastAsia="Times New Roman" w:cs="Arial"/>
          <w:color w:val="000000"/>
          <w:szCs w:val="20"/>
          <w:lang w:val="en-US"/>
        </w:rPr>
        <w:t>D</w:t>
      </w:r>
      <w:r w:rsidRPr="000677AB">
        <w:rPr>
          <w:rFonts w:eastAsia="Times New Roman" w:cs="Arial"/>
          <w:color w:val="000000"/>
          <w:szCs w:val="20"/>
          <w:lang w:val="ru-RU"/>
        </w:rPr>
        <w:t xml:space="preserve">), </w:t>
      </w:r>
      <w:r w:rsidRPr="000677AB">
        <w:rPr>
          <w:rFonts w:eastAsia="Times New Roman" w:cs="Arial"/>
          <w:color w:val="000000"/>
          <w:szCs w:val="20"/>
          <w:lang w:eastAsia="bg-BG"/>
        </w:rPr>
        <w:t>то е необходимо проследяване нивата на серумния калций и съответна промяна на дозата на калций;</w:t>
      </w:r>
    </w:p>
    <w:p w14:paraId="558116D3" w14:textId="77777777" w:rsidR="000677AB" w:rsidRPr="000677AB" w:rsidRDefault="000677AB" w:rsidP="000677AB">
      <w:pPr>
        <w:spacing w:line="240" w:lineRule="auto"/>
        <w:rPr>
          <w:rFonts w:eastAsia="Times New Roman" w:cs="Arial"/>
          <w:i/>
          <w:iCs/>
          <w:color w:val="000000"/>
          <w:szCs w:val="20"/>
          <w:lang w:eastAsia="bg-BG"/>
        </w:rPr>
      </w:pPr>
    </w:p>
    <w:p w14:paraId="1AEA6A85" w14:textId="7435F83C" w:rsidR="000677AB" w:rsidRPr="000677AB" w:rsidRDefault="000677AB" w:rsidP="000677AB">
      <w:pPr>
        <w:spacing w:line="240" w:lineRule="auto"/>
        <w:rPr>
          <w:rFonts w:eastAsia="Times New Roman" w:cs="Arial"/>
          <w:sz w:val="28"/>
          <w:szCs w:val="24"/>
        </w:rPr>
      </w:pPr>
      <w:r w:rsidRPr="000677AB">
        <w:rPr>
          <w:rFonts w:eastAsia="Times New Roman" w:cs="Arial"/>
          <w:i/>
          <w:iCs/>
          <w:color w:val="000000"/>
          <w:szCs w:val="20"/>
          <w:lang w:eastAsia="bg-BG"/>
        </w:rPr>
        <w:t>Други взаимодействия:</w:t>
      </w:r>
      <w:r w:rsidRPr="000677AB">
        <w:rPr>
          <w:rFonts w:eastAsia="Times New Roman" w:cs="Arial"/>
          <w:color w:val="000000"/>
          <w:szCs w:val="20"/>
          <w:lang w:eastAsia="bg-BG"/>
        </w:rPr>
        <w:t xml:space="preserve"> хипергликемичният ефект на бета-блокерите и диазоксид може да бъде увеличен от тиазидите. Антихолинергичните средства (напр. атропин, бипериден) може да повишат бионаличността на тиазидните диуретици чрез понижение на стомашно-чревния мотилитет и скоростта на изпразване на стомаха. Тиазидите повишат риска от нежеланите ефекти, причинени от амантадин. Тиазидите може да понижат бъбречната екскреция на цитотоксичните лекарствени продукти (напр. циклофосфамид, метотрексат) и да потенцират техните миелосупресивни ефекти.</w:t>
      </w:r>
    </w:p>
    <w:p w14:paraId="498679C7" w14:textId="77777777" w:rsidR="000677AB" w:rsidRPr="000677AB" w:rsidRDefault="000677AB" w:rsidP="000677AB"/>
    <w:p w14:paraId="5D9F40EA" w14:textId="54BC83E8" w:rsidR="007122AD" w:rsidRDefault="002C50EE" w:rsidP="00936AD0">
      <w:pPr>
        <w:pStyle w:val="Heading2"/>
      </w:pPr>
      <w:r>
        <w:t>4.6. Фертилитет, бременност и кърмене</w:t>
      </w:r>
    </w:p>
    <w:p w14:paraId="5F1D4561" w14:textId="00FB7BE0" w:rsidR="000677AB" w:rsidRDefault="000677AB" w:rsidP="000677AB"/>
    <w:p w14:paraId="03B61DA3" w14:textId="77777777" w:rsidR="000677AB" w:rsidRPr="000677AB" w:rsidRDefault="000677AB" w:rsidP="000677AB">
      <w:pPr>
        <w:pStyle w:val="Heading3"/>
        <w:rPr>
          <w:rFonts w:eastAsia="Times New Roman"/>
          <w:sz w:val="28"/>
          <w:u w:val="single"/>
        </w:rPr>
      </w:pPr>
      <w:r w:rsidRPr="000677AB">
        <w:rPr>
          <w:rFonts w:eastAsia="Times New Roman"/>
          <w:u w:val="single"/>
          <w:lang w:eastAsia="bg-BG"/>
        </w:rPr>
        <w:t>Бременност:</w:t>
      </w:r>
    </w:p>
    <w:p w14:paraId="0A12456E" w14:textId="77777777" w:rsidR="000677AB" w:rsidRPr="000677AB" w:rsidRDefault="000677AB" w:rsidP="000677AB">
      <w:pPr>
        <w:spacing w:line="240" w:lineRule="auto"/>
        <w:rPr>
          <w:rFonts w:eastAsia="Times New Roman" w:cs="Arial"/>
          <w:color w:val="000000"/>
          <w:szCs w:val="20"/>
          <w:lang w:eastAsia="bg-BG"/>
        </w:rPr>
      </w:pPr>
    </w:p>
    <w:p w14:paraId="7C9B9B27" w14:textId="5128174A"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lang w:eastAsia="bg-BG"/>
        </w:rPr>
        <w:t xml:space="preserve">Употребата на </w:t>
      </w:r>
      <w:r w:rsidRPr="000677AB">
        <w:rPr>
          <w:rFonts w:eastAsia="Times New Roman" w:cs="Arial"/>
          <w:color w:val="000000"/>
          <w:szCs w:val="20"/>
          <w:lang w:val="en-US"/>
        </w:rPr>
        <w:t>AIIRAs</w:t>
      </w:r>
      <w:r w:rsidRPr="000677AB">
        <w:rPr>
          <w:rFonts w:eastAsia="Times New Roman" w:cs="Arial"/>
          <w:color w:val="000000"/>
          <w:szCs w:val="20"/>
          <w:lang w:val="ru-RU"/>
        </w:rPr>
        <w:t xml:space="preserve"> </w:t>
      </w:r>
      <w:r w:rsidRPr="000677AB">
        <w:rPr>
          <w:rFonts w:eastAsia="Times New Roman" w:cs="Arial"/>
          <w:color w:val="000000"/>
          <w:szCs w:val="20"/>
          <w:lang w:eastAsia="bg-BG"/>
        </w:rPr>
        <w:t xml:space="preserve">не се препоръчва по време на първия триместьр на бременността (вж. точка 4.4). Употребата на </w:t>
      </w:r>
      <w:r w:rsidRPr="000677AB">
        <w:rPr>
          <w:rFonts w:eastAsia="Times New Roman" w:cs="Arial"/>
          <w:color w:val="000000"/>
          <w:szCs w:val="20"/>
          <w:lang w:val="en-US"/>
        </w:rPr>
        <w:t>AIIRAs</w:t>
      </w:r>
      <w:r w:rsidRPr="000677AB">
        <w:rPr>
          <w:rFonts w:eastAsia="Times New Roman" w:cs="Arial"/>
          <w:color w:val="000000"/>
          <w:szCs w:val="20"/>
          <w:lang w:val="ru-RU"/>
        </w:rPr>
        <w:t xml:space="preserve"> </w:t>
      </w:r>
      <w:r w:rsidRPr="000677AB">
        <w:rPr>
          <w:rFonts w:eastAsia="Times New Roman" w:cs="Arial"/>
          <w:color w:val="000000"/>
          <w:szCs w:val="20"/>
          <w:lang w:eastAsia="bg-BG"/>
        </w:rPr>
        <w:t>е противопоказана по време на втория и третия триместьр на бременността_(вж. точки 4.3 и 4.4).</w:t>
      </w:r>
    </w:p>
    <w:p w14:paraId="2D05D750" w14:textId="77777777" w:rsidR="000677AB" w:rsidRPr="000677AB" w:rsidRDefault="000677AB" w:rsidP="000677AB">
      <w:pPr>
        <w:spacing w:line="240" w:lineRule="auto"/>
        <w:rPr>
          <w:rFonts w:eastAsia="Times New Roman" w:cs="Arial"/>
          <w:color w:val="000000"/>
          <w:szCs w:val="20"/>
          <w:lang w:eastAsia="bg-BG"/>
        </w:rPr>
      </w:pPr>
    </w:p>
    <w:p w14:paraId="789C2D0D" w14:textId="79FE54BD"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lang w:eastAsia="bg-BG"/>
        </w:rPr>
        <w:t>Епидемиологичните данни относно риска от тератогенност след експозиция на АСЕ инхибитори по време на първия триместьр на бременността не са убедителни. Все пак леко увеличение на риска не може да бъде изключено. Докато няма контролирани епидемиологични данни относно риска от употреба на ангиотензин-</w:t>
      </w:r>
      <w:r w:rsidRPr="000677AB">
        <w:rPr>
          <w:rFonts w:eastAsia="Times New Roman" w:cs="Arial"/>
          <w:color w:val="000000"/>
          <w:szCs w:val="20"/>
          <w:lang w:val="en-US"/>
        </w:rPr>
        <w:t>II</w:t>
      </w:r>
      <w:r w:rsidRPr="000677AB">
        <w:rPr>
          <w:rFonts w:eastAsia="Times New Roman" w:cs="Arial"/>
          <w:color w:val="000000"/>
          <w:szCs w:val="20"/>
          <w:lang w:eastAsia="bg-BG"/>
        </w:rPr>
        <w:t xml:space="preserve"> рецепторни антагонисти </w:t>
      </w:r>
      <w:r w:rsidRPr="000677AB">
        <w:rPr>
          <w:rFonts w:eastAsia="Times New Roman" w:cs="Arial"/>
          <w:color w:val="000000"/>
          <w:szCs w:val="20"/>
          <w:lang w:val="ru-RU"/>
        </w:rPr>
        <w:t>(</w:t>
      </w:r>
      <w:r w:rsidRPr="000677AB">
        <w:rPr>
          <w:rFonts w:eastAsia="Times New Roman" w:cs="Arial"/>
          <w:color w:val="000000"/>
          <w:szCs w:val="20"/>
          <w:lang w:val="en-US"/>
        </w:rPr>
        <w:t>AIIRAs</w:t>
      </w:r>
      <w:r w:rsidRPr="000677AB">
        <w:rPr>
          <w:rFonts w:eastAsia="Times New Roman" w:cs="Arial"/>
          <w:color w:val="000000"/>
          <w:szCs w:val="20"/>
          <w:lang w:val="ru-RU"/>
        </w:rPr>
        <w:t xml:space="preserve">) </w:t>
      </w:r>
      <w:r w:rsidRPr="000677AB">
        <w:rPr>
          <w:rFonts w:eastAsia="Times New Roman" w:cs="Arial"/>
          <w:color w:val="000000"/>
          <w:szCs w:val="20"/>
          <w:lang w:eastAsia="bg-BG"/>
        </w:rPr>
        <w:t xml:space="preserve">подобни рискове могат да съществуват и при този клас лекарства. Ако продължителното лечение с </w:t>
      </w:r>
      <w:r w:rsidRPr="000677AB">
        <w:rPr>
          <w:rFonts w:eastAsia="Times New Roman" w:cs="Arial"/>
          <w:color w:val="000000"/>
          <w:szCs w:val="20"/>
          <w:lang w:val="en-US"/>
        </w:rPr>
        <w:t>AIIRAs</w:t>
      </w:r>
      <w:r w:rsidRPr="000677AB">
        <w:rPr>
          <w:rFonts w:eastAsia="Times New Roman" w:cs="Arial"/>
          <w:color w:val="000000"/>
          <w:szCs w:val="20"/>
          <w:lang w:val="ru-RU"/>
        </w:rPr>
        <w:t xml:space="preserve"> </w:t>
      </w:r>
      <w:r w:rsidRPr="000677AB">
        <w:rPr>
          <w:rFonts w:eastAsia="Times New Roman" w:cs="Arial"/>
          <w:color w:val="000000"/>
          <w:szCs w:val="20"/>
          <w:lang w:eastAsia="bg-BG"/>
        </w:rPr>
        <w:t xml:space="preserve">не е крайно наложително, пациентките, които планират бременност, трябва да преминат на алтернативно антихипертензивно лечение с установен профил на безопасност при употреба по време на бременност. Когато се установи бременност, лечението с </w:t>
      </w:r>
      <w:r w:rsidRPr="000677AB">
        <w:rPr>
          <w:rFonts w:eastAsia="Times New Roman" w:cs="Arial"/>
          <w:color w:val="000000"/>
          <w:szCs w:val="20"/>
          <w:lang w:val="en-US"/>
        </w:rPr>
        <w:t>AIIRAs</w:t>
      </w:r>
      <w:r w:rsidRPr="000677AB">
        <w:rPr>
          <w:rFonts w:eastAsia="Times New Roman" w:cs="Arial"/>
          <w:color w:val="000000"/>
          <w:szCs w:val="20"/>
          <w:lang w:val="ru-RU"/>
        </w:rPr>
        <w:t xml:space="preserve"> </w:t>
      </w:r>
      <w:r w:rsidRPr="000677AB">
        <w:rPr>
          <w:rFonts w:eastAsia="Times New Roman" w:cs="Arial"/>
          <w:color w:val="000000"/>
          <w:szCs w:val="20"/>
          <w:lang w:eastAsia="bg-BG"/>
        </w:rPr>
        <w:t>трябва незабавно да се прекрати и, ако е подходящо, да се започне алтернативно лечение.</w:t>
      </w:r>
    </w:p>
    <w:p w14:paraId="3497C49C" w14:textId="77777777" w:rsidR="000677AB" w:rsidRPr="000677AB" w:rsidRDefault="000677AB" w:rsidP="000677AB">
      <w:pPr>
        <w:spacing w:line="240" w:lineRule="auto"/>
        <w:rPr>
          <w:rFonts w:eastAsia="Times New Roman" w:cs="Arial"/>
          <w:color w:val="000000"/>
          <w:szCs w:val="20"/>
          <w:lang w:eastAsia="bg-BG"/>
        </w:rPr>
      </w:pPr>
    </w:p>
    <w:p w14:paraId="1A79536C" w14:textId="5421ED41"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lang w:eastAsia="bg-BG"/>
        </w:rPr>
        <w:t xml:space="preserve">Известно е, че експозицията на </w:t>
      </w:r>
      <w:r w:rsidRPr="000677AB">
        <w:rPr>
          <w:rFonts w:eastAsia="Times New Roman" w:cs="Arial"/>
          <w:color w:val="000000"/>
          <w:szCs w:val="20"/>
          <w:lang w:val="en-US"/>
        </w:rPr>
        <w:t>AIIRAs</w:t>
      </w:r>
      <w:r w:rsidRPr="000677AB">
        <w:rPr>
          <w:rFonts w:eastAsia="Times New Roman" w:cs="Arial"/>
          <w:color w:val="000000"/>
          <w:szCs w:val="20"/>
          <w:lang w:val="ru-RU"/>
        </w:rPr>
        <w:t xml:space="preserve"> </w:t>
      </w:r>
      <w:r w:rsidRPr="000677AB">
        <w:rPr>
          <w:rFonts w:eastAsia="Times New Roman" w:cs="Arial"/>
          <w:color w:val="000000"/>
          <w:szCs w:val="20"/>
          <w:lang w:eastAsia="bg-BG"/>
        </w:rPr>
        <w:t xml:space="preserve">по време на втория и третия триместьр индуцира фетотоксичност при хора (намалена бъбречна функция, олигохидрамиион, забавена </w:t>
      </w:r>
      <w:r w:rsidRPr="000677AB">
        <w:rPr>
          <w:rFonts w:eastAsia="Times New Roman" w:cs="Arial"/>
          <w:color w:val="000000"/>
          <w:szCs w:val="20"/>
          <w:lang w:eastAsia="bg-BG"/>
        </w:rPr>
        <w:lastRenderedPageBreak/>
        <w:t>осификация на черепа) и неонатална токсичност (бъбречна недостатъчност, хипотония, хиперкалиемия) (вж. точка 5.3).</w:t>
      </w:r>
    </w:p>
    <w:p w14:paraId="68BD008A" w14:textId="77777777" w:rsidR="000677AB" w:rsidRPr="000677AB" w:rsidRDefault="000677AB" w:rsidP="000677AB">
      <w:pPr>
        <w:spacing w:line="240" w:lineRule="auto"/>
        <w:rPr>
          <w:rFonts w:eastAsia="Times New Roman" w:cs="Arial"/>
          <w:color w:val="000000"/>
          <w:szCs w:val="20"/>
          <w:lang w:eastAsia="bg-BG"/>
        </w:rPr>
      </w:pPr>
    </w:p>
    <w:p w14:paraId="3B8207EA" w14:textId="3D5E6106"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lang w:eastAsia="bg-BG"/>
        </w:rPr>
        <w:t xml:space="preserve">В случай че </w:t>
      </w:r>
      <w:r w:rsidRPr="000677AB">
        <w:rPr>
          <w:rFonts w:eastAsia="Times New Roman" w:cs="Arial"/>
          <w:color w:val="000000"/>
          <w:szCs w:val="20"/>
          <w:lang w:val="en-US"/>
        </w:rPr>
        <w:t>AIIRAs</w:t>
      </w:r>
      <w:r w:rsidRPr="000677AB">
        <w:rPr>
          <w:rFonts w:eastAsia="Times New Roman" w:cs="Arial"/>
          <w:color w:val="000000"/>
          <w:szCs w:val="20"/>
          <w:lang w:val="ru-RU"/>
        </w:rPr>
        <w:t xml:space="preserve"> </w:t>
      </w:r>
      <w:r w:rsidRPr="000677AB">
        <w:rPr>
          <w:rFonts w:eastAsia="Times New Roman" w:cs="Arial"/>
          <w:color w:val="000000"/>
          <w:szCs w:val="20"/>
          <w:lang w:eastAsia="bg-BG"/>
        </w:rPr>
        <w:t>са прилагани през втория триместьр на бременността, препоръчва се ехографско изследване на бъбречната функция и черепа.</w:t>
      </w:r>
    </w:p>
    <w:p w14:paraId="06765FE6" w14:textId="77777777"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lang w:eastAsia="bg-BG"/>
        </w:rPr>
        <w:t xml:space="preserve">Новородените, чиито майки са приемали </w:t>
      </w:r>
      <w:r w:rsidRPr="000677AB">
        <w:rPr>
          <w:rFonts w:eastAsia="Times New Roman" w:cs="Arial"/>
          <w:color w:val="000000"/>
          <w:szCs w:val="20"/>
          <w:lang w:val="en-US"/>
        </w:rPr>
        <w:t>AIIRAs</w:t>
      </w:r>
      <w:r w:rsidRPr="000677AB">
        <w:rPr>
          <w:rFonts w:eastAsia="Times New Roman" w:cs="Arial"/>
          <w:color w:val="000000"/>
          <w:szCs w:val="20"/>
          <w:lang w:val="ru-RU"/>
        </w:rPr>
        <w:t xml:space="preserve">, </w:t>
      </w:r>
      <w:r w:rsidRPr="000677AB">
        <w:rPr>
          <w:rFonts w:eastAsia="Times New Roman" w:cs="Arial"/>
          <w:color w:val="000000"/>
          <w:szCs w:val="20"/>
          <w:lang w:eastAsia="bg-BG"/>
        </w:rPr>
        <w:t>трябва строго да се наблюдават за хипотония (вж. точки 4.3 и 4.4).</w:t>
      </w:r>
    </w:p>
    <w:p w14:paraId="3B73B6F5" w14:textId="77777777" w:rsidR="000677AB" w:rsidRPr="000677AB" w:rsidRDefault="000677AB" w:rsidP="000677AB">
      <w:pPr>
        <w:spacing w:line="240" w:lineRule="auto"/>
        <w:rPr>
          <w:rFonts w:eastAsia="Times New Roman" w:cs="Arial"/>
          <w:color w:val="000000"/>
          <w:szCs w:val="20"/>
          <w:lang w:eastAsia="bg-BG"/>
        </w:rPr>
      </w:pPr>
    </w:p>
    <w:p w14:paraId="06499D66" w14:textId="613EB2AA" w:rsidR="000677AB" w:rsidRPr="000677AB" w:rsidRDefault="000677AB" w:rsidP="000677AB">
      <w:pPr>
        <w:spacing w:line="240" w:lineRule="auto"/>
        <w:rPr>
          <w:rFonts w:eastAsia="Times New Roman" w:cs="Arial"/>
          <w:color w:val="000000"/>
          <w:szCs w:val="20"/>
          <w:lang w:eastAsia="bg-BG"/>
        </w:rPr>
      </w:pPr>
      <w:r w:rsidRPr="000677AB">
        <w:rPr>
          <w:rFonts w:eastAsia="Times New Roman" w:cs="Arial"/>
          <w:color w:val="000000"/>
          <w:szCs w:val="20"/>
          <w:lang w:eastAsia="bg-BG"/>
        </w:rPr>
        <w:t>Тиазидите преминават плацентарната бариера и присъстват в кръвта на пъпната връв. Те може да причинят понижение на перфузията на плацентата, нарушение на електролитите в плода и вероятно други реакции, наблюдавани при възрастните. Съобщени са случаи на неонатална тромбоцитопения или фетална или неонатална жълтеница при лечение на майката с тиазиди. Тъй като ирбесартан/хидрохлоротиазид съдържа хидрохлоротиазид, той не се препоръчва по време на първия триместьр на бременността. При планиране на бременност пациентките трябва да преминат на подходящо алтернативно лечение.</w:t>
      </w:r>
    </w:p>
    <w:p w14:paraId="3D58FF8C" w14:textId="1A5064E5" w:rsidR="000677AB" w:rsidRPr="000677AB" w:rsidRDefault="000677AB" w:rsidP="000677AB">
      <w:pPr>
        <w:spacing w:line="240" w:lineRule="auto"/>
        <w:rPr>
          <w:rFonts w:eastAsia="Times New Roman" w:cs="Arial"/>
          <w:color w:val="000000"/>
          <w:szCs w:val="20"/>
          <w:lang w:eastAsia="bg-BG"/>
        </w:rPr>
      </w:pPr>
    </w:p>
    <w:p w14:paraId="5398211D" w14:textId="77777777" w:rsidR="000677AB" w:rsidRPr="000677AB" w:rsidRDefault="000677AB" w:rsidP="000677AB">
      <w:pPr>
        <w:pStyle w:val="Heading3"/>
        <w:rPr>
          <w:rFonts w:eastAsia="Times New Roman"/>
          <w:sz w:val="28"/>
          <w:u w:val="single"/>
        </w:rPr>
      </w:pPr>
      <w:r w:rsidRPr="000677AB">
        <w:rPr>
          <w:rFonts w:eastAsia="Times New Roman"/>
          <w:u w:val="single"/>
          <w:lang w:eastAsia="bg-BG"/>
        </w:rPr>
        <w:t>Кърмене:</w:t>
      </w:r>
    </w:p>
    <w:p w14:paraId="06B70610" w14:textId="77777777" w:rsidR="000677AB" w:rsidRPr="000677AB" w:rsidRDefault="000677AB" w:rsidP="000677AB">
      <w:pPr>
        <w:spacing w:line="240" w:lineRule="auto"/>
        <w:rPr>
          <w:rFonts w:eastAsia="Times New Roman" w:cs="Arial"/>
          <w:i/>
          <w:iCs/>
          <w:color w:val="000000"/>
          <w:szCs w:val="20"/>
          <w:lang w:eastAsia="bg-BG"/>
        </w:rPr>
      </w:pPr>
    </w:p>
    <w:p w14:paraId="0E3B3765" w14:textId="37F9D6ED" w:rsidR="000677AB" w:rsidRPr="000677AB" w:rsidRDefault="000677AB" w:rsidP="000677AB">
      <w:pPr>
        <w:spacing w:line="240" w:lineRule="auto"/>
        <w:rPr>
          <w:rFonts w:eastAsia="Times New Roman" w:cs="Arial"/>
          <w:sz w:val="28"/>
          <w:szCs w:val="24"/>
        </w:rPr>
      </w:pPr>
      <w:r w:rsidRPr="000677AB">
        <w:rPr>
          <w:rFonts w:eastAsia="Times New Roman" w:cs="Arial"/>
          <w:i/>
          <w:iCs/>
          <w:color w:val="000000"/>
          <w:szCs w:val="20"/>
          <w:lang w:eastAsia="bg-BG"/>
        </w:rPr>
        <w:t xml:space="preserve">Ангиотензин </w:t>
      </w:r>
      <w:r w:rsidRPr="000677AB">
        <w:rPr>
          <w:rFonts w:eastAsia="Times New Roman" w:cs="Arial"/>
          <w:i/>
          <w:iCs/>
          <w:color w:val="000000"/>
          <w:szCs w:val="20"/>
          <w:lang w:val="en-US"/>
        </w:rPr>
        <w:t>II</w:t>
      </w:r>
      <w:r w:rsidRPr="000677AB">
        <w:rPr>
          <w:rFonts w:eastAsia="Times New Roman" w:cs="Arial"/>
          <w:i/>
          <w:iCs/>
          <w:color w:val="000000"/>
          <w:szCs w:val="20"/>
          <w:lang w:val="ru-RU"/>
        </w:rPr>
        <w:t xml:space="preserve"> </w:t>
      </w:r>
      <w:r w:rsidRPr="000677AB">
        <w:rPr>
          <w:rFonts w:eastAsia="Times New Roman" w:cs="Arial"/>
          <w:i/>
          <w:iCs/>
          <w:color w:val="000000"/>
          <w:szCs w:val="20"/>
          <w:lang w:eastAsia="bg-BG"/>
        </w:rPr>
        <w:t xml:space="preserve">рецепторни антагонисти </w:t>
      </w:r>
      <w:r w:rsidRPr="000677AB">
        <w:rPr>
          <w:rFonts w:eastAsia="Times New Roman" w:cs="Arial"/>
          <w:i/>
          <w:iCs/>
          <w:color w:val="000000"/>
          <w:szCs w:val="20"/>
          <w:lang w:val="ru-RU"/>
        </w:rPr>
        <w:t>(</w:t>
      </w:r>
      <w:r w:rsidRPr="000677AB">
        <w:rPr>
          <w:rFonts w:eastAsia="Times New Roman" w:cs="Arial"/>
          <w:i/>
          <w:iCs/>
          <w:color w:val="000000"/>
          <w:szCs w:val="20"/>
          <w:lang w:val="en-US"/>
        </w:rPr>
        <w:t>AIIRAs</w:t>
      </w:r>
      <w:r w:rsidRPr="000677AB">
        <w:rPr>
          <w:rFonts w:eastAsia="Times New Roman" w:cs="Arial"/>
          <w:i/>
          <w:iCs/>
          <w:color w:val="000000"/>
          <w:szCs w:val="20"/>
          <w:lang w:val="ru-RU"/>
        </w:rPr>
        <w:t>):</w:t>
      </w:r>
    </w:p>
    <w:p w14:paraId="10C8D9B6" w14:textId="77777777"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lang w:eastAsia="bg-BG"/>
        </w:rPr>
        <w:t>Тъй като не е налична информация относно употребата на ирбесартан/хидрохлоротиазид по време на кърмене, ирбесартан/хидрохлоротиазид не се препоръчва, а се предпочитат алтернативни терапии с по-добре установен профил на безопасност по време на кърмене, особено при кърмене на новородено или преждевременно родено дете.</w:t>
      </w:r>
    </w:p>
    <w:p w14:paraId="0AF8E43E" w14:textId="77777777" w:rsidR="000677AB" w:rsidRPr="000677AB" w:rsidRDefault="000677AB" w:rsidP="000677AB">
      <w:pPr>
        <w:spacing w:line="240" w:lineRule="auto"/>
        <w:rPr>
          <w:rFonts w:eastAsia="Times New Roman" w:cs="Arial"/>
          <w:color w:val="000000"/>
          <w:szCs w:val="20"/>
          <w:lang w:eastAsia="bg-BG"/>
        </w:rPr>
      </w:pPr>
    </w:p>
    <w:p w14:paraId="0454E18E" w14:textId="36703DA0"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lang w:eastAsia="bg-BG"/>
        </w:rPr>
        <w:t>Не е известно дали ирбесартан или неговите метаболити се екскретират в кърмата. Наличните фармакодинамични/токсикологични данни при плъхове, показнат екскреция на ирбесартан или неговите метаболити в млякото (за подробности вж. точка 5.3).</w:t>
      </w:r>
    </w:p>
    <w:p w14:paraId="2E9A05E4" w14:textId="77777777" w:rsidR="000677AB" w:rsidRPr="000677AB" w:rsidRDefault="000677AB" w:rsidP="000677AB">
      <w:pPr>
        <w:spacing w:line="240" w:lineRule="auto"/>
        <w:rPr>
          <w:rFonts w:eastAsia="Times New Roman" w:cs="Arial"/>
          <w:i/>
          <w:iCs/>
          <w:color w:val="000000"/>
          <w:szCs w:val="20"/>
          <w:lang w:eastAsia="bg-BG"/>
        </w:rPr>
      </w:pPr>
    </w:p>
    <w:p w14:paraId="475DAE2C" w14:textId="0958CC15" w:rsidR="000677AB" w:rsidRPr="000677AB" w:rsidRDefault="000677AB" w:rsidP="000677AB">
      <w:pPr>
        <w:spacing w:line="240" w:lineRule="auto"/>
        <w:rPr>
          <w:rFonts w:eastAsia="Times New Roman" w:cs="Arial"/>
          <w:sz w:val="28"/>
          <w:szCs w:val="24"/>
        </w:rPr>
      </w:pPr>
      <w:r w:rsidRPr="000677AB">
        <w:rPr>
          <w:rFonts w:eastAsia="Times New Roman" w:cs="Arial"/>
          <w:i/>
          <w:iCs/>
          <w:color w:val="000000"/>
          <w:szCs w:val="20"/>
          <w:lang w:eastAsia="bg-BG"/>
        </w:rPr>
        <w:t>Хидрохлоротиазид:</w:t>
      </w:r>
    </w:p>
    <w:p w14:paraId="6FEFA08E" w14:textId="77777777"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lang w:eastAsia="bg-BG"/>
        </w:rPr>
        <w:t>Хидрохлоротиазид се екскретира в малки количества в кърмата. Тиазидите във високи дози, водещи до интензивна диуреза, могат да потиснат производството на кърма. Използването на ирбесартан/хидрохлоротиазид по време на кърмене не се препоръчва. Ако той се използва по време на кърмене, дозите трябва да се поддържат възможно най-ниски.</w:t>
      </w:r>
    </w:p>
    <w:p w14:paraId="7A6C9594" w14:textId="77777777" w:rsidR="000677AB" w:rsidRPr="000677AB" w:rsidRDefault="000677AB" w:rsidP="000677AB">
      <w:pPr>
        <w:spacing w:line="240" w:lineRule="auto"/>
        <w:rPr>
          <w:rFonts w:eastAsia="Times New Roman" w:cs="Arial"/>
          <w:color w:val="000000"/>
          <w:szCs w:val="20"/>
          <w:u w:val="single"/>
          <w:lang w:eastAsia="bg-BG"/>
        </w:rPr>
      </w:pPr>
    </w:p>
    <w:p w14:paraId="56EF47DE" w14:textId="65E0C182" w:rsidR="000677AB" w:rsidRPr="000677AB" w:rsidRDefault="000677AB" w:rsidP="000677AB">
      <w:pPr>
        <w:pStyle w:val="Heading3"/>
        <w:rPr>
          <w:rFonts w:eastAsia="Times New Roman"/>
          <w:sz w:val="28"/>
          <w:u w:val="single"/>
        </w:rPr>
      </w:pPr>
      <w:r w:rsidRPr="000677AB">
        <w:rPr>
          <w:rFonts w:eastAsia="Times New Roman"/>
          <w:u w:val="single"/>
          <w:lang w:eastAsia="bg-BG"/>
        </w:rPr>
        <w:t>Фертилитет:</w:t>
      </w:r>
    </w:p>
    <w:p w14:paraId="233FB966" w14:textId="77777777" w:rsidR="000677AB" w:rsidRPr="000677AB" w:rsidRDefault="000677AB" w:rsidP="000677AB">
      <w:pPr>
        <w:spacing w:line="240" w:lineRule="auto"/>
        <w:rPr>
          <w:rFonts w:eastAsia="Times New Roman" w:cs="Arial"/>
          <w:color w:val="000000"/>
          <w:szCs w:val="20"/>
          <w:lang w:eastAsia="bg-BG"/>
        </w:rPr>
      </w:pPr>
    </w:p>
    <w:p w14:paraId="193B602A" w14:textId="32B34A8C"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lang w:eastAsia="bg-BG"/>
        </w:rPr>
        <w:t>Ирбесартан няма ефект върху фергилитета на третирани плъхове и тяхното потомство до дозови нива, причиняващи първите симптоми на токсичност при родителите (вж. точка 5.3).</w:t>
      </w:r>
    </w:p>
    <w:p w14:paraId="4BF63615" w14:textId="3F85B359" w:rsidR="000677AB" w:rsidRPr="000677AB" w:rsidRDefault="000677AB" w:rsidP="000677AB"/>
    <w:p w14:paraId="5DD7A76D" w14:textId="7A45780F" w:rsidR="007122AD" w:rsidRDefault="002C50EE" w:rsidP="00936AD0">
      <w:pPr>
        <w:pStyle w:val="Heading2"/>
      </w:pPr>
      <w:r>
        <w:t>4.7. Ефекти върху способността за шофиране и работа с машини</w:t>
      </w:r>
    </w:p>
    <w:p w14:paraId="561BD780" w14:textId="073E3082" w:rsidR="000677AB" w:rsidRDefault="000677AB" w:rsidP="000677AB"/>
    <w:p w14:paraId="2787B412" w14:textId="77777777" w:rsidR="000677AB" w:rsidRPr="000677AB" w:rsidRDefault="000677AB" w:rsidP="000677AB">
      <w:pPr>
        <w:rPr>
          <w:sz w:val="24"/>
          <w:szCs w:val="24"/>
        </w:rPr>
      </w:pPr>
      <w:r w:rsidRPr="000677AB">
        <w:rPr>
          <w:lang w:eastAsia="bg-BG"/>
        </w:rPr>
        <w:t>Не са провеждани проучвания по отношение на ефектите върху способността за шофиране и работа с машини. Въз основа на фармакодинамичните си свойства, не се очаква ирбесартан/хидрохлоротиазид да повлияе тези способности. В случай на шофиране или работа с машини трябва да се има предвид възможността за поява на замаяност или отпадналост по време на лечението на хипертония.</w:t>
      </w:r>
    </w:p>
    <w:p w14:paraId="77D7902A" w14:textId="77777777" w:rsidR="000677AB" w:rsidRPr="000677AB" w:rsidRDefault="000677AB" w:rsidP="000677AB"/>
    <w:p w14:paraId="44CE30A3" w14:textId="1C13D912" w:rsidR="007122AD" w:rsidRDefault="002C50EE" w:rsidP="00936AD0">
      <w:pPr>
        <w:pStyle w:val="Heading2"/>
      </w:pPr>
      <w:r>
        <w:t>4.8. Нежелани лекарствени реакции</w:t>
      </w:r>
    </w:p>
    <w:p w14:paraId="407B3728" w14:textId="51FFD0C9" w:rsidR="000677AB" w:rsidRDefault="000677AB" w:rsidP="000677AB"/>
    <w:p w14:paraId="46505D2A" w14:textId="77777777" w:rsidR="000677AB" w:rsidRPr="000677AB" w:rsidRDefault="000677AB" w:rsidP="000677AB">
      <w:pPr>
        <w:spacing w:line="240" w:lineRule="auto"/>
        <w:rPr>
          <w:rFonts w:eastAsia="Times New Roman" w:cs="Arial"/>
        </w:rPr>
      </w:pPr>
      <w:r w:rsidRPr="000677AB">
        <w:rPr>
          <w:rFonts w:eastAsia="Times New Roman" w:cs="Arial"/>
          <w:color w:val="000000"/>
          <w:u w:val="single"/>
          <w:lang w:eastAsia="bg-BG"/>
        </w:rPr>
        <w:t>Ирбесартан/хидрохлоротиазид комбинация:</w:t>
      </w:r>
    </w:p>
    <w:p w14:paraId="1412DEAA" w14:textId="77777777" w:rsidR="000677AB" w:rsidRPr="000677AB" w:rsidRDefault="000677AB" w:rsidP="000677AB">
      <w:pPr>
        <w:spacing w:line="240" w:lineRule="auto"/>
        <w:rPr>
          <w:rFonts w:eastAsia="Times New Roman" w:cs="Arial"/>
        </w:rPr>
      </w:pPr>
      <w:r w:rsidRPr="000677AB">
        <w:rPr>
          <w:rFonts w:eastAsia="Times New Roman" w:cs="Arial"/>
          <w:color w:val="000000"/>
          <w:lang w:eastAsia="bg-BG"/>
        </w:rPr>
        <w:t xml:space="preserve">От 898 пациенти с хипертония, които са приемали различни дози ирбесартан/хидрохлортиазид (от 37,5 </w:t>
      </w:r>
      <w:r w:rsidRPr="000677AB">
        <w:rPr>
          <w:rFonts w:eastAsia="Times New Roman" w:cs="Arial"/>
          <w:color w:val="000000"/>
          <w:lang w:val="en-US"/>
        </w:rPr>
        <w:t>mg</w:t>
      </w:r>
      <w:r w:rsidRPr="000677AB">
        <w:rPr>
          <w:rFonts w:eastAsia="Times New Roman" w:cs="Arial"/>
          <w:color w:val="000000"/>
          <w:lang w:val="ru-RU"/>
        </w:rPr>
        <w:t xml:space="preserve">/6,25 </w:t>
      </w:r>
      <w:r w:rsidRPr="000677AB">
        <w:rPr>
          <w:rFonts w:eastAsia="Times New Roman" w:cs="Arial"/>
          <w:color w:val="000000"/>
          <w:lang w:val="en-US"/>
        </w:rPr>
        <w:t>mg</w:t>
      </w:r>
      <w:r w:rsidRPr="000677AB">
        <w:rPr>
          <w:rFonts w:eastAsia="Times New Roman" w:cs="Arial"/>
          <w:color w:val="000000"/>
          <w:lang w:val="ru-RU"/>
        </w:rPr>
        <w:t xml:space="preserve"> </w:t>
      </w:r>
      <w:r w:rsidRPr="000677AB">
        <w:rPr>
          <w:rFonts w:eastAsia="Times New Roman" w:cs="Arial"/>
          <w:color w:val="000000"/>
          <w:lang w:eastAsia="bg-BG"/>
        </w:rPr>
        <w:t xml:space="preserve">до 300 </w:t>
      </w:r>
      <w:r w:rsidRPr="000677AB">
        <w:rPr>
          <w:rFonts w:eastAsia="Times New Roman" w:cs="Arial"/>
          <w:color w:val="000000"/>
          <w:lang w:val="en-US"/>
        </w:rPr>
        <w:t>mg</w:t>
      </w:r>
      <w:r w:rsidRPr="000677AB">
        <w:rPr>
          <w:rFonts w:eastAsia="Times New Roman" w:cs="Arial"/>
          <w:color w:val="000000"/>
          <w:lang w:val="ru-RU"/>
        </w:rPr>
        <w:t xml:space="preserve">/25 </w:t>
      </w:r>
      <w:r w:rsidRPr="000677AB">
        <w:rPr>
          <w:rFonts w:eastAsia="Times New Roman" w:cs="Arial"/>
          <w:color w:val="000000"/>
          <w:lang w:val="en-US"/>
        </w:rPr>
        <w:t>mg</w:t>
      </w:r>
      <w:r w:rsidRPr="000677AB">
        <w:rPr>
          <w:rFonts w:eastAsia="Times New Roman" w:cs="Arial"/>
          <w:color w:val="000000"/>
          <w:lang w:val="ru-RU"/>
        </w:rPr>
        <w:t xml:space="preserve">) </w:t>
      </w:r>
      <w:r w:rsidRPr="000677AB">
        <w:rPr>
          <w:rFonts w:eastAsia="Times New Roman" w:cs="Arial"/>
          <w:color w:val="000000"/>
          <w:lang w:eastAsia="bg-BG"/>
        </w:rPr>
        <w:t xml:space="preserve">в плацебо-контролирани проучвания, 29,5% от пациентите са изпитали нежелани лекарствени реакции. Най-често съобщаваните нежелани лекарствени реакции са били замаяност (5,6%), умора (4,9%), гадене/повръщане (1,8%) и нарушено уриниране (1,4%). Освен това, повишаване на урейния азот в кръвта </w:t>
      </w:r>
      <w:r w:rsidRPr="000677AB">
        <w:rPr>
          <w:rFonts w:eastAsia="Times New Roman" w:cs="Arial"/>
          <w:color w:val="000000"/>
          <w:lang w:val="ru-RU"/>
        </w:rPr>
        <w:t>(</w:t>
      </w:r>
      <w:r w:rsidRPr="000677AB">
        <w:rPr>
          <w:rFonts w:eastAsia="Times New Roman" w:cs="Arial"/>
          <w:color w:val="000000"/>
          <w:lang w:val="en-US"/>
        </w:rPr>
        <w:t>BUN</w:t>
      </w:r>
      <w:r w:rsidRPr="000677AB">
        <w:rPr>
          <w:rFonts w:eastAsia="Times New Roman" w:cs="Arial"/>
          <w:color w:val="000000"/>
          <w:lang w:val="ru-RU"/>
        </w:rPr>
        <w:t xml:space="preserve">) </w:t>
      </w:r>
      <w:r w:rsidRPr="000677AB">
        <w:rPr>
          <w:rFonts w:eastAsia="Times New Roman" w:cs="Arial"/>
          <w:color w:val="000000"/>
          <w:lang w:eastAsia="bg-BG"/>
        </w:rPr>
        <w:t>(2,3%), креатинкиназата (1,7%) и креатинина (1,1%) също са наблюдавани често по време на проучванията.</w:t>
      </w:r>
    </w:p>
    <w:p w14:paraId="73F7CCCC" w14:textId="77777777" w:rsidR="000677AB" w:rsidRPr="000677AB" w:rsidRDefault="000677AB" w:rsidP="000677AB">
      <w:pPr>
        <w:spacing w:line="240" w:lineRule="auto"/>
        <w:rPr>
          <w:rFonts w:eastAsia="Times New Roman" w:cs="Arial"/>
          <w:color w:val="000000"/>
          <w:lang w:eastAsia="bg-BG"/>
        </w:rPr>
      </w:pPr>
    </w:p>
    <w:p w14:paraId="32F4E165" w14:textId="4576A72A" w:rsidR="000677AB" w:rsidRPr="000677AB" w:rsidRDefault="000677AB" w:rsidP="000677AB">
      <w:pPr>
        <w:spacing w:line="240" w:lineRule="auto"/>
        <w:rPr>
          <w:rFonts w:eastAsia="Times New Roman" w:cs="Arial"/>
        </w:rPr>
      </w:pPr>
      <w:r w:rsidRPr="000677AB">
        <w:rPr>
          <w:rFonts w:eastAsia="Times New Roman" w:cs="Arial"/>
          <w:color w:val="000000"/>
          <w:lang w:eastAsia="bg-BG"/>
        </w:rPr>
        <w:t>Таблица I показва нежеланите реакции, наблюдавани от спонтанни съобщения и по време на плацебо-контролирани проучвания.</w:t>
      </w:r>
    </w:p>
    <w:p w14:paraId="73C7723E" w14:textId="77777777" w:rsidR="000677AB" w:rsidRPr="000677AB" w:rsidRDefault="000677AB" w:rsidP="000677AB">
      <w:pPr>
        <w:rPr>
          <w:rFonts w:eastAsia="Times New Roman" w:cs="Arial"/>
          <w:color w:val="000000"/>
          <w:lang w:eastAsia="bg-BG"/>
        </w:rPr>
      </w:pPr>
    </w:p>
    <w:p w14:paraId="5DF989AE" w14:textId="0478A673" w:rsidR="000677AB" w:rsidRPr="000677AB" w:rsidRDefault="000677AB" w:rsidP="000677AB">
      <w:pPr>
        <w:rPr>
          <w:rFonts w:eastAsia="Times New Roman" w:cs="Arial"/>
          <w:color w:val="000000"/>
          <w:lang w:eastAsia="bg-BG"/>
        </w:rPr>
      </w:pPr>
      <w:r w:rsidRPr="000677AB">
        <w:rPr>
          <w:rFonts w:eastAsia="Times New Roman" w:cs="Arial"/>
          <w:color w:val="000000"/>
          <w:lang w:eastAsia="bg-BG"/>
        </w:rPr>
        <w:t>Честотата на представените по-долу нежеланите реакции е определена както следва: много чести (&gt; 1/10); чести (&gt; 1/100 до &lt; 1/10); нечести (&gt; 1/1 000 до &lt; 1/100); редки (&gt; 1/10 000 до &lt; 1/1 000); много редки (&lt; 1/10 000). При всяко групиране в зависимост от честотата нежеланите лекарствени реакции се изброяват в низходящ ред по отношение на тяхната сериозност.</w:t>
      </w:r>
    </w:p>
    <w:p w14:paraId="23963277" w14:textId="22C0D108" w:rsidR="000677AB" w:rsidRDefault="000677AB" w:rsidP="000677AB">
      <w:pPr>
        <w:rPr>
          <w:rFonts w:ascii="Times New Roman" w:eastAsia="Times New Roman" w:hAnsi="Times New Roman" w:cs="Times New Roman"/>
          <w:color w:val="000000"/>
          <w:sz w:val="20"/>
          <w:szCs w:val="20"/>
          <w:lang w:eastAsia="bg-BG"/>
        </w:rPr>
      </w:pPr>
    </w:p>
    <w:tbl>
      <w:tblPr>
        <w:tblStyle w:val="TableGrid"/>
        <w:tblW w:w="0" w:type="auto"/>
        <w:tblLook w:val="04A0" w:firstRow="1" w:lastRow="0" w:firstColumn="1" w:lastColumn="0" w:noHBand="0" w:noVBand="1"/>
      </w:tblPr>
      <w:tblGrid>
        <w:gridCol w:w="3150"/>
        <w:gridCol w:w="3060"/>
        <w:gridCol w:w="3140"/>
      </w:tblGrid>
      <w:tr w:rsidR="000677AB" w14:paraId="3B85BD8A" w14:textId="77777777" w:rsidTr="00EC5819">
        <w:tc>
          <w:tcPr>
            <w:tcW w:w="9576" w:type="dxa"/>
            <w:gridSpan w:val="3"/>
          </w:tcPr>
          <w:p w14:paraId="5A7E54BD" w14:textId="738A7B68" w:rsidR="000677AB" w:rsidRPr="000677AB" w:rsidRDefault="000677AB" w:rsidP="000677AB">
            <w:pPr>
              <w:rPr>
                <w:rFonts w:cs="Arial"/>
                <w:lang w:eastAsia="bg-BG"/>
              </w:rPr>
            </w:pPr>
            <w:r w:rsidRPr="000677AB">
              <w:rPr>
                <w:rFonts w:cs="Arial"/>
                <w:lang w:eastAsia="bg-BG"/>
              </w:rPr>
              <w:t>Таблица 1: Нежелани реакции при плацебо контролирани проучвания и спонтанни съобщения*</w:t>
            </w:r>
          </w:p>
        </w:tc>
      </w:tr>
      <w:tr w:rsidR="000677AB" w14:paraId="53CF4967" w14:textId="77777777" w:rsidTr="000677AB">
        <w:tc>
          <w:tcPr>
            <w:tcW w:w="3192" w:type="dxa"/>
          </w:tcPr>
          <w:p w14:paraId="14C519AC" w14:textId="51A91615" w:rsidR="000677AB" w:rsidRPr="000677AB" w:rsidRDefault="000677AB" w:rsidP="000677AB">
            <w:pPr>
              <w:rPr>
                <w:rFonts w:eastAsia="Times New Roman" w:cs="Arial"/>
                <w:color w:val="000000"/>
                <w:lang w:eastAsia="bg-BG"/>
              </w:rPr>
            </w:pPr>
            <w:r w:rsidRPr="000677AB">
              <w:rPr>
                <w:rFonts w:cs="Arial"/>
              </w:rPr>
              <w:t>Изследвания:</w:t>
            </w:r>
          </w:p>
        </w:tc>
        <w:tc>
          <w:tcPr>
            <w:tcW w:w="3192" w:type="dxa"/>
            <w:vMerge w:val="restart"/>
          </w:tcPr>
          <w:p w14:paraId="73580C25" w14:textId="77777777" w:rsidR="000677AB" w:rsidRPr="000677AB" w:rsidRDefault="000677AB" w:rsidP="000677AB">
            <w:pPr>
              <w:rPr>
                <w:rFonts w:eastAsia="Times New Roman" w:cs="Arial"/>
                <w:color w:val="000000"/>
                <w:lang w:eastAsia="bg-BG"/>
              </w:rPr>
            </w:pPr>
            <w:r w:rsidRPr="000677AB">
              <w:rPr>
                <w:rFonts w:cs="Arial"/>
              </w:rPr>
              <w:t>Чести:</w:t>
            </w:r>
          </w:p>
          <w:p w14:paraId="3F8EC064" w14:textId="77777777" w:rsidR="000677AB" w:rsidRPr="000677AB" w:rsidRDefault="000677AB" w:rsidP="000677AB">
            <w:pPr>
              <w:rPr>
                <w:rFonts w:cs="Arial"/>
              </w:rPr>
            </w:pPr>
          </w:p>
          <w:p w14:paraId="228EECDD" w14:textId="77777777" w:rsidR="000677AB" w:rsidRPr="000677AB" w:rsidRDefault="000677AB" w:rsidP="000677AB">
            <w:pPr>
              <w:rPr>
                <w:rFonts w:cs="Arial"/>
              </w:rPr>
            </w:pPr>
          </w:p>
          <w:p w14:paraId="025F427B" w14:textId="77777777" w:rsidR="000677AB" w:rsidRPr="000677AB" w:rsidRDefault="000677AB" w:rsidP="000677AB">
            <w:pPr>
              <w:rPr>
                <w:rFonts w:cs="Arial"/>
              </w:rPr>
            </w:pPr>
          </w:p>
          <w:p w14:paraId="03B0DA0A" w14:textId="77777777" w:rsidR="000677AB" w:rsidRPr="000677AB" w:rsidRDefault="000677AB" w:rsidP="000677AB">
            <w:pPr>
              <w:rPr>
                <w:rFonts w:cs="Arial"/>
              </w:rPr>
            </w:pPr>
          </w:p>
          <w:p w14:paraId="68769A59" w14:textId="1B86211B" w:rsidR="000677AB" w:rsidRPr="000677AB" w:rsidRDefault="000677AB" w:rsidP="000677AB">
            <w:pPr>
              <w:rPr>
                <w:rFonts w:eastAsia="Times New Roman" w:cs="Arial"/>
                <w:color w:val="000000"/>
                <w:lang w:eastAsia="bg-BG"/>
              </w:rPr>
            </w:pPr>
            <w:r w:rsidRPr="000677AB">
              <w:rPr>
                <w:rFonts w:cs="Arial"/>
              </w:rPr>
              <w:t>Нечести:</w:t>
            </w:r>
          </w:p>
        </w:tc>
        <w:tc>
          <w:tcPr>
            <w:tcW w:w="3192" w:type="dxa"/>
            <w:vMerge w:val="restart"/>
          </w:tcPr>
          <w:p w14:paraId="7FB20D70" w14:textId="77777777" w:rsidR="000677AB" w:rsidRPr="000677AB" w:rsidRDefault="000677AB" w:rsidP="000677AB">
            <w:pPr>
              <w:rPr>
                <w:rFonts w:eastAsia="Times New Roman" w:cs="Arial"/>
                <w:color w:val="000000"/>
                <w:lang w:eastAsia="bg-BG"/>
              </w:rPr>
            </w:pPr>
            <w:r w:rsidRPr="000677AB">
              <w:rPr>
                <w:rFonts w:cs="Arial"/>
              </w:rPr>
              <w:t xml:space="preserve">повишаване на урейния азот в кръвта </w:t>
            </w:r>
            <w:r w:rsidRPr="000677AB">
              <w:rPr>
                <w:rFonts w:cs="Arial"/>
                <w:lang w:val="ru-RU"/>
              </w:rPr>
              <w:t>(</w:t>
            </w:r>
            <w:r w:rsidRPr="000677AB">
              <w:rPr>
                <w:rFonts w:cs="Arial"/>
                <w:lang w:val="en-US"/>
              </w:rPr>
              <w:t>BUN</w:t>
            </w:r>
            <w:r w:rsidRPr="000677AB">
              <w:rPr>
                <w:rFonts w:cs="Arial"/>
                <w:lang w:val="ru-RU"/>
              </w:rPr>
              <w:t xml:space="preserve">), </w:t>
            </w:r>
            <w:r w:rsidRPr="000677AB">
              <w:rPr>
                <w:rFonts w:cs="Arial"/>
              </w:rPr>
              <w:t>креатинина и креатинкиназата</w:t>
            </w:r>
          </w:p>
          <w:p w14:paraId="24B5F615" w14:textId="77777777" w:rsidR="000677AB" w:rsidRPr="000677AB" w:rsidRDefault="000677AB" w:rsidP="000677AB">
            <w:pPr>
              <w:rPr>
                <w:rFonts w:cs="Arial"/>
              </w:rPr>
            </w:pPr>
          </w:p>
          <w:p w14:paraId="290C3162" w14:textId="32A951DA" w:rsidR="000677AB" w:rsidRPr="000677AB" w:rsidRDefault="000677AB" w:rsidP="000677AB">
            <w:pPr>
              <w:rPr>
                <w:rFonts w:eastAsia="Times New Roman" w:cs="Arial"/>
                <w:color w:val="000000"/>
                <w:lang w:eastAsia="bg-BG"/>
              </w:rPr>
            </w:pPr>
            <w:r w:rsidRPr="000677AB">
              <w:rPr>
                <w:rFonts w:cs="Arial"/>
              </w:rPr>
              <w:t>понижение на серумния калий и</w:t>
            </w:r>
          </w:p>
        </w:tc>
      </w:tr>
      <w:tr w:rsidR="000677AB" w14:paraId="15AEF5E6" w14:textId="77777777" w:rsidTr="00D21C0A">
        <w:tc>
          <w:tcPr>
            <w:tcW w:w="3192" w:type="dxa"/>
          </w:tcPr>
          <w:p w14:paraId="523FD539" w14:textId="77777777" w:rsidR="000677AB" w:rsidRPr="000677AB" w:rsidRDefault="000677AB" w:rsidP="000677AB">
            <w:pPr>
              <w:rPr>
                <w:rFonts w:eastAsia="Times New Roman" w:cs="Arial"/>
                <w:color w:val="000000"/>
                <w:lang w:eastAsia="bg-BG"/>
              </w:rPr>
            </w:pPr>
          </w:p>
        </w:tc>
        <w:tc>
          <w:tcPr>
            <w:tcW w:w="3192" w:type="dxa"/>
            <w:vMerge/>
            <w:vAlign w:val="center"/>
          </w:tcPr>
          <w:p w14:paraId="75E3DF9E" w14:textId="2DD584E5" w:rsidR="000677AB" w:rsidRPr="000677AB" w:rsidRDefault="000677AB" w:rsidP="000677AB">
            <w:pPr>
              <w:rPr>
                <w:rFonts w:eastAsia="Times New Roman" w:cs="Arial"/>
                <w:color w:val="000000"/>
                <w:lang w:eastAsia="bg-BG"/>
              </w:rPr>
            </w:pPr>
          </w:p>
        </w:tc>
        <w:tc>
          <w:tcPr>
            <w:tcW w:w="3192" w:type="dxa"/>
            <w:vMerge/>
            <w:vAlign w:val="center"/>
          </w:tcPr>
          <w:p w14:paraId="4206B087" w14:textId="0F2453DD" w:rsidR="000677AB" w:rsidRPr="000677AB" w:rsidRDefault="000677AB" w:rsidP="000677AB">
            <w:pPr>
              <w:rPr>
                <w:rFonts w:eastAsia="Times New Roman" w:cs="Arial"/>
                <w:color w:val="000000"/>
                <w:lang w:eastAsia="bg-BG"/>
              </w:rPr>
            </w:pPr>
          </w:p>
        </w:tc>
      </w:tr>
      <w:tr w:rsidR="000677AB" w14:paraId="4EC8D75A" w14:textId="77777777" w:rsidTr="000677AB">
        <w:tc>
          <w:tcPr>
            <w:tcW w:w="3192" w:type="dxa"/>
          </w:tcPr>
          <w:p w14:paraId="741C3DA3" w14:textId="78BBBF91" w:rsidR="000677AB" w:rsidRPr="000677AB" w:rsidRDefault="000677AB" w:rsidP="000677AB">
            <w:pPr>
              <w:rPr>
                <w:rFonts w:eastAsia="Times New Roman" w:cs="Arial"/>
                <w:color w:val="000000"/>
                <w:lang w:eastAsia="bg-BG"/>
              </w:rPr>
            </w:pPr>
            <w:r w:rsidRPr="000677AB">
              <w:rPr>
                <w:rFonts w:cs="Arial"/>
                <w:i/>
                <w:iCs/>
              </w:rPr>
              <w:t>Сърдечни нарушения:</w:t>
            </w:r>
          </w:p>
        </w:tc>
        <w:tc>
          <w:tcPr>
            <w:tcW w:w="3192" w:type="dxa"/>
          </w:tcPr>
          <w:p w14:paraId="7A75822F" w14:textId="55B110B1" w:rsidR="000677AB" w:rsidRPr="000677AB" w:rsidRDefault="000677AB" w:rsidP="000677AB">
            <w:pPr>
              <w:rPr>
                <w:rFonts w:eastAsia="Times New Roman" w:cs="Arial"/>
                <w:color w:val="000000"/>
                <w:lang w:eastAsia="bg-BG"/>
              </w:rPr>
            </w:pPr>
            <w:r w:rsidRPr="000677AB">
              <w:rPr>
                <w:rFonts w:cs="Arial"/>
              </w:rPr>
              <w:t>Нечести:</w:t>
            </w:r>
          </w:p>
        </w:tc>
        <w:tc>
          <w:tcPr>
            <w:tcW w:w="3192" w:type="dxa"/>
          </w:tcPr>
          <w:p w14:paraId="09103B8A" w14:textId="04DA2940" w:rsidR="000677AB" w:rsidRPr="000677AB" w:rsidRDefault="000677AB" w:rsidP="000677AB">
            <w:pPr>
              <w:rPr>
                <w:rFonts w:eastAsia="Times New Roman" w:cs="Arial"/>
                <w:color w:val="000000"/>
                <w:lang w:eastAsia="bg-BG"/>
              </w:rPr>
            </w:pPr>
            <w:r w:rsidRPr="000677AB">
              <w:rPr>
                <w:rFonts w:cs="Arial"/>
              </w:rPr>
              <w:t>синкоп, хипотония, тахикардия, оток</w:t>
            </w:r>
          </w:p>
        </w:tc>
      </w:tr>
      <w:tr w:rsidR="000677AB" w14:paraId="14411945" w14:textId="77777777" w:rsidTr="000677AB">
        <w:tc>
          <w:tcPr>
            <w:tcW w:w="3192" w:type="dxa"/>
          </w:tcPr>
          <w:p w14:paraId="09FA76B5" w14:textId="406D32A6" w:rsidR="000677AB" w:rsidRPr="000677AB" w:rsidRDefault="000677AB" w:rsidP="000677AB">
            <w:pPr>
              <w:rPr>
                <w:rFonts w:eastAsia="Times New Roman" w:cs="Arial"/>
                <w:color w:val="000000"/>
                <w:lang w:eastAsia="bg-BG"/>
              </w:rPr>
            </w:pPr>
            <w:r w:rsidRPr="000677AB">
              <w:rPr>
                <w:rFonts w:cs="Arial"/>
                <w:i/>
                <w:iCs/>
              </w:rPr>
              <w:t>Нарушения на нервната система:</w:t>
            </w:r>
          </w:p>
        </w:tc>
        <w:tc>
          <w:tcPr>
            <w:tcW w:w="3192" w:type="dxa"/>
          </w:tcPr>
          <w:p w14:paraId="03AC08F4" w14:textId="77777777" w:rsidR="000677AB" w:rsidRPr="000677AB" w:rsidRDefault="000677AB" w:rsidP="000677AB">
            <w:pPr>
              <w:rPr>
                <w:rFonts w:cs="Arial"/>
              </w:rPr>
            </w:pPr>
            <w:r w:rsidRPr="000677AB">
              <w:rPr>
                <w:rFonts w:cs="Arial"/>
              </w:rPr>
              <w:t xml:space="preserve">Чести: Нечести: </w:t>
            </w:r>
          </w:p>
          <w:p w14:paraId="269C3CFF" w14:textId="77777777" w:rsidR="000677AB" w:rsidRPr="000677AB" w:rsidRDefault="000677AB" w:rsidP="000677AB">
            <w:pPr>
              <w:rPr>
                <w:rFonts w:cs="Arial"/>
              </w:rPr>
            </w:pPr>
          </w:p>
          <w:p w14:paraId="68A8BD84" w14:textId="79E02299" w:rsidR="000677AB" w:rsidRPr="000677AB" w:rsidRDefault="000677AB" w:rsidP="000677AB">
            <w:pPr>
              <w:rPr>
                <w:rFonts w:eastAsia="Times New Roman" w:cs="Arial"/>
                <w:color w:val="000000"/>
                <w:lang w:eastAsia="bg-BG"/>
              </w:rPr>
            </w:pPr>
            <w:r w:rsidRPr="000677AB">
              <w:rPr>
                <w:rFonts w:cs="Arial"/>
              </w:rPr>
              <w:t>С неизвестна честота:</w:t>
            </w:r>
          </w:p>
        </w:tc>
        <w:tc>
          <w:tcPr>
            <w:tcW w:w="3192" w:type="dxa"/>
          </w:tcPr>
          <w:p w14:paraId="124B79A7" w14:textId="77777777" w:rsidR="000677AB" w:rsidRPr="000677AB" w:rsidRDefault="000677AB" w:rsidP="000677AB">
            <w:pPr>
              <w:rPr>
                <w:rFonts w:cs="Arial"/>
              </w:rPr>
            </w:pPr>
            <w:r w:rsidRPr="000677AB">
              <w:rPr>
                <w:rFonts w:cs="Arial"/>
              </w:rPr>
              <w:t>Световъртеж</w:t>
            </w:r>
          </w:p>
          <w:p w14:paraId="7BE69E4D" w14:textId="77777777" w:rsidR="000677AB" w:rsidRPr="000677AB" w:rsidRDefault="000677AB" w:rsidP="000677AB">
            <w:pPr>
              <w:rPr>
                <w:rFonts w:cs="Arial"/>
              </w:rPr>
            </w:pPr>
          </w:p>
          <w:p w14:paraId="2C7B60E6" w14:textId="52DCCE63" w:rsidR="000677AB" w:rsidRPr="000677AB" w:rsidRDefault="000677AB" w:rsidP="000677AB">
            <w:pPr>
              <w:rPr>
                <w:rFonts w:eastAsia="Times New Roman" w:cs="Arial"/>
                <w:color w:val="000000"/>
                <w:lang w:eastAsia="bg-BG"/>
              </w:rPr>
            </w:pPr>
            <w:r w:rsidRPr="000677AB">
              <w:rPr>
                <w:rFonts w:cs="Arial"/>
              </w:rPr>
              <w:t>Ортостатичен световъртеж главоболие</w:t>
            </w:r>
          </w:p>
        </w:tc>
      </w:tr>
      <w:tr w:rsidR="000677AB" w14:paraId="653E607C" w14:textId="77777777" w:rsidTr="000677AB">
        <w:tc>
          <w:tcPr>
            <w:tcW w:w="3192" w:type="dxa"/>
          </w:tcPr>
          <w:p w14:paraId="20732B02" w14:textId="6E6CEAF0" w:rsidR="000677AB" w:rsidRPr="000677AB" w:rsidRDefault="000677AB" w:rsidP="000677AB">
            <w:pPr>
              <w:rPr>
                <w:rFonts w:eastAsia="Times New Roman" w:cs="Arial"/>
                <w:color w:val="000000"/>
                <w:lang w:eastAsia="bg-BG"/>
              </w:rPr>
            </w:pPr>
            <w:r w:rsidRPr="000677AB">
              <w:rPr>
                <w:rFonts w:cs="Arial"/>
                <w:i/>
                <w:iCs/>
              </w:rPr>
              <w:t>Нарушения на ухото и лабиринта:</w:t>
            </w:r>
          </w:p>
        </w:tc>
        <w:tc>
          <w:tcPr>
            <w:tcW w:w="3192" w:type="dxa"/>
          </w:tcPr>
          <w:p w14:paraId="7D45B561" w14:textId="637DEDB3" w:rsidR="000677AB" w:rsidRPr="000677AB" w:rsidRDefault="000677AB" w:rsidP="000677AB">
            <w:pPr>
              <w:rPr>
                <w:rFonts w:eastAsia="Times New Roman" w:cs="Arial"/>
                <w:color w:val="000000"/>
                <w:lang w:eastAsia="bg-BG"/>
              </w:rPr>
            </w:pPr>
            <w:r w:rsidRPr="000677AB">
              <w:rPr>
                <w:rFonts w:cs="Arial"/>
              </w:rPr>
              <w:t>С неизвестна честота:</w:t>
            </w:r>
          </w:p>
        </w:tc>
        <w:tc>
          <w:tcPr>
            <w:tcW w:w="3192" w:type="dxa"/>
          </w:tcPr>
          <w:p w14:paraId="764C3947" w14:textId="7114D73F" w:rsidR="000677AB" w:rsidRPr="000677AB" w:rsidRDefault="000677AB" w:rsidP="000677AB">
            <w:pPr>
              <w:rPr>
                <w:rFonts w:eastAsia="Times New Roman" w:cs="Arial"/>
                <w:color w:val="000000"/>
                <w:lang w:eastAsia="bg-BG"/>
              </w:rPr>
            </w:pPr>
            <w:r w:rsidRPr="000677AB">
              <w:rPr>
                <w:rFonts w:cs="Arial"/>
              </w:rPr>
              <w:t>шум в ушите</w:t>
            </w:r>
          </w:p>
        </w:tc>
      </w:tr>
      <w:tr w:rsidR="000677AB" w14:paraId="7F8A00FB" w14:textId="77777777" w:rsidTr="000677AB">
        <w:tc>
          <w:tcPr>
            <w:tcW w:w="3192" w:type="dxa"/>
          </w:tcPr>
          <w:p w14:paraId="25087374" w14:textId="47928951" w:rsidR="000677AB" w:rsidRPr="000677AB" w:rsidRDefault="000677AB" w:rsidP="000677AB">
            <w:pPr>
              <w:rPr>
                <w:rFonts w:eastAsia="Times New Roman" w:cs="Arial"/>
                <w:color w:val="000000"/>
                <w:lang w:eastAsia="bg-BG"/>
              </w:rPr>
            </w:pPr>
            <w:r w:rsidRPr="000677AB">
              <w:rPr>
                <w:rFonts w:cs="Arial"/>
                <w:i/>
                <w:iCs/>
              </w:rPr>
              <w:t>Респираторни, гръдни и медиастинални нарушения:</w:t>
            </w:r>
          </w:p>
        </w:tc>
        <w:tc>
          <w:tcPr>
            <w:tcW w:w="3192" w:type="dxa"/>
          </w:tcPr>
          <w:p w14:paraId="5041ED06" w14:textId="5BAAC4F6" w:rsidR="000677AB" w:rsidRPr="000677AB" w:rsidRDefault="000677AB" w:rsidP="000677AB">
            <w:pPr>
              <w:rPr>
                <w:rFonts w:eastAsia="Times New Roman" w:cs="Arial"/>
                <w:color w:val="000000"/>
                <w:lang w:eastAsia="bg-BG"/>
              </w:rPr>
            </w:pPr>
            <w:r w:rsidRPr="000677AB">
              <w:rPr>
                <w:rFonts w:cs="Arial"/>
              </w:rPr>
              <w:t>С неизвестна честота:</w:t>
            </w:r>
          </w:p>
        </w:tc>
        <w:tc>
          <w:tcPr>
            <w:tcW w:w="3192" w:type="dxa"/>
          </w:tcPr>
          <w:p w14:paraId="0C2EEEC0" w14:textId="4152F7B8" w:rsidR="000677AB" w:rsidRPr="000677AB" w:rsidRDefault="000677AB" w:rsidP="000677AB">
            <w:pPr>
              <w:rPr>
                <w:rFonts w:eastAsia="Times New Roman" w:cs="Arial"/>
                <w:color w:val="000000"/>
                <w:lang w:eastAsia="bg-BG"/>
              </w:rPr>
            </w:pPr>
            <w:r w:rsidRPr="000677AB">
              <w:rPr>
                <w:rFonts w:cs="Arial"/>
              </w:rPr>
              <w:t>кашлица</w:t>
            </w:r>
          </w:p>
        </w:tc>
      </w:tr>
      <w:tr w:rsidR="000677AB" w14:paraId="44A19F43" w14:textId="77777777" w:rsidTr="000677AB">
        <w:tc>
          <w:tcPr>
            <w:tcW w:w="3192" w:type="dxa"/>
          </w:tcPr>
          <w:p w14:paraId="6C549717" w14:textId="26F62C55" w:rsidR="000677AB" w:rsidRPr="000677AB" w:rsidRDefault="000677AB" w:rsidP="000677AB">
            <w:pPr>
              <w:rPr>
                <w:rFonts w:eastAsia="Times New Roman" w:cs="Arial"/>
                <w:color w:val="000000"/>
                <w:lang w:eastAsia="bg-BG"/>
              </w:rPr>
            </w:pPr>
            <w:r w:rsidRPr="000677AB">
              <w:rPr>
                <w:rFonts w:cs="Arial"/>
                <w:i/>
                <w:iCs/>
              </w:rPr>
              <w:t>Стомашно-чревни нарушения:</w:t>
            </w:r>
          </w:p>
        </w:tc>
        <w:tc>
          <w:tcPr>
            <w:tcW w:w="3192" w:type="dxa"/>
          </w:tcPr>
          <w:p w14:paraId="4D0F6E3A" w14:textId="77777777" w:rsidR="000677AB" w:rsidRPr="000677AB" w:rsidRDefault="000677AB" w:rsidP="000677AB">
            <w:pPr>
              <w:rPr>
                <w:rFonts w:cs="Arial"/>
              </w:rPr>
            </w:pPr>
            <w:r w:rsidRPr="000677AB">
              <w:rPr>
                <w:rFonts w:cs="Arial"/>
              </w:rPr>
              <w:t>Чести:</w:t>
            </w:r>
          </w:p>
          <w:p w14:paraId="42DD6E7B" w14:textId="77777777" w:rsidR="000677AB" w:rsidRPr="000677AB" w:rsidRDefault="000677AB" w:rsidP="000677AB">
            <w:pPr>
              <w:rPr>
                <w:rFonts w:cs="Arial"/>
              </w:rPr>
            </w:pPr>
          </w:p>
          <w:p w14:paraId="64048D7F" w14:textId="16EAA58A" w:rsidR="000677AB" w:rsidRPr="000677AB" w:rsidRDefault="000677AB" w:rsidP="000677AB">
            <w:pPr>
              <w:rPr>
                <w:rFonts w:cs="Arial"/>
              </w:rPr>
            </w:pPr>
            <w:r w:rsidRPr="000677AB">
              <w:rPr>
                <w:rFonts w:cs="Arial"/>
              </w:rPr>
              <w:t>Нечести:</w:t>
            </w:r>
          </w:p>
          <w:p w14:paraId="053FF3F1" w14:textId="77777777" w:rsidR="000677AB" w:rsidRPr="000677AB" w:rsidRDefault="000677AB" w:rsidP="000677AB">
            <w:pPr>
              <w:rPr>
                <w:rFonts w:cs="Arial"/>
              </w:rPr>
            </w:pPr>
          </w:p>
          <w:p w14:paraId="04353B94" w14:textId="5953F738" w:rsidR="000677AB" w:rsidRPr="000677AB" w:rsidRDefault="000677AB" w:rsidP="000677AB">
            <w:pPr>
              <w:rPr>
                <w:rFonts w:eastAsia="Times New Roman" w:cs="Arial"/>
                <w:color w:val="000000"/>
                <w:lang w:eastAsia="bg-BG"/>
              </w:rPr>
            </w:pPr>
            <w:r w:rsidRPr="000677AB">
              <w:rPr>
                <w:rFonts w:cs="Arial"/>
              </w:rPr>
              <w:t>С неизвестна честота:</w:t>
            </w:r>
          </w:p>
        </w:tc>
        <w:tc>
          <w:tcPr>
            <w:tcW w:w="3192" w:type="dxa"/>
          </w:tcPr>
          <w:p w14:paraId="49964672" w14:textId="77777777" w:rsidR="000677AB" w:rsidRPr="000677AB" w:rsidRDefault="000677AB" w:rsidP="000677AB">
            <w:pPr>
              <w:rPr>
                <w:rFonts w:cs="Arial"/>
              </w:rPr>
            </w:pPr>
            <w:r w:rsidRPr="000677AB">
              <w:rPr>
                <w:rFonts w:cs="Arial"/>
              </w:rPr>
              <w:t>гадене/повръщане</w:t>
            </w:r>
          </w:p>
          <w:p w14:paraId="284D74B0" w14:textId="77777777" w:rsidR="000677AB" w:rsidRPr="000677AB" w:rsidRDefault="000677AB" w:rsidP="000677AB">
            <w:pPr>
              <w:rPr>
                <w:rFonts w:cs="Arial"/>
              </w:rPr>
            </w:pPr>
          </w:p>
          <w:p w14:paraId="25196A38" w14:textId="43E44C3C" w:rsidR="000677AB" w:rsidRPr="000677AB" w:rsidRDefault="000677AB" w:rsidP="000677AB">
            <w:pPr>
              <w:rPr>
                <w:rFonts w:cs="Arial"/>
              </w:rPr>
            </w:pPr>
            <w:r w:rsidRPr="000677AB">
              <w:rPr>
                <w:rFonts w:cs="Arial"/>
              </w:rPr>
              <w:t>диария</w:t>
            </w:r>
          </w:p>
          <w:p w14:paraId="267A7953" w14:textId="77777777" w:rsidR="000677AB" w:rsidRPr="000677AB" w:rsidRDefault="000677AB" w:rsidP="000677AB">
            <w:pPr>
              <w:rPr>
                <w:rFonts w:cs="Arial"/>
              </w:rPr>
            </w:pPr>
          </w:p>
          <w:p w14:paraId="093B57BD" w14:textId="3E824414" w:rsidR="000677AB" w:rsidRPr="000677AB" w:rsidRDefault="000677AB" w:rsidP="000677AB">
            <w:pPr>
              <w:rPr>
                <w:rFonts w:eastAsia="Times New Roman" w:cs="Arial"/>
                <w:color w:val="000000"/>
                <w:lang w:eastAsia="bg-BG"/>
              </w:rPr>
            </w:pPr>
            <w:r w:rsidRPr="000677AB">
              <w:rPr>
                <w:rFonts w:cs="Arial"/>
              </w:rPr>
              <w:t>диспепсия, нарушение на вкуса</w:t>
            </w:r>
          </w:p>
        </w:tc>
      </w:tr>
      <w:tr w:rsidR="000677AB" w14:paraId="0848E90D" w14:textId="77777777" w:rsidTr="000677AB">
        <w:tc>
          <w:tcPr>
            <w:tcW w:w="3192" w:type="dxa"/>
          </w:tcPr>
          <w:p w14:paraId="0767B0A0" w14:textId="4953F4A0" w:rsidR="000677AB" w:rsidRPr="000677AB" w:rsidRDefault="000677AB" w:rsidP="000677AB">
            <w:pPr>
              <w:rPr>
                <w:rFonts w:eastAsia="Times New Roman" w:cs="Arial"/>
                <w:color w:val="000000"/>
                <w:lang w:eastAsia="bg-BG"/>
              </w:rPr>
            </w:pPr>
            <w:r w:rsidRPr="000677AB">
              <w:rPr>
                <w:rFonts w:cs="Arial"/>
                <w:i/>
                <w:iCs/>
              </w:rPr>
              <w:t>Нарушения на бъбреците и пикочните пътища:</w:t>
            </w:r>
          </w:p>
        </w:tc>
        <w:tc>
          <w:tcPr>
            <w:tcW w:w="3192" w:type="dxa"/>
          </w:tcPr>
          <w:p w14:paraId="34DC71D2" w14:textId="77777777" w:rsidR="000677AB" w:rsidRPr="000677AB" w:rsidRDefault="000677AB" w:rsidP="000677AB">
            <w:pPr>
              <w:rPr>
                <w:rFonts w:cs="Arial"/>
              </w:rPr>
            </w:pPr>
            <w:r w:rsidRPr="000677AB">
              <w:rPr>
                <w:rFonts w:cs="Arial"/>
              </w:rPr>
              <w:t>Чести:</w:t>
            </w:r>
          </w:p>
          <w:p w14:paraId="498C5E6A" w14:textId="77777777" w:rsidR="000677AB" w:rsidRPr="000677AB" w:rsidRDefault="000677AB" w:rsidP="000677AB">
            <w:pPr>
              <w:rPr>
                <w:rFonts w:cs="Arial"/>
              </w:rPr>
            </w:pPr>
          </w:p>
          <w:p w14:paraId="2FEF9117" w14:textId="4564DD58" w:rsidR="000677AB" w:rsidRPr="000677AB" w:rsidRDefault="000677AB" w:rsidP="000677AB">
            <w:pPr>
              <w:rPr>
                <w:rFonts w:eastAsia="Times New Roman" w:cs="Arial"/>
                <w:color w:val="000000"/>
                <w:lang w:eastAsia="bg-BG"/>
              </w:rPr>
            </w:pPr>
            <w:r w:rsidRPr="000677AB">
              <w:rPr>
                <w:rFonts w:cs="Arial"/>
              </w:rPr>
              <w:lastRenderedPageBreak/>
              <w:t>С неизвестна честота:</w:t>
            </w:r>
          </w:p>
        </w:tc>
        <w:tc>
          <w:tcPr>
            <w:tcW w:w="3192" w:type="dxa"/>
          </w:tcPr>
          <w:p w14:paraId="00973F52" w14:textId="77777777" w:rsidR="000677AB" w:rsidRPr="000677AB" w:rsidRDefault="000677AB" w:rsidP="000677AB">
            <w:pPr>
              <w:rPr>
                <w:rFonts w:cs="Arial"/>
              </w:rPr>
            </w:pPr>
            <w:r w:rsidRPr="000677AB">
              <w:rPr>
                <w:rFonts w:cs="Arial"/>
              </w:rPr>
              <w:lastRenderedPageBreak/>
              <w:t xml:space="preserve">необичайно уриниране </w:t>
            </w:r>
          </w:p>
          <w:p w14:paraId="728B111B" w14:textId="77777777" w:rsidR="000677AB" w:rsidRPr="000677AB" w:rsidRDefault="000677AB" w:rsidP="000677AB">
            <w:pPr>
              <w:rPr>
                <w:rFonts w:cs="Arial"/>
              </w:rPr>
            </w:pPr>
          </w:p>
          <w:p w14:paraId="149DE438" w14:textId="52CBE132" w:rsidR="000677AB" w:rsidRPr="000677AB" w:rsidRDefault="000677AB" w:rsidP="000677AB">
            <w:pPr>
              <w:rPr>
                <w:rFonts w:cs="Arial"/>
              </w:rPr>
            </w:pPr>
            <w:r w:rsidRPr="000677AB">
              <w:rPr>
                <w:rFonts w:cs="Arial"/>
              </w:rPr>
              <w:lastRenderedPageBreak/>
              <w:t>увредена бъбречна функция, включително отделни случаи на бъбречна недостатъчност при пациенти с риск (вж. точка 4.4)</w:t>
            </w:r>
          </w:p>
        </w:tc>
      </w:tr>
      <w:tr w:rsidR="000677AB" w14:paraId="58BF327D" w14:textId="77777777" w:rsidTr="000677AB">
        <w:tc>
          <w:tcPr>
            <w:tcW w:w="3192" w:type="dxa"/>
          </w:tcPr>
          <w:p w14:paraId="70214DBE" w14:textId="0257DACD" w:rsidR="000677AB" w:rsidRPr="000677AB" w:rsidRDefault="000677AB" w:rsidP="000677AB">
            <w:pPr>
              <w:rPr>
                <w:rFonts w:eastAsia="Times New Roman" w:cs="Arial"/>
                <w:color w:val="000000"/>
                <w:lang w:eastAsia="bg-BG"/>
              </w:rPr>
            </w:pPr>
            <w:r w:rsidRPr="000677AB">
              <w:rPr>
                <w:rFonts w:cs="Arial"/>
                <w:i/>
                <w:iCs/>
              </w:rPr>
              <w:lastRenderedPageBreak/>
              <w:t>Нарушения на мускулно- скелетната система, съединителната тъкан и костите:</w:t>
            </w:r>
          </w:p>
        </w:tc>
        <w:tc>
          <w:tcPr>
            <w:tcW w:w="3192" w:type="dxa"/>
          </w:tcPr>
          <w:p w14:paraId="7F71A417" w14:textId="77777777" w:rsidR="000677AB" w:rsidRPr="000677AB" w:rsidRDefault="000677AB" w:rsidP="000677AB">
            <w:pPr>
              <w:rPr>
                <w:rFonts w:cs="Arial"/>
              </w:rPr>
            </w:pPr>
            <w:r w:rsidRPr="000677AB">
              <w:rPr>
                <w:rFonts w:cs="Arial"/>
              </w:rPr>
              <w:t>Нечести:</w:t>
            </w:r>
          </w:p>
          <w:p w14:paraId="3DFB457F" w14:textId="77777777" w:rsidR="000677AB" w:rsidRPr="000677AB" w:rsidRDefault="000677AB" w:rsidP="000677AB">
            <w:pPr>
              <w:rPr>
                <w:rFonts w:cs="Arial"/>
              </w:rPr>
            </w:pPr>
          </w:p>
          <w:p w14:paraId="48B070CD" w14:textId="5C1C1FC2" w:rsidR="000677AB" w:rsidRPr="000677AB" w:rsidRDefault="000677AB" w:rsidP="000677AB">
            <w:pPr>
              <w:rPr>
                <w:rFonts w:eastAsia="Times New Roman" w:cs="Arial"/>
                <w:color w:val="000000"/>
                <w:lang w:eastAsia="bg-BG"/>
              </w:rPr>
            </w:pPr>
            <w:r w:rsidRPr="000677AB">
              <w:rPr>
                <w:rFonts w:cs="Arial"/>
              </w:rPr>
              <w:t>С неизвестна честота:</w:t>
            </w:r>
          </w:p>
        </w:tc>
        <w:tc>
          <w:tcPr>
            <w:tcW w:w="3192" w:type="dxa"/>
          </w:tcPr>
          <w:p w14:paraId="55D4F01B" w14:textId="77777777" w:rsidR="000677AB" w:rsidRPr="000677AB" w:rsidRDefault="000677AB" w:rsidP="000677AB">
            <w:pPr>
              <w:rPr>
                <w:rFonts w:cs="Arial"/>
              </w:rPr>
            </w:pPr>
            <w:r w:rsidRPr="000677AB">
              <w:rPr>
                <w:rFonts w:cs="Arial"/>
              </w:rPr>
              <w:t xml:space="preserve">оток на крайниците атралгия, </w:t>
            </w:r>
          </w:p>
          <w:p w14:paraId="1F0B6BEC" w14:textId="77777777" w:rsidR="000677AB" w:rsidRPr="000677AB" w:rsidRDefault="000677AB" w:rsidP="000677AB">
            <w:pPr>
              <w:rPr>
                <w:rFonts w:cs="Arial"/>
              </w:rPr>
            </w:pPr>
          </w:p>
          <w:p w14:paraId="33E44F33" w14:textId="650C2C46" w:rsidR="000677AB" w:rsidRPr="000677AB" w:rsidRDefault="000677AB" w:rsidP="000677AB">
            <w:pPr>
              <w:rPr>
                <w:rFonts w:eastAsia="Times New Roman" w:cs="Arial"/>
                <w:color w:val="000000"/>
                <w:lang w:eastAsia="bg-BG"/>
              </w:rPr>
            </w:pPr>
            <w:r w:rsidRPr="000677AB">
              <w:rPr>
                <w:rFonts w:cs="Arial"/>
              </w:rPr>
              <w:t>миалгия</w:t>
            </w:r>
          </w:p>
        </w:tc>
      </w:tr>
      <w:tr w:rsidR="000677AB" w14:paraId="0F750CFA" w14:textId="77777777" w:rsidTr="000677AB">
        <w:tc>
          <w:tcPr>
            <w:tcW w:w="3192" w:type="dxa"/>
          </w:tcPr>
          <w:p w14:paraId="3A00D2E2" w14:textId="3BFB3224" w:rsidR="000677AB" w:rsidRPr="000677AB" w:rsidRDefault="000677AB" w:rsidP="000677AB">
            <w:pPr>
              <w:rPr>
                <w:rFonts w:eastAsia="Times New Roman" w:cs="Arial"/>
                <w:color w:val="000000"/>
                <w:lang w:eastAsia="bg-BG"/>
              </w:rPr>
            </w:pPr>
            <w:r w:rsidRPr="000677AB">
              <w:rPr>
                <w:rFonts w:cs="Arial"/>
                <w:i/>
                <w:iCs/>
              </w:rPr>
              <w:t>Нарушения на метаболизма и храненето:</w:t>
            </w:r>
          </w:p>
        </w:tc>
        <w:tc>
          <w:tcPr>
            <w:tcW w:w="3192" w:type="dxa"/>
          </w:tcPr>
          <w:p w14:paraId="4CA6EA0A" w14:textId="2EBF69AB" w:rsidR="000677AB" w:rsidRPr="000677AB" w:rsidRDefault="000677AB" w:rsidP="000677AB">
            <w:pPr>
              <w:rPr>
                <w:rFonts w:eastAsia="Times New Roman" w:cs="Arial"/>
                <w:color w:val="000000"/>
                <w:lang w:eastAsia="bg-BG"/>
              </w:rPr>
            </w:pPr>
            <w:r w:rsidRPr="000677AB">
              <w:rPr>
                <w:rFonts w:cs="Arial"/>
              </w:rPr>
              <w:t>С неизвестна честота:</w:t>
            </w:r>
          </w:p>
        </w:tc>
        <w:tc>
          <w:tcPr>
            <w:tcW w:w="3192" w:type="dxa"/>
          </w:tcPr>
          <w:p w14:paraId="3A6D557A" w14:textId="00458FC1" w:rsidR="000677AB" w:rsidRPr="000677AB" w:rsidRDefault="000677AB" w:rsidP="000677AB">
            <w:pPr>
              <w:rPr>
                <w:rFonts w:eastAsia="Times New Roman" w:cs="Arial"/>
                <w:color w:val="000000"/>
                <w:lang w:eastAsia="bg-BG"/>
              </w:rPr>
            </w:pPr>
            <w:r w:rsidRPr="000677AB">
              <w:rPr>
                <w:rFonts w:cs="Arial"/>
              </w:rPr>
              <w:t>хиперкалиемия</w:t>
            </w:r>
          </w:p>
        </w:tc>
      </w:tr>
      <w:tr w:rsidR="000677AB" w14:paraId="090F9796" w14:textId="77777777" w:rsidTr="000677AB">
        <w:tc>
          <w:tcPr>
            <w:tcW w:w="3192" w:type="dxa"/>
          </w:tcPr>
          <w:p w14:paraId="187F9CA1" w14:textId="07A88F4C" w:rsidR="000677AB" w:rsidRPr="000677AB" w:rsidRDefault="000677AB" w:rsidP="000677AB">
            <w:pPr>
              <w:rPr>
                <w:rFonts w:eastAsia="Times New Roman" w:cs="Arial"/>
                <w:color w:val="000000"/>
                <w:lang w:eastAsia="bg-BG"/>
              </w:rPr>
            </w:pPr>
            <w:r w:rsidRPr="000677AB">
              <w:rPr>
                <w:rFonts w:cs="Arial"/>
                <w:i/>
                <w:iCs/>
              </w:rPr>
              <w:t>Съдови нарушения:</w:t>
            </w:r>
          </w:p>
        </w:tc>
        <w:tc>
          <w:tcPr>
            <w:tcW w:w="3192" w:type="dxa"/>
          </w:tcPr>
          <w:p w14:paraId="72A87CBD" w14:textId="688E0238" w:rsidR="000677AB" w:rsidRPr="000677AB" w:rsidRDefault="000677AB" w:rsidP="000677AB">
            <w:pPr>
              <w:rPr>
                <w:rFonts w:eastAsia="Times New Roman" w:cs="Arial"/>
                <w:color w:val="000000"/>
                <w:lang w:eastAsia="bg-BG"/>
              </w:rPr>
            </w:pPr>
            <w:r w:rsidRPr="000677AB">
              <w:rPr>
                <w:rFonts w:cs="Arial"/>
              </w:rPr>
              <w:t>Нечести:</w:t>
            </w:r>
          </w:p>
        </w:tc>
        <w:tc>
          <w:tcPr>
            <w:tcW w:w="3192" w:type="dxa"/>
          </w:tcPr>
          <w:p w14:paraId="44C65DF7" w14:textId="2AF7FB9F" w:rsidR="000677AB" w:rsidRPr="000677AB" w:rsidRDefault="000677AB" w:rsidP="000677AB">
            <w:pPr>
              <w:rPr>
                <w:rFonts w:eastAsia="Times New Roman" w:cs="Arial"/>
                <w:color w:val="000000"/>
                <w:lang w:eastAsia="bg-BG"/>
              </w:rPr>
            </w:pPr>
            <w:r w:rsidRPr="000677AB">
              <w:rPr>
                <w:rFonts w:cs="Arial"/>
                <w:i/>
                <w:iCs/>
              </w:rPr>
              <w:t>зачервяване</w:t>
            </w:r>
          </w:p>
        </w:tc>
      </w:tr>
      <w:tr w:rsidR="000677AB" w14:paraId="6FB7C817" w14:textId="77777777" w:rsidTr="000677AB">
        <w:tc>
          <w:tcPr>
            <w:tcW w:w="3192" w:type="dxa"/>
          </w:tcPr>
          <w:p w14:paraId="36371A94" w14:textId="067CD2CA" w:rsidR="000677AB" w:rsidRPr="000677AB" w:rsidRDefault="000677AB" w:rsidP="000677AB">
            <w:pPr>
              <w:rPr>
                <w:rFonts w:eastAsia="Times New Roman" w:cs="Arial"/>
                <w:color w:val="000000"/>
                <w:lang w:eastAsia="bg-BG"/>
              </w:rPr>
            </w:pPr>
            <w:r w:rsidRPr="000677AB">
              <w:rPr>
                <w:rFonts w:cs="Arial"/>
                <w:i/>
                <w:iCs/>
              </w:rPr>
              <w:t>Общи нарушения и ефекти на мястото на приложение:</w:t>
            </w:r>
          </w:p>
        </w:tc>
        <w:tc>
          <w:tcPr>
            <w:tcW w:w="3192" w:type="dxa"/>
          </w:tcPr>
          <w:p w14:paraId="7B03655F" w14:textId="7DAF428E" w:rsidR="000677AB" w:rsidRPr="000677AB" w:rsidRDefault="000677AB" w:rsidP="000677AB">
            <w:pPr>
              <w:rPr>
                <w:rFonts w:eastAsia="Times New Roman" w:cs="Arial"/>
                <w:color w:val="000000"/>
                <w:lang w:eastAsia="bg-BG"/>
              </w:rPr>
            </w:pPr>
            <w:r w:rsidRPr="000677AB">
              <w:rPr>
                <w:rFonts w:cs="Arial"/>
              </w:rPr>
              <w:t>Чести:</w:t>
            </w:r>
          </w:p>
        </w:tc>
        <w:tc>
          <w:tcPr>
            <w:tcW w:w="3192" w:type="dxa"/>
          </w:tcPr>
          <w:p w14:paraId="4C54E3E6" w14:textId="4799441C" w:rsidR="000677AB" w:rsidRPr="000677AB" w:rsidRDefault="000677AB" w:rsidP="000677AB">
            <w:pPr>
              <w:rPr>
                <w:rFonts w:eastAsia="Times New Roman" w:cs="Arial"/>
                <w:color w:val="000000"/>
                <w:lang w:eastAsia="bg-BG"/>
              </w:rPr>
            </w:pPr>
            <w:r w:rsidRPr="000677AB">
              <w:rPr>
                <w:rFonts w:cs="Arial"/>
              </w:rPr>
              <w:t>умора</w:t>
            </w:r>
          </w:p>
        </w:tc>
      </w:tr>
      <w:tr w:rsidR="000677AB" w14:paraId="402BE268" w14:textId="77777777" w:rsidTr="000677AB">
        <w:tc>
          <w:tcPr>
            <w:tcW w:w="3192" w:type="dxa"/>
          </w:tcPr>
          <w:p w14:paraId="78841CE1" w14:textId="5DD6D032" w:rsidR="000677AB" w:rsidRPr="000677AB" w:rsidRDefault="000677AB" w:rsidP="000677AB">
            <w:pPr>
              <w:rPr>
                <w:rFonts w:eastAsia="Times New Roman" w:cs="Arial"/>
                <w:color w:val="000000"/>
                <w:lang w:eastAsia="bg-BG"/>
              </w:rPr>
            </w:pPr>
            <w:r w:rsidRPr="000677AB">
              <w:rPr>
                <w:rFonts w:cs="Arial"/>
                <w:i/>
                <w:iCs/>
              </w:rPr>
              <w:t>Нарушения на имунната система:</w:t>
            </w:r>
          </w:p>
        </w:tc>
        <w:tc>
          <w:tcPr>
            <w:tcW w:w="3192" w:type="dxa"/>
          </w:tcPr>
          <w:p w14:paraId="7F54CDC2" w14:textId="14FDE8D5" w:rsidR="000677AB" w:rsidRPr="000677AB" w:rsidRDefault="000677AB" w:rsidP="000677AB">
            <w:pPr>
              <w:rPr>
                <w:rFonts w:eastAsia="Times New Roman" w:cs="Arial"/>
                <w:color w:val="000000"/>
                <w:lang w:eastAsia="bg-BG"/>
              </w:rPr>
            </w:pPr>
            <w:r w:rsidRPr="000677AB">
              <w:rPr>
                <w:rFonts w:cs="Arial"/>
              </w:rPr>
              <w:t>С неизвестна честота:</w:t>
            </w:r>
          </w:p>
        </w:tc>
        <w:tc>
          <w:tcPr>
            <w:tcW w:w="3192" w:type="dxa"/>
          </w:tcPr>
          <w:p w14:paraId="73668C93" w14:textId="6BD9DE9C" w:rsidR="000677AB" w:rsidRPr="000677AB" w:rsidRDefault="000677AB" w:rsidP="000677AB">
            <w:pPr>
              <w:rPr>
                <w:rFonts w:eastAsia="Times New Roman" w:cs="Arial"/>
                <w:color w:val="000000"/>
                <w:lang w:eastAsia="bg-BG"/>
              </w:rPr>
            </w:pPr>
            <w:r w:rsidRPr="000677AB">
              <w:rPr>
                <w:rFonts w:cs="Arial"/>
              </w:rPr>
              <w:t>случаи на реакции на свръхчувствителност, например ангиоедем. обрив, уртикария</w:t>
            </w:r>
          </w:p>
        </w:tc>
      </w:tr>
      <w:tr w:rsidR="000677AB" w14:paraId="0EE11749" w14:textId="77777777" w:rsidTr="000677AB">
        <w:tc>
          <w:tcPr>
            <w:tcW w:w="3192" w:type="dxa"/>
          </w:tcPr>
          <w:p w14:paraId="6E99851F" w14:textId="203DFF75" w:rsidR="000677AB" w:rsidRPr="000677AB" w:rsidRDefault="000677AB" w:rsidP="000677AB">
            <w:pPr>
              <w:rPr>
                <w:rFonts w:eastAsia="Times New Roman" w:cs="Arial"/>
                <w:color w:val="000000"/>
                <w:lang w:eastAsia="bg-BG"/>
              </w:rPr>
            </w:pPr>
            <w:r w:rsidRPr="000677AB">
              <w:rPr>
                <w:rFonts w:cs="Arial"/>
                <w:i/>
                <w:iCs/>
              </w:rPr>
              <w:t>Хепато-билиарни нарушения:</w:t>
            </w:r>
          </w:p>
        </w:tc>
        <w:tc>
          <w:tcPr>
            <w:tcW w:w="3192" w:type="dxa"/>
          </w:tcPr>
          <w:p w14:paraId="1294F232" w14:textId="057DFDDB" w:rsidR="000677AB" w:rsidRPr="000677AB" w:rsidRDefault="000677AB" w:rsidP="000677AB">
            <w:pPr>
              <w:rPr>
                <w:rFonts w:eastAsia="Times New Roman" w:cs="Arial"/>
                <w:color w:val="000000"/>
                <w:lang w:eastAsia="bg-BG"/>
              </w:rPr>
            </w:pPr>
            <w:r w:rsidRPr="000677AB">
              <w:rPr>
                <w:rFonts w:cs="Arial"/>
              </w:rPr>
              <w:t>С неизвестна честота:</w:t>
            </w:r>
          </w:p>
        </w:tc>
        <w:tc>
          <w:tcPr>
            <w:tcW w:w="3192" w:type="dxa"/>
          </w:tcPr>
          <w:p w14:paraId="771C2C6C" w14:textId="4D805F93" w:rsidR="000677AB" w:rsidRPr="000677AB" w:rsidRDefault="000677AB" w:rsidP="000677AB">
            <w:pPr>
              <w:rPr>
                <w:rFonts w:eastAsia="Times New Roman" w:cs="Arial"/>
                <w:color w:val="000000"/>
                <w:lang w:eastAsia="bg-BG"/>
              </w:rPr>
            </w:pPr>
            <w:r w:rsidRPr="000677AB">
              <w:rPr>
                <w:rFonts w:cs="Arial"/>
              </w:rPr>
              <w:t>хепатит, нарушена чернодробна функция</w:t>
            </w:r>
          </w:p>
        </w:tc>
      </w:tr>
      <w:tr w:rsidR="000677AB" w14:paraId="143EE71A" w14:textId="77777777" w:rsidTr="000677AB">
        <w:tc>
          <w:tcPr>
            <w:tcW w:w="3192" w:type="dxa"/>
          </w:tcPr>
          <w:p w14:paraId="6C46FC4C" w14:textId="50DF59E7" w:rsidR="000677AB" w:rsidRPr="000677AB" w:rsidRDefault="000677AB" w:rsidP="000677AB">
            <w:pPr>
              <w:rPr>
                <w:rFonts w:eastAsia="Times New Roman" w:cs="Arial"/>
                <w:color w:val="000000"/>
                <w:lang w:eastAsia="bg-BG"/>
              </w:rPr>
            </w:pPr>
            <w:r w:rsidRPr="000677AB">
              <w:rPr>
                <w:rFonts w:cs="Arial"/>
                <w:i/>
                <w:iCs/>
              </w:rPr>
              <w:t>Нарушения на възпроизводителната система и гърдата:</w:t>
            </w:r>
          </w:p>
        </w:tc>
        <w:tc>
          <w:tcPr>
            <w:tcW w:w="3192" w:type="dxa"/>
          </w:tcPr>
          <w:p w14:paraId="7A49D2F6" w14:textId="2388C20B" w:rsidR="000677AB" w:rsidRPr="000677AB" w:rsidRDefault="000677AB" w:rsidP="000677AB">
            <w:pPr>
              <w:rPr>
                <w:rFonts w:eastAsia="Times New Roman" w:cs="Arial"/>
                <w:color w:val="000000"/>
                <w:lang w:eastAsia="bg-BG"/>
              </w:rPr>
            </w:pPr>
            <w:r w:rsidRPr="000677AB">
              <w:rPr>
                <w:rFonts w:cs="Arial"/>
              </w:rPr>
              <w:t>С неизвестна честота:</w:t>
            </w:r>
          </w:p>
        </w:tc>
        <w:tc>
          <w:tcPr>
            <w:tcW w:w="3192" w:type="dxa"/>
          </w:tcPr>
          <w:p w14:paraId="7D2F222C" w14:textId="5088F2A4" w:rsidR="000677AB" w:rsidRPr="000677AB" w:rsidRDefault="000677AB" w:rsidP="000677AB">
            <w:pPr>
              <w:rPr>
                <w:rFonts w:eastAsia="Times New Roman" w:cs="Arial"/>
                <w:color w:val="000000"/>
                <w:lang w:eastAsia="bg-BG"/>
              </w:rPr>
            </w:pPr>
            <w:r w:rsidRPr="000677AB">
              <w:rPr>
                <w:rFonts w:cs="Arial"/>
              </w:rPr>
              <w:t>сексуална дисфункция, промени в либидото</w:t>
            </w:r>
          </w:p>
        </w:tc>
      </w:tr>
    </w:tbl>
    <w:p w14:paraId="5A1FEC7B" w14:textId="77777777" w:rsidR="000677AB" w:rsidRDefault="000677AB" w:rsidP="000677AB">
      <w:pPr>
        <w:rPr>
          <w:rFonts w:ascii="Times New Roman" w:eastAsia="Times New Roman" w:hAnsi="Times New Roman" w:cs="Times New Roman"/>
          <w:color w:val="000000"/>
          <w:sz w:val="20"/>
          <w:szCs w:val="20"/>
          <w:lang w:eastAsia="bg-BG"/>
        </w:rPr>
      </w:pPr>
    </w:p>
    <w:p w14:paraId="00AF0B58" w14:textId="42985A2D"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lang w:eastAsia="bg-BG"/>
        </w:rPr>
        <w:t>* Честотата на нежеланите реакции, определена чрез спонтанните съобщения, е описана като „с неизвестна честота"</w:t>
      </w:r>
    </w:p>
    <w:p w14:paraId="448DBCB4" w14:textId="77777777" w:rsidR="000677AB" w:rsidRPr="000677AB" w:rsidRDefault="000677AB" w:rsidP="000677AB">
      <w:pPr>
        <w:spacing w:line="240" w:lineRule="auto"/>
        <w:rPr>
          <w:rFonts w:eastAsia="Times New Roman" w:cs="Arial"/>
          <w:color w:val="000000"/>
          <w:szCs w:val="20"/>
          <w:u w:val="single"/>
          <w:lang w:eastAsia="bg-BG"/>
        </w:rPr>
      </w:pPr>
    </w:p>
    <w:p w14:paraId="5652D3E8" w14:textId="69C84F0E"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u w:val="single"/>
          <w:lang w:eastAsia="bg-BG"/>
        </w:rPr>
        <w:t>Допълнителна информация за отделните съставки:</w:t>
      </w:r>
      <w:r w:rsidRPr="000677AB">
        <w:rPr>
          <w:rFonts w:eastAsia="Times New Roman" w:cs="Arial"/>
          <w:color w:val="000000"/>
          <w:szCs w:val="20"/>
          <w:lang w:eastAsia="bg-BG"/>
        </w:rPr>
        <w:t xml:space="preserve"> в допълнение към изброените по-горе нежелани реакции за комбинирания продукт, други нежелани реакции, вече докладвани при една от отделните съставки, може да бъдат потенциални нежелани реакции и при Ирбесартан/Хидрохлоротиазид. Таблици 2 и 3 по-долу представят нежеланите реакции, съобщени при отделните съставки на КО-ИРБЕК НСТ.</w:t>
      </w:r>
    </w:p>
    <w:p w14:paraId="1FCCAE4F" w14:textId="1F88DEDF" w:rsidR="000677AB" w:rsidRDefault="000677AB" w:rsidP="000677AB"/>
    <w:tbl>
      <w:tblPr>
        <w:tblStyle w:val="TableGrid"/>
        <w:tblW w:w="0" w:type="auto"/>
        <w:tblLook w:val="04A0" w:firstRow="1" w:lastRow="0" w:firstColumn="1" w:lastColumn="0" w:noHBand="0" w:noVBand="1"/>
      </w:tblPr>
      <w:tblGrid>
        <w:gridCol w:w="3129"/>
        <w:gridCol w:w="3114"/>
        <w:gridCol w:w="3107"/>
      </w:tblGrid>
      <w:tr w:rsidR="000677AB" w14:paraId="4BD7CAC5" w14:textId="77777777" w:rsidTr="006151F1">
        <w:tc>
          <w:tcPr>
            <w:tcW w:w="9576" w:type="dxa"/>
            <w:gridSpan w:val="3"/>
          </w:tcPr>
          <w:p w14:paraId="562B07D1" w14:textId="34DA47E1" w:rsidR="000677AB" w:rsidRPr="000677AB" w:rsidRDefault="000677AB" w:rsidP="000677AB">
            <w:pPr>
              <w:rPr>
                <w:sz w:val="24"/>
                <w:szCs w:val="24"/>
              </w:rPr>
            </w:pPr>
            <w:r w:rsidRPr="000677AB">
              <w:rPr>
                <w:b/>
                <w:bCs/>
                <w:lang w:eastAsia="bg-BG"/>
              </w:rPr>
              <w:t xml:space="preserve">Таблица </w:t>
            </w:r>
            <w:r w:rsidRPr="000677AB">
              <w:rPr>
                <w:i/>
                <w:iCs/>
                <w:lang w:eastAsia="bg-BG"/>
              </w:rPr>
              <w:t>2:</w:t>
            </w:r>
            <w:r w:rsidRPr="000677AB">
              <w:rPr>
                <w:lang w:eastAsia="bg-BG"/>
              </w:rPr>
              <w:t xml:space="preserve"> Нежелани реакции, съобщени при самостоятелното прилагане на </w:t>
            </w:r>
            <w:r w:rsidRPr="000677AB">
              <w:rPr>
                <w:b/>
                <w:bCs/>
                <w:lang w:eastAsia="bg-BG"/>
              </w:rPr>
              <w:t>ирбесартан</w:t>
            </w:r>
          </w:p>
        </w:tc>
      </w:tr>
      <w:tr w:rsidR="000677AB" w14:paraId="5A3A003C" w14:textId="77777777" w:rsidTr="000677AB">
        <w:tc>
          <w:tcPr>
            <w:tcW w:w="3192" w:type="dxa"/>
          </w:tcPr>
          <w:p w14:paraId="308ACC59" w14:textId="54678CF4" w:rsidR="000677AB" w:rsidRDefault="000677AB" w:rsidP="000677AB">
            <w:r>
              <w:t>Общи нарушения и ефекти на мястото на приложение:</w:t>
            </w:r>
          </w:p>
        </w:tc>
        <w:tc>
          <w:tcPr>
            <w:tcW w:w="3192" w:type="dxa"/>
          </w:tcPr>
          <w:p w14:paraId="57CE3192" w14:textId="23974A87" w:rsidR="000677AB" w:rsidRDefault="000677AB" w:rsidP="000677AB">
            <w:r>
              <w:t>Нечести:</w:t>
            </w:r>
          </w:p>
        </w:tc>
        <w:tc>
          <w:tcPr>
            <w:tcW w:w="3192" w:type="dxa"/>
          </w:tcPr>
          <w:p w14:paraId="1C509392" w14:textId="7E12E75E" w:rsidR="000677AB" w:rsidRDefault="000677AB" w:rsidP="000677AB">
            <w:r>
              <w:t>гръдна болка</w:t>
            </w:r>
          </w:p>
        </w:tc>
      </w:tr>
    </w:tbl>
    <w:p w14:paraId="60DAE05C" w14:textId="3643088B" w:rsidR="000677AB" w:rsidRDefault="000677AB" w:rsidP="000677AB"/>
    <w:tbl>
      <w:tblPr>
        <w:tblStyle w:val="TableGrid"/>
        <w:tblW w:w="0" w:type="auto"/>
        <w:tblLook w:val="04A0" w:firstRow="1" w:lastRow="0" w:firstColumn="1" w:lastColumn="0" w:noHBand="0" w:noVBand="1"/>
      </w:tblPr>
      <w:tblGrid>
        <w:gridCol w:w="3119"/>
        <w:gridCol w:w="3086"/>
        <w:gridCol w:w="3145"/>
      </w:tblGrid>
      <w:tr w:rsidR="000677AB" w14:paraId="556956E2" w14:textId="77777777" w:rsidTr="009B6522">
        <w:tc>
          <w:tcPr>
            <w:tcW w:w="9576" w:type="dxa"/>
            <w:gridSpan w:val="3"/>
          </w:tcPr>
          <w:p w14:paraId="78970A0C" w14:textId="21937F1A" w:rsidR="000677AB" w:rsidRDefault="000677AB" w:rsidP="000677AB">
            <w:r w:rsidRPr="000677AB">
              <w:rPr>
                <w:b/>
                <w:bCs/>
                <w:szCs w:val="20"/>
              </w:rPr>
              <w:t xml:space="preserve">Таблица 3: </w:t>
            </w:r>
            <w:r w:rsidRPr="000677AB">
              <w:rPr>
                <w:szCs w:val="20"/>
              </w:rPr>
              <w:t xml:space="preserve">Нежелани реакции (независимо от връзката с лекарствения пролукт), съобщени при самостоятелното прилагане на </w:t>
            </w:r>
            <w:r w:rsidRPr="000677AB">
              <w:rPr>
                <w:b/>
                <w:bCs/>
                <w:szCs w:val="20"/>
              </w:rPr>
              <w:t>хидрохлоротиазид</w:t>
            </w:r>
          </w:p>
        </w:tc>
      </w:tr>
      <w:tr w:rsidR="000677AB" w14:paraId="35A5F9F0" w14:textId="77777777" w:rsidTr="000677AB">
        <w:tc>
          <w:tcPr>
            <w:tcW w:w="3192" w:type="dxa"/>
          </w:tcPr>
          <w:p w14:paraId="453704ED" w14:textId="5DDB6FA1" w:rsidR="000677AB" w:rsidRDefault="000677AB" w:rsidP="000677AB">
            <w:r>
              <w:t>Изследвания:</w:t>
            </w:r>
          </w:p>
        </w:tc>
        <w:tc>
          <w:tcPr>
            <w:tcW w:w="3192" w:type="dxa"/>
          </w:tcPr>
          <w:p w14:paraId="6AC4D65B" w14:textId="4656617C" w:rsidR="000677AB" w:rsidRDefault="000677AB" w:rsidP="000677AB">
            <w:r>
              <w:t>С неизвестна честота:</w:t>
            </w:r>
          </w:p>
        </w:tc>
        <w:tc>
          <w:tcPr>
            <w:tcW w:w="3192" w:type="dxa"/>
          </w:tcPr>
          <w:p w14:paraId="1C604E3B" w14:textId="7AE69E65" w:rsidR="000677AB" w:rsidRDefault="000677AB" w:rsidP="000677AB">
            <w:r>
              <w:t xml:space="preserve">нарушение на електролитния баланс (включително хипокалиемия и хипонатриемия, вж. точка 4.4), хиперурикемия, </w:t>
            </w:r>
            <w:r>
              <w:lastRenderedPageBreak/>
              <w:t>глюкозурия, хипергликемия, повишение на холестерола и триглицеридите</w:t>
            </w:r>
          </w:p>
        </w:tc>
      </w:tr>
      <w:tr w:rsidR="000677AB" w14:paraId="39B7A92A" w14:textId="77777777" w:rsidTr="000677AB">
        <w:tc>
          <w:tcPr>
            <w:tcW w:w="3192" w:type="dxa"/>
          </w:tcPr>
          <w:p w14:paraId="3B72311F" w14:textId="391B5802" w:rsidR="000677AB" w:rsidRDefault="000677AB" w:rsidP="000677AB">
            <w:r>
              <w:lastRenderedPageBreak/>
              <w:t>Сърдечни нарушения:</w:t>
            </w:r>
          </w:p>
        </w:tc>
        <w:tc>
          <w:tcPr>
            <w:tcW w:w="3192" w:type="dxa"/>
          </w:tcPr>
          <w:p w14:paraId="26D3504C" w14:textId="690C18CC" w:rsidR="000677AB" w:rsidRDefault="000677AB" w:rsidP="000677AB">
            <w:r>
              <w:t>С неизвестна честота:</w:t>
            </w:r>
          </w:p>
        </w:tc>
        <w:tc>
          <w:tcPr>
            <w:tcW w:w="3192" w:type="dxa"/>
          </w:tcPr>
          <w:p w14:paraId="13BC4BE1" w14:textId="102027C6" w:rsidR="000677AB" w:rsidRDefault="000677AB" w:rsidP="000677AB">
            <w:r>
              <w:t>сърдечни аритмии</w:t>
            </w:r>
          </w:p>
        </w:tc>
      </w:tr>
      <w:tr w:rsidR="000677AB" w14:paraId="52569F6F" w14:textId="77777777" w:rsidTr="000677AB">
        <w:tc>
          <w:tcPr>
            <w:tcW w:w="3192" w:type="dxa"/>
          </w:tcPr>
          <w:p w14:paraId="55E19376" w14:textId="3CA28C5B" w:rsidR="000677AB" w:rsidRDefault="000677AB" w:rsidP="000677AB">
            <w:r>
              <w:t>Нарушения на кръвта и лимфната система:</w:t>
            </w:r>
          </w:p>
        </w:tc>
        <w:tc>
          <w:tcPr>
            <w:tcW w:w="3192" w:type="dxa"/>
          </w:tcPr>
          <w:p w14:paraId="49E30296" w14:textId="42EF4617" w:rsidR="000677AB" w:rsidRDefault="000677AB" w:rsidP="000677AB">
            <w:r>
              <w:t>С неизвестна честота:</w:t>
            </w:r>
          </w:p>
        </w:tc>
        <w:tc>
          <w:tcPr>
            <w:tcW w:w="3192" w:type="dxa"/>
          </w:tcPr>
          <w:p w14:paraId="24E723D6" w14:textId="7060C1AF" w:rsidR="000677AB" w:rsidRDefault="000677AB" w:rsidP="000677AB">
            <w:r>
              <w:t>апластична анемия, подтискане на костния мозък, неутропения/агранул оцитоза, хемолитична анемия, левкопения, тромбоцитопения</w:t>
            </w:r>
          </w:p>
        </w:tc>
      </w:tr>
      <w:tr w:rsidR="000677AB" w14:paraId="3335A7D8" w14:textId="77777777" w:rsidTr="000677AB">
        <w:tc>
          <w:tcPr>
            <w:tcW w:w="3192" w:type="dxa"/>
          </w:tcPr>
          <w:p w14:paraId="602F453B" w14:textId="4AF354E7" w:rsidR="000677AB" w:rsidRDefault="000677AB" w:rsidP="000677AB">
            <w:r>
              <w:t>Нарушения на нервната система:</w:t>
            </w:r>
          </w:p>
        </w:tc>
        <w:tc>
          <w:tcPr>
            <w:tcW w:w="3192" w:type="dxa"/>
          </w:tcPr>
          <w:p w14:paraId="107FD575" w14:textId="740D0558" w:rsidR="000677AB" w:rsidRDefault="000677AB" w:rsidP="000677AB">
            <w:r>
              <w:t>С неизвестна честота:</w:t>
            </w:r>
          </w:p>
        </w:tc>
        <w:tc>
          <w:tcPr>
            <w:tcW w:w="3192" w:type="dxa"/>
          </w:tcPr>
          <w:p w14:paraId="132CA7FF" w14:textId="32930299" w:rsidR="000677AB" w:rsidRDefault="000677AB" w:rsidP="000677AB">
            <w:r>
              <w:t>вертиго, парсстсзия, замаяност, безпокойство</w:t>
            </w:r>
          </w:p>
        </w:tc>
      </w:tr>
      <w:tr w:rsidR="000677AB" w14:paraId="6144089F" w14:textId="77777777" w:rsidTr="000677AB">
        <w:tc>
          <w:tcPr>
            <w:tcW w:w="3192" w:type="dxa"/>
          </w:tcPr>
          <w:p w14:paraId="2C74EAE1" w14:textId="4CD76459" w:rsidR="000677AB" w:rsidRDefault="000677AB" w:rsidP="000677AB">
            <w:r>
              <w:t>Нарушения на очите:</w:t>
            </w:r>
          </w:p>
        </w:tc>
        <w:tc>
          <w:tcPr>
            <w:tcW w:w="3192" w:type="dxa"/>
          </w:tcPr>
          <w:p w14:paraId="1C637250" w14:textId="7E319015" w:rsidR="000677AB" w:rsidRDefault="000677AB" w:rsidP="000677AB">
            <w:r>
              <w:t>С неизвестна честота:</w:t>
            </w:r>
          </w:p>
        </w:tc>
        <w:tc>
          <w:tcPr>
            <w:tcW w:w="3192" w:type="dxa"/>
          </w:tcPr>
          <w:p w14:paraId="2E251FDC" w14:textId="4E716918" w:rsidR="000677AB" w:rsidRDefault="000677AB" w:rsidP="000677AB">
            <w:r>
              <w:t>преходно замъглено виждане, ксантопсия</w:t>
            </w:r>
          </w:p>
        </w:tc>
      </w:tr>
      <w:tr w:rsidR="000677AB" w14:paraId="7D5B6D44" w14:textId="77777777" w:rsidTr="000677AB">
        <w:tc>
          <w:tcPr>
            <w:tcW w:w="3192" w:type="dxa"/>
          </w:tcPr>
          <w:p w14:paraId="0A0BA377" w14:textId="6FD9941C" w:rsidR="000677AB" w:rsidRDefault="000677AB" w:rsidP="000677AB">
            <w:r>
              <w:t>Респираторни, гръдни и медиастинални нарушения:</w:t>
            </w:r>
          </w:p>
        </w:tc>
        <w:tc>
          <w:tcPr>
            <w:tcW w:w="3192" w:type="dxa"/>
          </w:tcPr>
          <w:p w14:paraId="7B8ACEB0" w14:textId="0913E093" w:rsidR="000677AB" w:rsidRDefault="000677AB" w:rsidP="000677AB">
            <w:r>
              <w:t>С неизвестна честота:</w:t>
            </w:r>
          </w:p>
        </w:tc>
        <w:tc>
          <w:tcPr>
            <w:tcW w:w="3192" w:type="dxa"/>
          </w:tcPr>
          <w:p w14:paraId="17283A90" w14:textId="5A9B182E" w:rsidR="000677AB" w:rsidRDefault="000677AB" w:rsidP="000677AB">
            <w:r>
              <w:t>респираторен дистрес (включително пневмонит и белодробен оток)</w:t>
            </w:r>
          </w:p>
        </w:tc>
      </w:tr>
      <w:tr w:rsidR="000677AB" w14:paraId="5F307255" w14:textId="77777777" w:rsidTr="000677AB">
        <w:tc>
          <w:tcPr>
            <w:tcW w:w="3192" w:type="dxa"/>
          </w:tcPr>
          <w:p w14:paraId="377BCA6E" w14:textId="0AFB8012" w:rsidR="000677AB" w:rsidRDefault="000677AB" w:rsidP="000677AB">
            <w:r>
              <w:t>Стомашно-чревни нарушения:</w:t>
            </w:r>
          </w:p>
        </w:tc>
        <w:tc>
          <w:tcPr>
            <w:tcW w:w="3192" w:type="dxa"/>
          </w:tcPr>
          <w:p w14:paraId="2311BA33" w14:textId="6D6CE078" w:rsidR="000677AB" w:rsidRDefault="000677AB" w:rsidP="000677AB">
            <w:r>
              <w:t>С неизвестна честота:</w:t>
            </w:r>
          </w:p>
        </w:tc>
        <w:tc>
          <w:tcPr>
            <w:tcW w:w="3192" w:type="dxa"/>
          </w:tcPr>
          <w:p w14:paraId="7A210101" w14:textId="04EC42B3" w:rsidR="000677AB" w:rsidRDefault="000677AB" w:rsidP="000677AB">
            <w:r>
              <w:t>панкреатит, анорексия, диария, запек, стомашно дразнене, сиалоаденит. загуба на апетит</w:t>
            </w:r>
          </w:p>
        </w:tc>
      </w:tr>
      <w:tr w:rsidR="000677AB" w14:paraId="3D49E069" w14:textId="77777777" w:rsidTr="000677AB">
        <w:tc>
          <w:tcPr>
            <w:tcW w:w="3192" w:type="dxa"/>
          </w:tcPr>
          <w:p w14:paraId="609F012A" w14:textId="0DD09D90" w:rsidR="000677AB" w:rsidRDefault="000677AB" w:rsidP="000677AB">
            <w:r>
              <w:t>Нарушения на бъбреците и пикочните пътища:</w:t>
            </w:r>
          </w:p>
        </w:tc>
        <w:tc>
          <w:tcPr>
            <w:tcW w:w="3192" w:type="dxa"/>
          </w:tcPr>
          <w:p w14:paraId="4EFCA3BD" w14:textId="173965EC" w:rsidR="000677AB" w:rsidRDefault="000677AB" w:rsidP="000677AB">
            <w:r>
              <w:t>С неизвестна честота:</w:t>
            </w:r>
          </w:p>
        </w:tc>
        <w:tc>
          <w:tcPr>
            <w:tcW w:w="3192" w:type="dxa"/>
          </w:tcPr>
          <w:p w14:paraId="4D2270B0" w14:textId="1007C297" w:rsidR="000677AB" w:rsidRDefault="000677AB" w:rsidP="000677AB">
            <w:r>
              <w:t>интерстициален нефрит, бъбречна дисфункция</w:t>
            </w:r>
          </w:p>
        </w:tc>
      </w:tr>
      <w:tr w:rsidR="000677AB" w14:paraId="6E92121C" w14:textId="77777777" w:rsidTr="000677AB">
        <w:tc>
          <w:tcPr>
            <w:tcW w:w="3192" w:type="dxa"/>
          </w:tcPr>
          <w:p w14:paraId="5632F921" w14:textId="14C0C2A5" w:rsidR="000677AB" w:rsidRDefault="000677AB" w:rsidP="000677AB">
            <w:r>
              <w:t>Нарушения на кожата и подкожната тъкан:</w:t>
            </w:r>
          </w:p>
        </w:tc>
        <w:tc>
          <w:tcPr>
            <w:tcW w:w="3192" w:type="dxa"/>
          </w:tcPr>
          <w:p w14:paraId="7C8C50C9" w14:textId="41F7F8BA" w:rsidR="000677AB" w:rsidRDefault="000677AB" w:rsidP="000677AB">
            <w:r>
              <w:t>С неизвестна честота:</w:t>
            </w:r>
          </w:p>
        </w:tc>
        <w:tc>
          <w:tcPr>
            <w:tcW w:w="3192" w:type="dxa"/>
          </w:tcPr>
          <w:p w14:paraId="2E041B24" w14:textId="610DC7AB" w:rsidR="000677AB" w:rsidRDefault="000677AB" w:rsidP="000677AB">
            <w:r>
              <w:t>Анафилактични реакции, епидермална некролиза, некротизиращ ангиит (васкулиг, кожен васкулит), кожни лупус еритематозус, фоточувствителни реакции, обрив, уртикария</w:t>
            </w:r>
          </w:p>
        </w:tc>
      </w:tr>
      <w:tr w:rsidR="000677AB" w14:paraId="33CA08DF" w14:textId="77777777" w:rsidTr="000677AB">
        <w:tc>
          <w:tcPr>
            <w:tcW w:w="3192" w:type="dxa"/>
          </w:tcPr>
          <w:p w14:paraId="74CDBACC" w14:textId="6E5F3B90" w:rsidR="000677AB" w:rsidRDefault="000677AB" w:rsidP="000677AB">
            <w:r>
              <w:t>Нарушения на мускулно- скелетната система, съединителната тъкан и костите:</w:t>
            </w:r>
          </w:p>
        </w:tc>
        <w:tc>
          <w:tcPr>
            <w:tcW w:w="3192" w:type="dxa"/>
          </w:tcPr>
          <w:p w14:paraId="1384236A" w14:textId="567D0430" w:rsidR="000677AB" w:rsidRDefault="000677AB" w:rsidP="000677AB">
            <w:r>
              <w:t>С неизвестна честота:</w:t>
            </w:r>
          </w:p>
        </w:tc>
        <w:tc>
          <w:tcPr>
            <w:tcW w:w="3192" w:type="dxa"/>
          </w:tcPr>
          <w:p w14:paraId="4F4F645C" w14:textId="15168F77" w:rsidR="000677AB" w:rsidRDefault="000677AB" w:rsidP="000677AB">
            <w:r>
              <w:t>слабост, мускулен спазъм</w:t>
            </w:r>
          </w:p>
        </w:tc>
      </w:tr>
      <w:tr w:rsidR="000677AB" w14:paraId="1238D51D" w14:textId="77777777" w:rsidTr="000677AB">
        <w:tc>
          <w:tcPr>
            <w:tcW w:w="3192" w:type="dxa"/>
          </w:tcPr>
          <w:p w14:paraId="68C3189E" w14:textId="1D8A7C88" w:rsidR="000677AB" w:rsidRDefault="000677AB" w:rsidP="000677AB">
            <w:r>
              <w:t>Съдови нарушения:</w:t>
            </w:r>
          </w:p>
        </w:tc>
        <w:tc>
          <w:tcPr>
            <w:tcW w:w="3192" w:type="dxa"/>
          </w:tcPr>
          <w:p w14:paraId="1F945BCA" w14:textId="64D83F00" w:rsidR="000677AB" w:rsidRDefault="000677AB" w:rsidP="000677AB">
            <w:r>
              <w:t>С неизвестна честота:</w:t>
            </w:r>
          </w:p>
        </w:tc>
        <w:tc>
          <w:tcPr>
            <w:tcW w:w="3192" w:type="dxa"/>
          </w:tcPr>
          <w:p w14:paraId="19920790" w14:textId="56F5DBC9" w:rsidR="000677AB" w:rsidRDefault="000677AB" w:rsidP="000677AB">
            <w:r>
              <w:t>постурална хипотония</w:t>
            </w:r>
          </w:p>
        </w:tc>
      </w:tr>
      <w:tr w:rsidR="000677AB" w14:paraId="5941C00D" w14:textId="77777777" w:rsidTr="000677AB">
        <w:tc>
          <w:tcPr>
            <w:tcW w:w="3192" w:type="dxa"/>
          </w:tcPr>
          <w:p w14:paraId="29547D0C" w14:textId="30FD805E" w:rsidR="000677AB" w:rsidRDefault="000677AB" w:rsidP="000677AB">
            <w:r>
              <w:t>Общи нарушения и ефекти на мястото на приложение:</w:t>
            </w:r>
          </w:p>
        </w:tc>
        <w:tc>
          <w:tcPr>
            <w:tcW w:w="3192" w:type="dxa"/>
          </w:tcPr>
          <w:p w14:paraId="294E0216" w14:textId="08326188" w:rsidR="000677AB" w:rsidRDefault="000677AB" w:rsidP="000677AB">
            <w:r>
              <w:t>С неизвестна честота:</w:t>
            </w:r>
          </w:p>
        </w:tc>
        <w:tc>
          <w:tcPr>
            <w:tcW w:w="3192" w:type="dxa"/>
          </w:tcPr>
          <w:p w14:paraId="30B2DFD5" w14:textId="0FD4478C" w:rsidR="000677AB" w:rsidRDefault="000677AB" w:rsidP="000677AB">
            <w:r>
              <w:t>треска</w:t>
            </w:r>
          </w:p>
        </w:tc>
      </w:tr>
      <w:tr w:rsidR="000677AB" w14:paraId="071B9933" w14:textId="77777777" w:rsidTr="000677AB">
        <w:tc>
          <w:tcPr>
            <w:tcW w:w="3192" w:type="dxa"/>
          </w:tcPr>
          <w:p w14:paraId="4A718C1D" w14:textId="5DC96E9E" w:rsidR="000677AB" w:rsidRDefault="000677AB" w:rsidP="000677AB">
            <w:r>
              <w:t>Хепатобилиарни нарушения:</w:t>
            </w:r>
          </w:p>
        </w:tc>
        <w:tc>
          <w:tcPr>
            <w:tcW w:w="3192" w:type="dxa"/>
          </w:tcPr>
          <w:p w14:paraId="011902C4" w14:textId="13A59C69" w:rsidR="000677AB" w:rsidRDefault="000677AB" w:rsidP="000677AB">
            <w:r>
              <w:t>С неизвестна честота:</w:t>
            </w:r>
          </w:p>
        </w:tc>
        <w:tc>
          <w:tcPr>
            <w:tcW w:w="3192" w:type="dxa"/>
          </w:tcPr>
          <w:p w14:paraId="378BBE98" w14:textId="536E2908" w:rsidR="000677AB" w:rsidRDefault="000677AB" w:rsidP="000677AB">
            <w:r>
              <w:t>жълтеница (интрахепатална холестатична жълтеница)</w:t>
            </w:r>
          </w:p>
        </w:tc>
      </w:tr>
      <w:tr w:rsidR="000677AB" w14:paraId="0DDF06B5" w14:textId="77777777" w:rsidTr="000677AB">
        <w:tc>
          <w:tcPr>
            <w:tcW w:w="3192" w:type="dxa"/>
          </w:tcPr>
          <w:p w14:paraId="48D0FF83" w14:textId="4428FD49" w:rsidR="000677AB" w:rsidRDefault="000677AB" w:rsidP="000677AB">
            <w:r>
              <w:t>Психични нарушения:</w:t>
            </w:r>
          </w:p>
        </w:tc>
        <w:tc>
          <w:tcPr>
            <w:tcW w:w="3192" w:type="dxa"/>
          </w:tcPr>
          <w:p w14:paraId="14E71118" w14:textId="7389AA24" w:rsidR="000677AB" w:rsidRDefault="000677AB" w:rsidP="000677AB">
            <w:r>
              <w:t>С неизвестна честота:</w:t>
            </w:r>
          </w:p>
        </w:tc>
        <w:tc>
          <w:tcPr>
            <w:tcW w:w="3192" w:type="dxa"/>
          </w:tcPr>
          <w:p w14:paraId="7F878AA6" w14:textId="03511201" w:rsidR="000677AB" w:rsidRDefault="000677AB" w:rsidP="000677AB">
            <w:r>
              <w:t>депресия, нарушения на съня</w:t>
            </w:r>
          </w:p>
        </w:tc>
      </w:tr>
    </w:tbl>
    <w:p w14:paraId="44AB9F07" w14:textId="582C6BA1" w:rsidR="000677AB" w:rsidRDefault="000677AB" w:rsidP="000677AB"/>
    <w:p w14:paraId="0A9F6AE4" w14:textId="77777777" w:rsidR="000677AB" w:rsidRPr="000677AB" w:rsidRDefault="000677AB" w:rsidP="000677AB">
      <w:pPr>
        <w:spacing w:line="240" w:lineRule="auto"/>
        <w:rPr>
          <w:rFonts w:eastAsia="Times New Roman" w:cs="Arial"/>
        </w:rPr>
      </w:pPr>
      <w:r w:rsidRPr="000677AB">
        <w:rPr>
          <w:rFonts w:eastAsia="Times New Roman" w:cs="Arial"/>
          <w:color w:val="000000"/>
          <w:lang w:eastAsia="bg-BG"/>
        </w:rPr>
        <w:t>Дозо-зависимите нежелани реакции на хидрохлоротиазид (особено нарушенията на електролитния баланс) може да бъдат увеличени при титрирането на хидрохлоротиазид.</w:t>
      </w:r>
    </w:p>
    <w:p w14:paraId="2E9016EB" w14:textId="77777777" w:rsidR="000677AB" w:rsidRPr="000677AB" w:rsidRDefault="000677AB" w:rsidP="000677AB">
      <w:pPr>
        <w:spacing w:line="240" w:lineRule="auto"/>
        <w:rPr>
          <w:rFonts w:eastAsia="Times New Roman" w:cs="Arial"/>
          <w:color w:val="000000"/>
          <w:lang w:eastAsia="bg-BG"/>
        </w:rPr>
      </w:pPr>
    </w:p>
    <w:p w14:paraId="20D45956" w14:textId="78C8130F" w:rsidR="000677AB" w:rsidRPr="000677AB" w:rsidRDefault="000677AB" w:rsidP="000677AB">
      <w:pPr>
        <w:spacing w:line="240" w:lineRule="auto"/>
        <w:rPr>
          <w:rFonts w:eastAsia="Times New Roman" w:cs="Arial"/>
        </w:rPr>
      </w:pPr>
      <w:r w:rsidRPr="000677AB">
        <w:rPr>
          <w:rFonts w:eastAsia="Times New Roman" w:cs="Arial"/>
          <w:color w:val="000000"/>
          <w:lang w:eastAsia="bg-BG"/>
        </w:rPr>
        <w:t>Съобщаване на подозирани нежелани реакции</w:t>
      </w:r>
    </w:p>
    <w:p w14:paraId="0D740E0A" w14:textId="77777777" w:rsidR="000677AB" w:rsidRPr="000677AB" w:rsidRDefault="000677AB" w:rsidP="000677AB">
      <w:pPr>
        <w:spacing w:line="240" w:lineRule="auto"/>
        <w:rPr>
          <w:rFonts w:eastAsia="Times New Roman" w:cs="Arial"/>
        </w:rPr>
      </w:pPr>
      <w:r w:rsidRPr="000677AB">
        <w:rPr>
          <w:rFonts w:eastAsia="Times New Roman" w:cs="Arial"/>
          <w:color w:val="000000"/>
          <w:lang w:eastAsia="bg-BG"/>
        </w:rPr>
        <w:lastRenderedPageBreak/>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националната система за съобщаване:</w:t>
      </w:r>
    </w:p>
    <w:p w14:paraId="384B4849" w14:textId="77777777" w:rsidR="000677AB" w:rsidRPr="000677AB" w:rsidRDefault="000677AB" w:rsidP="000677AB">
      <w:pPr>
        <w:spacing w:line="240" w:lineRule="auto"/>
        <w:rPr>
          <w:rFonts w:eastAsia="Times New Roman" w:cs="Arial"/>
        </w:rPr>
      </w:pPr>
      <w:r w:rsidRPr="000677AB">
        <w:rPr>
          <w:rFonts w:eastAsia="Times New Roman" w:cs="Arial"/>
          <w:color w:val="000000"/>
          <w:lang w:eastAsia="bg-BG"/>
        </w:rPr>
        <w:t>Изпълнителна агенция по лекарствата</w:t>
      </w:r>
    </w:p>
    <w:p w14:paraId="3B29F355" w14:textId="68CC0192" w:rsidR="000677AB" w:rsidRPr="000677AB" w:rsidRDefault="000677AB" w:rsidP="000677AB">
      <w:pPr>
        <w:rPr>
          <w:rFonts w:eastAsia="Times New Roman" w:cs="Arial"/>
          <w:color w:val="000000"/>
          <w:lang w:eastAsia="bg-BG"/>
        </w:rPr>
      </w:pPr>
      <w:r w:rsidRPr="000677AB">
        <w:rPr>
          <w:rFonts w:eastAsia="Times New Roman" w:cs="Arial"/>
          <w:color w:val="000000"/>
          <w:lang w:eastAsia="bg-BG"/>
        </w:rPr>
        <w:t>ул.,,Дамян Груев" № 8</w:t>
      </w:r>
    </w:p>
    <w:p w14:paraId="699BE019" w14:textId="77777777" w:rsidR="000677AB" w:rsidRPr="000677AB" w:rsidRDefault="000677AB" w:rsidP="000677AB">
      <w:pPr>
        <w:spacing w:line="240" w:lineRule="auto"/>
        <w:rPr>
          <w:rFonts w:eastAsia="Times New Roman" w:cs="Arial"/>
        </w:rPr>
      </w:pPr>
      <w:r w:rsidRPr="000677AB">
        <w:rPr>
          <w:rFonts w:eastAsia="Times New Roman" w:cs="Arial"/>
          <w:color w:val="000000"/>
          <w:lang w:eastAsia="bg-BG"/>
        </w:rPr>
        <w:t>1303 София</w:t>
      </w:r>
    </w:p>
    <w:p w14:paraId="1BF1140C" w14:textId="77777777" w:rsidR="000677AB" w:rsidRPr="000677AB" w:rsidRDefault="000677AB" w:rsidP="000677AB">
      <w:pPr>
        <w:spacing w:line="240" w:lineRule="auto"/>
        <w:rPr>
          <w:rFonts w:eastAsia="Times New Roman" w:cs="Arial"/>
        </w:rPr>
      </w:pPr>
      <w:r w:rsidRPr="000677AB">
        <w:rPr>
          <w:rFonts w:eastAsia="Times New Roman" w:cs="Arial"/>
          <w:color w:val="000000"/>
          <w:lang w:eastAsia="bg-BG"/>
        </w:rPr>
        <w:t>тел.:+359 2 8903417</w:t>
      </w:r>
    </w:p>
    <w:p w14:paraId="0A9AD898" w14:textId="77777777" w:rsidR="000677AB" w:rsidRPr="000677AB" w:rsidRDefault="000677AB" w:rsidP="000677AB">
      <w:pPr>
        <w:spacing w:line="240" w:lineRule="auto"/>
        <w:rPr>
          <w:rFonts w:eastAsia="Times New Roman" w:cs="Arial"/>
        </w:rPr>
      </w:pPr>
      <w:r w:rsidRPr="000677AB">
        <w:rPr>
          <w:rFonts w:eastAsia="Times New Roman" w:cs="Arial"/>
          <w:color w:val="000000"/>
          <w:lang w:eastAsia="bg-BG"/>
        </w:rPr>
        <w:t xml:space="preserve">уебсайт: </w:t>
      </w:r>
      <w:r w:rsidRPr="000677AB">
        <w:rPr>
          <w:rFonts w:eastAsia="Times New Roman" w:cs="Arial"/>
        </w:rPr>
        <w:fldChar w:fldCharType="begin"/>
      </w:r>
      <w:r w:rsidRPr="000677AB">
        <w:rPr>
          <w:rFonts w:eastAsia="Times New Roman" w:cs="Arial"/>
        </w:rPr>
        <w:instrText xml:space="preserve"> HYPERLINK "http://www.bda.bg" </w:instrText>
      </w:r>
      <w:r w:rsidRPr="000677AB">
        <w:rPr>
          <w:rFonts w:eastAsia="Times New Roman" w:cs="Arial"/>
        </w:rPr>
      </w:r>
      <w:r w:rsidRPr="000677AB">
        <w:rPr>
          <w:rFonts w:eastAsia="Times New Roman" w:cs="Arial"/>
        </w:rPr>
        <w:fldChar w:fldCharType="separate"/>
      </w:r>
      <w:r w:rsidRPr="000677AB">
        <w:rPr>
          <w:rFonts w:eastAsia="Times New Roman" w:cs="Arial"/>
          <w:color w:val="000000"/>
          <w:lang w:val="en-US"/>
        </w:rPr>
        <w:t>www</w:t>
      </w:r>
      <w:r w:rsidRPr="000677AB">
        <w:rPr>
          <w:rFonts w:eastAsia="Times New Roman" w:cs="Arial"/>
          <w:color w:val="000000"/>
          <w:lang w:val="ru-RU"/>
        </w:rPr>
        <w:t>.</w:t>
      </w:r>
      <w:proofErr w:type="spellStart"/>
      <w:r w:rsidRPr="000677AB">
        <w:rPr>
          <w:rFonts w:eastAsia="Times New Roman" w:cs="Arial"/>
          <w:color w:val="000000"/>
          <w:lang w:val="en-US"/>
        </w:rPr>
        <w:t>bda</w:t>
      </w:r>
      <w:proofErr w:type="spellEnd"/>
      <w:r w:rsidRPr="000677AB">
        <w:rPr>
          <w:rFonts w:eastAsia="Times New Roman" w:cs="Arial"/>
          <w:color w:val="000000"/>
          <w:lang w:val="ru-RU"/>
        </w:rPr>
        <w:t>.</w:t>
      </w:r>
      <w:proofErr w:type="spellStart"/>
      <w:r w:rsidRPr="000677AB">
        <w:rPr>
          <w:rFonts w:eastAsia="Times New Roman" w:cs="Arial"/>
          <w:color w:val="000000"/>
          <w:lang w:val="en-US"/>
        </w:rPr>
        <w:t>bg</w:t>
      </w:r>
      <w:proofErr w:type="spellEnd"/>
      <w:r w:rsidRPr="000677AB">
        <w:rPr>
          <w:rFonts w:eastAsia="Times New Roman" w:cs="Arial"/>
        </w:rPr>
        <w:fldChar w:fldCharType="end"/>
      </w:r>
    </w:p>
    <w:p w14:paraId="756533D3" w14:textId="77777777" w:rsidR="000677AB" w:rsidRPr="000677AB" w:rsidRDefault="000677AB" w:rsidP="000677AB"/>
    <w:p w14:paraId="5A87DBA3" w14:textId="4DD5E654" w:rsidR="007122AD" w:rsidRDefault="002C50EE" w:rsidP="00936AD0">
      <w:pPr>
        <w:pStyle w:val="Heading2"/>
      </w:pPr>
      <w:r>
        <w:t>4.9. Предозиране</w:t>
      </w:r>
    </w:p>
    <w:p w14:paraId="21F20A0C" w14:textId="5D78268E" w:rsidR="000677AB" w:rsidRDefault="000677AB" w:rsidP="000677AB"/>
    <w:p w14:paraId="0A16DB9F" w14:textId="77777777"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lang w:eastAsia="bg-BG"/>
        </w:rPr>
        <w:t>Няма специфична информация по отношение на лечението при предозиране с ирбесартан/хидрохлоротиазид. Пациентът трябва да бъде внимателно проследяван, като лечението трябва да бъде симптоматично и поддържащо. Лечението зависи от времето от приемането и тежестта на симптомите. Препоръчва се предизвикването на повръщане и/или стомашна промивка. Активният въглен може да бъде полезен при лечение на предозирането. Серумните електролити и креатинина трябва да бъдат често проследявани. При поява на хипотония пациентът трябва да бъде поставен в легнало положение и се предприеме бързо обемно и електролитно заместване.</w:t>
      </w:r>
    </w:p>
    <w:p w14:paraId="1B39A804" w14:textId="77777777" w:rsidR="000677AB" w:rsidRPr="00864288" w:rsidRDefault="000677AB" w:rsidP="000677AB">
      <w:pPr>
        <w:spacing w:line="240" w:lineRule="auto"/>
        <w:rPr>
          <w:rFonts w:eastAsia="Times New Roman" w:cs="Arial"/>
          <w:color w:val="000000"/>
          <w:szCs w:val="20"/>
          <w:lang w:eastAsia="bg-BG"/>
        </w:rPr>
      </w:pPr>
    </w:p>
    <w:p w14:paraId="29F41484" w14:textId="3DBD1E21"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lang w:eastAsia="bg-BG"/>
        </w:rPr>
        <w:t>Най-честите прояви на предозиране с ирбесартан се очаква да бъдат хипотония и тахикардия; възможна е и появата на брадикардия.</w:t>
      </w:r>
    </w:p>
    <w:p w14:paraId="318E80A7" w14:textId="77777777" w:rsidR="000677AB" w:rsidRPr="00864288" w:rsidRDefault="000677AB" w:rsidP="000677AB">
      <w:pPr>
        <w:spacing w:line="240" w:lineRule="auto"/>
        <w:rPr>
          <w:rFonts w:eastAsia="Times New Roman" w:cs="Arial"/>
          <w:color w:val="000000"/>
          <w:szCs w:val="20"/>
          <w:lang w:eastAsia="bg-BG"/>
        </w:rPr>
      </w:pPr>
    </w:p>
    <w:p w14:paraId="13C3D6CF" w14:textId="0DEF54A2"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lang w:eastAsia="bg-BG"/>
        </w:rPr>
        <w:t>Предозирането с хидрохлоротиазид е свързано с недостиг на електролити (хипокалиемия, хипохлоремия, хипонатриемия) и дехидратация в резултат на прекомерната диуреза. Най-честите признаци и симптоми на предозиране са гадене и сомнолентност. Хипокалиемията може да доведе до мускулни спазми и/или изявена сърдечна аритмия, свързана с едновременната употреба на сърдечни гликозиди или някои антиаритмични лекарствени продукти.</w:t>
      </w:r>
    </w:p>
    <w:p w14:paraId="312C9370" w14:textId="77777777" w:rsidR="000677AB" w:rsidRPr="00864288" w:rsidRDefault="000677AB" w:rsidP="000677AB">
      <w:pPr>
        <w:spacing w:line="240" w:lineRule="auto"/>
        <w:rPr>
          <w:rFonts w:eastAsia="Times New Roman" w:cs="Arial"/>
          <w:color w:val="000000"/>
          <w:szCs w:val="20"/>
          <w:lang w:eastAsia="bg-BG"/>
        </w:rPr>
      </w:pPr>
    </w:p>
    <w:p w14:paraId="5B148848" w14:textId="42EA4A2E"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lang w:eastAsia="bg-BG"/>
        </w:rPr>
        <w:t>Ирбесартан не се отделя чрез хемодиализа. Степента на отделяне на хидрохлоротиазид с помощта на хемодиализа не е установена.</w:t>
      </w:r>
    </w:p>
    <w:p w14:paraId="656BF844" w14:textId="77777777" w:rsidR="000677AB" w:rsidRPr="000677AB" w:rsidRDefault="000677AB" w:rsidP="000677AB"/>
    <w:p w14:paraId="02081B24" w14:textId="1F46E296" w:rsidR="00395555" w:rsidRPr="00395555" w:rsidRDefault="002C50EE" w:rsidP="008A6AF2">
      <w:pPr>
        <w:pStyle w:val="Heading1"/>
      </w:pPr>
      <w:r>
        <w:t>5. ФАРМАКОЛОГИЧНИ СВОЙСТВА</w:t>
      </w:r>
    </w:p>
    <w:p w14:paraId="7DE36AC8" w14:textId="33EDA66E" w:rsidR="00B6672E" w:rsidRDefault="002C50EE" w:rsidP="00936AD0">
      <w:pPr>
        <w:pStyle w:val="Heading2"/>
      </w:pPr>
      <w:r>
        <w:t>5.1. Фармакодинамични свойства</w:t>
      </w:r>
    </w:p>
    <w:p w14:paraId="3F169E7B" w14:textId="61CAAA53" w:rsidR="00864288" w:rsidRDefault="00864288" w:rsidP="00864288"/>
    <w:p w14:paraId="5F4A481E" w14:textId="77777777" w:rsidR="00864288" w:rsidRPr="00864288" w:rsidRDefault="00864288" w:rsidP="00864288">
      <w:pPr>
        <w:spacing w:line="240" w:lineRule="auto"/>
        <w:rPr>
          <w:rFonts w:eastAsia="Times New Roman" w:cs="Arial"/>
          <w:sz w:val="28"/>
          <w:szCs w:val="24"/>
        </w:rPr>
      </w:pPr>
      <w:r w:rsidRPr="00864288">
        <w:rPr>
          <w:rFonts w:eastAsia="Times New Roman" w:cs="Arial"/>
          <w:color w:val="000000"/>
          <w:szCs w:val="20"/>
          <w:lang w:eastAsia="bg-BG"/>
        </w:rPr>
        <w:t>Фармакотерапевтична група: ангиотензин-П антагонисти, комбинация</w:t>
      </w:r>
    </w:p>
    <w:p w14:paraId="3FBD8F20" w14:textId="77777777" w:rsidR="00864288" w:rsidRPr="00864288" w:rsidRDefault="00864288" w:rsidP="00864288">
      <w:pPr>
        <w:spacing w:line="240" w:lineRule="auto"/>
        <w:rPr>
          <w:rFonts w:eastAsia="Times New Roman" w:cs="Arial"/>
          <w:sz w:val="28"/>
          <w:szCs w:val="24"/>
        </w:rPr>
      </w:pPr>
      <w:r w:rsidRPr="00864288">
        <w:rPr>
          <w:rFonts w:eastAsia="Times New Roman" w:cs="Arial"/>
          <w:color w:val="000000"/>
          <w:szCs w:val="20"/>
          <w:lang w:eastAsia="bg-BG"/>
        </w:rPr>
        <w:t xml:space="preserve">АТС код: </w:t>
      </w:r>
      <w:r w:rsidRPr="00864288">
        <w:rPr>
          <w:rFonts w:eastAsia="Times New Roman" w:cs="Arial"/>
          <w:color w:val="000000"/>
          <w:szCs w:val="20"/>
          <w:lang w:val="en-US"/>
        </w:rPr>
        <w:t>C</w:t>
      </w:r>
      <w:r w:rsidRPr="00864288">
        <w:rPr>
          <w:rFonts w:eastAsia="Times New Roman" w:cs="Arial"/>
          <w:color w:val="000000"/>
          <w:szCs w:val="20"/>
        </w:rPr>
        <w:t>09</w:t>
      </w:r>
      <w:r w:rsidRPr="00864288">
        <w:rPr>
          <w:rFonts w:eastAsia="Times New Roman" w:cs="Arial"/>
          <w:color w:val="000000"/>
          <w:szCs w:val="20"/>
          <w:lang w:val="en-US"/>
        </w:rPr>
        <w:t>DA</w:t>
      </w:r>
      <w:r w:rsidRPr="00864288">
        <w:rPr>
          <w:rFonts w:eastAsia="Times New Roman" w:cs="Arial"/>
          <w:color w:val="000000"/>
          <w:szCs w:val="20"/>
        </w:rPr>
        <w:t>04.</w:t>
      </w:r>
    </w:p>
    <w:p w14:paraId="547F1E03" w14:textId="77777777" w:rsidR="00864288" w:rsidRPr="00864288" w:rsidRDefault="00864288" w:rsidP="00864288">
      <w:pPr>
        <w:spacing w:line="240" w:lineRule="auto"/>
        <w:rPr>
          <w:rFonts w:eastAsia="Times New Roman" w:cs="Arial"/>
          <w:color w:val="000000"/>
          <w:szCs w:val="20"/>
          <w:lang w:eastAsia="bg-BG"/>
        </w:rPr>
      </w:pPr>
    </w:p>
    <w:p w14:paraId="66288B80" w14:textId="0F97FAD9" w:rsidR="00864288" w:rsidRPr="00864288" w:rsidRDefault="00864288" w:rsidP="00864288">
      <w:pPr>
        <w:spacing w:line="240" w:lineRule="auto"/>
        <w:rPr>
          <w:rFonts w:eastAsia="Times New Roman" w:cs="Arial"/>
          <w:sz w:val="28"/>
          <w:szCs w:val="24"/>
        </w:rPr>
      </w:pPr>
      <w:r w:rsidRPr="00864288">
        <w:rPr>
          <w:rFonts w:eastAsia="Times New Roman" w:cs="Arial"/>
          <w:color w:val="000000"/>
          <w:szCs w:val="20"/>
          <w:lang w:eastAsia="bg-BG"/>
        </w:rPr>
        <w:t>Ирбесартан/хидрохлоротиазид е комбинация от ангиотензин-</w:t>
      </w:r>
      <w:r w:rsidRPr="00864288">
        <w:rPr>
          <w:rFonts w:eastAsia="Times New Roman" w:cs="Arial"/>
          <w:color w:val="000000"/>
          <w:szCs w:val="20"/>
          <w:lang w:val="en-US"/>
        </w:rPr>
        <w:t>II</w:t>
      </w:r>
      <w:r w:rsidRPr="00864288">
        <w:rPr>
          <w:rFonts w:eastAsia="Times New Roman" w:cs="Arial"/>
          <w:color w:val="000000"/>
          <w:szCs w:val="20"/>
          <w:lang w:eastAsia="bg-BG"/>
        </w:rPr>
        <w:t xml:space="preserve"> рецепторен антагонист, ирбесартан, и тиазиден диуретик, хидрохлоротиазид. Комбинацията от двата компонента притежава адитивен аитихипертензивен ефект, като понижава кръвното налягане в по-голяма степен в сравнение с всеки от отделните компоненти, приложен самостоятелно.</w:t>
      </w:r>
    </w:p>
    <w:p w14:paraId="3C7C9547" w14:textId="77777777" w:rsidR="00864288" w:rsidRPr="00864288" w:rsidRDefault="00864288" w:rsidP="00864288">
      <w:pPr>
        <w:spacing w:line="240" w:lineRule="auto"/>
        <w:rPr>
          <w:rFonts w:eastAsia="Times New Roman" w:cs="Arial"/>
          <w:sz w:val="28"/>
          <w:szCs w:val="24"/>
        </w:rPr>
      </w:pPr>
      <w:r w:rsidRPr="00864288">
        <w:rPr>
          <w:rFonts w:eastAsia="Times New Roman" w:cs="Arial"/>
          <w:color w:val="000000"/>
          <w:szCs w:val="20"/>
          <w:lang w:eastAsia="bg-BG"/>
        </w:rPr>
        <w:t>Ирбесартан е мощен, перорален, селективен ангиотензин-</w:t>
      </w:r>
      <w:r w:rsidRPr="00864288">
        <w:rPr>
          <w:rFonts w:eastAsia="Times New Roman" w:cs="Arial"/>
          <w:color w:val="000000"/>
          <w:szCs w:val="20"/>
          <w:lang w:val="en-US"/>
        </w:rPr>
        <w:t>II</w:t>
      </w:r>
      <w:r w:rsidRPr="00864288">
        <w:rPr>
          <w:rFonts w:eastAsia="Times New Roman" w:cs="Arial"/>
          <w:color w:val="000000"/>
          <w:szCs w:val="20"/>
          <w:lang w:eastAsia="bg-BG"/>
        </w:rPr>
        <w:t xml:space="preserve"> рецепторен (тип АТ</w:t>
      </w:r>
      <w:r w:rsidRPr="00864288">
        <w:rPr>
          <w:rFonts w:eastAsia="Times New Roman" w:cs="Arial"/>
          <w:color w:val="000000"/>
          <w:szCs w:val="20"/>
          <w:vertAlign w:val="subscript"/>
          <w:lang w:eastAsia="bg-BG"/>
        </w:rPr>
        <w:t>1</w:t>
      </w:r>
      <w:r w:rsidRPr="00864288">
        <w:rPr>
          <w:rFonts w:eastAsia="Times New Roman" w:cs="Arial"/>
          <w:color w:val="000000"/>
          <w:szCs w:val="20"/>
          <w:lang w:eastAsia="bg-BG"/>
        </w:rPr>
        <w:t>) антагонист. Очаква се блокиране на цялостното действие на ангиотензин-</w:t>
      </w:r>
      <w:r w:rsidRPr="00864288">
        <w:rPr>
          <w:rFonts w:eastAsia="Times New Roman" w:cs="Arial"/>
          <w:color w:val="000000"/>
          <w:szCs w:val="20"/>
          <w:lang w:val="en-US"/>
        </w:rPr>
        <w:t>II</w:t>
      </w:r>
      <w:r w:rsidRPr="00864288">
        <w:rPr>
          <w:rFonts w:eastAsia="Times New Roman" w:cs="Arial"/>
          <w:color w:val="000000"/>
          <w:szCs w:val="20"/>
          <w:lang w:eastAsia="bg-BG"/>
        </w:rPr>
        <w:t xml:space="preserve"> медиираните от АТ</w:t>
      </w:r>
      <w:r w:rsidRPr="00864288">
        <w:rPr>
          <w:rFonts w:eastAsia="Times New Roman" w:cs="Arial"/>
          <w:color w:val="000000"/>
          <w:szCs w:val="20"/>
          <w:vertAlign w:val="subscript"/>
          <w:lang w:eastAsia="bg-BG"/>
        </w:rPr>
        <w:t>1</w:t>
      </w:r>
      <w:r w:rsidRPr="00864288">
        <w:rPr>
          <w:rFonts w:eastAsia="Times New Roman" w:cs="Arial"/>
          <w:color w:val="000000"/>
          <w:szCs w:val="20"/>
          <w:lang w:eastAsia="bg-BG"/>
        </w:rPr>
        <w:t xml:space="preserve"> рецептори, независимо от източника или пътя на синтез на ангиотензин-</w:t>
      </w:r>
      <w:r w:rsidRPr="00864288">
        <w:rPr>
          <w:rFonts w:eastAsia="Times New Roman" w:cs="Arial"/>
          <w:color w:val="000000"/>
          <w:szCs w:val="20"/>
          <w:lang w:val="en-US"/>
        </w:rPr>
        <w:t>II</w:t>
      </w:r>
      <w:r w:rsidRPr="00864288">
        <w:rPr>
          <w:rFonts w:eastAsia="Times New Roman" w:cs="Arial"/>
          <w:color w:val="000000"/>
          <w:szCs w:val="20"/>
          <w:lang w:eastAsia="bg-BG"/>
        </w:rPr>
        <w:t xml:space="preserve">. </w:t>
      </w:r>
      <w:r w:rsidRPr="00864288">
        <w:rPr>
          <w:rFonts w:eastAsia="Times New Roman" w:cs="Arial"/>
          <w:color w:val="000000"/>
          <w:szCs w:val="20"/>
          <w:lang w:eastAsia="bg-BG"/>
        </w:rPr>
        <w:lastRenderedPageBreak/>
        <w:t>Селективният антагонизъм спрямо ангиотензин-</w:t>
      </w:r>
      <w:r w:rsidRPr="00864288">
        <w:rPr>
          <w:rFonts w:eastAsia="Times New Roman" w:cs="Arial"/>
          <w:color w:val="000000"/>
          <w:szCs w:val="20"/>
          <w:lang w:val="en-US"/>
        </w:rPr>
        <w:t>II</w:t>
      </w:r>
      <w:r w:rsidRPr="00864288">
        <w:rPr>
          <w:rFonts w:eastAsia="Times New Roman" w:cs="Arial"/>
          <w:color w:val="000000"/>
          <w:szCs w:val="20"/>
          <w:lang w:eastAsia="bg-BG"/>
        </w:rPr>
        <w:t xml:space="preserve"> (АТ</w:t>
      </w:r>
      <w:r w:rsidRPr="00864288">
        <w:rPr>
          <w:rFonts w:eastAsia="Times New Roman" w:cs="Arial"/>
          <w:color w:val="000000"/>
          <w:szCs w:val="20"/>
          <w:vertAlign w:val="subscript"/>
          <w:lang w:eastAsia="bg-BG"/>
        </w:rPr>
        <w:t>1</w:t>
      </w:r>
      <w:r w:rsidRPr="00864288">
        <w:rPr>
          <w:rFonts w:eastAsia="Times New Roman" w:cs="Arial"/>
          <w:color w:val="000000"/>
          <w:szCs w:val="20"/>
          <w:lang w:eastAsia="bg-BG"/>
        </w:rPr>
        <w:t>) рецепторите води до повишаване на плазмените нива на ренин и ангиотензин-</w:t>
      </w:r>
      <w:r w:rsidRPr="00864288">
        <w:rPr>
          <w:rFonts w:eastAsia="Times New Roman" w:cs="Arial"/>
          <w:color w:val="000000"/>
          <w:szCs w:val="20"/>
          <w:lang w:val="en-US"/>
        </w:rPr>
        <w:t>II</w:t>
      </w:r>
      <w:r w:rsidRPr="00864288">
        <w:rPr>
          <w:rFonts w:eastAsia="Times New Roman" w:cs="Arial"/>
          <w:color w:val="000000"/>
          <w:szCs w:val="20"/>
          <w:lang w:eastAsia="bg-BG"/>
        </w:rPr>
        <w:t xml:space="preserve"> и понижаване на плазмената концентрация на алдостерон. Серумните нива на калий не се променят значително при самостоятелното приложение на ирбесартан и препоръчаните дози при пациенти без съществуващ риск от поява на нарушен електролитен баланс (вж. точки 4.4 и 4.5). Ирбесартан не инхибира АСЕ (киназа-</w:t>
      </w:r>
      <w:r w:rsidRPr="00864288">
        <w:rPr>
          <w:rFonts w:eastAsia="Times New Roman" w:cs="Arial"/>
          <w:color w:val="000000"/>
          <w:szCs w:val="20"/>
          <w:lang w:val="en-US"/>
        </w:rPr>
        <w:t>II</w:t>
      </w:r>
      <w:r w:rsidRPr="00864288">
        <w:rPr>
          <w:rFonts w:eastAsia="Times New Roman" w:cs="Arial"/>
          <w:color w:val="000000"/>
          <w:szCs w:val="20"/>
          <w:lang w:eastAsia="bg-BG"/>
        </w:rPr>
        <w:t>) - ензим, който генерира ангиотензин-</w:t>
      </w:r>
      <w:r w:rsidRPr="00864288">
        <w:rPr>
          <w:rFonts w:eastAsia="Times New Roman" w:cs="Arial"/>
          <w:color w:val="000000"/>
          <w:szCs w:val="20"/>
          <w:lang w:val="en-US"/>
        </w:rPr>
        <w:t>II</w:t>
      </w:r>
      <w:r w:rsidRPr="00864288">
        <w:rPr>
          <w:rFonts w:eastAsia="Times New Roman" w:cs="Arial"/>
          <w:color w:val="000000"/>
          <w:szCs w:val="20"/>
          <w:lang w:eastAsia="bg-BG"/>
        </w:rPr>
        <w:t xml:space="preserve"> и също разгражда брадикинина до неактивни метаболити. Ирбесартан не изисква метаболитно активиране за осъществяване на ефекта му.</w:t>
      </w:r>
    </w:p>
    <w:p w14:paraId="7E77C124" w14:textId="77777777" w:rsidR="00864288" w:rsidRPr="00864288" w:rsidRDefault="00864288" w:rsidP="00864288">
      <w:pPr>
        <w:rPr>
          <w:rFonts w:eastAsia="Times New Roman" w:cs="Arial"/>
          <w:color w:val="000000"/>
          <w:szCs w:val="20"/>
          <w:lang w:eastAsia="bg-BG"/>
        </w:rPr>
      </w:pPr>
    </w:p>
    <w:p w14:paraId="36F52398" w14:textId="61CEC450" w:rsidR="00864288" w:rsidRPr="00864288" w:rsidRDefault="00864288" w:rsidP="00864288">
      <w:pPr>
        <w:rPr>
          <w:rFonts w:eastAsia="Times New Roman" w:cs="Arial"/>
          <w:color w:val="000000"/>
          <w:szCs w:val="20"/>
          <w:lang w:eastAsia="bg-BG"/>
        </w:rPr>
      </w:pPr>
      <w:r w:rsidRPr="00864288">
        <w:rPr>
          <w:rFonts w:eastAsia="Times New Roman" w:cs="Arial"/>
          <w:color w:val="000000"/>
          <w:szCs w:val="20"/>
          <w:lang w:eastAsia="bg-BG"/>
        </w:rPr>
        <w:t>Хидрохлоротиазид е тиазиден диуретик. Механизмът на антихипертензивния ефект на тиазидните диуретици не е напълно известен. Тиазидите влияят върху бъбречните тубулни механизми на реабсорбция на електролитите, като директно увеличават екскретирането на натрий и хлориди в приблизително еквивалентни количества. Диуретичното действие на хидрохлоротиазид намалява плазмения обем, повишава активността на ренин в плазмата, засилва секрецията на алдостерон с последващо увеличено отделяне на калий и бикарбонати в урината и намалява серумната концентрация на калий. Вероятно чрез блокиране на системата ренин-ангиотензин-алдостерон.</w:t>
      </w:r>
    </w:p>
    <w:p w14:paraId="544E2068" w14:textId="543E0C79" w:rsidR="00864288" w:rsidRPr="00864288" w:rsidRDefault="00864288" w:rsidP="00864288">
      <w:pPr>
        <w:rPr>
          <w:rFonts w:eastAsia="Times New Roman" w:cs="Arial"/>
          <w:color w:val="000000"/>
          <w:szCs w:val="20"/>
          <w:lang w:eastAsia="bg-BG"/>
        </w:rPr>
      </w:pPr>
    </w:p>
    <w:p w14:paraId="5EE5941D" w14:textId="77777777" w:rsidR="00864288" w:rsidRPr="00864288" w:rsidRDefault="00864288" w:rsidP="00864288">
      <w:pPr>
        <w:spacing w:line="240" w:lineRule="auto"/>
        <w:rPr>
          <w:rFonts w:eastAsia="Times New Roman" w:cs="Arial"/>
          <w:sz w:val="28"/>
          <w:szCs w:val="24"/>
        </w:rPr>
      </w:pPr>
      <w:r w:rsidRPr="00864288">
        <w:rPr>
          <w:rFonts w:eastAsia="Times New Roman" w:cs="Arial"/>
          <w:color w:val="000000"/>
          <w:szCs w:val="20"/>
          <w:lang w:eastAsia="bg-BG"/>
        </w:rPr>
        <w:t xml:space="preserve">Ефикасността и безопасността на ирбесартан/хидрохлоротиазид като начална терапия при тежка хипертония (дефинирана при </w:t>
      </w:r>
      <w:proofErr w:type="spellStart"/>
      <w:r w:rsidRPr="00864288">
        <w:rPr>
          <w:rFonts w:eastAsia="Times New Roman" w:cs="Arial"/>
          <w:color w:val="000000"/>
          <w:szCs w:val="20"/>
          <w:lang w:val="en-US"/>
        </w:rPr>
        <w:t>SeDBP</w:t>
      </w:r>
      <w:proofErr w:type="spellEnd"/>
      <w:r w:rsidRPr="00864288">
        <w:rPr>
          <w:rFonts w:eastAsia="Times New Roman" w:cs="Arial"/>
          <w:color w:val="000000"/>
          <w:szCs w:val="20"/>
          <w:lang w:val="ru-RU"/>
        </w:rPr>
        <w:t xml:space="preserve"> </w:t>
      </w:r>
      <w:r w:rsidRPr="00864288">
        <w:rPr>
          <w:rFonts w:eastAsia="Times New Roman" w:cs="Arial"/>
          <w:color w:val="000000"/>
          <w:szCs w:val="20"/>
          <w:lang w:eastAsia="bg-BG"/>
        </w:rPr>
        <w:t xml:space="preserve">&gt;110 </w:t>
      </w:r>
      <w:r w:rsidRPr="00864288">
        <w:rPr>
          <w:rFonts w:eastAsia="Times New Roman" w:cs="Arial"/>
          <w:color w:val="000000"/>
          <w:szCs w:val="20"/>
          <w:lang w:val="en-US"/>
        </w:rPr>
        <w:t>mmHg</w:t>
      </w:r>
      <w:r w:rsidRPr="00864288">
        <w:rPr>
          <w:rFonts w:eastAsia="Times New Roman" w:cs="Arial"/>
          <w:color w:val="000000"/>
          <w:szCs w:val="20"/>
          <w:lang w:val="ru-RU"/>
        </w:rPr>
        <w:t xml:space="preserve">) </w:t>
      </w:r>
      <w:r w:rsidRPr="00864288">
        <w:rPr>
          <w:rFonts w:eastAsia="Times New Roman" w:cs="Arial"/>
          <w:color w:val="000000"/>
          <w:szCs w:val="20"/>
          <w:lang w:eastAsia="bg-BG"/>
        </w:rPr>
        <w:t xml:space="preserve">са оценени в многоцентрово, рандомизирано, двойно-сляпо, активно контролирано, 8-седмично изследване. Общо 697 пациенти са били рандомизирани в съотношение 2:1 на ирбесартан/хидрохлоротиазид 150 </w:t>
      </w:r>
      <w:r w:rsidRPr="00864288">
        <w:rPr>
          <w:rFonts w:eastAsia="Times New Roman" w:cs="Arial"/>
          <w:color w:val="000000"/>
          <w:szCs w:val="20"/>
          <w:lang w:val="en-US"/>
        </w:rPr>
        <w:t>mg</w:t>
      </w:r>
      <w:r w:rsidRPr="00864288">
        <w:rPr>
          <w:rFonts w:eastAsia="Times New Roman" w:cs="Arial"/>
          <w:color w:val="000000"/>
          <w:szCs w:val="20"/>
        </w:rPr>
        <w:t xml:space="preserve">/12,5 </w:t>
      </w:r>
      <w:r w:rsidRPr="00864288">
        <w:rPr>
          <w:rFonts w:eastAsia="Times New Roman" w:cs="Arial"/>
          <w:color w:val="000000"/>
          <w:szCs w:val="20"/>
          <w:lang w:val="en-US"/>
        </w:rPr>
        <w:t>mg</w:t>
      </w:r>
      <w:r w:rsidRPr="00864288">
        <w:rPr>
          <w:rFonts w:eastAsia="Times New Roman" w:cs="Arial"/>
          <w:color w:val="000000"/>
          <w:szCs w:val="20"/>
        </w:rPr>
        <w:t xml:space="preserve"> </w:t>
      </w:r>
      <w:r w:rsidRPr="00864288">
        <w:rPr>
          <w:rFonts w:eastAsia="Times New Roman" w:cs="Arial"/>
          <w:color w:val="000000"/>
          <w:szCs w:val="20"/>
          <w:lang w:eastAsia="bg-BG"/>
        </w:rPr>
        <w:t xml:space="preserve">и ирбесартан 150 </w:t>
      </w:r>
      <w:r w:rsidRPr="00864288">
        <w:rPr>
          <w:rFonts w:eastAsia="Times New Roman" w:cs="Arial"/>
          <w:color w:val="000000"/>
          <w:szCs w:val="20"/>
          <w:lang w:val="en-US"/>
        </w:rPr>
        <w:t>mg</w:t>
      </w:r>
      <w:r w:rsidRPr="00864288">
        <w:rPr>
          <w:rFonts w:eastAsia="Times New Roman" w:cs="Arial"/>
          <w:color w:val="000000"/>
          <w:szCs w:val="20"/>
        </w:rPr>
        <w:t xml:space="preserve"> </w:t>
      </w:r>
      <w:r w:rsidRPr="00864288">
        <w:rPr>
          <w:rFonts w:eastAsia="Times New Roman" w:cs="Arial"/>
          <w:color w:val="000000"/>
          <w:szCs w:val="20"/>
          <w:lang w:eastAsia="bg-BG"/>
        </w:rPr>
        <w:t xml:space="preserve">и систематично титрирани (преди да бъде оценен отговорът към по-ниската доза) след една седмица към ирбесартан/хидрохлортиазид 300 </w:t>
      </w:r>
      <w:r w:rsidRPr="00864288">
        <w:rPr>
          <w:rFonts w:eastAsia="Times New Roman" w:cs="Arial"/>
          <w:color w:val="000000"/>
          <w:szCs w:val="20"/>
          <w:lang w:val="en-US"/>
        </w:rPr>
        <w:t>mg</w:t>
      </w:r>
      <w:r w:rsidRPr="00864288">
        <w:rPr>
          <w:rFonts w:eastAsia="Times New Roman" w:cs="Arial"/>
          <w:color w:val="000000"/>
          <w:szCs w:val="20"/>
        </w:rPr>
        <w:t xml:space="preserve">/25 </w:t>
      </w:r>
      <w:r w:rsidRPr="00864288">
        <w:rPr>
          <w:rFonts w:eastAsia="Times New Roman" w:cs="Arial"/>
          <w:color w:val="000000"/>
          <w:szCs w:val="20"/>
          <w:lang w:val="en-US"/>
        </w:rPr>
        <w:t>mg</w:t>
      </w:r>
      <w:r w:rsidRPr="00864288">
        <w:rPr>
          <w:rFonts w:eastAsia="Times New Roman" w:cs="Arial"/>
          <w:color w:val="000000"/>
          <w:szCs w:val="20"/>
        </w:rPr>
        <w:t xml:space="preserve"> </w:t>
      </w:r>
      <w:r w:rsidRPr="00864288">
        <w:rPr>
          <w:rFonts w:eastAsia="Times New Roman" w:cs="Arial"/>
          <w:color w:val="000000"/>
          <w:szCs w:val="20"/>
          <w:lang w:eastAsia="bg-BG"/>
        </w:rPr>
        <w:t xml:space="preserve">или към ирбесартан 300 </w:t>
      </w:r>
      <w:r w:rsidRPr="00864288">
        <w:rPr>
          <w:rFonts w:eastAsia="Times New Roman" w:cs="Arial"/>
          <w:color w:val="000000"/>
          <w:szCs w:val="20"/>
          <w:lang w:val="en-US"/>
        </w:rPr>
        <w:t>mg</w:t>
      </w:r>
      <w:r w:rsidRPr="00864288">
        <w:rPr>
          <w:rFonts w:eastAsia="Times New Roman" w:cs="Arial"/>
          <w:color w:val="000000"/>
          <w:szCs w:val="20"/>
        </w:rPr>
        <w:t xml:space="preserve">, </w:t>
      </w:r>
      <w:r w:rsidRPr="00864288">
        <w:rPr>
          <w:rFonts w:eastAsia="Times New Roman" w:cs="Arial"/>
          <w:color w:val="000000"/>
          <w:szCs w:val="20"/>
          <w:lang w:eastAsia="bg-BG"/>
        </w:rPr>
        <w:t>съответно.</w:t>
      </w:r>
    </w:p>
    <w:p w14:paraId="6D67DAFA" w14:textId="77777777" w:rsidR="00864288" w:rsidRPr="00864288" w:rsidRDefault="00864288" w:rsidP="00864288">
      <w:pPr>
        <w:spacing w:line="240" w:lineRule="auto"/>
        <w:rPr>
          <w:rFonts w:eastAsia="Times New Roman" w:cs="Arial"/>
          <w:color w:val="000000"/>
          <w:szCs w:val="20"/>
          <w:lang w:eastAsia="bg-BG"/>
        </w:rPr>
      </w:pPr>
    </w:p>
    <w:p w14:paraId="28700596" w14:textId="477BA4A3" w:rsidR="00864288" w:rsidRPr="00864288" w:rsidRDefault="00864288" w:rsidP="00864288">
      <w:pPr>
        <w:spacing w:line="240" w:lineRule="auto"/>
        <w:rPr>
          <w:rFonts w:eastAsia="Times New Roman" w:cs="Arial"/>
          <w:sz w:val="28"/>
          <w:szCs w:val="24"/>
        </w:rPr>
      </w:pPr>
      <w:r w:rsidRPr="00864288">
        <w:rPr>
          <w:rFonts w:eastAsia="Times New Roman" w:cs="Arial"/>
          <w:color w:val="000000"/>
          <w:szCs w:val="20"/>
          <w:lang w:eastAsia="bg-BG"/>
        </w:rPr>
        <w:t xml:space="preserve">58% от пациентите в изследването са били от мъжки пол. Средната възраст на пациентите е била 52,5 години, 13% са били на възраст &gt; 65 години и едва 2% са били на възраст &gt; 75 години. Дванадесет процента </w:t>
      </w:r>
      <w:r w:rsidRPr="00864288">
        <w:rPr>
          <w:rFonts w:eastAsia="Times New Roman" w:cs="Arial"/>
          <w:i/>
          <w:iCs/>
          <w:color w:val="000000"/>
          <w:szCs w:val="20"/>
          <w:lang w:eastAsia="bg-BG"/>
        </w:rPr>
        <w:t>(12%)</w:t>
      </w:r>
      <w:r w:rsidRPr="00864288">
        <w:rPr>
          <w:rFonts w:eastAsia="Times New Roman" w:cs="Arial"/>
          <w:color w:val="000000"/>
          <w:szCs w:val="20"/>
          <w:lang w:eastAsia="bg-BG"/>
        </w:rPr>
        <w:t xml:space="preserve"> от пациентите са били диабетици, 34% са били с хилерлипидемия, а най-честото сърдечно-съдово състояние е била стабилна ангина пекторис при 3,5% от участниците.</w:t>
      </w:r>
    </w:p>
    <w:p w14:paraId="3044770D" w14:textId="77777777" w:rsidR="00864288" w:rsidRPr="00864288" w:rsidRDefault="00864288" w:rsidP="00864288">
      <w:pPr>
        <w:spacing w:line="240" w:lineRule="auto"/>
        <w:rPr>
          <w:rFonts w:eastAsia="Times New Roman" w:cs="Arial"/>
          <w:color w:val="000000"/>
          <w:szCs w:val="20"/>
          <w:lang w:eastAsia="bg-BG"/>
        </w:rPr>
      </w:pPr>
    </w:p>
    <w:p w14:paraId="6C93184B" w14:textId="444899E3" w:rsidR="00864288" w:rsidRPr="00864288" w:rsidRDefault="00864288" w:rsidP="00864288">
      <w:pPr>
        <w:spacing w:line="240" w:lineRule="auto"/>
        <w:rPr>
          <w:rFonts w:eastAsia="Times New Roman" w:cs="Arial"/>
          <w:sz w:val="28"/>
          <w:szCs w:val="24"/>
        </w:rPr>
      </w:pPr>
      <w:r w:rsidRPr="00864288">
        <w:rPr>
          <w:rFonts w:eastAsia="Times New Roman" w:cs="Arial"/>
          <w:color w:val="000000"/>
          <w:szCs w:val="20"/>
          <w:lang w:eastAsia="bg-BG"/>
        </w:rPr>
        <w:t xml:space="preserve">Основната цел на това изследване е била да се съпостави съотношението на пациентите, при които </w:t>
      </w:r>
      <w:proofErr w:type="spellStart"/>
      <w:r w:rsidRPr="00864288">
        <w:rPr>
          <w:rFonts w:eastAsia="Times New Roman" w:cs="Arial"/>
          <w:color w:val="000000"/>
          <w:szCs w:val="20"/>
          <w:lang w:val="en-US"/>
        </w:rPr>
        <w:t>SeDBP</w:t>
      </w:r>
      <w:proofErr w:type="spellEnd"/>
      <w:r w:rsidRPr="00864288">
        <w:rPr>
          <w:rFonts w:eastAsia="Times New Roman" w:cs="Arial"/>
          <w:color w:val="000000"/>
          <w:szCs w:val="20"/>
          <w:lang w:val="ru-RU"/>
        </w:rPr>
        <w:t xml:space="preserve"> </w:t>
      </w:r>
      <w:r w:rsidRPr="00864288">
        <w:rPr>
          <w:rFonts w:eastAsia="Times New Roman" w:cs="Arial"/>
          <w:color w:val="000000"/>
          <w:szCs w:val="20"/>
          <w:lang w:eastAsia="bg-BG"/>
        </w:rPr>
        <w:t xml:space="preserve">е било контролирано </w:t>
      </w:r>
      <w:r w:rsidRPr="00864288">
        <w:rPr>
          <w:rFonts w:eastAsia="Times New Roman" w:cs="Arial"/>
          <w:color w:val="000000"/>
          <w:szCs w:val="20"/>
          <w:lang w:val="ru-RU"/>
        </w:rPr>
        <w:t>(</w:t>
      </w:r>
      <w:proofErr w:type="spellStart"/>
      <w:r w:rsidRPr="00864288">
        <w:rPr>
          <w:rFonts w:eastAsia="Times New Roman" w:cs="Arial"/>
          <w:color w:val="000000"/>
          <w:szCs w:val="20"/>
          <w:lang w:val="en-US"/>
        </w:rPr>
        <w:t>SeDBP</w:t>
      </w:r>
      <w:proofErr w:type="spellEnd"/>
      <w:r w:rsidRPr="00864288">
        <w:rPr>
          <w:rFonts w:eastAsia="Times New Roman" w:cs="Arial"/>
          <w:color w:val="000000"/>
          <w:szCs w:val="20"/>
          <w:lang w:val="ru-RU"/>
        </w:rPr>
        <w:t xml:space="preserve"> &lt;90</w:t>
      </w:r>
      <w:r w:rsidRPr="00864288">
        <w:rPr>
          <w:rFonts w:eastAsia="Times New Roman" w:cs="Arial"/>
          <w:color w:val="000000"/>
          <w:szCs w:val="20"/>
          <w:lang w:val="en-US"/>
        </w:rPr>
        <w:t>mmHg</w:t>
      </w:r>
      <w:r w:rsidRPr="00864288">
        <w:rPr>
          <w:rFonts w:eastAsia="Times New Roman" w:cs="Arial"/>
          <w:color w:val="000000"/>
          <w:szCs w:val="20"/>
          <w:lang w:val="ru-RU"/>
        </w:rPr>
        <w:t xml:space="preserve">) </w:t>
      </w:r>
      <w:r w:rsidRPr="00864288">
        <w:rPr>
          <w:rFonts w:eastAsia="Times New Roman" w:cs="Arial"/>
          <w:color w:val="000000"/>
          <w:szCs w:val="20"/>
          <w:lang w:eastAsia="bg-BG"/>
        </w:rPr>
        <w:t xml:space="preserve">през 5-та седмица от лечението. Четиридесет и седем процента (47,2%) от пациентите, лекувани с комбинацията, са достигнали най-ниска стойност </w:t>
      </w:r>
      <w:proofErr w:type="spellStart"/>
      <w:r w:rsidRPr="00864288">
        <w:rPr>
          <w:rFonts w:eastAsia="Times New Roman" w:cs="Arial"/>
          <w:color w:val="000000"/>
          <w:szCs w:val="20"/>
          <w:lang w:val="en-US"/>
        </w:rPr>
        <w:t>SeDBP</w:t>
      </w:r>
      <w:proofErr w:type="spellEnd"/>
      <w:r w:rsidRPr="00864288">
        <w:rPr>
          <w:rFonts w:eastAsia="Times New Roman" w:cs="Arial"/>
          <w:color w:val="000000"/>
          <w:szCs w:val="20"/>
          <w:lang w:val="ru-RU"/>
        </w:rPr>
        <w:t xml:space="preserve"> &lt;90</w:t>
      </w:r>
      <w:r w:rsidRPr="00864288">
        <w:rPr>
          <w:rFonts w:eastAsia="Times New Roman" w:cs="Arial"/>
          <w:color w:val="000000"/>
          <w:szCs w:val="20"/>
          <w:lang w:val="en-US"/>
        </w:rPr>
        <w:t>mm</w:t>
      </w:r>
      <w:r w:rsidRPr="00864288">
        <w:rPr>
          <w:rFonts w:eastAsia="Times New Roman" w:cs="Arial"/>
          <w:color w:val="000000"/>
          <w:szCs w:val="20"/>
          <w:lang w:val="ru-RU"/>
        </w:rPr>
        <w:t xml:space="preserve"> </w:t>
      </w:r>
      <w:r w:rsidRPr="00864288">
        <w:rPr>
          <w:rFonts w:eastAsia="Times New Roman" w:cs="Arial"/>
          <w:color w:val="000000"/>
          <w:szCs w:val="20"/>
          <w:lang w:val="en-US"/>
        </w:rPr>
        <w:t>Hg</w:t>
      </w:r>
      <w:r w:rsidRPr="00864288">
        <w:rPr>
          <w:rFonts w:eastAsia="Times New Roman" w:cs="Arial"/>
          <w:color w:val="000000"/>
          <w:szCs w:val="20"/>
          <w:lang w:val="ru-RU"/>
        </w:rPr>
        <w:t xml:space="preserve">, </w:t>
      </w:r>
      <w:r w:rsidRPr="00864288">
        <w:rPr>
          <w:rFonts w:eastAsia="Times New Roman" w:cs="Arial"/>
          <w:color w:val="000000"/>
          <w:szCs w:val="20"/>
          <w:lang w:eastAsia="bg-BG"/>
        </w:rPr>
        <w:t xml:space="preserve">в сравнение с 33,2% от пациентите на ирбесартан (р - 0,0005). Средната стойност на кръвното налягане е била приблизително 172/113 </w:t>
      </w:r>
      <w:r w:rsidRPr="00864288">
        <w:rPr>
          <w:rFonts w:eastAsia="Times New Roman" w:cs="Arial"/>
          <w:color w:val="000000"/>
          <w:szCs w:val="20"/>
          <w:lang w:val="en-US"/>
        </w:rPr>
        <w:t>mm</w:t>
      </w:r>
      <w:r w:rsidRPr="00864288">
        <w:rPr>
          <w:rFonts w:eastAsia="Times New Roman" w:cs="Arial"/>
          <w:color w:val="000000"/>
          <w:szCs w:val="20"/>
          <w:lang w:val="ru-RU"/>
        </w:rPr>
        <w:t xml:space="preserve"> </w:t>
      </w:r>
      <w:r w:rsidRPr="00864288">
        <w:rPr>
          <w:rFonts w:eastAsia="Times New Roman" w:cs="Arial"/>
          <w:color w:val="000000"/>
          <w:szCs w:val="20"/>
          <w:lang w:val="en-US"/>
        </w:rPr>
        <w:t>Hg</w:t>
      </w:r>
      <w:r w:rsidRPr="00864288">
        <w:rPr>
          <w:rFonts w:eastAsia="Times New Roman" w:cs="Arial"/>
          <w:color w:val="000000"/>
          <w:szCs w:val="20"/>
          <w:lang w:val="ru-RU"/>
        </w:rPr>
        <w:t xml:space="preserve"> </w:t>
      </w:r>
      <w:r w:rsidRPr="00864288">
        <w:rPr>
          <w:rFonts w:eastAsia="Times New Roman" w:cs="Arial"/>
          <w:color w:val="000000"/>
          <w:szCs w:val="20"/>
          <w:lang w:eastAsia="bg-BG"/>
        </w:rPr>
        <w:t xml:space="preserve">при всяка от лекуваните групи, а намаляването на </w:t>
      </w:r>
      <w:proofErr w:type="spellStart"/>
      <w:r w:rsidRPr="00864288">
        <w:rPr>
          <w:rFonts w:eastAsia="Times New Roman" w:cs="Arial"/>
          <w:color w:val="000000"/>
          <w:szCs w:val="20"/>
          <w:lang w:val="en-US"/>
        </w:rPr>
        <w:t>SeSBP</w:t>
      </w:r>
      <w:proofErr w:type="spellEnd"/>
      <w:r w:rsidRPr="00864288">
        <w:rPr>
          <w:rFonts w:eastAsia="Times New Roman" w:cs="Arial"/>
          <w:color w:val="000000"/>
          <w:szCs w:val="20"/>
          <w:lang w:val="ru-RU"/>
        </w:rPr>
        <w:t>/</w:t>
      </w:r>
      <w:proofErr w:type="spellStart"/>
      <w:r w:rsidRPr="00864288">
        <w:rPr>
          <w:rFonts w:eastAsia="Times New Roman" w:cs="Arial"/>
          <w:color w:val="000000"/>
          <w:szCs w:val="20"/>
          <w:lang w:val="en-US"/>
        </w:rPr>
        <w:t>SeDBP</w:t>
      </w:r>
      <w:proofErr w:type="spellEnd"/>
      <w:r w:rsidRPr="00864288">
        <w:rPr>
          <w:rFonts w:eastAsia="Times New Roman" w:cs="Arial"/>
          <w:color w:val="000000"/>
          <w:szCs w:val="20"/>
          <w:lang w:val="ru-RU"/>
        </w:rPr>
        <w:t xml:space="preserve"> </w:t>
      </w:r>
      <w:r w:rsidRPr="00864288">
        <w:rPr>
          <w:rFonts w:eastAsia="Times New Roman" w:cs="Arial"/>
          <w:color w:val="000000"/>
          <w:szCs w:val="20"/>
          <w:lang w:eastAsia="bg-BG"/>
        </w:rPr>
        <w:t xml:space="preserve">през петата седмица е било съответно 30,8/24,0 </w:t>
      </w:r>
      <w:r w:rsidRPr="00864288">
        <w:rPr>
          <w:rFonts w:eastAsia="Times New Roman" w:cs="Arial"/>
          <w:color w:val="000000"/>
          <w:szCs w:val="20"/>
          <w:lang w:val="en-US"/>
        </w:rPr>
        <w:t>mm</w:t>
      </w:r>
      <w:r w:rsidRPr="00864288">
        <w:rPr>
          <w:rFonts w:eastAsia="Times New Roman" w:cs="Arial"/>
          <w:color w:val="000000"/>
          <w:szCs w:val="20"/>
          <w:lang w:val="ru-RU"/>
        </w:rPr>
        <w:t xml:space="preserve"> </w:t>
      </w:r>
      <w:r w:rsidRPr="00864288">
        <w:rPr>
          <w:rFonts w:eastAsia="Times New Roman" w:cs="Arial"/>
          <w:color w:val="000000"/>
          <w:szCs w:val="20"/>
          <w:lang w:val="en-US"/>
        </w:rPr>
        <w:t>Hg</w:t>
      </w:r>
      <w:r w:rsidRPr="00864288">
        <w:rPr>
          <w:rFonts w:eastAsia="Times New Roman" w:cs="Arial"/>
          <w:color w:val="000000"/>
          <w:szCs w:val="20"/>
          <w:lang w:val="ru-RU"/>
        </w:rPr>
        <w:t xml:space="preserve"> </w:t>
      </w:r>
      <w:r w:rsidRPr="00864288">
        <w:rPr>
          <w:rFonts w:eastAsia="Times New Roman" w:cs="Arial"/>
          <w:color w:val="000000"/>
          <w:szCs w:val="20"/>
          <w:lang w:eastAsia="bg-BG"/>
        </w:rPr>
        <w:t xml:space="preserve">и 21,1/19,3 </w:t>
      </w:r>
      <w:r w:rsidRPr="00864288">
        <w:rPr>
          <w:rFonts w:eastAsia="Times New Roman" w:cs="Arial"/>
          <w:color w:val="000000"/>
          <w:szCs w:val="20"/>
          <w:lang w:val="en-US"/>
        </w:rPr>
        <w:t>mm</w:t>
      </w:r>
      <w:r w:rsidRPr="00864288">
        <w:rPr>
          <w:rFonts w:eastAsia="Times New Roman" w:cs="Arial"/>
          <w:color w:val="000000"/>
          <w:szCs w:val="20"/>
          <w:lang w:val="ru-RU"/>
        </w:rPr>
        <w:t>-</w:t>
      </w:r>
      <w:r w:rsidRPr="00864288">
        <w:rPr>
          <w:rFonts w:eastAsia="Times New Roman" w:cs="Arial"/>
          <w:color w:val="000000"/>
          <w:szCs w:val="20"/>
          <w:lang w:val="en-US"/>
        </w:rPr>
        <w:t>Hg</w:t>
      </w:r>
      <w:r w:rsidRPr="00864288">
        <w:rPr>
          <w:rFonts w:eastAsia="Times New Roman" w:cs="Arial"/>
          <w:color w:val="000000"/>
          <w:szCs w:val="20"/>
          <w:lang w:val="ru-RU"/>
        </w:rPr>
        <w:t xml:space="preserve"> </w:t>
      </w:r>
      <w:r w:rsidRPr="00864288">
        <w:rPr>
          <w:rFonts w:eastAsia="Times New Roman" w:cs="Arial"/>
          <w:color w:val="000000"/>
          <w:szCs w:val="20"/>
          <w:lang w:eastAsia="bg-BG"/>
        </w:rPr>
        <w:t>за ирбесартан/хидрохлортиазид и ирбесартан (р &lt; 0,0001).</w:t>
      </w:r>
    </w:p>
    <w:p w14:paraId="5BA659A6" w14:textId="77777777" w:rsidR="00864288" w:rsidRPr="00864288" w:rsidRDefault="00864288" w:rsidP="00864288">
      <w:pPr>
        <w:rPr>
          <w:rFonts w:eastAsia="Times New Roman" w:cs="Arial"/>
          <w:color w:val="000000"/>
          <w:szCs w:val="20"/>
          <w:lang w:eastAsia="bg-BG"/>
        </w:rPr>
      </w:pPr>
    </w:p>
    <w:p w14:paraId="3EC4E3D4" w14:textId="77777777" w:rsidR="00864288" w:rsidRPr="00864288" w:rsidRDefault="00864288" w:rsidP="00864288">
      <w:pPr>
        <w:rPr>
          <w:rFonts w:eastAsia="Times New Roman" w:cs="Arial"/>
          <w:color w:val="000000"/>
          <w:szCs w:val="20"/>
          <w:lang w:eastAsia="bg-BG"/>
        </w:rPr>
      </w:pPr>
      <w:r w:rsidRPr="00864288">
        <w:rPr>
          <w:rFonts w:eastAsia="Times New Roman" w:cs="Arial"/>
          <w:color w:val="000000"/>
          <w:szCs w:val="20"/>
          <w:lang w:eastAsia="bg-BG"/>
        </w:rPr>
        <w:t xml:space="preserve">Съобщенията за вида и честотата на нежеланите реакции при пациенти, лекувани с комбинацията, са били подобни на профила на нежеланите реакции при пациенти на монотерапия. Няма съобщения за случаи на синкоп в някоя от групите през 8-седмичния лечебен период. Има съобщения за хипотония като нежелана реакция при 0,6% и 0% от пациентите и за замаяност при 2,8% и 3,1% съответно от групата с комбинирана терапия </w:t>
      </w:r>
      <w:r w:rsidRPr="00864288">
        <w:rPr>
          <w:rFonts w:eastAsia="Times New Roman" w:cs="Arial"/>
          <w:i/>
          <w:iCs/>
          <w:color w:val="000000"/>
          <w:szCs w:val="20"/>
          <w:lang w:eastAsia="bg-BG"/>
        </w:rPr>
        <w:t>и</w:t>
      </w:r>
      <w:r w:rsidRPr="00864288">
        <w:rPr>
          <w:rFonts w:eastAsia="Times New Roman" w:cs="Arial"/>
          <w:color w:val="000000"/>
          <w:szCs w:val="20"/>
          <w:lang w:eastAsia="bg-BG"/>
        </w:rPr>
        <w:t xml:space="preserve"> групата с монотерапия</w:t>
      </w:r>
    </w:p>
    <w:p w14:paraId="6B715DDD" w14:textId="17CA1644" w:rsidR="00864288" w:rsidRPr="00864288" w:rsidRDefault="00864288" w:rsidP="00864288">
      <w:r w:rsidRPr="00864288">
        <w:rPr>
          <w:rFonts w:ascii="Times New Roman" w:eastAsia="Times New Roman" w:hAnsi="Times New Roman" w:cs="Times New Roman"/>
          <w:color w:val="000000"/>
          <w:sz w:val="20"/>
          <w:szCs w:val="20"/>
          <w:lang w:eastAsia="bg-BG"/>
        </w:rPr>
        <w:t>.</w:t>
      </w:r>
    </w:p>
    <w:p w14:paraId="78DD93AA" w14:textId="31C8E189" w:rsidR="00B6672E" w:rsidRDefault="002C50EE" w:rsidP="00936AD0">
      <w:pPr>
        <w:pStyle w:val="Heading2"/>
      </w:pPr>
      <w:r>
        <w:lastRenderedPageBreak/>
        <w:t>5.2. Фармакокинетични свойства</w:t>
      </w:r>
    </w:p>
    <w:p w14:paraId="02810224" w14:textId="2A3BC97D" w:rsidR="00864288" w:rsidRDefault="00864288" w:rsidP="00864288"/>
    <w:p w14:paraId="0CADC968" w14:textId="77777777" w:rsidR="00864288" w:rsidRPr="00864288" w:rsidRDefault="00864288" w:rsidP="00864288">
      <w:pPr>
        <w:spacing w:line="240" w:lineRule="auto"/>
        <w:rPr>
          <w:rFonts w:eastAsia="Times New Roman" w:cs="Arial"/>
          <w:sz w:val="28"/>
          <w:szCs w:val="24"/>
        </w:rPr>
      </w:pPr>
      <w:r w:rsidRPr="00864288">
        <w:rPr>
          <w:rFonts w:eastAsia="Times New Roman" w:cs="Arial"/>
          <w:color w:val="000000"/>
          <w:szCs w:val="20"/>
          <w:lang w:eastAsia="bg-BG"/>
        </w:rPr>
        <w:t>Едновременният прием на хидрохлоротиазид и ирбесартан не влияе върху фармакокинетиката им.</w:t>
      </w:r>
    </w:p>
    <w:p w14:paraId="4189E2E3" w14:textId="77777777" w:rsidR="00864288" w:rsidRPr="00864288" w:rsidRDefault="00864288" w:rsidP="00864288">
      <w:pPr>
        <w:spacing w:line="240" w:lineRule="auto"/>
        <w:rPr>
          <w:rFonts w:eastAsia="Times New Roman" w:cs="Arial"/>
          <w:color w:val="000000"/>
          <w:szCs w:val="20"/>
          <w:lang w:eastAsia="bg-BG"/>
        </w:rPr>
      </w:pPr>
    </w:p>
    <w:p w14:paraId="021441AC" w14:textId="2C07C7D4" w:rsidR="00864288" w:rsidRPr="00864288" w:rsidRDefault="00864288" w:rsidP="00864288">
      <w:pPr>
        <w:spacing w:line="240" w:lineRule="auto"/>
        <w:rPr>
          <w:rFonts w:eastAsia="Times New Roman" w:cs="Arial"/>
          <w:sz w:val="28"/>
          <w:szCs w:val="24"/>
        </w:rPr>
      </w:pPr>
      <w:r w:rsidRPr="00864288">
        <w:rPr>
          <w:rFonts w:eastAsia="Times New Roman" w:cs="Arial"/>
          <w:color w:val="000000"/>
          <w:szCs w:val="20"/>
          <w:lang w:eastAsia="bg-BG"/>
        </w:rPr>
        <w:t>Ирбесартан и хидрохлоротиазид са активни при перорален прием и изявата на тяхната активност не изисква биотрансформации. След перорално приложение на ирбесартан/хидрохлоротиазид абсолютната перорална бионаличност показват стойности от порядъка на 60-80% и 50-80%, съответно за ирбесартан и хидрохлоротиазид. Едновременният прием на храна не променя значително бионаличността на Ирбесартан/Хидрохлоротиазид. Максимална плазмена концентрация се достига 1,5-2 часа след перорално приложение за ирбесартан и 1-2,5 часа за хидрохлоротиазид.</w:t>
      </w:r>
    </w:p>
    <w:p w14:paraId="4E9460FE" w14:textId="77777777" w:rsidR="00864288" w:rsidRPr="00864288" w:rsidRDefault="00864288" w:rsidP="00864288">
      <w:pPr>
        <w:spacing w:line="240" w:lineRule="auto"/>
        <w:rPr>
          <w:rFonts w:eastAsia="Times New Roman" w:cs="Arial"/>
          <w:color w:val="000000"/>
          <w:szCs w:val="20"/>
          <w:lang w:eastAsia="bg-BG"/>
        </w:rPr>
      </w:pPr>
    </w:p>
    <w:p w14:paraId="5E282160" w14:textId="61D1F442" w:rsidR="00864288" w:rsidRPr="00864288" w:rsidRDefault="00864288" w:rsidP="00864288">
      <w:pPr>
        <w:spacing w:line="240" w:lineRule="auto"/>
        <w:rPr>
          <w:rFonts w:eastAsia="Times New Roman" w:cs="Arial"/>
          <w:sz w:val="28"/>
          <w:szCs w:val="24"/>
        </w:rPr>
      </w:pPr>
      <w:r w:rsidRPr="00864288">
        <w:rPr>
          <w:rFonts w:eastAsia="Times New Roman" w:cs="Arial"/>
          <w:color w:val="000000"/>
          <w:szCs w:val="20"/>
          <w:lang w:eastAsia="bg-BG"/>
        </w:rPr>
        <w:t xml:space="preserve">Свързването на ирбесартан с плазмените протеини е около 96%, като свързването с кръвните клетъчни елементи е незначително. Обемът на разпределение на ирбесартан е 53-93 литра. Около 68% от хидрохлоротиазида е свързан с плазмените протеини, а видимият обем на разпределение е 0,83-1,14 </w:t>
      </w:r>
      <w:r w:rsidRPr="00864288">
        <w:rPr>
          <w:rFonts w:eastAsia="Times New Roman" w:cs="Arial"/>
          <w:color w:val="000000"/>
          <w:szCs w:val="20"/>
          <w:lang w:val="en-US"/>
        </w:rPr>
        <w:t>l</w:t>
      </w:r>
      <w:r w:rsidRPr="00864288">
        <w:rPr>
          <w:rFonts w:eastAsia="Times New Roman" w:cs="Arial"/>
          <w:color w:val="000000"/>
          <w:szCs w:val="20"/>
          <w:lang w:val="ru-RU"/>
        </w:rPr>
        <w:t>/</w:t>
      </w:r>
      <w:r w:rsidRPr="00864288">
        <w:rPr>
          <w:rFonts w:eastAsia="Times New Roman" w:cs="Arial"/>
          <w:color w:val="000000"/>
          <w:szCs w:val="20"/>
          <w:lang w:val="en-US"/>
        </w:rPr>
        <w:t>kg</w:t>
      </w:r>
      <w:r w:rsidRPr="00864288">
        <w:rPr>
          <w:rFonts w:eastAsia="Times New Roman" w:cs="Arial"/>
          <w:color w:val="000000"/>
          <w:szCs w:val="20"/>
          <w:lang w:val="ru-RU"/>
        </w:rPr>
        <w:t>.</w:t>
      </w:r>
    </w:p>
    <w:p w14:paraId="67751A2C" w14:textId="77777777" w:rsidR="00864288" w:rsidRPr="00864288" w:rsidRDefault="00864288" w:rsidP="00864288">
      <w:pPr>
        <w:spacing w:line="240" w:lineRule="auto"/>
        <w:rPr>
          <w:rFonts w:eastAsia="Times New Roman" w:cs="Arial"/>
          <w:color w:val="000000"/>
          <w:szCs w:val="20"/>
          <w:lang w:eastAsia="bg-BG"/>
        </w:rPr>
      </w:pPr>
    </w:p>
    <w:p w14:paraId="44953B11" w14:textId="2D59C206" w:rsidR="00864288" w:rsidRPr="00864288" w:rsidRDefault="00864288" w:rsidP="00864288">
      <w:pPr>
        <w:spacing w:line="240" w:lineRule="auto"/>
        <w:rPr>
          <w:rFonts w:eastAsia="Times New Roman" w:cs="Arial"/>
          <w:sz w:val="28"/>
          <w:szCs w:val="24"/>
        </w:rPr>
      </w:pPr>
      <w:r w:rsidRPr="00864288">
        <w:rPr>
          <w:rFonts w:eastAsia="Times New Roman" w:cs="Arial"/>
          <w:color w:val="000000"/>
          <w:szCs w:val="20"/>
          <w:lang w:eastAsia="bg-BG"/>
        </w:rPr>
        <w:t xml:space="preserve">Ирбесартан показва линейна и пропорционална на дозата фармакокинетика при дози от 10 до </w:t>
      </w:r>
      <w:r w:rsidRPr="00864288">
        <w:rPr>
          <w:rFonts w:eastAsia="Times New Roman" w:cs="Arial"/>
          <w:i/>
          <w:iCs/>
          <w:color w:val="000000"/>
          <w:szCs w:val="20"/>
          <w:lang w:eastAsia="bg-BG"/>
        </w:rPr>
        <w:t xml:space="preserve">600 </w:t>
      </w:r>
      <w:r w:rsidRPr="00864288">
        <w:rPr>
          <w:rFonts w:eastAsia="Times New Roman" w:cs="Arial"/>
          <w:color w:val="000000"/>
          <w:szCs w:val="20"/>
          <w:lang w:val="en-US"/>
        </w:rPr>
        <w:t>mg</w:t>
      </w:r>
      <w:r w:rsidRPr="00864288">
        <w:rPr>
          <w:rFonts w:eastAsia="Times New Roman" w:cs="Arial"/>
          <w:color w:val="000000"/>
          <w:szCs w:val="20"/>
          <w:lang w:val="ru-RU"/>
        </w:rPr>
        <w:t xml:space="preserve">. </w:t>
      </w:r>
      <w:r w:rsidRPr="00864288">
        <w:rPr>
          <w:rFonts w:eastAsia="Times New Roman" w:cs="Arial"/>
          <w:color w:val="000000"/>
          <w:szCs w:val="20"/>
          <w:lang w:eastAsia="bg-BG"/>
        </w:rPr>
        <w:t xml:space="preserve">При перорално приложение на доза, превишаваща 600 </w:t>
      </w:r>
      <w:r w:rsidRPr="00864288">
        <w:rPr>
          <w:rFonts w:eastAsia="Times New Roman" w:cs="Arial"/>
          <w:color w:val="000000"/>
          <w:szCs w:val="20"/>
          <w:lang w:val="en-US"/>
        </w:rPr>
        <w:t>mg</w:t>
      </w:r>
      <w:r w:rsidRPr="00864288">
        <w:rPr>
          <w:rFonts w:eastAsia="Times New Roman" w:cs="Arial"/>
          <w:color w:val="000000"/>
          <w:szCs w:val="20"/>
          <w:lang w:val="ru-RU"/>
        </w:rPr>
        <w:t xml:space="preserve">, </w:t>
      </w:r>
      <w:r w:rsidRPr="00864288">
        <w:rPr>
          <w:rFonts w:eastAsia="Times New Roman" w:cs="Arial"/>
          <w:color w:val="000000"/>
          <w:szCs w:val="20"/>
          <w:lang w:eastAsia="bg-BG"/>
        </w:rPr>
        <w:t xml:space="preserve">е наблюдавана по-малка от пропорционалната абсорбция: механизмът на това не е изяснен. Общият телесен и бъбречен клирънс е съответно 157-176 и 3-3,5 </w:t>
      </w:r>
      <w:r w:rsidRPr="00864288">
        <w:rPr>
          <w:rFonts w:eastAsia="Times New Roman" w:cs="Arial"/>
          <w:color w:val="000000"/>
          <w:szCs w:val="20"/>
          <w:lang w:val="en-US"/>
        </w:rPr>
        <w:t>ml</w:t>
      </w:r>
      <w:r w:rsidRPr="00864288">
        <w:rPr>
          <w:rFonts w:eastAsia="Times New Roman" w:cs="Arial"/>
          <w:color w:val="000000"/>
          <w:szCs w:val="20"/>
          <w:lang w:val="ru-RU"/>
        </w:rPr>
        <w:t>/</w:t>
      </w:r>
      <w:r w:rsidRPr="00864288">
        <w:rPr>
          <w:rFonts w:eastAsia="Times New Roman" w:cs="Arial"/>
          <w:color w:val="000000"/>
          <w:szCs w:val="20"/>
          <w:lang w:val="en-US"/>
        </w:rPr>
        <w:t>min</w:t>
      </w:r>
      <w:r w:rsidRPr="00864288">
        <w:rPr>
          <w:rFonts w:eastAsia="Times New Roman" w:cs="Arial"/>
          <w:color w:val="000000"/>
          <w:szCs w:val="20"/>
          <w:lang w:val="ru-RU"/>
        </w:rPr>
        <w:t xml:space="preserve">. </w:t>
      </w:r>
      <w:r w:rsidRPr="00864288">
        <w:rPr>
          <w:rFonts w:eastAsia="Times New Roman" w:cs="Arial"/>
          <w:color w:val="000000"/>
          <w:szCs w:val="20"/>
          <w:lang w:eastAsia="bg-BG"/>
        </w:rPr>
        <w:t xml:space="preserve">Терминалният елиминационен полуживот на ирбесартан е 11-15 часа. Стационарни плазмени концентрации се постигат в рамките на 3 дни след започване на лечението с еднократен дневен прием. При многократно приложение на дози, приемани веднъж дневно, е наблюдавано ограничено акумулиране на ирбесартан (&lt; 20%). В проучване са наблюдавани в известна степен по-високи плазмени концентрации на ирбесартан при жени с хипертония. Въпреки това не са наблюдавани различия по отношение на елиминационният полуживот и акумулирането на ирбесартан. Не е необходима промяна на дозата при пациентите от женски пол. Стойностите на </w:t>
      </w:r>
      <w:r w:rsidRPr="00864288">
        <w:rPr>
          <w:rFonts w:eastAsia="Times New Roman" w:cs="Arial"/>
          <w:color w:val="000000"/>
          <w:szCs w:val="20"/>
          <w:lang w:val="en-US"/>
        </w:rPr>
        <w:t>AUC</w:t>
      </w:r>
      <w:r w:rsidRPr="00864288">
        <w:rPr>
          <w:rFonts w:eastAsia="Times New Roman" w:cs="Arial"/>
          <w:color w:val="000000"/>
          <w:szCs w:val="20"/>
          <w:lang w:val="ru-RU"/>
        </w:rPr>
        <w:t xml:space="preserve"> </w:t>
      </w:r>
      <w:r w:rsidRPr="00864288">
        <w:rPr>
          <w:rFonts w:eastAsia="Times New Roman" w:cs="Arial"/>
          <w:color w:val="000000"/>
          <w:szCs w:val="20"/>
          <w:lang w:eastAsia="bg-BG"/>
        </w:rPr>
        <w:t>и С</w:t>
      </w:r>
      <w:r w:rsidRPr="00864288">
        <w:rPr>
          <w:rFonts w:eastAsia="Times New Roman" w:cs="Arial"/>
          <w:color w:val="000000"/>
          <w:szCs w:val="20"/>
          <w:lang w:val="en-US"/>
        </w:rPr>
        <w:t>max</w:t>
      </w:r>
      <w:r w:rsidRPr="00864288">
        <w:rPr>
          <w:rFonts w:eastAsia="Times New Roman" w:cs="Arial"/>
          <w:color w:val="000000"/>
          <w:szCs w:val="20"/>
          <w:lang w:eastAsia="bg-BG"/>
        </w:rPr>
        <w:t xml:space="preserve"> на ирбесартан също са по-високи в известна степен при пациентите в </w:t>
      </w:r>
      <w:r w:rsidRPr="00864288">
        <w:rPr>
          <w:rFonts w:eastAsia="Times New Roman" w:cs="Arial"/>
          <w:i/>
          <w:iCs/>
          <w:color w:val="000000"/>
          <w:szCs w:val="20"/>
          <w:lang w:eastAsia="bg-BG"/>
        </w:rPr>
        <w:t>старческа възраст (&gt; 65 години), в</w:t>
      </w:r>
      <w:r w:rsidRPr="00864288">
        <w:rPr>
          <w:rFonts w:eastAsia="Times New Roman" w:cs="Arial"/>
          <w:color w:val="000000"/>
          <w:szCs w:val="20"/>
          <w:lang w:eastAsia="bg-BG"/>
        </w:rPr>
        <w:t xml:space="preserve"> сравнение </w:t>
      </w:r>
      <w:r w:rsidRPr="00864288">
        <w:rPr>
          <w:rFonts w:eastAsia="Times New Roman" w:cs="Arial"/>
          <w:i/>
          <w:iCs/>
          <w:color w:val="000000"/>
          <w:szCs w:val="20"/>
          <w:lang w:eastAsia="bg-BG"/>
        </w:rPr>
        <w:t>с</w:t>
      </w:r>
      <w:r w:rsidRPr="00864288">
        <w:rPr>
          <w:rFonts w:eastAsia="Times New Roman" w:cs="Arial"/>
          <w:color w:val="000000"/>
          <w:szCs w:val="20"/>
          <w:lang w:eastAsia="bg-BG"/>
        </w:rPr>
        <w:t xml:space="preserve"> младите индивиди (18-40 години).</w:t>
      </w:r>
    </w:p>
    <w:p w14:paraId="52AD92E8" w14:textId="1279FA74" w:rsidR="00864288" w:rsidRPr="00864288" w:rsidRDefault="00864288" w:rsidP="00864288">
      <w:pPr>
        <w:rPr>
          <w:rFonts w:cs="Arial"/>
          <w:sz w:val="24"/>
        </w:rPr>
      </w:pPr>
    </w:p>
    <w:p w14:paraId="54B8DBE5" w14:textId="77777777" w:rsidR="00864288" w:rsidRPr="00864288" w:rsidRDefault="00864288" w:rsidP="00864288">
      <w:pPr>
        <w:spacing w:line="240" w:lineRule="auto"/>
        <w:rPr>
          <w:rFonts w:eastAsia="Times New Roman" w:cs="Arial"/>
          <w:sz w:val="28"/>
          <w:szCs w:val="24"/>
        </w:rPr>
      </w:pPr>
      <w:r w:rsidRPr="00864288">
        <w:rPr>
          <w:rFonts w:eastAsia="Times New Roman" w:cs="Arial"/>
          <w:color w:val="000000"/>
          <w:szCs w:val="20"/>
          <w:lang w:eastAsia="bg-BG"/>
        </w:rPr>
        <w:t>Въпреки това крайният елиминационен полуживот не е променен значително. Не е необходима промяна на дозата при пациентите в старческа възраст. Средното време на полуелиминиране от плазмата варира между 5-15 часа.</w:t>
      </w:r>
    </w:p>
    <w:p w14:paraId="53585B04" w14:textId="77777777" w:rsidR="00864288" w:rsidRPr="00864288" w:rsidRDefault="00864288" w:rsidP="00864288">
      <w:pPr>
        <w:spacing w:line="240" w:lineRule="auto"/>
        <w:rPr>
          <w:rFonts w:eastAsia="Times New Roman" w:cs="Arial"/>
          <w:color w:val="000000"/>
          <w:szCs w:val="20"/>
          <w:lang w:eastAsia="bg-BG"/>
        </w:rPr>
      </w:pPr>
    </w:p>
    <w:p w14:paraId="52D8B994" w14:textId="668D3C8A" w:rsidR="00864288" w:rsidRPr="00864288" w:rsidRDefault="00864288" w:rsidP="00864288">
      <w:pPr>
        <w:spacing w:line="240" w:lineRule="auto"/>
        <w:rPr>
          <w:rFonts w:eastAsia="Times New Roman" w:cs="Arial"/>
          <w:sz w:val="28"/>
          <w:szCs w:val="24"/>
        </w:rPr>
      </w:pPr>
      <w:r w:rsidRPr="00864288">
        <w:rPr>
          <w:rFonts w:eastAsia="Times New Roman" w:cs="Arial"/>
          <w:color w:val="000000"/>
          <w:szCs w:val="20"/>
          <w:lang w:eastAsia="bg-BG"/>
        </w:rPr>
        <w:t>След перорално или интравенозно приложение на С</w:t>
      </w:r>
      <w:r w:rsidRPr="00864288">
        <w:rPr>
          <w:rFonts w:eastAsia="Times New Roman" w:cs="Arial"/>
          <w:color w:val="000000"/>
          <w:szCs w:val="20"/>
          <w:vertAlign w:val="superscript"/>
          <w:lang w:eastAsia="bg-BG"/>
        </w:rPr>
        <w:t>14</w:t>
      </w:r>
      <w:r w:rsidRPr="00864288">
        <w:rPr>
          <w:rFonts w:eastAsia="Times New Roman" w:cs="Arial"/>
          <w:color w:val="000000"/>
          <w:szCs w:val="20"/>
          <w:lang w:eastAsia="bg-BG"/>
        </w:rPr>
        <w:t xml:space="preserve"> ирбесартан, 80-85% от радиоактивността и плазмата се отдава на непроменения ирбесартан. Ирбесартан се метаболизира в черния дроб чрез конюгиране с глюкурониди и окисляване. Главният циркулиращ метаболит е ирбесартан глкжуронид (около 6%). Изследванията </w:t>
      </w:r>
      <w:r w:rsidRPr="00864288">
        <w:rPr>
          <w:rFonts w:eastAsia="Times New Roman" w:cs="Arial"/>
          <w:i/>
          <w:iCs/>
          <w:color w:val="000000"/>
          <w:szCs w:val="20"/>
          <w:lang w:val="en-US"/>
        </w:rPr>
        <w:t>in</w:t>
      </w:r>
      <w:r w:rsidRPr="00864288">
        <w:rPr>
          <w:rFonts w:eastAsia="Times New Roman" w:cs="Arial"/>
          <w:i/>
          <w:iCs/>
          <w:color w:val="000000"/>
          <w:szCs w:val="20"/>
        </w:rPr>
        <w:t xml:space="preserve"> </w:t>
      </w:r>
      <w:r w:rsidRPr="00864288">
        <w:rPr>
          <w:rFonts w:eastAsia="Times New Roman" w:cs="Arial"/>
          <w:i/>
          <w:iCs/>
          <w:color w:val="000000"/>
          <w:szCs w:val="20"/>
          <w:lang w:val="en-US"/>
        </w:rPr>
        <w:t>vitro</w:t>
      </w:r>
      <w:r w:rsidRPr="00864288">
        <w:rPr>
          <w:rFonts w:eastAsia="Times New Roman" w:cs="Arial"/>
          <w:color w:val="000000"/>
          <w:szCs w:val="20"/>
        </w:rPr>
        <w:t xml:space="preserve"> </w:t>
      </w:r>
      <w:r w:rsidRPr="00864288">
        <w:rPr>
          <w:rFonts w:eastAsia="Times New Roman" w:cs="Arial"/>
          <w:color w:val="000000"/>
          <w:szCs w:val="20"/>
          <w:lang w:eastAsia="bg-BG"/>
        </w:rPr>
        <w:t xml:space="preserve">са показали, че ирбесартан се окислява основно от цитохром Р450 ензима </w:t>
      </w:r>
      <w:r w:rsidRPr="00864288">
        <w:rPr>
          <w:rFonts w:eastAsia="Times New Roman" w:cs="Arial"/>
          <w:color w:val="000000"/>
          <w:szCs w:val="20"/>
          <w:lang w:val="en-US"/>
        </w:rPr>
        <w:t>CYP</w:t>
      </w:r>
      <w:r w:rsidRPr="00864288">
        <w:rPr>
          <w:rFonts w:eastAsia="Times New Roman" w:cs="Arial"/>
          <w:color w:val="000000"/>
          <w:szCs w:val="20"/>
        </w:rPr>
        <w:t>2</w:t>
      </w:r>
      <w:r w:rsidRPr="00864288">
        <w:rPr>
          <w:rFonts w:eastAsia="Times New Roman" w:cs="Arial"/>
          <w:color w:val="000000"/>
          <w:szCs w:val="20"/>
          <w:lang w:val="en-US"/>
        </w:rPr>
        <w:t>C</w:t>
      </w:r>
      <w:r w:rsidRPr="00864288">
        <w:rPr>
          <w:rFonts w:eastAsia="Times New Roman" w:cs="Arial"/>
          <w:color w:val="000000"/>
          <w:szCs w:val="20"/>
        </w:rPr>
        <w:t xml:space="preserve">9; </w:t>
      </w:r>
      <w:r w:rsidRPr="00864288">
        <w:rPr>
          <w:rFonts w:eastAsia="Times New Roman" w:cs="Arial"/>
          <w:color w:val="000000"/>
          <w:szCs w:val="20"/>
          <w:lang w:eastAsia="bg-BG"/>
        </w:rPr>
        <w:t xml:space="preserve">изоензимът </w:t>
      </w:r>
      <w:r w:rsidRPr="00864288">
        <w:rPr>
          <w:rFonts w:eastAsia="Times New Roman" w:cs="Arial"/>
          <w:color w:val="000000"/>
          <w:szCs w:val="20"/>
          <w:lang w:val="en-US"/>
        </w:rPr>
        <w:t>CYP</w:t>
      </w:r>
      <w:r w:rsidRPr="00864288">
        <w:rPr>
          <w:rFonts w:eastAsia="Times New Roman" w:cs="Arial"/>
          <w:color w:val="000000"/>
          <w:szCs w:val="20"/>
        </w:rPr>
        <w:t>3</w:t>
      </w:r>
      <w:r w:rsidRPr="00864288">
        <w:rPr>
          <w:rFonts w:eastAsia="Times New Roman" w:cs="Arial"/>
          <w:color w:val="000000"/>
          <w:szCs w:val="20"/>
          <w:lang w:val="en-US"/>
        </w:rPr>
        <w:t>A</w:t>
      </w:r>
      <w:r w:rsidRPr="00864288">
        <w:rPr>
          <w:rFonts w:eastAsia="Times New Roman" w:cs="Arial"/>
          <w:color w:val="000000"/>
          <w:szCs w:val="20"/>
        </w:rPr>
        <w:t xml:space="preserve">4 </w:t>
      </w:r>
      <w:r w:rsidRPr="00864288">
        <w:rPr>
          <w:rFonts w:eastAsia="Times New Roman" w:cs="Arial"/>
          <w:color w:val="000000"/>
          <w:szCs w:val="20"/>
          <w:lang w:eastAsia="bg-BG"/>
        </w:rPr>
        <w:t>има минимален ефект. Ирбесартан и метаболитите му се елиминират чрез жлъчката и бъбреците. След перорално или интравенозно приложение на С</w:t>
      </w:r>
      <w:r w:rsidRPr="00864288">
        <w:rPr>
          <w:rFonts w:eastAsia="Times New Roman" w:cs="Arial"/>
          <w:color w:val="000000"/>
          <w:szCs w:val="20"/>
          <w:vertAlign w:val="superscript"/>
          <w:lang w:eastAsia="bg-BG"/>
        </w:rPr>
        <w:t>14</w:t>
      </w:r>
      <w:r w:rsidRPr="00864288">
        <w:rPr>
          <w:rFonts w:eastAsia="Times New Roman" w:cs="Arial"/>
          <w:color w:val="000000"/>
          <w:szCs w:val="20"/>
          <w:lang w:eastAsia="bg-BG"/>
        </w:rPr>
        <w:t xml:space="preserve"> ирбесартан, около 20% от радиоактивния препарат се установява в урината, а останалата част - във фекалиите. По-малко от 2% от дозата се екскретира в урината като непроменен ирбесартан. Хидрохлоротиазид не се метаболизира, а бързо се елиминира чрез бъбреците. Най-малко 61% от пероралната доза се елиминира в непроменен вид за период от 24 часа. Хидрохлоротиазид преминава през плацентата, но не преминава кръвно-мозъчната бариера и се екскретира в кърмата.</w:t>
      </w:r>
    </w:p>
    <w:p w14:paraId="7DCF3219" w14:textId="77777777" w:rsidR="00864288" w:rsidRPr="00864288" w:rsidRDefault="00864288" w:rsidP="00864288">
      <w:pPr>
        <w:spacing w:line="240" w:lineRule="auto"/>
        <w:rPr>
          <w:rFonts w:eastAsia="Times New Roman" w:cs="Arial"/>
          <w:color w:val="000000"/>
          <w:szCs w:val="20"/>
          <w:u w:val="single"/>
          <w:lang w:eastAsia="bg-BG"/>
        </w:rPr>
      </w:pPr>
    </w:p>
    <w:p w14:paraId="5F54575A" w14:textId="7FA87CF8" w:rsidR="00864288" w:rsidRPr="00864288" w:rsidRDefault="00864288" w:rsidP="00864288">
      <w:pPr>
        <w:spacing w:line="240" w:lineRule="auto"/>
        <w:rPr>
          <w:rFonts w:eastAsia="Times New Roman" w:cs="Arial"/>
          <w:sz w:val="28"/>
          <w:szCs w:val="24"/>
        </w:rPr>
      </w:pPr>
      <w:r w:rsidRPr="00864288">
        <w:rPr>
          <w:rFonts w:eastAsia="Times New Roman" w:cs="Arial"/>
          <w:color w:val="000000"/>
          <w:szCs w:val="20"/>
          <w:u w:val="single"/>
          <w:lang w:eastAsia="bg-BG"/>
        </w:rPr>
        <w:t>Бъбречна недостатъчност,</w:t>
      </w:r>
      <w:r w:rsidRPr="00864288">
        <w:rPr>
          <w:rFonts w:eastAsia="Times New Roman" w:cs="Arial"/>
          <w:color w:val="000000"/>
          <w:szCs w:val="20"/>
          <w:lang w:eastAsia="bg-BG"/>
        </w:rPr>
        <w:t xml:space="preserve"> при пациенти с бъбречна недостатъчност или такива на хемодиализа, фармакокинетичните параметри на ирбесартан не са променени значително. Ирбесартан не се отстранява чрез хемодиализа. При пациенти с креатининов клирънс &lt; 20 </w:t>
      </w:r>
      <w:r w:rsidRPr="00864288">
        <w:rPr>
          <w:rFonts w:eastAsia="Times New Roman" w:cs="Arial"/>
          <w:color w:val="000000"/>
          <w:szCs w:val="20"/>
          <w:lang w:val="en-US"/>
        </w:rPr>
        <w:t>ml</w:t>
      </w:r>
      <w:r w:rsidRPr="00864288">
        <w:rPr>
          <w:rFonts w:eastAsia="Times New Roman" w:cs="Arial"/>
          <w:color w:val="000000"/>
          <w:szCs w:val="20"/>
          <w:lang w:val="ru-RU"/>
        </w:rPr>
        <w:t>/</w:t>
      </w:r>
      <w:r w:rsidRPr="00864288">
        <w:rPr>
          <w:rFonts w:eastAsia="Times New Roman" w:cs="Arial"/>
          <w:color w:val="000000"/>
          <w:szCs w:val="20"/>
          <w:lang w:val="en-US"/>
        </w:rPr>
        <w:t>min</w:t>
      </w:r>
      <w:r w:rsidRPr="00864288">
        <w:rPr>
          <w:rFonts w:eastAsia="Times New Roman" w:cs="Arial"/>
          <w:color w:val="000000"/>
          <w:szCs w:val="20"/>
          <w:lang w:val="ru-RU"/>
        </w:rPr>
        <w:t xml:space="preserve"> </w:t>
      </w:r>
      <w:r w:rsidRPr="00864288">
        <w:rPr>
          <w:rFonts w:eastAsia="Times New Roman" w:cs="Arial"/>
          <w:color w:val="000000"/>
          <w:szCs w:val="20"/>
          <w:lang w:eastAsia="bg-BG"/>
        </w:rPr>
        <w:t>се съобщава, че времето на полуелиминиране на Хидрохлоротиазид се удължава до 21 часа.</w:t>
      </w:r>
    </w:p>
    <w:p w14:paraId="77EC009C" w14:textId="77777777" w:rsidR="00864288" w:rsidRPr="00864288" w:rsidRDefault="00864288" w:rsidP="00864288">
      <w:pPr>
        <w:spacing w:line="240" w:lineRule="auto"/>
        <w:rPr>
          <w:rFonts w:eastAsia="Times New Roman" w:cs="Arial"/>
          <w:color w:val="000000"/>
          <w:szCs w:val="20"/>
          <w:u w:val="single"/>
          <w:lang w:eastAsia="bg-BG"/>
        </w:rPr>
      </w:pPr>
    </w:p>
    <w:p w14:paraId="41A809D0" w14:textId="10C1DA9A" w:rsidR="00864288" w:rsidRPr="00864288" w:rsidRDefault="00864288" w:rsidP="00864288">
      <w:pPr>
        <w:spacing w:line="240" w:lineRule="auto"/>
        <w:rPr>
          <w:rFonts w:eastAsia="Times New Roman" w:cs="Arial"/>
          <w:sz w:val="28"/>
          <w:szCs w:val="24"/>
        </w:rPr>
      </w:pPr>
      <w:r w:rsidRPr="00864288">
        <w:rPr>
          <w:rFonts w:eastAsia="Times New Roman" w:cs="Arial"/>
          <w:color w:val="000000"/>
          <w:szCs w:val="20"/>
          <w:u w:val="single"/>
          <w:lang w:eastAsia="bg-BG"/>
        </w:rPr>
        <w:t>Чернодробна недостатъчност:</w:t>
      </w:r>
      <w:r w:rsidRPr="00864288">
        <w:rPr>
          <w:rFonts w:eastAsia="Times New Roman" w:cs="Arial"/>
          <w:color w:val="000000"/>
          <w:szCs w:val="20"/>
          <w:lang w:eastAsia="bg-BG"/>
        </w:rPr>
        <w:t xml:space="preserve"> при пациентите с лека до умерена цироза фармакокинетичните параметри на ирбесартан не са променени значително. Не са провеждани проучвания при пациенти с тежко чернодробно нарушение.</w:t>
      </w:r>
    </w:p>
    <w:p w14:paraId="7B7B2407" w14:textId="3E222444" w:rsidR="00864288" w:rsidRPr="00864288" w:rsidRDefault="00864288" w:rsidP="00864288"/>
    <w:p w14:paraId="4FB791BE" w14:textId="694D4DEA" w:rsidR="00B6672E" w:rsidRDefault="002C50EE" w:rsidP="00936AD0">
      <w:pPr>
        <w:pStyle w:val="Heading2"/>
      </w:pPr>
      <w:r>
        <w:t>5.3. Предклинични данни за безопасност</w:t>
      </w:r>
    </w:p>
    <w:p w14:paraId="55B2FB13" w14:textId="4E56E56A" w:rsidR="00864288" w:rsidRDefault="00864288" w:rsidP="00864288"/>
    <w:p w14:paraId="7DF317F6" w14:textId="2379A851" w:rsidR="00864288" w:rsidRPr="00864288" w:rsidRDefault="00864288" w:rsidP="00864288">
      <w:pPr>
        <w:spacing w:line="240" w:lineRule="auto"/>
        <w:rPr>
          <w:rFonts w:eastAsia="Times New Roman" w:cs="Arial"/>
          <w:color w:val="000000"/>
          <w:szCs w:val="20"/>
          <w:lang w:eastAsia="bg-BG"/>
        </w:rPr>
      </w:pPr>
      <w:r w:rsidRPr="00864288">
        <w:rPr>
          <w:rFonts w:eastAsia="Times New Roman" w:cs="Arial"/>
          <w:i/>
          <w:iCs/>
          <w:color w:val="000000"/>
          <w:szCs w:val="20"/>
          <w:lang w:eastAsia="bg-BG"/>
        </w:rPr>
        <w:t>Ирбесартан/хидрохлоротиазид:</w:t>
      </w:r>
      <w:r w:rsidRPr="00864288">
        <w:rPr>
          <w:rFonts w:eastAsia="Times New Roman" w:cs="Arial"/>
          <w:color w:val="000000"/>
          <w:szCs w:val="20"/>
          <w:lang w:eastAsia="bg-BG"/>
        </w:rPr>
        <w:t xml:space="preserve"> проведени са клинични проучвания, целящи определянето на потенциалната токсичност на комбинацията ирбесартан/хидрохлоротиазид, приложена перорално при плъхове и макаци в продължение на 6 месеца. Не са установени токсикологични находки с клинично значение по отношение на употребата на хора. Описаните по-долу промени, наблюдавани при плъхове и макаци, които са получавали ирбесартан/хидрохлоротиазид в дози 10/10 и 90/90 </w:t>
      </w:r>
      <w:r w:rsidRPr="00864288">
        <w:rPr>
          <w:rFonts w:eastAsia="Times New Roman" w:cs="Arial"/>
          <w:color w:val="000000"/>
          <w:szCs w:val="20"/>
          <w:lang w:val="en-US"/>
        </w:rPr>
        <w:t>mg</w:t>
      </w:r>
      <w:r w:rsidRPr="00864288">
        <w:rPr>
          <w:rFonts w:eastAsia="Times New Roman" w:cs="Arial"/>
          <w:color w:val="000000"/>
          <w:szCs w:val="20"/>
          <w:lang w:val="ru-RU"/>
        </w:rPr>
        <w:t>/</w:t>
      </w:r>
      <w:r w:rsidRPr="00864288">
        <w:rPr>
          <w:rFonts w:eastAsia="Times New Roman" w:cs="Arial"/>
          <w:color w:val="000000"/>
          <w:szCs w:val="20"/>
          <w:lang w:val="en-US"/>
        </w:rPr>
        <w:t>kg</w:t>
      </w:r>
      <w:r w:rsidRPr="00864288">
        <w:rPr>
          <w:rFonts w:eastAsia="Times New Roman" w:cs="Arial"/>
          <w:color w:val="000000"/>
          <w:szCs w:val="20"/>
          <w:lang w:val="ru-RU"/>
        </w:rPr>
        <w:t xml:space="preserve"> </w:t>
      </w:r>
      <w:r w:rsidRPr="00864288">
        <w:rPr>
          <w:rFonts w:eastAsia="Times New Roman" w:cs="Arial"/>
          <w:color w:val="000000"/>
          <w:szCs w:val="20"/>
          <w:lang w:eastAsia="bg-BG"/>
        </w:rPr>
        <w:t>дневно, са били наблюдавани също и при самостоятелната употреба на отделните съставки и/или са вторично възникнали, в резултат от понижаване на кръвното налягане (не са наблюдавани значими токсикологични взаимодействия):</w:t>
      </w:r>
    </w:p>
    <w:p w14:paraId="0D3AF336" w14:textId="77777777" w:rsidR="00864288" w:rsidRPr="00864288" w:rsidRDefault="00864288" w:rsidP="00864288">
      <w:pPr>
        <w:spacing w:line="240" w:lineRule="auto"/>
        <w:rPr>
          <w:rFonts w:eastAsia="Times New Roman" w:cs="Arial"/>
          <w:sz w:val="28"/>
          <w:szCs w:val="24"/>
        </w:rPr>
      </w:pPr>
    </w:p>
    <w:p w14:paraId="16050B06" w14:textId="77777777" w:rsidR="00864288" w:rsidRPr="00864288" w:rsidRDefault="00864288" w:rsidP="00864288">
      <w:pPr>
        <w:pStyle w:val="ListParagraph"/>
        <w:numPr>
          <w:ilvl w:val="0"/>
          <w:numId w:val="39"/>
        </w:numPr>
        <w:spacing w:line="240" w:lineRule="auto"/>
        <w:rPr>
          <w:rFonts w:eastAsia="Times New Roman" w:cs="Arial"/>
          <w:sz w:val="28"/>
          <w:szCs w:val="24"/>
        </w:rPr>
      </w:pPr>
      <w:r w:rsidRPr="00864288">
        <w:rPr>
          <w:rFonts w:eastAsia="Times New Roman" w:cs="Arial"/>
          <w:color w:val="000000"/>
          <w:szCs w:val="20"/>
          <w:lang w:eastAsia="bg-BG"/>
        </w:rPr>
        <w:t>промени в бъбреците, изразяващи се с леко повишение на нивата на серумната концентрация на урея и креатинин, хиперплазия/хипертрофия на юкстагломерулния апарат, като директно последствие от взаимодействието на ирбесартан с ренин-ангиотензиновата система;</w:t>
      </w:r>
    </w:p>
    <w:p w14:paraId="23C123CA" w14:textId="77777777" w:rsidR="00864288" w:rsidRPr="00864288" w:rsidRDefault="00864288" w:rsidP="00864288">
      <w:pPr>
        <w:pStyle w:val="ListParagraph"/>
        <w:numPr>
          <w:ilvl w:val="0"/>
          <w:numId w:val="39"/>
        </w:numPr>
        <w:spacing w:line="240" w:lineRule="auto"/>
        <w:rPr>
          <w:rFonts w:eastAsia="Times New Roman" w:cs="Arial"/>
          <w:sz w:val="28"/>
          <w:szCs w:val="24"/>
        </w:rPr>
      </w:pPr>
      <w:r w:rsidRPr="00864288">
        <w:rPr>
          <w:rFonts w:eastAsia="Times New Roman" w:cs="Arial"/>
          <w:color w:val="000000"/>
          <w:szCs w:val="20"/>
          <w:lang w:eastAsia="bg-BG"/>
        </w:rPr>
        <w:t>леко понижени стойности на еритроцитните показатели (брой еритроцити, хемоглобин, хоматокрит);</w:t>
      </w:r>
    </w:p>
    <w:p w14:paraId="5EA2D413" w14:textId="77777777" w:rsidR="00864288" w:rsidRPr="00864288" w:rsidRDefault="00864288" w:rsidP="00864288">
      <w:pPr>
        <w:pStyle w:val="ListParagraph"/>
        <w:numPr>
          <w:ilvl w:val="0"/>
          <w:numId w:val="39"/>
        </w:numPr>
        <w:spacing w:line="240" w:lineRule="auto"/>
        <w:rPr>
          <w:rFonts w:eastAsia="Times New Roman" w:cs="Arial"/>
          <w:sz w:val="28"/>
          <w:szCs w:val="24"/>
        </w:rPr>
      </w:pPr>
      <w:r w:rsidRPr="00864288">
        <w:rPr>
          <w:rFonts w:eastAsia="Times New Roman" w:cs="Arial"/>
          <w:color w:val="000000"/>
          <w:szCs w:val="20"/>
          <w:lang w:eastAsia="bg-BG"/>
        </w:rPr>
        <w:t xml:space="preserve">промяна в цвета на стомашната лигавица, язви и фокаляа некроза на стомашната лигавица са били наблюдавани при малък брой плъхове при едно 6-месечно токсикологично проучване при прием на ирбесартан 90 </w:t>
      </w:r>
      <w:r w:rsidRPr="00864288">
        <w:rPr>
          <w:rFonts w:eastAsia="Times New Roman" w:cs="Arial"/>
          <w:color w:val="000000"/>
          <w:szCs w:val="20"/>
          <w:lang w:val="en-US"/>
        </w:rPr>
        <w:t>mg</w:t>
      </w:r>
      <w:r w:rsidRPr="00864288">
        <w:rPr>
          <w:rFonts w:eastAsia="Times New Roman" w:cs="Arial"/>
          <w:color w:val="000000"/>
          <w:szCs w:val="20"/>
          <w:lang w:val="ru-RU"/>
        </w:rPr>
        <w:t>/</w:t>
      </w:r>
      <w:r w:rsidRPr="00864288">
        <w:rPr>
          <w:rFonts w:eastAsia="Times New Roman" w:cs="Arial"/>
          <w:color w:val="000000"/>
          <w:szCs w:val="20"/>
          <w:lang w:val="en-US"/>
        </w:rPr>
        <w:t>kg</w:t>
      </w:r>
      <w:r w:rsidRPr="00864288">
        <w:rPr>
          <w:rFonts w:eastAsia="Times New Roman" w:cs="Arial"/>
          <w:color w:val="000000"/>
          <w:szCs w:val="20"/>
          <w:lang w:val="ru-RU"/>
        </w:rPr>
        <w:t xml:space="preserve"> </w:t>
      </w:r>
      <w:r w:rsidRPr="00864288">
        <w:rPr>
          <w:rFonts w:eastAsia="Times New Roman" w:cs="Arial"/>
          <w:color w:val="000000"/>
          <w:szCs w:val="20"/>
          <w:lang w:eastAsia="bg-BG"/>
        </w:rPr>
        <w:t xml:space="preserve">дневно, хидрохлоротиазид 90 </w:t>
      </w:r>
      <w:r w:rsidRPr="00864288">
        <w:rPr>
          <w:rFonts w:eastAsia="Times New Roman" w:cs="Arial"/>
          <w:color w:val="000000"/>
          <w:szCs w:val="20"/>
          <w:lang w:val="en-US"/>
        </w:rPr>
        <w:t>mg</w:t>
      </w:r>
      <w:r w:rsidRPr="00864288">
        <w:rPr>
          <w:rFonts w:eastAsia="Times New Roman" w:cs="Arial"/>
          <w:color w:val="000000"/>
          <w:szCs w:val="20"/>
          <w:lang w:val="ru-RU"/>
        </w:rPr>
        <w:t>/</w:t>
      </w:r>
      <w:r w:rsidRPr="00864288">
        <w:rPr>
          <w:rFonts w:eastAsia="Times New Roman" w:cs="Arial"/>
          <w:color w:val="000000"/>
          <w:szCs w:val="20"/>
          <w:lang w:val="en-US"/>
        </w:rPr>
        <w:t>kg</w:t>
      </w:r>
      <w:r w:rsidRPr="00864288">
        <w:rPr>
          <w:rFonts w:eastAsia="Times New Roman" w:cs="Arial"/>
          <w:color w:val="000000"/>
          <w:szCs w:val="20"/>
          <w:lang w:val="ru-RU"/>
        </w:rPr>
        <w:t xml:space="preserve"> </w:t>
      </w:r>
      <w:r w:rsidRPr="00864288">
        <w:rPr>
          <w:rFonts w:eastAsia="Times New Roman" w:cs="Arial"/>
          <w:color w:val="000000"/>
          <w:szCs w:val="20"/>
          <w:lang w:eastAsia="bg-BG"/>
        </w:rPr>
        <w:t xml:space="preserve">дневно и ирбесартан/хидрохлоротиазид 10/10 </w:t>
      </w:r>
      <w:r w:rsidRPr="00864288">
        <w:rPr>
          <w:rFonts w:eastAsia="Times New Roman" w:cs="Arial"/>
          <w:color w:val="000000"/>
          <w:szCs w:val="20"/>
          <w:lang w:val="en-US"/>
        </w:rPr>
        <w:t>mg</w:t>
      </w:r>
      <w:r w:rsidRPr="00864288">
        <w:rPr>
          <w:rFonts w:eastAsia="Times New Roman" w:cs="Arial"/>
          <w:color w:val="000000"/>
          <w:szCs w:val="20"/>
          <w:lang w:val="ru-RU"/>
        </w:rPr>
        <w:t>/</w:t>
      </w:r>
      <w:r w:rsidRPr="00864288">
        <w:rPr>
          <w:rFonts w:eastAsia="Times New Roman" w:cs="Arial"/>
          <w:color w:val="000000"/>
          <w:szCs w:val="20"/>
          <w:lang w:val="en-US"/>
        </w:rPr>
        <w:t>kg</w:t>
      </w:r>
      <w:r w:rsidRPr="00864288">
        <w:rPr>
          <w:rFonts w:eastAsia="Times New Roman" w:cs="Arial"/>
          <w:color w:val="000000"/>
          <w:szCs w:val="20"/>
          <w:lang w:val="ru-RU"/>
        </w:rPr>
        <w:t xml:space="preserve"> </w:t>
      </w:r>
      <w:r w:rsidRPr="00864288">
        <w:rPr>
          <w:rFonts w:eastAsia="Times New Roman" w:cs="Arial"/>
          <w:color w:val="000000"/>
          <w:szCs w:val="20"/>
          <w:lang w:eastAsia="bg-BG"/>
        </w:rPr>
        <w:t>дневно. Тези лезии не са наблюдавани при макаци.</w:t>
      </w:r>
    </w:p>
    <w:p w14:paraId="35995BAC" w14:textId="19BF656D" w:rsidR="00864288" w:rsidRPr="00864288" w:rsidRDefault="00864288" w:rsidP="00864288">
      <w:pPr>
        <w:pStyle w:val="ListParagraph"/>
        <w:numPr>
          <w:ilvl w:val="0"/>
          <w:numId w:val="39"/>
        </w:numPr>
        <w:spacing w:line="240" w:lineRule="auto"/>
        <w:rPr>
          <w:rFonts w:eastAsia="Times New Roman" w:cs="Arial"/>
          <w:sz w:val="28"/>
          <w:szCs w:val="24"/>
        </w:rPr>
      </w:pPr>
      <w:r w:rsidRPr="00864288">
        <w:rPr>
          <w:rFonts w:eastAsia="Times New Roman" w:cs="Arial"/>
          <w:color w:val="000000"/>
          <w:szCs w:val="20"/>
          <w:lang w:eastAsia="bg-BG"/>
        </w:rPr>
        <w:t>понижение на серумната концентрация на калий, дължащо се на хидрохлоротиазид и частично избягнато при комбиниране на хидрохлоротиазид с ирбесартан.</w:t>
      </w:r>
    </w:p>
    <w:p w14:paraId="7709AD25" w14:textId="77777777" w:rsidR="00864288" w:rsidRPr="00864288" w:rsidRDefault="00864288" w:rsidP="00864288">
      <w:pPr>
        <w:spacing w:line="240" w:lineRule="auto"/>
        <w:rPr>
          <w:rFonts w:eastAsia="Times New Roman" w:cs="Arial"/>
          <w:color w:val="000000"/>
          <w:szCs w:val="20"/>
          <w:lang w:eastAsia="bg-BG"/>
        </w:rPr>
      </w:pPr>
    </w:p>
    <w:p w14:paraId="575E9EB0" w14:textId="27AEC6B4" w:rsidR="00864288" w:rsidRPr="00864288" w:rsidRDefault="00864288" w:rsidP="00864288">
      <w:pPr>
        <w:spacing w:line="240" w:lineRule="auto"/>
        <w:rPr>
          <w:rFonts w:eastAsia="Times New Roman" w:cs="Arial"/>
          <w:sz w:val="28"/>
          <w:szCs w:val="24"/>
        </w:rPr>
      </w:pPr>
      <w:r w:rsidRPr="00864288">
        <w:rPr>
          <w:rFonts w:eastAsia="Times New Roman" w:cs="Arial"/>
          <w:color w:val="000000"/>
          <w:szCs w:val="20"/>
          <w:lang w:eastAsia="bg-BG"/>
        </w:rPr>
        <w:t>Повечето от гореспоменатите ефекти вероятно се дължат на фармакологичното действие на ирбесартан (блокиране на инхибирането на освобождаване на ренин, предизвикано от ангиотензин-П и стимулиране на клетките, образуващи ренин) и се срещат също при инхибитори на ангиотензин-конвертиращия ензим. Тези находки изглежда са без значение за употребата на ирбесартан/хидрохлоротиазид в терапевтични дози при хора.</w:t>
      </w:r>
    </w:p>
    <w:p w14:paraId="6073F8A6" w14:textId="77777777" w:rsidR="00864288" w:rsidRPr="00864288" w:rsidRDefault="00864288" w:rsidP="00864288">
      <w:pPr>
        <w:rPr>
          <w:rFonts w:eastAsia="Times New Roman" w:cs="Arial"/>
          <w:color w:val="000000"/>
          <w:szCs w:val="20"/>
          <w:lang w:eastAsia="bg-BG"/>
        </w:rPr>
      </w:pPr>
    </w:p>
    <w:p w14:paraId="6B451D43" w14:textId="77777777" w:rsidR="00864288" w:rsidRPr="00864288" w:rsidRDefault="00864288" w:rsidP="00864288">
      <w:pPr>
        <w:rPr>
          <w:rFonts w:eastAsia="Times New Roman" w:cs="Arial"/>
          <w:sz w:val="28"/>
          <w:szCs w:val="24"/>
        </w:rPr>
      </w:pPr>
      <w:r w:rsidRPr="00864288">
        <w:rPr>
          <w:rFonts w:eastAsia="Times New Roman" w:cs="Arial"/>
          <w:color w:val="000000"/>
          <w:szCs w:val="20"/>
          <w:lang w:eastAsia="bg-BG"/>
        </w:rPr>
        <w:t xml:space="preserve">Не са установени тератогенни ефекти при плъхове, третирани с комбинацията ирбесартан/хидрохлиротиазид в дози, токсични за майките. Ефектът на тази комбинация върху фертилитета не е определян в проучвания с опитни животни, тъй като и при животни, и при хора няма данни за нежелани реакции в това отношение както при </w:t>
      </w:r>
      <w:r w:rsidRPr="00864288">
        <w:rPr>
          <w:rFonts w:eastAsia="Times New Roman" w:cs="Arial"/>
          <w:color w:val="000000"/>
          <w:szCs w:val="20"/>
          <w:lang w:eastAsia="bg-BG"/>
        </w:rPr>
        <w:lastRenderedPageBreak/>
        <w:t>самостоятелно приложение на ирбесартан, така и на хидрохлоротиазид. Било е установено обаче, при проведени проучвания при опитни животни, че друг антагонист на ангиотензин-П, приложен самостоятелно, оказва влияние върху показателите на фертилитета. Тези данни са били установени и при прилагане на по-ниски дози от този ангиотензин-П антагонист, когато е бил използван в комбинация с хидрохлоротиазид.</w:t>
      </w:r>
    </w:p>
    <w:p w14:paraId="35435DE7" w14:textId="77777777" w:rsidR="00864288" w:rsidRPr="00864288" w:rsidRDefault="00864288" w:rsidP="00864288">
      <w:pPr>
        <w:spacing w:line="240" w:lineRule="auto"/>
        <w:rPr>
          <w:rFonts w:eastAsia="Times New Roman" w:cs="Arial"/>
          <w:color w:val="000000"/>
          <w:szCs w:val="20"/>
          <w:lang w:eastAsia="bg-BG"/>
        </w:rPr>
      </w:pPr>
    </w:p>
    <w:p w14:paraId="55809590" w14:textId="2219078D" w:rsidR="00864288" w:rsidRPr="00864288" w:rsidRDefault="00864288" w:rsidP="00864288">
      <w:pPr>
        <w:spacing w:line="240" w:lineRule="auto"/>
        <w:rPr>
          <w:rFonts w:eastAsia="Times New Roman" w:cs="Arial"/>
          <w:sz w:val="28"/>
          <w:szCs w:val="24"/>
        </w:rPr>
      </w:pPr>
      <w:r w:rsidRPr="00864288">
        <w:rPr>
          <w:rFonts w:eastAsia="Times New Roman" w:cs="Arial"/>
          <w:color w:val="000000"/>
          <w:szCs w:val="20"/>
          <w:lang w:eastAsia="bg-BG"/>
        </w:rPr>
        <w:t>Няма доказателства за мутагенен или кластогенен ефект на комбинацията ирбесартан/хидрохлоротиазид. Канцерогенният ефект на тази комбинация не е проучен при опити с животни.</w:t>
      </w:r>
    </w:p>
    <w:p w14:paraId="7454EA0A" w14:textId="77777777" w:rsidR="00864288" w:rsidRPr="00864288" w:rsidRDefault="00864288" w:rsidP="00864288">
      <w:pPr>
        <w:spacing w:line="240" w:lineRule="auto"/>
        <w:rPr>
          <w:rFonts w:eastAsia="Times New Roman" w:cs="Arial"/>
          <w:color w:val="000000"/>
          <w:szCs w:val="20"/>
          <w:u w:val="single"/>
          <w:lang w:eastAsia="bg-BG"/>
        </w:rPr>
      </w:pPr>
    </w:p>
    <w:p w14:paraId="40F6A9D4" w14:textId="74762ACD" w:rsidR="00864288" w:rsidRPr="00864288" w:rsidRDefault="00864288" w:rsidP="00864288">
      <w:pPr>
        <w:spacing w:line="240" w:lineRule="auto"/>
        <w:rPr>
          <w:rFonts w:eastAsia="Times New Roman" w:cs="Arial"/>
          <w:sz w:val="28"/>
          <w:szCs w:val="24"/>
        </w:rPr>
      </w:pPr>
      <w:r w:rsidRPr="00864288">
        <w:rPr>
          <w:rFonts w:eastAsia="Times New Roman" w:cs="Arial"/>
          <w:color w:val="000000"/>
          <w:szCs w:val="20"/>
          <w:u w:val="single"/>
          <w:lang w:eastAsia="bg-BG"/>
        </w:rPr>
        <w:t>Ирбесартан:</w:t>
      </w:r>
      <w:r w:rsidRPr="00864288">
        <w:rPr>
          <w:rFonts w:eastAsia="Times New Roman" w:cs="Arial"/>
          <w:color w:val="000000"/>
          <w:szCs w:val="20"/>
          <w:lang w:eastAsia="bg-BG"/>
        </w:rPr>
        <w:t xml:space="preserve"> няма данни за абнормна системна токсичност или токсичност по отношение на таргетните органи при прием на определените в клиничната практика дози. По време на предклиничните проучвания върху безопасността приемът на високи дози ирбесартан (&gt; 250 </w:t>
      </w:r>
      <w:r w:rsidRPr="00864288">
        <w:rPr>
          <w:rFonts w:eastAsia="Times New Roman" w:cs="Arial"/>
          <w:color w:val="000000"/>
          <w:szCs w:val="20"/>
          <w:lang w:val="en-US"/>
        </w:rPr>
        <w:t>mg</w:t>
      </w:r>
      <w:r w:rsidRPr="00864288">
        <w:rPr>
          <w:rFonts w:eastAsia="Times New Roman" w:cs="Arial"/>
          <w:color w:val="000000"/>
          <w:szCs w:val="20"/>
          <w:lang w:val="ru-RU"/>
        </w:rPr>
        <w:t>/</w:t>
      </w:r>
      <w:r w:rsidRPr="00864288">
        <w:rPr>
          <w:rFonts w:eastAsia="Times New Roman" w:cs="Arial"/>
          <w:color w:val="000000"/>
          <w:szCs w:val="20"/>
          <w:lang w:val="en-US"/>
        </w:rPr>
        <w:t>kg</w:t>
      </w:r>
      <w:r w:rsidRPr="00864288">
        <w:rPr>
          <w:rFonts w:eastAsia="Times New Roman" w:cs="Arial"/>
          <w:color w:val="000000"/>
          <w:szCs w:val="20"/>
          <w:lang w:eastAsia="bg-BG"/>
        </w:rPr>
        <w:t xml:space="preserve">/дневно при плъхове и &gt; 100 </w:t>
      </w:r>
      <w:r w:rsidRPr="00864288">
        <w:rPr>
          <w:rFonts w:eastAsia="Times New Roman" w:cs="Arial"/>
          <w:color w:val="000000"/>
          <w:szCs w:val="20"/>
          <w:lang w:val="en-US"/>
        </w:rPr>
        <w:t>mg</w:t>
      </w:r>
      <w:r w:rsidRPr="00864288">
        <w:rPr>
          <w:rFonts w:eastAsia="Times New Roman" w:cs="Arial"/>
          <w:color w:val="000000"/>
          <w:szCs w:val="20"/>
          <w:lang w:val="ru-RU"/>
        </w:rPr>
        <w:t>/</w:t>
      </w:r>
      <w:r w:rsidRPr="00864288">
        <w:rPr>
          <w:rFonts w:eastAsia="Times New Roman" w:cs="Arial"/>
          <w:color w:val="000000"/>
          <w:szCs w:val="20"/>
          <w:lang w:val="en-US"/>
        </w:rPr>
        <w:t>kg</w:t>
      </w:r>
      <w:r w:rsidRPr="00864288">
        <w:rPr>
          <w:rFonts w:eastAsia="Times New Roman" w:cs="Arial"/>
          <w:color w:val="000000"/>
          <w:szCs w:val="20"/>
          <w:lang w:eastAsia="bg-BG"/>
        </w:rPr>
        <w:t xml:space="preserve">/дневно при макаци) е довел до понижение на параметрите, свързани с червените кръвни клетки (еритроцити, хемоглобин, хематокрит). При много високи дози (&gt; 500 </w:t>
      </w:r>
      <w:r w:rsidRPr="00864288">
        <w:rPr>
          <w:rFonts w:eastAsia="Times New Roman" w:cs="Arial"/>
          <w:color w:val="000000"/>
          <w:szCs w:val="20"/>
          <w:lang w:val="en-US"/>
        </w:rPr>
        <w:t>mg</w:t>
      </w:r>
      <w:r w:rsidRPr="00864288">
        <w:rPr>
          <w:rFonts w:eastAsia="Times New Roman" w:cs="Arial"/>
          <w:color w:val="000000"/>
          <w:szCs w:val="20"/>
          <w:lang w:val="ru-RU"/>
        </w:rPr>
        <w:t>/</w:t>
      </w:r>
      <w:r w:rsidRPr="00864288">
        <w:rPr>
          <w:rFonts w:eastAsia="Times New Roman" w:cs="Arial"/>
          <w:color w:val="000000"/>
          <w:szCs w:val="20"/>
          <w:lang w:val="en-US"/>
        </w:rPr>
        <w:t>kg</w:t>
      </w:r>
      <w:r w:rsidRPr="00864288">
        <w:rPr>
          <w:rFonts w:eastAsia="Times New Roman" w:cs="Arial"/>
          <w:color w:val="000000"/>
          <w:szCs w:val="20"/>
          <w:lang w:eastAsia="bg-BG"/>
        </w:rPr>
        <w:t xml:space="preserve">/дневно) дегенеративни промени в бъбреците (например интерсгициален нефрит, разширение на тубулите, базофилни тубули, повишаване на плазмените концентрации на уреята и креатинина) са причинени от ирбесартан при плъхове и макаци, като тези промени са определени като вторични, в резултат на хипотензивните ефекти на лекарството, водещи до понижена бъбречна перфузия. Освен това ирбесартан води до хиперплазия/хипертрофия на юкстагломеруларните клетки (при плъхове при &gt; 90 </w:t>
      </w:r>
      <w:r w:rsidRPr="00864288">
        <w:rPr>
          <w:rFonts w:eastAsia="Times New Roman" w:cs="Arial"/>
          <w:color w:val="000000"/>
          <w:szCs w:val="20"/>
          <w:lang w:val="en-US"/>
        </w:rPr>
        <w:t>mg</w:t>
      </w:r>
      <w:r w:rsidRPr="00864288">
        <w:rPr>
          <w:rFonts w:eastAsia="Times New Roman" w:cs="Arial"/>
          <w:color w:val="000000"/>
          <w:szCs w:val="20"/>
          <w:lang w:val="ru-RU"/>
        </w:rPr>
        <w:t>/</w:t>
      </w:r>
      <w:r w:rsidRPr="00864288">
        <w:rPr>
          <w:rFonts w:eastAsia="Times New Roman" w:cs="Arial"/>
          <w:color w:val="000000"/>
          <w:szCs w:val="20"/>
          <w:lang w:val="en-US"/>
        </w:rPr>
        <w:t>kg</w:t>
      </w:r>
      <w:r w:rsidRPr="00864288">
        <w:rPr>
          <w:rFonts w:eastAsia="Times New Roman" w:cs="Arial"/>
          <w:color w:val="000000"/>
          <w:szCs w:val="20"/>
          <w:lang w:eastAsia="bg-BG"/>
        </w:rPr>
        <w:t xml:space="preserve">/дневно и при маймуни от рода макак при &gt;10 </w:t>
      </w:r>
      <w:r w:rsidRPr="00864288">
        <w:rPr>
          <w:rFonts w:eastAsia="Times New Roman" w:cs="Arial"/>
          <w:color w:val="000000"/>
          <w:szCs w:val="20"/>
          <w:lang w:val="en-US"/>
        </w:rPr>
        <w:t>mg</w:t>
      </w:r>
      <w:r w:rsidRPr="00864288">
        <w:rPr>
          <w:rFonts w:eastAsia="Times New Roman" w:cs="Arial"/>
          <w:color w:val="000000"/>
          <w:szCs w:val="20"/>
          <w:lang w:val="ru-RU"/>
        </w:rPr>
        <w:t>/</w:t>
      </w:r>
      <w:r w:rsidRPr="00864288">
        <w:rPr>
          <w:rFonts w:eastAsia="Times New Roman" w:cs="Arial"/>
          <w:color w:val="000000"/>
          <w:szCs w:val="20"/>
          <w:lang w:val="en-US"/>
        </w:rPr>
        <w:t>kg</w:t>
      </w:r>
      <w:r w:rsidRPr="00864288">
        <w:rPr>
          <w:rFonts w:eastAsia="Times New Roman" w:cs="Arial"/>
          <w:color w:val="000000"/>
          <w:szCs w:val="20"/>
          <w:lang w:val="ru-RU"/>
        </w:rPr>
        <w:t>/</w:t>
      </w:r>
      <w:r w:rsidRPr="00864288">
        <w:rPr>
          <w:rFonts w:eastAsia="Times New Roman" w:cs="Arial"/>
          <w:color w:val="000000"/>
          <w:szCs w:val="20"/>
          <w:lang w:eastAsia="bg-BG"/>
        </w:rPr>
        <w:t>дневно). Всички тези промени са определени като резултат от фармакологичното действие на ирбесартан. В терапевтични дози приложението на ирбесартан при хора изглежда не води до значима хиперплазия/хипертрофия на юкстрагломеруларните клетки.</w:t>
      </w:r>
    </w:p>
    <w:p w14:paraId="51DDEECD" w14:textId="77777777" w:rsidR="00864288" w:rsidRPr="00864288" w:rsidRDefault="00864288" w:rsidP="00864288">
      <w:pPr>
        <w:spacing w:line="240" w:lineRule="auto"/>
        <w:rPr>
          <w:rFonts w:eastAsia="Times New Roman" w:cs="Arial"/>
          <w:sz w:val="28"/>
          <w:szCs w:val="24"/>
        </w:rPr>
      </w:pPr>
      <w:r w:rsidRPr="00864288">
        <w:rPr>
          <w:rFonts w:eastAsia="Times New Roman" w:cs="Arial"/>
          <w:color w:val="000000"/>
          <w:szCs w:val="20"/>
          <w:lang w:eastAsia="bg-BG"/>
        </w:rPr>
        <w:t>Няма данни за наличното на мутагенен, кластогенен или карциногенен ефект. Проучванията при животни с ирбесартан показват преходни токсични ефекти (увеличение на бъбречното леген че, хидроуретер или подкожен оток) при фетуси на плъхове, които преминават след раждането. При зайци аборт или ранна резорбция са наблюдавани при дози, водещи до значителна токсичност за майката, включително смърт. Не са наблюдавани тератогенни ефекти при плъхове или зайци.</w:t>
      </w:r>
    </w:p>
    <w:p w14:paraId="30A523ED" w14:textId="77777777" w:rsidR="00864288" w:rsidRPr="00864288" w:rsidRDefault="00864288" w:rsidP="00864288">
      <w:pPr>
        <w:spacing w:line="240" w:lineRule="auto"/>
        <w:rPr>
          <w:rFonts w:eastAsia="Times New Roman" w:cs="Arial"/>
          <w:color w:val="000000"/>
          <w:szCs w:val="20"/>
          <w:u w:val="single"/>
          <w:lang w:eastAsia="bg-BG"/>
        </w:rPr>
      </w:pPr>
    </w:p>
    <w:p w14:paraId="4A1EFE92" w14:textId="78A36D4D" w:rsidR="00864288" w:rsidRPr="00864288" w:rsidRDefault="00864288" w:rsidP="00864288">
      <w:pPr>
        <w:spacing w:line="240" w:lineRule="auto"/>
        <w:rPr>
          <w:rFonts w:eastAsia="Times New Roman" w:cs="Arial"/>
          <w:sz w:val="28"/>
          <w:szCs w:val="24"/>
        </w:rPr>
      </w:pPr>
      <w:r w:rsidRPr="00864288">
        <w:rPr>
          <w:rFonts w:eastAsia="Times New Roman" w:cs="Arial"/>
          <w:color w:val="000000"/>
          <w:szCs w:val="20"/>
          <w:u w:val="single"/>
          <w:lang w:eastAsia="bg-BG"/>
        </w:rPr>
        <w:t>Хидрохлоротиазид:</w:t>
      </w:r>
      <w:r w:rsidRPr="00864288">
        <w:rPr>
          <w:rFonts w:eastAsia="Times New Roman" w:cs="Arial"/>
          <w:color w:val="000000"/>
          <w:szCs w:val="20"/>
          <w:lang w:eastAsia="bg-BG"/>
        </w:rPr>
        <w:t xml:space="preserve"> Въпреки че при някои експериментални модели са получени несигурни данни за генотоксичен или канцерогенен ефект, големият опит с употребата </w:t>
      </w:r>
      <w:r w:rsidRPr="00864288">
        <w:rPr>
          <w:rFonts w:eastAsia="Times New Roman" w:cs="Arial"/>
          <w:i/>
          <w:iCs/>
          <w:color w:val="000000"/>
          <w:szCs w:val="20"/>
          <w:lang w:eastAsia="bg-BG"/>
        </w:rPr>
        <w:t>на хидрохлоротиазид</w:t>
      </w:r>
      <w:r w:rsidRPr="00864288">
        <w:rPr>
          <w:rFonts w:eastAsia="Times New Roman" w:cs="Arial"/>
          <w:color w:val="000000"/>
          <w:szCs w:val="20"/>
          <w:lang w:eastAsia="bg-BG"/>
        </w:rPr>
        <w:t xml:space="preserve"> при хора не е показал връзка между употребата му и нарастване на честотата на поява на неоплазми.</w:t>
      </w:r>
    </w:p>
    <w:p w14:paraId="76ABE15B" w14:textId="5C16E327" w:rsidR="00864288" w:rsidRPr="00864288" w:rsidRDefault="00864288" w:rsidP="00864288"/>
    <w:p w14:paraId="1BA6531D" w14:textId="763A9F65" w:rsidR="00B6672E" w:rsidRDefault="002C50EE" w:rsidP="00936AD0">
      <w:pPr>
        <w:pStyle w:val="Heading1"/>
      </w:pPr>
      <w:r>
        <w:t>7. ПРИТЕЖАТЕЛ НА РАЗРЕШЕНИЕТО ЗА УПОТРЕБА</w:t>
      </w:r>
    </w:p>
    <w:p w14:paraId="4201DB54" w14:textId="5C48063F" w:rsidR="00864288" w:rsidRDefault="00864288" w:rsidP="00864288"/>
    <w:p w14:paraId="4277F17F" w14:textId="77777777" w:rsidR="00864288" w:rsidRPr="00864288" w:rsidRDefault="00864288" w:rsidP="00864288">
      <w:pPr>
        <w:spacing w:line="240" w:lineRule="auto"/>
        <w:rPr>
          <w:rFonts w:eastAsia="Times New Roman" w:cs="Arial"/>
          <w:sz w:val="28"/>
          <w:szCs w:val="24"/>
        </w:rPr>
      </w:pPr>
      <w:bookmarkStart w:id="1" w:name="bookmark0"/>
      <w:r w:rsidRPr="00864288">
        <w:rPr>
          <w:rFonts w:eastAsia="Times New Roman" w:cs="Arial"/>
          <w:b/>
          <w:bCs/>
          <w:color w:val="000000"/>
          <w:szCs w:val="20"/>
          <w:lang w:eastAsia="bg-BG"/>
        </w:rPr>
        <w:t>НЕО БАЛКАНИКА ЕООД</w:t>
      </w:r>
      <w:bookmarkEnd w:id="1"/>
    </w:p>
    <w:p w14:paraId="0E7876C6" w14:textId="77777777" w:rsidR="00864288" w:rsidRPr="00864288" w:rsidRDefault="00864288" w:rsidP="00864288">
      <w:pPr>
        <w:spacing w:line="240" w:lineRule="auto"/>
        <w:rPr>
          <w:rFonts w:eastAsia="Times New Roman" w:cs="Arial"/>
          <w:sz w:val="28"/>
          <w:szCs w:val="24"/>
        </w:rPr>
      </w:pPr>
      <w:r w:rsidRPr="00864288">
        <w:rPr>
          <w:rFonts w:eastAsia="Times New Roman" w:cs="Arial"/>
          <w:color w:val="000000"/>
          <w:szCs w:val="20"/>
          <w:lang w:eastAsia="bg-BG"/>
        </w:rPr>
        <w:t>ул. „Земляне” №35,</w:t>
      </w:r>
    </w:p>
    <w:p w14:paraId="52248BD5" w14:textId="3E71310B" w:rsidR="00864288" w:rsidRPr="00864288" w:rsidRDefault="00864288" w:rsidP="00864288">
      <w:pPr>
        <w:rPr>
          <w:rFonts w:cs="Arial"/>
          <w:sz w:val="24"/>
        </w:rPr>
      </w:pPr>
      <w:r w:rsidRPr="00864288">
        <w:rPr>
          <w:rFonts w:eastAsia="Times New Roman" w:cs="Arial"/>
          <w:color w:val="000000"/>
          <w:szCs w:val="20"/>
          <w:lang w:eastAsia="bg-BG"/>
        </w:rPr>
        <w:t>1618 София, България</w:t>
      </w:r>
    </w:p>
    <w:p w14:paraId="508F3A54" w14:textId="24AC4604" w:rsidR="00B6672E" w:rsidRDefault="00936AD0" w:rsidP="00936AD0">
      <w:pPr>
        <w:pStyle w:val="Heading1"/>
      </w:pPr>
      <w:r>
        <w:t>8.</w:t>
      </w:r>
      <w:r w:rsidR="002C50EE">
        <w:t>НОМЕР НА РАЗРЕШЕНИЕТО ЗА УПОТРЕБА</w:t>
      </w:r>
    </w:p>
    <w:p w14:paraId="0006D48F" w14:textId="211521E8" w:rsidR="00864288" w:rsidRDefault="00864288" w:rsidP="00864288"/>
    <w:p w14:paraId="42C27E59" w14:textId="03AAA5CF" w:rsidR="00864288" w:rsidRPr="00864288" w:rsidRDefault="00864288" w:rsidP="00864288">
      <w:pPr>
        <w:rPr>
          <w:sz w:val="24"/>
          <w:szCs w:val="24"/>
        </w:rPr>
      </w:pPr>
      <w:proofErr w:type="spellStart"/>
      <w:r>
        <w:rPr>
          <w:lang w:val="en-US"/>
        </w:rPr>
        <w:t>Peг</w:t>
      </w:r>
      <w:proofErr w:type="spellEnd"/>
      <w:r w:rsidRPr="00864288">
        <w:rPr>
          <w:lang w:val="ru-RU"/>
        </w:rPr>
        <w:t xml:space="preserve">. </w:t>
      </w:r>
      <w:r w:rsidRPr="00864288">
        <w:rPr>
          <w:lang w:eastAsia="bg-BG"/>
        </w:rPr>
        <w:t>№20150316</w:t>
      </w:r>
    </w:p>
    <w:p w14:paraId="2CCB5832" w14:textId="44A7A807" w:rsidR="007C605B" w:rsidRDefault="002C50EE" w:rsidP="007C605B">
      <w:pPr>
        <w:pStyle w:val="Heading1"/>
      </w:pPr>
      <w:r>
        <w:lastRenderedPageBreak/>
        <w:t>9. ДАТА НА ПЪРВО РАЗРЕШАВАНЕ/ПОДНОВЯВАНЕ НА РАЗРЕШЕНИЕТО ЗА УПОТРЕБА</w:t>
      </w:r>
    </w:p>
    <w:p w14:paraId="6EE5E65D" w14:textId="04C3651D" w:rsidR="00864288" w:rsidRDefault="00864288" w:rsidP="00864288"/>
    <w:p w14:paraId="54BCDA8D" w14:textId="77777777" w:rsidR="00864288" w:rsidRPr="00864288" w:rsidRDefault="00864288" w:rsidP="00864288">
      <w:pPr>
        <w:rPr>
          <w:sz w:val="24"/>
          <w:szCs w:val="24"/>
        </w:rPr>
      </w:pPr>
      <w:r w:rsidRPr="00864288">
        <w:rPr>
          <w:lang w:eastAsia="bg-BG"/>
        </w:rPr>
        <w:t>Дата на първо разрешаване: 06.10.2015</w:t>
      </w:r>
    </w:p>
    <w:p w14:paraId="6C1932C1" w14:textId="77777777" w:rsidR="00864288" w:rsidRPr="00864288" w:rsidRDefault="00864288" w:rsidP="00864288">
      <w:pPr>
        <w:rPr>
          <w:sz w:val="24"/>
          <w:szCs w:val="24"/>
        </w:rPr>
      </w:pPr>
      <w:r w:rsidRPr="00864288">
        <w:rPr>
          <w:lang w:eastAsia="bg-BG"/>
        </w:rPr>
        <w:t>Дата на последно подновяване:</w:t>
      </w:r>
    </w:p>
    <w:p w14:paraId="570ACF98" w14:textId="77777777" w:rsidR="00864288" w:rsidRPr="00864288" w:rsidRDefault="00864288" w:rsidP="00864288"/>
    <w:p w14:paraId="0E9D0119" w14:textId="0245C6D7" w:rsidR="002C50EE" w:rsidRDefault="002C50EE" w:rsidP="002C50EE">
      <w:pPr>
        <w:pStyle w:val="Heading1"/>
      </w:pPr>
      <w:r>
        <w:t>10. ДАТА НА АКТУАЛИЗИРАНЕ НА ТЕКСТА</w:t>
      </w:r>
    </w:p>
    <w:bookmarkEnd w:id="0"/>
    <w:p w14:paraId="43FB38A2" w14:textId="52E0B868" w:rsidR="007C605B" w:rsidRPr="003E3126" w:rsidRDefault="00864288" w:rsidP="00864288">
      <w:r>
        <w:t>01/2022</w:t>
      </w:r>
      <w:bookmarkStart w:id="2" w:name="_GoBack"/>
      <w:bookmarkEnd w:id="2"/>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54A78DA"/>
    <w:multiLevelType w:val="hybridMultilevel"/>
    <w:tmpl w:val="38E0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B724D0"/>
    <w:multiLevelType w:val="hybridMultilevel"/>
    <w:tmpl w:val="F14E0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4"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9"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4"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9215A6"/>
    <w:multiLevelType w:val="hybridMultilevel"/>
    <w:tmpl w:val="53D0B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0"/>
  </w:num>
  <w:num w:numId="2">
    <w:abstractNumId w:val="0"/>
  </w:num>
  <w:num w:numId="3">
    <w:abstractNumId w:val="16"/>
  </w:num>
  <w:num w:numId="4">
    <w:abstractNumId w:val="3"/>
  </w:num>
  <w:num w:numId="5">
    <w:abstractNumId w:val="1"/>
  </w:num>
  <w:num w:numId="6">
    <w:abstractNumId w:val="19"/>
  </w:num>
  <w:num w:numId="7">
    <w:abstractNumId w:val="14"/>
  </w:num>
  <w:num w:numId="8">
    <w:abstractNumId w:val="18"/>
  </w:num>
  <w:num w:numId="9">
    <w:abstractNumId w:val="2"/>
  </w:num>
  <w:num w:numId="10">
    <w:abstractNumId w:val="4"/>
  </w:num>
  <w:num w:numId="11">
    <w:abstractNumId w:val="33"/>
  </w:num>
  <w:num w:numId="12">
    <w:abstractNumId w:val="17"/>
  </w:num>
  <w:num w:numId="13">
    <w:abstractNumId w:val="22"/>
  </w:num>
  <w:num w:numId="14">
    <w:abstractNumId w:val="15"/>
  </w:num>
  <w:num w:numId="15">
    <w:abstractNumId w:val="32"/>
  </w:num>
  <w:num w:numId="16">
    <w:abstractNumId w:val="13"/>
  </w:num>
  <w:num w:numId="17">
    <w:abstractNumId w:val="27"/>
  </w:num>
  <w:num w:numId="18">
    <w:abstractNumId w:val="9"/>
  </w:num>
  <w:num w:numId="19">
    <w:abstractNumId w:val="29"/>
  </w:num>
  <w:num w:numId="20">
    <w:abstractNumId w:val="26"/>
  </w:num>
  <w:num w:numId="21">
    <w:abstractNumId w:val="20"/>
  </w:num>
  <w:num w:numId="22">
    <w:abstractNumId w:val="28"/>
  </w:num>
  <w:num w:numId="23">
    <w:abstractNumId w:val="21"/>
  </w:num>
  <w:num w:numId="24">
    <w:abstractNumId w:val="11"/>
  </w:num>
  <w:num w:numId="25">
    <w:abstractNumId w:val="25"/>
  </w:num>
  <w:num w:numId="26">
    <w:abstractNumId w:val="24"/>
  </w:num>
  <w:num w:numId="27">
    <w:abstractNumId w:val="34"/>
  </w:num>
  <w:num w:numId="28">
    <w:abstractNumId w:val="6"/>
  </w:num>
  <w:num w:numId="29">
    <w:abstractNumId w:val="23"/>
  </w:num>
  <w:num w:numId="30">
    <w:abstractNumId w:val="38"/>
  </w:num>
  <w:num w:numId="31">
    <w:abstractNumId w:val="5"/>
  </w:num>
  <w:num w:numId="32">
    <w:abstractNumId w:val="37"/>
  </w:num>
  <w:num w:numId="33">
    <w:abstractNumId w:val="31"/>
  </w:num>
  <w:num w:numId="34">
    <w:abstractNumId w:val="35"/>
  </w:num>
  <w:num w:numId="35">
    <w:abstractNumId w:val="8"/>
  </w:num>
  <w:num w:numId="36">
    <w:abstractNumId w:val="12"/>
  </w:num>
  <w:num w:numId="37">
    <w:abstractNumId w:val="36"/>
  </w:num>
  <w:num w:numId="38">
    <w:abstractNumId w:val="7"/>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0677AB"/>
    <w:rsid w:val="00082715"/>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64288"/>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6223</Words>
  <Characters>35475</Characters>
  <Application>Microsoft Office Word</Application>
  <DocSecurity>0</DocSecurity>
  <Lines>295</Lines>
  <Paragraphs>83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2022-07-04T16:33:00Z</dcterms:created>
  <dcterms:modified xsi:type="dcterms:W3CDTF">2022-07-04T16:33:00Z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