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4F735328" w14:textId="1287F658" w:rsidR="00DF4C8E" w:rsidRDefault="00DD466D" w:rsidP="00F44498">
      <w:pPr>
        <w:pStyle w:val="Heading1"/>
      </w:pPr>
      <w:r>
        <w:t>1.ИМЕ НА ЛЕКАРСТВЕНИЯ ПРОДУКТ</w:t>
      </w:r>
    </w:p>
    <w:p w14:paraId="050252C2" w14:textId="452D8636" w:rsidR="00AC3E5C" w:rsidRDefault="00AC3E5C" w:rsidP="00AC3E5C"/>
    <w:p w14:paraId="63A2E906" w14:textId="77777777" w:rsidR="00AC3E5C" w:rsidRPr="00AC3E5C" w:rsidRDefault="00AC3E5C" w:rsidP="00AC3E5C">
      <w:pPr>
        <w:rPr>
          <w:rFonts w:ascii="Times New Roman" w:hAnsi="Times New Roman" w:cs="Times New Roman"/>
          <w:sz w:val="24"/>
          <w:szCs w:val="24"/>
          <w:lang w:val="ru-RU"/>
        </w:rPr>
      </w:pPr>
      <w:r w:rsidRPr="00AC3E5C">
        <w:rPr>
          <w:lang w:eastAsia="bg-BG"/>
        </w:rPr>
        <w:t xml:space="preserve">Ко-Ирбесан 300 </w:t>
      </w:r>
      <w:r w:rsidRPr="00AC3E5C">
        <w:rPr>
          <w:lang w:val="en-US"/>
        </w:rPr>
        <w:t>mg</w:t>
      </w:r>
      <w:r w:rsidRPr="00AC3E5C">
        <w:rPr>
          <w:lang w:val="ru-RU"/>
        </w:rPr>
        <w:t xml:space="preserve">/12,5 </w:t>
      </w:r>
      <w:r w:rsidRPr="00AC3E5C">
        <w:rPr>
          <w:lang w:val="en-US"/>
        </w:rPr>
        <w:t>mg</w:t>
      </w:r>
      <w:r w:rsidRPr="00AC3E5C">
        <w:rPr>
          <w:lang w:val="ru-RU"/>
        </w:rPr>
        <w:t xml:space="preserve"> </w:t>
      </w:r>
      <w:r w:rsidRPr="00AC3E5C">
        <w:rPr>
          <w:lang w:eastAsia="bg-BG"/>
        </w:rPr>
        <w:t>филмирани таблетки</w:t>
      </w:r>
    </w:p>
    <w:p w14:paraId="7BD284B6" w14:textId="77777777" w:rsidR="00AC3E5C" w:rsidRPr="00AC3E5C" w:rsidRDefault="00AC3E5C" w:rsidP="00AC3E5C">
      <w:pPr>
        <w:rPr>
          <w:rFonts w:ascii="Times New Roman" w:hAnsi="Times New Roman" w:cs="Times New Roman"/>
          <w:sz w:val="24"/>
          <w:szCs w:val="24"/>
          <w:lang w:val="en-US"/>
        </w:rPr>
      </w:pPr>
      <w:r w:rsidRPr="00AC3E5C">
        <w:rPr>
          <w:lang w:val="en-US"/>
        </w:rPr>
        <w:t>CO-</w:t>
      </w:r>
      <w:proofErr w:type="spellStart"/>
      <w:r w:rsidRPr="00AC3E5C">
        <w:rPr>
          <w:lang w:val="en-US"/>
        </w:rPr>
        <w:t>Irbesan</w:t>
      </w:r>
      <w:proofErr w:type="spellEnd"/>
      <w:r w:rsidRPr="00AC3E5C">
        <w:rPr>
          <w:lang w:val="en-US"/>
        </w:rPr>
        <w:t xml:space="preserve"> </w:t>
      </w:r>
      <w:r w:rsidRPr="00AC3E5C">
        <w:rPr>
          <w:lang w:eastAsia="bg-BG"/>
        </w:rPr>
        <w:t xml:space="preserve">300 </w:t>
      </w:r>
      <w:r w:rsidRPr="00AC3E5C">
        <w:rPr>
          <w:lang w:val="en-US"/>
        </w:rPr>
        <w:t>mg/</w:t>
      </w:r>
      <w:r w:rsidRPr="00AC3E5C">
        <w:rPr>
          <w:lang w:eastAsia="bg-BG"/>
        </w:rPr>
        <w:t>12</w:t>
      </w:r>
      <w:proofErr w:type="gramStart"/>
      <w:r w:rsidRPr="00AC3E5C">
        <w:rPr>
          <w:lang w:eastAsia="bg-BG"/>
        </w:rPr>
        <w:t>,5</w:t>
      </w:r>
      <w:proofErr w:type="gramEnd"/>
      <w:r w:rsidRPr="00AC3E5C">
        <w:rPr>
          <w:lang w:eastAsia="bg-BG"/>
        </w:rPr>
        <w:t xml:space="preserve"> </w:t>
      </w:r>
      <w:r w:rsidRPr="00AC3E5C">
        <w:rPr>
          <w:lang w:val="en-US"/>
        </w:rPr>
        <w:t>mg film-coated tablets</w:t>
      </w:r>
    </w:p>
    <w:p w14:paraId="7E82A61F" w14:textId="77777777" w:rsidR="00AC3E5C" w:rsidRPr="00AC3E5C" w:rsidRDefault="00AC3E5C" w:rsidP="00AC3E5C">
      <w:pPr>
        <w:rPr>
          <w:lang w:val="en-US"/>
        </w:rPr>
      </w:pPr>
    </w:p>
    <w:p w14:paraId="2BF7ACB1" w14:textId="563A2BC8" w:rsidR="00DF4C8E" w:rsidRDefault="00DD466D" w:rsidP="00F44498">
      <w:pPr>
        <w:pStyle w:val="Heading1"/>
      </w:pPr>
      <w:r>
        <w:t>2. КАЧЕСТВЕН И КОЛИЧЕСТВЕН СЪСТАВ</w:t>
      </w:r>
    </w:p>
    <w:p w14:paraId="10AE86A1" w14:textId="126F8257" w:rsidR="00AC3E5C" w:rsidRDefault="00AC3E5C" w:rsidP="00AC3E5C"/>
    <w:p w14:paraId="30C6AF40" w14:textId="77777777" w:rsidR="00AC3E5C" w:rsidRPr="00AC3E5C" w:rsidRDefault="00AC3E5C" w:rsidP="00AC3E5C">
      <w:pPr>
        <w:rPr>
          <w:rFonts w:ascii="Times New Roman" w:hAnsi="Times New Roman" w:cs="Times New Roman"/>
          <w:sz w:val="24"/>
          <w:szCs w:val="24"/>
        </w:rPr>
      </w:pPr>
      <w:r w:rsidRPr="00AC3E5C">
        <w:rPr>
          <w:lang w:eastAsia="bg-BG"/>
        </w:rPr>
        <w:t xml:space="preserve">Всяка таблетка съдържа активните вещества: 300 </w:t>
      </w:r>
      <w:r w:rsidRPr="00AC3E5C">
        <w:rPr>
          <w:lang w:val="en-US"/>
        </w:rPr>
        <w:t>mg</w:t>
      </w:r>
      <w:r w:rsidRPr="00AC3E5C">
        <w:t xml:space="preserve"> </w:t>
      </w:r>
      <w:r w:rsidRPr="00AC3E5C">
        <w:rPr>
          <w:lang w:eastAsia="bg-BG"/>
        </w:rPr>
        <w:t>ирбесартан (</w:t>
      </w:r>
      <w:proofErr w:type="spellStart"/>
      <w:r w:rsidRPr="00AC3E5C">
        <w:rPr>
          <w:i/>
          <w:iCs/>
          <w:lang w:val="en-US"/>
        </w:rPr>
        <w:t>Irbesartan</w:t>
      </w:r>
      <w:proofErr w:type="spellEnd"/>
      <w:r w:rsidRPr="00AC3E5C">
        <w:rPr>
          <w:i/>
          <w:iCs/>
        </w:rPr>
        <w:t xml:space="preserve">) </w:t>
      </w:r>
      <w:r w:rsidRPr="00AC3E5C">
        <w:rPr>
          <w:i/>
          <w:iCs/>
          <w:lang w:eastAsia="bg-BG"/>
        </w:rPr>
        <w:t>и</w:t>
      </w:r>
      <w:r w:rsidRPr="00AC3E5C">
        <w:rPr>
          <w:lang w:eastAsia="bg-BG"/>
        </w:rPr>
        <w:t xml:space="preserve"> 12,5 </w:t>
      </w:r>
      <w:r w:rsidRPr="00AC3E5C">
        <w:rPr>
          <w:lang w:val="en-US"/>
        </w:rPr>
        <w:t>mg</w:t>
      </w:r>
      <w:r w:rsidRPr="00AC3E5C">
        <w:t xml:space="preserve"> </w:t>
      </w:r>
      <w:r w:rsidRPr="00AC3E5C">
        <w:rPr>
          <w:lang w:eastAsia="bg-BG"/>
        </w:rPr>
        <w:t>хидрохлоротиазид (</w:t>
      </w:r>
      <w:r w:rsidRPr="00AC3E5C">
        <w:rPr>
          <w:i/>
          <w:iCs/>
          <w:lang w:val="en-US"/>
        </w:rPr>
        <w:t>Hydrochlorothiazide</w:t>
      </w:r>
      <w:r w:rsidRPr="00AC3E5C">
        <w:rPr>
          <w:i/>
          <w:iCs/>
        </w:rPr>
        <w:t>).</w:t>
      </w:r>
    </w:p>
    <w:p w14:paraId="513E05A9" w14:textId="77777777" w:rsidR="00AC3E5C" w:rsidRPr="00AC3E5C" w:rsidRDefault="00AC3E5C" w:rsidP="00AC3E5C">
      <w:pPr>
        <w:rPr>
          <w:rFonts w:ascii="Times New Roman" w:hAnsi="Times New Roman" w:cs="Times New Roman"/>
          <w:sz w:val="24"/>
          <w:szCs w:val="24"/>
        </w:rPr>
      </w:pPr>
      <w:r w:rsidRPr="00AC3E5C">
        <w:rPr>
          <w:lang w:eastAsia="bg-BG"/>
        </w:rPr>
        <w:t xml:space="preserve">Помощни вещества с известно действие: всяка таблетка съдържа лактоза монохидрат </w:t>
      </w:r>
      <w:r w:rsidRPr="00AC3E5C">
        <w:rPr>
          <w:lang w:val="ru-RU"/>
        </w:rPr>
        <w:t>(</w:t>
      </w:r>
      <w:r w:rsidRPr="00AC3E5C">
        <w:rPr>
          <w:lang w:val="en-US"/>
        </w:rPr>
        <w:t>Lactose</w:t>
      </w:r>
      <w:r w:rsidRPr="00AC3E5C">
        <w:rPr>
          <w:lang w:val="ru-RU"/>
        </w:rPr>
        <w:t xml:space="preserve"> </w:t>
      </w:r>
      <w:r w:rsidRPr="00AC3E5C">
        <w:rPr>
          <w:lang w:val="en-US"/>
        </w:rPr>
        <w:t>monohydrate</w:t>
      </w:r>
      <w:r w:rsidRPr="00AC3E5C">
        <w:rPr>
          <w:lang w:val="ru-RU"/>
        </w:rPr>
        <w:t>).</w:t>
      </w:r>
    </w:p>
    <w:p w14:paraId="5AE811C1" w14:textId="77777777" w:rsidR="00AC3E5C" w:rsidRPr="00AC3E5C" w:rsidRDefault="00AC3E5C" w:rsidP="00AC3E5C"/>
    <w:p w14:paraId="614984C4" w14:textId="536C1550" w:rsidR="008A6AF2" w:rsidRDefault="00DD466D" w:rsidP="002C50EE">
      <w:pPr>
        <w:pStyle w:val="Heading1"/>
      </w:pPr>
      <w:r>
        <w:t>3. ЛЕКАРСТВЕНА ФОРМА</w:t>
      </w:r>
    </w:p>
    <w:p w14:paraId="747A6DA2" w14:textId="17CCDC4F" w:rsidR="00AC3E5C" w:rsidRDefault="00AC3E5C" w:rsidP="00AC3E5C"/>
    <w:p w14:paraId="258E0503" w14:textId="77777777" w:rsidR="00AC3E5C" w:rsidRPr="00AC3E5C" w:rsidRDefault="00AC3E5C" w:rsidP="00AC3E5C">
      <w:pPr>
        <w:rPr>
          <w:rFonts w:ascii="Times New Roman" w:hAnsi="Times New Roman" w:cs="Times New Roman"/>
          <w:sz w:val="24"/>
          <w:szCs w:val="24"/>
        </w:rPr>
      </w:pPr>
      <w:r w:rsidRPr="00AC3E5C">
        <w:rPr>
          <w:lang w:eastAsia="bg-BG"/>
        </w:rPr>
        <w:t xml:space="preserve">Всяка таблетка съдържа активните вещества: 300 </w:t>
      </w:r>
      <w:r w:rsidRPr="00AC3E5C">
        <w:rPr>
          <w:lang w:val="en-US"/>
        </w:rPr>
        <w:t>mg</w:t>
      </w:r>
      <w:r w:rsidRPr="00AC3E5C">
        <w:t xml:space="preserve"> </w:t>
      </w:r>
      <w:r w:rsidRPr="00AC3E5C">
        <w:rPr>
          <w:lang w:eastAsia="bg-BG"/>
        </w:rPr>
        <w:t>ирбесартан (</w:t>
      </w:r>
      <w:proofErr w:type="spellStart"/>
      <w:r w:rsidRPr="00AC3E5C">
        <w:rPr>
          <w:i/>
          <w:iCs/>
          <w:lang w:val="en-US"/>
        </w:rPr>
        <w:t>Irbesartan</w:t>
      </w:r>
      <w:proofErr w:type="spellEnd"/>
      <w:r w:rsidRPr="00AC3E5C">
        <w:rPr>
          <w:i/>
          <w:iCs/>
        </w:rPr>
        <w:t xml:space="preserve">) </w:t>
      </w:r>
      <w:r w:rsidRPr="00AC3E5C">
        <w:rPr>
          <w:i/>
          <w:iCs/>
          <w:lang w:eastAsia="bg-BG"/>
        </w:rPr>
        <w:t>и</w:t>
      </w:r>
      <w:r w:rsidRPr="00AC3E5C">
        <w:rPr>
          <w:lang w:eastAsia="bg-BG"/>
        </w:rPr>
        <w:t xml:space="preserve"> 12,5 </w:t>
      </w:r>
      <w:r w:rsidRPr="00AC3E5C">
        <w:rPr>
          <w:lang w:val="en-US"/>
        </w:rPr>
        <w:t>mg</w:t>
      </w:r>
      <w:r w:rsidRPr="00AC3E5C">
        <w:t xml:space="preserve"> </w:t>
      </w:r>
      <w:r w:rsidRPr="00AC3E5C">
        <w:rPr>
          <w:lang w:eastAsia="bg-BG"/>
        </w:rPr>
        <w:t>хидрохлоротиазид (</w:t>
      </w:r>
      <w:r w:rsidRPr="00AC3E5C">
        <w:rPr>
          <w:i/>
          <w:iCs/>
          <w:lang w:val="en-US"/>
        </w:rPr>
        <w:t>Hydrochlorothiazide</w:t>
      </w:r>
      <w:r w:rsidRPr="00AC3E5C">
        <w:rPr>
          <w:i/>
          <w:iCs/>
        </w:rPr>
        <w:t>).</w:t>
      </w:r>
    </w:p>
    <w:p w14:paraId="54631204" w14:textId="77777777" w:rsidR="00AC3E5C" w:rsidRPr="00AC3E5C" w:rsidRDefault="00AC3E5C" w:rsidP="00AC3E5C">
      <w:pPr>
        <w:rPr>
          <w:rFonts w:ascii="Times New Roman" w:hAnsi="Times New Roman" w:cs="Times New Roman"/>
          <w:sz w:val="24"/>
          <w:szCs w:val="24"/>
        </w:rPr>
      </w:pPr>
      <w:r w:rsidRPr="00AC3E5C">
        <w:rPr>
          <w:lang w:eastAsia="bg-BG"/>
        </w:rPr>
        <w:t xml:space="preserve">Помощни вещества с известно действие: всяка таблетка съдържа лактоза монохидрат </w:t>
      </w:r>
      <w:r w:rsidRPr="00AC3E5C">
        <w:rPr>
          <w:lang w:val="ru-RU"/>
        </w:rPr>
        <w:t>(</w:t>
      </w:r>
      <w:r w:rsidRPr="00AC3E5C">
        <w:rPr>
          <w:lang w:val="en-US"/>
        </w:rPr>
        <w:t>Lactose</w:t>
      </w:r>
      <w:r w:rsidRPr="00AC3E5C">
        <w:rPr>
          <w:lang w:val="ru-RU"/>
        </w:rPr>
        <w:t xml:space="preserve"> </w:t>
      </w:r>
      <w:r w:rsidRPr="00AC3E5C">
        <w:rPr>
          <w:lang w:val="en-US"/>
        </w:rPr>
        <w:t>monohydrate</w:t>
      </w:r>
      <w:r w:rsidRPr="00AC3E5C">
        <w:rPr>
          <w:lang w:val="ru-RU"/>
        </w:rPr>
        <w:t>).</w:t>
      </w:r>
    </w:p>
    <w:p w14:paraId="292C914D" w14:textId="77777777" w:rsidR="00AC3E5C" w:rsidRPr="00AC3E5C" w:rsidRDefault="00AC3E5C" w:rsidP="00AC3E5C"/>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3B129A43" w14:textId="77B6F9B1" w:rsidR="00DF4C8E" w:rsidRDefault="00DF4C8E" w:rsidP="00DF4C8E">
      <w:pPr>
        <w:rPr>
          <w:rFonts w:cs="Arial"/>
          <w:sz w:val="24"/>
        </w:rPr>
      </w:pPr>
    </w:p>
    <w:p w14:paraId="4B0C071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Лечение на есенциална хипертония.</w:t>
      </w:r>
    </w:p>
    <w:p w14:paraId="2778E5A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Тази фиксирана дозова комбинация е показана при възрастни пациенти, чието кръвно налягане не е адекватно контролирано от самостоятелното приложение на ирбесартан или хидрохлоротиазид (вж. точка 5.1).</w:t>
      </w:r>
    </w:p>
    <w:p w14:paraId="4195FE20" w14:textId="77777777" w:rsidR="00AC3E5C" w:rsidRPr="00DF4C8E" w:rsidRDefault="00AC3E5C" w:rsidP="00DF4C8E">
      <w:pPr>
        <w:rPr>
          <w:rFonts w:cs="Arial"/>
          <w:sz w:val="24"/>
        </w:rPr>
      </w:pPr>
    </w:p>
    <w:p w14:paraId="778B4979" w14:textId="3666F6B6" w:rsidR="00DF4C8E" w:rsidRDefault="002C50EE" w:rsidP="00F44498">
      <w:pPr>
        <w:pStyle w:val="Heading2"/>
      </w:pPr>
      <w:r>
        <w:t>4.2. Дозировка и начин на приложение</w:t>
      </w:r>
    </w:p>
    <w:p w14:paraId="27137ABC" w14:textId="3158573D" w:rsidR="00AC3E5C" w:rsidRDefault="00AC3E5C" w:rsidP="00AC3E5C"/>
    <w:p w14:paraId="1B863BEF" w14:textId="77777777" w:rsidR="00AC3E5C" w:rsidRPr="00AC3E5C" w:rsidRDefault="00AC3E5C" w:rsidP="00AC3E5C">
      <w:pPr>
        <w:pStyle w:val="Heading3"/>
        <w:rPr>
          <w:rFonts w:ascii="Times New Roman" w:eastAsia="Times New Roman" w:hAnsi="Times New Roman" w:cs="Times New Roman"/>
          <w:u w:val="single"/>
        </w:rPr>
      </w:pPr>
      <w:r w:rsidRPr="00AC3E5C">
        <w:rPr>
          <w:rFonts w:eastAsia="Times New Roman"/>
          <w:u w:val="single"/>
          <w:lang w:eastAsia="bg-BG"/>
        </w:rPr>
        <w:t>Дозировка</w:t>
      </w:r>
    </w:p>
    <w:p w14:paraId="4A4FA3E3" w14:textId="77777777" w:rsidR="00AC3E5C" w:rsidRDefault="00AC3E5C" w:rsidP="00AC3E5C">
      <w:pPr>
        <w:spacing w:line="240" w:lineRule="auto"/>
        <w:rPr>
          <w:rFonts w:eastAsia="Times New Roman" w:cs="Arial"/>
          <w:color w:val="000000"/>
          <w:lang w:eastAsia="bg-BG"/>
        </w:rPr>
      </w:pPr>
    </w:p>
    <w:p w14:paraId="07B5FADF" w14:textId="295C059A"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Ко-Ирбесан може да се приема веднъж дневно с или без храна.</w:t>
      </w:r>
    </w:p>
    <w:p w14:paraId="6B65F59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Може да се препоръча титриране на дозата с отделните съставки (т.е. ирбесартан и хидрохлоротиазид).</w:t>
      </w:r>
    </w:p>
    <w:p w14:paraId="2E843EF2" w14:textId="77777777" w:rsidR="00AC3E5C" w:rsidRDefault="00AC3E5C" w:rsidP="00AC3E5C">
      <w:pPr>
        <w:spacing w:line="240" w:lineRule="auto"/>
        <w:rPr>
          <w:rFonts w:eastAsia="Times New Roman" w:cs="Arial"/>
          <w:color w:val="000000"/>
          <w:lang w:eastAsia="bg-BG"/>
        </w:rPr>
      </w:pPr>
    </w:p>
    <w:p w14:paraId="418B344A" w14:textId="6C4F051E"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Когато е клинично подходящо директното преминаване от монотерапия към фиксираните комбинации, може да се има предвид следното:</w:t>
      </w:r>
    </w:p>
    <w:p w14:paraId="6D60FE32" w14:textId="77777777" w:rsidR="00AC3E5C" w:rsidRPr="00AC3E5C" w:rsidRDefault="00AC3E5C" w:rsidP="00AC3E5C">
      <w:pPr>
        <w:pStyle w:val="ListParagraph"/>
        <w:numPr>
          <w:ilvl w:val="0"/>
          <w:numId w:val="34"/>
        </w:numPr>
        <w:spacing w:line="240" w:lineRule="auto"/>
        <w:rPr>
          <w:rFonts w:eastAsia="Times New Roman" w:cs="Arial"/>
          <w:color w:val="000000"/>
          <w:lang w:eastAsia="bg-BG"/>
        </w:rPr>
      </w:pPr>
      <w:r w:rsidRPr="00AC3E5C">
        <w:rPr>
          <w:rFonts w:eastAsia="Times New Roman" w:cs="Arial"/>
          <w:color w:val="000000"/>
          <w:lang w:eastAsia="bg-BG"/>
        </w:rPr>
        <w:lastRenderedPageBreak/>
        <w:t xml:space="preserve">Ко-Ирбесан 150 </w:t>
      </w:r>
      <w:r w:rsidRPr="00AC3E5C">
        <w:rPr>
          <w:rFonts w:eastAsia="Times New Roman" w:cs="Arial"/>
          <w:color w:val="000000"/>
          <w:lang w:val="en-US"/>
        </w:rPr>
        <w:t>mg</w:t>
      </w:r>
      <w:r w:rsidRPr="00AC3E5C">
        <w:rPr>
          <w:rFonts w:eastAsia="Times New Roman" w:cs="Arial"/>
          <w:color w:val="000000"/>
          <w:lang w:val="ru-RU"/>
        </w:rPr>
        <w:t>/1</w:t>
      </w:r>
      <w:r w:rsidRPr="00AC3E5C">
        <w:rPr>
          <w:rFonts w:eastAsia="Times New Roman" w:cs="Arial"/>
          <w:color w:val="000000"/>
          <w:lang w:eastAsia="bg-BG"/>
        </w:rPr>
        <w:t xml:space="preserve">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може да се прилага при пациенти, чието кръвно налягане не е адекватно контролирано със самостоятелното приложение на хидрохлоротиазид или ирбесартан 150 </w:t>
      </w:r>
      <w:r w:rsidRPr="00AC3E5C">
        <w:rPr>
          <w:rFonts w:eastAsia="Times New Roman" w:cs="Arial"/>
          <w:color w:val="000000"/>
          <w:lang w:val="en-US"/>
        </w:rPr>
        <w:t>mg</w:t>
      </w:r>
      <w:r w:rsidRPr="00AC3E5C">
        <w:rPr>
          <w:rFonts w:eastAsia="Times New Roman" w:cs="Arial"/>
          <w:color w:val="000000"/>
          <w:lang w:val="ru-RU"/>
        </w:rPr>
        <w:t>;</w:t>
      </w:r>
    </w:p>
    <w:p w14:paraId="14BD74DF" w14:textId="77777777" w:rsidR="00AC3E5C" w:rsidRPr="00AC3E5C" w:rsidRDefault="00AC3E5C" w:rsidP="00AC3E5C">
      <w:pPr>
        <w:pStyle w:val="ListParagraph"/>
        <w:numPr>
          <w:ilvl w:val="0"/>
          <w:numId w:val="34"/>
        </w:numPr>
        <w:spacing w:line="240" w:lineRule="auto"/>
        <w:rPr>
          <w:rFonts w:eastAsia="Times New Roman" w:cs="Arial"/>
          <w:color w:val="000000"/>
          <w:lang w:eastAsia="bg-BG"/>
        </w:rPr>
      </w:pPr>
      <w:r w:rsidRPr="00AC3E5C">
        <w:rPr>
          <w:rFonts w:eastAsia="Times New Roman" w:cs="Arial"/>
          <w:color w:val="000000"/>
          <w:lang w:eastAsia="bg-BG"/>
        </w:rPr>
        <w:t xml:space="preserve">Ко-Ирбесан 300 </w:t>
      </w:r>
      <w:r w:rsidRPr="00AC3E5C">
        <w:rPr>
          <w:rFonts w:eastAsia="Times New Roman" w:cs="Arial"/>
          <w:color w:val="000000"/>
          <w:lang w:val="en-US"/>
        </w:rPr>
        <w:t>mg</w:t>
      </w:r>
      <w:r w:rsidRPr="00AC3E5C">
        <w:rPr>
          <w:rFonts w:eastAsia="Times New Roman" w:cs="Arial"/>
          <w:color w:val="000000"/>
          <w:lang w:val="ru-RU"/>
        </w:rPr>
        <w:t xml:space="preserve">/12,5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може да се прилага при пациенти, при които не е постигнат достатъчен контрол със самостоятелното приложение на ирбесартан 300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или Ко- Ирбесан 150 </w:t>
      </w:r>
      <w:r w:rsidRPr="00AC3E5C">
        <w:rPr>
          <w:rFonts w:eastAsia="Times New Roman" w:cs="Arial"/>
          <w:color w:val="000000"/>
          <w:lang w:val="en-US"/>
        </w:rPr>
        <w:t>mg</w:t>
      </w:r>
      <w:r w:rsidRPr="00AC3E5C">
        <w:rPr>
          <w:rFonts w:eastAsia="Times New Roman" w:cs="Arial"/>
          <w:color w:val="000000"/>
          <w:lang w:val="ru-RU"/>
        </w:rPr>
        <w:t xml:space="preserve">/12,5 </w:t>
      </w:r>
      <w:r w:rsidRPr="00AC3E5C">
        <w:rPr>
          <w:rFonts w:eastAsia="Times New Roman" w:cs="Arial"/>
          <w:color w:val="000000"/>
          <w:lang w:val="en-US"/>
        </w:rPr>
        <w:t>mg</w:t>
      </w:r>
      <w:r w:rsidRPr="00AC3E5C">
        <w:rPr>
          <w:rFonts w:eastAsia="Times New Roman" w:cs="Arial"/>
          <w:color w:val="000000"/>
          <w:lang w:val="ru-RU"/>
        </w:rPr>
        <w:t>;</w:t>
      </w:r>
    </w:p>
    <w:p w14:paraId="77B5F89E" w14:textId="75E2B16C" w:rsidR="00AC3E5C" w:rsidRPr="00AC3E5C" w:rsidRDefault="00AC3E5C" w:rsidP="00AC3E5C">
      <w:pPr>
        <w:pStyle w:val="ListParagraph"/>
        <w:numPr>
          <w:ilvl w:val="0"/>
          <w:numId w:val="34"/>
        </w:numPr>
        <w:spacing w:line="240" w:lineRule="auto"/>
        <w:rPr>
          <w:rFonts w:eastAsia="Times New Roman" w:cs="Arial"/>
          <w:color w:val="000000"/>
          <w:lang w:eastAsia="bg-BG"/>
        </w:rPr>
      </w:pPr>
      <w:r w:rsidRPr="00AC3E5C">
        <w:rPr>
          <w:rFonts w:eastAsia="Times New Roman" w:cs="Arial"/>
          <w:color w:val="000000"/>
          <w:lang w:eastAsia="bg-BG"/>
        </w:rPr>
        <w:t xml:space="preserve">Ко-Ирбесан 300 </w:t>
      </w:r>
      <w:r w:rsidRPr="00AC3E5C">
        <w:rPr>
          <w:rFonts w:eastAsia="Times New Roman" w:cs="Arial"/>
          <w:color w:val="000000"/>
          <w:lang w:val="en-US"/>
        </w:rPr>
        <w:t>mg</w:t>
      </w:r>
      <w:r w:rsidRPr="00AC3E5C">
        <w:rPr>
          <w:rFonts w:eastAsia="Times New Roman" w:cs="Arial"/>
          <w:color w:val="000000"/>
          <w:lang w:val="ru-RU"/>
        </w:rPr>
        <w:t xml:space="preserve">/25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може да се прилага при пациенти, при които не е постигнат достатъчен контрол с Ко-Ирбесан 300 </w:t>
      </w:r>
      <w:r w:rsidRPr="00AC3E5C">
        <w:rPr>
          <w:rFonts w:eastAsia="Times New Roman" w:cs="Arial"/>
          <w:color w:val="000000"/>
          <w:lang w:val="en-US"/>
        </w:rPr>
        <w:t>mg</w:t>
      </w:r>
      <w:r w:rsidRPr="00AC3E5C">
        <w:rPr>
          <w:rFonts w:eastAsia="Times New Roman" w:cs="Arial"/>
          <w:color w:val="000000"/>
          <w:lang w:val="ru-RU"/>
        </w:rPr>
        <w:t xml:space="preserve">/12,5 </w:t>
      </w:r>
      <w:r w:rsidRPr="00AC3E5C">
        <w:rPr>
          <w:rFonts w:eastAsia="Times New Roman" w:cs="Arial"/>
          <w:color w:val="000000"/>
          <w:lang w:val="en-US"/>
        </w:rPr>
        <w:t>mg</w:t>
      </w:r>
      <w:r w:rsidRPr="00AC3E5C">
        <w:rPr>
          <w:rFonts w:eastAsia="Times New Roman" w:cs="Arial"/>
          <w:color w:val="000000"/>
          <w:lang w:val="ru-RU"/>
        </w:rPr>
        <w:t>.</w:t>
      </w:r>
    </w:p>
    <w:p w14:paraId="0947E999" w14:textId="77777777" w:rsidR="00AC3E5C" w:rsidRDefault="00AC3E5C" w:rsidP="00AC3E5C">
      <w:pPr>
        <w:spacing w:line="240" w:lineRule="auto"/>
        <w:rPr>
          <w:rFonts w:eastAsia="Times New Roman" w:cs="Arial"/>
          <w:color w:val="000000"/>
          <w:lang w:eastAsia="bg-BG"/>
        </w:rPr>
      </w:pPr>
    </w:p>
    <w:p w14:paraId="1B0FCAC6" w14:textId="43395392"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Не се препоръчват еднократен дневен прием на дози по-високи от 300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ирбесар</w:t>
      </w:r>
      <w:r w:rsidRPr="00AC3E5C">
        <w:rPr>
          <w:rFonts w:eastAsia="Times New Roman" w:cs="Arial"/>
          <w:color w:val="000000"/>
          <w:u w:val="single"/>
          <w:lang w:eastAsia="bg-BG"/>
        </w:rPr>
        <w:t>дн и 2</w:t>
      </w:r>
      <w:r w:rsidRPr="00AC3E5C">
        <w:rPr>
          <w:rFonts w:eastAsia="Times New Roman" w:cs="Arial"/>
          <w:color w:val="000000"/>
          <w:lang w:eastAsia="bg-BG"/>
        </w:rPr>
        <w:t xml:space="preserve">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хидрохлоротиазид.</w:t>
      </w:r>
    </w:p>
    <w:p w14:paraId="47E2CDB2"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При необходимост Ко-Ирбесан може да се приема заедно с други антихипертензивни средства (вж.точки 4.3, 4.4, 4.5 и 5.1).</w:t>
      </w:r>
    </w:p>
    <w:p w14:paraId="7B3B9E45" w14:textId="77777777" w:rsidR="00AC3E5C" w:rsidRDefault="00AC3E5C" w:rsidP="00AC3E5C">
      <w:pPr>
        <w:rPr>
          <w:rFonts w:eastAsia="Times New Roman" w:cs="Arial"/>
          <w:color w:val="000000"/>
          <w:u w:val="single"/>
          <w:lang w:eastAsia="bg-BG"/>
        </w:rPr>
      </w:pPr>
    </w:p>
    <w:p w14:paraId="251789F1" w14:textId="3933B1E1" w:rsidR="00AC3E5C" w:rsidRDefault="00AC3E5C" w:rsidP="00AC3E5C">
      <w:pPr>
        <w:rPr>
          <w:rFonts w:eastAsia="Times New Roman" w:cs="Arial"/>
          <w:color w:val="000000"/>
          <w:u w:val="single"/>
          <w:lang w:eastAsia="bg-BG"/>
        </w:rPr>
      </w:pPr>
      <w:r w:rsidRPr="00AC3E5C">
        <w:rPr>
          <w:rFonts w:eastAsia="Times New Roman" w:cs="Arial"/>
          <w:color w:val="000000"/>
          <w:u w:val="single"/>
          <w:lang w:eastAsia="bg-BG"/>
        </w:rPr>
        <w:t>Специални популации</w:t>
      </w:r>
    </w:p>
    <w:p w14:paraId="0F3BE579" w14:textId="07DF198B" w:rsidR="00AC3E5C" w:rsidRDefault="00AC3E5C" w:rsidP="00AC3E5C">
      <w:pPr>
        <w:rPr>
          <w:rFonts w:eastAsia="Times New Roman" w:cs="Arial"/>
          <w:color w:val="000000"/>
          <w:u w:val="single"/>
          <w:lang w:eastAsia="bg-BG"/>
        </w:rPr>
      </w:pPr>
    </w:p>
    <w:p w14:paraId="61797CBE"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lang w:eastAsia="bg-BG"/>
        </w:rPr>
        <w:t>Бъбречно увреждане:</w:t>
      </w:r>
    </w:p>
    <w:p w14:paraId="0CB36CB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Поради съдържанието на хидрохлоротиазид, Ко-Ирбесан не се препоръчва при пациенти с тежка бъбречна недостатъчност (креатининов клирънс &lt; 30 </w:t>
      </w:r>
      <w:r w:rsidRPr="00AC3E5C">
        <w:rPr>
          <w:rFonts w:eastAsia="Times New Roman" w:cs="Arial"/>
          <w:color w:val="000000"/>
          <w:lang w:val="en-US"/>
        </w:rPr>
        <w:t>ml</w:t>
      </w:r>
      <w:r w:rsidRPr="00AC3E5C">
        <w:rPr>
          <w:rFonts w:eastAsia="Times New Roman" w:cs="Arial"/>
          <w:color w:val="000000"/>
          <w:lang w:val="ru-RU"/>
        </w:rPr>
        <w:t>/</w:t>
      </w:r>
      <w:r w:rsidRPr="00AC3E5C">
        <w:rPr>
          <w:rFonts w:eastAsia="Times New Roman" w:cs="Arial"/>
          <w:color w:val="000000"/>
          <w:lang w:val="en-US"/>
        </w:rPr>
        <w:t>min</w:t>
      </w:r>
      <w:r w:rsidRPr="00AC3E5C">
        <w:rPr>
          <w:rFonts w:eastAsia="Times New Roman" w:cs="Arial"/>
          <w:color w:val="000000"/>
          <w:lang w:val="ru-RU"/>
        </w:rPr>
        <w:t xml:space="preserve">). </w:t>
      </w:r>
      <w:r w:rsidRPr="00AC3E5C">
        <w:rPr>
          <w:rFonts w:eastAsia="Times New Roman" w:cs="Arial"/>
          <w:color w:val="000000"/>
          <w:lang w:eastAsia="bg-BG"/>
        </w:rPr>
        <w:t xml:space="preserve">При тази група болни се предпочита прилагането на бримкови диуретици, вместо тиазидни. При пациенти с креатининов клирънс ≥ 30 </w:t>
      </w:r>
      <w:r w:rsidRPr="00AC3E5C">
        <w:rPr>
          <w:rFonts w:eastAsia="Times New Roman" w:cs="Arial"/>
          <w:color w:val="000000"/>
          <w:lang w:val="en-US"/>
        </w:rPr>
        <w:t>ml</w:t>
      </w:r>
      <w:r w:rsidRPr="00AC3E5C">
        <w:rPr>
          <w:rFonts w:eastAsia="Times New Roman" w:cs="Arial"/>
          <w:color w:val="000000"/>
          <w:lang w:val="ru-RU"/>
        </w:rPr>
        <w:t>/</w:t>
      </w:r>
      <w:r w:rsidRPr="00AC3E5C">
        <w:rPr>
          <w:rFonts w:eastAsia="Times New Roman" w:cs="Arial"/>
          <w:color w:val="000000"/>
          <w:lang w:val="en-US"/>
        </w:rPr>
        <w:t>min</w:t>
      </w:r>
      <w:r w:rsidRPr="00AC3E5C">
        <w:rPr>
          <w:rFonts w:eastAsia="Times New Roman" w:cs="Arial"/>
          <w:color w:val="000000"/>
          <w:lang w:val="ru-RU"/>
        </w:rPr>
        <w:t xml:space="preserve"> </w:t>
      </w:r>
      <w:r w:rsidRPr="00AC3E5C">
        <w:rPr>
          <w:rFonts w:eastAsia="Times New Roman" w:cs="Arial"/>
          <w:color w:val="000000"/>
          <w:lang w:eastAsia="bg-BG"/>
        </w:rPr>
        <w:t>не е необходимо адаптиране на дозировката ( вж. точки 4.3 и 4.4).</w:t>
      </w:r>
    </w:p>
    <w:p w14:paraId="5E4B074C" w14:textId="77777777" w:rsidR="00AC3E5C" w:rsidRDefault="00AC3E5C" w:rsidP="00AC3E5C">
      <w:pPr>
        <w:spacing w:line="240" w:lineRule="auto"/>
        <w:rPr>
          <w:rFonts w:eastAsia="Times New Roman" w:cs="Arial"/>
          <w:i/>
          <w:iCs/>
          <w:color w:val="000000"/>
          <w:u w:val="single"/>
          <w:lang w:eastAsia="bg-BG"/>
        </w:rPr>
      </w:pPr>
    </w:p>
    <w:p w14:paraId="5A5EDE08" w14:textId="5AC1F7C4"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Чернодробно увреждане:</w:t>
      </w:r>
    </w:p>
    <w:p w14:paraId="0478B72C"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Ко-Ирбесан не е показан при пациенти с тежко чернодробно увреждане. Необходимо е повишено внимание при приложението на тиазиди пациенти с увредена чернодробна функция. При болни с лека и умерена степен на чернодробна недостатъчност не се налага адаптиране на дозата на Ко-Ирбесан (вж. точка 4.3).</w:t>
      </w:r>
    </w:p>
    <w:p w14:paraId="34BF9669" w14:textId="77777777" w:rsidR="00AC3E5C" w:rsidRDefault="00AC3E5C" w:rsidP="00AC3E5C">
      <w:pPr>
        <w:spacing w:line="240" w:lineRule="auto"/>
        <w:rPr>
          <w:rFonts w:eastAsia="Times New Roman" w:cs="Arial"/>
          <w:i/>
          <w:iCs/>
          <w:color w:val="000000"/>
          <w:lang w:eastAsia="bg-BG"/>
        </w:rPr>
      </w:pPr>
    </w:p>
    <w:p w14:paraId="2617B36E" w14:textId="7F63DA6D"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lang w:eastAsia="bg-BG"/>
        </w:rPr>
        <w:t>Пациенти в старческа възраст</w:t>
      </w:r>
    </w:p>
    <w:p w14:paraId="764B4F63"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 се налага адаптиране на дозата.</w:t>
      </w:r>
    </w:p>
    <w:p w14:paraId="42316D4B" w14:textId="77777777" w:rsidR="00AC3E5C" w:rsidRPr="00AC3E5C" w:rsidRDefault="00AC3E5C" w:rsidP="00AC3E5C">
      <w:pPr>
        <w:spacing w:line="240" w:lineRule="auto"/>
        <w:rPr>
          <w:rFonts w:ascii="Times New Roman" w:eastAsia="Times New Roman" w:hAnsi="Times New Roman" w:cs="Times New Roman"/>
        </w:rPr>
      </w:pPr>
    </w:p>
    <w:p w14:paraId="7D3AB879"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lang w:eastAsia="bg-BG"/>
        </w:rPr>
        <w:t>Педиатрична популация</w:t>
      </w:r>
    </w:p>
    <w:p w14:paraId="50C3FF2E"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 се препоръчва употребата на Ко-Ирбесан при деца и юноши, тъй като безопасността и ефективността не са установени. Липсват данни.</w:t>
      </w:r>
    </w:p>
    <w:p w14:paraId="7A13EE40" w14:textId="77777777" w:rsidR="00AC3E5C" w:rsidRDefault="00AC3E5C" w:rsidP="00AC3E5C">
      <w:pPr>
        <w:spacing w:line="240" w:lineRule="auto"/>
        <w:rPr>
          <w:rFonts w:eastAsia="Times New Roman" w:cs="Arial"/>
          <w:color w:val="000000"/>
          <w:u w:val="single"/>
          <w:lang w:eastAsia="bg-BG"/>
        </w:rPr>
      </w:pPr>
    </w:p>
    <w:p w14:paraId="0A21600E" w14:textId="34FA1C14" w:rsidR="00AC3E5C" w:rsidRPr="00AC3E5C" w:rsidRDefault="00AC3E5C" w:rsidP="00AC3E5C">
      <w:pPr>
        <w:pStyle w:val="Heading3"/>
        <w:rPr>
          <w:rFonts w:ascii="Times New Roman" w:eastAsia="Times New Roman" w:hAnsi="Times New Roman" w:cs="Times New Roman"/>
          <w:u w:val="single"/>
        </w:rPr>
      </w:pPr>
      <w:r w:rsidRPr="00AC3E5C">
        <w:rPr>
          <w:rFonts w:eastAsia="Times New Roman"/>
          <w:u w:val="single"/>
          <w:lang w:eastAsia="bg-BG"/>
        </w:rPr>
        <w:t>Начин на приложение</w:t>
      </w:r>
    </w:p>
    <w:p w14:paraId="3D6EB27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Перорално приложение.</w:t>
      </w:r>
    </w:p>
    <w:p w14:paraId="18BABA39" w14:textId="4E86EAC8" w:rsidR="00AC3E5C" w:rsidRPr="00AC3E5C" w:rsidRDefault="00AC3E5C" w:rsidP="00AC3E5C"/>
    <w:p w14:paraId="6A85390E" w14:textId="67E6BF27" w:rsidR="00DF4C8E" w:rsidRDefault="002C50EE" w:rsidP="00F44498">
      <w:pPr>
        <w:pStyle w:val="Heading2"/>
      </w:pPr>
      <w:r>
        <w:t>4.3. Противопоказания</w:t>
      </w:r>
    </w:p>
    <w:p w14:paraId="1A402917" w14:textId="2A751CBE" w:rsidR="00AC3E5C" w:rsidRDefault="00AC3E5C" w:rsidP="00AC3E5C"/>
    <w:p w14:paraId="67A06931" w14:textId="77777777" w:rsidR="00AC3E5C" w:rsidRPr="00AC3E5C" w:rsidRDefault="00AC3E5C" w:rsidP="00AC3E5C">
      <w:pPr>
        <w:pStyle w:val="ListParagraph"/>
        <w:numPr>
          <w:ilvl w:val="0"/>
          <w:numId w:val="35"/>
        </w:numPr>
        <w:spacing w:line="240" w:lineRule="auto"/>
        <w:rPr>
          <w:rFonts w:ascii="Times New Roman" w:eastAsia="Times New Roman" w:hAnsi="Times New Roman" w:cs="Times New Roman"/>
        </w:rPr>
      </w:pPr>
      <w:r w:rsidRPr="00AC3E5C">
        <w:rPr>
          <w:rFonts w:eastAsia="Times New Roman" w:cs="Arial"/>
          <w:color w:val="000000"/>
          <w:lang w:eastAsia="bg-BG"/>
        </w:rPr>
        <w:t>Свръхчувствителност към активните вещества или към някое от помощните вещества, изброени в точка 6.1, или към другите сулфонамидни производни (хидрохлортиазид е производно на сулфонамидите)</w:t>
      </w:r>
    </w:p>
    <w:p w14:paraId="78A00D80" w14:textId="77777777" w:rsidR="00AC3E5C" w:rsidRPr="00AC3E5C" w:rsidRDefault="00AC3E5C" w:rsidP="00AC3E5C">
      <w:pPr>
        <w:pStyle w:val="ListParagraph"/>
        <w:numPr>
          <w:ilvl w:val="0"/>
          <w:numId w:val="35"/>
        </w:numPr>
        <w:spacing w:line="240" w:lineRule="auto"/>
        <w:rPr>
          <w:rFonts w:ascii="Times New Roman" w:eastAsia="Times New Roman" w:hAnsi="Times New Roman" w:cs="Times New Roman"/>
        </w:rPr>
      </w:pPr>
      <w:r w:rsidRPr="00AC3E5C">
        <w:rPr>
          <w:rFonts w:eastAsia="Times New Roman" w:cs="Arial"/>
          <w:color w:val="000000"/>
          <w:lang w:eastAsia="bg-BG"/>
        </w:rPr>
        <w:t>Втори и трети триместьр на бременността (вж. точки 4.4 и 4.6)</w:t>
      </w:r>
    </w:p>
    <w:p w14:paraId="1ECF44CD" w14:textId="77777777" w:rsidR="00AC3E5C" w:rsidRPr="00AC3E5C" w:rsidRDefault="00AC3E5C" w:rsidP="00AC3E5C">
      <w:pPr>
        <w:pStyle w:val="ListParagraph"/>
        <w:numPr>
          <w:ilvl w:val="0"/>
          <w:numId w:val="35"/>
        </w:numPr>
        <w:spacing w:line="240" w:lineRule="auto"/>
        <w:rPr>
          <w:rFonts w:ascii="Times New Roman" w:eastAsia="Times New Roman" w:hAnsi="Times New Roman" w:cs="Times New Roman"/>
        </w:rPr>
      </w:pPr>
      <w:r w:rsidRPr="00AC3E5C">
        <w:rPr>
          <w:rFonts w:eastAsia="Times New Roman" w:cs="Arial"/>
          <w:color w:val="000000"/>
          <w:lang w:eastAsia="bg-BG"/>
        </w:rPr>
        <w:t xml:space="preserve">Тежко бъбречно увреждане (креатининов клирънс &lt; 30 </w:t>
      </w:r>
      <w:r w:rsidRPr="00AC3E5C">
        <w:rPr>
          <w:rFonts w:eastAsia="Times New Roman" w:cs="Arial"/>
          <w:color w:val="000000"/>
          <w:lang w:val="en-US"/>
        </w:rPr>
        <w:t>ml</w:t>
      </w:r>
      <w:r w:rsidRPr="00AC3E5C">
        <w:rPr>
          <w:rFonts w:eastAsia="Times New Roman" w:cs="Arial"/>
          <w:color w:val="000000"/>
          <w:lang w:val="ru-RU"/>
        </w:rPr>
        <w:t>/</w:t>
      </w:r>
      <w:r w:rsidRPr="00AC3E5C">
        <w:rPr>
          <w:rFonts w:eastAsia="Times New Roman" w:cs="Arial"/>
          <w:color w:val="000000"/>
          <w:lang w:val="en-US"/>
        </w:rPr>
        <w:t>min</w:t>
      </w:r>
      <w:r w:rsidRPr="00AC3E5C">
        <w:rPr>
          <w:rFonts w:eastAsia="Times New Roman" w:cs="Arial"/>
          <w:color w:val="000000"/>
          <w:lang w:val="ru-RU"/>
        </w:rPr>
        <w:t>)</w:t>
      </w:r>
    </w:p>
    <w:p w14:paraId="7E89027B" w14:textId="77777777" w:rsidR="00AC3E5C" w:rsidRPr="00AC3E5C" w:rsidRDefault="00AC3E5C" w:rsidP="00AC3E5C">
      <w:pPr>
        <w:pStyle w:val="ListParagraph"/>
        <w:numPr>
          <w:ilvl w:val="0"/>
          <w:numId w:val="35"/>
        </w:numPr>
        <w:spacing w:line="240" w:lineRule="auto"/>
        <w:rPr>
          <w:rFonts w:ascii="Times New Roman" w:eastAsia="Times New Roman" w:hAnsi="Times New Roman" w:cs="Times New Roman"/>
        </w:rPr>
      </w:pPr>
      <w:r w:rsidRPr="00AC3E5C">
        <w:rPr>
          <w:rFonts w:eastAsia="Times New Roman" w:cs="Arial"/>
          <w:color w:val="000000"/>
          <w:lang w:eastAsia="bg-BG"/>
        </w:rPr>
        <w:t>Рефрактерна хипокалиемия, хи перкалциемия</w:t>
      </w:r>
    </w:p>
    <w:p w14:paraId="595C347B" w14:textId="77777777" w:rsidR="00AC3E5C" w:rsidRPr="00AC3E5C" w:rsidRDefault="00AC3E5C" w:rsidP="00AC3E5C">
      <w:pPr>
        <w:pStyle w:val="ListParagraph"/>
        <w:numPr>
          <w:ilvl w:val="0"/>
          <w:numId w:val="35"/>
        </w:numPr>
        <w:spacing w:line="240" w:lineRule="auto"/>
        <w:rPr>
          <w:rFonts w:ascii="Times New Roman" w:eastAsia="Times New Roman" w:hAnsi="Times New Roman" w:cs="Times New Roman"/>
        </w:rPr>
      </w:pPr>
      <w:r w:rsidRPr="00AC3E5C">
        <w:rPr>
          <w:rFonts w:eastAsia="Times New Roman" w:cs="Arial"/>
          <w:color w:val="000000"/>
          <w:lang w:eastAsia="bg-BG"/>
        </w:rPr>
        <w:t>Чернодробно увреждане, билиарна цироза и холестаза</w:t>
      </w:r>
    </w:p>
    <w:p w14:paraId="6454E892" w14:textId="7230E8B4" w:rsidR="00AC3E5C" w:rsidRPr="00AC3E5C" w:rsidRDefault="00AC3E5C" w:rsidP="00AC3E5C">
      <w:pPr>
        <w:pStyle w:val="ListParagraph"/>
        <w:numPr>
          <w:ilvl w:val="0"/>
          <w:numId w:val="35"/>
        </w:numPr>
        <w:spacing w:line="240" w:lineRule="auto"/>
        <w:rPr>
          <w:rFonts w:ascii="Times New Roman" w:eastAsia="Times New Roman" w:hAnsi="Times New Roman" w:cs="Times New Roman"/>
        </w:rPr>
      </w:pPr>
      <w:r w:rsidRPr="00AC3E5C">
        <w:rPr>
          <w:rFonts w:eastAsia="Times New Roman" w:cs="Arial"/>
          <w:color w:val="000000"/>
          <w:lang w:eastAsia="bg-BG"/>
        </w:rPr>
        <w:lastRenderedPageBreak/>
        <w:t xml:space="preserve">Едновременното приложение на Ко-Ирбесан с алискирен-съдържащи продукти е противопоказано при пациенти със захарен диабет или бъбречно увреждане (скорост на гломерулна филтрация </w:t>
      </w:r>
      <w:r w:rsidRPr="00AC3E5C">
        <w:rPr>
          <w:rFonts w:eastAsia="Times New Roman" w:cs="Arial"/>
          <w:color w:val="000000"/>
          <w:lang w:val="ru-RU"/>
        </w:rPr>
        <w:t>(</w:t>
      </w:r>
      <w:r w:rsidRPr="00AC3E5C">
        <w:rPr>
          <w:rFonts w:eastAsia="Times New Roman" w:cs="Arial"/>
          <w:color w:val="000000"/>
          <w:lang w:val="en-US"/>
        </w:rPr>
        <w:t>GFR</w:t>
      </w:r>
      <w:r w:rsidRPr="00AC3E5C">
        <w:rPr>
          <w:rFonts w:eastAsia="Times New Roman" w:cs="Arial"/>
          <w:color w:val="000000"/>
          <w:lang w:val="ru-RU"/>
        </w:rPr>
        <w:t xml:space="preserve">) </w:t>
      </w:r>
      <w:r w:rsidRPr="00AC3E5C">
        <w:rPr>
          <w:rFonts w:eastAsia="Times New Roman" w:cs="Arial"/>
          <w:color w:val="000000"/>
          <w:lang w:eastAsia="bg-BG"/>
        </w:rPr>
        <w:t xml:space="preserve">&lt; 60 </w:t>
      </w:r>
      <w:r w:rsidRPr="00AC3E5C">
        <w:rPr>
          <w:rFonts w:eastAsia="Times New Roman" w:cs="Arial"/>
          <w:color w:val="000000"/>
          <w:lang w:val="en-US"/>
        </w:rPr>
        <w:t>ml</w:t>
      </w:r>
      <w:r w:rsidRPr="00AC3E5C">
        <w:rPr>
          <w:rFonts w:eastAsia="Times New Roman" w:cs="Arial"/>
          <w:color w:val="000000"/>
          <w:lang w:val="ru-RU"/>
        </w:rPr>
        <w:t>/</w:t>
      </w:r>
      <w:r w:rsidRPr="00AC3E5C">
        <w:rPr>
          <w:rFonts w:eastAsia="Times New Roman" w:cs="Arial"/>
          <w:color w:val="000000"/>
          <w:lang w:val="en-US"/>
        </w:rPr>
        <w:t>min</w:t>
      </w:r>
      <w:r w:rsidRPr="00AC3E5C">
        <w:rPr>
          <w:rFonts w:eastAsia="Times New Roman" w:cs="Arial"/>
          <w:color w:val="000000"/>
          <w:lang w:val="ru-RU"/>
        </w:rPr>
        <w:t xml:space="preserve">/1,73 </w:t>
      </w:r>
      <w:r w:rsidRPr="00AC3E5C">
        <w:rPr>
          <w:rFonts w:eastAsia="Times New Roman" w:cs="Arial"/>
          <w:color w:val="000000"/>
          <w:lang w:eastAsia="bg-BG"/>
        </w:rPr>
        <w:t>m2) (вж. точки 4.5 и 5.1)</w:t>
      </w:r>
    </w:p>
    <w:p w14:paraId="69DC6024" w14:textId="77777777" w:rsidR="00AC3E5C" w:rsidRPr="00AC3E5C" w:rsidRDefault="00AC3E5C" w:rsidP="00AC3E5C"/>
    <w:p w14:paraId="115C9528" w14:textId="41563810" w:rsidR="00DF4C8E" w:rsidRDefault="002C50EE" w:rsidP="00F44498">
      <w:pPr>
        <w:pStyle w:val="Heading2"/>
      </w:pPr>
      <w:r>
        <w:t>4.4. Специални предупреждения и предпазни мерки при употреба</w:t>
      </w:r>
    </w:p>
    <w:p w14:paraId="23B18E70" w14:textId="6DB2233F" w:rsidR="00AC3E5C" w:rsidRDefault="00AC3E5C" w:rsidP="00AC3E5C"/>
    <w:p w14:paraId="0E76277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Хипотония - пациенти с намален вътресъдов обем</w:t>
      </w:r>
    </w:p>
    <w:p w14:paraId="65D3CE4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Ко-Ирбесан рядко предизвиква симптоматична хипотония при хипертензивни пациенти без други рискови фактори за развитие на хипотония. Симптоматичната хипотония може да се очаква да настъпи при пациенти с хиповолемия и/или недостиг на натрий поради провеждане на интензивно лечение с диуретици, диета с ограничен прием на натрий или повръщане. Тези състояния трябва да бъдат овладяни преди започване на лечението Ко-Ирбесан.</w:t>
      </w:r>
    </w:p>
    <w:p w14:paraId="7F083367" w14:textId="77777777" w:rsidR="00AC3E5C" w:rsidRPr="00AC3E5C" w:rsidRDefault="00AC3E5C" w:rsidP="00AC3E5C">
      <w:pPr>
        <w:spacing w:line="240" w:lineRule="auto"/>
        <w:rPr>
          <w:rFonts w:eastAsia="Times New Roman" w:cs="Arial"/>
          <w:color w:val="000000"/>
          <w:u w:val="single"/>
          <w:lang w:eastAsia="bg-BG"/>
        </w:rPr>
      </w:pPr>
    </w:p>
    <w:p w14:paraId="099D5B6E" w14:textId="1F5AF225"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Стеноза на бъбречната артерия - Реноваскуларна хипертония</w:t>
      </w:r>
    </w:p>
    <w:p w14:paraId="74C93212"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При пациенти с билатерална стеноза на бъбречната артерия или стеноза на артерията на едиствения функциониращ бъбрек съществува риск от развитие на тежка хипотония и бъбречна недостатъчност при лечение с инхибитори на ангиотензин-конвертиращия ензим или с ангиотензин-11 рецепторни антагонисти. Въпреки, че това не е документирано при Ко-Ирбесан подобен ефект трябва да се очаква.</w:t>
      </w:r>
    </w:p>
    <w:p w14:paraId="6D062233" w14:textId="77777777" w:rsidR="00AC3E5C" w:rsidRPr="00AC3E5C" w:rsidRDefault="00AC3E5C" w:rsidP="00AC3E5C">
      <w:pPr>
        <w:rPr>
          <w:rFonts w:eastAsia="Times New Roman" w:cs="Arial"/>
          <w:color w:val="000000"/>
          <w:u w:val="single"/>
          <w:lang w:eastAsia="bg-BG"/>
        </w:rPr>
      </w:pPr>
    </w:p>
    <w:p w14:paraId="65FF0971" w14:textId="78A8FEEF" w:rsidR="00AC3E5C" w:rsidRPr="00AC3E5C" w:rsidRDefault="00AC3E5C" w:rsidP="00AC3E5C">
      <w:pPr>
        <w:rPr>
          <w:rFonts w:eastAsia="Times New Roman" w:cs="Arial"/>
          <w:color w:val="000000"/>
          <w:u w:val="single"/>
          <w:lang w:eastAsia="bg-BG"/>
        </w:rPr>
      </w:pPr>
      <w:r w:rsidRPr="00AC3E5C">
        <w:rPr>
          <w:rFonts w:eastAsia="Times New Roman" w:cs="Arial"/>
          <w:color w:val="000000"/>
          <w:u w:val="single"/>
          <w:lang w:eastAsia="bg-BG"/>
        </w:rPr>
        <w:t>Бъбречно увреждане и бъбречна трансплантация</w:t>
      </w:r>
    </w:p>
    <w:p w14:paraId="4D23927F"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При лечение с комбинацията Ко-Ирбесан на пациенти с увредена бъбречна функция се препоръчва периодично проследяване на серумните концентрации на калий, серумния креатинин и пикочна киселина.</w:t>
      </w:r>
    </w:p>
    <w:p w14:paraId="68B7F4A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 е натрупан достатъчен клиничен опит по отношение прилагането на Ко-Ирбесан при пациенти с наскоро извършена бъбречна трансплантация.</w:t>
      </w:r>
    </w:p>
    <w:p w14:paraId="7432187D"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При тежка бъбречна недостатъчност (креатининов клирънс &lt; 30 </w:t>
      </w:r>
      <w:r w:rsidRPr="00AC3E5C">
        <w:rPr>
          <w:rFonts w:eastAsia="Times New Roman" w:cs="Arial"/>
          <w:color w:val="000000"/>
          <w:lang w:val="en-US"/>
        </w:rPr>
        <w:t>ml</w:t>
      </w:r>
      <w:r w:rsidRPr="00AC3E5C">
        <w:rPr>
          <w:rFonts w:eastAsia="Times New Roman" w:cs="Arial"/>
          <w:color w:val="000000"/>
          <w:lang w:val="ru-RU"/>
        </w:rPr>
        <w:t>/</w:t>
      </w:r>
      <w:r w:rsidRPr="00AC3E5C">
        <w:rPr>
          <w:rFonts w:eastAsia="Times New Roman" w:cs="Arial"/>
          <w:color w:val="000000"/>
          <w:lang w:val="en-US"/>
        </w:rPr>
        <w:t>min</w:t>
      </w:r>
      <w:r w:rsidRPr="00AC3E5C">
        <w:rPr>
          <w:rFonts w:eastAsia="Times New Roman" w:cs="Arial"/>
          <w:color w:val="000000"/>
          <w:lang w:val="ru-RU"/>
        </w:rPr>
        <w:t xml:space="preserve">) </w:t>
      </w:r>
      <w:r w:rsidRPr="00AC3E5C">
        <w:rPr>
          <w:rFonts w:eastAsia="Times New Roman" w:cs="Arial"/>
          <w:color w:val="000000"/>
          <w:lang w:eastAsia="bg-BG"/>
        </w:rPr>
        <w:t>не трябва да се прилага Ко-Ирбесан (вж.точка 4.3).</w:t>
      </w:r>
    </w:p>
    <w:p w14:paraId="40E2617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При пациенти с увредена бъбречна функция може да се отчете азотемия, свързана с тиазидния диуретик. При болни с бъбречна недостатъчност и кретининов клирънс ≥30 </w:t>
      </w:r>
      <w:r w:rsidRPr="00AC3E5C">
        <w:rPr>
          <w:rFonts w:eastAsia="Times New Roman" w:cs="Arial"/>
          <w:color w:val="000000"/>
          <w:lang w:val="en-US"/>
        </w:rPr>
        <w:t>ml</w:t>
      </w:r>
      <w:r w:rsidRPr="00AC3E5C">
        <w:rPr>
          <w:rFonts w:eastAsia="Times New Roman" w:cs="Arial"/>
          <w:color w:val="000000"/>
          <w:lang w:val="ru-RU"/>
        </w:rPr>
        <w:t>/</w:t>
      </w:r>
      <w:proofErr w:type="spellStart"/>
      <w:r w:rsidRPr="00AC3E5C">
        <w:rPr>
          <w:rFonts w:eastAsia="Times New Roman" w:cs="Arial"/>
          <w:color w:val="000000"/>
          <w:lang w:val="en-US"/>
        </w:rPr>
        <w:t>mtn</w:t>
      </w:r>
      <w:proofErr w:type="spellEnd"/>
      <w:r w:rsidRPr="00AC3E5C">
        <w:rPr>
          <w:rFonts w:eastAsia="Times New Roman" w:cs="Arial"/>
          <w:color w:val="000000"/>
          <w:lang w:val="ru-RU"/>
        </w:rPr>
        <w:t xml:space="preserve"> </w:t>
      </w:r>
      <w:r w:rsidRPr="00AC3E5C">
        <w:rPr>
          <w:rFonts w:eastAsia="Times New Roman" w:cs="Arial"/>
          <w:color w:val="000000"/>
          <w:lang w:eastAsia="bg-BG"/>
        </w:rPr>
        <w:t xml:space="preserve">не се налага адаптиране на дозата, но при пациенти с леко до умерено бъбречно увреждане (клирънс &gt;30 </w:t>
      </w:r>
      <w:r w:rsidRPr="00AC3E5C">
        <w:rPr>
          <w:rFonts w:eastAsia="Times New Roman" w:cs="Arial"/>
          <w:color w:val="000000"/>
          <w:lang w:val="en-US"/>
        </w:rPr>
        <w:t>ml</w:t>
      </w:r>
      <w:r w:rsidRPr="00AC3E5C">
        <w:rPr>
          <w:rFonts w:eastAsia="Times New Roman" w:cs="Arial"/>
          <w:color w:val="000000"/>
          <w:lang w:val="ru-RU"/>
        </w:rPr>
        <w:t>/</w:t>
      </w:r>
      <w:r w:rsidRPr="00AC3E5C">
        <w:rPr>
          <w:rFonts w:eastAsia="Times New Roman" w:cs="Arial"/>
          <w:color w:val="000000"/>
          <w:lang w:val="en-US"/>
        </w:rPr>
        <w:t>min</w:t>
      </w:r>
      <w:r w:rsidRPr="00AC3E5C">
        <w:rPr>
          <w:rFonts w:eastAsia="Times New Roman" w:cs="Arial"/>
          <w:color w:val="000000"/>
          <w:lang w:val="ru-RU"/>
        </w:rPr>
        <w:t xml:space="preserve">, </w:t>
      </w:r>
      <w:r w:rsidRPr="00AC3E5C">
        <w:rPr>
          <w:rFonts w:eastAsia="Times New Roman" w:cs="Arial"/>
          <w:color w:val="000000"/>
          <w:lang w:eastAsia="bg-BG"/>
        </w:rPr>
        <w:t xml:space="preserve">но &lt; 60 </w:t>
      </w:r>
      <w:r w:rsidRPr="00AC3E5C">
        <w:rPr>
          <w:rFonts w:eastAsia="Times New Roman" w:cs="Arial"/>
          <w:color w:val="000000"/>
          <w:lang w:val="en-US"/>
        </w:rPr>
        <w:t>ml</w:t>
      </w:r>
      <w:r w:rsidRPr="00AC3E5C">
        <w:rPr>
          <w:rFonts w:eastAsia="Times New Roman" w:cs="Arial"/>
          <w:color w:val="000000"/>
          <w:lang w:val="ru-RU"/>
        </w:rPr>
        <w:t>/</w:t>
      </w:r>
      <w:r w:rsidRPr="00AC3E5C">
        <w:rPr>
          <w:rFonts w:eastAsia="Times New Roman" w:cs="Arial"/>
          <w:color w:val="000000"/>
          <w:lang w:val="en-US"/>
        </w:rPr>
        <w:t>min</w:t>
      </w:r>
      <w:r w:rsidRPr="00AC3E5C">
        <w:rPr>
          <w:rFonts w:eastAsia="Times New Roman" w:cs="Arial"/>
          <w:color w:val="000000"/>
          <w:lang w:val="ru-RU"/>
        </w:rPr>
        <w:t xml:space="preserve">), </w:t>
      </w:r>
      <w:r w:rsidRPr="00AC3E5C">
        <w:rPr>
          <w:rFonts w:eastAsia="Times New Roman" w:cs="Arial"/>
          <w:color w:val="000000"/>
          <w:lang w:eastAsia="bg-BG"/>
        </w:rPr>
        <w:t>тази фиксирана комбинация трябва да се прилага с повишено внимание.</w:t>
      </w:r>
    </w:p>
    <w:p w14:paraId="039EB2FA" w14:textId="77777777" w:rsidR="00AC3E5C" w:rsidRDefault="00AC3E5C" w:rsidP="00AC3E5C">
      <w:pPr>
        <w:spacing w:line="240" w:lineRule="auto"/>
        <w:rPr>
          <w:rFonts w:eastAsia="Times New Roman" w:cs="Arial"/>
          <w:color w:val="000000"/>
          <w:u w:val="single"/>
          <w:lang w:eastAsia="bg-BG"/>
        </w:rPr>
      </w:pPr>
    </w:p>
    <w:p w14:paraId="47C27F14" w14:textId="151C8ECB"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Двойно блокиране на ренин-ангиотензин-алдостероновата система (РААС)</w:t>
      </w:r>
    </w:p>
    <w:p w14:paraId="0B92027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Има данни, че едновременната употреба на АСЕ инхибитори, ангиотензин </w:t>
      </w:r>
      <w:r w:rsidRPr="00AC3E5C">
        <w:rPr>
          <w:rFonts w:eastAsia="Times New Roman" w:cs="Arial"/>
          <w:color w:val="000000"/>
          <w:lang w:val="en-US"/>
        </w:rPr>
        <w:t>II</w:t>
      </w:r>
      <w:r w:rsidRPr="00AC3E5C">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AC3E5C">
        <w:rPr>
          <w:rFonts w:eastAsia="Times New Roman" w:cs="Arial"/>
          <w:color w:val="000000"/>
          <w:lang w:val="en-US"/>
        </w:rPr>
        <w:t>II</w:t>
      </w:r>
      <w:r w:rsidRPr="00AC3E5C">
        <w:rPr>
          <w:rFonts w:eastAsia="Times New Roman" w:cs="Arial"/>
          <w:color w:val="000000"/>
          <w:lang w:eastAsia="bg-BG"/>
        </w:rPr>
        <w:t>-рецепторни блокери или алискирен (вж. точки 4.5 и 5.1).</w:t>
      </w:r>
    </w:p>
    <w:p w14:paraId="7B75BE7C"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6F1995C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АСЕ инхибитори и ангиотензин </w:t>
      </w:r>
      <w:r w:rsidRPr="00AC3E5C">
        <w:rPr>
          <w:rFonts w:eastAsia="Times New Roman" w:cs="Arial"/>
          <w:color w:val="000000"/>
          <w:lang w:val="en-US"/>
        </w:rPr>
        <w:t>II</w:t>
      </w:r>
      <w:r w:rsidRPr="00AC3E5C">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3F8282E8" w14:textId="77777777" w:rsidR="00AC3E5C" w:rsidRDefault="00AC3E5C" w:rsidP="00AC3E5C">
      <w:pPr>
        <w:spacing w:line="240" w:lineRule="auto"/>
        <w:rPr>
          <w:rFonts w:eastAsia="Times New Roman" w:cs="Arial"/>
          <w:color w:val="000000"/>
          <w:u w:val="single"/>
          <w:lang w:eastAsia="bg-BG"/>
        </w:rPr>
      </w:pPr>
    </w:p>
    <w:p w14:paraId="4393E183" w14:textId="7A44E141"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Чернодробно увреждане</w:t>
      </w:r>
    </w:p>
    <w:p w14:paraId="1B3F3FED"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Тиазидните препарати трябва да се използват с повишено внимание при пациенти с чернодробно увреждане или прогресиращо чернодробно заболяване, защото и </w:t>
      </w:r>
      <w:r w:rsidRPr="00AC3E5C">
        <w:rPr>
          <w:rFonts w:eastAsia="Times New Roman" w:cs="Arial"/>
          <w:color w:val="000000"/>
          <w:lang w:eastAsia="bg-BG"/>
        </w:rPr>
        <w:lastRenderedPageBreak/>
        <w:t>незначителни нарушения във водно-електролитния баланс могата да ускорят появата на чернодробна кома. Няма клиничен опит с употреба на комбинацията от Ко-Ирбесан при пациенти с чернодрбно увреждане.</w:t>
      </w:r>
    </w:p>
    <w:p w14:paraId="4499D409" w14:textId="77777777" w:rsidR="00AC3E5C" w:rsidRDefault="00AC3E5C" w:rsidP="00AC3E5C">
      <w:pPr>
        <w:spacing w:line="240" w:lineRule="auto"/>
        <w:rPr>
          <w:rFonts w:eastAsia="Times New Roman" w:cs="Arial"/>
          <w:color w:val="000000"/>
          <w:u w:val="single"/>
          <w:lang w:eastAsia="bg-BG"/>
        </w:rPr>
      </w:pPr>
    </w:p>
    <w:p w14:paraId="230BD662" w14:textId="77777777" w:rsidR="00AC3E5C" w:rsidRDefault="00AC3E5C" w:rsidP="00AC3E5C">
      <w:pPr>
        <w:spacing w:line="240" w:lineRule="auto"/>
        <w:rPr>
          <w:rFonts w:eastAsia="Times New Roman" w:cs="Arial"/>
          <w:color w:val="000000"/>
          <w:u w:val="single"/>
          <w:lang w:eastAsia="bg-BG"/>
        </w:rPr>
      </w:pPr>
      <w:r w:rsidRPr="00AC3E5C">
        <w:rPr>
          <w:rFonts w:eastAsia="Times New Roman" w:cs="Arial"/>
          <w:color w:val="000000"/>
          <w:u w:val="single"/>
          <w:lang w:eastAsia="bg-BG"/>
        </w:rPr>
        <w:t xml:space="preserve">Аортна стеноза и стеноза на митралната клапа, обструктивна хипертрофична кардиомиопатия </w:t>
      </w:r>
    </w:p>
    <w:p w14:paraId="648418B3" w14:textId="5C682978"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Както и при употребата на други вазодилататори, трябва да се обърне специално внимание на пациентите страдащи от аортна стеноза или стеноза на митралната клапа, или обструктивна хипертофична кардиомиопатия.</w:t>
      </w:r>
    </w:p>
    <w:p w14:paraId="73172A3E" w14:textId="77777777" w:rsidR="00AC3E5C" w:rsidRDefault="00AC3E5C" w:rsidP="00AC3E5C">
      <w:pPr>
        <w:spacing w:line="240" w:lineRule="auto"/>
        <w:rPr>
          <w:rFonts w:eastAsia="Times New Roman" w:cs="Arial"/>
          <w:color w:val="000000"/>
          <w:u w:val="single"/>
          <w:lang w:eastAsia="bg-BG"/>
        </w:rPr>
      </w:pPr>
    </w:p>
    <w:p w14:paraId="3AB46E4F" w14:textId="182C35C3"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Първичен алдостеронизъм</w:t>
      </w:r>
    </w:p>
    <w:p w14:paraId="36F89A0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Пациентите с първичен алдостеронизъм обикновено не се повлияват от антихипертензивни средства, действащи чрез инхибиране на ренин-ангиотензиновата система, затова употребата на Ко-Ирбесан не се препоръчва.</w:t>
      </w:r>
    </w:p>
    <w:p w14:paraId="0AA3F908" w14:textId="77777777" w:rsidR="00AC3E5C" w:rsidRDefault="00AC3E5C" w:rsidP="00AC3E5C">
      <w:pPr>
        <w:spacing w:line="240" w:lineRule="auto"/>
        <w:rPr>
          <w:rFonts w:eastAsia="Times New Roman" w:cs="Arial"/>
          <w:color w:val="000000"/>
          <w:u w:val="single"/>
          <w:lang w:eastAsia="bg-BG"/>
        </w:rPr>
      </w:pPr>
    </w:p>
    <w:p w14:paraId="7A39C366" w14:textId="5ABC7366"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Метаболитни и ендокринни ефекти</w:t>
      </w:r>
    </w:p>
    <w:p w14:paraId="150A1D7D"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Лечението с тиазиди може да наруши глюкозния толеранс.</w:t>
      </w:r>
    </w:p>
    <w:p w14:paraId="4019FA9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При пациентите с диабет може да е необходима промяна на дозата на инсулина или пероралните хипогликемични средства. Латентният захарен диабет може да стане манифестен по време на лечението с тиазиди.</w:t>
      </w:r>
    </w:p>
    <w:p w14:paraId="3FAF0C7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Повишение на холестерола и нивата на триглицеридите може да бъде свързано с тиазидната диуретична терапия, въпреки че при доза от 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съдържаща се в Ко-Ирбесан е съобщаван минимален ефект или липса на такъв.</w:t>
      </w:r>
    </w:p>
    <w:p w14:paraId="397EA92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При някои пациенти, приемащи тиазиди, може да настъпи хиперурикемия или да се ускори появата на подагра.</w:t>
      </w:r>
    </w:p>
    <w:p w14:paraId="329FD097" w14:textId="77777777" w:rsidR="00AC3E5C" w:rsidRDefault="00AC3E5C" w:rsidP="00AC3E5C">
      <w:pPr>
        <w:spacing w:line="240" w:lineRule="auto"/>
        <w:rPr>
          <w:rFonts w:eastAsia="Times New Roman" w:cs="Arial"/>
          <w:color w:val="000000"/>
          <w:u w:val="single"/>
          <w:lang w:eastAsia="bg-BG"/>
        </w:rPr>
      </w:pPr>
    </w:p>
    <w:p w14:paraId="4B2CB255" w14:textId="4F956DBD"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Нарушение на електролитен баланс</w:t>
      </w:r>
    </w:p>
    <w:p w14:paraId="0649153B" w14:textId="3811FE08" w:rsidR="00AC3E5C" w:rsidRDefault="00AC3E5C" w:rsidP="00AC3E5C">
      <w:pPr>
        <w:rPr>
          <w:rFonts w:eastAsia="Times New Roman" w:cs="Arial"/>
          <w:color w:val="000000"/>
          <w:lang w:eastAsia="bg-BG"/>
        </w:rPr>
      </w:pPr>
      <w:r w:rsidRPr="00AC3E5C">
        <w:rPr>
          <w:rFonts w:eastAsia="Times New Roman" w:cs="Arial"/>
          <w:color w:val="000000"/>
          <w:lang w:eastAsia="bg-BG"/>
        </w:rPr>
        <w:t>Както при всички пациенти на диуретично лечение е необходимо периодично проследяване на серумните електролити.</w:t>
      </w:r>
    </w:p>
    <w:p w14:paraId="29C265A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Тиазидите, включително хидрохлоротиазид, могат да предизвикат нарушение на водно- електролитния баланс (хипогликемия, хипонатриемия и хипохлоремична алкалоза). Предупредителни признаци за нарушен водно-електролитен баланс са сухота в устата, жажда, слабост, летаргия, сънливост, безпокойство, мускулна болка или крампи, мускулна умора, хипотония, олигурия, тахикардия и стомашно - чревни смущения, като гадене и повръщане. Въпреки, че при употребата на тиазидни диуретици е възможно развитието на хипокалиемия, едновременното лечение с ирбесартан може да намали индуцираната от диуретика хипокалиемия.</w:t>
      </w:r>
    </w:p>
    <w:p w14:paraId="21C2E4AE"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Рискът от хипокалиемия е най-висок при пациенти с чернодробна цироза, при пациенти с форсирана диуреза, при пациенти с неадекватен перорален прием електролити и при пациенти, на съпътстващо лечение с кортикостероиди или АКТХ.</w:t>
      </w:r>
    </w:p>
    <w:p w14:paraId="4CCBAA59"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Обратно на това, поради съдържанието на ирбесартан в Ко-Ирбесан е възможна появата на хиперкалиемия, особено при наличието на бъбречно увреждане и/или сърдечна недостатъчност и захарен диабет. При пациентите с повишен риск се препоръчва съответно проследяване на серумния калий. Калий-съхраняващи диуретици, калиеви добавки или калий съдържащи заместители на солта трябва да се прилагат внимателно по време на лечението с Ко-Ирбесан (вж. точка 4.5).</w:t>
      </w:r>
    </w:p>
    <w:p w14:paraId="3C52E89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Няма данни, че ирбесартан понижава или предотвратява настъпването на индуцираната от диуретици хипонатриемия.</w:t>
      </w:r>
    </w:p>
    <w:p w14:paraId="53B16436"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Пониженото ниво на хлориди, обикновено е в лека степен </w:t>
      </w:r>
      <w:r w:rsidRPr="00AC3E5C">
        <w:rPr>
          <w:rFonts w:eastAsia="Times New Roman" w:cs="Arial"/>
          <w:i/>
          <w:iCs/>
          <w:color w:val="000000"/>
          <w:lang w:eastAsia="bg-BG"/>
        </w:rPr>
        <w:t>и не</w:t>
      </w:r>
      <w:r w:rsidRPr="00AC3E5C">
        <w:rPr>
          <w:rFonts w:eastAsia="Times New Roman" w:cs="Arial"/>
          <w:color w:val="000000"/>
          <w:lang w:eastAsia="bg-BG"/>
        </w:rPr>
        <w:t xml:space="preserve"> изисква лечение.</w:t>
      </w:r>
    </w:p>
    <w:p w14:paraId="575E3B6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lastRenderedPageBreak/>
        <w:t>Тиазидите могат да понижат екскрецията на калций чрез урината и да доведат до появата на интермитентно и леко-степенно повишаване на нивото на серумния калций без да се проявят съответните ефекти от нарушения му метаболизъм.</w:t>
      </w:r>
    </w:p>
    <w:p w14:paraId="551A3C8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Значителната хиперкалциемия може да бъде признак на скрит хиперпаратиреоиднизъм. Приемът на тиазиди трябва да бъде преустановен преди провеждането на изследвания на функцията на паращитовидните жлези.</w:t>
      </w:r>
    </w:p>
    <w:p w14:paraId="6A900963"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Тиазидите водят до повишено отделяне на магнезий в урината, в резултат на което може да настъпи хипомагнезиемия.</w:t>
      </w:r>
    </w:p>
    <w:p w14:paraId="32C503B7" w14:textId="77777777" w:rsidR="00AC3E5C" w:rsidRPr="00AC3E5C" w:rsidRDefault="00AC3E5C" w:rsidP="00AC3E5C">
      <w:pPr>
        <w:spacing w:line="240" w:lineRule="auto"/>
        <w:rPr>
          <w:rFonts w:ascii="Times New Roman" w:eastAsia="Times New Roman" w:hAnsi="Times New Roman" w:cs="Times New Roman"/>
        </w:rPr>
      </w:pPr>
    </w:p>
    <w:p w14:paraId="4B2C5AC6"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Литий</w:t>
      </w:r>
    </w:p>
    <w:p w14:paraId="7FA328D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Едновременната употреба на литий и Ко-Ирбесан не се препоръчва (вж.точка 4.5).</w:t>
      </w:r>
    </w:p>
    <w:p w14:paraId="71F919B3" w14:textId="77777777" w:rsidR="00AC3E5C" w:rsidRDefault="00AC3E5C" w:rsidP="00AC3E5C">
      <w:pPr>
        <w:spacing w:line="240" w:lineRule="auto"/>
        <w:rPr>
          <w:rFonts w:eastAsia="Times New Roman" w:cs="Arial"/>
          <w:color w:val="000000"/>
          <w:u w:val="single"/>
          <w:lang w:eastAsia="bg-BG"/>
        </w:rPr>
      </w:pPr>
    </w:p>
    <w:p w14:paraId="31634BFA" w14:textId="37667DE9"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Анти-допинг тест</w:t>
      </w:r>
    </w:p>
    <w:p w14:paraId="49667762"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Хидрохлоротиазид, съдържащ се в този лекарствен продукт, може да позитивира теста за допинг.</w:t>
      </w:r>
    </w:p>
    <w:p w14:paraId="6BF49C3F" w14:textId="77777777" w:rsidR="00AC3E5C" w:rsidRDefault="00AC3E5C" w:rsidP="00AC3E5C">
      <w:pPr>
        <w:spacing w:line="240" w:lineRule="auto"/>
        <w:rPr>
          <w:rFonts w:eastAsia="Times New Roman" w:cs="Arial"/>
          <w:color w:val="000000"/>
          <w:u w:val="single"/>
          <w:lang w:eastAsia="bg-BG"/>
        </w:rPr>
      </w:pPr>
    </w:p>
    <w:p w14:paraId="7AFEC1F7" w14:textId="7C5BE1DB"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 xml:space="preserve">Общи предупреждения и предпазни мерки </w:t>
      </w:r>
      <w:r w:rsidRPr="00AC3E5C">
        <w:rPr>
          <w:rFonts w:eastAsia="Times New Roman" w:cs="Arial"/>
          <w:smallCaps/>
          <w:color w:val="000000"/>
          <w:u w:val="single"/>
          <w:lang w:eastAsia="bg-BG"/>
        </w:rPr>
        <w:t>при</w:t>
      </w:r>
      <w:r w:rsidRPr="00AC3E5C">
        <w:rPr>
          <w:rFonts w:eastAsia="Times New Roman" w:cs="Arial"/>
          <w:color w:val="000000"/>
          <w:u w:val="single"/>
          <w:lang w:eastAsia="bg-BG"/>
        </w:rPr>
        <w:t xml:space="preserve"> употреба</w:t>
      </w:r>
    </w:p>
    <w:p w14:paraId="1A6418FE"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При пациенти чиито съдов тонус и бъбречна функция зависят предимно от действието на ренин-ангиотензин-алдостероновата система (напр. пациенти с тежка застойна сърдечна недостаъчност или съпътстващо бъбречно заболяване, включително стеноза на бъбречните артерии) лечението с инхибитори на ангиотензин-конвертиращ ензим или с антагонисти на ангиотензин </w:t>
      </w:r>
      <w:r w:rsidRPr="00AC3E5C">
        <w:rPr>
          <w:rFonts w:eastAsia="Times New Roman" w:cs="Arial"/>
          <w:color w:val="000000"/>
          <w:lang w:val="en-US"/>
        </w:rPr>
        <w:t>II</w:t>
      </w:r>
      <w:r w:rsidRPr="00AC3E5C">
        <w:rPr>
          <w:rFonts w:eastAsia="Times New Roman" w:cs="Arial"/>
          <w:color w:val="000000"/>
          <w:lang w:eastAsia="bg-BG"/>
        </w:rPr>
        <w:t xml:space="preserve"> рецептори е било свързано с проява на остра хипотония, азотемия, олигурия или по-рядко остра бъбречна недостатъчност. Както и при всички антихипертензивни средства, значителното понижаване на кръвното налягане при пациенти с исхемична кардиопатия или исхемично сърдечно-съдово заболяване може да предизвика инфаркт на миокарада или инсулт. Реакции на свръхчувсвителност към хидрохлоротиазид може да възникнат при пациенти.със или без анамнестични данни за алергия или бронхиална астма, но по-вероятна е появата им при болни с подобни прояви в миналото.</w:t>
      </w:r>
    </w:p>
    <w:p w14:paraId="0D1F904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Съобщава се за екзацербация или активиране на системен лупус еритематодес при употребата на тиазидни диуретици.</w:t>
      </w:r>
    </w:p>
    <w:p w14:paraId="0EEEE2FD"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Докладвани са случаи на фоточувствителни реакции при употребата на тиазидни диуретици (вж. точка 4.8). В случай на подобна фоточувстителна реакция е препоръчително лечението да бъде прекратено. Ако се налага повторен прием на диуретик се препоръчва защитаване на откритите части от слънчеви или изкуствени </w:t>
      </w:r>
      <w:r w:rsidRPr="00AC3E5C">
        <w:rPr>
          <w:rFonts w:eastAsia="Times New Roman" w:cs="Arial"/>
          <w:color w:val="000000"/>
          <w:lang w:val="en-US"/>
        </w:rPr>
        <w:t>UV</w:t>
      </w:r>
      <w:r w:rsidRPr="00AC3E5C">
        <w:rPr>
          <w:rFonts w:eastAsia="Times New Roman" w:cs="Arial"/>
          <w:color w:val="000000"/>
          <w:lang w:val="ru-RU"/>
        </w:rPr>
        <w:t xml:space="preserve"> </w:t>
      </w:r>
      <w:r w:rsidRPr="00AC3E5C">
        <w:rPr>
          <w:rFonts w:eastAsia="Times New Roman" w:cs="Arial"/>
          <w:color w:val="000000"/>
          <w:lang w:eastAsia="bg-BG"/>
        </w:rPr>
        <w:t>лъчи.</w:t>
      </w:r>
    </w:p>
    <w:p w14:paraId="0240EF40" w14:textId="77777777" w:rsidR="00AC3E5C" w:rsidRDefault="00AC3E5C" w:rsidP="00AC3E5C">
      <w:pPr>
        <w:spacing w:line="240" w:lineRule="auto"/>
        <w:rPr>
          <w:rFonts w:eastAsia="Times New Roman" w:cs="Arial"/>
          <w:color w:val="000000"/>
          <w:u w:val="single"/>
          <w:lang w:eastAsia="bg-BG"/>
        </w:rPr>
      </w:pPr>
    </w:p>
    <w:p w14:paraId="7D86CCA9" w14:textId="221B094F"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Бременност</w:t>
      </w:r>
    </w:p>
    <w:p w14:paraId="4FCB08E9"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Ангиотензин II рецепторните антагонисти не трябва да бъдат приемани по време на бременност. Ако продължението на терапията се счита за необходимо, пациентките, които планират да забременеят трябва да преминат към алтернативно антихипертензивно лечение, което е с доказан профил на безопасност при употреба от бременни. Когато се докаже бременност, лечението с ангиотензин </w:t>
      </w:r>
      <w:r w:rsidRPr="00AC3E5C">
        <w:rPr>
          <w:rFonts w:eastAsia="Times New Roman" w:cs="Arial"/>
          <w:color w:val="000000"/>
          <w:lang w:val="en-US"/>
        </w:rPr>
        <w:t>II</w:t>
      </w:r>
      <w:r w:rsidRPr="00AC3E5C">
        <w:rPr>
          <w:rFonts w:eastAsia="Times New Roman" w:cs="Arial"/>
          <w:color w:val="000000"/>
          <w:lang w:eastAsia="bg-BG"/>
        </w:rPr>
        <w:t xml:space="preserve"> рецепторните антагонисти трябва да се прекрати незабавно и ако е подходящо да се премине към алтернативно лечение (вж. точка 4.3 и точка 4.6)</w:t>
      </w:r>
    </w:p>
    <w:p w14:paraId="3CDD1C6F" w14:textId="77777777" w:rsidR="00AC3E5C" w:rsidRDefault="00AC3E5C" w:rsidP="00AC3E5C">
      <w:pPr>
        <w:spacing w:line="240" w:lineRule="auto"/>
        <w:rPr>
          <w:rFonts w:eastAsia="Times New Roman" w:cs="Arial"/>
          <w:color w:val="000000"/>
          <w:u w:val="single"/>
          <w:lang w:eastAsia="bg-BG"/>
        </w:rPr>
      </w:pPr>
    </w:p>
    <w:p w14:paraId="3B21AF2E" w14:textId="4F564D3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Лактоза</w:t>
      </w:r>
    </w:p>
    <w:p w14:paraId="164A5E1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Този лекарствен продукт съдържа лактоза монохидрат. Пациенти с редки наследствени проблеми на непоносимост към фруктоза, галактозна непоносимост, </w:t>
      </w:r>
      <w:proofErr w:type="spellStart"/>
      <w:r w:rsidRPr="00AC3E5C">
        <w:rPr>
          <w:rFonts w:eastAsia="Times New Roman" w:cs="Arial"/>
          <w:color w:val="000000"/>
          <w:lang w:val="en-US"/>
        </w:rPr>
        <w:t>Laap</w:t>
      </w:r>
      <w:proofErr w:type="spellEnd"/>
      <w:r w:rsidRPr="00AC3E5C">
        <w:rPr>
          <w:rFonts w:eastAsia="Times New Roman" w:cs="Arial"/>
          <w:color w:val="000000"/>
          <w:lang w:val="ru-RU"/>
        </w:rPr>
        <w:t xml:space="preserve"> </w:t>
      </w:r>
      <w:r w:rsidRPr="00AC3E5C">
        <w:rPr>
          <w:rFonts w:eastAsia="Times New Roman" w:cs="Arial"/>
          <w:color w:val="000000"/>
          <w:lang w:eastAsia="bg-BG"/>
        </w:rPr>
        <w:t>лактозен дефицит или глюкозо - галактозна малабсорбция не трябва да приемат този продукт.</w:t>
      </w:r>
    </w:p>
    <w:p w14:paraId="4021E8CF" w14:textId="77777777" w:rsidR="00AC3E5C" w:rsidRDefault="00AC3E5C" w:rsidP="00AC3E5C">
      <w:pPr>
        <w:spacing w:line="240" w:lineRule="auto"/>
        <w:rPr>
          <w:rFonts w:eastAsia="Times New Roman" w:cs="Arial"/>
          <w:color w:val="000000"/>
          <w:u w:val="single"/>
          <w:lang w:eastAsia="bg-BG"/>
        </w:rPr>
      </w:pPr>
    </w:p>
    <w:p w14:paraId="3E076A4C" w14:textId="0998A5EB"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lastRenderedPageBreak/>
        <w:t>Остра миопия и остра закритоъгълна глаукома</w:t>
      </w:r>
    </w:p>
    <w:p w14:paraId="3D85C152"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Сулфонамидни лекарствени продукти или производни на сулфонамидните лекарства, могат да причинят реакция на идиосинкразия водеща до преходна миопия и остра закритоъгълна глаукома. Макар че хидрохлоротиазид е сулфонамид, досега са докладвани само изолирани случаи на остра закритоъгълна глаукома с хидрохлоротиазид. Симптомите включват остро начало на намалена зрителна острота или очна болка, които обикновено се появяват в рамките на няколко часа до седмици от започване на приема. Нелекуваната остра закритоъгълна глаукома може да доведе до трайна загуба на зрението. Първичното лечение е: възможно най- бързо прекратяване на приема на лекарствения продукт. Може да се обсъди необходимостта от незабавно медицинско или хирургично лечение ако вътреочното налягане остане неконтролирано. Рисковите фактори за развитие на остра закритоъгълна глаукома може да включват анамнеза за алергия към сулфонамиди или пеницилин (вж. точка 4.8).</w:t>
      </w:r>
    </w:p>
    <w:p w14:paraId="254B5632" w14:textId="77777777" w:rsidR="00AC3E5C" w:rsidRPr="00AC3E5C" w:rsidRDefault="00AC3E5C" w:rsidP="00AC3E5C"/>
    <w:p w14:paraId="070777EC" w14:textId="6FED2F21" w:rsidR="00DF4C8E" w:rsidRDefault="002C50EE" w:rsidP="00F44498">
      <w:pPr>
        <w:pStyle w:val="Heading2"/>
      </w:pPr>
      <w:r>
        <w:t>4.5. Взаимодействие с други лекарствени продукти и други форми на взаимодействие</w:t>
      </w:r>
    </w:p>
    <w:p w14:paraId="7935EE56" w14:textId="25054212" w:rsidR="00AC3E5C" w:rsidRDefault="00AC3E5C" w:rsidP="00AC3E5C"/>
    <w:p w14:paraId="314E62F6"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Други антихипертензивни средства</w:t>
      </w:r>
    </w:p>
    <w:p w14:paraId="05EEDC30" w14:textId="77777777" w:rsidR="00AC3E5C" w:rsidRPr="00AC3E5C" w:rsidRDefault="00AC3E5C" w:rsidP="00AC3E5C">
      <w:pPr>
        <w:spacing w:line="240" w:lineRule="auto"/>
        <w:rPr>
          <w:rFonts w:eastAsia="Times New Roman" w:cs="Arial"/>
          <w:color w:val="000000"/>
          <w:lang w:eastAsia="bg-BG"/>
        </w:rPr>
      </w:pPr>
      <w:r w:rsidRPr="00AC3E5C">
        <w:rPr>
          <w:rFonts w:eastAsia="Times New Roman" w:cs="Arial"/>
          <w:color w:val="000000"/>
          <w:lang w:eastAsia="bg-BG"/>
        </w:rPr>
        <w:t xml:space="preserve">Антихипертензивният ефект на Ко-Ирбесан може да се засили при едновременната употреба сдруги антихипертензивни средства. Иресаратан и хидрохлоротиазид (в доза до 300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ирбесартан и 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хидрохлоротиазид) са били прилагани, без проблеми, заедно с други антихипертензивни средства, включително калциеви антагонисти и бета-блокери. Предшестващо лечение с високи дози диуретични средства може да доведе до появата на хиповолемия и риск от хипотония при начално лечение с ирбесартан със или без тиазиден диуретик, ако преди това хиповолемията не е </w:t>
      </w:r>
    </w:p>
    <w:p w14:paraId="273751F5" w14:textId="16E262A4"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била овладяна (вж. точка 4.4).</w:t>
      </w:r>
    </w:p>
    <w:p w14:paraId="0A1BB3FA" w14:textId="77777777" w:rsidR="00AC3E5C" w:rsidRPr="00AC3E5C" w:rsidRDefault="00AC3E5C" w:rsidP="00AC3E5C">
      <w:pPr>
        <w:spacing w:line="240" w:lineRule="auto"/>
        <w:rPr>
          <w:rFonts w:eastAsia="Times New Roman" w:cs="Arial"/>
          <w:color w:val="000000"/>
          <w:u w:val="single"/>
          <w:lang w:eastAsia="bg-BG"/>
        </w:rPr>
      </w:pPr>
    </w:p>
    <w:p w14:paraId="104FEEA3" w14:textId="3781D02A"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Продукти, съдържащи алискирен или АСЕ инхибитори</w:t>
      </w:r>
    </w:p>
    <w:p w14:paraId="65829364"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Данни от клинични проучвания показват, че двойното блокиране на ренин ангиотензин алдостероновата система (РААС) чрез комбинираната употреба на АСЕ инхибитори, ангиотензин II 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44F5704F" w14:textId="77777777" w:rsidR="00AC3E5C" w:rsidRPr="00AC3E5C" w:rsidRDefault="00AC3E5C" w:rsidP="00AC3E5C">
      <w:pPr>
        <w:spacing w:line="240" w:lineRule="auto"/>
        <w:rPr>
          <w:rFonts w:eastAsia="Times New Roman" w:cs="Arial"/>
          <w:color w:val="000000"/>
          <w:u w:val="single"/>
          <w:lang w:eastAsia="bg-BG"/>
        </w:rPr>
      </w:pPr>
    </w:p>
    <w:p w14:paraId="5D5D5BA9" w14:textId="5E6788BC"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Литий</w:t>
      </w:r>
    </w:p>
    <w:p w14:paraId="619257A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Съобщава се за обратимо повишаване на серумните концентрации на литий и неговата токсичност при едновременна употреба на литий с инхибитор на ангиотензин конвертиращия ензим. Подобни ефекти са много рядко наблюдавани при употребата на ирбесартан. Бъбречният клирънс на литий се понижава под влиянието на тиазидните препарати, при което рискът от настъпване на литиева интоксикация се повишава при едновременна употреба с Ко- Ирбесан. Следователно едновременната употреба на литий и Ко-Ирбесан не е препоръчителна (вж. точка 4.4). Ако тази комбинация е доказано необходима, то се препоръчва внимателно проследяване на серумните нива на литий.</w:t>
      </w:r>
    </w:p>
    <w:p w14:paraId="29A5F2FC" w14:textId="77777777" w:rsidR="00AC3E5C" w:rsidRPr="00AC3E5C" w:rsidRDefault="00AC3E5C" w:rsidP="00AC3E5C">
      <w:pPr>
        <w:spacing w:line="240" w:lineRule="auto"/>
        <w:rPr>
          <w:rFonts w:eastAsia="Times New Roman" w:cs="Arial"/>
          <w:color w:val="000000"/>
          <w:u w:val="single"/>
          <w:lang w:eastAsia="bg-BG"/>
        </w:rPr>
      </w:pPr>
    </w:p>
    <w:p w14:paraId="4639AC23" w14:textId="63D433B1" w:rsidR="00AC3E5C" w:rsidRPr="00AC3E5C" w:rsidRDefault="00AC3E5C" w:rsidP="00AC3E5C">
      <w:pPr>
        <w:spacing w:line="240" w:lineRule="auto"/>
        <w:rPr>
          <w:rFonts w:eastAsia="Times New Roman" w:cs="Arial"/>
          <w:color w:val="000000"/>
          <w:u w:val="single"/>
          <w:lang w:eastAsia="bg-BG"/>
        </w:rPr>
      </w:pPr>
      <w:r w:rsidRPr="00AC3E5C">
        <w:rPr>
          <w:rFonts w:eastAsia="Times New Roman" w:cs="Arial"/>
          <w:color w:val="000000"/>
          <w:u w:val="single"/>
          <w:lang w:eastAsia="bg-BG"/>
        </w:rPr>
        <w:t>Лекарствени средства, повлияващи концентрацията на калий</w:t>
      </w:r>
    </w:p>
    <w:p w14:paraId="075DF81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Ефектът на хидрохлоротиазид, който се изразява в понижаване концентарцията на калий, се смекчава в резултат на калий-съхраняващия ефект на ирбесартан, но това свойство на хидрохлоротиазид може да се потенцира от други лекарствени продукти водещи до загуба на калий и хипокалиемия (напр. други диуретици с подобен ефект, лаксативни </w:t>
      </w:r>
      <w:r w:rsidRPr="00AC3E5C">
        <w:rPr>
          <w:rFonts w:eastAsia="Times New Roman" w:cs="Arial"/>
          <w:color w:val="000000"/>
          <w:lang w:eastAsia="bg-BG"/>
        </w:rPr>
        <w:lastRenderedPageBreak/>
        <w:t>средства, амфотерицин, карбеноксолон, пеницилин-</w:t>
      </w:r>
      <w:r w:rsidRPr="00AC3E5C">
        <w:rPr>
          <w:rFonts w:eastAsia="Times New Roman" w:cs="Arial"/>
          <w:color w:val="000000"/>
          <w:lang w:val="en-US"/>
        </w:rPr>
        <w:t>G</w:t>
      </w:r>
      <w:r w:rsidRPr="00AC3E5C">
        <w:rPr>
          <w:rFonts w:eastAsia="Times New Roman" w:cs="Arial"/>
          <w:color w:val="000000"/>
          <w:lang w:eastAsia="bg-BG"/>
        </w:rPr>
        <w:t>-натриевасол и ацетилсалицилова киселина).</w:t>
      </w:r>
    </w:p>
    <w:p w14:paraId="4A4F776D" w14:textId="77777777" w:rsidR="00AC3E5C" w:rsidRDefault="00AC3E5C" w:rsidP="00AC3E5C">
      <w:pPr>
        <w:spacing w:line="240" w:lineRule="auto"/>
        <w:rPr>
          <w:rFonts w:eastAsia="Times New Roman" w:cs="Arial"/>
          <w:color w:val="000000"/>
          <w:lang w:eastAsia="bg-BG"/>
        </w:rPr>
      </w:pPr>
    </w:p>
    <w:p w14:paraId="3B036625" w14:textId="3EE74BB0"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Обратно- опита с други лекарствени продукти влияещи върху ренин-ангиотензиновата система, едновременната употреба на калий-съхраняващи диуретици, калиеви добавки, заместители на готварската сол, съдържащи калий, както и други лекарствени средства, повишаващи серумната концентрация на калий (напр. хепарин натрий) е показал, че тези лекарствени продукти могат да предизвикат повишаване на серумната концентрация на калий. Препоръчва се внимателно проследяване на серумната концентрация на калия при рискови пациенти (вж. точка 4.4).</w:t>
      </w:r>
    </w:p>
    <w:p w14:paraId="18EADA17" w14:textId="77777777" w:rsidR="00AC3E5C" w:rsidRDefault="00AC3E5C" w:rsidP="00AC3E5C">
      <w:pPr>
        <w:spacing w:line="240" w:lineRule="auto"/>
        <w:rPr>
          <w:rFonts w:eastAsia="Times New Roman" w:cs="Arial"/>
          <w:color w:val="000000"/>
          <w:u w:val="single"/>
          <w:lang w:eastAsia="bg-BG"/>
        </w:rPr>
      </w:pPr>
    </w:p>
    <w:p w14:paraId="0C72607A" w14:textId="65A57E4A"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 xml:space="preserve">Лекарствени средства, повлияващи се от промените в серумната концентрация на калий </w:t>
      </w:r>
      <w:r w:rsidRPr="00AC3E5C">
        <w:rPr>
          <w:rFonts w:eastAsia="Times New Roman" w:cs="Arial"/>
          <w:color w:val="000000"/>
          <w:lang w:eastAsia="bg-BG"/>
        </w:rPr>
        <w:t>Препоръчва се периодичното проследяване на нивото на калий при едновременно приложение на Ко-Ирбесан с лекарствени продукти, които се повлияват от значителните промени в серумната концентрация на калий (дигиталисови гликозиди, антиаритмични средства).</w:t>
      </w:r>
    </w:p>
    <w:p w14:paraId="71DED585" w14:textId="77777777" w:rsidR="00AC3E5C" w:rsidRDefault="00AC3E5C" w:rsidP="00AC3E5C">
      <w:pPr>
        <w:spacing w:line="240" w:lineRule="auto"/>
        <w:rPr>
          <w:rFonts w:eastAsia="Times New Roman" w:cs="Arial"/>
          <w:color w:val="000000"/>
          <w:u w:val="single"/>
          <w:lang w:eastAsia="bg-BG"/>
        </w:rPr>
      </w:pPr>
    </w:p>
    <w:p w14:paraId="1AEBE34B" w14:textId="04BD6BD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Нестероидни противовъзпалителни лекарствени средства</w:t>
      </w:r>
    </w:p>
    <w:p w14:paraId="667B65D9"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При едновременната употреба на антагонисти на ангиотензин II рецептори и нестероидни противовъзпалитени средства (селективни СОХ-2 инхибитори, ацетилцалицилова киселина в доза &gt;3</w:t>
      </w:r>
      <w:r w:rsidRPr="00AC3E5C">
        <w:rPr>
          <w:rFonts w:eastAsia="Times New Roman" w:cs="Arial"/>
          <w:color w:val="000000"/>
          <w:lang w:val="en-US"/>
        </w:rPr>
        <w:t>g</w:t>
      </w:r>
      <w:r w:rsidRPr="00AC3E5C">
        <w:rPr>
          <w:rFonts w:eastAsia="Times New Roman" w:cs="Arial"/>
          <w:color w:val="000000"/>
          <w:lang w:eastAsia="bg-BG"/>
        </w:rPr>
        <w:t>/дневно и неселективни НСПВС) може да се наблюдава намаляване на антихипертензивния ефект.</w:t>
      </w:r>
    </w:p>
    <w:p w14:paraId="26FF191D"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Подобно на АСЕ инхибиторите, едновременната употреба на антагонисти на ангиотензин II рецепторите и НСПВС може да увеличи риска от влошаване на бъбречната функция, включително и остра бъбречна недостатъчност и увеличаване нивото на калий в плазмата, особено при пациенти с нарушена бъбречна функция.</w:t>
      </w:r>
    </w:p>
    <w:p w14:paraId="23733ADD"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Комбинацията се прилага с внимание, особено при пациенти в старческа възраст, като контролирането на бъбречната функция по време на лечението е задължително, както и периодично след това.</w:t>
      </w:r>
    </w:p>
    <w:p w14:paraId="2BA500E7" w14:textId="77777777" w:rsidR="00AC3E5C" w:rsidRDefault="00AC3E5C" w:rsidP="00AC3E5C">
      <w:pPr>
        <w:spacing w:line="240" w:lineRule="auto"/>
        <w:rPr>
          <w:rFonts w:eastAsia="Times New Roman" w:cs="Arial"/>
          <w:color w:val="000000"/>
          <w:u w:val="single"/>
          <w:lang w:eastAsia="bg-BG"/>
        </w:rPr>
      </w:pPr>
    </w:p>
    <w:p w14:paraId="16A5F526" w14:textId="0CB234EC"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Допълнителна информация за взаимодействията на ирбесартан</w:t>
      </w:r>
    </w:p>
    <w:p w14:paraId="4679BC07" w14:textId="77777777" w:rsidR="00AC3E5C" w:rsidRDefault="00AC3E5C" w:rsidP="00AC3E5C">
      <w:pPr>
        <w:spacing w:line="240" w:lineRule="auto"/>
        <w:rPr>
          <w:rFonts w:eastAsia="Times New Roman" w:cs="Arial"/>
          <w:color w:val="000000"/>
          <w:lang w:eastAsia="bg-BG"/>
        </w:rPr>
      </w:pPr>
      <w:r w:rsidRPr="00AC3E5C">
        <w:rPr>
          <w:rFonts w:eastAsia="Times New Roman" w:cs="Arial"/>
          <w:color w:val="000000"/>
          <w:lang w:eastAsia="bg-BG"/>
        </w:rPr>
        <w:t xml:space="preserve">При клинични проучвания е доказано, че фармакокинетиката на ирбесартан не се повлиява от хидрохлоротиазид. Ирбесартан се метаболизира главно чрез </w:t>
      </w:r>
      <w:r w:rsidRPr="00AC3E5C">
        <w:rPr>
          <w:rFonts w:eastAsia="Times New Roman" w:cs="Arial"/>
          <w:color w:val="000000"/>
          <w:lang w:val="en-US"/>
        </w:rPr>
        <w:t>CYP</w:t>
      </w:r>
      <w:r w:rsidRPr="00AC3E5C">
        <w:rPr>
          <w:rFonts w:eastAsia="Times New Roman" w:cs="Arial"/>
          <w:color w:val="000000"/>
          <w:lang w:val="ru-RU"/>
        </w:rPr>
        <w:t>2</w:t>
      </w:r>
      <w:r w:rsidRPr="00AC3E5C">
        <w:rPr>
          <w:rFonts w:eastAsia="Times New Roman" w:cs="Arial"/>
          <w:color w:val="000000"/>
          <w:lang w:val="en-US"/>
        </w:rPr>
        <w:t>C</w:t>
      </w:r>
      <w:r w:rsidRPr="00AC3E5C">
        <w:rPr>
          <w:rFonts w:eastAsia="Times New Roman" w:cs="Arial"/>
          <w:color w:val="000000"/>
          <w:lang w:val="ru-RU"/>
        </w:rPr>
        <w:t xml:space="preserve">9 </w:t>
      </w:r>
      <w:r w:rsidRPr="00AC3E5C">
        <w:rPr>
          <w:rFonts w:eastAsia="Times New Roman" w:cs="Arial"/>
          <w:color w:val="000000"/>
          <w:lang w:eastAsia="bg-BG"/>
        </w:rPr>
        <w:t>и в по-малка степен чрез глюкориране. При едновреме</w:t>
      </w:r>
      <w:r>
        <w:rPr>
          <w:rFonts w:eastAsia="Times New Roman" w:cs="Arial"/>
          <w:color w:val="000000"/>
          <w:lang w:eastAsia="bg-BG"/>
        </w:rPr>
        <w:t>нното прилагане на ирбесартан и</w:t>
      </w:r>
    </w:p>
    <w:p w14:paraId="77BA6381" w14:textId="32F7F705"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варфарин не са наблюдавани значителни фармакокинетични и фармакодинамични взаимодействия, като варфарин се метаболизира от </w:t>
      </w:r>
      <w:r w:rsidRPr="00AC3E5C">
        <w:rPr>
          <w:rFonts w:eastAsia="Times New Roman" w:cs="Arial"/>
          <w:color w:val="000000"/>
          <w:lang w:val="en-US"/>
        </w:rPr>
        <w:t>CYP</w:t>
      </w:r>
      <w:r w:rsidRPr="00AC3E5C">
        <w:rPr>
          <w:rFonts w:eastAsia="Times New Roman" w:cs="Arial"/>
          <w:color w:val="000000"/>
          <w:lang w:val="ru-RU"/>
        </w:rPr>
        <w:t>2</w:t>
      </w:r>
      <w:r w:rsidRPr="00AC3E5C">
        <w:rPr>
          <w:rFonts w:eastAsia="Times New Roman" w:cs="Arial"/>
          <w:color w:val="000000"/>
          <w:lang w:val="en-US"/>
        </w:rPr>
        <w:t>C</w:t>
      </w:r>
      <w:r w:rsidRPr="00AC3E5C">
        <w:rPr>
          <w:rFonts w:eastAsia="Times New Roman" w:cs="Arial"/>
          <w:color w:val="000000"/>
          <w:lang w:val="ru-RU"/>
        </w:rPr>
        <w:t xml:space="preserve">9. </w:t>
      </w:r>
      <w:r w:rsidRPr="00AC3E5C">
        <w:rPr>
          <w:rFonts w:eastAsia="Times New Roman" w:cs="Arial"/>
          <w:color w:val="000000"/>
          <w:lang w:eastAsia="bg-BG"/>
        </w:rPr>
        <w:t xml:space="preserve">Ефектите на индуктурите на </w:t>
      </w:r>
      <w:r w:rsidRPr="00AC3E5C">
        <w:rPr>
          <w:rFonts w:eastAsia="Times New Roman" w:cs="Arial"/>
          <w:color w:val="000000"/>
          <w:lang w:val="en-US"/>
        </w:rPr>
        <w:t>CYP</w:t>
      </w:r>
      <w:r w:rsidRPr="00AC3E5C">
        <w:rPr>
          <w:rFonts w:eastAsia="Times New Roman" w:cs="Arial"/>
          <w:color w:val="000000"/>
          <w:lang w:val="ru-RU"/>
        </w:rPr>
        <w:t>2</w:t>
      </w:r>
      <w:r w:rsidRPr="00AC3E5C">
        <w:rPr>
          <w:rFonts w:eastAsia="Times New Roman" w:cs="Arial"/>
          <w:color w:val="000000"/>
          <w:lang w:val="en-US"/>
        </w:rPr>
        <w:t>C</w:t>
      </w:r>
      <w:r w:rsidRPr="00AC3E5C">
        <w:rPr>
          <w:rFonts w:eastAsia="Times New Roman" w:cs="Arial"/>
          <w:color w:val="000000"/>
          <w:lang w:val="ru-RU"/>
        </w:rPr>
        <w:t xml:space="preserve">9 </w:t>
      </w:r>
      <w:r w:rsidRPr="00AC3E5C">
        <w:rPr>
          <w:rFonts w:eastAsia="Times New Roman" w:cs="Arial"/>
          <w:color w:val="000000"/>
          <w:lang w:eastAsia="bg-BG"/>
        </w:rPr>
        <w:t>(напр. рифампицин) върху фармакокинетиката на ирбесартан не са проучени. Фармакокинетиката на дигоксин не се променя при едновременоото приложение с ирбесартан.</w:t>
      </w:r>
    </w:p>
    <w:p w14:paraId="17947938" w14:textId="77777777" w:rsidR="00AC3E5C" w:rsidRDefault="00AC3E5C" w:rsidP="00AC3E5C">
      <w:pPr>
        <w:spacing w:line="240" w:lineRule="auto"/>
        <w:rPr>
          <w:rFonts w:eastAsia="Times New Roman" w:cs="Arial"/>
          <w:color w:val="000000"/>
          <w:u w:val="single"/>
          <w:lang w:eastAsia="bg-BG"/>
        </w:rPr>
      </w:pPr>
    </w:p>
    <w:p w14:paraId="44884E9D" w14:textId="7420561D"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Допълнителна информация за взаимодействията на хидрохлоротиазид</w:t>
      </w:r>
      <w:r w:rsidRPr="00AC3E5C">
        <w:rPr>
          <w:rFonts w:eastAsia="Times New Roman" w:cs="Arial"/>
          <w:color w:val="000000"/>
          <w:lang w:eastAsia="bg-BG"/>
        </w:rPr>
        <w:t xml:space="preserve"> - възможно е взаимодействие на представените по-долу лекарствени продукти при съвместното им приложение с тиазидните диуретици:</w:t>
      </w:r>
    </w:p>
    <w:p w14:paraId="0B449121"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 xml:space="preserve">алкохол - </w:t>
      </w:r>
      <w:r w:rsidRPr="00AC3E5C">
        <w:rPr>
          <w:rFonts w:eastAsia="Times New Roman" w:cs="Arial"/>
          <w:color w:val="000000"/>
          <w:lang w:eastAsia="bg-BG"/>
        </w:rPr>
        <w:t>може да настъпи потенциране на ортостатичната хипотоноя;</w:t>
      </w:r>
    </w:p>
    <w:p w14:paraId="4906EFD4"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антидиабетнични средства (перорални и инсулин) -</w:t>
      </w:r>
      <w:r w:rsidRPr="00AC3E5C">
        <w:rPr>
          <w:rFonts w:eastAsia="Times New Roman" w:cs="Arial"/>
          <w:color w:val="000000"/>
          <w:lang w:eastAsia="bg-BG"/>
        </w:rPr>
        <w:t xml:space="preserve"> възможно е да се наложи адаптиране на дозата на антидиабетичните средства (вж. точка 4.4);</w:t>
      </w:r>
    </w:p>
    <w:p w14:paraId="0ECAA1C7"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холестирамин и холестиполови смоли</w:t>
      </w:r>
      <w:r w:rsidRPr="00AC3E5C">
        <w:rPr>
          <w:rFonts w:eastAsia="Times New Roman" w:cs="Arial"/>
          <w:color w:val="000000"/>
          <w:lang w:eastAsia="bg-BG"/>
        </w:rPr>
        <w:t xml:space="preserve"> - абсорбцията на хидрохлоротиазид е нарушена в присъствието на анионни обменни смоли, затова Ко-Ирбесан трябва да се приема поне един час преди или четири часа след приема на такива лекарства;</w:t>
      </w:r>
    </w:p>
    <w:p w14:paraId="058A41CA"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lastRenderedPageBreak/>
        <w:t>кортикостероиди, АКТХ</w:t>
      </w:r>
      <w:r w:rsidRPr="00AC3E5C">
        <w:rPr>
          <w:rFonts w:eastAsia="Times New Roman" w:cs="Arial"/>
          <w:color w:val="000000"/>
          <w:lang w:eastAsia="bg-BG"/>
        </w:rPr>
        <w:t xml:space="preserve"> - загуба на електролити, хипокалиемията може да се засили;</w:t>
      </w:r>
    </w:p>
    <w:p w14:paraId="38B852B7"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сърдечни гликозиди</w:t>
      </w:r>
      <w:r w:rsidRPr="00AC3E5C">
        <w:rPr>
          <w:rFonts w:eastAsia="Times New Roman" w:cs="Arial"/>
          <w:color w:val="000000"/>
          <w:lang w:eastAsia="bg-BG"/>
        </w:rPr>
        <w:t xml:space="preserve"> - предизвиканата от приложенито на тиазид хипокалиемия или хипомагнезиемия благоприятства възникването на индуцирани от дигиталис сърдечни аритмии</w:t>
      </w:r>
      <w:r>
        <w:rPr>
          <w:rFonts w:eastAsia="Times New Roman" w:cs="Arial"/>
          <w:color w:val="000000"/>
          <w:lang w:eastAsia="bg-BG"/>
        </w:rPr>
        <w:t xml:space="preserve"> </w:t>
      </w:r>
      <w:r w:rsidRPr="00AC3E5C">
        <w:rPr>
          <w:rFonts w:eastAsia="Times New Roman" w:cs="Arial"/>
          <w:color w:val="000000"/>
          <w:lang w:eastAsia="bg-BG"/>
        </w:rPr>
        <w:t>(вж. точка 4.4);</w:t>
      </w:r>
    </w:p>
    <w:p w14:paraId="0BEC3CBE"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нестероидни противовъзпалителни средстсва</w:t>
      </w:r>
      <w:r w:rsidRPr="00AC3E5C">
        <w:rPr>
          <w:rFonts w:eastAsia="Times New Roman" w:cs="Arial"/>
          <w:color w:val="000000"/>
          <w:lang w:eastAsia="bg-BG"/>
        </w:rPr>
        <w:t xml:space="preserve"> - едновременоото приложение на НСПВС може да намали диуретичния, натрий-диуретичния и антихипертензивния ефект на тиазидните диуретици при някои пациенти;</w:t>
      </w:r>
    </w:p>
    <w:p w14:paraId="59DD6F41"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пресорни амини (напр. норадреналин)</w:t>
      </w:r>
      <w:r w:rsidRPr="00AC3E5C">
        <w:rPr>
          <w:rFonts w:eastAsia="Times New Roman" w:cs="Arial"/>
          <w:color w:val="000000"/>
          <w:lang w:eastAsia="bg-BG"/>
        </w:rPr>
        <w:t xml:space="preserve"> - ефективността на тези препарати може да се намали, но не в степен, която изключва употребата им;</w:t>
      </w:r>
    </w:p>
    <w:p w14:paraId="6218B5C1"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недеполяризиращи миорелаксанти (напр. тубокурарин) -</w:t>
      </w:r>
      <w:r w:rsidRPr="00AC3E5C">
        <w:rPr>
          <w:rFonts w:eastAsia="Times New Roman" w:cs="Arial"/>
          <w:color w:val="000000"/>
          <w:lang w:eastAsia="bg-BG"/>
        </w:rPr>
        <w:t xml:space="preserve"> ефектът на недеполяризиращите миорелаксанти може да се потенцира от хидрохлоротиазид;</w:t>
      </w:r>
    </w:p>
    <w:p w14:paraId="58F2516A"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лекарствени средства за лечение на подагра</w:t>
      </w:r>
      <w:r w:rsidRPr="00AC3E5C">
        <w:rPr>
          <w:rFonts w:eastAsia="Times New Roman" w:cs="Arial"/>
          <w:color w:val="000000"/>
          <w:lang w:eastAsia="bg-BG"/>
        </w:rPr>
        <w:t xml:space="preserve"> - трябва да се има предвид, че хидрохлоротиазид е възможно да повиши серумната концентрация на пикочна киселина, което налага корекция на дозата на пробенецид или сулфинпиразон. Едновременното приложение с тиазидни диуретици може да повиши честотата на реакции на свръхчувствителност към алопуринол;</w:t>
      </w:r>
    </w:p>
    <w:p w14:paraId="61B09998"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калциеви соли</w:t>
      </w:r>
      <w:r w:rsidRPr="00AC3E5C">
        <w:rPr>
          <w:rFonts w:eastAsia="Times New Roman" w:cs="Arial"/>
          <w:color w:val="000000"/>
          <w:lang w:eastAsia="bg-BG"/>
        </w:rPr>
        <w:t xml:space="preserve"> - тиазидните диуретици могат да повишат серумната концетрация на калций поради влошаване на екскрецията му. Ако трябва да бъдат приложени калциеви добавки или лекарствени продукти съхраняващи калция (напр. лечение с витамин </w:t>
      </w:r>
      <w:r w:rsidRPr="00AC3E5C">
        <w:rPr>
          <w:rFonts w:eastAsia="Times New Roman" w:cs="Arial"/>
          <w:color w:val="000000"/>
          <w:lang w:val="en-US"/>
        </w:rPr>
        <w:t>D</w:t>
      </w:r>
      <w:r w:rsidRPr="00AC3E5C">
        <w:rPr>
          <w:rFonts w:eastAsia="Times New Roman" w:cs="Arial"/>
          <w:color w:val="000000"/>
          <w:lang w:val="ru-RU"/>
        </w:rPr>
        <w:t xml:space="preserve">) </w:t>
      </w:r>
      <w:r w:rsidRPr="00AC3E5C">
        <w:rPr>
          <w:rFonts w:eastAsia="Times New Roman" w:cs="Arial"/>
          <w:color w:val="000000"/>
          <w:lang w:eastAsia="bg-BG"/>
        </w:rPr>
        <w:t>е необходимо проследяване нивата на серумния калций и съответна промяна на дозата на калций.;</w:t>
      </w:r>
    </w:p>
    <w:p w14:paraId="027F4367"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карбамазепин -</w:t>
      </w:r>
      <w:r w:rsidRPr="00AC3E5C">
        <w:rPr>
          <w:rFonts w:eastAsia="Times New Roman" w:cs="Arial"/>
          <w:color w:val="000000"/>
          <w:lang w:eastAsia="bg-BG"/>
        </w:rPr>
        <w:t xml:space="preserve"> едновременната употреба на карбамазепин и хидрохлоротиазид се свързва с риск от симптоматична хипонатриемия. При едновременна употреба електролитите трябва да бъдат проследявани. Ако е възможно, трябва да се използва друг клас диуретици.;</w:t>
      </w:r>
    </w:p>
    <w:p w14:paraId="7B539186"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други взаимодействия</w:t>
      </w:r>
      <w:r w:rsidRPr="00AC3E5C">
        <w:rPr>
          <w:rFonts w:eastAsia="Times New Roman" w:cs="Arial"/>
          <w:color w:val="000000"/>
          <w:lang w:eastAsia="bg-BG"/>
        </w:rPr>
        <w:t xml:space="preserve"> - хипергликемичният ефект на бета-блокери и диазоксид може да се засили от употребата на тиазид. Антихолинергичните средства (напр. атропин, бепериден) могат да увеличат бионаличността на тиазидните диуретици чрез забавяне на стомашно- чревния мотилитет и на скоростта на изпразване на стомаха. Тиазидите могат да увеличат риска от поява на нежелани лекарствени реакции, предизвикани от амантадин.</w:t>
      </w:r>
    </w:p>
    <w:p w14:paraId="72E48806" w14:textId="2C3EABDA" w:rsidR="00AC3E5C" w:rsidRPr="00AC3E5C" w:rsidRDefault="00AC3E5C" w:rsidP="00AC3E5C">
      <w:pPr>
        <w:pStyle w:val="ListParagraph"/>
        <w:spacing w:line="240" w:lineRule="auto"/>
        <w:rPr>
          <w:rFonts w:ascii="Times New Roman" w:eastAsia="Times New Roman" w:hAnsi="Times New Roman" w:cs="Times New Roman"/>
        </w:rPr>
      </w:pPr>
      <w:r w:rsidRPr="00AC3E5C">
        <w:rPr>
          <w:rFonts w:eastAsia="Times New Roman" w:cs="Arial"/>
          <w:color w:val="000000"/>
          <w:lang w:eastAsia="bg-BG"/>
        </w:rPr>
        <w:t>Възможно е да причинят понижена бъбречна екскреция на цитотоксични средства (напр. циклофосфамид, метотрексат) и да потенцират миелосупресивните им ефекти.</w:t>
      </w:r>
    </w:p>
    <w:p w14:paraId="55C46482" w14:textId="07C2F591" w:rsidR="00AC3E5C" w:rsidRPr="00AC3E5C" w:rsidRDefault="00AC3E5C" w:rsidP="00AC3E5C"/>
    <w:p w14:paraId="29D2BD58" w14:textId="5002BEE2" w:rsidR="00DF4C8E" w:rsidRDefault="002C50EE" w:rsidP="00F44498">
      <w:pPr>
        <w:pStyle w:val="Heading2"/>
      </w:pPr>
      <w:r>
        <w:t>4.6. Фертилитет, бременност и кърмене</w:t>
      </w:r>
    </w:p>
    <w:p w14:paraId="1461D206" w14:textId="5D5376CB" w:rsidR="00AC3E5C" w:rsidRDefault="00AC3E5C" w:rsidP="00AC3E5C"/>
    <w:p w14:paraId="1B228BB1" w14:textId="77777777" w:rsidR="00AC3E5C" w:rsidRPr="00AC3E5C" w:rsidRDefault="00AC3E5C" w:rsidP="00AC3E5C">
      <w:pPr>
        <w:rPr>
          <w:rFonts w:ascii="Times New Roman" w:hAnsi="Times New Roman" w:cs="Times New Roman"/>
          <w:sz w:val="24"/>
          <w:szCs w:val="24"/>
        </w:rPr>
      </w:pPr>
      <w:r w:rsidRPr="00AC3E5C">
        <w:rPr>
          <w:lang w:eastAsia="bg-BG"/>
        </w:rPr>
        <w:t>Бременност</w:t>
      </w:r>
    </w:p>
    <w:p w14:paraId="1755D34E" w14:textId="77777777" w:rsidR="00AC3E5C" w:rsidRPr="00AC3E5C" w:rsidRDefault="00AC3E5C" w:rsidP="00AC3E5C">
      <w:pPr>
        <w:rPr>
          <w:rFonts w:ascii="Times New Roman" w:hAnsi="Times New Roman" w:cs="Times New Roman"/>
          <w:sz w:val="24"/>
          <w:szCs w:val="24"/>
        </w:rPr>
      </w:pPr>
      <w:r w:rsidRPr="00AC3E5C">
        <w:rPr>
          <w:i/>
          <w:iCs/>
          <w:lang w:eastAsia="bg-BG"/>
        </w:rPr>
        <w:t xml:space="preserve">Ангиотензин II рецепторни антагонисти </w:t>
      </w:r>
      <w:r w:rsidRPr="00AC3E5C">
        <w:rPr>
          <w:i/>
          <w:iCs/>
          <w:lang w:val="ru-RU"/>
        </w:rPr>
        <w:t>(</w:t>
      </w:r>
      <w:r w:rsidRPr="00AC3E5C">
        <w:rPr>
          <w:i/>
          <w:iCs/>
          <w:lang w:val="en-US"/>
        </w:rPr>
        <w:t>AIIRAs</w:t>
      </w:r>
      <w:r w:rsidRPr="00AC3E5C">
        <w:rPr>
          <w:i/>
          <w:iCs/>
          <w:lang w:val="ru-RU"/>
        </w:rPr>
        <w:t>)</w:t>
      </w:r>
    </w:p>
    <w:p w14:paraId="66012FA6" w14:textId="52980E2F" w:rsidR="00AC3E5C" w:rsidRDefault="00AC3E5C" w:rsidP="00AC3E5C"/>
    <w:tbl>
      <w:tblPr>
        <w:tblStyle w:val="TableGrid"/>
        <w:tblW w:w="0" w:type="auto"/>
        <w:tblLook w:val="04A0" w:firstRow="1" w:lastRow="0" w:firstColumn="1" w:lastColumn="0" w:noHBand="0" w:noVBand="1"/>
      </w:tblPr>
      <w:tblGrid>
        <w:gridCol w:w="9350"/>
      </w:tblGrid>
      <w:tr w:rsidR="00AC3E5C" w14:paraId="5D456FBC" w14:textId="77777777" w:rsidTr="00AC3E5C">
        <w:tc>
          <w:tcPr>
            <w:tcW w:w="9350" w:type="dxa"/>
          </w:tcPr>
          <w:p w14:paraId="3F23D8EA" w14:textId="164006AD" w:rsidR="00AC3E5C" w:rsidRPr="00AC3E5C" w:rsidRDefault="00AC3E5C" w:rsidP="00AC3E5C">
            <w:pPr>
              <w:rPr>
                <w:rFonts w:ascii="Times New Roman" w:hAnsi="Times New Roman" w:cs="Times New Roman"/>
                <w:sz w:val="24"/>
                <w:szCs w:val="24"/>
              </w:rPr>
            </w:pPr>
            <w:r w:rsidRPr="00AC3E5C">
              <w:rPr>
                <w:lang w:eastAsia="bg-BG"/>
              </w:rPr>
              <w:t xml:space="preserve">Употребата на </w:t>
            </w:r>
            <w:r w:rsidRPr="00AC3E5C">
              <w:rPr>
                <w:lang w:val="en-US"/>
              </w:rPr>
              <w:t>AIIRAs</w:t>
            </w:r>
            <w:r w:rsidRPr="00AC3E5C">
              <w:rPr>
                <w:lang w:val="ru-RU"/>
              </w:rPr>
              <w:t xml:space="preserve"> </w:t>
            </w:r>
            <w:r w:rsidRPr="00AC3E5C">
              <w:rPr>
                <w:lang w:eastAsia="bg-BG"/>
              </w:rPr>
              <w:t xml:space="preserve">не се препоръчва през първия триместър от бременността (вж. точка 4.4). Употребата на </w:t>
            </w:r>
            <w:r w:rsidRPr="00AC3E5C">
              <w:rPr>
                <w:lang w:val="en-US"/>
              </w:rPr>
              <w:t>AIIRAs</w:t>
            </w:r>
            <w:r w:rsidRPr="00AC3E5C">
              <w:rPr>
                <w:lang w:val="ru-RU"/>
              </w:rPr>
              <w:t xml:space="preserve"> </w:t>
            </w:r>
            <w:r w:rsidRPr="00AC3E5C">
              <w:rPr>
                <w:lang w:eastAsia="bg-BG"/>
              </w:rPr>
              <w:t>е противопоказана по време на втория и третия триместър от бременността (вж.точка 4.3 и 4.4).</w:t>
            </w:r>
          </w:p>
        </w:tc>
      </w:tr>
    </w:tbl>
    <w:p w14:paraId="2E64F96B" w14:textId="314CD751" w:rsidR="00AC3E5C" w:rsidRDefault="00AC3E5C" w:rsidP="00AC3E5C"/>
    <w:p w14:paraId="410087A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Епидемиологични данни по отношение на тератогенния риск след експозиция на АСЕ- инхибитори по време на първия триместър на бременността не са убедителни, но въпреки това леко повишение на риска не може да бъде изключено. Докато няма контролирани епидемиологични данни относно риска при употреба на ангиотензин II рецепторни антагонисти </w:t>
      </w:r>
      <w:r w:rsidRPr="00AC3E5C">
        <w:rPr>
          <w:rFonts w:eastAsia="Times New Roman" w:cs="Arial"/>
          <w:color w:val="000000"/>
          <w:lang w:val="ru-RU"/>
        </w:rPr>
        <w:t>(</w:t>
      </w:r>
      <w:r w:rsidRPr="00AC3E5C">
        <w:rPr>
          <w:rFonts w:eastAsia="Times New Roman" w:cs="Arial"/>
          <w:color w:val="000000"/>
          <w:lang w:val="en-US"/>
        </w:rPr>
        <w:t>AIIRAs</w:t>
      </w:r>
      <w:r w:rsidRPr="00AC3E5C">
        <w:rPr>
          <w:rFonts w:eastAsia="Times New Roman" w:cs="Arial"/>
          <w:color w:val="000000"/>
          <w:lang w:val="ru-RU"/>
        </w:rPr>
        <w:t xml:space="preserve">), </w:t>
      </w:r>
      <w:r w:rsidRPr="00AC3E5C">
        <w:rPr>
          <w:rFonts w:eastAsia="Times New Roman" w:cs="Arial"/>
          <w:color w:val="000000"/>
          <w:lang w:eastAsia="bg-BG"/>
        </w:rPr>
        <w:t xml:space="preserve">подобни рискове могат да съществуват и при този клас </w:t>
      </w:r>
      <w:r w:rsidRPr="00AC3E5C">
        <w:rPr>
          <w:rFonts w:eastAsia="Times New Roman" w:cs="Arial"/>
          <w:color w:val="000000"/>
          <w:lang w:eastAsia="bg-BG"/>
        </w:rPr>
        <w:lastRenderedPageBreak/>
        <w:t xml:space="preserve">лекарства. Освен ако продължаването на терапията с </w:t>
      </w:r>
      <w:r w:rsidRPr="00AC3E5C">
        <w:rPr>
          <w:rFonts w:eastAsia="Times New Roman" w:cs="Arial"/>
          <w:color w:val="000000"/>
          <w:lang w:val="en-US"/>
        </w:rPr>
        <w:t>AIIRAs</w:t>
      </w:r>
      <w:r w:rsidRPr="00AC3E5C">
        <w:rPr>
          <w:rFonts w:eastAsia="Times New Roman" w:cs="Arial"/>
          <w:color w:val="000000"/>
          <w:lang w:val="ru-RU"/>
        </w:rPr>
        <w:t xml:space="preserve"> </w:t>
      </w:r>
      <w:r w:rsidRPr="00AC3E5C">
        <w:rPr>
          <w:rFonts w:eastAsia="Times New Roman" w:cs="Arial"/>
          <w:color w:val="000000"/>
          <w:lang w:eastAsia="bg-BG"/>
        </w:rPr>
        <w:t xml:space="preserve">не е от особено значение, пациентките планиращи бременност трябва да преминат на алтернативна антихипертензивна терапия, която има установен профил на безопасност при употреба по време на бременност. Когато е диагностицирана бременност, лечението с </w:t>
      </w:r>
      <w:r w:rsidRPr="00AC3E5C">
        <w:rPr>
          <w:rFonts w:eastAsia="Times New Roman" w:cs="Arial"/>
          <w:color w:val="000000"/>
          <w:lang w:val="en-US"/>
        </w:rPr>
        <w:t>AIIRAs</w:t>
      </w:r>
      <w:r w:rsidRPr="00AC3E5C">
        <w:rPr>
          <w:rFonts w:eastAsia="Times New Roman" w:cs="Arial"/>
          <w:color w:val="000000"/>
          <w:lang w:val="ru-RU"/>
        </w:rPr>
        <w:t xml:space="preserve"> </w:t>
      </w:r>
      <w:r w:rsidRPr="00AC3E5C">
        <w:rPr>
          <w:rFonts w:eastAsia="Times New Roman" w:cs="Arial"/>
          <w:color w:val="000000"/>
          <w:lang w:eastAsia="bg-BG"/>
        </w:rPr>
        <w:t>трябва да бъде прекратено незабавно и ако е необходимо трябва да се започне алтернативно лечение.</w:t>
      </w:r>
    </w:p>
    <w:p w14:paraId="15555A34" w14:textId="77777777" w:rsidR="00AC3E5C" w:rsidRDefault="00AC3E5C" w:rsidP="00AC3E5C">
      <w:pPr>
        <w:spacing w:line="240" w:lineRule="auto"/>
        <w:rPr>
          <w:rFonts w:eastAsia="Times New Roman" w:cs="Arial"/>
          <w:color w:val="000000"/>
          <w:lang w:eastAsia="bg-BG"/>
        </w:rPr>
      </w:pPr>
    </w:p>
    <w:p w14:paraId="4C611BE9" w14:textId="12C7C821"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Известно е, че излагането на въздействие на </w:t>
      </w:r>
      <w:r w:rsidRPr="00AC3E5C">
        <w:rPr>
          <w:rFonts w:eastAsia="Times New Roman" w:cs="Arial"/>
          <w:color w:val="000000"/>
          <w:lang w:val="en-US"/>
        </w:rPr>
        <w:t>AIIRAs</w:t>
      </w:r>
      <w:r w:rsidRPr="00AC3E5C">
        <w:rPr>
          <w:rFonts w:eastAsia="Times New Roman" w:cs="Arial"/>
          <w:color w:val="000000"/>
          <w:lang w:val="ru-RU"/>
        </w:rPr>
        <w:t xml:space="preserve"> </w:t>
      </w:r>
      <w:r w:rsidRPr="00AC3E5C">
        <w:rPr>
          <w:rFonts w:eastAsia="Times New Roman" w:cs="Arial"/>
          <w:color w:val="000000"/>
          <w:lang w:eastAsia="bg-BG"/>
        </w:rPr>
        <w:t xml:space="preserve">по време на втория и третия триместър от бременността е свързано с поява на фетотоксичност при хора (намалена бъбречна функция, олигохидрамнион, забавено вкостяване на черепните кости) и неонатална токсичност (бъбречна недостатъчност, хипотония, хиперкалиемия) (вж. точка 5.3). Ако след втория триместър на бременността пациентката е била изложена на действието на </w:t>
      </w:r>
      <w:r w:rsidRPr="00AC3E5C">
        <w:rPr>
          <w:rFonts w:eastAsia="Times New Roman" w:cs="Arial"/>
          <w:color w:val="000000"/>
          <w:lang w:val="en-US"/>
        </w:rPr>
        <w:t>AIIRAs</w:t>
      </w:r>
      <w:r w:rsidRPr="00AC3E5C">
        <w:rPr>
          <w:rFonts w:eastAsia="Times New Roman" w:cs="Arial"/>
          <w:color w:val="000000"/>
          <w:lang w:val="ru-RU"/>
        </w:rPr>
        <w:t xml:space="preserve">, </w:t>
      </w:r>
      <w:r w:rsidRPr="00AC3E5C">
        <w:rPr>
          <w:rFonts w:eastAsia="Times New Roman" w:cs="Arial"/>
          <w:color w:val="000000"/>
          <w:lang w:eastAsia="bg-BG"/>
        </w:rPr>
        <w:t>препоръчва се</w:t>
      </w:r>
      <w:r w:rsidRPr="00AC3E5C">
        <w:rPr>
          <w:rFonts w:eastAsia="Times New Roman" w:cs="Arial"/>
          <w:color w:val="000000"/>
          <w:u w:val="single"/>
          <w:lang w:eastAsia="bg-BG"/>
        </w:rPr>
        <w:t xml:space="preserve"> </w:t>
      </w:r>
      <w:r w:rsidRPr="00AC3E5C">
        <w:rPr>
          <w:rFonts w:eastAsia="Times New Roman" w:cs="Arial"/>
          <w:color w:val="000000"/>
          <w:lang w:eastAsia="bg-BG"/>
        </w:rPr>
        <w:t>ултразвуково изследване на бъбречната функция и черепните кости.</w:t>
      </w:r>
    </w:p>
    <w:p w14:paraId="4478985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Новородените от майки приемали </w:t>
      </w:r>
      <w:r w:rsidRPr="00AC3E5C">
        <w:rPr>
          <w:rFonts w:eastAsia="Times New Roman" w:cs="Arial"/>
          <w:color w:val="000000"/>
          <w:lang w:val="en-US"/>
        </w:rPr>
        <w:t>AIIRAs</w:t>
      </w:r>
      <w:r w:rsidRPr="00AC3E5C">
        <w:rPr>
          <w:rFonts w:eastAsia="Times New Roman" w:cs="Arial"/>
          <w:color w:val="000000"/>
          <w:lang w:val="ru-RU"/>
        </w:rPr>
        <w:t xml:space="preserve"> </w:t>
      </w:r>
      <w:r w:rsidRPr="00AC3E5C">
        <w:rPr>
          <w:rFonts w:eastAsia="Times New Roman" w:cs="Arial"/>
          <w:color w:val="000000"/>
          <w:lang w:eastAsia="bg-BG"/>
        </w:rPr>
        <w:t>трябва да бъдат внимателно наблюдавани за развитие</w:t>
      </w:r>
      <w:r w:rsidRPr="00AC3E5C">
        <w:rPr>
          <w:rFonts w:eastAsia="Times New Roman" w:cs="Arial"/>
          <w:b/>
          <w:bCs/>
          <w:color w:val="000000"/>
          <w:w w:val="80"/>
          <w:lang w:eastAsia="bg-BG"/>
        </w:rPr>
        <w:t xml:space="preserve"> </w:t>
      </w:r>
      <w:r w:rsidRPr="00AC3E5C">
        <w:rPr>
          <w:rFonts w:eastAsia="Times New Roman" w:cs="Arial"/>
          <w:color w:val="000000"/>
          <w:lang w:eastAsia="bg-BG"/>
        </w:rPr>
        <w:t>на хипотония (вж. точки 4.3 и 4.4).</w:t>
      </w:r>
    </w:p>
    <w:p w14:paraId="698A8BB8" w14:textId="77777777" w:rsidR="00AC3E5C" w:rsidRDefault="00AC3E5C" w:rsidP="00AC3E5C">
      <w:pPr>
        <w:spacing w:line="240" w:lineRule="auto"/>
        <w:rPr>
          <w:rFonts w:eastAsia="Times New Roman" w:cs="Arial"/>
          <w:i/>
          <w:iCs/>
          <w:color w:val="000000"/>
          <w:lang w:eastAsia="bg-BG"/>
        </w:rPr>
      </w:pPr>
    </w:p>
    <w:p w14:paraId="6179A550" w14:textId="067249EC"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lang w:eastAsia="bg-BG"/>
        </w:rPr>
        <w:t>Хидрохлоротиазид</w:t>
      </w:r>
    </w:p>
    <w:p w14:paraId="3A8E9683"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Има ограничен опит с хидрохлоротиазид по време на бременност, особено по време на първия триместър. Проучванията при животни са недостатъчни. Хидрохлоротиазид преминава през плацентата. Въз основа на фармакологичния механизъм на действие, употребата на хидрохлоротиазид по време на втория и третия триместър може да наруши фето-плацентарната перфузия и може да причини фетални и неонатални ефекти като жълтеница, нарушение на електролитния баланс и тромбоцитопения.</w:t>
      </w:r>
    </w:p>
    <w:p w14:paraId="0B30F144"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Хидрохлоротиазид не трябва да се използва за гестационен едем, гестационна хипертония или прееклампсия, поради риска от намаляване на плазмения обем и плацентарна хипоперфузия, без благоприятен ефект върху хода на болестта.</w:t>
      </w:r>
    </w:p>
    <w:p w14:paraId="6FA470B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Хидрохлоротиазид не трябва да се използва за лечение на есенциална хипертония при бременни жени, освен в редки случаи, когато не може да бъде приложено друго лечение. Тъй като, Ко-Ирбесан съдържа хидрохлоротиазид, той не се препоръчва по време на първия триместър на бременността. При планиране на бременност, пациентките трябва да преминат на подходящо алтернативно лечение.</w:t>
      </w:r>
    </w:p>
    <w:p w14:paraId="4BAA873C" w14:textId="77777777" w:rsidR="00AC3E5C" w:rsidRDefault="00AC3E5C" w:rsidP="00AC3E5C">
      <w:pPr>
        <w:spacing w:line="240" w:lineRule="auto"/>
        <w:rPr>
          <w:rFonts w:eastAsia="Times New Roman" w:cs="Arial"/>
          <w:color w:val="000000"/>
          <w:u w:val="single"/>
          <w:lang w:eastAsia="bg-BG"/>
        </w:rPr>
      </w:pPr>
    </w:p>
    <w:p w14:paraId="12858429" w14:textId="28472030" w:rsidR="00AC3E5C" w:rsidRPr="00AC3E5C" w:rsidRDefault="00AC3E5C" w:rsidP="00AC3E5C">
      <w:pPr>
        <w:pStyle w:val="Heading3"/>
        <w:rPr>
          <w:rFonts w:eastAsia="Times New Roman"/>
          <w:u w:val="single"/>
          <w:lang w:eastAsia="bg-BG"/>
        </w:rPr>
      </w:pPr>
      <w:r w:rsidRPr="00AC3E5C">
        <w:rPr>
          <w:rFonts w:eastAsia="Times New Roman"/>
          <w:u w:val="single"/>
          <w:lang w:eastAsia="bg-BG"/>
        </w:rPr>
        <w:t>Кърмене</w:t>
      </w:r>
    </w:p>
    <w:p w14:paraId="39F47D36" w14:textId="77777777" w:rsidR="00AC3E5C" w:rsidRDefault="00AC3E5C" w:rsidP="00AC3E5C">
      <w:pPr>
        <w:spacing w:line="240" w:lineRule="auto"/>
        <w:rPr>
          <w:rFonts w:eastAsia="Times New Roman" w:cs="Arial"/>
          <w:i/>
          <w:iCs/>
          <w:color w:val="000000"/>
          <w:lang w:eastAsia="bg-BG"/>
        </w:rPr>
      </w:pPr>
    </w:p>
    <w:p w14:paraId="272BE4A6" w14:textId="6812F2AB"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lang w:eastAsia="bg-BG"/>
        </w:rPr>
        <w:t>Ангиотензин II рецепторни антагонисти</w:t>
      </w:r>
    </w:p>
    <w:p w14:paraId="59EF804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Поради липса на налична информация за употребата на комбинацията ирбесаратан и хидрохлоротиазид по време на кърмене, в този случай не се препоръчва употребата на Ко- Ирбесан. Препоръчително е прилагане алтернативно лечение с установен профил на безопасност по време на кърмене, особено при новородени или преждевременно родени деца.</w:t>
      </w:r>
    </w:p>
    <w:p w14:paraId="51BF0C2D" w14:textId="77777777" w:rsidR="00AC3E5C" w:rsidRDefault="00AC3E5C" w:rsidP="00AC3E5C">
      <w:pPr>
        <w:spacing w:line="240" w:lineRule="auto"/>
        <w:rPr>
          <w:rFonts w:eastAsia="Times New Roman" w:cs="Arial"/>
          <w:color w:val="000000"/>
          <w:lang w:eastAsia="bg-BG"/>
        </w:rPr>
      </w:pPr>
    </w:p>
    <w:p w14:paraId="54192B0A" w14:textId="73745A74"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 е известно дали ирбесартан или неговите метаболити се екскретират в кърмата. Наличните фармакодинамични/токсикологични данни при плъхове, показват екскреция на ирбесартан или неговите метаболити в млякото (за подробности вж. точка 5.3).</w:t>
      </w:r>
    </w:p>
    <w:p w14:paraId="69A03FB9" w14:textId="77777777" w:rsidR="00AC3E5C" w:rsidRDefault="00AC3E5C" w:rsidP="00AC3E5C">
      <w:pPr>
        <w:spacing w:line="240" w:lineRule="auto"/>
        <w:rPr>
          <w:rFonts w:eastAsia="Times New Roman" w:cs="Arial"/>
          <w:i/>
          <w:iCs/>
          <w:color w:val="000000"/>
          <w:lang w:eastAsia="bg-BG"/>
        </w:rPr>
      </w:pPr>
    </w:p>
    <w:p w14:paraId="6494F326" w14:textId="10640F00"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lang w:eastAsia="bg-BG"/>
        </w:rPr>
        <w:t>Хидрохлоротиазид</w:t>
      </w:r>
    </w:p>
    <w:p w14:paraId="4140F4D0"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Хидрохлоротиазид се екскретира в малки количества в кърмата. Тиазидите във високи дози, водещи до интензивна диуреза, могат да подтиснат производството на кърма. Не се </w:t>
      </w:r>
      <w:r w:rsidRPr="00AC3E5C">
        <w:rPr>
          <w:rFonts w:eastAsia="Times New Roman" w:cs="Arial"/>
          <w:color w:val="000000"/>
          <w:lang w:eastAsia="bg-BG"/>
        </w:rPr>
        <w:lastRenderedPageBreak/>
        <w:t>препоръчва употребата на Ко-Ирбесан по време на кърмене. Ако Ко-Ирбесан се използва по време на кърмене, дозите трябва да се поддържат възможно най-ниски.</w:t>
      </w:r>
    </w:p>
    <w:p w14:paraId="089327A1" w14:textId="77777777" w:rsidR="00AC3E5C" w:rsidRDefault="00AC3E5C" w:rsidP="00AC3E5C">
      <w:pPr>
        <w:spacing w:line="240" w:lineRule="auto"/>
        <w:rPr>
          <w:rFonts w:eastAsia="Times New Roman" w:cs="Arial"/>
          <w:color w:val="000000"/>
          <w:u w:val="single"/>
          <w:lang w:eastAsia="bg-BG"/>
        </w:rPr>
      </w:pPr>
    </w:p>
    <w:p w14:paraId="73FC9AA3" w14:textId="2942F3E4" w:rsidR="00AC3E5C" w:rsidRPr="00AC3E5C" w:rsidRDefault="00AC3E5C" w:rsidP="00AC3E5C">
      <w:pPr>
        <w:pStyle w:val="Heading3"/>
        <w:rPr>
          <w:rFonts w:ascii="Times New Roman" w:eastAsia="Times New Roman" w:hAnsi="Times New Roman" w:cs="Times New Roman"/>
          <w:u w:val="single"/>
        </w:rPr>
      </w:pPr>
      <w:r w:rsidRPr="00AC3E5C">
        <w:rPr>
          <w:rFonts w:eastAsia="Times New Roman"/>
          <w:u w:val="single"/>
          <w:lang w:eastAsia="bg-BG"/>
        </w:rPr>
        <w:t>Фертилитет</w:t>
      </w:r>
    </w:p>
    <w:p w14:paraId="6BED16AC" w14:textId="7AF01D5B" w:rsidR="00AC3E5C" w:rsidRPr="00AC3E5C" w:rsidRDefault="00AC3E5C" w:rsidP="00AC3E5C">
      <w:pPr>
        <w:rPr>
          <w:rFonts w:eastAsia="Times New Roman" w:cs="Arial"/>
          <w:color w:val="000000"/>
          <w:lang w:eastAsia="bg-BG"/>
        </w:rPr>
      </w:pPr>
      <w:r w:rsidRPr="00AC3E5C">
        <w:rPr>
          <w:rFonts w:eastAsia="Times New Roman" w:cs="Arial"/>
          <w:color w:val="000000"/>
          <w:lang w:eastAsia="bg-BG"/>
        </w:rPr>
        <w:t>Ирбесартан няма ефект върху фертилитета на третирани плъхове и тяхното потомство, до дозови нива, причиняващи първите симптоми на токсичност при родителите (вж. точка 5.3).</w:t>
      </w:r>
    </w:p>
    <w:p w14:paraId="68A32A89" w14:textId="77777777" w:rsidR="00AC3E5C" w:rsidRPr="00AC3E5C" w:rsidRDefault="00AC3E5C" w:rsidP="00AC3E5C"/>
    <w:p w14:paraId="4DF5A2E7" w14:textId="43B99C69" w:rsidR="00DF4C8E" w:rsidRDefault="002C50EE" w:rsidP="00F44498">
      <w:pPr>
        <w:pStyle w:val="Heading2"/>
      </w:pPr>
      <w:r>
        <w:t>4.7. Ефекти върху способността за шофиране и работа с машини</w:t>
      </w:r>
    </w:p>
    <w:p w14:paraId="42B239D1" w14:textId="4A60E051" w:rsidR="00AC3E5C" w:rsidRDefault="00AC3E5C" w:rsidP="00AC3E5C"/>
    <w:p w14:paraId="6C7397F2" w14:textId="77777777" w:rsidR="00AC3E5C" w:rsidRPr="00AC3E5C" w:rsidRDefault="00AC3E5C" w:rsidP="00AC3E5C">
      <w:pPr>
        <w:rPr>
          <w:rFonts w:ascii="Times New Roman" w:hAnsi="Times New Roman" w:cs="Times New Roman"/>
          <w:sz w:val="24"/>
          <w:szCs w:val="24"/>
        </w:rPr>
      </w:pPr>
      <w:r w:rsidRPr="00AC3E5C">
        <w:rPr>
          <w:lang w:eastAsia="bg-BG"/>
        </w:rPr>
        <w:t>Ефектът на Ко-Ирбесан върху способността за шофиране и работа с машини не е проучен, но въз основа на фармакодинамичните му свойства не се очаква повлияване на тези способности. Трябва да се има предвид, че антихипертензивните средства могат да причинят световъртеж или отпадналост.</w:t>
      </w:r>
    </w:p>
    <w:p w14:paraId="018A51A8" w14:textId="77777777" w:rsidR="00AC3E5C" w:rsidRPr="00AC3E5C" w:rsidRDefault="00AC3E5C" w:rsidP="00AC3E5C"/>
    <w:p w14:paraId="28229498" w14:textId="2999221D" w:rsidR="00DF4C8E" w:rsidRDefault="002C50EE" w:rsidP="00F44498">
      <w:pPr>
        <w:pStyle w:val="Heading2"/>
      </w:pPr>
      <w:r>
        <w:t>4.8. Нежелани лекарствени реакции</w:t>
      </w:r>
    </w:p>
    <w:p w14:paraId="72BE8E78" w14:textId="136C8CEE" w:rsidR="00AC3E5C" w:rsidRDefault="00AC3E5C" w:rsidP="00AC3E5C"/>
    <w:p w14:paraId="21BF3E03"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Използвана е класификация на нежеланите лекарствени реакции по честота и системно-органни класове по </w:t>
      </w:r>
      <w:proofErr w:type="spellStart"/>
      <w:r w:rsidRPr="00AC3E5C">
        <w:rPr>
          <w:rFonts w:eastAsia="Times New Roman" w:cs="Arial"/>
          <w:color w:val="000000"/>
          <w:lang w:val="en-US"/>
        </w:rPr>
        <w:t>MedDRA</w:t>
      </w:r>
      <w:proofErr w:type="spellEnd"/>
      <w:r w:rsidRPr="00AC3E5C">
        <w:rPr>
          <w:rFonts w:eastAsia="Times New Roman" w:cs="Arial"/>
          <w:color w:val="000000"/>
          <w:lang w:val="ru-RU"/>
        </w:rPr>
        <w:t xml:space="preserve"> </w:t>
      </w:r>
      <w:r w:rsidRPr="00AC3E5C">
        <w:rPr>
          <w:rFonts w:eastAsia="Times New Roman" w:cs="Arial"/>
          <w:color w:val="000000"/>
          <w:lang w:eastAsia="bg-BG"/>
        </w:rPr>
        <w:t>конвенцията.</w:t>
      </w:r>
    </w:p>
    <w:p w14:paraId="40BAB56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Много чести (≥ 1 /10), чести (≥1 /100 до &lt;1/10), нечести (≥1 /1000 до &lt;1/100), редки (≥1/10 000 до &lt;1/1000), много редки (&lt;1/10 000), с неизвестна честота (от наличните данни не може да бъде направена оценка).</w:t>
      </w:r>
    </w:p>
    <w:p w14:paraId="5B990A47" w14:textId="77777777" w:rsidR="00AC3E5C" w:rsidRPr="00AC3E5C" w:rsidRDefault="00AC3E5C" w:rsidP="00AC3E5C">
      <w:pPr>
        <w:spacing w:line="240" w:lineRule="auto"/>
        <w:rPr>
          <w:rFonts w:eastAsia="Times New Roman" w:cs="Arial"/>
          <w:i/>
          <w:iCs/>
          <w:color w:val="000000"/>
          <w:u w:val="single"/>
          <w:lang w:eastAsia="bg-BG"/>
        </w:rPr>
      </w:pPr>
    </w:p>
    <w:p w14:paraId="55CE3916" w14:textId="14ECCD9F"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нервната система</w:t>
      </w:r>
    </w:p>
    <w:p w14:paraId="6370E6D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Чести: замаяност</w:t>
      </w:r>
    </w:p>
    <w:p w14:paraId="7D53DA5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Нечести: ортостатична замаяност</w:t>
      </w:r>
    </w:p>
    <w:p w14:paraId="46673956" w14:textId="192C2481" w:rsidR="00AC3E5C" w:rsidRPr="00AC3E5C" w:rsidRDefault="00AC3E5C" w:rsidP="00AC3E5C"/>
    <w:p w14:paraId="309F27D2"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Сърдечни нарушения</w:t>
      </w:r>
    </w:p>
    <w:p w14:paraId="64C76513"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Нечести: хипотония, оток, синкоп, тахикардия</w:t>
      </w:r>
    </w:p>
    <w:p w14:paraId="59A8DB4D" w14:textId="77777777" w:rsidR="00AC3E5C" w:rsidRDefault="00AC3E5C" w:rsidP="00AC3E5C">
      <w:pPr>
        <w:spacing w:line="240" w:lineRule="auto"/>
        <w:rPr>
          <w:rFonts w:eastAsia="Times New Roman" w:cs="Arial"/>
          <w:i/>
          <w:iCs/>
          <w:color w:val="000000"/>
          <w:u w:val="single"/>
          <w:lang w:eastAsia="bg-BG"/>
        </w:rPr>
      </w:pPr>
    </w:p>
    <w:p w14:paraId="507D762C" w14:textId="2E4CF6E8"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Съдови нарушения</w:t>
      </w:r>
    </w:p>
    <w:p w14:paraId="782B61E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Нечести:зачервявания</w:t>
      </w:r>
    </w:p>
    <w:p w14:paraId="074D381B" w14:textId="77777777" w:rsidR="00AC3E5C" w:rsidRDefault="00AC3E5C" w:rsidP="00AC3E5C">
      <w:pPr>
        <w:spacing w:line="240" w:lineRule="auto"/>
        <w:rPr>
          <w:rFonts w:eastAsia="Times New Roman" w:cs="Arial"/>
          <w:i/>
          <w:iCs/>
          <w:color w:val="000000"/>
          <w:u w:val="single"/>
          <w:lang w:eastAsia="bg-BG"/>
        </w:rPr>
      </w:pPr>
    </w:p>
    <w:p w14:paraId="3356E428" w14:textId="3DF1FB94"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Стомашно-чревни нарушения</w:t>
      </w:r>
    </w:p>
    <w:p w14:paraId="277BB04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Чести: гадене/повръщане</w:t>
      </w:r>
    </w:p>
    <w:p w14:paraId="4F26037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Нечести: диария</w:t>
      </w:r>
    </w:p>
    <w:p w14:paraId="74EA2162" w14:textId="77777777" w:rsidR="00AC3E5C" w:rsidRDefault="00AC3E5C" w:rsidP="00AC3E5C">
      <w:pPr>
        <w:spacing w:line="240" w:lineRule="auto"/>
        <w:rPr>
          <w:rFonts w:eastAsia="Times New Roman" w:cs="Arial"/>
          <w:i/>
          <w:iCs/>
          <w:color w:val="000000"/>
          <w:u w:val="single"/>
          <w:lang w:eastAsia="bg-BG"/>
        </w:rPr>
      </w:pPr>
    </w:p>
    <w:p w14:paraId="005F88C8" w14:textId="386E2765"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мускулно-скелетната система и съединителната тъкан</w:t>
      </w:r>
    </w:p>
    <w:p w14:paraId="6C0F1BFF"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Нечести: подуване на крайниците</w:t>
      </w:r>
    </w:p>
    <w:p w14:paraId="54C7139F" w14:textId="77777777" w:rsidR="00AC3E5C" w:rsidRDefault="00AC3E5C" w:rsidP="00AC3E5C">
      <w:pPr>
        <w:spacing w:line="240" w:lineRule="auto"/>
        <w:rPr>
          <w:rFonts w:eastAsia="Times New Roman" w:cs="Arial"/>
          <w:i/>
          <w:iCs/>
          <w:color w:val="000000"/>
          <w:u w:val="single"/>
          <w:lang w:eastAsia="bg-BG"/>
        </w:rPr>
      </w:pPr>
    </w:p>
    <w:p w14:paraId="1AB20073" w14:textId="550FA8AF"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бъбреиите и пикочните пътища</w:t>
      </w:r>
    </w:p>
    <w:p w14:paraId="39C7F28D"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Чести: засилено уриниране</w:t>
      </w:r>
    </w:p>
    <w:p w14:paraId="1EE15079" w14:textId="77777777" w:rsidR="00AC3E5C" w:rsidRDefault="00AC3E5C" w:rsidP="00AC3E5C">
      <w:pPr>
        <w:spacing w:line="240" w:lineRule="auto"/>
        <w:rPr>
          <w:rFonts w:eastAsia="Times New Roman" w:cs="Arial"/>
          <w:i/>
          <w:iCs/>
          <w:color w:val="000000"/>
          <w:u w:val="single"/>
          <w:lang w:eastAsia="bg-BG"/>
        </w:rPr>
      </w:pPr>
    </w:p>
    <w:p w14:paraId="46B0DC98" w14:textId="744890A0"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възпроизводителната система и гърдата</w:t>
      </w:r>
    </w:p>
    <w:p w14:paraId="0A0B971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Нечести: промени в либидото, сексуална дисфункция</w:t>
      </w:r>
    </w:p>
    <w:p w14:paraId="53D4B7BB" w14:textId="77777777" w:rsidR="00AC3E5C" w:rsidRDefault="00AC3E5C" w:rsidP="00AC3E5C">
      <w:pPr>
        <w:spacing w:line="240" w:lineRule="auto"/>
        <w:rPr>
          <w:rFonts w:eastAsia="Times New Roman" w:cs="Arial"/>
          <w:i/>
          <w:iCs/>
          <w:color w:val="000000"/>
          <w:u w:val="single"/>
          <w:lang w:eastAsia="bg-BG"/>
        </w:rPr>
      </w:pPr>
    </w:p>
    <w:p w14:paraId="79B078CA" w14:textId="44D8FFA8"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Обши нарушения и ефекти на мястото на приложение</w:t>
      </w:r>
    </w:p>
    <w:p w14:paraId="0216CE0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Чести: умора</w:t>
      </w:r>
    </w:p>
    <w:p w14:paraId="727B15BC" w14:textId="77777777" w:rsidR="00AC3E5C" w:rsidRDefault="00AC3E5C" w:rsidP="00AC3E5C">
      <w:pPr>
        <w:spacing w:line="240" w:lineRule="auto"/>
        <w:rPr>
          <w:rFonts w:eastAsia="Times New Roman" w:cs="Arial"/>
          <w:i/>
          <w:iCs/>
          <w:color w:val="000000"/>
          <w:u w:val="single"/>
          <w:lang w:eastAsia="bg-BG"/>
        </w:rPr>
      </w:pPr>
    </w:p>
    <w:p w14:paraId="3FE9B024" w14:textId="229969C3"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lastRenderedPageBreak/>
        <w:t>Изследвания</w:t>
      </w:r>
    </w:p>
    <w:p w14:paraId="03171C44"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В редки случаи се наблюдават промени в лабораторните показатели при пациенти, лекувани с ирбесаратн/хидрохлоротиазид. Тези промени рядко са от клинично значение.</w:t>
      </w:r>
    </w:p>
    <w:p w14:paraId="28A41640"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Чести: значително увеличение на стойностите на </w:t>
      </w:r>
      <w:r w:rsidRPr="00AC3E5C">
        <w:rPr>
          <w:rFonts w:eastAsia="Times New Roman" w:cs="Arial"/>
          <w:color w:val="000000"/>
          <w:lang w:val="en-US"/>
        </w:rPr>
        <w:t>BUN</w:t>
      </w:r>
      <w:r w:rsidRPr="00AC3E5C">
        <w:rPr>
          <w:rFonts w:eastAsia="Times New Roman" w:cs="Arial"/>
          <w:color w:val="000000"/>
          <w:lang w:val="ru-RU"/>
        </w:rPr>
        <w:t xml:space="preserve">, </w:t>
      </w:r>
      <w:r w:rsidRPr="00AC3E5C">
        <w:rPr>
          <w:rFonts w:eastAsia="Times New Roman" w:cs="Arial"/>
          <w:color w:val="000000"/>
          <w:lang w:eastAsia="bg-BG"/>
        </w:rPr>
        <w:t>креатин и креатин киназа</w:t>
      </w:r>
    </w:p>
    <w:p w14:paraId="39F65BE9"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Нечести: намаляване стойностите на серумния калий и натрий.</w:t>
      </w:r>
    </w:p>
    <w:p w14:paraId="7EE75A18" w14:textId="77777777" w:rsidR="00AC3E5C" w:rsidRDefault="00AC3E5C" w:rsidP="00AC3E5C">
      <w:pPr>
        <w:spacing w:line="240" w:lineRule="auto"/>
        <w:rPr>
          <w:rFonts w:eastAsia="Times New Roman" w:cs="Arial"/>
          <w:b/>
          <w:bCs/>
          <w:color w:val="000000"/>
          <w:lang w:eastAsia="bg-BG"/>
        </w:rPr>
      </w:pPr>
      <w:bookmarkStart w:id="1" w:name="bookmark0"/>
    </w:p>
    <w:p w14:paraId="3B30CF23" w14:textId="76FDBA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b/>
          <w:bCs/>
          <w:color w:val="000000"/>
          <w:lang w:eastAsia="bg-BG"/>
        </w:rPr>
        <w:t>Съществува информация за някои други нежелани реакции при употребата на лекарствени средства съдържащи ирбесартан и хидрохлоротиазид, например:</w:t>
      </w:r>
      <w:bookmarkEnd w:id="1"/>
    </w:p>
    <w:p w14:paraId="5A87553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имунната система</w:t>
      </w:r>
    </w:p>
    <w:p w14:paraId="14DD2794"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Редки: реакции на свръхчувствителност като ангиоедема, обрив, сърбеж</w:t>
      </w:r>
    </w:p>
    <w:p w14:paraId="7ABFF56E" w14:textId="77777777" w:rsidR="00AC3E5C" w:rsidRDefault="00AC3E5C" w:rsidP="00AC3E5C">
      <w:pPr>
        <w:spacing w:line="240" w:lineRule="auto"/>
        <w:rPr>
          <w:rFonts w:eastAsia="Times New Roman" w:cs="Arial"/>
          <w:i/>
          <w:iCs/>
          <w:color w:val="000000"/>
          <w:u w:val="single"/>
          <w:lang w:eastAsia="bg-BG"/>
        </w:rPr>
      </w:pPr>
    </w:p>
    <w:p w14:paraId="03441144" w14:textId="0C783618"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метаболизма и храненето</w:t>
      </w:r>
    </w:p>
    <w:p w14:paraId="65570F8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Много редки: хиперкалиемия</w:t>
      </w:r>
    </w:p>
    <w:p w14:paraId="38FA63BB" w14:textId="77777777" w:rsidR="00AC3E5C" w:rsidRDefault="00AC3E5C" w:rsidP="00AC3E5C">
      <w:pPr>
        <w:spacing w:line="240" w:lineRule="auto"/>
        <w:rPr>
          <w:rFonts w:eastAsia="Times New Roman" w:cs="Arial"/>
          <w:i/>
          <w:iCs/>
          <w:color w:val="000000"/>
          <w:u w:val="single"/>
          <w:lang w:eastAsia="bg-BG"/>
        </w:rPr>
      </w:pPr>
    </w:p>
    <w:p w14:paraId="57FBA63B" w14:textId="31377E70"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нервната система</w:t>
      </w:r>
    </w:p>
    <w:p w14:paraId="6C24FD66"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Много редки: главоболие</w:t>
      </w:r>
    </w:p>
    <w:p w14:paraId="7FBAD0DD" w14:textId="77777777" w:rsidR="00AC3E5C" w:rsidRDefault="00AC3E5C" w:rsidP="00AC3E5C">
      <w:pPr>
        <w:spacing w:line="240" w:lineRule="auto"/>
        <w:rPr>
          <w:rFonts w:eastAsia="Times New Roman" w:cs="Arial"/>
          <w:i/>
          <w:iCs/>
          <w:color w:val="000000"/>
          <w:u w:val="single"/>
          <w:lang w:eastAsia="bg-BG"/>
        </w:rPr>
      </w:pPr>
    </w:p>
    <w:p w14:paraId="621A1555" w14:textId="78D0DCFD"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ухото и лабиринта</w:t>
      </w:r>
    </w:p>
    <w:p w14:paraId="1DB151A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Много редки: шум в ушите</w:t>
      </w:r>
    </w:p>
    <w:p w14:paraId="38FEFE3E" w14:textId="77777777" w:rsidR="00AC3E5C" w:rsidRDefault="00AC3E5C" w:rsidP="00AC3E5C">
      <w:pPr>
        <w:spacing w:line="240" w:lineRule="auto"/>
        <w:rPr>
          <w:rFonts w:eastAsia="Times New Roman" w:cs="Arial"/>
          <w:i/>
          <w:iCs/>
          <w:color w:val="000000"/>
          <w:u w:val="single"/>
          <w:lang w:eastAsia="bg-BG"/>
        </w:rPr>
      </w:pPr>
    </w:p>
    <w:p w14:paraId="3695F2C5" w14:textId="3CEBB156"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Респираторни, гръдни и медиастинални нарушения</w:t>
      </w:r>
    </w:p>
    <w:p w14:paraId="318F4283"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Много редки: кашлица</w:t>
      </w:r>
    </w:p>
    <w:p w14:paraId="3FBA9DA3" w14:textId="77777777" w:rsidR="00AC3E5C" w:rsidRDefault="00AC3E5C" w:rsidP="00AC3E5C">
      <w:pPr>
        <w:spacing w:line="240" w:lineRule="auto"/>
        <w:rPr>
          <w:rFonts w:eastAsia="Times New Roman" w:cs="Arial"/>
          <w:i/>
          <w:iCs/>
          <w:color w:val="000000"/>
          <w:u w:val="single"/>
          <w:lang w:eastAsia="bg-BG"/>
        </w:rPr>
      </w:pPr>
    </w:p>
    <w:p w14:paraId="5FF77859" w14:textId="296C6DBC"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Стомашно-чревни нарушения</w:t>
      </w:r>
    </w:p>
    <w:p w14:paraId="33D0E99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Нарушение във вкуса, диспепсия</w:t>
      </w:r>
    </w:p>
    <w:p w14:paraId="7375108A" w14:textId="77777777" w:rsidR="00AC3E5C" w:rsidRDefault="00AC3E5C" w:rsidP="00AC3E5C">
      <w:pPr>
        <w:spacing w:line="240" w:lineRule="auto"/>
        <w:rPr>
          <w:rFonts w:eastAsia="Times New Roman" w:cs="Arial"/>
          <w:i/>
          <w:iCs/>
          <w:color w:val="000000"/>
          <w:u w:val="single"/>
          <w:lang w:eastAsia="bg-BG"/>
        </w:rPr>
      </w:pPr>
    </w:p>
    <w:p w14:paraId="709E17F9" w14:textId="753E55F8"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Хепатобилиарни нарушения</w:t>
      </w:r>
    </w:p>
    <w:p w14:paraId="7C0AAEA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Много редки: хепатит, нарушена чернодробна функция</w:t>
      </w:r>
    </w:p>
    <w:p w14:paraId="77095BD6" w14:textId="77777777" w:rsidR="00AC3E5C" w:rsidRDefault="00AC3E5C" w:rsidP="00AC3E5C">
      <w:pPr>
        <w:spacing w:line="240" w:lineRule="auto"/>
        <w:rPr>
          <w:rFonts w:eastAsia="Times New Roman" w:cs="Arial"/>
          <w:i/>
          <w:iCs/>
          <w:color w:val="000000"/>
          <w:u w:val="single"/>
          <w:lang w:eastAsia="bg-BG"/>
        </w:rPr>
      </w:pPr>
    </w:p>
    <w:p w14:paraId="40DB3EF8" w14:textId="6D086B4D"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мускулно-скелетната система и съединителната тъкан</w:t>
      </w:r>
    </w:p>
    <w:p w14:paraId="360B8523"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Много редки: артралгия, миалгия</w:t>
      </w:r>
    </w:p>
    <w:p w14:paraId="6B7E999C" w14:textId="77777777" w:rsidR="00AC3E5C" w:rsidRDefault="00AC3E5C" w:rsidP="00AC3E5C">
      <w:pPr>
        <w:spacing w:line="240" w:lineRule="auto"/>
        <w:rPr>
          <w:rFonts w:eastAsia="Times New Roman" w:cs="Arial"/>
          <w:i/>
          <w:iCs/>
          <w:color w:val="000000"/>
          <w:u w:val="single"/>
          <w:lang w:eastAsia="bg-BG"/>
        </w:rPr>
      </w:pPr>
    </w:p>
    <w:p w14:paraId="72FF6FC5" w14:textId="3D150C1D"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бъбреиите и пикочните пътища</w:t>
      </w:r>
    </w:p>
    <w:p w14:paraId="4BD820D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Много редки: нарушена бъбречна функция, включително изолирани случаи на бъбречна недостатъчност при пациенти с риск (вж. точка 4.4)</w:t>
      </w:r>
    </w:p>
    <w:p w14:paraId="26C057F9" w14:textId="77777777" w:rsidR="00AC3E5C" w:rsidRDefault="00AC3E5C" w:rsidP="00AC3E5C">
      <w:pPr>
        <w:spacing w:line="240" w:lineRule="auto"/>
        <w:rPr>
          <w:rFonts w:eastAsia="Times New Roman" w:cs="Arial"/>
          <w:b/>
          <w:bCs/>
          <w:color w:val="000000"/>
          <w:lang w:eastAsia="bg-BG"/>
        </w:rPr>
      </w:pPr>
    </w:p>
    <w:p w14:paraId="3D705902" w14:textId="01DD6D8C"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b/>
          <w:bCs/>
          <w:color w:val="000000"/>
          <w:lang w:eastAsia="bg-BG"/>
        </w:rPr>
        <w:t>Допълнителна информация за отделните компоненти</w:t>
      </w:r>
    </w:p>
    <w:p w14:paraId="1A13731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Възможни са нежелани лекарствени реакции, които са характерни за всяко от активните вещества.</w:t>
      </w:r>
    </w:p>
    <w:p w14:paraId="3FB0F821" w14:textId="77777777" w:rsidR="00AC3E5C" w:rsidRDefault="00AC3E5C" w:rsidP="00AC3E5C">
      <w:pPr>
        <w:spacing w:line="240" w:lineRule="auto"/>
        <w:rPr>
          <w:rFonts w:eastAsia="Times New Roman" w:cs="Arial"/>
          <w:b/>
          <w:bCs/>
          <w:color w:val="000000"/>
          <w:u w:val="single"/>
          <w:lang w:eastAsia="bg-BG"/>
        </w:rPr>
      </w:pPr>
      <w:bookmarkStart w:id="2" w:name="bookmark2"/>
    </w:p>
    <w:p w14:paraId="773369F5" w14:textId="3BFBA335"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b/>
          <w:bCs/>
          <w:color w:val="000000"/>
          <w:u w:val="single"/>
          <w:lang w:eastAsia="bg-BG"/>
        </w:rPr>
        <w:t>Ирбесартан</w:t>
      </w:r>
      <w:bookmarkEnd w:id="2"/>
    </w:p>
    <w:p w14:paraId="0A74E115" w14:textId="01675B1C"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Обши нарушения, свързани с приема на медикамента</w:t>
      </w:r>
    </w:p>
    <w:p w14:paraId="40EB868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Нечести: болка в гърдите</w:t>
      </w:r>
    </w:p>
    <w:p w14:paraId="3C663AF7" w14:textId="77777777" w:rsidR="00AC3E5C" w:rsidRDefault="00AC3E5C" w:rsidP="00AC3E5C">
      <w:pPr>
        <w:spacing w:line="240" w:lineRule="auto"/>
        <w:rPr>
          <w:rFonts w:eastAsia="Times New Roman" w:cs="Arial"/>
          <w:b/>
          <w:bCs/>
          <w:color w:val="000000"/>
          <w:u w:val="single"/>
          <w:lang w:eastAsia="bg-BG"/>
        </w:rPr>
      </w:pPr>
      <w:bookmarkStart w:id="3" w:name="bookmark4"/>
    </w:p>
    <w:p w14:paraId="26947662" w14:textId="751EDF3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b/>
          <w:bCs/>
          <w:color w:val="000000"/>
          <w:u w:val="single"/>
          <w:lang w:eastAsia="bg-BG"/>
        </w:rPr>
        <w:t>Хидрохлоротиазид</w:t>
      </w:r>
      <w:bookmarkEnd w:id="3"/>
    </w:p>
    <w:p w14:paraId="288E4DD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Докладвани са следните нежелани лекарствени събития при самостоятелната употреба на хидрохлоротиазид</w:t>
      </w:r>
    </w:p>
    <w:p w14:paraId="0E34C4F0" w14:textId="77777777" w:rsidR="00AC3E5C" w:rsidRDefault="00AC3E5C" w:rsidP="00AC3E5C">
      <w:pPr>
        <w:spacing w:line="240" w:lineRule="auto"/>
        <w:rPr>
          <w:rFonts w:eastAsia="Times New Roman" w:cs="Arial"/>
          <w:i/>
          <w:iCs/>
          <w:color w:val="000000"/>
          <w:u w:val="single"/>
          <w:lang w:eastAsia="bg-BG"/>
        </w:rPr>
      </w:pPr>
    </w:p>
    <w:p w14:paraId="764C17F3" w14:textId="38F0F005"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кръвта и лимфната система</w:t>
      </w:r>
    </w:p>
    <w:p w14:paraId="603FBAFD"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Апластична анемия, подтискане на функцията на костния мозък, хемолитична анемия, левкопения, неутропения/агранулоцитоза, тромбоцитопения</w:t>
      </w:r>
    </w:p>
    <w:p w14:paraId="0F2BDAAC" w14:textId="77777777" w:rsidR="00AC3E5C" w:rsidRDefault="00AC3E5C" w:rsidP="00AC3E5C">
      <w:pPr>
        <w:spacing w:line="240" w:lineRule="auto"/>
        <w:rPr>
          <w:rFonts w:eastAsia="Times New Roman" w:cs="Arial"/>
          <w:i/>
          <w:iCs/>
          <w:color w:val="000000"/>
          <w:u w:val="single"/>
          <w:lang w:eastAsia="bg-BG"/>
        </w:rPr>
      </w:pPr>
    </w:p>
    <w:p w14:paraId="07F5638A" w14:textId="1973EBDA"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Психични нарушения</w:t>
      </w:r>
    </w:p>
    <w:p w14:paraId="6BF860A0"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Депресия, нарушения на съня</w:t>
      </w:r>
    </w:p>
    <w:p w14:paraId="1DFA889C" w14:textId="77777777" w:rsidR="00AC3E5C" w:rsidRDefault="00AC3E5C" w:rsidP="00AC3E5C">
      <w:pPr>
        <w:spacing w:line="240" w:lineRule="auto"/>
        <w:rPr>
          <w:rFonts w:eastAsia="Times New Roman" w:cs="Arial"/>
          <w:i/>
          <w:iCs/>
          <w:color w:val="000000"/>
          <w:u w:val="single"/>
          <w:lang w:eastAsia="bg-BG"/>
        </w:rPr>
      </w:pPr>
    </w:p>
    <w:p w14:paraId="329FBC82" w14:textId="2070AF1C"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нервната система</w:t>
      </w:r>
    </w:p>
    <w:p w14:paraId="350F8DBC"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Главоболие, парестезия, безпокойство, вертиго</w:t>
      </w:r>
    </w:p>
    <w:p w14:paraId="4CFFEFEC" w14:textId="77777777" w:rsidR="00AC3E5C" w:rsidRDefault="00AC3E5C" w:rsidP="00AC3E5C">
      <w:pPr>
        <w:spacing w:line="240" w:lineRule="auto"/>
        <w:rPr>
          <w:rFonts w:eastAsia="Times New Roman" w:cs="Arial"/>
          <w:i/>
          <w:iCs/>
          <w:color w:val="000000"/>
          <w:u w:val="single"/>
          <w:lang w:eastAsia="bg-BG"/>
        </w:rPr>
      </w:pPr>
    </w:p>
    <w:p w14:paraId="30BD3C37" w14:textId="2F578E6E"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Нарушение на очите</w:t>
      </w:r>
    </w:p>
    <w:p w14:paraId="66BBD86E"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Преходно замъгляване на зрението, ксантопсия</w:t>
      </w:r>
    </w:p>
    <w:p w14:paraId="5BEEC9D1" w14:textId="77777777" w:rsidR="00AC3E5C" w:rsidRDefault="00AC3E5C" w:rsidP="00AC3E5C">
      <w:pPr>
        <w:spacing w:line="240" w:lineRule="auto"/>
        <w:rPr>
          <w:rFonts w:eastAsia="Times New Roman" w:cs="Arial"/>
          <w:i/>
          <w:iCs/>
          <w:color w:val="000000"/>
          <w:u w:val="single"/>
          <w:lang w:eastAsia="bg-BG"/>
        </w:rPr>
      </w:pPr>
    </w:p>
    <w:p w14:paraId="4F6AD49E" w14:textId="11A40209"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Сърдечни нарушения</w:t>
      </w:r>
    </w:p>
    <w:p w14:paraId="506B9760"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Аритмии</w:t>
      </w:r>
    </w:p>
    <w:p w14:paraId="79D1915A" w14:textId="77777777" w:rsidR="00AC3E5C" w:rsidRDefault="00AC3E5C" w:rsidP="00AC3E5C">
      <w:pPr>
        <w:spacing w:line="240" w:lineRule="auto"/>
        <w:rPr>
          <w:rFonts w:eastAsia="Times New Roman" w:cs="Arial"/>
          <w:i/>
          <w:iCs/>
          <w:color w:val="000000"/>
          <w:u w:val="single"/>
          <w:lang w:eastAsia="bg-BG"/>
        </w:rPr>
      </w:pPr>
    </w:p>
    <w:p w14:paraId="4A9B1FE2" w14:textId="72C139C1"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Съдови нарушения</w:t>
      </w:r>
    </w:p>
    <w:p w14:paraId="3C22EB0E"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Постурална хипотония</w:t>
      </w:r>
    </w:p>
    <w:p w14:paraId="6F63A793" w14:textId="77777777" w:rsidR="00AC3E5C" w:rsidRDefault="00AC3E5C" w:rsidP="00AC3E5C">
      <w:pPr>
        <w:spacing w:line="240" w:lineRule="auto"/>
        <w:rPr>
          <w:rFonts w:eastAsia="Times New Roman" w:cs="Arial"/>
          <w:i/>
          <w:iCs/>
          <w:color w:val="000000"/>
          <w:u w:val="single"/>
          <w:lang w:eastAsia="bg-BG"/>
        </w:rPr>
      </w:pPr>
    </w:p>
    <w:p w14:paraId="22A05CA4" w14:textId="77C22DCA"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Респираторни, гръдни и медиастинални нарушения</w:t>
      </w:r>
    </w:p>
    <w:p w14:paraId="7D0ED046"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Респираторен дистрес (включително пневмонит и пулмонален оток)</w:t>
      </w:r>
    </w:p>
    <w:p w14:paraId="480F5179" w14:textId="77777777" w:rsidR="00AC3E5C" w:rsidRDefault="00AC3E5C" w:rsidP="00AC3E5C">
      <w:pPr>
        <w:spacing w:line="240" w:lineRule="auto"/>
        <w:rPr>
          <w:rFonts w:eastAsia="Times New Roman" w:cs="Arial"/>
          <w:i/>
          <w:iCs/>
          <w:color w:val="000000"/>
          <w:u w:val="single"/>
          <w:lang w:eastAsia="bg-BG"/>
        </w:rPr>
      </w:pPr>
    </w:p>
    <w:p w14:paraId="3C58FF52" w14:textId="5D20A2B8"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Стомашно-чревни нарушения</w:t>
      </w:r>
    </w:p>
    <w:p w14:paraId="3D47CA3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Панкреатит, анорексия, запек, диария, дразнене на стомаха, загуба на апетит, сиалоаденит</w:t>
      </w:r>
    </w:p>
    <w:p w14:paraId="602ECF88" w14:textId="77777777" w:rsidR="00AC3E5C" w:rsidRDefault="00AC3E5C" w:rsidP="00AC3E5C">
      <w:pPr>
        <w:spacing w:line="240" w:lineRule="auto"/>
        <w:rPr>
          <w:rFonts w:eastAsia="Times New Roman" w:cs="Arial"/>
          <w:i/>
          <w:iCs/>
          <w:color w:val="000000"/>
          <w:u w:val="single"/>
          <w:lang w:eastAsia="bg-BG"/>
        </w:rPr>
      </w:pPr>
    </w:p>
    <w:p w14:paraId="0625D9F5" w14:textId="0EB566A0"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Хепатобилиарни нарушения</w:t>
      </w:r>
    </w:p>
    <w:p w14:paraId="7527390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Жълтеница (интрахепатална холестатична жълтеница)</w:t>
      </w:r>
    </w:p>
    <w:p w14:paraId="6A1691B4" w14:textId="77777777" w:rsidR="00AC3E5C" w:rsidRDefault="00AC3E5C" w:rsidP="00AC3E5C">
      <w:pPr>
        <w:spacing w:line="240" w:lineRule="auto"/>
        <w:rPr>
          <w:rFonts w:eastAsia="Times New Roman" w:cs="Arial"/>
          <w:i/>
          <w:iCs/>
          <w:color w:val="000000"/>
          <w:u w:val="single"/>
          <w:lang w:eastAsia="bg-BG"/>
        </w:rPr>
      </w:pPr>
    </w:p>
    <w:p w14:paraId="7CC3EE79" w14:textId="7EDC723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кожата и подкожната тъкан</w:t>
      </w:r>
    </w:p>
    <w:p w14:paraId="03A0A0D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Анафилакгични реакции, токсична епидермална некролиза, подобни на кожен лупус еритематозус, некротизиращ ангиит (васкулит, кожен васкулит), реакции на фоточувствителност, сърбеж, активиране на кожен лупус еритематозус, уртикария.</w:t>
      </w:r>
    </w:p>
    <w:p w14:paraId="57CE198D" w14:textId="77777777" w:rsidR="00AC3E5C" w:rsidRDefault="00AC3E5C" w:rsidP="00AC3E5C">
      <w:pPr>
        <w:spacing w:line="240" w:lineRule="auto"/>
        <w:rPr>
          <w:rFonts w:eastAsia="Times New Roman" w:cs="Arial"/>
          <w:i/>
          <w:iCs/>
          <w:color w:val="000000"/>
          <w:u w:val="single"/>
          <w:lang w:eastAsia="bg-BG"/>
        </w:rPr>
      </w:pPr>
    </w:p>
    <w:p w14:paraId="44479FA4" w14:textId="02216FE3" w:rsidR="00AC3E5C" w:rsidRPr="00AC3E5C" w:rsidRDefault="00AC3E5C" w:rsidP="00AC3E5C">
      <w:pPr>
        <w:spacing w:line="240" w:lineRule="auto"/>
        <w:rPr>
          <w:rFonts w:eastAsia="Times New Roman" w:cs="Arial"/>
          <w:i/>
          <w:iCs/>
          <w:color w:val="000000"/>
          <w:u w:val="single"/>
          <w:lang w:eastAsia="bg-BG"/>
        </w:rPr>
      </w:pPr>
      <w:r w:rsidRPr="00AC3E5C">
        <w:rPr>
          <w:rFonts w:eastAsia="Times New Roman" w:cs="Arial"/>
          <w:i/>
          <w:iCs/>
          <w:color w:val="000000"/>
          <w:u w:val="single"/>
          <w:lang w:eastAsia="bg-BG"/>
        </w:rPr>
        <w:t>Нарушения на мускулно-скелетната система и съединителната тъкан</w:t>
      </w:r>
    </w:p>
    <w:p w14:paraId="0AC42542"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Муслулен спазъм, слабост</w:t>
      </w:r>
    </w:p>
    <w:p w14:paraId="4320D0C7" w14:textId="77777777" w:rsidR="00AC3E5C" w:rsidRDefault="00AC3E5C" w:rsidP="00AC3E5C">
      <w:pPr>
        <w:spacing w:line="240" w:lineRule="auto"/>
        <w:rPr>
          <w:rFonts w:eastAsia="Times New Roman" w:cs="Arial"/>
          <w:i/>
          <w:iCs/>
          <w:color w:val="000000"/>
          <w:u w:val="single"/>
          <w:lang w:eastAsia="bg-BG"/>
        </w:rPr>
      </w:pPr>
    </w:p>
    <w:p w14:paraId="21D5FDD1" w14:textId="18B71802"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бъбреиите и пикочните пътища</w:t>
      </w:r>
    </w:p>
    <w:p w14:paraId="2976EE2E"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Интерстициален нефрит, бъбречна дисфункция</w:t>
      </w:r>
    </w:p>
    <w:p w14:paraId="6F873DD6" w14:textId="77777777" w:rsidR="00AC3E5C" w:rsidRDefault="00AC3E5C" w:rsidP="00AC3E5C">
      <w:pPr>
        <w:spacing w:line="240" w:lineRule="auto"/>
        <w:rPr>
          <w:rFonts w:eastAsia="Times New Roman" w:cs="Arial"/>
          <w:i/>
          <w:iCs/>
          <w:color w:val="000000"/>
          <w:u w:val="single"/>
          <w:lang w:eastAsia="bg-BG"/>
        </w:rPr>
      </w:pPr>
    </w:p>
    <w:p w14:paraId="16BB8E2F" w14:textId="77777777" w:rsidR="00AC3E5C" w:rsidRDefault="00AC3E5C" w:rsidP="00AC3E5C">
      <w:pPr>
        <w:spacing w:line="240" w:lineRule="auto"/>
        <w:rPr>
          <w:rFonts w:eastAsia="Times New Roman" w:cs="Arial"/>
          <w:i/>
          <w:iCs/>
          <w:color w:val="000000"/>
          <w:u w:val="single"/>
          <w:lang w:eastAsia="bg-BG"/>
        </w:rPr>
      </w:pPr>
      <w:r w:rsidRPr="00AC3E5C">
        <w:rPr>
          <w:rFonts w:eastAsia="Times New Roman" w:cs="Arial"/>
          <w:i/>
          <w:iCs/>
          <w:color w:val="000000"/>
          <w:u w:val="single"/>
          <w:lang w:eastAsia="bg-BG"/>
        </w:rPr>
        <w:t xml:space="preserve">Обши нарушенияи ефекти на мястото на приложение </w:t>
      </w:r>
    </w:p>
    <w:p w14:paraId="529C177A" w14:textId="325C3720"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Треска</w:t>
      </w:r>
    </w:p>
    <w:p w14:paraId="4D81331E" w14:textId="344A6675" w:rsidR="00AC3E5C" w:rsidRDefault="00AC3E5C" w:rsidP="00AC3E5C"/>
    <w:p w14:paraId="799DE13D" w14:textId="77777777" w:rsidR="00AC3E5C" w:rsidRPr="00AC3E5C" w:rsidRDefault="00AC3E5C" w:rsidP="00AC3E5C">
      <w:pPr>
        <w:spacing w:line="240" w:lineRule="auto"/>
        <w:rPr>
          <w:rFonts w:eastAsia="Times New Roman" w:cs="Arial"/>
        </w:rPr>
      </w:pPr>
      <w:r w:rsidRPr="00AC3E5C">
        <w:rPr>
          <w:rFonts w:eastAsia="Times New Roman" w:cs="Arial"/>
          <w:i/>
          <w:iCs/>
          <w:color w:val="000000"/>
          <w:u w:val="single"/>
          <w:lang w:eastAsia="bg-BG"/>
        </w:rPr>
        <w:t>Изследвания</w:t>
      </w:r>
    </w:p>
    <w:p w14:paraId="38D6CD48" w14:textId="77777777" w:rsidR="00AC3E5C" w:rsidRPr="00AC3E5C" w:rsidRDefault="00AC3E5C" w:rsidP="00AC3E5C">
      <w:pPr>
        <w:spacing w:line="240" w:lineRule="auto"/>
        <w:rPr>
          <w:rFonts w:eastAsia="Times New Roman" w:cs="Arial"/>
        </w:rPr>
      </w:pPr>
      <w:r w:rsidRPr="00AC3E5C">
        <w:rPr>
          <w:rFonts w:eastAsia="Times New Roman" w:cs="Arial"/>
          <w:color w:val="000000"/>
          <w:lang w:eastAsia="bg-BG"/>
        </w:rPr>
        <w:t>Нарушен електролитен баланс (включително хипокалиемия и хипонатриемия), глкжозурия, хипергликемия, хиперурикемия, повишени холестерол и триглицериди.</w:t>
      </w:r>
    </w:p>
    <w:p w14:paraId="6E63050C" w14:textId="77777777" w:rsidR="00AC3E5C" w:rsidRDefault="00AC3E5C" w:rsidP="00AC3E5C">
      <w:pPr>
        <w:spacing w:line="240" w:lineRule="auto"/>
        <w:rPr>
          <w:rFonts w:eastAsia="Times New Roman" w:cs="Arial"/>
          <w:color w:val="000000"/>
          <w:u w:val="single"/>
          <w:lang w:eastAsia="bg-BG"/>
        </w:rPr>
      </w:pPr>
    </w:p>
    <w:p w14:paraId="238E2131" w14:textId="774A09B3" w:rsidR="00AC3E5C" w:rsidRPr="00AC3E5C" w:rsidRDefault="00AC3E5C" w:rsidP="00AC3E5C">
      <w:pPr>
        <w:spacing w:line="240" w:lineRule="auto"/>
        <w:rPr>
          <w:rFonts w:eastAsia="Times New Roman" w:cs="Arial"/>
        </w:rPr>
      </w:pPr>
      <w:r w:rsidRPr="00AC3E5C">
        <w:rPr>
          <w:rFonts w:eastAsia="Times New Roman" w:cs="Arial"/>
          <w:color w:val="000000"/>
          <w:u w:val="single"/>
          <w:lang w:eastAsia="bg-BG"/>
        </w:rPr>
        <w:t>Съобщаване на подозирани нежелани реакции</w:t>
      </w:r>
    </w:p>
    <w:p w14:paraId="1E9C2D12" w14:textId="77777777" w:rsidR="00AC3E5C" w:rsidRPr="00AC3E5C" w:rsidRDefault="00AC3E5C" w:rsidP="00AC3E5C">
      <w:pPr>
        <w:spacing w:line="240" w:lineRule="auto"/>
        <w:rPr>
          <w:rFonts w:eastAsia="Times New Roman" w:cs="Arial"/>
        </w:rPr>
      </w:pPr>
      <w:r w:rsidRPr="00AC3E5C">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Изпълнителна агенция по лекарствата ул. „Дамян Груев“ № 8</w:t>
      </w:r>
    </w:p>
    <w:p w14:paraId="6879BDF7" w14:textId="77777777" w:rsidR="00AC3E5C" w:rsidRPr="00AC3E5C" w:rsidRDefault="00AC3E5C" w:rsidP="00AC3E5C">
      <w:pPr>
        <w:spacing w:line="240" w:lineRule="auto"/>
        <w:rPr>
          <w:rFonts w:eastAsia="Times New Roman" w:cs="Arial"/>
        </w:rPr>
      </w:pPr>
      <w:r w:rsidRPr="00AC3E5C">
        <w:rPr>
          <w:rFonts w:eastAsia="Times New Roman" w:cs="Arial"/>
          <w:color w:val="000000"/>
          <w:lang w:eastAsia="bg-BG"/>
        </w:rPr>
        <w:t>1303 София</w:t>
      </w:r>
    </w:p>
    <w:p w14:paraId="21798FF0" w14:textId="77777777" w:rsidR="00AC3E5C" w:rsidRPr="00AC3E5C" w:rsidRDefault="00AC3E5C" w:rsidP="00AC3E5C">
      <w:pPr>
        <w:spacing w:line="240" w:lineRule="auto"/>
        <w:rPr>
          <w:rFonts w:eastAsia="Times New Roman" w:cs="Arial"/>
        </w:rPr>
      </w:pPr>
      <w:r w:rsidRPr="00AC3E5C">
        <w:rPr>
          <w:rFonts w:eastAsia="Times New Roman" w:cs="Arial"/>
          <w:color w:val="000000"/>
          <w:lang w:eastAsia="bg-BG"/>
        </w:rPr>
        <w:lastRenderedPageBreak/>
        <w:t>Тел.:+359 2 8903417</w:t>
      </w:r>
    </w:p>
    <w:p w14:paraId="4F93B08B" w14:textId="77777777" w:rsidR="00AC3E5C" w:rsidRPr="00AC3E5C" w:rsidRDefault="00AC3E5C" w:rsidP="00AC3E5C">
      <w:pPr>
        <w:spacing w:line="240" w:lineRule="auto"/>
        <w:rPr>
          <w:rFonts w:eastAsia="Times New Roman" w:cs="Arial"/>
        </w:rPr>
      </w:pPr>
      <w:r w:rsidRPr="00AC3E5C">
        <w:rPr>
          <w:rFonts w:eastAsia="Times New Roman" w:cs="Arial"/>
          <w:color w:val="000000"/>
          <w:lang w:eastAsia="bg-BG"/>
        </w:rPr>
        <w:t xml:space="preserve">уебсайт: </w:t>
      </w:r>
      <w:hyperlink r:id="rId5" w:history="1">
        <w:r w:rsidRPr="00AC3E5C">
          <w:rPr>
            <w:rFonts w:eastAsia="Times New Roman" w:cs="Arial"/>
            <w:color w:val="000000"/>
            <w:lang w:val="en-US"/>
          </w:rPr>
          <w:t>www.bda.bg</w:t>
        </w:r>
      </w:hyperlink>
    </w:p>
    <w:p w14:paraId="254977FD" w14:textId="77777777" w:rsidR="00AC3E5C" w:rsidRPr="00AC3E5C" w:rsidRDefault="00AC3E5C" w:rsidP="00AC3E5C"/>
    <w:p w14:paraId="07687653" w14:textId="67C58249" w:rsidR="00DF4C8E" w:rsidRDefault="002C50EE" w:rsidP="00F44498">
      <w:pPr>
        <w:pStyle w:val="Heading2"/>
      </w:pPr>
      <w:r>
        <w:t>4.9. Предозиране</w:t>
      </w:r>
    </w:p>
    <w:p w14:paraId="1F241E23" w14:textId="47A4E29B" w:rsidR="00AC3E5C" w:rsidRDefault="00AC3E5C" w:rsidP="00AC3E5C"/>
    <w:p w14:paraId="17CD8FE2" w14:textId="77777777" w:rsidR="00AC3E5C" w:rsidRPr="00AC3E5C" w:rsidRDefault="00AC3E5C" w:rsidP="00AC3E5C">
      <w:pPr>
        <w:rPr>
          <w:rFonts w:ascii="Times New Roman" w:hAnsi="Times New Roman" w:cs="Times New Roman"/>
          <w:sz w:val="24"/>
          <w:szCs w:val="24"/>
        </w:rPr>
      </w:pPr>
      <w:r w:rsidRPr="00AC3E5C">
        <w:rPr>
          <w:lang w:eastAsia="bg-BG"/>
        </w:rPr>
        <w:t>При предозиране с Ко-Ирбесан се препоръчва поддържащо и симптоматично лечение. Препоръчва се предизвикване на повръщане и/или стомашна промивка. Трябва да се контролират нивата на серумните електролити и креатин. При поява на хипотония, пациентът трябва да бъде поставен в легнало положение и да се предприеме бързо обемно и електролитно заместване.</w:t>
      </w:r>
    </w:p>
    <w:p w14:paraId="7544E53E" w14:textId="77777777" w:rsidR="00AC3E5C" w:rsidRDefault="00AC3E5C" w:rsidP="00AC3E5C">
      <w:pPr>
        <w:rPr>
          <w:lang w:eastAsia="bg-BG"/>
        </w:rPr>
      </w:pPr>
    </w:p>
    <w:p w14:paraId="4415931D" w14:textId="614A2A48" w:rsidR="00AC3E5C" w:rsidRPr="00AC3E5C" w:rsidRDefault="00AC3E5C" w:rsidP="00AC3E5C">
      <w:pPr>
        <w:rPr>
          <w:rFonts w:ascii="Times New Roman" w:hAnsi="Times New Roman" w:cs="Times New Roman"/>
          <w:sz w:val="24"/>
          <w:szCs w:val="24"/>
        </w:rPr>
      </w:pPr>
      <w:r w:rsidRPr="00AC3E5C">
        <w:rPr>
          <w:lang w:eastAsia="bg-BG"/>
        </w:rPr>
        <w:t>Най-честите прояви на предозиране с ирбесартан се очаква да бъдат хипотония и тахикардия; възможна е и появата на брадикардия.</w:t>
      </w:r>
    </w:p>
    <w:p w14:paraId="737EC4A0" w14:textId="77777777" w:rsidR="00AC3E5C" w:rsidRDefault="00AC3E5C" w:rsidP="00AC3E5C">
      <w:pPr>
        <w:rPr>
          <w:lang w:eastAsia="bg-BG"/>
        </w:rPr>
      </w:pPr>
    </w:p>
    <w:p w14:paraId="0AB99A5A" w14:textId="6442D8A9" w:rsidR="00AC3E5C" w:rsidRPr="00AC3E5C" w:rsidRDefault="00AC3E5C" w:rsidP="00AC3E5C">
      <w:pPr>
        <w:rPr>
          <w:rFonts w:ascii="Times New Roman" w:hAnsi="Times New Roman" w:cs="Times New Roman"/>
          <w:sz w:val="24"/>
          <w:szCs w:val="24"/>
        </w:rPr>
      </w:pPr>
      <w:r w:rsidRPr="00AC3E5C">
        <w:rPr>
          <w:lang w:eastAsia="bg-BG"/>
        </w:rPr>
        <w:t>Предозирането с хидрохлоротиазид предизвиква нарушения на електролитния баланс (хипокалиемия, хипохлоремия, хипонатриемия) и дехидратация в следствие на увеличена диуреза. Хипокалиемията се изразява с мускулни спазми и/или силно изразена сърдечна аритмия, свързана с едновременната употреба на сърдечни гликозиди или някои анти- аритмични лекарствени продукти.</w:t>
      </w:r>
    </w:p>
    <w:p w14:paraId="40BB15DF" w14:textId="77777777" w:rsidR="00AC3E5C" w:rsidRDefault="00AC3E5C" w:rsidP="00AC3E5C">
      <w:pPr>
        <w:rPr>
          <w:lang w:eastAsia="bg-BG"/>
        </w:rPr>
      </w:pPr>
    </w:p>
    <w:p w14:paraId="0D6327DE" w14:textId="20A04D1D" w:rsidR="00AC3E5C" w:rsidRPr="00AC3E5C" w:rsidRDefault="00AC3E5C" w:rsidP="00AC3E5C">
      <w:pPr>
        <w:rPr>
          <w:rFonts w:ascii="Times New Roman" w:hAnsi="Times New Roman" w:cs="Times New Roman"/>
          <w:sz w:val="24"/>
          <w:szCs w:val="24"/>
        </w:rPr>
      </w:pPr>
      <w:r w:rsidRPr="00AC3E5C">
        <w:rPr>
          <w:lang w:eastAsia="bg-BG"/>
        </w:rPr>
        <w:t>Ирбесартан не може да се отстрани чрез хемодиализа.</w:t>
      </w:r>
    </w:p>
    <w:p w14:paraId="2FFD39D4" w14:textId="77777777" w:rsidR="00AC3E5C" w:rsidRPr="00AC3E5C" w:rsidRDefault="00AC3E5C" w:rsidP="00AC3E5C">
      <w:pPr>
        <w:rPr>
          <w:rFonts w:ascii="Times New Roman" w:hAnsi="Times New Roman" w:cs="Times New Roman"/>
          <w:sz w:val="24"/>
          <w:szCs w:val="24"/>
        </w:rPr>
      </w:pPr>
      <w:r w:rsidRPr="00AC3E5C">
        <w:rPr>
          <w:lang w:eastAsia="bg-BG"/>
        </w:rPr>
        <w:t>Степента на елиминиране на хидрохлоротиазид чрез хемодиализа не е установена.</w:t>
      </w:r>
    </w:p>
    <w:p w14:paraId="1B962F80" w14:textId="77777777" w:rsidR="00AC3E5C" w:rsidRPr="00AC3E5C" w:rsidRDefault="00AC3E5C" w:rsidP="00AC3E5C"/>
    <w:p w14:paraId="02081B24" w14:textId="1F46E296" w:rsidR="00395555" w:rsidRPr="00395555" w:rsidRDefault="002C50EE" w:rsidP="008A6AF2">
      <w:pPr>
        <w:pStyle w:val="Heading1"/>
      </w:pPr>
      <w:r>
        <w:t>5. ФАРМАКОЛОГИЧНИ СВОЙСТВА</w:t>
      </w:r>
    </w:p>
    <w:p w14:paraId="4D47A490" w14:textId="6F1B7A99" w:rsidR="00DF4C8E" w:rsidRDefault="002C50EE" w:rsidP="00F44498">
      <w:pPr>
        <w:pStyle w:val="Heading2"/>
      </w:pPr>
      <w:r>
        <w:t>5.1. Фармакодинамични свойства</w:t>
      </w:r>
    </w:p>
    <w:p w14:paraId="0C3B422F" w14:textId="5866CFA0" w:rsidR="00AC3E5C" w:rsidRDefault="00AC3E5C" w:rsidP="00AC3E5C"/>
    <w:p w14:paraId="3E8D8B9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Фармакотерапевтична група: Антагонисти на ангиотензин II, комбинация АТС код: </w:t>
      </w:r>
      <w:r w:rsidRPr="00AC3E5C">
        <w:rPr>
          <w:rFonts w:eastAsia="Times New Roman" w:cs="Arial"/>
          <w:color w:val="000000"/>
          <w:lang w:val="en-US"/>
        </w:rPr>
        <w:t>C</w:t>
      </w:r>
      <w:r w:rsidRPr="00AC3E5C">
        <w:rPr>
          <w:rFonts w:eastAsia="Times New Roman" w:cs="Arial"/>
          <w:color w:val="000000"/>
          <w:lang w:val="ru-RU"/>
        </w:rPr>
        <w:t>09</w:t>
      </w:r>
      <w:r w:rsidRPr="00AC3E5C">
        <w:rPr>
          <w:rFonts w:eastAsia="Times New Roman" w:cs="Arial"/>
          <w:color w:val="000000"/>
          <w:lang w:val="en-US"/>
        </w:rPr>
        <w:t>DA</w:t>
      </w:r>
      <w:r w:rsidRPr="00AC3E5C">
        <w:rPr>
          <w:rFonts w:eastAsia="Times New Roman" w:cs="Arial"/>
          <w:color w:val="000000"/>
          <w:lang w:val="ru-RU"/>
        </w:rPr>
        <w:t>04</w:t>
      </w:r>
    </w:p>
    <w:p w14:paraId="5A499B6E" w14:textId="77777777" w:rsidR="00AC3E5C" w:rsidRDefault="00AC3E5C" w:rsidP="00AC3E5C">
      <w:pPr>
        <w:spacing w:line="240" w:lineRule="auto"/>
        <w:rPr>
          <w:rFonts w:eastAsia="Times New Roman" w:cs="Arial"/>
          <w:color w:val="000000"/>
          <w:lang w:eastAsia="bg-BG"/>
        </w:rPr>
      </w:pPr>
    </w:p>
    <w:p w14:paraId="57316417" w14:textId="1B06431E"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Комбинацията от ирбесартан и хидрохлоротиазид има по-силен адитивен антихипертензивен ефект, в сравнение с ефекта на ирбесартан и хидрохлоротиазид приложени самостоятелно.</w:t>
      </w:r>
    </w:p>
    <w:p w14:paraId="1CD9BBB2"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Ирбесартан е селективен антагонист на ангиотензин II рецепторите (подвид АТ</w:t>
      </w:r>
      <w:r w:rsidRPr="00AC3E5C">
        <w:rPr>
          <w:rFonts w:eastAsia="Times New Roman" w:cs="Arial"/>
          <w:color w:val="000000"/>
          <w:vertAlign w:val="subscript"/>
          <w:lang w:eastAsia="bg-BG"/>
        </w:rPr>
        <w:t>1</w:t>
      </w:r>
      <w:r w:rsidRPr="00AC3E5C">
        <w:rPr>
          <w:rFonts w:eastAsia="Times New Roman" w:cs="Arial"/>
          <w:color w:val="000000"/>
          <w:lang w:eastAsia="bg-BG"/>
        </w:rPr>
        <w:t>).</w:t>
      </w:r>
    </w:p>
    <w:p w14:paraId="6802605F"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Действието му се осъществява чрез блокиране на ангиотензин II рецепторите, медиирани от АТ</w:t>
      </w:r>
      <w:r w:rsidRPr="00AC3E5C">
        <w:rPr>
          <w:rFonts w:eastAsia="Times New Roman" w:cs="Arial"/>
          <w:color w:val="000000"/>
          <w:vertAlign w:val="subscript"/>
          <w:lang w:eastAsia="bg-BG"/>
        </w:rPr>
        <w:t>1</w:t>
      </w:r>
      <w:r w:rsidRPr="00AC3E5C">
        <w:rPr>
          <w:rFonts w:eastAsia="Times New Roman" w:cs="Arial"/>
          <w:color w:val="000000"/>
          <w:lang w:eastAsia="bg-BG"/>
        </w:rPr>
        <w:t xml:space="preserve"> рецептори, независимо от източника или пътя на синтез на ангиотензин II.</w:t>
      </w:r>
    </w:p>
    <w:p w14:paraId="3E380C0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Селективният антагонизъм към ангиотензин II </w:t>
      </w:r>
      <w:r w:rsidRPr="00AC3E5C">
        <w:rPr>
          <w:rFonts w:eastAsia="Times New Roman" w:cs="Arial"/>
          <w:color w:val="000000"/>
          <w:lang w:val="ru-RU"/>
        </w:rPr>
        <w:t>(</w:t>
      </w:r>
      <w:r w:rsidRPr="00AC3E5C">
        <w:rPr>
          <w:rFonts w:eastAsia="Times New Roman" w:cs="Arial"/>
          <w:color w:val="000000"/>
          <w:lang w:val="en-US"/>
        </w:rPr>
        <w:t>AT</w:t>
      </w:r>
      <w:r w:rsidRPr="00AC3E5C">
        <w:rPr>
          <w:rFonts w:eastAsia="Times New Roman" w:cs="Arial"/>
          <w:color w:val="000000"/>
          <w:vertAlign w:val="subscript"/>
          <w:lang w:val="ru-RU"/>
        </w:rPr>
        <w:t>1</w:t>
      </w:r>
      <w:r w:rsidRPr="00AC3E5C">
        <w:rPr>
          <w:rFonts w:eastAsia="Times New Roman" w:cs="Arial"/>
          <w:color w:val="000000"/>
          <w:lang w:val="ru-RU"/>
        </w:rPr>
        <w:t xml:space="preserve">) </w:t>
      </w:r>
      <w:r w:rsidRPr="00AC3E5C">
        <w:rPr>
          <w:rFonts w:eastAsia="Times New Roman" w:cs="Arial"/>
          <w:color w:val="000000"/>
          <w:lang w:eastAsia="bg-BG"/>
        </w:rPr>
        <w:t>рецепторите предизвиква повишаване на плазмените концентрации на ренин и ангиотензин II и понижаване на плазмената концентрация на алдостерон.</w:t>
      </w:r>
    </w:p>
    <w:p w14:paraId="073166FF"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Самостоятелната употреба на ирбесартан в препоръчваните дози не води до значителна промяна в серумните концентрации на калий (вж. точки 4.2 и 4.5).</w:t>
      </w:r>
    </w:p>
    <w:p w14:paraId="7B38230F" w14:textId="0D48F5F1" w:rsidR="00AC3E5C" w:rsidRPr="00AC3E5C" w:rsidRDefault="00AC3E5C" w:rsidP="00AC3E5C"/>
    <w:p w14:paraId="68B4EBC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Ирбесартан не инхибира АСЕ (кининаза-</w:t>
      </w:r>
      <w:r w:rsidRPr="00AC3E5C">
        <w:rPr>
          <w:rFonts w:eastAsia="Times New Roman" w:cs="Arial"/>
          <w:color w:val="000000"/>
          <w:lang w:val="en-US"/>
        </w:rPr>
        <w:t>II</w:t>
      </w:r>
      <w:r w:rsidRPr="00AC3E5C">
        <w:rPr>
          <w:rFonts w:eastAsia="Times New Roman" w:cs="Arial"/>
          <w:color w:val="000000"/>
          <w:lang w:eastAsia="bg-BG"/>
        </w:rPr>
        <w:t>) - ензим, който генерира ангиотензин-</w:t>
      </w:r>
      <w:r w:rsidRPr="00AC3E5C">
        <w:rPr>
          <w:rFonts w:eastAsia="Times New Roman" w:cs="Arial"/>
          <w:color w:val="000000"/>
          <w:lang w:val="en-US"/>
        </w:rPr>
        <w:t>II</w:t>
      </w:r>
      <w:r w:rsidRPr="00AC3E5C">
        <w:rPr>
          <w:rFonts w:eastAsia="Times New Roman" w:cs="Arial"/>
          <w:color w:val="000000"/>
          <w:lang w:eastAsia="bg-BG"/>
        </w:rPr>
        <w:t xml:space="preserve"> и също разгражда брадикинина до неактивни метаболити. Ирбесартан не изисква метаболитно активиране за осъществяване на своето действие.</w:t>
      </w:r>
    </w:p>
    <w:p w14:paraId="32E6F8E6" w14:textId="77777777" w:rsidR="00AC3E5C" w:rsidRDefault="00AC3E5C" w:rsidP="00AC3E5C">
      <w:pPr>
        <w:spacing w:line="240" w:lineRule="auto"/>
        <w:rPr>
          <w:rFonts w:eastAsia="Times New Roman" w:cs="Arial"/>
          <w:color w:val="000000"/>
          <w:lang w:eastAsia="bg-BG"/>
        </w:rPr>
      </w:pPr>
    </w:p>
    <w:p w14:paraId="7FC62EB8" w14:textId="54DCBA61"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Хидрохлоротиазид е тиазиден диуретик. Механизмът, по който се осъществява антихипертензивния ефект на тиазидите не е напълно изяснен. Тиазидите повлияват </w:t>
      </w:r>
      <w:r w:rsidRPr="00AC3E5C">
        <w:rPr>
          <w:rFonts w:eastAsia="Times New Roman" w:cs="Arial"/>
          <w:color w:val="000000"/>
          <w:lang w:eastAsia="bg-BG"/>
        </w:rPr>
        <w:lastRenderedPageBreak/>
        <w:t>бъбречните тубулни механизми на резорбцията на електролитите, като директно увеличават екскретирането на натрий и хлориди в приблизително еквивалентни количества.</w:t>
      </w:r>
    </w:p>
    <w:p w14:paraId="70FB4B9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Диуретичното действие на хидрохлоротиазид води до намаляване на плазмения обем, повишава активността на ренин в плазмата, засилва секрецията на алдостерон с последващо увеличено отделяне на калий и бикарбонати в урината и намалява серумната концентрация на калий. Вероятно чрез блокиране на системата ренин-ангиотензин-алдостерон, едновременното прилагане на ирбесартан има тенденция към предотвратяване загубата на калий, свързана с действието на тиазидите. При самостоятелно лечение с хидрохлоротиазид, началото на диурезата настъпва след 2 часа и максималният ефект обикновено се достига след 4 часа, а действието му продължава приблизително 6-12 часа.</w:t>
      </w:r>
    </w:p>
    <w:p w14:paraId="060DD601" w14:textId="77777777" w:rsidR="00AC3E5C" w:rsidRDefault="00AC3E5C" w:rsidP="00AC3E5C">
      <w:pPr>
        <w:spacing w:line="240" w:lineRule="auto"/>
        <w:rPr>
          <w:rFonts w:eastAsia="Times New Roman" w:cs="Arial"/>
          <w:color w:val="000000"/>
          <w:lang w:eastAsia="bg-BG"/>
        </w:rPr>
      </w:pPr>
    </w:p>
    <w:p w14:paraId="738FDEB5" w14:textId="61E76B5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Комбинацията от хидрохлоротиазид и ирбесартан предизвиква дозо-зависимо адитивно понижение на кръвното налягане при прием на терапевтични дози. Добавянето на 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хидрохлоротиазид към 300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ирбесаратан веднъж дневно, при пациенти, които не са се повлияли достатъчно добре от самостоятелното лечение с 300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ирбесартан, предизвиква по- нататъчно понижение на диастолното налягане в сравнение с плацебо, което спада с 6,1 </w:t>
      </w:r>
      <w:r w:rsidRPr="00AC3E5C">
        <w:rPr>
          <w:rFonts w:eastAsia="Times New Roman" w:cs="Arial"/>
          <w:color w:val="000000"/>
          <w:lang w:val="en-US"/>
        </w:rPr>
        <w:t>mmHg</w:t>
      </w:r>
      <w:r w:rsidRPr="00AC3E5C">
        <w:rPr>
          <w:rFonts w:eastAsia="Times New Roman" w:cs="Arial"/>
          <w:color w:val="000000"/>
          <w:lang w:val="ru-RU"/>
        </w:rPr>
        <w:t xml:space="preserve"> </w:t>
      </w:r>
      <w:r w:rsidRPr="00AC3E5C">
        <w:rPr>
          <w:rFonts w:eastAsia="Times New Roman" w:cs="Arial"/>
          <w:color w:val="000000"/>
          <w:lang w:eastAsia="bg-BG"/>
        </w:rPr>
        <w:t>24 часа след прием.</w:t>
      </w:r>
    </w:p>
    <w:p w14:paraId="7A0857D7" w14:textId="77777777" w:rsidR="00AC3E5C" w:rsidRDefault="00AC3E5C" w:rsidP="00AC3E5C">
      <w:pPr>
        <w:spacing w:line="240" w:lineRule="auto"/>
        <w:rPr>
          <w:rFonts w:eastAsia="Times New Roman" w:cs="Arial"/>
          <w:color w:val="000000"/>
          <w:lang w:eastAsia="bg-BG"/>
        </w:rPr>
      </w:pPr>
    </w:p>
    <w:p w14:paraId="715FB385" w14:textId="5BD79F55"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Комбинацията от 300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ирбесартан и 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хидрохлоротиазид предизвиква обща разлика с плацебо на систолното/диастолното налягане до 13.6/11.5 </w:t>
      </w:r>
      <w:r w:rsidRPr="00AC3E5C">
        <w:rPr>
          <w:rFonts w:eastAsia="Times New Roman" w:cs="Arial"/>
          <w:color w:val="000000"/>
          <w:lang w:val="en-US"/>
        </w:rPr>
        <w:t>mmHg</w:t>
      </w:r>
      <w:r w:rsidRPr="00AC3E5C">
        <w:rPr>
          <w:rFonts w:eastAsia="Times New Roman" w:cs="Arial"/>
          <w:color w:val="000000"/>
          <w:lang w:val="ru-RU"/>
        </w:rPr>
        <w:t>.</w:t>
      </w:r>
    </w:p>
    <w:p w14:paraId="7F76F990"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Прием на 150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ирбесартан и 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хидрохлоротиазид предизвиква систолно/диастолно понижение на кръвното налягане, в сравнение с плацебо (до 24 часа след прием) с 12.9/6.9 </w:t>
      </w:r>
      <w:r w:rsidRPr="00AC3E5C">
        <w:rPr>
          <w:rFonts w:eastAsia="Times New Roman" w:cs="Arial"/>
          <w:color w:val="000000"/>
          <w:lang w:val="en-US"/>
        </w:rPr>
        <w:t>mmHg</w:t>
      </w:r>
      <w:r w:rsidRPr="00AC3E5C">
        <w:rPr>
          <w:rFonts w:eastAsia="Times New Roman" w:cs="Arial"/>
          <w:color w:val="000000"/>
          <w:lang w:val="ru-RU"/>
        </w:rPr>
        <w:t xml:space="preserve"> </w:t>
      </w:r>
      <w:r w:rsidRPr="00AC3E5C">
        <w:rPr>
          <w:rFonts w:eastAsia="Times New Roman" w:cs="Arial"/>
          <w:color w:val="000000"/>
          <w:lang w:eastAsia="bg-BG"/>
        </w:rPr>
        <w:t>при пациенти с лека до умерена степен на хипертония. Максимален ефект се достига след 3-6 часа.</w:t>
      </w:r>
    </w:p>
    <w:p w14:paraId="1250FA1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При амбулаторно проследяване на кръвното налягане, комбинацията от 150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ирбесартан и 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хидрохлоротиазид приета веднъж дневно поддържа постоянни стойности на кръвното налягане през 24 часовия период, със средно понижение от 15.8/10.0 </w:t>
      </w:r>
      <w:r w:rsidRPr="00AC3E5C">
        <w:rPr>
          <w:rFonts w:eastAsia="Times New Roman" w:cs="Arial"/>
          <w:color w:val="000000"/>
          <w:lang w:val="en-US"/>
        </w:rPr>
        <w:t>mmHg</w:t>
      </w:r>
      <w:r w:rsidRPr="00AC3E5C">
        <w:rPr>
          <w:rFonts w:eastAsia="Times New Roman" w:cs="Arial"/>
          <w:color w:val="000000"/>
          <w:lang w:val="ru-RU"/>
        </w:rPr>
        <w:t xml:space="preserve"> </w:t>
      </w:r>
      <w:r w:rsidRPr="00AC3E5C">
        <w:rPr>
          <w:rFonts w:eastAsia="Times New Roman" w:cs="Arial"/>
          <w:color w:val="000000"/>
          <w:lang w:eastAsia="bg-BG"/>
        </w:rPr>
        <w:t>в сравнение с плацебо.</w:t>
      </w:r>
    </w:p>
    <w:p w14:paraId="4796B95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Амбулаторното проследяване е отчело, че съотношението между най-малкия и най-големия ефект от приема на комбинацията от 300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ирбесартан и 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хидрохлоротиазид под формата на филмирани таблетки е 100%. Същото съотношение измерено при посещение в лекарски кабинет с апарат с маншета е 68% при прием на Ко-Ирбесан 150 </w:t>
      </w:r>
      <w:r w:rsidRPr="00AC3E5C">
        <w:rPr>
          <w:rFonts w:eastAsia="Times New Roman" w:cs="Arial"/>
          <w:color w:val="000000"/>
          <w:lang w:val="en-US"/>
        </w:rPr>
        <w:t>mg</w:t>
      </w:r>
      <w:r w:rsidRPr="00AC3E5C">
        <w:rPr>
          <w:rFonts w:eastAsia="Times New Roman" w:cs="Arial"/>
          <w:color w:val="000000"/>
          <w:lang w:val="ru-RU"/>
        </w:rPr>
        <w:t xml:space="preserve">/12,5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филмирани таблетки и 76% при употреба на Ко-Ирбесан 300 </w:t>
      </w:r>
      <w:r w:rsidRPr="00AC3E5C">
        <w:rPr>
          <w:rFonts w:eastAsia="Times New Roman" w:cs="Arial"/>
          <w:color w:val="000000"/>
          <w:lang w:val="en-US"/>
        </w:rPr>
        <w:t>mg</w:t>
      </w:r>
      <w:r w:rsidRPr="00AC3E5C">
        <w:rPr>
          <w:rFonts w:eastAsia="Times New Roman" w:cs="Arial"/>
          <w:color w:val="000000"/>
          <w:lang w:val="ru-RU"/>
        </w:rPr>
        <w:t xml:space="preserve">/12,5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филмирани таблетки. При 24 часово наблюдение върху ефекта на препарата не е било отчетено твърде голямо понижение на максималния ефект и е постигнато безопасно и ефективно понижение на кръвното налягане при еднократен дневен прием.</w:t>
      </w:r>
    </w:p>
    <w:p w14:paraId="7C5123E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При пациенти, които не се повлияват добре от 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хидрохлоротиазид, добавянето на ирбесартан предизвиква допълнително средно понижение на систолично/диастолично кръвно налягане от 11.1/7.2 </w:t>
      </w:r>
      <w:r w:rsidRPr="00AC3E5C">
        <w:rPr>
          <w:rFonts w:eastAsia="Times New Roman" w:cs="Arial"/>
          <w:color w:val="000000"/>
          <w:lang w:val="en-US"/>
        </w:rPr>
        <w:t>mmHg</w:t>
      </w:r>
      <w:r w:rsidRPr="00AC3E5C">
        <w:rPr>
          <w:rFonts w:eastAsia="Times New Roman" w:cs="Arial"/>
          <w:color w:val="000000"/>
          <w:lang w:val="ru-RU"/>
        </w:rPr>
        <w:t>.</w:t>
      </w:r>
    </w:p>
    <w:p w14:paraId="4FDB6B4C"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Хипотензивният ефект на комбинацията ирбесартан с хидрохлоротиазид се проявява след прием на първата доза и е с продължителност 1-2 седмици, като максималният му ефект настъпва след 6-8 седмици.</w:t>
      </w:r>
    </w:p>
    <w:p w14:paraId="2FB031B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При продължителни клинични проучвания е било установено, че ефекта на комбинацията ирбесартан / хидрохлоротиазид се запазва над 1 година.</w:t>
      </w:r>
    </w:p>
    <w:p w14:paraId="157094B9" w14:textId="14077F27" w:rsidR="00AC3E5C" w:rsidRDefault="00AC3E5C" w:rsidP="00AC3E5C">
      <w:pPr>
        <w:spacing w:line="240" w:lineRule="auto"/>
        <w:rPr>
          <w:rFonts w:eastAsia="Times New Roman" w:cs="Arial"/>
          <w:color w:val="000000"/>
          <w:lang w:eastAsia="bg-BG"/>
        </w:rPr>
      </w:pPr>
      <w:r w:rsidRPr="00AC3E5C">
        <w:rPr>
          <w:rFonts w:eastAsia="Times New Roman" w:cs="Arial"/>
          <w:color w:val="000000"/>
          <w:lang w:eastAsia="bg-BG"/>
        </w:rPr>
        <w:t xml:space="preserve">Целенасочени клинични проучвания по отношения на </w:t>
      </w:r>
      <w:r w:rsidRPr="00AC3E5C">
        <w:rPr>
          <w:rFonts w:eastAsia="Times New Roman" w:cs="Arial"/>
          <w:color w:val="000000"/>
          <w:lang w:val="en-US"/>
        </w:rPr>
        <w:t>rebound</w:t>
      </w:r>
      <w:r w:rsidRPr="00AC3E5C">
        <w:rPr>
          <w:rFonts w:eastAsia="Times New Roman" w:cs="Arial"/>
          <w:color w:val="000000"/>
          <w:lang w:val="ru-RU"/>
        </w:rPr>
        <w:t xml:space="preserve"> </w:t>
      </w:r>
      <w:r w:rsidRPr="00AC3E5C">
        <w:rPr>
          <w:rFonts w:eastAsia="Times New Roman" w:cs="Arial"/>
          <w:color w:val="000000"/>
          <w:lang w:eastAsia="bg-BG"/>
        </w:rPr>
        <w:t xml:space="preserve">хипертония при комбинацията ирбесартан/ хидрохлоротиазид не са провеждани, но опита показва отсъствието на такъв ефект Не са провеждани клинични проучвания, които да доказват или отричат ефекта на комбинацията ирбесартан и хидрохлоротиазид по отношение на заболеваемост и смъртност. Епидемиологичните изследвания са показали, че </w:t>
      </w:r>
      <w:r w:rsidRPr="00AC3E5C">
        <w:rPr>
          <w:rFonts w:eastAsia="Times New Roman" w:cs="Arial"/>
          <w:color w:val="000000"/>
          <w:lang w:eastAsia="bg-BG"/>
        </w:rPr>
        <w:lastRenderedPageBreak/>
        <w:t>продължителното лечение с хидрохлоротиазид намалява риска от развитие на сърдечно-съдови заболявалия и смърт</w:t>
      </w:r>
      <w:r>
        <w:rPr>
          <w:rFonts w:eastAsia="Times New Roman" w:cs="Arial"/>
          <w:color w:val="000000"/>
          <w:lang w:eastAsia="bg-BG"/>
        </w:rPr>
        <w:t>.</w:t>
      </w:r>
    </w:p>
    <w:p w14:paraId="7EA5C6FE" w14:textId="38CFF795" w:rsidR="00AC3E5C" w:rsidRDefault="00AC3E5C" w:rsidP="00AC3E5C">
      <w:pPr>
        <w:spacing w:line="240" w:lineRule="auto"/>
        <w:rPr>
          <w:rFonts w:eastAsia="Times New Roman" w:cs="Arial"/>
          <w:color w:val="000000"/>
          <w:lang w:eastAsia="bg-BG"/>
        </w:rPr>
      </w:pPr>
    </w:p>
    <w:p w14:paraId="46742340"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Ефектът на комбинацията ирбесартан/ хидрохлоротиазид не се определя от възрастта и пола. При прилагане на ирбесартан заедно с ниска доза хидрохлоротиазид (напр. 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дневно) антихипертензивния отговор на пациенти от черната раса се приближава до отговора на пациентите от европеидната раса.</w:t>
      </w:r>
    </w:p>
    <w:p w14:paraId="70792C3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Ефикасността и безопасността на комбинацията от ирбесартан/хидрохлоротиазид при първоначално лечение на тежка хипертония (определяна с диастолично кръвно налягане ≥ 100 </w:t>
      </w:r>
      <w:r w:rsidRPr="00AC3E5C">
        <w:rPr>
          <w:rFonts w:eastAsia="Times New Roman" w:cs="Arial"/>
          <w:color w:val="000000"/>
          <w:lang w:val="en-US"/>
        </w:rPr>
        <w:t>mmHg</w:t>
      </w:r>
      <w:r w:rsidRPr="00AC3E5C">
        <w:rPr>
          <w:rFonts w:eastAsia="Times New Roman" w:cs="Arial"/>
          <w:color w:val="000000"/>
          <w:lang w:val="ru-RU"/>
        </w:rPr>
        <w:t xml:space="preserve">) </w:t>
      </w:r>
      <w:r w:rsidRPr="00AC3E5C">
        <w:rPr>
          <w:rFonts w:eastAsia="Times New Roman" w:cs="Arial"/>
          <w:color w:val="000000"/>
          <w:lang w:eastAsia="bg-BG"/>
        </w:rPr>
        <w:t>е оценена при многоцентрово рандомизирано двойно-сляпо активно контролирано, паралелно групово проучване с продължителност 8 седмици.</w:t>
      </w:r>
    </w:p>
    <w:p w14:paraId="73A1E4E9"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Клиничното проучване е извършено с 697 пациента, от които 58% от участниците са мъже. Средната възраст на пациентите е 52,5 години, 13% са на възраст на и над 56 години и 2 % от пациентите са на възраст на и над 75 години, 12% от пациентите са диабетици, 34% са хиперлипидемици и 3,5% са страдащи от ангина пекторис.</w:t>
      </w:r>
    </w:p>
    <w:p w14:paraId="24D7C1FF"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Те са разделени в отношение 2:1 ирбесартан/хидрохлоротиазид 150 </w:t>
      </w:r>
      <w:r w:rsidRPr="00AC3E5C">
        <w:rPr>
          <w:rFonts w:eastAsia="Times New Roman" w:cs="Arial"/>
          <w:color w:val="000000"/>
          <w:lang w:val="en-US"/>
        </w:rPr>
        <w:t>mg</w:t>
      </w:r>
      <w:r w:rsidRPr="00AC3E5C">
        <w:rPr>
          <w:rFonts w:eastAsia="Times New Roman" w:cs="Arial"/>
          <w:color w:val="000000"/>
          <w:lang w:val="ru-RU"/>
        </w:rPr>
        <w:t xml:space="preserve">/12.5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или ирбесартан 150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системно титрирани (преди оценяване на отговора към по-ниската доза) след 1 седмица спрямо ирбесартан/хидрохлоротиазид 300 </w:t>
      </w:r>
      <w:r w:rsidRPr="00AC3E5C">
        <w:rPr>
          <w:rFonts w:eastAsia="Times New Roman" w:cs="Arial"/>
          <w:color w:val="000000"/>
          <w:lang w:val="en-US"/>
        </w:rPr>
        <w:t>mg</w:t>
      </w:r>
      <w:r w:rsidRPr="00AC3E5C">
        <w:rPr>
          <w:rFonts w:eastAsia="Times New Roman" w:cs="Arial"/>
          <w:color w:val="000000"/>
          <w:lang w:val="ru-RU"/>
        </w:rPr>
        <w:t xml:space="preserve">/25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или ирбесартан 300 </w:t>
      </w:r>
      <w:r w:rsidRPr="00AC3E5C">
        <w:rPr>
          <w:rFonts w:eastAsia="Times New Roman" w:cs="Arial"/>
          <w:color w:val="000000"/>
          <w:lang w:val="en-US"/>
        </w:rPr>
        <w:t>mg</w:t>
      </w:r>
      <w:r w:rsidRPr="00AC3E5C">
        <w:rPr>
          <w:rFonts w:eastAsia="Times New Roman" w:cs="Arial"/>
          <w:color w:val="000000"/>
          <w:lang w:val="ru-RU"/>
        </w:rPr>
        <w:t>.</w:t>
      </w:r>
    </w:p>
    <w:p w14:paraId="043A172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Първоначално са сравнявани пациенти с контролирано диастолично кръвно налягане през петата седмица от лечението.</w:t>
      </w:r>
    </w:p>
    <w:p w14:paraId="4396D98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47,2% от пациентите лекувани с комбинацията са имали стойности на диастоличното кръвно налягане &gt;90 </w:t>
      </w:r>
      <w:r w:rsidRPr="00AC3E5C">
        <w:rPr>
          <w:rFonts w:eastAsia="Times New Roman" w:cs="Arial"/>
          <w:color w:val="000000"/>
          <w:lang w:val="en-US"/>
        </w:rPr>
        <w:t>mmHg</w:t>
      </w:r>
      <w:r w:rsidRPr="00AC3E5C">
        <w:rPr>
          <w:rFonts w:eastAsia="Times New Roman" w:cs="Arial"/>
          <w:color w:val="000000"/>
          <w:lang w:val="ru-RU"/>
        </w:rPr>
        <w:t xml:space="preserve"> </w:t>
      </w:r>
      <w:r w:rsidRPr="00AC3E5C">
        <w:rPr>
          <w:rFonts w:eastAsia="Times New Roman" w:cs="Arial"/>
          <w:color w:val="000000"/>
          <w:lang w:eastAsia="bg-BG"/>
        </w:rPr>
        <w:t xml:space="preserve">в сравнение с 33,2% от пациентите, лекувани с ирбесартан (р=0,0005). Средната стойност на кръвното налягане е приблизително 172/113 </w:t>
      </w:r>
      <w:r w:rsidRPr="00AC3E5C">
        <w:rPr>
          <w:rFonts w:eastAsia="Times New Roman" w:cs="Arial"/>
          <w:color w:val="000000"/>
          <w:lang w:val="en-US"/>
        </w:rPr>
        <w:t>mmHg</w:t>
      </w:r>
      <w:r w:rsidRPr="00AC3E5C">
        <w:rPr>
          <w:rFonts w:eastAsia="Times New Roman" w:cs="Arial"/>
          <w:color w:val="000000"/>
          <w:lang w:val="ru-RU"/>
        </w:rPr>
        <w:t xml:space="preserve"> </w:t>
      </w:r>
      <w:r w:rsidRPr="00AC3E5C">
        <w:rPr>
          <w:rFonts w:eastAsia="Times New Roman" w:cs="Arial"/>
          <w:color w:val="000000"/>
          <w:lang w:eastAsia="bg-BG"/>
        </w:rPr>
        <w:t xml:space="preserve">за всяка група и намаляване след петата седмица с 30.8/24.0 </w:t>
      </w:r>
      <w:r w:rsidRPr="00AC3E5C">
        <w:rPr>
          <w:rFonts w:eastAsia="Times New Roman" w:cs="Arial"/>
          <w:color w:val="000000"/>
          <w:lang w:val="en-US"/>
        </w:rPr>
        <w:t>mmHg</w:t>
      </w:r>
      <w:r w:rsidRPr="00AC3E5C">
        <w:rPr>
          <w:rFonts w:eastAsia="Times New Roman" w:cs="Arial"/>
          <w:color w:val="000000"/>
          <w:lang w:val="ru-RU"/>
        </w:rPr>
        <w:t xml:space="preserve"> </w:t>
      </w:r>
      <w:r w:rsidRPr="00AC3E5C">
        <w:rPr>
          <w:rFonts w:eastAsia="Times New Roman" w:cs="Arial"/>
          <w:color w:val="000000"/>
          <w:lang w:eastAsia="bg-BG"/>
        </w:rPr>
        <w:t xml:space="preserve">и 21.1/19.3 </w:t>
      </w:r>
      <w:r w:rsidRPr="00AC3E5C">
        <w:rPr>
          <w:rFonts w:eastAsia="Times New Roman" w:cs="Arial"/>
          <w:color w:val="000000"/>
          <w:lang w:val="en-US"/>
        </w:rPr>
        <w:t>mmHg</w:t>
      </w:r>
      <w:r w:rsidRPr="00AC3E5C">
        <w:rPr>
          <w:rFonts w:eastAsia="Times New Roman" w:cs="Arial"/>
          <w:color w:val="000000"/>
          <w:lang w:val="ru-RU"/>
        </w:rPr>
        <w:t xml:space="preserve"> </w:t>
      </w:r>
      <w:r w:rsidRPr="00AC3E5C">
        <w:rPr>
          <w:rFonts w:eastAsia="Times New Roman" w:cs="Arial"/>
          <w:color w:val="000000"/>
          <w:lang w:eastAsia="bg-BG"/>
        </w:rPr>
        <w:t>за ирбесартан/хидрохлоротиазид и ирбесартан (р &lt; 0.0001).</w:t>
      </w:r>
    </w:p>
    <w:p w14:paraId="0D241040"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Различните случаи на докладваните странични реакции при пациенти лекувани с комбинацията ирбесартан/хидрохлоротиазид са при пациенти на монотерапия. По време на 8-седмичния период на лечение, не са докладвани случаи на синкоп в нито една от групите, случаите на пациентите с хипотония са 0% - 0,60 %, а 2,8 % - 3,1% от пациентите са със замайване като странични реакции при лечението с комбинацията ирбесартан /хидрохлоротиазид и монотерапията.</w:t>
      </w:r>
    </w:p>
    <w:p w14:paraId="42E1F7D4" w14:textId="77777777" w:rsidR="00AC3E5C" w:rsidRDefault="00AC3E5C" w:rsidP="00AC3E5C">
      <w:pPr>
        <w:spacing w:line="240" w:lineRule="auto"/>
        <w:rPr>
          <w:rFonts w:eastAsia="Times New Roman" w:cs="Arial"/>
          <w:color w:val="000000"/>
          <w:u w:val="single"/>
          <w:lang w:eastAsia="bg-BG"/>
        </w:rPr>
      </w:pPr>
    </w:p>
    <w:p w14:paraId="3B90128F" w14:textId="456EB351"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Двойно блокиране на ренин-ангиотензин-алдостероновата система (РААС)</w:t>
      </w:r>
    </w:p>
    <w:p w14:paraId="2124D15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Две големи рандомизирани контролирани проучвания - </w:t>
      </w:r>
      <w:r w:rsidRPr="00AC3E5C">
        <w:rPr>
          <w:rFonts w:eastAsia="Times New Roman" w:cs="Arial"/>
          <w:color w:val="000000"/>
          <w:lang w:val="en-US"/>
        </w:rPr>
        <w:t>ONTARGET</w:t>
      </w:r>
      <w:r w:rsidRPr="00AC3E5C">
        <w:rPr>
          <w:rFonts w:eastAsia="Times New Roman" w:cs="Arial"/>
          <w:color w:val="000000"/>
        </w:rPr>
        <w:t xml:space="preserve"> (</w:t>
      </w:r>
      <w:r w:rsidRPr="00AC3E5C">
        <w:rPr>
          <w:rFonts w:eastAsia="Times New Roman" w:cs="Arial"/>
          <w:color w:val="000000"/>
          <w:lang w:val="en-US"/>
        </w:rPr>
        <w:t>Ongoing</w:t>
      </w:r>
      <w:r w:rsidRPr="00AC3E5C">
        <w:rPr>
          <w:rFonts w:eastAsia="Times New Roman" w:cs="Arial"/>
          <w:color w:val="000000"/>
        </w:rPr>
        <w:t xml:space="preserve"> </w:t>
      </w:r>
      <w:proofErr w:type="spellStart"/>
      <w:r w:rsidRPr="00AC3E5C">
        <w:rPr>
          <w:rFonts w:eastAsia="Times New Roman" w:cs="Arial"/>
          <w:color w:val="000000"/>
          <w:lang w:val="en-US"/>
        </w:rPr>
        <w:t>Telmisartan</w:t>
      </w:r>
      <w:proofErr w:type="spellEnd"/>
      <w:r w:rsidRPr="00AC3E5C">
        <w:rPr>
          <w:rFonts w:eastAsia="Times New Roman" w:cs="Arial"/>
          <w:color w:val="000000"/>
        </w:rPr>
        <w:t xml:space="preserve"> </w:t>
      </w:r>
      <w:r w:rsidRPr="00AC3E5C">
        <w:rPr>
          <w:rFonts w:eastAsia="Times New Roman" w:cs="Arial"/>
          <w:color w:val="000000"/>
          <w:lang w:val="en-US"/>
        </w:rPr>
        <w:t>Alone</w:t>
      </w:r>
      <w:r w:rsidRPr="00AC3E5C">
        <w:rPr>
          <w:rFonts w:eastAsia="Times New Roman" w:cs="Arial"/>
          <w:color w:val="000000"/>
        </w:rPr>
        <w:t xml:space="preserve"> </w:t>
      </w:r>
      <w:r w:rsidRPr="00AC3E5C">
        <w:rPr>
          <w:rFonts w:eastAsia="Times New Roman" w:cs="Arial"/>
          <w:color w:val="000000"/>
          <w:lang w:val="en-US"/>
        </w:rPr>
        <w:t>and</w:t>
      </w:r>
      <w:r w:rsidRPr="00AC3E5C">
        <w:rPr>
          <w:rFonts w:eastAsia="Times New Roman" w:cs="Arial"/>
          <w:color w:val="000000"/>
        </w:rPr>
        <w:t xml:space="preserve"> </w:t>
      </w:r>
      <w:r w:rsidRPr="00AC3E5C">
        <w:rPr>
          <w:rFonts w:eastAsia="Times New Roman" w:cs="Arial"/>
          <w:color w:val="000000"/>
          <w:lang w:val="en-US"/>
        </w:rPr>
        <w:t>in</w:t>
      </w:r>
      <w:r w:rsidRPr="00AC3E5C">
        <w:rPr>
          <w:rFonts w:eastAsia="Times New Roman" w:cs="Arial"/>
          <w:color w:val="000000"/>
        </w:rPr>
        <w:t xml:space="preserve"> </w:t>
      </w:r>
      <w:r w:rsidRPr="00AC3E5C">
        <w:rPr>
          <w:rFonts w:eastAsia="Times New Roman" w:cs="Arial"/>
          <w:color w:val="000000"/>
          <w:lang w:val="en-US"/>
        </w:rPr>
        <w:t>combination</w:t>
      </w:r>
      <w:r w:rsidRPr="00AC3E5C">
        <w:rPr>
          <w:rFonts w:eastAsia="Times New Roman" w:cs="Arial"/>
          <w:color w:val="000000"/>
        </w:rPr>
        <w:t xml:space="preserve"> </w:t>
      </w:r>
      <w:r w:rsidRPr="00AC3E5C">
        <w:rPr>
          <w:rFonts w:eastAsia="Times New Roman" w:cs="Arial"/>
          <w:color w:val="000000"/>
          <w:lang w:val="en-US"/>
        </w:rPr>
        <w:t>with</w:t>
      </w:r>
      <w:r w:rsidRPr="00AC3E5C">
        <w:rPr>
          <w:rFonts w:eastAsia="Times New Roman" w:cs="Arial"/>
          <w:color w:val="000000"/>
        </w:rPr>
        <w:t xml:space="preserve"> </w:t>
      </w:r>
      <w:r w:rsidRPr="00AC3E5C">
        <w:rPr>
          <w:rFonts w:eastAsia="Times New Roman" w:cs="Arial"/>
          <w:color w:val="000000"/>
          <w:lang w:val="en-US"/>
        </w:rPr>
        <w:t>Ramipril</w:t>
      </w:r>
      <w:r w:rsidRPr="00AC3E5C">
        <w:rPr>
          <w:rFonts w:eastAsia="Times New Roman" w:cs="Arial"/>
          <w:color w:val="000000"/>
        </w:rPr>
        <w:t xml:space="preserve"> </w:t>
      </w:r>
      <w:r w:rsidRPr="00AC3E5C">
        <w:rPr>
          <w:rFonts w:eastAsia="Times New Roman" w:cs="Arial"/>
          <w:color w:val="000000"/>
          <w:lang w:val="en-US"/>
        </w:rPr>
        <w:t>Global</w:t>
      </w:r>
      <w:r w:rsidRPr="00AC3E5C">
        <w:rPr>
          <w:rFonts w:eastAsia="Times New Roman" w:cs="Arial"/>
          <w:color w:val="000000"/>
        </w:rPr>
        <w:t xml:space="preserve"> </w:t>
      </w:r>
      <w:r w:rsidRPr="00AC3E5C">
        <w:rPr>
          <w:rFonts w:eastAsia="Times New Roman" w:cs="Arial"/>
          <w:color w:val="000000"/>
          <w:lang w:val="en-US"/>
        </w:rPr>
        <w:t>Endpoint</w:t>
      </w:r>
      <w:r w:rsidRPr="00AC3E5C">
        <w:rPr>
          <w:rFonts w:eastAsia="Times New Roman" w:cs="Arial"/>
          <w:color w:val="000000"/>
        </w:rPr>
        <w:t xml:space="preserve"> </w:t>
      </w:r>
      <w:r w:rsidRPr="00AC3E5C">
        <w:rPr>
          <w:rFonts w:eastAsia="Times New Roman" w:cs="Arial"/>
          <w:color w:val="000000"/>
          <w:lang w:val="en-US"/>
        </w:rPr>
        <w:t>Trial</w:t>
      </w:r>
      <w:r w:rsidRPr="00AC3E5C">
        <w:rPr>
          <w:rFonts w:eastAsia="Times New Roman" w:cs="Arial"/>
          <w:color w:val="000000"/>
        </w:rPr>
        <w:t xml:space="preserve"> - </w:t>
      </w:r>
      <w:r w:rsidRPr="00AC3E5C">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AC3E5C">
        <w:rPr>
          <w:rFonts w:eastAsia="Times New Roman" w:cs="Arial"/>
          <w:color w:val="000000"/>
          <w:lang w:val="en-US"/>
        </w:rPr>
        <w:t>VA</w:t>
      </w:r>
      <w:r w:rsidRPr="00AC3E5C">
        <w:rPr>
          <w:rFonts w:eastAsia="Times New Roman" w:cs="Arial"/>
          <w:color w:val="000000"/>
        </w:rPr>
        <w:t xml:space="preserve"> </w:t>
      </w:r>
      <w:r w:rsidRPr="00AC3E5C">
        <w:rPr>
          <w:rFonts w:eastAsia="Times New Roman" w:cs="Arial"/>
          <w:color w:val="000000"/>
          <w:lang w:val="en-US"/>
        </w:rPr>
        <w:t>NEPHRON</w:t>
      </w:r>
      <w:r w:rsidRPr="00AC3E5C">
        <w:rPr>
          <w:rFonts w:eastAsia="Times New Roman" w:cs="Arial"/>
          <w:color w:val="000000"/>
        </w:rPr>
        <w:t>-</w:t>
      </w:r>
      <w:r w:rsidRPr="00AC3E5C">
        <w:rPr>
          <w:rFonts w:eastAsia="Times New Roman" w:cs="Arial"/>
          <w:color w:val="000000"/>
          <w:lang w:val="en-US"/>
        </w:rPr>
        <w:t>D</w:t>
      </w:r>
      <w:r w:rsidRPr="00AC3E5C">
        <w:rPr>
          <w:rFonts w:eastAsia="Times New Roman" w:cs="Arial"/>
          <w:color w:val="000000"/>
        </w:rPr>
        <w:t xml:space="preserve"> </w:t>
      </w:r>
      <w:r w:rsidRPr="00AC3E5C">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II - рецепторен блокер.</w:t>
      </w:r>
    </w:p>
    <w:p w14:paraId="1C7FC4D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val="en-US"/>
        </w:rPr>
        <w:t>ONTARGET</w:t>
      </w:r>
      <w:r w:rsidRPr="00AC3E5C">
        <w:rPr>
          <w:rFonts w:eastAsia="Times New Roman" w:cs="Arial"/>
          <w:color w:val="000000"/>
          <w:lang w:val="ru-RU"/>
        </w:rPr>
        <w:t xml:space="preserve"> </w:t>
      </w:r>
      <w:r w:rsidRPr="00AC3E5C">
        <w:rPr>
          <w:rFonts w:eastAsia="Times New Roman" w:cs="Arial"/>
          <w:color w:val="000000"/>
          <w:lang w:eastAsia="bg-BG"/>
        </w:rPr>
        <w:t>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ограни.</w:t>
      </w:r>
    </w:p>
    <w:p w14:paraId="6CAEEB2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val="en-US"/>
        </w:rPr>
        <w:t>VA</w:t>
      </w:r>
      <w:r w:rsidRPr="00AC3E5C">
        <w:rPr>
          <w:rFonts w:eastAsia="Times New Roman" w:cs="Arial"/>
          <w:color w:val="000000"/>
          <w:lang w:val="ru-RU"/>
        </w:rPr>
        <w:t xml:space="preserve"> </w:t>
      </w:r>
      <w:r w:rsidRPr="00AC3E5C">
        <w:rPr>
          <w:rFonts w:eastAsia="Times New Roman" w:cs="Arial"/>
          <w:color w:val="000000"/>
          <w:lang w:val="en-US"/>
        </w:rPr>
        <w:t>NEPHRON</w:t>
      </w:r>
      <w:r w:rsidRPr="00AC3E5C">
        <w:rPr>
          <w:rFonts w:eastAsia="Times New Roman" w:cs="Arial"/>
          <w:color w:val="000000"/>
          <w:lang w:val="ru-RU"/>
        </w:rPr>
        <w:t>-</w:t>
      </w:r>
      <w:r w:rsidRPr="00AC3E5C">
        <w:rPr>
          <w:rFonts w:eastAsia="Times New Roman" w:cs="Arial"/>
          <w:color w:val="000000"/>
          <w:lang w:val="en-US"/>
        </w:rPr>
        <w:t>D</w:t>
      </w:r>
      <w:r w:rsidRPr="00AC3E5C">
        <w:rPr>
          <w:rFonts w:eastAsia="Times New Roman" w:cs="Arial"/>
          <w:color w:val="000000"/>
          <w:lang w:val="ru-RU"/>
        </w:rPr>
        <w:t xml:space="preserve"> </w:t>
      </w:r>
      <w:r w:rsidRPr="00AC3E5C">
        <w:rPr>
          <w:rFonts w:eastAsia="Times New Roman" w:cs="Arial"/>
          <w:color w:val="000000"/>
          <w:lang w:eastAsia="bg-BG"/>
        </w:rPr>
        <w:t>е проучване при пациенти със захарен диабет тип 2 и диабетна нефропатия. Тези проучвания не показват значим благоприятен ефект върху бъбречните и/или сърдечно</w:t>
      </w:r>
      <w:r w:rsidRPr="00AC3E5C">
        <w:rPr>
          <w:rFonts w:eastAsia="Times New Roman" w:cs="Arial"/>
          <w:color w:val="000000"/>
          <w:lang w:eastAsia="bg-BG"/>
        </w:rPr>
        <w:softHyphen/>
        <w:t xml:space="preserve">съдовите последици и смъртност, като същевременно са наблюдавани повишен риск от хи перкал 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AC3E5C">
        <w:rPr>
          <w:rFonts w:eastAsia="Times New Roman" w:cs="Arial"/>
          <w:color w:val="000000"/>
          <w:lang w:val="en-US"/>
        </w:rPr>
        <w:t>II</w:t>
      </w:r>
      <w:r w:rsidRPr="00AC3E5C">
        <w:rPr>
          <w:rFonts w:eastAsia="Times New Roman" w:cs="Arial"/>
          <w:color w:val="000000"/>
          <w:lang w:eastAsia="bg-BG"/>
        </w:rPr>
        <w:t xml:space="preserve"> рецепторни блокери.</w:t>
      </w:r>
    </w:p>
    <w:p w14:paraId="0D7F435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lastRenderedPageBreak/>
        <w:t>АСЕ инхибитори и ангиотензин II рецепторни блокери следователно не трябва да се използват едновременно при пациенти с диабетна нефропатия.</w:t>
      </w:r>
    </w:p>
    <w:p w14:paraId="6646CE8C" w14:textId="2E802781"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val="en-US"/>
        </w:rPr>
        <w:t>ALTITUDE</w:t>
      </w:r>
      <w:r w:rsidRPr="00AC3E5C">
        <w:rPr>
          <w:rFonts w:eastAsia="Times New Roman" w:cs="Arial"/>
          <w:color w:val="000000"/>
          <w:lang w:val="ru-RU"/>
        </w:rPr>
        <w:t xml:space="preserve"> </w:t>
      </w:r>
      <w:r w:rsidRPr="00AC3E5C">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II 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w:t>
      </w:r>
      <w:r>
        <w:rPr>
          <w:rFonts w:eastAsia="Times New Roman" w:cs="Arial"/>
          <w:color w:val="000000"/>
          <w:lang w:eastAsia="bg-BG"/>
        </w:rPr>
        <w:t xml:space="preserve"> </w:t>
      </w:r>
      <w:r w:rsidRPr="00AC3E5C">
        <w:t>събития (хиперкалиемия, хипотония и бъбречна дисфункция) се съобщават по-често в групата с алискирен, отколкото в групата на плацебо.</w:t>
      </w:r>
    </w:p>
    <w:p w14:paraId="430FE5F5" w14:textId="057839A3" w:rsidR="00AC3E5C" w:rsidRPr="00AC3E5C" w:rsidRDefault="00AC3E5C" w:rsidP="00AC3E5C"/>
    <w:p w14:paraId="79643DB7" w14:textId="7047D769" w:rsidR="00DF4C8E" w:rsidRDefault="002C50EE" w:rsidP="00F44498">
      <w:pPr>
        <w:pStyle w:val="Heading2"/>
      </w:pPr>
      <w:r>
        <w:t>5.2. Фармакокинетични свойства</w:t>
      </w:r>
    </w:p>
    <w:p w14:paraId="0F1FD600" w14:textId="53618568" w:rsidR="00AC3E5C" w:rsidRDefault="00AC3E5C" w:rsidP="00AC3E5C"/>
    <w:p w14:paraId="3D9DD6A5"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Едновременният прием на хидрохлоротиазид и ирбесартан не влияе върху фармакокинетиката на всяко от активните вещества.</w:t>
      </w:r>
    </w:p>
    <w:p w14:paraId="6B404EB5"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Ирбесартан и хидрохлоротиазид са активни при перорален прием.</w:t>
      </w:r>
    </w:p>
    <w:p w14:paraId="1D185CA2"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Приемът на храна не повлиява бионаличността на ирбесартан и хидрохлоротиазид.</w:t>
      </w:r>
    </w:p>
    <w:p w14:paraId="4AA67576"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Максимална плазмена концентрация се достига 1,5-2 часа след перорално приложение за ирбесартан и 1-2,5 часа за хидрохлортиазид.</w:t>
      </w:r>
    </w:p>
    <w:p w14:paraId="6EF51C10"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Свързването на ирбесартан с плазмените протеини е около 96%, а свързването с кръвните клетки е незначително. Обемът на разпределение на ирбесартан е 53-93 литра.</w:t>
      </w:r>
    </w:p>
    <w:p w14:paraId="4C4276BE"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Около 68% от хидрохлоротиазид е свързан с плазмените протеини, а видимият обем на разпределение е 0,83-1,1</w:t>
      </w:r>
      <w:r w:rsidRPr="007C4AAC">
        <w:rPr>
          <w:rFonts w:eastAsia="Times New Roman" w:cs="Arial"/>
          <w:color w:val="000000"/>
          <w:lang w:val="ru-RU"/>
        </w:rPr>
        <w:t>4/</w:t>
      </w:r>
      <w:r w:rsidRPr="007C4AAC">
        <w:rPr>
          <w:rFonts w:eastAsia="Times New Roman" w:cs="Arial"/>
          <w:color w:val="000000"/>
          <w:lang w:val="en-US"/>
        </w:rPr>
        <w:t>kg</w:t>
      </w:r>
      <w:r w:rsidRPr="007C4AAC">
        <w:rPr>
          <w:rFonts w:eastAsia="Times New Roman" w:cs="Arial"/>
          <w:color w:val="000000"/>
          <w:lang w:val="ru-RU"/>
        </w:rPr>
        <w:t>.</w:t>
      </w:r>
    </w:p>
    <w:p w14:paraId="2CD22447"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Фармакокинетичните свойства на Ко-Ирбесан не зависят от пола на пациента.</w:t>
      </w:r>
    </w:p>
    <w:p w14:paraId="7C392060" w14:textId="77777777" w:rsidR="007C4AAC" w:rsidRDefault="007C4AAC" w:rsidP="00AC3E5C">
      <w:pPr>
        <w:spacing w:line="240" w:lineRule="auto"/>
        <w:rPr>
          <w:rFonts w:eastAsia="Times New Roman" w:cs="Arial"/>
          <w:color w:val="000000"/>
          <w:u w:val="single"/>
          <w:lang w:eastAsia="bg-BG"/>
        </w:rPr>
      </w:pPr>
    </w:p>
    <w:p w14:paraId="14C675B0" w14:textId="5F0C76DF"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u w:val="single"/>
          <w:lang w:eastAsia="bg-BG"/>
        </w:rPr>
        <w:t>Линейност</w:t>
      </w:r>
    </w:p>
    <w:p w14:paraId="1C9D95C4"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Зависимостта между плазмената концентрация на ирбесартан и приетата доза е линейна в рамките на терапевтичния интервал.</w:t>
      </w:r>
    </w:p>
    <w:p w14:paraId="648735DA"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 xml:space="preserve">Терминалният полуживот на ирбесартан е 11-15 часа. Общият клирънс и бъбречният клирънс са съответно 157-176 и </w:t>
      </w:r>
      <w:r w:rsidRPr="007C4AAC">
        <w:rPr>
          <w:rFonts w:eastAsia="Times New Roman" w:cs="Arial"/>
          <w:color w:val="000000"/>
          <w:lang w:val="ru-RU"/>
        </w:rPr>
        <w:t>3-3,5</w:t>
      </w:r>
      <w:r w:rsidRPr="007C4AAC">
        <w:rPr>
          <w:rFonts w:eastAsia="Times New Roman" w:cs="Arial"/>
          <w:color w:val="000000"/>
          <w:lang w:val="en-US"/>
        </w:rPr>
        <w:t>ml</w:t>
      </w:r>
      <w:r w:rsidRPr="007C4AAC">
        <w:rPr>
          <w:rFonts w:eastAsia="Times New Roman" w:cs="Arial"/>
          <w:color w:val="000000"/>
          <w:lang w:val="ru-RU"/>
        </w:rPr>
        <w:t>/</w:t>
      </w:r>
      <w:r w:rsidRPr="007C4AAC">
        <w:rPr>
          <w:rFonts w:eastAsia="Times New Roman" w:cs="Arial"/>
          <w:color w:val="000000"/>
          <w:lang w:val="en-US"/>
        </w:rPr>
        <w:t>min</w:t>
      </w:r>
      <w:r w:rsidRPr="007C4AAC">
        <w:rPr>
          <w:rFonts w:eastAsia="Times New Roman" w:cs="Arial"/>
          <w:color w:val="000000"/>
          <w:lang w:val="ru-RU"/>
        </w:rPr>
        <w:t>.</w:t>
      </w:r>
    </w:p>
    <w:p w14:paraId="3229C822"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Равновесни плазмени концентрации се достигат до 3 дни след началото на еднократен дневен прием.</w:t>
      </w:r>
    </w:p>
    <w:p w14:paraId="07EF9553"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Наблюдавано е ограничено кумулиране на ирбесартан в плазмата (20%) при продължителен прием на еднократна дневна доза.</w:t>
      </w:r>
    </w:p>
    <w:p w14:paraId="0D4043E2"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В едно от проведените проучвания са били отчетени малко по-високи плазмени концентрации на ирбесартан при жени с хипертония, без разлика във времето на полуелиминиране и кумулирането на ирбесартан.</w:t>
      </w:r>
    </w:p>
    <w:p w14:paraId="7578E773"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val="en-US"/>
        </w:rPr>
        <w:t>AUC</w:t>
      </w:r>
      <w:r w:rsidRPr="007C4AAC">
        <w:rPr>
          <w:rFonts w:eastAsia="Times New Roman" w:cs="Arial"/>
          <w:color w:val="000000"/>
          <w:lang w:val="ru-RU"/>
        </w:rPr>
        <w:t xml:space="preserve"> </w:t>
      </w:r>
      <w:r w:rsidRPr="007C4AAC">
        <w:rPr>
          <w:rFonts w:eastAsia="Times New Roman" w:cs="Arial"/>
          <w:color w:val="000000"/>
          <w:lang w:eastAsia="bg-BG"/>
        </w:rPr>
        <w:t>и С</w:t>
      </w:r>
      <w:r w:rsidRPr="007C4AAC">
        <w:rPr>
          <w:rFonts w:eastAsia="Times New Roman" w:cs="Arial"/>
          <w:color w:val="000000"/>
          <w:vertAlign w:val="subscript"/>
          <w:lang w:val="en-US"/>
        </w:rPr>
        <w:t>max</w:t>
      </w:r>
      <w:r w:rsidRPr="007C4AAC">
        <w:rPr>
          <w:rFonts w:eastAsia="Times New Roman" w:cs="Arial"/>
          <w:color w:val="000000"/>
          <w:lang w:eastAsia="bg-BG"/>
        </w:rPr>
        <w:t xml:space="preserve"> на ирбесартан са по-високи при пациенти в напреднала възраст (65 години), отколкото при по-млади пациенти (18-40 години) и времето на полуелиминиране не се променя значително.</w:t>
      </w:r>
    </w:p>
    <w:p w14:paraId="3A542961"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Средното време на полуелиминиране от плазмата варира от 5-15 часа.</w:t>
      </w:r>
    </w:p>
    <w:p w14:paraId="49C438CB"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Не се налага адаптиране на дозата на ирбесартан при пациенти в напреднала възраст.</w:t>
      </w:r>
    </w:p>
    <w:p w14:paraId="07C39353"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 xml:space="preserve">След перорално или интревенозно приложение на 14С ирбесартан, 80-85% от радиоактивността на плазмата се дължи на непроменен ирбесартан. Бъбречното елиминиране на ирбесартан се осъществява чрез гломерулна филтрация и чрез активна тубулна секреция. Основният циркулуращ метаболит е ирбесартан глюкоринид (около </w:t>
      </w:r>
      <w:r w:rsidRPr="007C4AAC">
        <w:rPr>
          <w:rFonts w:eastAsia="Times New Roman" w:cs="Arial"/>
          <w:color w:val="000000"/>
          <w:lang w:eastAsia="bg-BG"/>
        </w:rPr>
        <w:lastRenderedPageBreak/>
        <w:t xml:space="preserve">6%). Чернодробната трансформация на ирбесартан се извършва от </w:t>
      </w:r>
      <w:r w:rsidRPr="007C4AAC">
        <w:rPr>
          <w:rFonts w:eastAsia="Times New Roman" w:cs="Arial"/>
          <w:color w:val="000000"/>
          <w:lang w:val="en-US"/>
        </w:rPr>
        <w:t>CYP</w:t>
      </w:r>
      <w:r w:rsidRPr="007C4AAC">
        <w:rPr>
          <w:rFonts w:eastAsia="Times New Roman" w:cs="Arial"/>
          <w:color w:val="000000"/>
          <w:lang w:val="ru-RU"/>
        </w:rPr>
        <w:t>2</w:t>
      </w:r>
      <w:r w:rsidRPr="007C4AAC">
        <w:rPr>
          <w:rFonts w:eastAsia="Times New Roman" w:cs="Arial"/>
          <w:color w:val="000000"/>
          <w:lang w:val="en-US"/>
        </w:rPr>
        <w:t>C</w:t>
      </w:r>
      <w:r w:rsidRPr="007C4AAC">
        <w:rPr>
          <w:rFonts w:eastAsia="Times New Roman" w:cs="Arial"/>
          <w:color w:val="000000"/>
          <w:lang w:val="ru-RU"/>
        </w:rPr>
        <w:t xml:space="preserve">9, </w:t>
      </w:r>
      <w:r w:rsidRPr="007C4AAC">
        <w:rPr>
          <w:rFonts w:eastAsia="Times New Roman" w:cs="Arial"/>
          <w:color w:val="000000"/>
          <w:lang w:eastAsia="bg-BG"/>
        </w:rPr>
        <w:t>който е цитохром Р450 ензим.</w:t>
      </w:r>
    </w:p>
    <w:p w14:paraId="74F786E1"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Ирбесартан и метаболитите му се елиминират чрез жлъчката и бъбреците.</w:t>
      </w:r>
    </w:p>
    <w:p w14:paraId="56FE5AA0"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След перорален прием на маркиран ирбесартан с С14 е установено, че с урината се екскретира приблизително 20% от приетата доза и 7% като неактивен метаболит.</w:t>
      </w:r>
    </w:p>
    <w:p w14:paraId="76E793BF"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Хидрохлоротиазид не се метаболизира, а бързо се елиминира в непроменен вид, за период от 24 часа.</w:t>
      </w:r>
    </w:p>
    <w:p w14:paraId="2D1C0E9C"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Хидрохлоротиазид не преминава кръвно-мозъчната бариера, преминава през плацентата и се екскретира в кърмата.</w:t>
      </w:r>
    </w:p>
    <w:p w14:paraId="18FE35B9" w14:textId="77777777" w:rsidR="007C4AAC" w:rsidRDefault="007C4AAC" w:rsidP="00AC3E5C">
      <w:pPr>
        <w:spacing w:line="240" w:lineRule="auto"/>
        <w:rPr>
          <w:rFonts w:eastAsia="Times New Roman" w:cs="Arial"/>
          <w:color w:val="000000"/>
          <w:u w:val="single"/>
          <w:lang w:eastAsia="bg-BG"/>
        </w:rPr>
      </w:pPr>
    </w:p>
    <w:p w14:paraId="286932D7" w14:textId="369BFB23"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u w:val="single"/>
          <w:lang w:eastAsia="bg-BG"/>
        </w:rPr>
        <w:t>Бъбречна недостатъчност</w:t>
      </w:r>
    </w:p>
    <w:p w14:paraId="66D03679"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 xml:space="preserve">При пациенти с бъбречна недостатъчност или на хемодиализа, фармакокинетичните показатели на ирбесартан не се променят значително. Ирбесартан не се отстранява чрез хемодиализа. При пациенти с креатининов клирънс &lt;20 </w:t>
      </w:r>
      <w:proofErr w:type="spellStart"/>
      <w:r w:rsidRPr="007C4AAC">
        <w:rPr>
          <w:rFonts w:eastAsia="Times New Roman" w:cs="Arial"/>
          <w:color w:val="000000"/>
          <w:lang w:val="en-US"/>
        </w:rPr>
        <w:t>tnl</w:t>
      </w:r>
      <w:proofErr w:type="spellEnd"/>
      <w:r w:rsidRPr="007C4AAC">
        <w:rPr>
          <w:rFonts w:eastAsia="Times New Roman" w:cs="Arial"/>
          <w:color w:val="000000"/>
          <w:lang w:val="ru-RU"/>
        </w:rPr>
        <w:t>/</w:t>
      </w:r>
      <w:r w:rsidRPr="007C4AAC">
        <w:rPr>
          <w:rFonts w:eastAsia="Times New Roman" w:cs="Arial"/>
          <w:color w:val="000000"/>
          <w:lang w:val="en-US"/>
        </w:rPr>
        <w:t>min</w:t>
      </w:r>
      <w:r w:rsidRPr="007C4AAC">
        <w:rPr>
          <w:rFonts w:eastAsia="Times New Roman" w:cs="Arial"/>
          <w:color w:val="000000"/>
          <w:lang w:val="ru-RU"/>
        </w:rPr>
        <w:t xml:space="preserve"> </w:t>
      </w:r>
      <w:r w:rsidRPr="007C4AAC">
        <w:rPr>
          <w:rFonts w:eastAsia="Times New Roman" w:cs="Arial"/>
          <w:color w:val="000000"/>
          <w:lang w:eastAsia="bg-BG"/>
        </w:rPr>
        <w:t>се съобщава, че времето на полуелиминиране на хидрохлоротиазид се удължава до 21 часа.</w:t>
      </w:r>
    </w:p>
    <w:p w14:paraId="53CA1F63" w14:textId="77777777" w:rsidR="007C4AAC" w:rsidRDefault="007C4AAC" w:rsidP="00AC3E5C">
      <w:pPr>
        <w:spacing w:line="240" w:lineRule="auto"/>
        <w:rPr>
          <w:rFonts w:eastAsia="Times New Roman" w:cs="Arial"/>
          <w:color w:val="000000"/>
          <w:u w:val="single"/>
          <w:lang w:eastAsia="bg-BG"/>
        </w:rPr>
      </w:pPr>
    </w:p>
    <w:p w14:paraId="5CC6AE06" w14:textId="6B5FC309"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u w:val="single"/>
          <w:lang w:eastAsia="bg-BG"/>
        </w:rPr>
        <w:t>Чернодробна недостатъчност</w:t>
      </w:r>
    </w:p>
    <w:p w14:paraId="5F47C497" w14:textId="56C69886" w:rsidR="00AC3E5C" w:rsidRPr="007C4AAC" w:rsidRDefault="00AC3E5C" w:rsidP="00AC3E5C">
      <w:pPr>
        <w:rPr>
          <w:rFonts w:eastAsia="Times New Roman" w:cs="Arial"/>
          <w:color w:val="000000"/>
          <w:lang w:eastAsia="bg-BG"/>
        </w:rPr>
      </w:pPr>
      <w:r w:rsidRPr="007C4AAC">
        <w:rPr>
          <w:rFonts w:eastAsia="Times New Roman" w:cs="Arial"/>
          <w:color w:val="000000"/>
          <w:lang w:eastAsia="bg-BG"/>
        </w:rPr>
        <w:t>При пациенти с лека до умерена степен на цироза, фармакокинетичните показатели на ирбесартан не се променят значително.</w:t>
      </w:r>
    </w:p>
    <w:p w14:paraId="1BD63355" w14:textId="0C230132" w:rsidR="00AC3E5C" w:rsidRDefault="00AC3E5C" w:rsidP="00AC3E5C"/>
    <w:p w14:paraId="35F181AE" w14:textId="344C1E66" w:rsidR="007C4AAC" w:rsidRDefault="007C4AAC" w:rsidP="007C4AAC">
      <w:r>
        <w:t>Не са проведени проучвания при пациенти с тежка чернодробна недостатъчност.</w:t>
      </w:r>
    </w:p>
    <w:p w14:paraId="6736F9C2" w14:textId="77777777" w:rsidR="007C4AAC" w:rsidRPr="00AC3E5C" w:rsidRDefault="007C4AAC" w:rsidP="007C4AAC"/>
    <w:p w14:paraId="028E658A" w14:textId="431864FD" w:rsidR="00395555" w:rsidRDefault="002C50EE" w:rsidP="008A6AF2">
      <w:pPr>
        <w:pStyle w:val="Heading2"/>
      </w:pPr>
      <w:r>
        <w:t>5.3. Предклинични данни за безопасност</w:t>
      </w:r>
    </w:p>
    <w:p w14:paraId="19E70BC3" w14:textId="4FBB071D" w:rsidR="007C4AAC" w:rsidRDefault="007C4AAC" w:rsidP="007C4AAC"/>
    <w:p w14:paraId="6D68F429" w14:textId="77777777"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u w:val="single"/>
          <w:lang w:eastAsia="bg-BG"/>
        </w:rPr>
        <w:t>Ирбесартан/хидрохлоротиазид</w:t>
      </w:r>
    </w:p>
    <w:p w14:paraId="6E6BC5F3" w14:textId="77777777"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Проведени са клинични проучвания с цел определянето на потенциалната токсичност на комбинацията ирбесартан/хидрохлоротиазид приложена перорално при плъхове и макаци в продължение на 6 месеца. Не са установени токсикологични находки с клинично значение по отношение на употребата при хора.</w:t>
      </w:r>
    </w:p>
    <w:p w14:paraId="18E3A4BC" w14:textId="77777777" w:rsid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 xml:space="preserve">Описаните по-долу промени, наблюдавани при плъхове и макаци, които са получавали ирбесартан/хидрохлоротиазид в дози 10 </w:t>
      </w:r>
      <w:r w:rsidRPr="007C4AAC">
        <w:rPr>
          <w:rFonts w:eastAsia="Times New Roman" w:cs="Arial"/>
          <w:color w:val="000000"/>
          <w:lang w:val="en-US"/>
        </w:rPr>
        <w:t>mg</w:t>
      </w:r>
      <w:r w:rsidRPr="007C4AAC">
        <w:rPr>
          <w:rFonts w:eastAsia="Times New Roman" w:cs="Arial"/>
          <w:color w:val="000000"/>
          <w:lang w:val="ru-RU"/>
        </w:rPr>
        <w:t xml:space="preserve"> </w:t>
      </w:r>
      <w:r w:rsidRPr="007C4AAC">
        <w:rPr>
          <w:rFonts w:eastAsia="Times New Roman" w:cs="Arial"/>
          <w:color w:val="000000"/>
          <w:lang w:eastAsia="bg-BG"/>
        </w:rPr>
        <w:t xml:space="preserve">/10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 xml:space="preserve">дневно и 90 </w:t>
      </w:r>
      <w:r w:rsidRPr="007C4AAC">
        <w:rPr>
          <w:rFonts w:eastAsia="Times New Roman" w:cs="Arial"/>
          <w:color w:val="000000"/>
          <w:lang w:val="en-US"/>
        </w:rPr>
        <w:t>mg</w:t>
      </w:r>
      <w:r w:rsidRPr="007C4AAC">
        <w:rPr>
          <w:rFonts w:eastAsia="Times New Roman" w:cs="Arial"/>
          <w:color w:val="000000"/>
          <w:lang w:val="ru-RU"/>
        </w:rPr>
        <w:t xml:space="preserve"> </w:t>
      </w:r>
      <w:r w:rsidRPr="007C4AAC">
        <w:rPr>
          <w:rFonts w:eastAsia="Times New Roman" w:cs="Arial"/>
          <w:color w:val="000000"/>
          <w:lang w:eastAsia="bg-BG"/>
        </w:rPr>
        <w:t xml:space="preserve">/90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дневно, са наблюдавани също и при самостоятелната употреба на отделните съставки и/или са вторично възникнали, в резулатат от понижаване на кръвното налягане (не са наблюдавани значими токсикологични взаимодействия):</w:t>
      </w:r>
    </w:p>
    <w:p w14:paraId="438B7554" w14:textId="77777777" w:rsidR="007C4AAC" w:rsidRPr="007C4AAC" w:rsidRDefault="007C4AAC" w:rsidP="007C4AAC">
      <w:pPr>
        <w:pStyle w:val="ListParagraph"/>
        <w:numPr>
          <w:ilvl w:val="0"/>
          <w:numId w:val="38"/>
        </w:numPr>
        <w:spacing w:line="240" w:lineRule="auto"/>
        <w:rPr>
          <w:rFonts w:ascii="Times New Roman" w:eastAsia="Times New Roman" w:hAnsi="Times New Roman" w:cs="Times New Roman"/>
        </w:rPr>
      </w:pPr>
      <w:r w:rsidRPr="007C4AAC">
        <w:rPr>
          <w:rFonts w:eastAsia="Times New Roman" w:cs="Arial"/>
          <w:color w:val="000000"/>
          <w:lang w:eastAsia="bg-BG"/>
        </w:rPr>
        <w:t>Промени в бъбреците, изразяващи се с леко повишени нива на серумната концентрация на урея и креатинин, и хиперплазия/хипертрофия на юкстагломерулния апарат;</w:t>
      </w:r>
    </w:p>
    <w:p w14:paraId="62A0E500" w14:textId="77777777" w:rsidR="007C4AAC" w:rsidRPr="007C4AAC" w:rsidRDefault="007C4AAC" w:rsidP="007C4AAC">
      <w:pPr>
        <w:pStyle w:val="ListParagraph"/>
        <w:numPr>
          <w:ilvl w:val="0"/>
          <w:numId w:val="38"/>
        </w:numPr>
        <w:spacing w:line="240" w:lineRule="auto"/>
        <w:rPr>
          <w:rFonts w:ascii="Times New Roman" w:eastAsia="Times New Roman" w:hAnsi="Times New Roman" w:cs="Times New Roman"/>
        </w:rPr>
      </w:pPr>
      <w:r w:rsidRPr="007C4AAC">
        <w:rPr>
          <w:rFonts w:eastAsia="Times New Roman" w:cs="Arial"/>
          <w:color w:val="000000"/>
          <w:lang w:eastAsia="bg-BG"/>
        </w:rPr>
        <w:t>Леко понижени стойности на еритроцитните показатели (брой еритроцити, хемоглобин, хематокрит);</w:t>
      </w:r>
    </w:p>
    <w:p w14:paraId="79EFE975" w14:textId="77777777" w:rsidR="007C4AAC" w:rsidRPr="007C4AAC" w:rsidRDefault="007C4AAC" w:rsidP="007C4AAC">
      <w:pPr>
        <w:pStyle w:val="ListParagraph"/>
        <w:numPr>
          <w:ilvl w:val="0"/>
          <w:numId w:val="38"/>
        </w:numPr>
        <w:spacing w:line="240" w:lineRule="auto"/>
        <w:rPr>
          <w:rFonts w:ascii="Times New Roman" w:eastAsia="Times New Roman" w:hAnsi="Times New Roman" w:cs="Times New Roman"/>
        </w:rPr>
      </w:pPr>
      <w:r w:rsidRPr="007C4AAC">
        <w:rPr>
          <w:rFonts w:eastAsia="Times New Roman" w:cs="Arial"/>
          <w:color w:val="000000"/>
          <w:lang w:eastAsia="bg-BG"/>
        </w:rPr>
        <w:t xml:space="preserve">Промяна в цвета на стомашната лигавица, язви и фокална некроза на стомашната лигавица са били наблюдавани, при малък брой плъхове, при проведено 6 месечно токсикологично проучване при прием на ирбесартан 90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 xml:space="preserve">дневно, хидрохлоротиазид </w:t>
      </w:r>
      <w:r w:rsidRPr="007C4AAC">
        <w:rPr>
          <w:rFonts w:eastAsia="Times New Roman" w:cs="Arial"/>
          <w:color w:val="000000"/>
          <w:lang w:val="ru-RU"/>
        </w:rPr>
        <w:t>90</w:t>
      </w:r>
      <w:r w:rsidRPr="007C4AAC">
        <w:rPr>
          <w:rFonts w:eastAsia="Times New Roman" w:cs="Arial"/>
          <w:color w:val="000000"/>
          <w:lang w:val="en-US"/>
        </w:rPr>
        <w:t>kg</w:t>
      </w:r>
      <w:r w:rsidRPr="007C4AAC">
        <w:rPr>
          <w:rFonts w:eastAsia="Times New Roman" w:cs="Arial"/>
          <w:color w:val="000000"/>
          <w:lang w:val="ru-RU"/>
        </w:rPr>
        <w:t>/</w:t>
      </w:r>
      <w:r w:rsidRPr="007C4AAC">
        <w:rPr>
          <w:rFonts w:eastAsia="Times New Roman" w:cs="Arial"/>
          <w:color w:val="000000"/>
          <w:lang w:val="en-US"/>
        </w:rPr>
        <w:t>mg</w:t>
      </w:r>
      <w:r w:rsidRPr="007C4AAC">
        <w:rPr>
          <w:rFonts w:eastAsia="Times New Roman" w:cs="Arial"/>
          <w:color w:val="000000"/>
          <w:lang w:val="ru-RU"/>
        </w:rPr>
        <w:t xml:space="preserve"> </w:t>
      </w:r>
      <w:r w:rsidRPr="007C4AAC">
        <w:rPr>
          <w:rFonts w:eastAsia="Times New Roman" w:cs="Arial"/>
          <w:color w:val="000000"/>
          <w:lang w:eastAsia="bg-BG"/>
        </w:rPr>
        <w:t xml:space="preserve">дневно и ирбесартан/хидрохлоротиазд 10/10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дневно. Тези линии не са наблюдавани при макаци;</w:t>
      </w:r>
    </w:p>
    <w:p w14:paraId="6FF7AAA6" w14:textId="259255BD" w:rsidR="007C4AAC" w:rsidRPr="007C4AAC" w:rsidRDefault="007C4AAC" w:rsidP="007C4AAC">
      <w:pPr>
        <w:pStyle w:val="ListParagraph"/>
        <w:numPr>
          <w:ilvl w:val="0"/>
          <w:numId w:val="38"/>
        </w:numPr>
        <w:spacing w:line="240" w:lineRule="auto"/>
        <w:rPr>
          <w:rFonts w:ascii="Times New Roman" w:eastAsia="Times New Roman" w:hAnsi="Times New Roman" w:cs="Times New Roman"/>
        </w:rPr>
      </w:pPr>
      <w:r w:rsidRPr="007C4AAC">
        <w:rPr>
          <w:rFonts w:eastAsia="Times New Roman" w:cs="Arial"/>
          <w:color w:val="000000"/>
          <w:lang w:eastAsia="bg-BG"/>
        </w:rPr>
        <w:t>Понижение на серумната концентрация на калий, дължащо се на хидрохлоротиазид, което частично се елиминира при комбиниране на хидрохлоротиазид с ирбесартан.</w:t>
      </w:r>
    </w:p>
    <w:p w14:paraId="2D79B10B" w14:textId="77777777" w:rsidR="007C4AAC" w:rsidRDefault="007C4AAC" w:rsidP="007C4AAC">
      <w:pPr>
        <w:spacing w:line="240" w:lineRule="auto"/>
        <w:rPr>
          <w:rFonts w:eastAsia="Times New Roman" w:cs="Arial"/>
          <w:color w:val="000000"/>
          <w:lang w:eastAsia="bg-BG"/>
        </w:rPr>
      </w:pPr>
    </w:p>
    <w:p w14:paraId="0B5AA679" w14:textId="03DC1762"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Изброените промени се дължат на фармакологичното действие на ирбесартан и се наблюдават и при инхибитори на ангиотензин-конвертиращия ензим.</w:t>
      </w:r>
    </w:p>
    <w:p w14:paraId="2FB1242F" w14:textId="77777777"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lastRenderedPageBreak/>
        <w:t>Не са установени тератогенни ефекти при плъхове, третирани с комбинация ирбесартан с хидрохлоротиазид, в дози токсични за майките.</w:t>
      </w:r>
    </w:p>
    <w:p w14:paraId="39C5E9B4" w14:textId="77777777"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Влиянието на комбинацията ирбесартан с хидрохлоротиазид върху фертилитета не е определяно в проучвания с животни и хора.</w:t>
      </w:r>
    </w:p>
    <w:p w14:paraId="78A374EE" w14:textId="77777777"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Няма доказателства за мутагенен ефект на комбинацията ирбесартан/хидрохлоротиазид. Канцерогенния ефект на тази комбинация не е проучен при опити с животни.</w:t>
      </w:r>
    </w:p>
    <w:p w14:paraId="2CCF959A" w14:textId="77777777" w:rsidR="007C4AAC" w:rsidRDefault="007C4AAC" w:rsidP="007C4AAC">
      <w:pPr>
        <w:spacing w:line="240" w:lineRule="auto"/>
        <w:rPr>
          <w:rFonts w:eastAsia="Times New Roman" w:cs="Arial"/>
          <w:color w:val="000000"/>
          <w:u w:val="single"/>
          <w:lang w:eastAsia="bg-BG"/>
        </w:rPr>
      </w:pPr>
    </w:p>
    <w:p w14:paraId="31C9C6CC" w14:textId="3089AD71"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u w:val="single"/>
          <w:lang w:eastAsia="bg-BG"/>
        </w:rPr>
        <w:t>Ирбесартан</w:t>
      </w:r>
    </w:p>
    <w:p w14:paraId="24DC4F29" w14:textId="77777777"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 xml:space="preserve">Ирбесартан не повлиява развитието на абнормна системна токсичност или токсичност на прицелните органи в терапевтични дозировки. В предклиничните изпитвания за безопасност, високи дози ирбесаратан ≥ 250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 xml:space="preserve">дневно при плъхове и ≥100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 xml:space="preserve">дневно при макаци, е отчетено понижение на еритроцитните показатели (брой еритроцити, хемоглобин, хематокрит). При много високи дози ≥ 500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дневно, прилагани на плъхове и макаци, са наблюдавани дегенеративни изменения на бъбреците (интерстициален нефрит, разтягане на тубулите, базофилни тубули, повишени плазмени концентрации на урея и креатинин). Тези изменения се обясняват с хипотензивното действие на ирбесартан, което причинява намалена бъбречна перфузия.</w:t>
      </w:r>
    </w:p>
    <w:p w14:paraId="32D5A393" w14:textId="77777777"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 xml:space="preserve">Ирбесартан води до развитие на хиперплазия (хипертрофия на юкста-гломерулните клетки) в доза от ≥ 90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 xml:space="preserve">дневно при плъхове, а при макаци ≥ 10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дневно. Счита се, че всички тези изменения се дължат на фармакологичното действие на ирбесартан. При прием на терапевтични дози ирбесартан при хора, хиперплазията (хипертрофия на юкста-гломерулните клетки) няма клинична значимост за пациентите.</w:t>
      </w:r>
    </w:p>
    <w:p w14:paraId="676026D2" w14:textId="77777777" w:rsidR="007C4AAC" w:rsidRDefault="007C4AAC" w:rsidP="007C4AAC">
      <w:pPr>
        <w:spacing w:line="240" w:lineRule="auto"/>
        <w:rPr>
          <w:rFonts w:eastAsia="Times New Roman" w:cs="Arial"/>
          <w:color w:val="000000"/>
          <w:lang w:eastAsia="bg-BG"/>
        </w:rPr>
      </w:pPr>
    </w:p>
    <w:p w14:paraId="48F10369" w14:textId="32AB0EB6"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Няма доказателства за мутагенен, кластогенен или канцерогенен ефект.</w:t>
      </w:r>
    </w:p>
    <w:p w14:paraId="0F703D54" w14:textId="77777777" w:rsidR="007C4AAC" w:rsidRDefault="007C4AAC" w:rsidP="007C4AAC">
      <w:pPr>
        <w:rPr>
          <w:rFonts w:eastAsia="Times New Roman" w:cs="Arial"/>
          <w:color w:val="000000"/>
          <w:lang w:eastAsia="bg-BG"/>
        </w:rPr>
      </w:pPr>
    </w:p>
    <w:p w14:paraId="5DB74A3D" w14:textId="77777777" w:rsidR="007C4AAC" w:rsidRPr="007C4AAC" w:rsidRDefault="007C4AAC" w:rsidP="007C4AAC">
      <w:pPr>
        <w:rPr>
          <w:rFonts w:ascii="Times New Roman" w:eastAsia="Times New Roman" w:hAnsi="Times New Roman" w:cs="Times New Roman"/>
        </w:rPr>
      </w:pPr>
      <w:r w:rsidRPr="007C4AAC">
        <w:rPr>
          <w:rFonts w:eastAsia="Times New Roman" w:cs="Arial"/>
          <w:color w:val="000000"/>
          <w:lang w:eastAsia="bg-BG"/>
        </w:rPr>
        <w:t>При проведени проучвания с животни е било установено, че ирбесартан предизвиква преходни</w:t>
      </w:r>
      <w:r w:rsidRPr="007C4AAC">
        <w:rPr>
          <w:rFonts w:eastAsia="Times New Roman" w:cs="Arial"/>
          <w:b/>
          <w:bCs/>
          <w:color w:val="000000"/>
          <w:w w:val="80"/>
          <w:lang w:eastAsia="bg-BG"/>
        </w:rPr>
        <w:t xml:space="preserve"> </w:t>
      </w:r>
      <w:r w:rsidRPr="007C4AAC">
        <w:rPr>
          <w:rFonts w:eastAsia="Times New Roman" w:cs="Arial"/>
          <w:color w:val="000000"/>
          <w:lang w:eastAsia="bg-BG"/>
        </w:rPr>
        <w:t>токсични промени (увеличено бъбречно легенче, хидроуретер или подкожен едем) при фетуси</w:t>
      </w:r>
      <w:r>
        <w:rPr>
          <w:rFonts w:eastAsia="Times New Roman" w:cs="Arial"/>
          <w:color w:val="000000"/>
          <w:lang w:eastAsia="bg-BG"/>
        </w:rPr>
        <w:t xml:space="preserve"> </w:t>
      </w:r>
      <w:r w:rsidRPr="007C4AAC">
        <w:rPr>
          <w:rFonts w:eastAsia="Times New Roman" w:cs="Arial"/>
          <w:color w:val="000000"/>
          <w:lang w:eastAsia="bg-BG"/>
        </w:rPr>
        <w:t>на плъх, които изчезват след раждането. При зайци се наблюдава аборт или ранна резорбция в дози, предизвикващи значителна токсичност при майките, включително и смърт. При плъхове и зайци не се наблюдават тератогенни ефекти.</w:t>
      </w:r>
    </w:p>
    <w:p w14:paraId="4719B17B" w14:textId="77777777" w:rsidR="007C4AAC" w:rsidRPr="007C4AAC" w:rsidRDefault="007C4AAC" w:rsidP="007C4AAC">
      <w:pPr>
        <w:spacing w:line="240" w:lineRule="auto"/>
        <w:rPr>
          <w:rFonts w:eastAsia="Times New Roman" w:cs="Arial"/>
          <w:color w:val="000000"/>
          <w:u w:val="single"/>
          <w:lang w:eastAsia="bg-BG"/>
        </w:rPr>
      </w:pPr>
    </w:p>
    <w:p w14:paraId="5BA7E22C" w14:textId="5AFD6BB4"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u w:val="single"/>
          <w:lang w:eastAsia="bg-BG"/>
        </w:rPr>
        <w:t>Хидрохлоротиазид</w:t>
      </w:r>
    </w:p>
    <w:p w14:paraId="529C8DEC" w14:textId="77777777"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При някои експериментални модели са получени несигурни данни за генотоксичен или канцерогенен ефект, но опита с употребата на хидрохлоротиазид при хора не е показал връзка между употребата му и нарастване на честотата на поява на неоплазми.</w:t>
      </w:r>
    </w:p>
    <w:p w14:paraId="550CC41E" w14:textId="5FED6880" w:rsidR="007C4AAC" w:rsidRPr="007C4AAC" w:rsidRDefault="007C4AAC" w:rsidP="007C4AAC"/>
    <w:p w14:paraId="6A7820AB" w14:textId="3FBA9466" w:rsidR="008A6AF2" w:rsidRDefault="002C50EE" w:rsidP="00395555">
      <w:pPr>
        <w:pStyle w:val="Heading1"/>
      </w:pPr>
      <w:r>
        <w:t>7. ПРИТЕЖАТЕЛ НА РАЗРЕШЕНИЕТО ЗА УПОТРЕБА</w:t>
      </w:r>
    </w:p>
    <w:p w14:paraId="73DBE94A" w14:textId="5691ACB9" w:rsidR="007C4AAC" w:rsidRDefault="007C4AAC" w:rsidP="007C4AAC"/>
    <w:p w14:paraId="07BFA250" w14:textId="77777777" w:rsidR="007C4AAC" w:rsidRDefault="007C4AAC" w:rsidP="007C4AAC">
      <w:pPr>
        <w:rPr>
          <w:lang w:eastAsia="bg-BG"/>
        </w:rPr>
      </w:pPr>
      <w:r w:rsidRPr="007C4AAC">
        <w:rPr>
          <w:lang w:eastAsia="bg-BG"/>
        </w:rPr>
        <w:t xml:space="preserve">НОБЕЛ ФАРМА ЕООД </w:t>
      </w:r>
    </w:p>
    <w:p w14:paraId="0E549EC3" w14:textId="77777777" w:rsidR="007C4AAC" w:rsidRDefault="007C4AAC" w:rsidP="007C4AAC">
      <w:pPr>
        <w:rPr>
          <w:lang w:eastAsia="bg-BG"/>
        </w:rPr>
      </w:pPr>
      <w:r w:rsidRPr="007C4AAC">
        <w:rPr>
          <w:lang w:eastAsia="bg-BG"/>
        </w:rPr>
        <w:t xml:space="preserve">Околовръстен път № 36 </w:t>
      </w:r>
    </w:p>
    <w:p w14:paraId="5BCEDC37" w14:textId="5DC29ED8" w:rsidR="007C4AAC" w:rsidRPr="007C4AAC" w:rsidRDefault="007C4AAC" w:rsidP="007C4AAC">
      <w:pPr>
        <w:rPr>
          <w:rFonts w:ascii="Times New Roman" w:hAnsi="Times New Roman" w:cs="Times New Roman"/>
          <w:sz w:val="24"/>
          <w:szCs w:val="24"/>
        </w:rPr>
      </w:pPr>
      <w:r w:rsidRPr="007C4AAC">
        <w:rPr>
          <w:lang w:eastAsia="bg-BG"/>
        </w:rPr>
        <w:t>1415 София, България</w:t>
      </w:r>
    </w:p>
    <w:p w14:paraId="2D9C2454" w14:textId="77777777" w:rsidR="007C4AAC" w:rsidRPr="007C4AAC" w:rsidRDefault="007C4AAC" w:rsidP="007C4AAC"/>
    <w:p w14:paraId="04840D59" w14:textId="5F5B4D98" w:rsidR="002C50EE" w:rsidRDefault="002C50EE" w:rsidP="00395555">
      <w:pPr>
        <w:pStyle w:val="Heading1"/>
      </w:pPr>
      <w:r>
        <w:lastRenderedPageBreak/>
        <w:t>8. НОМЕР НА РАЗРЕШЕНИЕТО ЗА УПОТРЕБА</w:t>
      </w:r>
    </w:p>
    <w:p w14:paraId="4CBCA73F" w14:textId="7C68EC5B" w:rsidR="007C4AAC" w:rsidRDefault="007C4AAC" w:rsidP="007C4AAC"/>
    <w:p w14:paraId="60406268" w14:textId="5D6A3D08" w:rsidR="007C4AAC" w:rsidRPr="007C4AAC" w:rsidRDefault="007C4AAC" w:rsidP="007C4AAC">
      <w:r>
        <w:rPr>
          <w:lang w:val="en-US"/>
        </w:rPr>
        <w:t>Per</w:t>
      </w:r>
      <w:r w:rsidRPr="007C4AAC">
        <w:rPr>
          <w:lang w:val="ru-RU"/>
        </w:rPr>
        <w:t xml:space="preserve">. </w:t>
      </w:r>
      <w:r>
        <w:t>№20130010</w:t>
      </w:r>
    </w:p>
    <w:p w14:paraId="2CCB5832" w14:textId="4FB43EA9" w:rsidR="007C605B" w:rsidRDefault="002C50EE" w:rsidP="007C605B">
      <w:pPr>
        <w:pStyle w:val="Heading1"/>
      </w:pPr>
      <w:r>
        <w:t>9. ДАТА НА ПЪРВО РАЗРЕШАВАНЕ/ПОДНОВЯВАНЕ НА РАЗРЕШЕНИЕТО ЗА УПОТРЕБА</w:t>
      </w:r>
    </w:p>
    <w:p w14:paraId="50D4C2AB" w14:textId="0D3CFBD5" w:rsidR="007C4AAC" w:rsidRDefault="007C4AAC" w:rsidP="007C4AAC"/>
    <w:p w14:paraId="7795C875" w14:textId="761B6F74" w:rsidR="007C4AAC" w:rsidRPr="007C4AAC" w:rsidRDefault="007C4AAC" w:rsidP="007C4AAC">
      <w:r>
        <w:t>04.01.2013 г.</w:t>
      </w:r>
    </w:p>
    <w:p w14:paraId="0E9D0119" w14:textId="0245C6D7" w:rsidR="002C50EE" w:rsidRDefault="002C50EE" w:rsidP="002C50EE">
      <w:pPr>
        <w:pStyle w:val="Heading1"/>
      </w:pPr>
      <w:r>
        <w:t>10. ДАТА НА АКТУАЛИЗИРАНЕ НА ТЕКСТА</w:t>
      </w:r>
    </w:p>
    <w:bookmarkEnd w:id="0"/>
    <w:p w14:paraId="43FB38A2" w14:textId="0596D75E" w:rsidR="007C605B" w:rsidRPr="002B0A88" w:rsidRDefault="007C4AAC" w:rsidP="007C4AAC">
      <w:pPr>
        <w:rPr>
          <w:sz w:val="24"/>
          <w:szCs w:val="24"/>
        </w:rPr>
      </w:pPr>
      <w:r>
        <w:t>12.2017 г.</w:t>
      </w:r>
      <w:bookmarkStart w:id="4" w:name="_GoBack"/>
      <w:bookmarkEnd w:id="4"/>
    </w:p>
    <w:sectPr w:rsidR="007C605B" w:rsidRPr="002B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46DE1"/>
    <w:multiLevelType w:val="hybridMultilevel"/>
    <w:tmpl w:val="559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62C27"/>
    <w:multiLevelType w:val="hybridMultilevel"/>
    <w:tmpl w:val="401C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BD4F54"/>
    <w:multiLevelType w:val="hybridMultilevel"/>
    <w:tmpl w:val="089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B4F12"/>
    <w:multiLevelType w:val="hybridMultilevel"/>
    <w:tmpl w:val="8DBE40A4"/>
    <w:lvl w:ilvl="0" w:tplc="994C8882">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3204DB"/>
    <w:multiLevelType w:val="hybridMultilevel"/>
    <w:tmpl w:val="436CFF7C"/>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66976"/>
    <w:multiLevelType w:val="hybridMultilevel"/>
    <w:tmpl w:val="23D4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CA0D39"/>
    <w:multiLevelType w:val="hybridMultilevel"/>
    <w:tmpl w:val="DDBC2572"/>
    <w:lvl w:ilvl="0" w:tplc="994C8882">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0"/>
  </w:num>
  <w:num w:numId="12">
    <w:abstractNumId w:val="13"/>
  </w:num>
  <w:num w:numId="13">
    <w:abstractNumId w:val="19"/>
  </w:num>
  <w:num w:numId="14">
    <w:abstractNumId w:val="11"/>
  </w:num>
  <w:num w:numId="15">
    <w:abstractNumId w:val="29"/>
  </w:num>
  <w:num w:numId="16">
    <w:abstractNumId w:val="9"/>
  </w:num>
  <w:num w:numId="17">
    <w:abstractNumId w:val="25"/>
  </w:num>
  <w:num w:numId="18">
    <w:abstractNumId w:val="7"/>
  </w:num>
  <w:num w:numId="19">
    <w:abstractNumId w:val="27"/>
  </w:num>
  <w:num w:numId="20">
    <w:abstractNumId w:val="24"/>
  </w:num>
  <w:num w:numId="21">
    <w:abstractNumId w:val="17"/>
  </w:num>
  <w:num w:numId="22">
    <w:abstractNumId w:val="26"/>
  </w:num>
  <w:num w:numId="23">
    <w:abstractNumId w:val="18"/>
  </w:num>
  <w:num w:numId="24">
    <w:abstractNumId w:val="8"/>
  </w:num>
  <w:num w:numId="25">
    <w:abstractNumId w:val="23"/>
  </w:num>
  <w:num w:numId="26">
    <w:abstractNumId w:val="22"/>
  </w:num>
  <w:num w:numId="27">
    <w:abstractNumId w:val="35"/>
  </w:num>
  <w:num w:numId="28">
    <w:abstractNumId w:val="6"/>
  </w:num>
  <w:num w:numId="29">
    <w:abstractNumId w:val="21"/>
  </w:num>
  <w:num w:numId="30">
    <w:abstractNumId w:val="37"/>
  </w:num>
  <w:num w:numId="31">
    <w:abstractNumId w:val="5"/>
  </w:num>
  <w:num w:numId="32">
    <w:abstractNumId w:val="14"/>
  </w:num>
  <w:num w:numId="33">
    <w:abstractNumId w:val="31"/>
  </w:num>
  <w:num w:numId="34">
    <w:abstractNumId w:val="34"/>
  </w:num>
  <w:num w:numId="35">
    <w:abstractNumId w:val="20"/>
  </w:num>
  <w:num w:numId="36">
    <w:abstractNumId w:val="32"/>
  </w:num>
  <w:num w:numId="37">
    <w:abstractNumId w:val="3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0A88"/>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4AAC"/>
    <w:rsid w:val="007C605B"/>
    <w:rsid w:val="00814073"/>
    <w:rsid w:val="00826F0D"/>
    <w:rsid w:val="00893B92"/>
    <w:rsid w:val="008A6AF2"/>
    <w:rsid w:val="008C70A2"/>
    <w:rsid w:val="009773E4"/>
    <w:rsid w:val="009B171C"/>
    <w:rsid w:val="009F1313"/>
    <w:rsid w:val="00A20351"/>
    <w:rsid w:val="00AA23EC"/>
    <w:rsid w:val="00AC3E5C"/>
    <w:rsid w:val="00AC63CE"/>
    <w:rsid w:val="00AE2107"/>
    <w:rsid w:val="00B275A8"/>
    <w:rsid w:val="00BF2600"/>
    <w:rsid w:val="00C0049F"/>
    <w:rsid w:val="00C07B84"/>
    <w:rsid w:val="00C33464"/>
    <w:rsid w:val="00C809A7"/>
    <w:rsid w:val="00C83063"/>
    <w:rsid w:val="00C87E90"/>
    <w:rsid w:val="00CA1B57"/>
    <w:rsid w:val="00D86297"/>
    <w:rsid w:val="00DD466D"/>
    <w:rsid w:val="00DF4C8E"/>
    <w:rsid w:val="00EB6364"/>
    <w:rsid w:val="00F37B64"/>
    <w:rsid w:val="00F444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7025</Words>
  <Characters>40049</Characters>
  <Application>Microsoft Office Word</Application>
  <DocSecurity>0</DocSecurity>
  <Lines>333</Lines>
  <Paragraphs>93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SATHealth-Guest</cp:lastModifiedBy>
  <cp:revision>2</cp:revision>
  <dcterms:created xsi:type="dcterms:W3CDTF">2022-04-04T07:42:00Z</dcterms:created>
  <dcterms:modified xsi:type="dcterms:W3CDTF">2022-04-04T07:42:00Z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