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Pr="00424500" w:rsidRDefault="002C50EE" w:rsidP="002C50EE">
      <w:pPr>
        <w:pStyle w:val="Heading1"/>
        <w:jc w:val="center"/>
      </w:pPr>
      <w:bookmarkStart w:id="0" w:name="_Hlk63124480"/>
      <w:r w:rsidRPr="00424500">
        <w:t>КРАТКА ХАРАКТЕРИСТИКА НА ПРОДУКТА</w:t>
      </w:r>
    </w:p>
    <w:p w14:paraId="2BE34EF6" w14:textId="10C43087" w:rsidR="007122AD" w:rsidRPr="00424500" w:rsidRDefault="00DD466D" w:rsidP="00936AD0">
      <w:pPr>
        <w:pStyle w:val="Heading1"/>
      </w:pPr>
      <w:r w:rsidRPr="00424500">
        <w:t>1.ИМЕ НА ЛЕКАРСТВЕНИЯ ПРОДУКТ</w:t>
      </w:r>
    </w:p>
    <w:p w14:paraId="518677D8" w14:textId="2EB07A47" w:rsidR="00DF3D99" w:rsidRPr="00424500" w:rsidRDefault="00DF3D99" w:rsidP="00DF3D99"/>
    <w:p w14:paraId="1964DC31" w14:textId="77777777" w:rsidR="00DF3D99" w:rsidRPr="00424500" w:rsidRDefault="00DF3D99" w:rsidP="00DF3D99">
      <w:pPr>
        <w:rPr>
          <w:sz w:val="24"/>
          <w:szCs w:val="24"/>
        </w:rPr>
      </w:pPr>
      <w:r w:rsidRPr="00424500">
        <w:rPr>
          <w:lang w:eastAsia="bg-BG"/>
        </w:rPr>
        <w:t>Ко-</w:t>
      </w:r>
      <w:proofErr w:type="spellStart"/>
      <w:r w:rsidRPr="00424500">
        <w:rPr>
          <w:lang w:eastAsia="bg-BG"/>
        </w:rPr>
        <w:t>Ирбесо</w:t>
      </w:r>
      <w:proofErr w:type="spellEnd"/>
      <w:r w:rsidRPr="00424500">
        <w:rPr>
          <w:lang w:eastAsia="bg-BG"/>
        </w:rPr>
        <w:t xml:space="preserve"> 150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филмирани таблетки</w:t>
      </w:r>
    </w:p>
    <w:p w14:paraId="4D6015C6" w14:textId="77777777" w:rsidR="00DF3D99" w:rsidRPr="00424500" w:rsidRDefault="00DF3D99" w:rsidP="00DF3D99">
      <w:pPr>
        <w:rPr>
          <w:sz w:val="24"/>
          <w:szCs w:val="24"/>
        </w:rPr>
      </w:pPr>
      <w:r w:rsidRPr="00424500">
        <w:rPr>
          <w:lang w:eastAsia="bg-BG"/>
        </w:rPr>
        <w:t>Ко-</w:t>
      </w:r>
      <w:proofErr w:type="spellStart"/>
      <w:r w:rsidRPr="00424500">
        <w:rPr>
          <w:lang w:eastAsia="bg-BG"/>
        </w:rPr>
        <w:t>Ирбесо</w:t>
      </w:r>
      <w:proofErr w:type="spellEnd"/>
      <w:r w:rsidRPr="00424500">
        <w:rPr>
          <w:lang w:eastAsia="bg-BG"/>
        </w:rPr>
        <w:t xml:space="preserve"> 300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филмирани таблетки</w:t>
      </w:r>
    </w:p>
    <w:p w14:paraId="264127D9" w14:textId="77777777" w:rsidR="00DF3D99" w:rsidRPr="00424500" w:rsidRDefault="00DF3D99" w:rsidP="00DF3D99"/>
    <w:p w14:paraId="7A301BD3" w14:textId="34150A84" w:rsidR="00DF3D99" w:rsidRPr="00424500" w:rsidRDefault="00DF3D99" w:rsidP="00DF3D99">
      <w:pPr>
        <w:rPr>
          <w:sz w:val="24"/>
          <w:szCs w:val="24"/>
        </w:rPr>
      </w:pPr>
      <w:r w:rsidRPr="00424500">
        <w:t>Co-</w:t>
      </w:r>
      <w:proofErr w:type="spellStart"/>
      <w:r w:rsidRPr="00424500">
        <w:t>Irbesso</w:t>
      </w:r>
      <w:proofErr w:type="spellEnd"/>
      <w:r w:rsidRPr="00424500">
        <w:t xml:space="preserve"> </w:t>
      </w:r>
      <w:r w:rsidRPr="00424500">
        <w:rPr>
          <w:lang w:eastAsia="bg-BG"/>
        </w:rPr>
        <w:t xml:space="preserve">150 </w:t>
      </w:r>
      <w:proofErr w:type="spellStart"/>
      <w:r w:rsidRPr="00424500">
        <w:t>mg</w:t>
      </w:r>
      <w:proofErr w:type="spellEnd"/>
      <w:r w:rsidRPr="00424500">
        <w:t xml:space="preserve">/12,5 </w:t>
      </w:r>
      <w:proofErr w:type="spellStart"/>
      <w:r w:rsidRPr="00424500">
        <w:t>mg</w:t>
      </w:r>
      <w:proofErr w:type="spellEnd"/>
      <w:r w:rsidRPr="00424500">
        <w:t xml:space="preserve"> </w:t>
      </w:r>
      <w:proofErr w:type="spellStart"/>
      <w:r w:rsidRPr="00424500">
        <w:t>film-coated</w:t>
      </w:r>
      <w:proofErr w:type="spellEnd"/>
      <w:r w:rsidRPr="00424500">
        <w:t xml:space="preserve"> </w:t>
      </w:r>
      <w:proofErr w:type="spellStart"/>
      <w:r w:rsidRPr="00424500">
        <w:t>tablets</w:t>
      </w:r>
      <w:proofErr w:type="spellEnd"/>
    </w:p>
    <w:p w14:paraId="434FC358" w14:textId="22A8781F" w:rsidR="00DF3D99" w:rsidRPr="00424500" w:rsidRDefault="00DF3D99" w:rsidP="00DF3D99">
      <w:r w:rsidRPr="00424500">
        <w:t>Co-</w:t>
      </w:r>
      <w:proofErr w:type="spellStart"/>
      <w:r w:rsidRPr="00424500">
        <w:t>lrbesso</w:t>
      </w:r>
      <w:proofErr w:type="spellEnd"/>
      <w:r w:rsidRPr="00424500">
        <w:t xml:space="preserve"> 300 </w:t>
      </w:r>
      <w:proofErr w:type="spellStart"/>
      <w:r w:rsidRPr="00424500">
        <w:t>mg</w:t>
      </w:r>
      <w:proofErr w:type="spellEnd"/>
      <w:r w:rsidRPr="00424500">
        <w:t xml:space="preserve">/12,5 </w:t>
      </w:r>
      <w:proofErr w:type="spellStart"/>
      <w:r w:rsidRPr="00424500">
        <w:t>mg</w:t>
      </w:r>
      <w:proofErr w:type="spellEnd"/>
      <w:r w:rsidRPr="00424500">
        <w:t xml:space="preserve"> </w:t>
      </w:r>
      <w:proofErr w:type="spellStart"/>
      <w:r w:rsidRPr="00424500">
        <w:t>film-coated</w:t>
      </w:r>
      <w:proofErr w:type="spellEnd"/>
      <w:r w:rsidRPr="00424500">
        <w:t xml:space="preserve"> </w:t>
      </w:r>
      <w:proofErr w:type="spellStart"/>
      <w:r w:rsidRPr="00424500">
        <w:t>tablets</w:t>
      </w:r>
      <w:proofErr w:type="spellEnd"/>
    </w:p>
    <w:p w14:paraId="6920A680" w14:textId="2CA264A8" w:rsidR="00C40420" w:rsidRPr="00424500" w:rsidRDefault="00DD466D" w:rsidP="004A448E">
      <w:pPr>
        <w:pStyle w:val="Heading1"/>
      </w:pPr>
      <w:r w:rsidRPr="00424500">
        <w:t>2. КАЧЕСТВЕН И КОЛИЧЕСТВЕН СЪСТАВ</w:t>
      </w:r>
    </w:p>
    <w:p w14:paraId="6CFC5D0A" w14:textId="288A4AEF" w:rsidR="00DF3D99" w:rsidRPr="00424500" w:rsidRDefault="00DF3D99" w:rsidP="00DF3D99"/>
    <w:p w14:paraId="08E53E08"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u w:val="single"/>
          <w:lang w:eastAsia="bg-BG"/>
        </w:rPr>
        <w:t>Ко-</w:t>
      </w:r>
      <w:proofErr w:type="spellStart"/>
      <w:r w:rsidRPr="00424500">
        <w:rPr>
          <w:rFonts w:eastAsia="Times New Roman" w:cs="Arial"/>
          <w:color w:val="000000"/>
          <w:szCs w:val="18"/>
          <w:u w:val="single"/>
          <w:lang w:eastAsia="bg-BG"/>
        </w:rPr>
        <w:t>Ирбесо</w:t>
      </w:r>
      <w:proofErr w:type="spellEnd"/>
      <w:r w:rsidRPr="00424500">
        <w:rPr>
          <w:rFonts w:eastAsia="Times New Roman" w:cs="Arial"/>
          <w:color w:val="000000"/>
          <w:szCs w:val="18"/>
          <w:u w:val="single"/>
          <w:lang w:eastAsia="bg-BG"/>
        </w:rPr>
        <w:t xml:space="preserve"> 150 </w:t>
      </w:r>
      <w:proofErr w:type="spellStart"/>
      <w:r w:rsidRPr="00424500">
        <w:rPr>
          <w:rFonts w:eastAsia="Times New Roman" w:cs="Arial"/>
          <w:color w:val="000000"/>
          <w:szCs w:val="18"/>
          <w:u w:val="single"/>
        </w:rPr>
        <w:t>mg</w:t>
      </w:r>
      <w:proofErr w:type="spellEnd"/>
      <w:r w:rsidRPr="00424500">
        <w:rPr>
          <w:rFonts w:eastAsia="Times New Roman" w:cs="Arial"/>
          <w:color w:val="000000"/>
          <w:szCs w:val="18"/>
          <w:u w:val="single"/>
        </w:rPr>
        <w:t xml:space="preserve">/12,5 </w:t>
      </w:r>
      <w:proofErr w:type="spellStart"/>
      <w:r w:rsidRPr="00424500">
        <w:rPr>
          <w:rFonts w:eastAsia="Times New Roman" w:cs="Arial"/>
          <w:color w:val="000000"/>
          <w:szCs w:val="18"/>
          <w:u w:val="single"/>
        </w:rPr>
        <w:t>mg</w:t>
      </w:r>
      <w:proofErr w:type="spellEnd"/>
      <w:r w:rsidRPr="00424500">
        <w:rPr>
          <w:rFonts w:eastAsia="Times New Roman" w:cs="Arial"/>
          <w:color w:val="000000"/>
          <w:szCs w:val="18"/>
          <w:u w:val="single"/>
        </w:rPr>
        <w:t xml:space="preserve"> </w:t>
      </w:r>
      <w:r w:rsidRPr="00424500">
        <w:rPr>
          <w:rFonts w:eastAsia="Times New Roman" w:cs="Arial"/>
          <w:color w:val="000000"/>
          <w:szCs w:val="18"/>
          <w:u w:val="single"/>
          <w:lang w:eastAsia="bg-BG"/>
        </w:rPr>
        <w:t>филмирани таблетки:</w:t>
      </w:r>
    </w:p>
    <w:p w14:paraId="5D896214"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Всяка филмирана таблетка съдържа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w:t>
      </w:r>
      <w:r w:rsidRPr="00424500">
        <w:rPr>
          <w:rFonts w:eastAsia="Times New Roman" w:cs="Arial"/>
          <w:color w:val="000000"/>
          <w:szCs w:val="18"/>
        </w:rPr>
        <w:t>(</w:t>
      </w:r>
      <w:proofErr w:type="spellStart"/>
      <w:r w:rsidRPr="00424500">
        <w:rPr>
          <w:rFonts w:eastAsia="Times New Roman" w:cs="Arial"/>
          <w:color w:val="000000"/>
          <w:szCs w:val="18"/>
        </w:rPr>
        <w:t>irbesartan</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и 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хидрохлоротиазид </w:t>
      </w:r>
      <w:r w:rsidRPr="00424500">
        <w:rPr>
          <w:rFonts w:eastAsia="Times New Roman" w:cs="Arial"/>
          <w:color w:val="000000"/>
          <w:szCs w:val="18"/>
        </w:rPr>
        <w:t>(</w:t>
      </w:r>
      <w:proofErr w:type="spellStart"/>
      <w:r w:rsidRPr="00424500">
        <w:rPr>
          <w:rFonts w:eastAsia="Times New Roman" w:cs="Arial"/>
          <w:color w:val="000000"/>
          <w:szCs w:val="18"/>
        </w:rPr>
        <w:t>hydrochlorothiazide</w:t>
      </w:r>
      <w:proofErr w:type="spellEnd"/>
      <w:r w:rsidRPr="00424500">
        <w:rPr>
          <w:rFonts w:eastAsia="Times New Roman" w:cs="Arial"/>
          <w:color w:val="000000"/>
          <w:szCs w:val="18"/>
        </w:rPr>
        <w:t>).</w:t>
      </w:r>
    </w:p>
    <w:p w14:paraId="7A847F0D"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Помощно вещество с известно действие: Всяка таблетка съдържа 26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лактоза </w:t>
      </w:r>
      <w:proofErr w:type="spellStart"/>
      <w:r w:rsidRPr="00424500">
        <w:rPr>
          <w:rFonts w:eastAsia="Times New Roman" w:cs="Arial"/>
          <w:color w:val="000000"/>
          <w:szCs w:val="18"/>
          <w:lang w:eastAsia="bg-BG"/>
        </w:rPr>
        <w:t>монохидрат</w:t>
      </w:r>
      <w:proofErr w:type="spellEnd"/>
      <w:r w:rsidRPr="00424500">
        <w:rPr>
          <w:rFonts w:eastAsia="Times New Roman" w:cs="Arial"/>
          <w:color w:val="000000"/>
          <w:szCs w:val="18"/>
          <w:lang w:eastAsia="bg-BG"/>
        </w:rPr>
        <w:t>.</w:t>
      </w:r>
    </w:p>
    <w:p w14:paraId="44E93401" w14:textId="77777777" w:rsidR="00DF3D99" w:rsidRPr="00424500" w:rsidRDefault="00DF3D99" w:rsidP="00DF3D99">
      <w:pPr>
        <w:spacing w:line="240" w:lineRule="auto"/>
        <w:rPr>
          <w:rFonts w:eastAsia="Times New Roman" w:cs="Arial"/>
          <w:color w:val="000000"/>
          <w:szCs w:val="18"/>
          <w:u w:val="single"/>
          <w:lang w:eastAsia="bg-BG"/>
        </w:rPr>
      </w:pPr>
    </w:p>
    <w:p w14:paraId="480B1FE4" w14:textId="4C827C59"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u w:val="single"/>
          <w:lang w:eastAsia="bg-BG"/>
        </w:rPr>
        <w:t>Ко-</w:t>
      </w:r>
      <w:proofErr w:type="spellStart"/>
      <w:r w:rsidRPr="00424500">
        <w:rPr>
          <w:rFonts w:eastAsia="Times New Roman" w:cs="Arial"/>
          <w:color w:val="000000"/>
          <w:szCs w:val="18"/>
          <w:u w:val="single"/>
          <w:lang w:eastAsia="bg-BG"/>
        </w:rPr>
        <w:t>Ирбесо</w:t>
      </w:r>
      <w:proofErr w:type="spellEnd"/>
      <w:r w:rsidRPr="00424500">
        <w:rPr>
          <w:rFonts w:eastAsia="Times New Roman" w:cs="Arial"/>
          <w:color w:val="000000"/>
          <w:szCs w:val="18"/>
          <w:u w:val="single"/>
          <w:lang w:eastAsia="bg-BG"/>
        </w:rPr>
        <w:t xml:space="preserve"> 300 </w:t>
      </w:r>
      <w:proofErr w:type="spellStart"/>
      <w:r w:rsidRPr="00424500">
        <w:rPr>
          <w:rFonts w:eastAsia="Times New Roman" w:cs="Arial"/>
          <w:color w:val="000000"/>
          <w:szCs w:val="18"/>
          <w:u w:val="single"/>
        </w:rPr>
        <w:t>mg</w:t>
      </w:r>
      <w:proofErr w:type="spellEnd"/>
      <w:r w:rsidRPr="00424500">
        <w:rPr>
          <w:rFonts w:eastAsia="Times New Roman" w:cs="Arial"/>
          <w:color w:val="000000"/>
          <w:szCs w:val="18"/>
          <w:u w:val="single"/>
        </w:rPr>
        <w:t>/</w:t>
      </w:r>
      <w:r w:rsidRPr="00424500">
        <w:rPr>
          <w:rFonts w:eastAsia="Times New Roman" w:cs="Arial"/>
          <w:color w:val="000000"/>
          <w:szCs w:val="18"/>
          <w:u w:val="single"/>
          <w:lang w:eastAsia="bg-BG"/>
        </w:rPr>
        <w:t xml:space="preserve">12.5 </w:t>
      </w:r>
      <w:proofErr w:type="spellStart"/>
      <w:r w:rsidRPr="00424500">
        <w:rPr>
          <w:rFonts w:eastAsia="Times New Roman" w:cs="Arial"/>
          <w:color w:val="000000"/>
          <w:szCs w:val="18"/>
          <w:u w:val="single"/>
        </w:rPr>
        <w:t>mg</w:t>
      </w:r>
      <w:proofErr w:type="spellEnd"/>
      <w:r w:rsidRPr="00424500">
        <w:rPr>
          <w:rFonts w:eastAsia="Times New Roman" w:cs="Arial"/>
          <w:color w:val="000000"/>
          <w:szCs w:val="18"/>
          <w:u w:val="single"/>
        </w:rPr>
        <w:t xml:space="preserve"> </w:t>
      </w:r>
      <w:r w:rsidRPr="00424500">
        <w:rPr>
          <w:rFonts w:eastAsia="Times New Roman" w:cs="Arial"/>
          <w:color w:val="000000"/>
          <w:szCs w:val="18"/>
          <w:u w:val="single"/>
          <w:lang w:eastAsia="bg-BG"/>
        </w:rPr>
        <w:t>Филмирани таблетки:</w:t>
      </w:r>
    </w:p>
    <w:p w14:paraId="6DD34591"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Всяка филмирана таблетка съдържа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w:t>
      </w:r>
      <w:r w:rsidRPr="00424500">
        <w:rPr>
          <w:rFonts w:eastAsia="Times New Roman" w:cs="Arial"/>
          <w:color w:val="000000"/>
          <w:szCs w:val="18"/>
        </w:rPr>
        <w:t>(</w:t>
      </w:r>
      <w:proofErr w:type="spellStart"/>
      <w:r w:rsidRPr="00424500">
        <w:rPr>
          <w:rFonts w:eastAsia="Times New Roman" w:cs="Arial"/>
          <w:color w:val="000000"/>
          <w:szCs w:val="18"/>
        </w:rPr>
        <w:t>irbesartan</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и 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хидрохлоротиазид </w:t>
      </w:r>
      <w:r w:rsidRPr="00424500">
        <w:rPr>
          <w:rFonts w:eastAsia="Times New Roman" w:cs="Arial"/>
          <w:color w:val="000000"/>
          <w:szCs w:val="18"/>
        </w:rPr>
        <w:t>(</w:t>
      </w:r>
      <w:proofErr w:type="spellStart"/>
      <w:r w:rsidRPr="00424500">
        <w:rPr>
          <w:rFonts w:eastAsia="Times New Roman" w:cs="Arial"/>
          <w:color w:val="000000"/>
          <w:szCs w:val="18"/>
        </w:rPr>
        <w:t>hydrochlorothiazide</w:t>
      </w:r>
      <w:proofErr w:type="spellEnd"/>
      <w:r w:rsidRPr="00424500">
        <w:rPr>
          <w:rFonts w:eastAsia="Times New Roman" w:cs="Arial"/>
          <w:color w:val="000000"/>
          <w:szCs w:val="18"/>
        </w:rPr>
        <w:t>).</w:t>
      </w:r>
    </w:p>
    <w:p w14:paraId="5D20C06A"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Помощно вещество с известно действие: Всяка таблетка съдържа 52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лактоза </w:t>
      </w:r>
      <w:proofErr w:type="spellStart"/>
      <w:r w:rsidRPr="00424500">
        <w:rPr>
          <w:rFonts w:eastAsia="Times New Roman" w:cs="Arial"/>
          <w:color w:val="000000"/>
          <w:szCs w:val="18"/>
          <w:lang w:eastAsia="bg-BG"/>
        </w:rPr>
        <w:t>монохидрат</w:t>
      </w:r>
      <w:proofErr w:type="spellEnd"/>
      <w:r w:rsidRPr="00424500">
        <w:rPr>
          <w:rFonts w:eastAsia="Times New Roman" w:cs="Arial"/>
          <w:color w:val="000000"/>
          <w:szCs w:val="18"/>
          <w:lang w:eastAsia="bg-BG"/>
        </w:rPr>
        <w:t>.</w:t>
      </w:r>
    </w:p>
    <w:p w14:paraId="5C6987DE" w14:textId="77777777" w:rsidR="00DF3D99" w:rsidRPr="00424500" w:rsidRDefault="00DF3D99" w:rsidP="00DF3D99"/>
    <w:p w14:paraId="614984C4" w14:textId="2FD95CCF" w:rsidR="008A6AF2" w:rsidRPr="00424500" w:rsidRDefault="00DD466D" w:rsidP="002C50EE">
      <w:pPr>
        <w:pStyle w:val="Heading1"/>
      </w:pPr>
      <w:r w:rsidRPr="00424500">
        <w:t>3. ЛЕКАРСТВЕНА ФОРМА</w:t>
      </w:r>
    </w:p>
    <w:p w14:paraId="40CA4199" w14:textId="2A43609A" w:rsidR="00DF3D99" w:rsidRPr="00424500" w:rsidRDefault="00DF3D99" w:rsidP="00DF3D99"/>
    <w:p w14:paraId="40D0BA58" w14:textId="77777777" w:rsidR="00DF3D99" w:rsidRPr="00424500" w:rsidRDefault="00DF3D99" w:rsidP="00DF3D99">
      <w:pPr>
        <w:rPr>
          <w:sz w:val="24"/>
          <w:szCs w:val="24"/>
        </w:rPr>
      </w:pPr>
      <w:r w:rsidRPr="00424500">
        <w:rPr>
          <w:lang w:eastAsia="bg-BG"/>
        </w:rPr>
        <w:t>Филмирана таблетка.</w:t>
      </w:r>
    </w:p>
    <w:p w14:paraId="02DC71C6" w14:textId="77777777" w:rsidR="00DF3D99" w:rsidRPr="00424500" w:rsidRDefault="00DF3D99" w:rsidP="00DF3D99">
      <w:pPr>
        <w:rPr>
          <w:lang w:eastAsia="bg-BG"/>
        </w:rPr>
      </w:pPr>
    </w:p>
    <w:p w14:paraId="22899D4F" w14:textId="7E4D9F12" w:rsidR="00DF3D99" w:rsidRPr="00424500" w:rsidRDefault="00DF3D99" w:rsidP="00DF3D99">
      <w:pPr>
        <w:rPr>
          <w:sz w:val="24"/>
          <w:szCs w:val="24"/>
        </w:rPr>
      </w:pPr>
      <w:r w:rsidRPr="00424500">
        <w:rPr>
          <w:lang w:eastAsia="bg-BG"/>
        </w:rPr>
        <w:t>Ко-</w:t>
      </w:r>
      <w:proofErr w:type="spellStart"/>
      <w:r w:rsidRPr="00424500">
        <w:rPr>
          <w:lang w:eastAsia="bg-BG"/>
        </w:rPr>
        <w:t>Ирбесо</w:t>
      </w:r>
      <w:proofErr w:type="spellEnd"/>
      <w:r w:rsidRPr="00424500">
        <w:rPr>
          <w:lang w:eastAsia="bg-BG"/>
        </w:rPr>
        <w:t xml:space="preserve"> 150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 xml:space="preserve">филмирани таблетки са светлорозови, продълговати, двойноизпъкнали, с размери приблизително 14,1 </w:t>
      </w:r>
      <w:proofErr w:type="spellStart"/>
      <w:r w:rsidRPr="00424500">
        <w:rPr>
          <w:lang w:eastAsia="bg-BG"/>
        </w:rPr>
        <w:t>пип</w:t>
      </w:r>
      <w:proofErr w:type="spellEnd"/>
      <w:r w:rsidRPr="00424500">
        <w:rPr>
          <w:lang w:eastAsia="bg-BG"/>
        </w:rPr>
        <w:t xml:space="preserve"> х 8,1 </w:t>
      </w:r>
      <w:r w:rsidRPr="00424500">
        <w:t>mm.</w:t>
      </w:r>
    </w:p>
    <w:p w14:paraId="662A42B2" w14:textId="77777777" w:rsidR="00DF3D99" w:rsidRPr="00424500" w:rsidRDefault="00DF3D99" w:rsidP="00DF3D99">
      <w:pPr>
        <w:rPr>
          <w:lang w:eastAsia="bg-BG"/>
        </w:rPr>
      </w:pPr>
    </w:p>
    <w:p w14:paraId="1464A34A" w14:textId="73D8FB36" w:rsidR="00DF3D99" w:rsidRPr="00424500" w:rsidRDefault="00DF3D99" w:rsidP="00DF3D99">
      <w:pPr>
        <w:rPr>
          <w:sz w:val="24"/>
          <w:szCs w:val="24"/>
        </w:rPr>
      </w:pPr>
      <w:r w:rsidRPr="00424500">
        <w:rPr>
          <w:lang w:eastAsia="bg-BG"/>
        </w:rPr>
        <w:t>Ко-</w:t>
      </w:r>
      <w:proofErr w:type="spellStart"/>
      <w:r w:rsidRPr="00424500">
        <w:rPr>
          <w:lang w:eastAsia="bg-BG"/>
        </w:rPr>
        <w:t>Ирбесо</w:t>
      </w:r>
      <w:proofErr w:type="spellEnd"/>
      <w:r w:rsidRPr="00424500">
        <w:rPr>
          <w:lang w:eastAsia="bg-BG"/>
        </w:rPr>
        <w:t xml:space="preserve"> 300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 xml:space="preserve">филмирани таблетки са светлорозови, продълговати, двойноизпъкнали, с размери приблизително 17,5 </w:t>
      </w:r>
      <w:r w:rsidRPr="00424500">
        <w:t xml:space="preserve">mm </w:t>
      </w:r>
      <w:r w:rsidRPr="00424500">
        <w:rPr>
          <w:lang w:eastAsia="bg-BG"/>
        </w:rPr>
        <w:t xml:space="preserve">х 9,4 </w:t>
      </w:r>
      <w:r w:rsidRPr="00424500">
        <w:t>mm.</w:t>
      </w:r>
    </w:p>
    <w:p w14:paraId="75DDBB80" w14:textId="77777777" w:rsidR="00DF3D99" w:rsidRPr="00424500" w:rsidRDefault="00DF3D99" w:rsidP="00DF3D99"/>
    <w:p w14:paraId="490FC2C4" w14:textId="0F4A4A75" w:rsidR="002C50EE" w:rsidRPr="00424500" w:rsidRDefault="002C50EE" w:rsidP="002C50EE">
      <w:pPr>
        <w:pStyle w:val="Heading1"/>
      </w:pPr>
      <w:r w:rsidRPr="00424500">
        <w:t>4. КЛИНИЧНИ ДАННИ</w:t>
      </w:r>
    </w:p>
    <w:p w14:paraId="74330405" w14:textId="5E0572B3" w:rsidR="007122AD" w:rsidRPr="00424500" w:rsidRDefault="002C50EE" w:rsidP="00936AD0">
      <w:pPr>
        <w:pStyle w:val="Heading2"/>
      </w:pPr>
      <w:r w:rsidRPr="00424500">
        <w:t>4.1. Терапевтични показания</w:t>
      </w:r>
    </w:p>
    <w:p w14:paraId="120E1898" w14:textId="41D24859" w:rsidR="00DF3D99" w:rsidRPr="00424500" w:rsidRDefault="00DF3D99" w:rsidP="00DF3D99"/>
    <w:p w14:paraId="410E632C" w14:textId="77777777" w:rsidR="00DF3D99" w:rsidRPr="00424500" w:rsidRDefault="00DF3D99" w:rsidP="00DF3D99">
      <w:pPr>
        <w:rPr>
          <w:sz w:val="24"/>
          <w:szCs w:val="24"/>
        </w:rPr>
      </w:pPr>
      <w:r w:rsidRPr="00424500">
        <w:rPr>
          <w:lang w:eastAsia="bg-BG"/>
        </w:rPr>
        <w:t>Лечение на есенциална хипертония.</w:t>
      </w:r>
    </w:p>
    <w:p w14:paraId="59A10613" w14:textId="77777777" w:rsidR="00DF3D99" w:rsidRPr="00424500" w:rsidRDefault="00DF3D99" w:rsidP="00DF3D99">
      <w:pPr>
        <w:rPr>
          <w:lang w:eastAsia="bg-BG"/>
        </w:rPr>
      </w:pPr>
    </w:p>
    <w:p w14:paraId="5FFF57A5" w14:textId="61D23DFD" w:rsidR="00DF3D99" w:rsidRPr="00424500" w:rsidRDefault="00DF3D99" w:rsidP="00DF3D99">
      <w:pPr>
        <w:rPr>
          <w:sz w:val="24"/>
          <w:szCs w:val="24"/>
        </w:rPr>
      </w:pPr>
      <w:r w:rsidRPr="00424500">
        <w:rPr>
          <w:lang w:eastAsia="bg-BG"/>
        </w:rPr>
        <w:t xml:space="preserve">Тази фиксирана </w:t>
      </w:r>
      <w:proofErr w:type="spellStart"/>
      <w:r w:rsidRPr="00424500">
        <w:rPr>
          <w:lang w:eastAsia="bg-BG"/>
        </w:rPr>
        <w:t>дозова</w:t>
      </w:r>
      <w:proofErr w:type="spellEnd"/>
      <w:r w:rsidRPr="00424500">
        <w:rPr>
          <w:lang w:eastAsia="bg-BG"/>
        </w:rPr>
        <w:t xml:space="preserve"> комбинация е показана при възрастни пациенти, чисто кръвно налягане не е адекватно контролирано от самостоятелното приложение на </w:t>
      </w:r>
      <w:proofErr w:type="spellStart"/>
      <w:r w:rsidRPr="00424500">
        <w:rPr>
          <w:lang w:eastAsia="bg-BG"/>
        </w:rPr>
        <w:t>ирбесартан</w:t>
      </w:r>
      <w:proofErr w:type="spellEnd"/>
      <w:r w:rsidRPr="00424500">
        <w:rPr>
          <w:lang w:eastAsia="bg-BG"/>
        </w:rPr>
        <w:t xml:space="preserve"> или хидрохлоротиазид (вж. точка 5.1).</w:t>
      </w:r>
    </w:p>
    <w:p w14:paraId="3B2E62F6" w14:textId="77777777" w:rsidR="00DF3D99" w:rsidRPr="00424500" w:rsidRDefault="00DF3D99" w:rsidP="00DF3D99"/>
    <w:p w14:paraId="53F5B866" w14:textId="1172E7B6" w:rsidR="007122AD" w:rsidRPr="00424500" w:rsidRDefault="002C50EE" w:rsidP="00936AD0">
      <w:pPr>
        <w:pStyle w:val="Heading2"/>
      </w:pPr>
      <w:r w:rsidRPr="00424500">
        <w:lastRenderedPageBreak/>
        <w:t>4.2. Дозировка и начин на приложение</w:t>
      </w:r>
    </w:p>
    <w:p w14:paraId="002FFEAC" w14:textId="4C49BFE2" w:rsidR="00DF3D99" w:rsidRPr="00424500" w:rsidRDefault="00DF3D99" w:rsidP="00DF3D99"/>
    <w:p w14:paraId="281DF10B" w14:textId="77777777" w:rsidR="00DF3D99" w:rsidRPr="00424500" w:rsidRDefault="00DF3D99" w:rsidP="00DF3D99">
      <w:pPr>
        <w:pStyle w:val="Heading3"/>
        <w:rPr>
          <w:rFonts w:eastAsia="Times New Roman"/>
          <w:sz w:val="32"/>
          <w:u w:val="single"/>
        </w:rPr>
      </w:pPr>
      <w:r w:rsidRPr="00424500">
        <w:rPr>
          <w:rFonts w:eastAsia="Times New Roman"/>
          <w:u w:val="single"/>
          <w:lang w:eastAsia="bg-BG"/>
        </w:rPr>
        <w:t>Дозировка</w:t>
      </w:r>
    </w:p>
    <w:p w14:paraId="501DEB72" w14:textId="77777777" w:rsidR="00DF3D99" w:rsidRPr="00424500" w:rsidRDefault="00DF3D99" w:rsidP="00DF3D99">
      <w:pPr>
        <w:spacing w:line="240" w:lineRule="auto"/>
        <w:rPr>
          <w:rFonts w:eastAsia="Times New Roman" w:cs="Arial"/>
          <w:color w:val="000000"/>
          <w:szCs w:val="18"/>
          <w:lang w:eastAsia="bg-BG"/>
        </w:rPr>
      </w:pPr>
    </w:p>
    <w:p w14:paraId="1FB50618" w14:textId="372CE36F"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филмирани таблетки може да се приема веднъж или два пъти дневно, със или без храна.</w:t>
      </w:r>
    </w:p>
    <w:p w14:paraId="7EB78B0D"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филмирани таблетки може да се приема веднъж дневно, със или без храна.</w:t>
      </w:r>
    </w:p>
    <w:p w14:paraId="1C850C13" w14:textId="77777777" w:rsidR="00DF3D99" w:rsidRPr="00424500" w:rsidRDefault="00DF3D99" w:rsidP="00DF3D99">
      <w:pPr>
        <w:spacing w:line="240" w:lineRule="auto"/>
        <w:rPr>
          <w:rFonts w:eastAsia="Times New Roman" w:cs="Arial"/>
          <w:color w:val="000000"/>
          <w:szCs w:val="18"/>
          <w:lang w:eastAsia="bg-BG"/>
        </w:rPr>
      </w:pPr>
    </w:p>
    <w:p w14:paraId="625E64BC" w14:textId="5A4B799B"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Може да се препоръча титриране на дозата на отделните съставки (т.е.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хидрохлоротиазид).</w:t>
      </w:r>
    </w:p>
    <w:p w14:paraId="4453322B" w14:textId="26DE5141" w:rsidR="00DF3D99" w:rsidRPr="00424500" w:rsidRDefault="00DF3D99" w:rsidP="00DF3D99">
      <w:pPr>
        <w:rPr>
          <w:rFonts w:cs="Arial"/>
          <w:sz w:val="28"/>
        </w:rPr>
      </w:pPr>
    </w:p>
    <w:p w14:paraId="68685DEB"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Когато е клинично подходящо директното преминаване от </w:t>
      </w:r>
      <w:proofErr w:type="spellStart"/>
      <w:r w:rsidRPr="00424500">
        <w:rPr>
          <w:rFonts w:eastAsia="Times New Roman" w:cs="Arial"/>
          <w:color w:val="000000"/>
          <w:szCs w:val="18"/>
          <w:lang w:eastAsia="bg-BG"/>
        </w:rPr>
        <w:t>монотерапия</w:t>
      </w:r>
      <w:proofErr w:type="spellEnd"/>
      <w:r w:rsidRPr="00424500">
        <w:rPr>
          <w:rFonts w:eastAsia="Times New Roman" w:cs="Arial"/>
          <w:color w:val="000000"/>
          <w:szCs w:val="18"/>
          <w:lang w:eastAsia="bg-BG"/>
        </w:rPr>
        <w:t xml:space="preserve"> към фиксираните комбинации може да се има предвид следното:</w:t>
      </w:r>
    </w:p>
    <w:p w14:paraId="2A1284D7" w14:textId="77777777" w:rsidR="00DF3D99" w:rsidRPr="00424500" w:rsidRDefault="00DF3D99" w:rsidP="00DF3D99">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може да се прилага при пациенти, чието кръвно налягане не е адекватно контролирано със самостоятелното приложение на хидрохлоротиазид или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150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
    <w:p w14:paraId="08859177" w14:textId="675E5C94" w:rsidR="00DF3D99" w:rsidRPr="00424500" w:rsidRDefault="00DF3D99" w:rsidP="00DF3D99">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може да се прилага при пациенти, при които не е постигнат достатъчен контрол със самостоятелното приложение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или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
    <w:p w14:paraId="5892E36D" w14:textId="77777777" w:rsidR="00DF3D99" w:rsidRPr="00424500" w:rsidRDefault="00DF3D99" w:rsidP="00DF3D99">
      <w:pPr>
        <w:spacing w:line="240" w:lineRule="auto"/>
        <w:rPr>
          <w:rFonts w:eastAsia="Times New Roman" w:cs="Arial"/>
          <w:color w:val="000000"/>
          <w:szCs w:val="18"/>
          <w:lang w:eastAsia="bg-BG"/>
        </w:rPr>
      </w:pPr>
    </w:p>
    <w:p w14:paraId="072A2EF7" w14:textId="237EF53D"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Не се препоръчва еднократен дневен прием на дози по-високи от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хидрохлоротиазид. Този лекарствен продукт не е наличен в концентрация 300/25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но може да бъде използван продукт със същата концентрация от друг притежател на разрешение за употреба.</w:t>
      </w:r>
    </w:p>
    <w:p w14:paraId="23498C1D" w14:textId="77777777" w:rsidR="00DF3D99" w:rsidRPr="00424500" w:rsidRDefault="00DF3D99" w:rsidP="00DF3D99">
      <w:pPr>
        <w:spacing w:line="240" w:lineRule="auto"/>
        <w:rPr>
          <w:rFonts w:eastAsia="Times New Roman" w:cs="Arial"/>
          <w:color w:val="000000"/>
          <w:szCs w:val="18"/>
          <w:lang w:eastAsia="bg-BG"/>
        </w:rPr>
      </w:pPr>
    </w:p>
    <w:p w14:paraId="78587E10" w14:textId="162BA444"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Когато е необходимо,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може да бъде прилаган заедно с друг антихипертензивен лекарствен продукт (</w:t>
      </w:r>
      <w:proofErr w:type="spellStart"/>
      <w:r w:rsidRPr="00424500">
        <w:rPr>
          <w:rFonts w:eastAsia="Times New Roman" w:cs="Arial"/>
          <w:color w:val="000000"/>
          <w:szCs w:val="18"/>
          <w:lang w:eastAsia="bg-BG"/>
        </w:rPr>
        <w:t>вж</w:t>
      </w:r>
      <w:proofErr w:type="spellEnd"/>
      <w:r w:rsidRPr="00424500">
        <w:rPr>
          <w:rFonts w:eastAsia="Times New Roman" w:cs="Arial"/>
          <w:color w:val="000000"/>
          <w:szCs w:val="18"/>
          <w:lang w:eastAsia="bg-BG"/>
        </w:rPr>
        <w:t>, точки 4.3,</w:t>
      </w:r>
      <w:r w:rsidRPr="00424500">
        <w:rPr>
          <w:rFonts w:eastAsia="Times New Roman" w:cs="Arial"/>
          <w:color w:val="000000"/>
          <w:szCs w:val="18"/>
        </w:rPr>
        <w:t xml:space="preserve"> </w:t>
      </w:r>
      <w:r w:rsidRPr="00424500">
        <w:rPr>
          <w:rFonts w:eastAsia="Times New Roman" w:cs="Arial"/>
          <w:color w:val="000000"/>
          <w:szCs w:val="18"/>
          <w:lang w:eastAsia="bg-BG"/>
        </w:rPr>
        <w:t>4.4,</w:t>
      </w:r>
      <w:r w:rsidRPr="00424500">
        <w:rPr>
          <w:rFonts w:eastAsia="Times New Roman" w:cs="Arial"/>
          <w:color w:val="000000"/>
          <w:szCs w:val="18"/>
        </w:rPr>
        <w:t xml:space="preserve"> </w:t>
      </w:r>
      <w:r w:rsidRPr="00424500">
        <w:rPr>
          <w:rFonts w:eastAsia="Times New Roman" w:cs="Arial"/>
          <w:color w:val="000000"/>
          <w:szCs w:val="18"/>
          <w:lang w:eastAsia="bg-BG"/>
        </w:rPr>
        <w:t>4.5 и 5.1).</w:t>
      </w:r>
    </w:p>
    <w:p w14:paraId="6DB9E5E8" w14:textId="77777777" w:rsidR="00DF3D99" w:rsidRPr="00424500" w:rsidRDefault="00DF3D99" w:rsidP="00DF3D99">
      <w:pPr>
        <w:spacing w:line="240" w:lineRule="auto"/>
        <w:rPr>
          <w:rFonts w:eastAsia="Times New Roman" w:cs="Arial"/>
          <w:color w:val="000000"/>
          <w:szCs w:val="18"/>
          <w:u w:val="single"/>
          <w:lang w:eastAsia="bg-BG"/>
        </w:rPr>
      </w:pPr>
    </w:p>
    <w:p w14:paraId="75E91ED3" w14:textId="5790EBFB"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u w:val="single"/>
          <w:lang w:eastAsia="bg-BG"/>
        </w:rPr>
        <w:t>Специални популации</w:t>
      </w:r>
    </w:p>
    <w:p w14:paraId="4E89B68E" w14:textId="77777777" w:rsidR="00DF3D99" w:rsidRPr="00424500" w:rsidRDefault="00DF3D99" w:rsidP="00DF3D99">
      <w:pPr>
        <w:spacing w:line="240" w:lineRule="auto"/>
        <w:rPr>
          <w:rFonts w:eastAsia="Times New Roman" w:cs="Arial"/>
          <w:i/>
          <w:iCs/>
          <w:color w:val="000000"/>
          <w:szCs w:val="18"/>
          <w:lang w:eastAsia="bg-BG"/>
        </w:rPr>
      </w:pPr>
    </w:p>
    <w:p w14:paraId="0B507DF7" w14:textId="0FB5DA70" w:rsidR="00DF3D99" w:rsidRPr="00424500" w:rsidRDefault="00DF3D99" w:rsidP="00DF3D99">
      <w:pPr>
        <w:spacing w:line="240" w:lineRule="auto"/>
        <w:rPr>
          <w:rFonts w:eastAsia="Times New Roman" w:cs="Arial"/>
          <w:sz w:val="32"/>
          <w:szCs w:val="24"/>
        </w:rPr>
      </w:pPr>
      <w:r w:rsidRPr="00424500">
        <w:rPr>
          <w:rFonts w:eastAsia="Times New Roman" w:cs="Arial"/>
          <w:i/>
          <w:iCs/>
          <w:color w:val="000000"/>
          <w:szCs w:val="18"/>
          <w:lang w:eastAsia="bg-BG"/>
        </w:rPr>
        <w:t>Бъбречно увреждане</w:t>
      </w:r>
    </w:p>
    <w:p w14:paraId="27A7A19B" w14:textId="77777777" w:rsidR="00DF3D99" w:rsidRPr="00424500" w:rsidRDefault="00DF3D99" w:rsidP="00DF3D99">
      <w:pPr>
        <w:spacing w:line="240" w:lineRule="auto"/>
        <w:rPr>
          <w:rFonts w:eastAsia="Times New Roman" w:cs="Arial"/>
          <w:color w:val="000000"/>
          <w:szCs w:val="18"/>
          <w:lang w:eastAsia="bg-BG"/>
        </w:rPr>
      </w:pPr>
    </w:p>
    <w:p w14:paraId="29FD2334" w14:textId="142D4473"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Поради съдържанието на хидрохлоротиазид,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не се препоръчва при пациенти с тежка бъбречна дисфункция (</w:t>
      </w:r>
      <w:proofErr w:type="spellStart"/>
      <w:r w:rsidRPr="00424500">
        <w:rPr>
          <w:rFonts w:eastAsia="Times New Roman" w:cs="Arial"/>
          <w:color w:val="000000"/>
          <w:szCs w:val="18"/>
          <w:lang w:eastAsia="bg-BG"/>
        </w:rPr>
        <w:t>креатининов</w:t>
      </w:r>
      <w:proofErr w:type="spellEnd"/>
      <w:r w:rsidRPr="00424500">
        <w:rPr>
          <w:rFonts w:eastAsia="Times New Roman" w:cs="Arial"/>
          <w:color w:val="000000"/>
          <w:szCs w:val="18"/>
          <w:lang w:eastAsia="bg-BG"/>
        </w:rPr>
        <w:t xml:space="preserve"> клирънс &lt; 30 </w:t>
      </w:r>
      <w:r w:rsidRPr="00424500">
        <w:rPr>
          <w:rFonts w:eastAsia="Times New Roman" w:cs="Arial"/>
          <w:color w:val="000000"/>
          <w:szCs w:val="18"/>
        </w:rPr>
        <w:t>ml/</w:t>
      </w:r>
      <w:proofErr w:type="spellStart"/>
      <w:r w:rsidRPr="00424500">
        <w:rPr>
          <w:rFonts w:eastAsia="Times New Roman" w:cs="Arial"/>
          <w:color w:val="000000"/>
          <w:szCs w:val="18"/>
        </w:rPr>
        <w:t>min</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При тази група за предпочитане са </w:t>
      </w:r>
      <w:proofErr w:type="spellStart"/>
      <w:r w:rsidRPr="00424500">
        <w:rPr>
          <w:rFonts w:eastAsia="Times New Roman" w:cs="Arial"/>
          <w:color w:val="000000"/>
          <w:szCs w:val="18"/>
          <w:lang w:eastAsia="bg-BG"/>
        </w:rPr>
        <w:t>бримковите</w:t>
      </w:r>
      <w:proofErr w:type="spellEnd"/>
      <w:r w:rsidRPr="00424500">
        <w:rPr>
          <w:rFonts w:eastAsia="Times New Roman" w:cs="Arial"/>
          <w:color w:val="000000"/>
          <w:szCs w:val="18"/>
          <w:lang w:eastAsia="bg-BG"/>
        </w:rPr>
        <w:t xml:space="preserve">, вместо </w:t>
      </w:r>
      <w:proofErr w:type="spellStart"/>
      <w:r w:rsidRPr="00424500">
        <w:rPr>
          <w:rFonts w:eastAsia="Times New Roman" w:cs="Arial"/>
          <w:color w:val="000000"/>
          <w:szCs w:val="18"/>
          <w:lang w:eastAsia="bg-BG"/>
        </w:rPr>
        <w:t>тиазидните</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диуретици</w:t>
      </w:r>
      <w:proofErr w:type="spellEnd"/>
      <w:r w:rsidRPr="00424500">
        <w:rPr>
          <w:rFonts w:eastAsia="Times New Roman" w:cs="Arial"/>
          <w:color w:val="000000"/>
          <w:szCs w:val="18"/>
          <w:lang w:eastAsia="bg-BG"/>
        </w:rPr>
        <w:t xml:space="preserve">. Не е необходимо коригиране на дозата при пациенти с увредена бъбречна функция, чийто </w:t>
      </w:r>
      <w:proofErr w:type="spellStart"/>
      <w:r w:rsidRPr="00424500">
        <w:rPr>
          <w:rFonts w:eastAsia="Times New Roman" w:cs="Arial"/>
          <w:color w:val="000000"/>
          <w:szCs w:val="18"/>
          <w:lang w:eastAsia="bg-BG"/>
        </w:rPr>
        <w:t>креатининов</w:t>
      </w:r>
      <w:proofErr w:type="spellEnd"/>
      <w:r w:rsidRPr="00424500">
        <w:rPr>
          <w:rFonts w:eastAsia="Times New Roman" w:cs="Arial"/>
          <w:color w:val="000000"/>
          <w:szCs w:val="18"/>
          <w:lang w:eastAsia="bg-BG"/>
        </w:rPr>
        <w:t xml:space="preserve"> клирънс е ≥30 </w:t>
      </w:r>
      <w:r w:rsidRPr="00424500">
        <w:rPr>
          <w:rFonts w:eastAsia="Times New Roman" w:cs="Arial"/>
          <w:color w:val="000000"/>
          <w:szCs w:val="18"/>
        </w:rPr>
        <w:t>ml/</w:t>
      </w:r>
      <w:proofErr w:type="spellStart"/>
      <w:r w:rsidRPr="00424500">
        <w:rPr>
          <w:rFonts w:eastAsia="Times New Roman" w:cs="Arial"/>
          <w:color w:val="000000"/>
          <w:szCs w:val="18"/>
        </w:rPr>
        <w:t>min</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(вж. точки 4.3 и 4.4).</w:t>
      </w:r>
    </w:p>
    <w:p w14:paraId="546C9E50" w14:textId="77777777" w:rsidR="00DF3D99" w:rsidRPr="00424500" w:rsidRDefault="00DF3D99" w:rsidP="00DF3D99">
      <w:pPr>
        <w:spacing w:line="240" w:lineRule="auto"/>
        <w:rPr>
          <w:rFonts w:eastAsia="Times New Roman" w:cs="Arial"/>
          <w:i/>
          <w:iCs/>
          <w:color w:val="000000"/>
          <w:szCs w:val="18"/>
          <w:lang w:eastAsia="bg-BG"/>
        </w:rPr>
      </w:pPr>
    </w:p>
    <w:p w14:paraId="6F3C5DC0" w14:textId="64EF8921" w:rsidR="00DF3D99" w:rsidRPr="00424500" w:rsidRDefault="00DF3D99" w:rsidP="00DF3D99">
      <w:pPr>
        <w:spacing w:line="240" w:lineRule="auto"/>
        <w:rPr>
          <w:rFonts w:eastAsia="Times New Roman" w:cs="Arial"/>
          <w:sz w:val="32"/>
          <w:szCs w:val="24"/>
        </w:rPr>
      </w:pPr>
      <w:r w:rsidRPr="00424500">
        <w:rPr>
          <w:rFonts w:eastAsia="Times New Roman" w:cs="Arial"/>
          <w:i/>
          <w:iCs/>
          <w:color w:val="000000"/>
          <w:szCs w:val="18"/>
          <w:lang w:eastAsia="bg-BG"/>
        </w:rPr>
        <w:t>Чернодробно увреждане</w:t>
      </w:r>
    </w:p>
    <w:p w14:paraId="01AD3BA7" w14:textId="77777777" w:rsidR="00DF3D99" w:rsidRPr="00424500" w:rsidRDefault="00DF3D99" w:rsidP="00DF3D99">
      <w:pPr>
        <w:spacing w:line="240" w:lineRule="auto"/>
        <w:rPr>
          <w:rFonts w:eastAsia="Times New Roman" w:cs="Arial"/>
          <w:color w:val="000000"/>
          <w:szCs w:val="18"/>
          <w:lang w:eastAsia="bg-BG"/>
        </w:rPr>
      </w:pPr>
    </w:p>
    <w:p w14:paraId="79E5831C" w14:textId="66024F68"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не е показан при пациенти с тежко чернодробно увреждане. Необходимо е повишено внимание при приложението на </w:t>
      </w:r>
      <w:proofErr w:type="spellStart"/>
      <w:r w:rsidRPr="00424500">
        <w:rPr>
          <w:rFonts w:eastAsia="Times New Roman" w:cs="Arial"/>
          <w:color w:val="000000"/>
          <w:szCs w:val="18"/>
          <w:lang w:eastAsia="bg-BG"/>
        </w:rPr>
        <w:t>тиазиди</w:t>
      </w:r>
      <w:proofErr w:type="spellEnd"/>
      <w:r w:rsidRPr="00424500">
        <w:rPr>
          <w:rFonts w:eastAsia="Times New Roman" w:cs="Arial"/>
          <w:color w:val="000000"/>
          <w:szCs w:val="18"/>
          <w:lang w:eastAsia="bg-BG"/>
        </w:rPr>
        <w:t xml:space="preserve"> при пациенти с увредена чернодробна функция. Не е необходимо коригиране на дозата при пациенти с леко до умерено чернодробно увреждане (вж. точка 4.3).</w:t>
      </w:r>
    </w:p>
    <w:p w14:paraId="48D34633" w14:textId="77777777" w:rsidR="00DF3D99" w:rsidRPr="00424500" w:rsidRDefault="00DF3D99" w:rsidP="00DF3D99">
      <w:pPr>
        <w:spacing w:line="240" w:lineRule="auto"/>
        <w:rPr>
          <w:rFonts w:eastAsia="Times New Roman" w:cs="Arial"/>
          <w:i/>
          <w:iCs/>
          <w:color w:val="000000"/>
          <w:szCs w:val="18"/>
          <w:lang w:eastAsia="bg-BG"/>
        </w:rPr>
      </w:pPr>
    </w:p>
    <w:p w14:paraId="74E3CCD1" w14:textId="6DD6143C" w:rsidR="00DF3D99" w:rsidRPr="00424500" w:rsidRDefault="00DF3D99" w:rsidP="00DF3D99">
      <w:pPr>
        <w:spacing w:line="240" w:lineRule="auto"/>
        <w:rPr>
          <w:rFonts w:eastAsia="Times New Roman" w:cs="Arial"/>
          <w:sz w:val="32"/>
          <w:szCs w:val="24"/>
        </w:rPr>
      </w:pPr>
      <w:r w:rsidRPr="00424500">
        <w:rPr>
          <w:rFonts w:eastAsia="Times New Roman" w:cs="Arial"/>
          <w:i/>
          <w:iCs/>
          <w:color w:val="000000"/>
          <w:szCs w:val="18"/>
          <w:lang w:eastAsia="bg-BG"/>
        </w:rPr>
        <w:t>Старческа възраст</w:t>
      </w:r>
    </w:p>
    <w:p w14:paraId="5C47010C" w14:textId="77777777" w:rsidR="00DF3D99" w:rsidRPr="00424500" w:rsidRDefault="00DF3D99" w:rsidP="00DF3D99">
      <w:pPr>
        <w:spacing w:line="240" w:lineRule="auto"/>
        <w:rPr>
          <w:rFonts w:eastAsia="Times New Roman" w:cs="Arial"/>
          <w:color w:val="000000"/>
          <w:szCs w:val="18"/>
          <w:lang w:eastAsia="bg-BG"/>
        </w:rPr>
      </w:pPr>
    </w:p>
    <w:p w14:paraId="623573AC" w14:textId="6C38DB6E"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Не се налага коригиране на дозата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при хора в старческа възраст.</w:t>
      </w:r>
    </w:p>
    <w:p w14:paraId="3C0E7B9D" w14:textId="77777777" w:rsidR="00DF3D99" w:rsidRPr="00424500" w:rsidRDefault="00DF3D99" w:rsidP="00DF3D99">
      <w:pPr>
        <w:spacing w:line="240" w:lineRule="auto"/>
        <w:rPr>
          <w:rFonts w:eastAsia="Times New Roman" w:cs="Arial"/>
          <w:i/>
          <w:iCs/>
          <w:color w:val="000000"/>
          <w:szCs w:val="18"/>
          <w:lang w:eastAsia="bg-BG"/>
        </w:rPr>
      </w:pPr>
    </w:p>
    <w:p w14:paraId="37A3702A" w14:textId="2B000D64" w:rsidR="00DF3D99" w:rsidRPr="00424500" w:rsidRDefault="00DF3D99" w:rsidP="00DF3D99">
      <w:pPr>
        <w:spacing w:line="240" w:lineRule="auto"/>
        <w:rPr>
          <w:rFonts w:eastAsia="Times New Roman" w:cs="Arial"/>
          <w:sz w:val="32"/>
          <w:szCs w:val="24"/>
        </w:rPr>
      </w:pPr>
      <w:r w:rsidRPr="00424500">
        <w:rPr>
          <w:rFonts w:eastAsia="Times New Roman" w:cs="Arial"/>
          <w:i/>
          <w:iCs/>
          <w:color w:val="000000"/>
          <w:szCs w:val="18"/>
          <w:lang w:eastAsia="bg-BG"/>
        </w:rPr>
        <w:lastRenderedPageBreak/>
        <w:t>Педиатрична популация</w:t>
      </w:r>
    </w:p>
    <w:p w14:paraId="44B5EA92" w14:textId="77777777" w:rsidR="00DF3D99" w:rsidRPr="00424500" w:rsidRDefault="00DF3D99" w:rsidP="00DF3D99">
      <w:pPr>
        <w:spacing w:line="240" w:lineRule="auto"/>
        <w:rPr>
          <w:rFonts w:eastAsia="Times New Roman" w:cs="Arial"/>
          <w:color w:val="000000"/>
          <w:szCs w:val="18"/>
          <w:lang w:eastAsia="bg-BG"/>
        </w:rPr>
      </w:pPr>
    </w:p>
    <w:p w14:paraId="7740BF2B" w14:textId="09F2DA86" w:rsidR="00DF3D99" w:rsidRPr="00424500" w:rsidRDefault="00DF3D99" w:rsidP="00DF3D99">
      <w:pPr>
        <w:spacing w:line="240" w:lineRule="auto"/>
        <w:rPr>
          <w:rFonts w:eastAsia="Times New Roman" w:cs="Arial"/>
          <w:color w:val="000000"/>
          <w:szCs w:val="18"/>
          <w:lang w:eastAsia="bg-BG"/>
        </w:rPr>
      </w:pPr>
      <w:r w:rsidRPr="00424500">
        <w:rPr>
          <w:rFonts w:eastAsia="Times New Roman" w:cs="Arial"/>
          <w:color w:val="000000"/>
          <w:szCs w:val="18"/>
          <w:lang w:eastAsia="bg-BG"/>
        </w:rPr>
        <w:t>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не се препоръчва за употреба при деца и юноши, тъй като безопасността и ефикасността не са установени. </w:t>
      </w:r>
    </w:p>
    <w:p w14:paraId="1412DD91" w14:textId="12A8F80D"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Липсват данни.</w:t>
      </w:r>
    </w:p>
    <w:p w14:paraId="75077505" w14:textId="77777777" w:rsidR="00DF3D99" w:rsidRPr="00424500" w:rsidRDefault="00DF3D99" w:rsidP="00DF3D99">
      <w:pPr>
        <w:spacing w:line="240" w:lineRule="auto"/>
        <w:rPr>
          <w:rFonts w:eastAsia="Times New Roman" w:cs="Arial"/>
          <w:color w:val="000000"/>
          <w:szCs w:val="18"/>
          <w:u w:val="single"/>
          <w:lang w:eastAsia="bg-BG"/>
        </w:rPr>
      </w:pPr>
    </w:p>
    <w:p w14:paraId="32CAC324" w14:textId="11F4BD1B" w:rsidR="00DF3D99" w:rsidRPr="00424500" w:rsidRDefault="00DF3D99" w:rsidP="00DF3D99">
      <w:pPr>
        <w:pStyle w:val="Heading3"/>
        <w:rPr>
          <w:rFonts w:eastAsia="Times New Roman"/>
          <w:sz w:val="32"/>
          <w:u w:val="single"/>
        </w:rPr>
      </w:pPr>
      <w:r w:rsidRPr="00424500">
        <w:rPr>
          <w:rFonts w:eastAsia="Times New Roman"/>
          <w:u w:val="single"/>
          <w:lang w:eastAsia="bg-BG"/>
        </w:rPr>
        <w:t>Начин на приложение</w:t>
      </w:r>
    </w:p>
    <w:p w14:paraId="26DCA49B" w14:textId="77777777" w:rsidR="00DF3D99" w:rsidRPr="00424500" w:rsidRDefault="00DF3D99" w:rsidP="00DF3D99">
      <w:pPr>
        <w:spacing w:line="240" w:lineRule="auto"/>
        <w:rPr>
          <w:rFonts w:eastAsia="Times New Roman" w:cs="Arial"/>
          <w:color w:val="000000"/>
          <w:szCs w:val="18"/>
          <w:lang w:eastAsia="bg-BG"/>
        </w:rPr>
      </w:pPr>
    </w:p>
    <w:p w14:paraId="27AD1026" w14:textId="3A213435"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За перорално приложение.</w:t>
      </w:r>
    </w:p>
    <w:p w14:paraId="39DFE01D" w14:textId="77777777" w:rsidR="00DF3D99" w:rsidRPr="00424500" w:rsidRDefault="00DF3D99" w:rsidP="00DF3D99"/>
    <w:p w14:paraId="0F253247" w14:textId="24538AC2" w:rsidR="007122AD" w:rsidRPr="00424500" w:rsidRDefault="002C50EE" w:rsidP="00936AD0">
      <w:pPr>
        <w:pStyle w:val="Heading2"/>
      </w:pPr>
      <w:r w:rsidRPr="00424500">
        <w:t>4.3. Противопоказания</w:t>
      </w:r>
    </w:p>
    <w:p w14:paraId="33FF0181" w14:textId="58E98136" w:rsidR="00DF3D99" w:rsidRPr="00424500" w:rsidRDefault="00DF3D99" w:rsidP="00DF3D99"/>
    <w:p w14:paraId="66C669F7" w14:textId="77777777" w:rsidR="00DF3D99" w:rsidRPr="00424500" w:rsidRDefault="00DF3D99" w:rsidP="00DF3D99">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Свръхчувствителност към активните вещества или към някое от помощните вещества, изброени в точка 6.1 или към други производни на сулфонамидите (хидрохлоротиазид е производно на сулфонамидите);</w:t>
      </w:r>
    </w:p>
    <w:p w14:paraId="2E52007F" w14:textId="77777777" w:rsidR="00DF3D99" w:rsidRPr="00424500" w:rsidRDefault="00DF3D99" w:rsidP="00DF3D99">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Втори и трети триместър на бременността (вж. точки 4.4 и 4.6);</w:t>
      </w:r>
    </w:p>
    <w:p w14:paraId="3A5C1D4B" w14:textId="77777777" w:rsidR="00DF3D99" w:rsidRPr="00424500" w:rsidRDefault="00DF3D99" w:rsidP="00DF3D99">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Тежко бъбречно увреждане (</w:t>
      </w:r>
      <w:proofErr w:type="spellStart"/>
      <w:r w:rsidRPr="00424500">
        <w:rPr>
          <w:rFonts w:eastAsia="Times New Roman" w:cs="Arial"/>
          <w:color w:val="000000"/>
          <w:szCs w:val="18"/>
          <w:lang w:eastAsia="bg-BG"/>
        </w:rPr>
        <w:t>креатининов</w:t>
      </w:r>
      <w:proofErr w:type="spellEnd"/>
      <w:r w:rsidRPr="00424500">
        <w:rPr>
          <w:rFonts w:eastAsia="Times New Roman" w:cs="Arial"/>
          <w:color w:val="000000"/>
          <w:szCs w:val="18"/>
          <w:lang w:eastAsia="bg-BG"/>
        </w:rPr>
        <w:t xml:space="preserve"> клирънс &lt; 30 </w:t>
      </w:r>
      <w:r w:rsidRPr="00424500">
        <w:rPr>
          <w:rFonts w:eastAsia="Times New Roman" w:cs="Arial"/>
          <w:color w:val="000000"/>
          <w:szCs w:val="18"/>
        </w:rPr>
        <w:t>ml/</w:t>
      </w:r>
      <w:proofErr w:type="spellStart"/>
      <w:r w:rsidRPr="00424500">
        <w:rPr>
          <w:rFonts w:eastAsia="Times New Roman" w:cs="Arial"/>
          <w:color w:val="000000"/>
          <w:szCs w:val="18"/>
        </w:rPr>
        <w:t>min</w:t>
      </w:r>
      <w:proofErr w:type="spellEnd"/>
      <w:r w:rsidRPr="00424500">
        <w:rPr>
          <w:rFonts w:eastAsia="Times New Roman" w:cs="Arial"/>
          <w:color w:val="000000"/>
          <w:szCs w:val="18"/>
        </w:rPr>
        <w:t>);</w:t>
      </w:r>
    </w:p>
    <w:p w14:paraId="6E1F99BF" w14:textId="05DE8FBC" w:rsidR="00DF3D99" w:rsidRPr="00424500" w:rsidRDefault="00DF3D99" w:rsidP="00DF3D99">
      <w:pPr>
        <w:pStyle w:val="ListParagraph"/>
        <w:numPr>
          <w:ilvl w:val="0"/>
          <w:numId w:val="37"/>
        </w:numPr>
        <w:spacing w:line="240" w:lineRule="auto"/>
        <w:rPr>
          <w:rFonts w:eastAsia="Times New Roman" w:cs="Arial"/>
          <w:sz w:val="32"/>
          <w:szCs w:val="24"/>
        </w:rPr>
      </w:pPr>
      <w:proofErr w:type="spellStart"/>
      <w:r w:rsidRPr="00424500">
        <w:rPr>
          <w:rFonts w:eastAsia="Times New Roman" w:cs="Arial"/>
          <w:color w:val="000000"/>
          <w:szCs w:val="18"/>
          <w:lang w:eastAsia="bg-BG"/>
        </w:rPr>
        <w:t>Рефрактер</w:t>
      </w:r>
      <w:r w:rsidR="00424500">
        <w:rPr>
          <w:rFonts w:eastAsia="Times New Roman" w:cs="Arial"/>
          <w:color w:val="000000"/>
          <w:szCs w:val="18"/>
          <w:lang w:eastAsia="bg-BG"/>
        </w:rPr>
        <w:t>н</w:t>
      </w:r>
      <w:r w:rsidRPr="00424500">
        <w:rPr>
          <w:rFonts w:eastAsia="Times New Roman" w:cs="Arial"/>
          <w:color w:val="000000"/>
          <w:szCs w:val="18"/>
          <w:lang w:eastAsia="bg-BG"/>
        </w:rPr>
        <w:t>а</w:t>
      </w:r>
      <w:proofErr w:type="spellEnd"/>
      <w:r w:rsidRPr="00424500">
        <w:rPr>
          <w:rFonts w:eastAsia="Times New Roman" w:cs="Arial"/>
          <w:color w:val="000000"/>
          <w:szCs w:val="18"/>
          <w:lang w:eastAsia="bg-BG"/>
        </w:rPr>
        <w:t xml:space="preserve"> хипокалиемия, </w:t>
      </w:r>
      <w:proofErr w:type="spellStart"/>
      <w:r w:rsidRPr="00424500">
        <w:rPr>
          <w:rFonts w:eastAsia="Times New Roman" w:cs="Arial"/>
          <w:color w:val="000000"/>
          <w:szCs w:val="18"/>
          <w:lang w:eastAsia="bg-BG"/>
        </w:rPr>
        <w:t>хиперкалцемия</w:t>
      </w:r>
      <w:proofErr w:type="spellEnd"/>
      <w:r w:rsidRPr="00424500">
        <w:rPr>
          <w:rFonts w:eastAsia="Times New Roman" w:cs="Arial"/>
          <w:color w:val="000000"/>
          <w:szCs w:val="18"/>
          <w:lang w:eastAsia="bg-BG"/>
        </w:rPr>
        <w:t>;</w:t>
      </w:r>
    </w:p>
    <w:p w14:paraId="59ABA277" w14:textId="77777777" w:rsidR="00DF3D99" w:rsidRPr="00424500" w:rsidRDefault="00DF3D99" w:rsidP="00DF3D99">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 xml:space="preserve">Тежко чернодробно увреждане, </w:t>
      </w:r>
      <w:proofErr w:type="spellStart"/>
      <w:r w:rsidRPr="00424500">
        <w:rPr>
          <w:rFonts w:eastAsia="Times New Roman" w:cs="Arial"/>
          <w:color w:val="000000"/>
          <w:szCs w:val="18"/>
          <w:lang w:eastAsia="bg-BG"/>
        </w:rPr>
        <w:t>билиарна</w:t>
      </w:r>
      <w:proofErr w:type="spellEnd"/>
      <w:r w:rsidRPr="00424500">
        <w:rPr>
          <w:rFonts w:eastAsia="Times New Roman" w:cs="Arial"/>
          <w:color w:val="000000"/>
          <w:szCs w:val="18"/>
          <w:lang w:eastAsia="bg-BG"/>
        </w:rPr>
        <w:t xml:space="preserve"> цироза и </w:t>
      </w:r>
      <w:proofErr w:type="spellStart"/>
      <w:r w:rsidRPr="00424500">
        <w:rPr>
          <w:rFonts w:eastAsia="Times New Roman" w:cs="Arial"/>
          <w:color w:val="000000"/>
          <w:szCs w:val="18"/>
          <w:lang w:eastAsia="bg-BG"/>
        </w:rPr>
        <w:t>холестаза</w:t>
      </w:r>
      <w:proofErr w:type="spellEnd"/>
      <w:r w:rsidRPr="00424500">
        <w:rPr>
          <w:rFonts w:eastAsia="Times New Roman" w:cs="Arial"/>
          <w:color w:val="000000"/>
          <w:szCs w:val="18"/>
          <w:lang w:eastAsia="bg-BG"/>
        </w:rPr>
        <w:t>;</w:t>
      </w:r>
    </w:p>
    <w:p w14:paraId="3FF6DCC4" w14:textId="372320BC" w:rsidR="00DF3D99" w:rsidRPr="00424500" w:rsidRDefault="00DF3D99" w:rsidP="00DF3D99">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Едновременната приложение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с </w:t>
      </w:r>
      <w:proofErr w:type="spellStart"/>
      <w:r w:rsidRPr="00424500">
        <w:rPr>
          <w:rFonts w:eastAsia="Times New Roman" w:cs="Arial"/>
          <w:color w:val="000000"/>
          <w:szCs w:val="18"/>
          <w:lang w:eastAsia="bg-BG"/>
        </w:rPr>
        <w:t>алискирен</w:t>
      </w:r>
      <w:proofErr w:type="spellEnd"/>
      <w:r w:rsidRPr="00424500">
        <w:rPr>
          <w:rFonts w:eastAsia="Times New Roman" w:cs="Arial"/>
          <w:color w:val="000000"/>
          <w:szCs w:val="18"/>
          <w:lang w:eastAsia="bg-BG"/>
        </w:rPr>
        <w:t xml:space="preserve">-съдържащи продукти е противопоказано при пациенти със захарен диабет или бъбречно увреждане (скорост на </w:t>
      </w:r>
      <w:proofErr w:type="spellStart"/>
      <w:r w:rsidRPr="00424500">
        <w:rPr>
          <w:rFonts w:eastAsia="Times New Roman" w:cs="Arial"/>
          <w:color w:val="000000"/>
          <w:szCs w:val="18"/>
          <w:lang w:eastAsia="bg-BG"/>
        </w:rPr>
        <w:t>гломерулна</w:t>
      </w:r>
      <w:proofErr w:type="spellEnd"/>
      <w:r w:rsidRPr="00424500">
        <w:rPr>
          <w:rFonts w:eastAsia="Times New Roman" w:cs="Arial"/>
          <w:color w:val="000000"/>
          <w:szCs w:val="18"/>
          <w:lang w:eastAsia="bg-BG"/>
        </w:rPr>
        <w:t xml:space="preserve"> филтрация </w:t>
      </w:r>
      <w:r w:rsidRPr="00424500">
        <w:rPr>
          <w:rFonts w:eastAsia="Times New Roman" w:cs="Arial"/>
          <w:color w:val="000000"/>
          <w:szCs w:val="18"/>
        </w:rPr>
        <w:t xml:space="preserve">GFR </w:t>
      </w:r>
      <w:r w:rsidRPr="00424500">
        <w:rPr>
          <w:rFonts w:eastAsia="Times New Roman" w:cs="Arial"/>
          <w:color w:val="000000"/>
          <w:szCs w:val="18"/>
          <w:lang w:eastAsia="bg-BG"/>
        </w:rPr>
        <w:t xml:space="preserve">&lt; 60 </w:t>
      </w:r>
      <w:r w:rsidRPr="00424500">
        <w:rPr>
          <w:rFonts w:eastAsia="Times New Roman" w:cs="Arial"/>
          <w:color w:val="000000"/>
          <w:szCs w:val="18"/>
        </w:rPr>
        <w:t>ml/</w:t>
      </w:r>
      <w:proofErr w:type="spellStart"/>
      <w:r w:rsidRPr="00424500">
        <w:rPr>
          <w:rFonts w:eastAsia="Times New Roman" w:cs="Arial"/>
          <w:color w:val="000000"/>
          <w:szCs w:val="18"/>
        </w:rPr>
        <w:t>min</w:t>
      </w:r>
      <w:proofErr w:type="spellEnd"/>
      <w:r w:rsidRPr="00424500">
        <w:rPr>
          <w:rFonts w:eastAsia="Times New Roman" w:cs="Arial"/>
          <w:color w:val="000000"/>
          <w:szCs w:val="18"/>
        </w:rPr>
        <w:t>/1,73 m</w:t>
      </w:r>
      <w:r w:rsidRPr="00424500">
        <w:rPr>
          <w:rFonts w:eastAsia="Times New Roman" w:cs="Arial"/>
          <w:color w:val="000000"/>
          <w:szCs w:val="18"/>
          <w:vertAlign w:val="superscript"/>
        </w:rPr>
        <w:t>2</w:t>
      </w:r>
      <w:r w:rsidRPr="00424500">
        <w:rPr>
          <w:rFonts w:eastAsia="Times New Roman" w:cs="Arial"/>
          <w:color w:val="000000"/>
          <w:szCs w:val="18"/>
        </w:rPr>
        <w:t xml:space="preserve">) </w:t>
      </w:r>
      <w:r w:rsidRPr="00424500">
        <w:rPr>
          <w:rFonts w:eastAsia="Times New Roman" w:cs="Arial"/>
          <w:color w:val="000000"/>
          <w:szCs w:val="18"/>
          <w:lang w:eastAsia="bg-BG"/>
        </w:rPr>
        <w:t>(вж. точки 4.5 и 5.1).</w:t>
      </w:r>
    </w:p>
    <w:p w14:paraId="110EDC2C" w14:textId="77777777" w:rsidR="00DF3D99" w:rsidRPr="00424500" w:rsidRDefault="00DF3D99" w:rsidP="00DF3D99"/>
    <w:p w14:paraId="0E0BDCC7" w14:textId="2190785A" w:rsidR="007122AD" w:rsidRPr="00424500" w:rsidRDefault="002C50EE" w:rsidP="00936AD0">
      <w:pPr>
        <w:pStyle w:val="Heading2"/>
      </w:pPr>
      <w:r w:rsidRPr="00424500">
        <w:t>4.4. Специални предупреждения и предпазни мерки при употреба</w:t>
      </w:r>
    </w:p>
    <w:p w14:paraId="3E65CD44" w14:textId="628088DC" w:rsidR="00DF3D99" w:rsidRPr="00424500" w:rsidRDefault="00DF3D99" w:rsidP="00DF3D99"/>
    <w:p w14:paraId="245DBEB5" w14:textId="77777777"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 xml:space="preserve">Хипотония - пациенти с намален </w:t>
      </w:r>
      <w:proofErr w:type="spellStart"/>
      <w:r w:rsidRPr="00424500">
        <w:rPr>
          <w:rFonts w:eastAsia="Times New Roman" w:cs="Arial"/>
          <w:color w:val="000000"/>
          <w:u w:val="single"/>
          <w:lang w:eastAsia="bg-BG"/>
        </w:rPr>
        <w:t>вътресъдов</w:t>
      </w:r>
      <w:proofErr w:type="spellEnd"/>
      <w:r w:rsidRPr="00424500">
        <w:rPr>
          <w:rFonts w:eastAsia="Times New Roman" w:cs="Arial"/>
          <w:color w:val="000000"/>
          <w:u w:val="single"/>
          <w:lang w:eastAsia="bg-BG"/>
        </w:rPr>
        <w:t xml:space="preserve"> обем:</w:t>
      </w:r>
    </w:p>
    <w:p w14:paraId="3B69EECF"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рядко води до симптоматична хипотония при </w:t>
      </w:r>
      <w:proofErr w:type="spellStart"/>
      <w:r w:rsidRPr="00424500">
        <w:rPr>
          <w:rFonts w:eastAsia="Times New Roman" w:cs="Arial"/>
          <w:color w:val="000000"/>
          <w:lang w:eastAsia="bg-BG"/>
        </w:rPr>
        <w:t>хипертензивни</w:t>
      </w:r>
      <w:proofErr w:type="spellEnd"/>
      <w:r w:rsidRPr="00424500">
        <w:rPr>
          <w:rFonts w:eastAsia="Times New Roman" w:cs="Arial"/>
          <w:color w:val="000000"/>
          <w:lang w:eastAsia="bg-BG"/>
        </w:rPr>
        <w:t xml:space="preserve"> пациенти без други рискови фактори за хипотония. Симптоматична хипотония може да се очаква при пациенти с недостатъчен обем и/или недостиг на натрий в резултат на интензивна диуретична терапия, диета с ограничен прием на натрий или повръщане. Тези състояния трябва да бъдат коригирани преди започване на лечението с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w:t>
      </w:r>
    </w:p>
    <w:p w14:paraId="4877F847" w14:textId="77777777" w:rsidR="00DF3D99" w:rsidRPr="00424500" w:rsidRDefault="00DF3D99" w:rsidP="00DF3D99">
      <w:pPr>
        <w:spacing w:line="240" w:lineRule="auto"/>
        <w:rPr>
          <w:rFonts w:eastAsia="Times New Roman" w:cs="Arial"/>
          <w:color w:val="000000"/>
          <w:u w:val="single"/>
          <w:lang w:eastAsia="bg-BG"/>
        </w:rPr>
      </w:pPr>
    </w:p>
    <w:p w14:paraId="69FB58DB" w14:textId="22AC5650" w:rsidR="00DF3D99" w:rsidRPr="00424500" w:rsidRDefault="00DF3D99" w:rsidP="00DF3D99">
      <w:pPr>
        <w:spacing w:line="240" w:lineRule="auto"/>
        <w:rPr>
          <w:rFonts w:eastAsia="Times New Roman" w:cs="Arial"/>
        </w:rPr>
      </w:pPr>
      <w:proofErr w:type="spellStart"/>
      <w:r w:rsidRPr="00424500">
        <w:rPr>
          <w:rFonts w:eastAsia="Times New Roman" w:cs="Arial"/>
          <w:color w:val="000000"/>
          <w:u w:val="single"/>
          <w:lang w:eastAsia="bg-BG"/>
        </w:rPr>
        <w:t>Стеноза</w:t>
      </w:r>
      <w:proofErr w:type="spellEnd"/>
      <w:r w:rsidRPr="00424500">
        <w:rPr>
          <w:rFonts w:eastAsia="Times New Roman" w:cs="Arial"/>
          <w:color w:val="000000"/>
          <w:u w:val="single"/>
          <w:lang w:eastAsia="bg-BG"/>
        </w:rPr>
        <w:t xml:space="preserve"> на бъбречната артерия - </w:t>
      </w:r>
      <w:proofErr w:type="spellStart"/>
      <w:r w:rsidRPr="00424500">
        <w:rPr>
          <w:rFonts w:eastAsia="Times New Roman" w:cs="Arial"/>
          <w:color w:val="000000"/>
          <w:u w:val="single"/>
          <w:lang w:eastAsia="bg-BG"/>
        </w:rPr>
        <w:t>реноваскуларна</w:t>
      </w:r>
      <w:proofErr w:type="spellEnd"/>
      <w:r w:rsidRPr="00424500">
        <w:rPr>
          <w:rFonts w:eastAsia="Times New Roman" w:cs="Arial"/>
          <w:color w:val="000000"/>
          <w:u w:val="single"/>
          <w:lang w:eastAsia="bg-BG"/>
        </w:rPr>
        <w:t xml:space="preserve"> хипертония:</w:t>
      </w:r>
    </w:p>
    <w:p w14:paraId="6A8CCBB5"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Съществува повишен риск от тежка хипотония и бъбречна недостатъчност, в случай, че пациенти с двустранна </w:t>
      </w:r>
      <w:proofErr w:type="spellStart"/>
      <w:r w:rsidRPr="00424500">
        <w:rPr>
          <w:rFonts w:eastAsia="Times New Roman" w:cs="Arial"/>
          <w:color w:val="000000"/>
          <w:lang w:eastAsia="bg-BG"/>
        </w:rPr>
        <w:t>стеноза</w:t>
      </w:r>
      <w:proofErr w:type="spellEnd"/>
      <w:r w:rsidRPr="00424500">
        <w:rPr>
          <w:rFonts w:eastAsia="Times New Roman" w:cs="Arial"/>
          <w:color w:val="000000"/>
          <w:lang w:eastAsia="bg-BG"/>
        </w:rPr>
        <w:t xml:space="preserve"> на бъбречната артерия или </w:t>
      </w:r>
      <w:proofErr w:type="spellStart"/>
      <w:r w:rsidRPr="00424500">
        <w:rPr>
          <w:rFonts w:eastAsia="Times New Roman" w:cs="Arial"/>
          <w:color w:val="000000"/>
          <w:lang w:eastAsia="bg-BG"/>
        </w:rPr>
        <w:t>стеноза</w:t>
      </w:r>
      <w:proofErr w:type="spellEnd"/>
      <w:r w:rsidRPr="00424500">
        <w:rPr>
          <w:rFonts w:eastAsia="Times New Roman" w:cs="Arial"/>
          <w:color w:val="000000"/>
          <w:lang w:eastAsia="bg-BG"/>
        </w:rPr>
        <w:t xml:space="preserve"> на артерията на единствения функциониращ бъбрек, бъдат лекувани с инхибитори на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конвертиращия ензим или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r w:rsidRPr="00424500">
        <w:rPr>
          <w:rFonts w:eastAsia="Times New Roman" w:cs="Arial"/>
          <w:color w:val="000000"/>
        </w:rPr>
        <w:t>II</w:t>
      </w:r>
      <w:r w:rsidRPr="00424500">
        <w:rPr>
          <w:rFonts w:eastAsia="Times New Roman" w:cs="Arial"/>
          <w:color w:val="000000"/>
          <w:lang w:eastAsia="bg-BG"/>
        </w:rPr>
        <w:t>-рецепторни антагонисти. Въпреки че това не е документирано при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подобен ефект трябва да се очаква.</w:t>
      </w:r>
    </w:p>
    <w:p w14:paraId="71D27F02" w14:textId="77777777" w:rsidR="00DF3D99" w:rsidRPr="00424500" w:rsidRDefault="00DF3D99" w:rsidP="00DF3D99">
      <w:pPr>
        <w:spacing w:line="240" w:lineRule="auto"/>
        <w:rPr>
          <w:rFonts w:eastAsia="Times New Roman" w:cs="Arial"/>
          <w:color w:val="000000"/>
          <w:u w:val="single"/>
          <w:lang w:eastAsia="bg-BG"/>
        </w:rPr>
      </w:pPr>
    </w:p>
    <w:p w14:paraId="366FCC26" w14:textId="3D7CA4FE"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Бъбречно увреждане и бъбречна трансплантация</w:t>
      </w:r>
    </w:p>
    <w:p w14:paraId="79F7AF22" w14:textId="7BD22572" w:rsidR="00DF3D99" w:rsidRPr="00424500" w:rsidRDefault="00DF3D99" w:rsidP="00DF3D99">
      <w:pPr>
        <w:spacing w:line="240" w:lineRule="auto"/>
        <w:rPr>
          <w:rFonts w:eastAsia="Times New Roman" w:cs="Arial"/>
        </w:rPr>
      </w:pPr>
      <w:r w:rsidRPr="00424500">
        <w:rPr>
          <w:rFonts w:eastAsia="Times New Roman" w:cs="Arial"/>
          <w:color w:val="000000"/>
          <w:lang w:eastAsia="bg-BG"/>
        </w:rPr>
        <w:t>В случай, че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се прилага при пациенти с увредена бъбречна функция, се препоръчва периодично проследяване на серумните нива на калий, </w:t>
      </w:r>
      <w:proofErr w:type="spellStart"/>
      <w:r w:rsidRPr="00424500">
        <w:rPr>
          <w:rFonts w:eastAsia="Times New Roman" w:cs="Arial"/>
          <w:color w:val="000000"/>
          <w:lang w:eastAsia="bg-BG"/>
        </w:rPr>
        <w:t>креатинина</w:t>
      </w:r>
      <w:proofErr w:type="spellEnd"/>
      <w:r w:rsidRPr="00424500">
        <w:rPr>
          <w:rFonts w:eastAsia="Times New Roman" w:cs="Arial"/>
          <w:color w:val="000000"/>
          <w:lang w:eastAsia="bg-BG"/>
        </w:rPr>
        <w:t xml:space="preserve"> и пикочната киселина. Няма опит с приложението на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при пациенти със скорошна бъбречна трансплантация. Ко- </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не трябва да се прилага при пациенти с тежко бъбречно увреждане (</w:t>
      </w:r>
      <w:proofErr w:type="spellStart"/>
      <w:r w:rsidRPr="00424500">
        <w:rPr>
          <w:rFonts w:eastAsia="Times New Roman" w:cs="Arial"/>
          <w:color w:val="000000"/>
          <w:lang w:eastAsia="bg-BG"/>
        </w:rPr>
        <w:t>креатининов</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клирьнс</w:t>
      </w:r>
      <w:proofErr w:type="spellEnd"/>
      <w:r w:rsidRPr="00424500">
        <w:rPr>
          <w:rFonts w:eastAsia="Times New Roman" w:cs="Arial"/>
          <w:color w:val="000000"/>
          <w:lang w:eastAsia="bg-BG"/>
        </w:rPr>
        <w:t xml:space="preserve"> &lt; 30 </w:t>
      </w:r>
      <w:r w:rsidRPr="00424500">
        <w:rPr>
          <w:rFonts w:eastAsia="Times New Roman" w:cs="Arial"/>
          <w:color w:val="000000"/>
        </w:rPr>
        <w:t>ml/</w:t>
      </w:r>
      <w:proofErr w:type="spellStart"/>
      <w:r w:rsidRPr="00424500">
        <w:rPr>
          <w:rFonts w:eastAsia="Times New Roman" w:cs="Arial"/>
          <w:color w:val="000000"/>
        </w:rPr>
        <w:t>min</w:t>
      </w:r>
      <w:proofErr w:type="spellEnd"/>
      <w:r w:rsidRPr="00424500">
        <w:rPr>
          <w:rFonts w:eastAsia="Times New Roman" w:cs="Arial"/>
          <w:color w:val="000000"/>
        </w:rPr>
        <w:t xml:space="preserve">) </w:t>
      </w:r>
      <w:r w:rsidRPr="00424500">
        <w:rPr>
          <w:rFonts w:eastAsia="Times New Roman" w:cs="Arial"/>
          <w:color w:val="000000"/>
          <w:lang w:eastAsia="bg-BG"/>
        </w:rPr>
        <w:t xml:space="preserve">(вж. т. 4.3). Свързана с </w:t>
      </w:r>
      <w:proofErr w:type="spellStart"/>
      <w:r w:rsidRPr="00424500">
        <w:rPr>
          <w:rFonts w:eastAsia="Times New Roman" w:cs="Arial"/>
          <w:color w:val="000000"/>
          <w:lang w:eastAsia="bg-BG"/>
        </w:rPr>
        <w:t>тиазидните</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азотемия</w:t>
      </w:r>
      <w:proofErr w:type="spellEnd"/>
      <w:r w:rsidRPr="00424500">
        <w:rPr>
          <w:rFonts w:eastAsia="Times New Roman" w:cs="Arial"/>
          <w:color w:val="000000"/>
          <w:lang w:eastAsia="bg-BG"/>
        </w:rPr>
        <w:t xml:space="preserve"> може да се появи при пациенти с увредена бъбречна функция. Не е необходима промяна на дозата при пациенти с бъбречно увреждане чийто, </w:t>
      </w:r>
      <w:proofErr w:type="spellStart"/>
      <w:r w:rsidRPr="00424500">
        <w:rPr>
          <w:rFonts w:eastAsia="Times New Roman" w:cs="Arial"/>
          <w:color w:val="000000"/>
          <w:lang w:eastAsia="bg-BG"/>
        </w:rPr>
        <w:t>креатининов</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клирьнс</w:t>
      </w:r>
      <w:proofErr w:type="spellEnd"/>
      <w:r w:rsidRPr="00424500">
        <w:rPr>
          <w:rFonts w:eastAsia="Times New Roman" w:cs="Arial"/>
          <w:color w:val="000000"/>
          <w:lang w:eastAsia="bg-BG"/>
        </w:rPr>
        <w:t xml:space="preserve"> е ≥ 30 </w:t>
      </w:r>
      <w:r w:rsidRPr="00424500">
        <w:rPr>
          <w:rFonts w:eastAsia="Times New Roman" w:cs="Arial"/>
          <w:color w:val="000000"/>
        </w:rPr>
        <w:t>ml/</w:t>
      </w:r>
      <w:proofErr w:type="spellStart"/>
      <w:r w:rsidRPr="00424500">
        <w:rPr>
          <w:rFonts w:eastAsia="Times New Roman" w:cs="Arial"/>
          <w:color w:val="000000"/>
        </w:rPr>
        <w:t>min</w:t>
      </w:r>
      <w:proofErr w:type="spellEnd"/>
      <w:r w:rsidRPr="00424500">
        <w:rPr>
          <w:rFonts w:eastAsia="Times New Roman" w:cs="Arial"/>
          <w:color w:val="000000"/>
        </w:rPr>
        <w:t xml:space="preserve">. </w:t>
      </w:r>
      <w:r w:rsidRPr="00424500">
        <w:rPr>
          <w:rFonts w:eastAsia="Times New Roman" w:cs="Arial"/>
          <w:color w:val="000000"/>
          <w:lang w:eastAsia="bg-BG"/>
        </w:rPr>
        <w:t xml:space="preserve">Въпреки това, при пациентите с леко до умерено </w:t>
      </w:r>
      <w:r w:rsidRPr="00424500">
        <w:rPr>
          <w:rFonts w:eastAsia="Times New Roman" w:cs="Arial"/>
          <w:color w:val="000000"/>
          <w:lang w:eastAsia="bg-BG"/>
        </w:rPr>
        <w:lastRenderedPageBreak/>
        <w:t>бъбречно увреждане (</w:t>
      </w:r>
      <w:proofErr w:type="spellStart"/>
      <w:r w:rsidRPr="00424500">
        <w:rPr>
          <w:rFonts w:eastAsia="Times New Roman" w:cs="Arial"/>
          <w:color w:val="000000"/>
          <w:lang w:eastAsia="bg-BG"/>
        </w:rPr>
        <w:t>креатининов</w:t>
      </w:r>
      <w:proofErr w:type="spellEnd"/>
      <w:r w:rsidRPr="00424500">
        <w:rPr>
          <w:rFonts w:eastAsia="Times New Roman" w:cs="Arial"/>
          <w:color w:val="000000"/>
          <w:lang w:eastAsia="bg-BG"/>
        </w:rPr>
        <w:t xml:space="preserve"> </w:t>
      </w:r>
      <w:r w:rsidR="006563C4" w:rsidRPr="00424500">
        <w:rPr>
          <w:rFonts w:eastAsia="Times New Roman" w:cs="Arial"/>
          <w:color w:val="000000"/>
          <w:lang w:eastAsia="bg-BG"/>
        </w:rPr>
        <w:t>клирънс</w:t>
      </w:r>
      <w:r w:rsidRPr="00424500">
        <w:rPr>
          <w:rFonts w:eastAsia="Times New Roman" w:cs="Arial"/>
          <w:color w:val="000000"/>
          <w:lang w:eastAsia="bg-BG"/>
        </w:rPr>
        <w:t xml:space="preserve"> ≥ 30 </w:t>
      </w:r>
      <w:r w:rsidRPr="00424500">
        <w:rPr>
          <w:rFonts w:eastAsia="Times New Roman" w:cs="Arial"/>
          <w:color w:val="000000"/>
        </w:rPr>
        <w:t>ml/</w:t>
      </w:r>
      <w:proofErr w:type="spellStart"/>
      <w:r w:rsidRPr="00424500">
        <w:rPr>
          <w:rFonts w:eastAsia="Times New Roman" w:cs="Arial"/>
          <w:color w:val="000000"/>
        </w:rPr>
        <w:t>min</w:t>
      </w:r>
      <w:proofErr w:type="spellEnd"/>
      <w:r w:rsidRPr="00424500">
        <w:rPr>
          <w:rFonts w:eastAsia="Times New Roman" w:cs="Arial"/>
          <w:color w:val="000000"/>
        </w:rPr>
        <w:t xml:space="preserve">, </w:t>
      </w:r>
      <w:r w:rsidRPr="00424500">
        <w:rPr>
          <w:rFonts w:eastAsia="Times New Roman" w:cs="Arial"/>
          <w:color w:val="000000"/>
          <w:lang w:eastAsia="bg-BG"/>
        </w:rPr>
        <w:t xml:space="preserve">но &lt; 60 </w:t>
      </w:r>
      <w:r w:rsidRPr="00424500">
        <w:rPr>
          <w:rFonts w:eastAsia="Times New Roman" w:cs="Arial"/>
          <w:color w:val="000000"/>
        </w:rPr>
        <w:t>ml/</w:t>
      </w:r>
      <w:proofErr w:type="spellStart"/>
      <w:r w:rsidRPr="00424500">
        <w:rPr>
          <w:rFonts w:eastAsia="Times New Roman" w:cs="Arial"/>
          <w:color w:val="000000"/>
        </w:rPr>
        <w:t>min</w:t>
      </w:r>
      <w:proofErr w:type="spellEnd"/>
      <w:r w:rsidRPr="00424500">
        <w:rPr>
          <w:rFonts w:eastAsia="Times New Roman" w:cs="Arial"/>
          <w:color w:val="000000"/>
        </w:rPr>
        <w:t xml:space="preserve">), </w:t>
      </w:r>
      <w:r w:rsidRPr="00424500">
        <w:rPr>
          <w:rFonts w:eastAsia="Times New Roman" w:cs="Arial"/>
          <w:color w:val="000000"/>
          <w:lang w:eastAsia="bg-BG"/>
        </w:rPr>
        <w:t xml:space="preserve">тази фиксирана </w:t>
      </w:r>
      <w:proofErr w:type="spellStart"/>
      <w:r w:rsidRPr="00424500">
        <w:rPr>
          <w:rFonts w:eastAsia="Times New Roman" w:cs="Arial"/>
          <w:color w:val="000000"/>
          <w:lang w:eastAsia="bg-BG"/>
        </w:rPr>
        <w:t>дозова</w:t>
      </w:r>
      <w:proofErr w:type="spellEnd"/>
      <w:r w:rsidRPr="00424500">
        <w:rPr>
          <w:rFonts w:eastAsia="Times New Roman" w:cs="Arial"/>
          <w:color w:val="000000"/>
          <w:lang w:eastAsia="bg-BG"/>
        </w:rPr>
        <w:t xml:space="preserve"> комбинация трябва да се прилага с повишено внимание.</w:t>
      </w:r>
    </w:p>
    <w:p w14:paraId="6F24F17B" w14:textId="77777777" w:rsidR="00DF3D99" w:rsidRPr="00424500" w:rsidRDefault="00DF3D99" w:rsidP="00DF3D99">
      <w:pPr>
        <w:spacing w:line="240" w:lineRule="auto"/>
        <w:rPr>
          <w:rFonts w:eastAsia="Times New Roman" w:cs="Arial"/>
          <w:color w:val="000000"/>
          <w:u w:val="single"/>
          <w:lang w:eastAsia="bg-BG"/>
        </w:rPr>
      </w:pPr>
    </w:p>
    <w:p w14:paraId="2E06A9AF" w14:textId="335F6EA8"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Двойно блокиране на ренин-</w:t>
      </w:r>
      <w:proofErr w:type="spellStart"/>
      <w:r w:rsidRPr="00424500">
        <w:rPr>
          <w:rFonts w:eastAsia="Times New Roman" w:cs="Arial"/>
          <w:color w:val="000000"/>
          <w:u w:val="single"/>
          <w:lang w:eastAsia="bg-BG"/>
        </w:rPr>
        <w:t>ангиотензин</w:t>
      </w:r>
      <w:proofErr w:type="spellEnd"/>
      <w:r w:rsidRPr="00424500">
        <w:rPr>
          <w:rFonts w:eastAsia="Times New Roman" w:cs="Arial"/>
          <w:color w:val="000000"/>
          <w:u w:val="single"/>
          <w:lang w:eastAsia="bg-BG"/>
        </w:rPr>
        <w:t>-</w:t>
      </w:r>
      <w:proofErr w:type="spellStart"/>
      <w:r w:rsidRPr="00424500">
        <w:rPr>
          <w:rFonts w:eastAsia="Times New Roman" w:cs="Arial"/>
          <w:color w:val="000000"/>
          <w:u w:val="single"/>
          <w:lang w:eastAsia="bg-BG"/>
        </w:rPr>
        <w:t>алдостероновата</w:t>
      </w:r>
      <w:proofErr w:type="spellEnd"/>
      <w:r w:rsidRPr="00424500">
        <w:rPr>
          <w:rFonts w:eastAsia="Times New Roman" w:cs="Arial"/>
          <w:color w:val="000000"/>
          <w:u w:val="single"/>
          <w:lang w:eastAsia="bg-BG"/>
        </w:rPr>
        <w:t xml:space="preserve"> система (РААС):</w:t>
      </w:r>
    </w:p>
    <w:p w14:paraId="50A85BA4"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Има данни, че едновременната употреба на АСЕ инхибитори,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r w:rsidRPr="00424500">
        <w:rPr>
          <w:rFonts w:eastAsia="Times New Roman" w:cs="Arial"/>
          <w:color w:val="000000"/>
        </w:rPr>
        <w:t>II</w:t>
      </w:r>
      <w:r w:rsidRPr="00424500">
        <w:rPr>
          <w:rFonts w:eastAsia="Times New Roman" w:cs="Arial"/>
          <w:color w:val="000000"/>
          <w:lang w:eastAsia="bg-BG"/>
        </w:rPr>
        <w:t xml:space="preserve">-рецепторни </w:t>
      </w:r>
      <w:proofErr w:type="spellStart"/>
      <w:r w:rsidRPr="00424500">
        <w:rPr>
          <w:rFonts w:eastAsia="Times New Roman" w:cs="Arial"/>
          <w:color w:val="000000"/>
          <w:lang w:eastAsia="bg-BG"/>
        </w:rPr>
        <w:t>блокери</w:t>
      </w:r>
      <w:proofErr w:type="spellEnd"/>
      <w:r w:rsidRPr="00424500">
        <w:rPr>
          <w:rFonts w:eastAsia="Times New Roman" w:cs="Arial"/>
          <w:color w:val="000000"/>
          <w:lang w:eastAsia="bg-BG"/>
        </w:rPr>
        <w:t xml:space="preserve"> или </w:t>
      </w:r>
      <w:proofErr w:type="spellStart"/>
      <w:r w:rsidRPr="00424500">
        <w:rPr>
          <w:rFonts w:eastAsia="Times New Roman" w:cs="Arial"/>
          <w:color w:val="000000"/>
          <w:lang w:eastAsia="bg-BG"/>
        </w:rPr>
        <w:t>алискирен</w:t>
      </w:r>
      <w:proofErr w:type="spellEnd"/>
      <w:r w:rsidRPr="00424500">
        <w:rPr>
          <w:rFonts w:eastAsia="Times New Roman" w:cs="Arial"/>
          <w:color w:val="000000"/>
          <w:lang w:eastAsia="bg-BG"/>
        </w:rPr>
        <w:t xml:space="preserve"> повишава риска от хипотония, </w:t>
      </w:r>
      <w:proofErr w:type="spellStart"/>
      <w:r w:rsidRPr="00424500">
        <w:rPr>
          <w:rFonts w:eastAsia="Times New Roman" w:cs="Arial"/>
          <w:color w:val="000000"/>
          <w:lang w:eastAsia="bg-BG"/>
        </w:rPr>
        <w:t>хиперкалиемия</w:t>
      </w:r>
      <w:proofErr w:type="spellEnd"/>
      <w:r w:rsidRPr="00424500">
        <w:rPr>
          <w:rFonts w:eastAsia="Times New Roman" w:cs="Arial"/>
          <w:color w:val="000000"/>
          <w:lang w:eastAsia="bg-BG"/>
        </w:rPr>
        <w:t xml:space="preserve">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r w:rsidRPr="00424500">
        <w:rPr>
          <w:rFonts w:eastAsia="Times New Roman" w:cs="Arial"/>
          <w:color w:val="000000"/>
        </w:rPr>
        <w:t>II</w:t>
      </w:r>
      <w:r w:rsidRPr="00424500">
        <w:rPr>
          <w:rFonts w:eastAsia="Times New Roman" w:cs="Arial"/>
          <w:color w:val="000000"/>
          <w:lang w:eastAsia="bg-BG"/>
        </w:rPr>
        <w:t xml:space="preserve">-рецепторни </w:t>
      </w:r>
      <w:proofErr w:type="spellStart"/>
      <w:r w:rsidRPr="00424500">
        <w:rPr>
          <w:rFonts w:eastAsia="Times New Roman" w:cs="Arial"/>
          <w:color w:val="000000"/>
          <w:lang w:eastAsia="bg-BG"/>
        </w:rPr>
        <w:t>блокери</w:t>
      </w:r>
      <w:proofErr w:type="spellEnd"/>
      <w:r w:rsidRPr="00424500">
        <w:rPr>
          <w:rFonts w:eastAsia="Times New Roman" w:cs="Arial"/>
          <w:color w:val="000000"/>
          <w:lang w:eastAsia="bg-BG"/>
        </w:rPr>
        <w:t xml:space="preserve"> или </w:t>
      </w:r>
      <w:proofErr w:type="spellStart"/>
      <w:r w:rsidRPr="00424500">
        <w:rPr>
          <w:rFonts w:eastAsia="Times New Roman" w:cs="Arial"/>
          <w:color w:val="000000"/>
          <w:lang w:eastAsia="bg-BG"/>
        </w:rPr>
        <w:t>алискирен</w:t>
      </w:r>
      <w:proofErr w:type="spellEnd"/>
      <w:r w:rsidRPr="00424500">
        <w:rPr>
          <w:rFonts w:eastAsia="Times New Roman" w:cs="Arial"/>
          <w:color w:val="000000"/>
          <w:lang w:eastAsia="bg-BG"/>
        </w:rPr>
        <w:t xml:space="preserve"> (вж. точки 4.5 и 5.1).</w:t>
      </w:r>
    </w:p>
    <w:p w14:paraId="65D07DD7"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0A788417"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АСЕ инхибитори и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r w:rsidRPr="00424500">
        <w:rPr>
          <w:rFonts w:eastAsia="Times New Roman" w:cs="Arial"/>
          <w:color w:val="000000"/>
        </w:rPr>
        <w:t>II</w:t>
      </w:r>
      <w:r w:rsidRPr="00424500">
        <w:rPr>
          <w:rFonts w:eastAsia="Times New Roman" w:cs="Arial"/>
          <w:color w:val="000000"/>
          <w:lang w:eastAsia="bg-BG"/>
        </w:rPr>
        <w:t xml:space="preserve">-рецепторни </w:t>
      </w:r>
      <w:proofErr w:type="spellStart"/>
      <w:r w:rsidRPr="00424500">
        <w:rPr>
          <w:rFonts w:eastAsia="Times New Roman" w:cs="Arial"/>
          <w:color w:val="000000"/>
          <w:lang w:eastAsia="bg-BG"/>
        </w:rPr>
        <w:t>блокери</w:t>
      </w:r>
      <w:proofErr w:type="spellEnd"/>
      <w:r w:rsidRPr="00424500">
        <w:rPr>
          <w:rFonts w:eastAsia="Times New Roman" w:cs="Arial"/>
          <w:color w:val="000000"/>
          <w:lang w:eastAsia="bg-BG"/>
        </w:rPr>
        <w:t xml:space="preserve"> не трябва да се използват едновременно при пациенти с диабетна нефропатия.</w:t>
      </w:r>
    </w:p>
    <w:p w14:paraId="42391DFC" w14:textId="77777777" w:rsidR="00DF3D99" w:rsidRPr="00424500" w:rsidRDefault="00DF3D99" w:rsidP="00DF3D99">
      <w:pPr>
        <w:spacing w:line="240" w:lineRule="auto"/>
        <w:rPr>
          <w:rFonts w:eastAsia="Times New Roman" w:cs="Arial"/>
          <w:color w:val="000000"/>
          <w:u w:val="single"/>
          <w:lang w:eastAsia="bg-BG"/>
        </w:rPr>
      </w:pPr>
    </w:p>
    <w:p w14:paraId="4C7017CF" w14:textId="11ECBDC6"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Чернодробно увреждане:</w:t>
      </w:r>
    </w:p>
    <w:p w14:paraId="034E358C" w14:textId="77777777" w:rsidR="00DF3D99" w:rsidRPr="00424500" w:rsidRDefault="00DF3D99" w:rsidP="00DF3D99">
      <w:pPr>
        <w:spacing w:line="240" w:lineRule="auto"/>
        <w:rPr>
          <w:rFonts w:eastAsia="Times New Roman" w:cs="Arial"/>
        </w:rPr>
      </w:pP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трябва да се прилагат с внимание при пациентите с увредена чернодробна функция или прогресивно чернодробно заболяване, тъй като малки промени във водно-електролитния баланс може да ускорят появата на чернодробна кома. Няма клиничен опит с употребата на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при пациенти с чернодробно увреждане.</w:t>
      </w:r>
    </w:p>
    <w:p w14:paraId="12423B61" w14:textId="77777777" w:rsidR="00DF3D99" w:rsidRPr="00424500" w:rsidRDefault="00DF3D99" w:rsidP="00DF3D99">
      <w:pPr>
        <w:spacing w:line="240" w:lineRule="auto"/>
        <w:rPr>
          <w:rFonts w:eastAsia="Times New Roman" w:cs="Arial"/>
          <w:color w:val="000000"/>
          <w:u w:val="single"/>
          <w:lang w:eastAsia="bg-BG"/>
        </w:rPr>
      </w:pPr>
    </w:p>
    <w:p w14:paraId="6A68EB10" w14:textId="630A03D7"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 xml:space="preserve">Аортна </w:t>
      </w:r>
      <w:proofErr w:type="spellStart"/>
      <w:r w:rsidRPr="00424500">
        <w:rPr>
          <w:rFonts w:eastAsia="Times New Roman" w:cs="Arial"/>
          <w:color w:val="000000"/>
          <w:u w:val="single"/>
          <w:lang w:eastAsia="bg-BG"/>
        </w:rPr>
        <w:t>стеноза</w:t>
      </w:r>
      <w:proofErr w:type="spellEnd"/>
      <w:r w:rsidRPr="00424500">
        <w:rPr>
          <w:rFonts w:eastAsia="Times New Roman" w:cs="Arial"/>
          <w:color w:val="000000"/>
          <w:u w:val="single"/>
          <w:lang w:eastAsia="bg-BG"/>
        </w:rPr>
        <w:t xml:space="preserve"> и </w:t>
      </w:r>
      <w:proofErr w:type="spellStart"/>
      <w:r w:rsidRPr="00424500">
        <w:rPr>
          <w:rFonts w:eastAsia="Times New Roman" w:cs="Arial"/>
          <w:color w:val="000000"/>
          <w:u w:val="single"/>
          <w:lang w:eastAsia="bg-BG"/>
        </w:rPr>
        <w:t>стеноза</w:t>
      </w:r>
      <w:proofErr w:type="spellEnd"/>
      <w:r w:rsidRPr="00424500">
        <w:rPr>
          <w:rFonts w:eastAsia="Times New Roman" w:cs="Arial"/>
          <w:color w:val="000000"/>
          <w:u w:val="single"/>
          <w:lang w:eastAsia="bg-BG"/>
        </w:rPr>
        <w:t xml:space="preserve"> на </w:t>
      </w:r>
      <w:proofErr w:type="spellStart"/>
      <w:r w:rsidRPr="00424500">
        <w:rPr>
          <w:rFonts w:eastAsia="Times New Roman" w:cs="Arial"/>
          <w:color w:val="000000"/>
          <w:u w:val="single"/>
          <w:lang w:eastAsia="bg-BG"/>
        </w:rPr>
        <w:t>митралната</w:t>
      </w:r>
      <w:proofErr w:type="spellEnd"/>
      <w:r w:rsidRPr="00424500">
        <w:rPr>
          <w:rFonts w:eastAsia="Times New Roman" w:cs="Arial"/>
          <w:color w:val="000000"/>
          <w:u w:val="single"/>
          <w:lang w:eastAsia="bg-BG"/>
        </w:rPr>
        <w:t xml:space="preserve"> клапа, </w:t>
      </w:r>
      <w:proofErr w:type="spellStart"/>
      <w:r w:rsidRPr="00424500">
        <w:rPr>
          <w:rFonts w:eastAsia="Times New Roman" w:cs="Arial"/>
          <w:color w:val="000000"/>
          <w:u w:val="single"/>
          <w:lang w:eastAsia="bg-BG"/>
        </w:rPr>
        <w:t>обструктивна</w:t>
      </w:r>
      <w:proofErr w:type="spellEnd"/>
      <w:r w:rsidRPr="00424500">
        <w:rPr>
          <w:rFonts w:eastAsia="Times New Roman" w:cs="Arial"/>
          <w:color w:val="000000"/>
          <w:u w:val="single"/>
          <w:lang w:eastAsia="bg-BG"/>
        </w:rPr>
        <w:t xml:space="preserve"> </w:t>
      </w:r>
      <w:proofErr w:type="spellStart"/>
      <w:r w:rsidRPr="00424500">
        <w:rPr>
          <w:rFonts w:eastAsia="Times New Roman" w:cs="Arial"/>
          <w:color w:val="000000"/>
          <w:u w:val="single"/>
          <w:lang w:eastAsia="bg-BG"/>
        </w:rPr>
        <w:t>хипергрофична</w:t>
      </w:r>
      <w:proofErr w:type="spellEnd"/>
      <w:r w:rsidRPr="00424500">
        <w:rPr>
          <w:rFonts w:eastAsia="Times New Roman" w:cs="Arial"/>
          <w:color w:val="000000"/>
          <w:u w:val="single"/>
          <w:lang w:eastAsia="bg-BG"/>
        </w:rPr>
        <w:t xml:space="preserve"> кардиомиопатия: </w:t>
      </w:r>
      <w:r w:rsidRPr="00424500">
        <w:rPr>
          <w:rFonts w:eastAsia="Times New Roman" w:cs="Arial"/>
          <w:color w:val="000000"/>
          <w:lang w:eastAsia="bg-BG"/>
        </w:rPr>
        <w:t xml:space="preserve">Както и останалите </w:t>
      </w:r>
      <w:proofErr w:type="spellStart"/>
      <w:r w:rsidRPr="00424500">
        <w:rPr>
          <w:rFonts w:eastAsia="Times New Roman" w:cs="Arial"/>
          <w:color w:val="000000"/>
          <w:lang w:eastAsia="bg-BG"/>
        </w:rPr>
        <w:t>вазодилататори</w:t>
      </w:r>
      <w:proofErr w:type="spellEnd"/>
      <w:r w:rsidRPr="00424500">
        <w:rPr>
          <w:rFonts w:eastAsia="Times New Roman" w:cs="Arial"/>
          <w:color w:val="000000"/>
          <w:lang w:eastAsia="bg-BG"/>
        </w:rPr>
        <w:t xml:space="preserve">, необходимо е повишено внимание при пациентите страдащи от аортна </w:t>
      </w:r>
      <w:proofErr w:type="spellStart"/>
      <w:r w:rsidRPr="00424500">
        <w:rPr>
          <w:rFonts w:eastAsia="Times New Roman" w:cs="Arial"/>
          <w:color w:val="000000"/>
          <w:lang w:eastAsia="bg-BG"/>
        </w:rPr>
        <w:t>стеноза</w:t>
      </w:r>
      <w:proofErr w:type="spellEnd"/>
      <w:r w:rsidRPr="00424500">
        <w:rPr>
          <w:rFonts w:eastAsia="Times New Roman" w:cs="Arial"/>
          <w:color w:val="000000"/>
          <w:lang w:eastAsia="bg-BG"/>
        </w:rPr>
        <w:t xml:space="preserve"> или </w:t>
      </w:r>
      <w:proofErr w:type="spellStart"/>
      <w:r w:rsidRPr="00424500">
        <w:rPr>
          <w:rFonts w:eastAsia="Times New Roman" w:cs="Arial"/>
          <w:color w:val="000000"/>
          <w:lang w:eastAsia="bg-BG"/>
        </w:rPr>
        <w:t>стеноза</w:t>
      </w:r>
      <w:proofErr w:type="spellEnd"/>
      <w:r w:rsidRPr="00424500">
        <w:rPr>
          <w:rFonts w:eastAsia="Times New Roman" w:cs="Arial"/>
          <w:color w:val="000000"/>
          <w:lang w:eastAsia="bg-BG"/>
        </w:rPr>
        <w:t xml:space="preserve"> на </w:t>
      </w:r>
      <w:proofErr w:type="spellStart"/>
      <w:r w:rsidRPr="00424500">
        <w:rPr>
          <w:rFonts w:eastAsia="Times New Roman" w:cs="Arial"/>
          <w:color w:val="000000"/>
          <w:lang w:eastAsia="bg-BG"/>
        </w:rPr>
        <w:t>митралната</w:t>
      </w:r>
      <w:proofErr w:type="spellEnd"/>
      <w:r w:rsidRPr="00424500">
        <w:rPr>
          <w:rFonts w:eastAsia="Times New Roman" w:cs="Arial"/>
          <w:color w:val="000000"/>
          <w:lang w:eastAsia="bg-BG"/>
        </w:rPr>
        <w:t xml:space="preserve"> клапа или </w:t>
      </w:r>
      <w:proofErr w:type="spellStart"/>
      <w:r w:rsidRPr="00424500">
        <w:rPr>
          <w:rFonts w:eastAsia="Times New Roman" w:cs="Arial"/>
          <w:color w:val="000000"/>
          <w:lang w:eastAsia="bg-BG"/>
        </w:rPr>
        <w:t>обструктивна</w:t>
      </w:r>
      <w:proofErr w:type="spellEnd"/>
      <w:r w:rsidRPr="00424500">
        <w:rPr>
          <w:rFonts w:eastAsia="Times New Roman" w:cs="Arial"/>
          <w:color w:val="000000"/>
          <w:lang w:eastAsia="bg-BG"/>
        </w:rPr>
        <w:t xml:space="preserve"> хипертрофична кардиомиопатия.</w:t>
      </w:r>
    </w:p>
    <w:p w14:paraId="1FB44D66" w14:textId="77777777" w:rsidR="00DF3D99" w:rsidRPr="00424500" w:rsidRDefault="00DF3D99" w:rsidP="00DF3D99">
      <w:pPr>
        <w:spacing w:line="240" w:lineRule="auto"/>
        <w:rPr>
          <w:rFonts w:eastAsia="Times New Roman" w:cs="Arial"/>
          <w:color w:val="000000"/>
          <w:u w:val="single"/>
          <w:lang w:eastAsia="bg-BG"/>
        </w:rPr>
      </w:pPr>
    </w:p>
    <w:p w14:paraId="560EAF49" w14:textId="51F784F3"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 xml:space="preserve">Първичен </w:t>
      </w:r>
      <w:proofErr w:type="spellStart"/>
      <w:r w:rsidRPr="00424500">
        <w:rPr>
          <w:rFonts w:eastAsia="Times New Roman" w:cs="Arial"/>
          <w:color w:val="000000"/>
          <w:u w:val="single"/>
          <w:lang w:eastAsia="bg-BG"/>
        </w:rPr>
        <w:t>алдостеронизъм</w:t>
      </w:r>
      <w:proofErr w:type="spellEnd"/>
      <w:r w:rsidRPr="00424500">
        <w:rPr>
          <w:rFonts w:eastAsia="Times New Roman" w:cs="Arial"/>
          <w:color w:val="000000"/>
          <w:u w:val="single"/>
          <w:lang w:eastAsia="bg-BG"/>
        </w:rPr>
        <w:t>:</w:t>
      </w:r>
    </w:p>
    <w:p w14:paraId="0C6778A3"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Пациентите с първичен </w:t>
      </w:r>
      <w:proofErr w:type="spellStart"/>
      <w:r w:rsidRPr="00424500">
        <w:rPr>
          <w:rFonts w:eastAsia="Times New Roman" w:cs="Arial"/>
          <w:color w:val="000000"/>
          <w:lang w:eastAsia="bg-BG"/>
        </w:rPr>
        <w:t>алдостеронизъм</w:t>
      </w:r>
      <w:proofErr w:type="spellEnd"/>
      <w:r w:rsidRPr="00424500">
        <w:rPr>
          <w:rFonts w:eastAsia="Times New Roman" w:cs="Arial"/>
          <w:color w:val="000000"/>
          <w:lang w:eastAsia="bg-BG"/>
        </w:rPr>
        <w:t xml:space="preserve"> обикновено не отговарят на антихипертензивни лекарствени продукти, действащи чрез инхибиране на ренин-</w:t>
      </w:r>
      <w:proofErr w:type="spellStart"/>
      <w:r w:rsidRPr="00424500">
        <w:rPr>
          <w:rFonts w:eastAsia="Times New Roman" w:cs="Arial"/>
          <w:color w:val="000000"/>
          <w:lang w:eastAsia="bg-BG"/>
        </w:rPr>
        <w:t>ангиотензиновата</w:t>
      </w:r>
      <w:proofErr w:type="spellEnd"/>
      <w:r w:rsidRPr="00424500">
        <w:rPr>
          <w:rFonts w:eastAsia="Times New Roman" w:cs="Arial"/>
          <w:color w:val="000000"/>
          <w:lang w:eastAsia="bg-BG"/>
        </w:rPr>
        <w:t xml:space="preserve"> системата. Ето защо, не се препоръчва употребата на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w:t>
      </w:r>
    </w:p>
    <w:p w14:paraId="7421DBBB" w14:textId="77777777" w:rsidR="00DF3D99" w:rsidRPr="00424500" w:rsidRDefault="00DF3D99" w:rsidP="00DF3D99">
      <w:pPr>
        <w:spacing w:line="240" w:lineRule="auto"/>
        <w:rPr>
          <w:rFonts w:eastAsia="Times New Roman" w:cs="Arial"/>
          <w:color w:val="000000"/>
          <w:u w:val="single"/>
          <w:lang w:eastAsia="bg-BG"/>
        </w:rPr>
      </w:pPr>
    </w:p>
    <w:p w14:paraId="788BB504" w14:textId="7750DC57"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Метаболитни и ендокринни ефекти:</w:t>
      </w:r>
    </w:p>
    <w:p w14:paraId="7B4996D3"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Лечението с </w:t>
      </w:r>
      <w:proofErr w:type="spellStart"/>
      <w:r w:rsidRPr="00424500">
        <w:rPr>
          <w:rFonts w:eastAsia="Times New Roman" w:cs="Arial"/>
          <w:color w:val="000000"/>
          <w:lang w:eastAsia="bg-BG"/>
        </w:rPr>
        <w:t>тиазиди</w:t>
      </w:r>
      <w:proofErr w:type="spellEnd"/>
      <w:r w:rsidRPr="00424500">
        <w:rPr>
          <w:rFonts w:eastAsia="Times New Roman" w:cs="Arial"/>
          <w:color w:val="000000"/>
          <w:lang w:eastAsia="bg-BG"/>
        </w:rPr>
        <w:t xml:space="preserve"> може да наруши глюкозния толеранс. Латентният захарен диабет може да стане </w:t>
      </w:r>
      <w:proofErr w:type="spellStart"/>
      <w:r w:rsidRPr="00424500">
        <w:rPr>
          <w:rFonts w:eastAsia="Times New Roman" w:cs="Arial"/>
          <w:color w:val="000000"/>
          <w:lang w:eastAsia="bg-BG"/>
        </w:rPr>
        <w:t>манифестен</w:t>
      </w:r>
      <w:proofErr w:type="spellEnd"/>
      <w:r w:rsidRPr="00424500">
        <w:rPr>
          <w:rFonts w:eastAsia="Times New Roman" w:cs="Arial"/>
          <w:color w:val="000000"/>
          <w:lang w:eastAsia="bg-BG"/>
        </w:rPr>
        <w:t xml:space="preserve"> по време на лечението с </w:t>
      </w:r>
      <w:proofErr w:type="spellStart"/>
      <w:r w:rsidRPr="00424500">
        <w:rPr>
          <w:rFonts w:eastAsia="Times New Roman" w:cs="Arial"/>
          <w:color w:val="000000"/>
          <w:lang w:eastAsia="bg-BG"/>
        </w:rPr>
        <w:t>тиазиди</w:t>
      </w:r>
      <w:proofErr w:type="spellEnd"/>
      <w:r w:rsidRPr="00424500">
        <w:rPr>
          <w:rFonts w:eastAsia="Times New Roman" w:cs="Arial"/>
          <w:color w:val="000000"/>
          <w:lang w:eastAsia="bg-BG"/>
        </w:rPr>
        <w:t>.</w:t>
      </w:r>
    </w:p>
    <w:p w14:paraId="512C106A" w14:textId="77777777" w:rsidR="00DF3D99" w:rsidRPr="00424500" w:rsidRDefault="00DF3D99" w:rsidP="00DF3D99">
      <w:pPr>
        <w:spacing w:line="240" w:lineRule="auto"/>
        <w:rPr>
          <w:rFonts w:eastAsia="Times New Roman" w:cs="Arial"/>
        </w:rPr>
      </w:pP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може да предизвика хипогликемия, особено при пациенти с диабет. При пациенти, лекувани с инсулин или антидиабетни средства, трябва да се обмисли подходящо проследяване на кръвната захар. Когато е показано, може да се наложи коригиране на дозата инсулин или на антидиабетните средства (вж. точка 4.5).</w:t>
      </w:r>
    </w:p>
    <w:p w14:paraId="600164E9" w14:textId="77777777" w:rsidR="00DF3D99" w:rsidRPr="00424500" w:rsidRDefault="00DF3D99" w:rsidP="00DF3D99">
      <w:pPr>
        <w:spacing w:line="240" w:lineRule="auto"/>
        <w:rPr>
          <w:rFonts w:eastAsia="Times New Roman" w:cs="Arial"/>
          <w:color w:val="000000"/>
          <w:lang w:eastAsia="bg-BG"/>
        </w:rPr>
      </w:pPr>
    </w:p>
    <w:p w14:paraId="227EA4C7" w14:textId="583E299E"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Повишение на холестерола и </w:t>
      </w:r>
      <w:proofErr w:type="spellStart"/>
      <w:r w:rsidRPr="00424500">
        <w:rPr>
          <w:rFonts w:eastAsia="Times New Roman" w:cs="Arial"/>
          <w:color w:val="000000"/>
          <w:lang w:eastAsia="bg-BG"/>
        </w:rPr>
        <w:t>триглицерид</w:t>
      </w:r>
      <w:r w:rsidR="006563C4">
        <w:rPr>
          <w:rFonts w:eastAsia="Times New Roman" w:cs="Arial"/>
          <w:color w:val="000000"/>
          <w:lang w:eastAsia="bg-BG"/>
        </w:rPr>
        <w:t>и</w:t>
      </w:r>
      <w:r w:rsidRPr="00424500">
        <w:rPr>
          <w:rFonts w:eastAsia="Times New Roman" w:cs="Arial"/>
          <w:color w:val="000000"/>
          <w:lang w:eastAsia="bg-BG"/>
        </w:rPr>
        <w:t>те</w:t>
      </w:r>
      <w:proofErr w:type="spellEnd"/>
      <w:r w:rsidRPr="00424500">
        <w:rPr>
          <w:rFonts w:eastAsia="Times New Roman" w:cs="Arial"/>
          <w:color w:val="000000"/>
          <w:lang w:eastAsia="bg-BG"/>
        </w:rPr>
        <w:t xml:space="preserve"> може да бъде свързано с </w:t>
      </w:r>
      <w:proofErr w:type="spellStart"/>
      <w:r w:rsidRPr="00424500">
        <w:rPr>
          <w:rFonts w:eastAsia="Times New Roman" w:cs="Arial"/>
          <w:color w:val="000000"/>
          <w:lang w:eastAsia="bg-BG"/>
        </w:rPr>
        <w:t>тиазидната</w:t>
      </w:r>
      <w:proofErr w:type="spellEnd"/>
      <w:r w:rsidRPr="00424500">
        <w:rPr>
          <w:rFonts w:eastAsia="Times New Roman" w:cs="Arial"/>
          <w:color w:val="000000"/>
          <w:lang w:eastAsia="bg-BG"/>
        </w:rPr>
        <w:t xml:space="preserve"> диуретична терапи</w:t>
      </w:r>
      <w:r w:rsidR="006563C4">
        <w:rPr>
          <w:rFonts w:eastAsia="Times New Roman" w:cs="Arial"/>
          <w:color w:val="000000"/>
          <w:lang w:eastAsia="bg-BG"/>
        </w:rPr>
        <w:t>я</w:t>
      </w:r>
      <w:r w:rsidRPr="00424500">
        <w:rPr>
          <w:rFonts w:eastAsia="Times New Roman" w:cs="Arial"/>
          <w:color w:val="000000"/>
          <w:lang w:eastAsia="bg-BG"/>
        </w:rPr>
        <w:t xml:space="preserve">, въпреки че при доза от 12,5 </w:t>
      </w:r>
      <w:proofErr w:type="spellStart"/>
      <w:r w:rsidRPr="00424500">
        <w:rPr>
          <w:rFonts w:eastAsia="Times New Roman" w:cs="Arial"/>
          <w:color w:val="000000"/>
        </w:rPr>
        <w:t>mg</w:t>
      </w:r>
      <w:proofErr w:type="spellEnd"/>
      <w:r w:rsidRPr="00424500">
        <w:rPr>
          <w:rFonts w:eastAsia="Times New Roman" w:cs="Arial"/>
          <w:color w:val="000000"/>
        </w:rPr>
        <w:t xml:space="preserve"> </w:t>
      </w:r>
      <w:r w:rsidRPr="00424500">
        <w:rPr>
          <w:rFonts w:eastAsia="Times New Roman" w:cs="Arial"/>
          <w:color w:val="000000"/>
          <w:lang w:eastAsia="bg-BG"/>
        </w:rPr>
        <w:t>съдържаща се в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е съобщаван минимален ефект или липса на такъв.</w:t>
      </w:r>
    </w:p>
    <w:p w14:paraId="6F8419D7"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При някои пациенти, приемащи </w:t>
      </w:r>
      <w:proofErr w:type="spellStart"/>
      <w:r w:rsidRPr="00424500">
        <w:rPr>
          <w:rFonts w:eastAsia="Times New Roman" w:cs="Arial"/>
          <w:color w:val="000000"/>
          <w:lang w:eastAsia="bg-BG"/>
        </w:rPr>
        <w:t>тиазиди</w:t>
      </w:r>
      <w:proofErr w:type="spellEnd"/>
      <w:r w:rsidRPr="00424500">
        <w:rPr>
          <w:rFonts w:eastAsia="Times New Roman" w:cs="Arial"/>
          <w:color w:val="000000"/>
          <w:lang w:eastAsia="bg-BG"/>
        </w:rPr>
        <w:t xml:space="preserve">, може да настъпи </w:t>
      </w:r>
      <w:proofErr w:type="spellStart"/>
      <w:r w:rsidRPr="00424500">
        <w:rPr>
          <w:rFonts w:eastAsia="Times New Roman" w:cs="Arial"/>
          <w:color w:val="000000"/>
          <w:lang w:eastAsia="bg-BG"/>
        </w:rPr>
        <w:t>хиперурикемия</w:t>
      </w:r>
      <w:proofErr w:type="spellEnd"/>
      <w:r w:rsidRPr="00424500">
        <w:rPr>
          <w:rFonts w:eastAsia="Times New Roman" w:cs="Arial"/>
          <w:color w:val="000000"/>
          <w:lang w:eastAsia="bg-BG"/>
        </w:rPr>
        <w:t xml:space="preserve"> или да се ускори появата на подагра.</w:t>
      </w:r>
    </w:p>
    <w:p w14:paraId="1726B717" w14:textId="77777777" w:rsidR="00DF3D99" w:rsidRPr="00424500" w:rsidRDefault="00DF3D99" w:rsidP="00DF3D99">
      <w:pPr>
        <w:spacing w:line="240" w:lineRule="auto"/>
        <w:rPr>
          <w:rFonts w:eastAsia="Times New Roman" w:cs="Arial"/>
          <w:color w:val="000000"/>
          <w:u w:val="single"/>
          <w:lang w:eastAsia="bg-BG"/>
        </w:rPr>
      </w:pPr>
    </w:p>
    <w:p w14:paraId="39E04C1C" w14:textId="30891CE8"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Нарушен електролитен баланс:</w:t>
      </w:r>
    </w:p>
    <w:p w14:paraId="6CD4A383"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Както при всички пациенти на диуретично лечение, е необходимо периодично проследяване на серумните електролити през определен интервал от време. </w:t>
      </w: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включително хидрохлоротиазид, може да доведат до нарушение във водно-електролитния баланс (хипокалиемия, </w:t>
      </w:r>
      <w:proofErr w:type="spellStart"/>
      <w:r w:rsidRPr="00424500">
        <w:rPr>
          <w:rFonts w:eastAsia="Times New Roman" w:cs="Arial"/>
          <w:color w:val="000000"/>
          <w:lang w:eastAsia="bg-BG"/>
        </w:rPr>
        <w:t>хипонатриемия</w:t>
      </w:r>
      <w:proofErr w:type="spellEnd"/>
      <w:r w:rsidRPr="00424500">
        <w:rPr>
          <w:rFonts w:eastAsia="Times New Roman" w:cs="Arial"/>
          <w:color w:val="000000"/>
          <w:lang w:eastAsia="bg-BG"/>
        </w:rPr>
        <w:t xml:space="preserve"> и </w:t>
      </w:r>
      <w:proofErr w:type="spellStart"/>
      <w:r w:rsidRPr="00424500">
        <w:rPr>
          <w:rFonts w:eastAsia="Times New Roman" w:cs="Arial"/>
          <w:color w:val="000000"/>
          <w:lang w:eastAsia="bg-BG"/>
        </w:rPr>
        <w:t>хипохлоремична</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алкалоза</w:t>
      </w:r>
      <w:proofErr w:type="spellEnd"/>
      <w:r w:rsidRPr="00424500">
        <w:rPr>
          <w:rFonts w:eastAsia="Times New Roman" w:cs="Arial"/>
          <w:color w:val="000000"/>
          <w:lang w:eastAsia="bg-BG"/>
        </w:rPr>
        <w:t xml:space="preserve">). Предупредителни признаци на водния или електролитен дисбаланс са сухота в устата, </w:t>
      </w:r>
      <w:r w:rsidRPr="00424500">
        <w:rPr>
          <w:rFonts w:eastAsia="Times New Roman" w:cs="Arial"/>
          <w:color w:val="000000"/>
          <w:lang w:eastAsia="bg-BG"/>
        </w:rPr>
        <w:lastRenderedPageBreak/>
        <w:t xml:space="preserve">жажда, слабост, летаргия, сънливост, безпокойство, мускулна болка и </w:t>
      </w:r>
      <w:proofErr w:type="spellStart"/>
      <w:r w:rsidRPr="00424500">
        <w:rPr>
          <w:rFonts w:eastAsia="Times New Roman" w:cs="Arial"/>
          <w:color w:val="000000"/>
          <w:lang w:eastAsia="bg-BG"/>
        </w:rPr>
        <w:t>крампи</w:t>
      </w:r>
      <w:proofErr w:type="spellEnd"/>
      <w:r w:rsidRPr="00424500">
        <w:rPr>
          <w:rFonts w:eastAsia="Times New Roman" w:cs="Arial"/>
          <w:color w:val="000000"/>
          <w:lang w:eastAsia="bg-BG"/>
        </w:rPr>
        <w:t xml:space="preserve">, мускулна слабост, хипотония, </w:t>
      </w:r>
      <w:proofErr w:type="spellStart"/>
      <w:r w:rsidRPr="00424500">
        <w:rPr>
          <w:rFonts w:eastAsia="Times New Roman" w:cs="Arial"/>
          <w:color w:val="000000"/>
          <w:lang w:eastAsia="bg-BG"/>
        </w:rPr>
        <w:t>олигурия</w:t>
      </w:r>
      <w:proofErr w:type="spellEnd"/>
      <w:r w:rsidRPr="00424500">
        <w:rPr>
          <w:rFonts w:eastAsia="Times New Roman" w:cs="Arial"/>
          <w:color w:val="000000"/>
          <w:lang w:eastAsia="bg-BG"/>
        </w:rPr>
        <w:t>, тахикардия и нарушения от страна на стомашно-чревния тракт, като гадене или повръщане.</w:t>
      </w:r>
    </w:p>
    <w:p w14:paraId="24C611FD" w14:textId="77777777" w:rsidR="00DF3D99" w:rsidRPr="00424500" w:rsidRDefault="00DF3D99" w:rsidP="00DF3D99">
      <w:pPr>
        <w:spacing w:line="240" w:lineRule="auto"/>
        <w:rPr>
          <w:rFonts w:eastAsia="Times New Roman" w:cs="Arial"/>
          <w:color w:val="000000"/>
          <w:lang w:eastAsia="bg-BG"/>
        </w:rPr>
      </w:pPr>
    </w:p>
    <w:p w14:paraId="3491D486" w14:textId="434AB9C8"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Въпреки че при употребата на </w:t>
      </w:r>
      <w:proofErr w:type="spellStart"/>
      <w:r w:rsidRPr="00424500">
        <w:rPr>
          <w:rFonts w:eastAsia="Times New Roman" w:cs="Arial"/>
          <w:color w:val="000000"/>
          <w:lang w:eastAsia="bg-BG"/>
        </w:rPr>
        <w:t>тиазидни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е възможно развитието на хипокалиемия, едновременното лечение с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може да намали индуцираната от </w:t>
      </w:r>
      <w:proofErr w:type="spellStart"/>
      <w:r w:rsidRPr="00424500">
        <w:rPr>
          <w:rFonts w:eastAsia="Times New Roman" w:cs="Arial"/>
          <w:color w:val="000000"/>
          <w:lang w:eastAsia="bg-BG"/>
        </w:rPr>
        <w:t>диуретика</w:t>
      </w:r>
      <w:proofErr w:type="spellEnd"/>
      <w:r w:rsidRPr="00424500">
        <w:rPr>
          <w:rFonts w:eastAsia="Times New Roman" w:cs="Arial"/>
          <w:color w:val="000000"/>
          <w:lang w:eastAsia="bg-BG"/>
        </w:rPr>
        <w:t xml:space="preserve"> хипокалиемия. Рискът от хипокалиемия е по-голям при пациентите с чернодробна цироза, при пациентите с форсирана </w:t>
      </w:r>
      <w:proofErr w:type="spellStart"/>
      <w:r w:rsidRPr="00424500">
        <w:rPr>
          <w:rFonts w:eastAsia="Times New Roman" w:cs="Arial"/>
          <w:color w:val="000000"/>
          <w:lang w:eastAsia="bg-BG"/>
        </w:rPr>
        <w:t>диуреза</w:t>
      </w:r>
      <w:proofErr w:type="spellEnd"/>
      <w:r w:rsidRPr="00424500">
        <w:rPr>
          <w:rFonts w:eastAsia="Times New Roman" w:cs="Arial"/>
          <w:color w:val="000000"/>
          <w:lang w:eastAsia="bg-BG"/>
        </w:rPr>
        <w:t xml:space="preserve">, при пациентите с неадекватен перорален прием на електролити и при пациентите на съпътстващо лечение с кортикостероиди или АКТХ. Обратно на това, поради съдържанието на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в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е възможна появата на </w:t>
      </w:r>
      <w:proofErr w:type="spellStart"/>
      <w:r w:rsidRPr="00424500">
        <w:rPr>
          <w:rFonts w:eastAsia="Times New Roman" w:cs="Arial"/>
          <w:color w:val="000000"/>
          <w:lang w:eastAsia="bg-BG"/>
        </w:rPr>
        <w:t>хиперкалиемия</w:t>
      </w:r>
      <w:proofErr w:type="spellEnd"/>
      <w:r w:rsidRPr="00424500">
        <w:rPr>
          <w:rFonts w:eastAsia="Times New Roman" w:cs="Arial"/>
          <w:color w:val="000000"/>
          <w:lang w:eastAsia="bg-BG"/>
        </w:rPr>
        <w:t xml:space="preserve">, особено при наличието на бъбречно увреждане и/или сърдечна недостатъчност и захарен диабет. При пациентите с повишен риск се препоръчва съответно проследяване на серумния калий. Калий- съхраняващи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калиеви добавки или калий съдържащи заместители на солта трябва да се прилагат внимателно по време на лечението с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(вж. точка 4.5).</w:t>
      </w:r>
    </w:p>
    <w:p w14:paraId="4A1C1B48" w14:textId="77777777" w:rsidR="00DF3D99" w:rsidRPr="00424500" w:rsidRDefault="00DF3D99" w:rsidP="00DF3D99">
      <w:pPr>
        <w:spacing w:line="240" w:lineRule="auto"/>
        <w:rPr>
          <w:rFonts w:eastAsia="Times New Roman" w:cs="Arial"/>
          <w:color w:val="000000"/>
          <w:lang w:eastAsia="bg-BG"/>
        </w:rPr>
      </w:pPr>
    </w:p>
    <w:p w14:paraId="5992DCF0" w14:textId="5DACD2B4"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Няма данни, че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понижава или предотвратява индуцираната от </w:t>
      </w:r>
      <w:proofErr w:type="spellStart"/>
      <w:r w:rsidRPr="00424500">
        <w:rPr>
          <w:rFonts w:eastAsia="Times New Roman" w:cs="Arial"/>
          <w:color w:val="000000"/>
          <w:lang w:eastAsia="bg-BG"/>
        </w:rPr>
        <w:t>диуретика</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хипонатриемия</w:t>
      </w:r>
      <w:proofErr w:type="spellEnd"/>
      <w:r w:rsidRPr="00424500">
        <w:rPr>
          <w:rFonts w:eastAsia="Times New Roman" w:cs="Arial"/>
          <w:color w:val="000000"/>
          <w:lang w:eastAsia="bg-BG"/>
        </w:rPr>
        <w:t>. Пониженото ниво на хлориди обикновено е лек и не изисква лечение.</w:t>
      </w:r>
    </w:p>
    <w:p w14:paraId="0A5A4E0B" w14:textId="77777777" w:rsidR="00DF3D99" w:rsidRPr="00424500" w:rsidRDefault="00DF3D99" w:rsidP="00DF3D99">
      <w:pPr>
        <w:spacing w:line="240" w:lineRule="auto"/>
        <w:rPr>
          <w:rFonts w:eastAsia="Times New Roman" w:cs="Arial"/>
          <w:color w:val="000000"/>
          <w:lang w:eastAsia="bg-BG"/>
        </w:rPr>
      </w:pPr>
    </w:p>
    <w:p w14:paraId="7232CF3B" w14:textId="334F7578" w:rsidR="00DF3D99" w:rsidRPr="00424500" w:rsidRDefault="00DF3D99" w:rsidP="00DF3D99">
      <w:pPr>
        <w:spacing w:line="240" w:lineRule="auto"/>
        <w:rPr>
          <w:rFonts w:eastAsia="Times New Roman" w:cs="Arial"/>
        </w:rPr>
      </w:pP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могат да понижат екскрецията на калций чрез урината и да доведат до появата на </w:t>
      </w:r>
      <w:proofErr w:type="spellStart"/>
      <w:r w:rsidRPr="00424500">
        <w:rPr>
          <w:rFonts w:eastAsia="Times New Roman" w:cs="Arial"/>
          <w:color w:val="000000"/>
          <w:lang w:eastAsia="bg-BG"/>
        </w:rPr>
        <w:t>интермитентно</w:t>
      </w:r>
      <w:proofErr w:type="spellEnd"/>
      <w:r w:rsidRPr="00424500">
        <w:rPr>
          <w:rFonts w:eastAsia="Times New Roman" w:cs="Arial"/>
          <w:color w:val="000000"/>
          <w:lang w:eastAsia="bg-BG"/>
        </w:rPr>
        <w:t xml:space="preserve"> и леко повишение на серумния калций при липса на известни нарушения на калциевия метаболизъм. Значителната </w:t>
      </w:r>
      <w:proofErr w:type="spellStart"/>
      <w:r w:rsidRPr="00424500">
        <w:rPr>
          <w:rFonts w:eastAsia="Times New Roman" w:cs="Arial"/>
          <w:color w:val="000000"/>
          <w:lang w:eastAsia="bg-BG"/>
        </w:rPr>
        <w:t>хиперкалциемия</w:t>
      </w:r>
      <w:proofErr w:type="spellEnd"/>
      <w:r w:rsidRPr="00424500">
        <w:rPr>
          <w:rFonts w:eastAsia="Times New Roman" w:cs="Arial"/>
          <w:color w:val="000000"/>
          <w:lang w:eastAsia="bg-BG"/>
        </w:rPr>
        <w:t xml:space="preserve"> може да бъде признак на скрит </w:t>
      </w:r>
      <w:proofErr w:type="spellStart"/>
      <w:r w:rsidRPr="00424500">
        <w:rPr>
          <w:rFonts w:eastAsia="Times New Roman" w:cs="Arial"/>
          <w:color w:val="000000"/>
          <w:lang w:eastAsia="bg-BG"/>
        </w:rPr>
        <w:t>хиперпаратиреоидизъм</w:t>
      </w:r>
      <w:proofErr w:type="spellEnd"/>
      <w:r w:rsidRPr="00424500">
        <w:rPr>
          <w:rFonts w:eastAsia="Times New Roman" w:cs="Arial"/>
          <w:color w:val="000000"/>
          <w:lang w:eastAsia="bg-BG"/>
        </w:rPr>
        <w:t xml:space="preserve">. Приемът на </w:t>
      </w:r>
      <w:proofErr w:type="spellStart"/>
      <w:r w:rsidRPr="00424500">
        <w:rPr>
          <w:rFonts w:eastAsia="Times New Roman" w:cs="Arial"/>
          <w:color w:val="000000"/>
          <w:lang w:eastAsia="bg-BG"/>
        </w:rPr>
        <w:t>тиазиди</w:t>
      </w:r>
      <w:proofErr w:type="spellEnd"/>
      <w:r w:rsidRPr="00424500">
        <w:rPr>
          <w:rFonts w:eastAsia="Times New Roman" w:cs="Arial"/>
          <w:color w:val="000000"/>
          <w:lang w:eastAsia="bg-BG"/>
        </w:rPr>
        <w:t xml:space="preserve"> трябва да бъде преустановен преди провеждането на изследвания на функцията на </w:t>
      </w:r>
      <w:proofErr w:type="spellStart"/>
      <w:r w:rsidRPr="00424500">
        <w:rPr>
          <w:rFonts w:eastAsia="Times New Roman" w:cs="Arial"/>
          <w:color w:val="000000"/>
          <w:lang w:eastAsia="bg-BG"/>
        </w:rPr>
        <w:t>паращитовидните</w:t>
      </w:r>
      <w:proofErr w:type="spellEnd"/>
      <w:r w:rsidRPr="00424500">
        <w:rPr>
          <w:rFonts w:eastAsia="Times New Roman" w:cs="Arial"/>
          <w:color w:val="000000"/>
          <w:lang w:eastAsia="bg-BG"/>
        </w:rPr>
        <w:t xml:space="preserve"> жлези.</w:t>
      </w:r>
    </w:p>
    <w:p w14:paraId="224507CA" w14:textId="77777777" w:rsidR="00DF3D99" w:rsidRPr="00424500" w:rsidRDefault="00DF3D99" w:rsidP="00DF3D99">
      <w:pPr>
        <w:spacing w:line="240" w:lineRule="auto"/>
        <w:rPr>
          <w:rFonts w:eastAsia="Times New Roman" w:cs="Arial"/>
        </w:rPr>
      </w:pP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са показали повишение на екскрецията на магнезия с урината, което може да доведе до </w:t>
      </w:r>
      <w:proofErr w:type="spellStart"/>
      <w:r w:rsidRPr="00424500">
        <w:rPr>
          <w:rFonts w:eastAsia="Times New Roman" w:cs="Arial"/>
          <w:color w:val="000000"/>
          <w:lang w:eastAsia="bg-BG"/>
        </w:rPr>
        <w:t>хипомагнезиемия</w:t>
      </w:r>
      <w:proofErr w:type="spellEnd"/>
      <w:r w:rsidRPr="00424500">
        <w:rPr>
          <w:rFonts w:eastAsia="Times New Roman" w:cs="Arial"/>
          <w:color w:val="000000"/>
          <w:lang w:eastAsia="bg-BG"/>
        </w:rPr>
        <w:t>.</w:t>
      </w:r>
    </w:p>
    <w:p w14:paraId="11950946" w14:textId="77777777" w:rsidR="00DF3D99" w:rsidRPr="00424500" w:rsidRDefault="00DF3D99" w:rsidP="00DF3D99">
      <w:pPr>
        <w:spacing w:line="240" w:lineRule="auto"/>
        <w:rPr>
          <w:rFonts w:eastAsia="Times New Roman" w:cs="Arial"/>
          <w:color w:val="000000"/>
          <w:u w:val="single"/>
          <w:lang w:eastAsia="bg-BG"/>
        </w:rPr>
      </w:pPr>
    </w:p>
    <w:p w14:paraId="4D48A5E0" w14:textId="4570C07B"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Литий:</w:t>
      </w:r>
    </w:p>
    <w:p w14:paraId="771065E0"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Комбинирането на литий с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не се препоръчва (вж. точка 4.5).</w:t>
      </w:r>
    </w:p>
    <w:p w14:paraId="73DD4EFD" w14:textId="77777777" w:rsidR="00DF3D99" w:rsidRPr="00424500" w:rsidRDefault="00DF3D99" w:rsidP="00DF3D99">
      <w:pPr>
        <w:spacing w:line="240" w:lineRule="auto"/>
        <w:rPr>
          <w:rFonts w:eastAsia="Times New Roman" w:cs="Arial"/>
          <w:color w:val="000000"/>
          <w:u w:val="single"/>
          <w:lang w:eastAsia="bg-BG"/>
        </w:rPr>
      </w:pPr>
    </w:p>
    <w:p w14:paraId="4B214AF8" w14:textId="1D918D10"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Анти-допинг тест:</w:t>
      </w:r>
    </w:p>
    <w:p w14:paraId="5745EB07"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Хидрохлоротиазид, съдържащ се в този лекарствен продукт, може да доведе до положителен аналитичен резултат при анти-допинг тест.</w:t>
      </w:r>
    </w:p>
    <w:p w14:paraId="177697F0" w14:textId="77777777" w:rsidR="00DF3D99" w:rsidRPr="00424500" w:rsidRDefault="00DF3D99" w:rsidP="00DF3D99">
      <w:pPr>
        <w:spacing w:line="240" w:lineRule="auto"/>
        <w:rPr>
          <w:rFonts w:eastAsia="Times New Roman" w:cs="Arial"/>
          <w:color w:val="000000"/>
          <w:u w:val="single"/>
          <w:lang w:eastAsia="bg-BG"/>
        </w:rPr>
      </w:pPr>
    </w:p>
    <w:p w14:paraId="30564AB4" w14:textId="0C2C3840"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Общи:</w:t>
      </w:r>
    </w:p>
    <w:p w14:paraId="1D796C54" w14:textId="77777777" w:rsidR="00DF3D99" w:rsidRPr="00424500" w:rsidRDefault="00DF3D99" w:rsidP="00DF3D99">
      <w:pPr>
        <w:rPr>
          <w:rFonts w:eastAsia="Times New Roman" w:cs="Arial"/>
        </w:rPr>
      </w:pPr>
      <w:r w:rsidRPr="00424500">
        <w:rPr>
          <w:rFonts w:eastAsia="Times New Roman" w:cs="Arial"/>
          <w:color w:val="000000"/>
          <w:lang w:eastAsia="bg-BG"/>
        </w:rPr>
        <w:t>При пациентите, чийто съдов тонус и бъбречна функция зависят предимно от активността на ренин-</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w:t>
      </w:r>
      <w:proofErr w:type="spellStart"/>
      <w:r w:rsidRPr="00424500">
        <w:rPr>
          <w:rFonts w:eastAsia="Times New Roman" w:cs="Arial"/>
          <w:color w:val="000000"/>
          <w:lang w:eastAsia="bg-BG"/>
        </w:rPr>
        <w:t>алдостероновата</w:t>
      </w:r>
      <w:proofErr w:type="spellEnd"/>
      <w:r w:rsidRPr="00424500">
        <w:rPr>
          <w:rFonts w:eastAsia="Times New Roman" w:cs="Arial"/>
          <w:color w:val="000000"/>
          <w:lang w:eastAsia="bg-BG"/>
        </w:rPr>
        <w:t xml:space="preserve"> система (напр. пациенти с тежка </w:t>
      </w:r>
      <w:proofErr w:type="spellStart"/>
      <w:r w:rsidRPr="00424500">
        <w:rPr>
          <w:rFonts w:eastAsia="Times New Roman" w:cs="Arial"/>
          <w:color w:val="000000"/>
          <w:lang w:eastAsia="bg-BG"/>
        </w:rPr>
        <w:t>конгестивна</w:t>
      </w:r>
      <w:proofErr w:type="spellEnd"/>
      <w:r w:rsidRPr="00424500">
        <w:rPr>
          <w:rFonts w:eastAsia="Times New Roman" w:cs="Arial"/>
          <w:color w:val="000000"/>
          <w:lang w:eastAsia="bg-BG"/>
        </w:rPr>
        <w:t xml:space="preserve"> сърдечна недостатъчност или подлежащо бъбречно заболяване, включително </w:t>
      </w:r>
      <w:proofErr w:type="spellStart"/>
      <w:r w:rsidRPr="00424500">
        <w:rPr>
          <w:rFonts w:eastAsia="Times New Roman" w:cs="Arial"/>
          <w:color w:val="000000"/>
          <w:lang w:eastAsia="bg-BG"/>
        </w:rPr>
        <w:t>стеноза</w:t>
      </w:r>
      <w:proofErr w:type="spellEnd"/>
      <w:r w:rsidRPr="00424500">
        <w:rPr>
          <w:rFonts w:eastAsia="Times New Roman" w:cs="Arial"/>
          <w:color w:val="000000"/>
          <w:lang w:eastAsia="bg-BG"/>
        </w:rPr>
        <w:t xml:space="preserve"> на бъбречната</w:t>
      </w:r>
      <w:r w:rsidRPr="00424500">
        <w:rPr>
          <w:rFonts w:eastAsia="Times New Roman" w:cs="Arial"/>
          <w:i/>
          <w:iCs/>
          <w:color w:val="000000"/>
          <w:lang w:eastAsia="bg-BG"/>
        </w:rPr>
        <w:t xml:space="preserve"> </w:t>
      </w:r>
      <w:r w:rsidRPr="00424500">
        <w:rPr>
          <w:rFonts w:eastAsia="Times New Roman" w:cs="Arial"/>
          <w:color w:val="000000"/>
          <w:lang w:eastAsia="bg-BG"/>
        </w:rPr>
        <w:t xml:space="preserve">артерия), лечението с инхибитори на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конвертиращия ензим или с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r w:rsidRPr="00424500">
        <w:rPr>
          <w:rFonts w:eastAsia="Times New Roman" w:cs="Arial"/>
          <w:color w:val="000000"/>
        </w:rPr>
        <w:t>II-</w:t>
      </w:r>
      <w:r w:rsidRPr="00424500">
        <w:rPr>
          <w:rFonts w:eastAsia="Times New Roman" w:cs="Arial"/>
          <w:color w:val="000000"/>
          <w:lang w:eastAsia="bg-BG"/>
        </w:rPr>
        <w:t xml:space="preserve">рецепторни антагонисти, повлияващи тази система, е свързано с остра хипотония, </w:t>
      </w:r>
      <w:proofErr w:type="spellStart"/>
      <w:r w:rsidRPr="00424500">
        <w:rPr>
          <w:rFonts w:eastAsia="Times New Roman" w:cs="Arial"/>
          <w:color w:val="000000"/>
          <w:lang w:eastAsia="bg-BG"/>
        </w:rPr>
        <w:t>азотемия</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олигурия</w:t>
      </w:r>
      <w:proofErr w:type="spellEnd"/>
      <w:r w:rsidRPr="00424500">
        <w:rPr>
          <w:rFonts w:eastAsia="Times New Roman" w:cs="Arial"/>
          <w:color w:val="000000"/>
          <w:lang w:eastAsia="bg-BG"/>
        </w:rPr>
        <w:t xml:space="preserve"> или рядко остра бъбречна недостатъчност (вж. точка 4.5). Както при останалите </w:t>
      </w:r>
      <w:proofErr w:type="spellStart"/>
      <w:r w:rsidRPr="00424500">
        <w:rPr>
          <w:rFonts w:eastAsia="Times New Roman" w:cs="Arial"/>
          <w:color w:val="000000"/>
          <w:lang w:eastAsia="bg-BG"/>
        </w:rPr>
        <w:t>антихипергензивни</w:t>
      </w:r>
      <w:proofErr w:type="spellEnd"/>
      <w:r w:rsidRPr="00424500">
        <w:rPr>
          <w:rFonts w:eastAsia="Times New Roman" w:cs="Arial"/>
          <w:color w:val="000000"/>
          <w:lang w:eastAsia="bg-BG"/>
        </w:rPr>
        <w:t xml:space="preserve"> средства, прекомерното понижение на кръвното налягане при пациенти с исхемична </w:t>
      </w:r>
      <w:proofErr w:type="spellStart"/>
      <w:r w:rsidRPr="00424500">
        <w:rPr>
          <w:rFonts w:eastAsia="Times New Roman" w:cs="Arial"/>
          <w:color w:val="000000"/>
          <w:lang w:eastAsia="bg-BG"/>
        </w:rPr>
        <w:t>кардиопатия</w:t>
      </w:r>
      <w:proofErr w:type="spellEnd"/>
      <w:r w:rsidRPr="00424500">
        <w:rPr>
          <w:rFonts w:eastAsia="Times New Roman" w:cs="Arial"/>
          <w:color w:val="000000"/>
          <w:lang w:eastAsia="bg-BG"/>
        </w:rPr>
        <w:t xml:space="preserve"> или исхемично сърдечно-съдово заболяване, може да доведе до инфаркт на миокарда или инсулт.</w:t>
      </w:r>
    </w:p>
    <w:p w14:paraId="7209D10B" w14:textId="77777777" w:rsidR="00DF3D99" w:rsidRPr="00424500" w:rsidRDefault="00DF3D99" w:rsidP="00DF3D99">
      <w:pPr>
        <w:spacing w:line="240" w:lineRule="auto"/>
        <w:rPr>
          <w:rFonts w:eastAsia="Times New Roman" w:cs="Arial"/>
          <w:color w:val="000000"/>
          <w:lang w:eastAsia="bg-BG"/>
        </w:rPr>
      </w:pPr>
    </w:p>
    <w:p w14:paraId="563D981F" w14:textId="1A560BA7" w:rsidR="00DF3D99" w:rsidRPr="00424500" w:rsidRDefault="00DF3D99" w:rsidP="00DF3D99">
      <w:pPr>
        <w:spacing w:line="240" w:lineRule="auto"/>
        <w:rPr>
          <w:rFonts w:eastAsia="Times New Roman" w:cs="Arial"/>
        </w:rPr>
      </w:pPr>
      <w:r w:rsidRPr="00424500">
        <w:rPr>
          <w:rFonts w:eastAsia="Times New Roman" w:cs="Arial"/>
          <w:color w:val="000000"/>
          <w:lang w:eastAsia="bg-BG"/>
        </w:rPr>
        <w:t>Реакции на свръхчувствителност към хидрохлоротиазид може да настъпят при пациенти с или без анамнеза за алергия или бронхиална астма, но са по-характерни при пациентите с такава анамнеза.</w:t>
      </w:r>
    </w:p>
    <w:p w14:paraId="52802F1F" w14:textId="77777777" w:rsidR="00DF3D99" w:rsidRPr="00424500" w:rsidRDefault="00DF3D99" w:rsidP="00DF3D99">
      <w:pPr>
        <w:spacing w:line="240" w:lineRule="auto"/>
        <w:rPr>
          <w:rFonts w:eastAsia="Times New Roman" w:cs="Arial"/>
          <w:color w:val="000000"/>
          <w:lang w:eastAsia="bg-BG"/>
        </w:rPr>
      </w:pPr>
    </w:p>
    <w:p w14:paraId="1401D3A7" w14:textId="7DA588DB" w:rsidR="00DF3D99" w:rsidRPr="00424500" w:rsidRDefault="00DF3D99" w:rsidP="00DF3D99">
      <w:pPr>
        <w:spacing w:line="240" w:lineRule="auto"/>
        <w:rPr>
          <w:rFonts w:eastAsia="Times New Roman" w:cs="Arial"/>
        </w:rPr>
      </w:pPr>
      <w:r w:rsidRPr="00424500">
        <w:rPr>
          <w:rFonts w:eastAsia="Times New Roman" w:cs="Arial"/>
          <w:color w:val="000000"/>
          <w:lang w:eastAsia="bg-BG"/>
        </w:rPr>
        <w:lastRenderedPageBreak/>
        <w:t xml:space="preserve">Има съобщения за </w:t>
      </w:r>
      <w:proofErr w:type="spellStart"/>
      <w:r w:rsidRPr="00424500">
        <w:rPr>
          <w:rFonts w:eastAsia="Times New Roman" w:cs="Arial"/>
          <w:color w:val="000000"/>
          <w:lang w:eastAsia="bg-BG"/>
        </w:rPr>
        <w:t>екзацербация</w:t>
      </w:r>
      <w:proofErr w:type="spellEnd"/>
      <w:r w:rsidRPr="00424500">
        <w:rPr>
          <w:rFonts w:eastAsia="Times New Roman" w:cs="Arial"/>
          <w:color w:val="000000"/>
          <w:lang w:eastAsia="bg-BG"/>
        </w:rPr>
        <w:t xml:space="preserve"> или активиране на системен </w:t>
      </w:r>
      <w:proofErr w:type="spellStart"/>
      <w:r w:rsidRPr="00424500">
        <w:rPr>
          <w:rFonts w:eastAsia="Times New Roman" w:cs="Arial"/>
          <w:color w:val="000000"/>
          <w:lang w:eastAsia="bg-BG"/>
        </w:rPr>
        <w:t>лупус</w:t>
      </w:r>
      <w:proofErr w:type="spellEnd"/>
      <w:r w:rsidRPr="00424500">
        <w:rPr>
          <w:rFonts w:eastAsia="Times New Roman" w:cs="Arial"/>
          <w:color w:val="000000"/>
          <w:lang w:eastAsia="bg-BG"/>
        </w:rPr>
        <w:t xml:space="preserve"> еритематодес при употребата на </w:t>
      </w:r>
      <w:proofErr w:type="spellStart"/>
      <w:r w:rsidRPr="00424500">
        <w:rPr>
          <w:rFonts w:eastAsia="Times New Roman" w:cs="Arial"/>
          <w:color w:val="000000"/>
          <w:lang w:eastAsia="bg-BG"/>
        </w:rPr>
        <w:t>тиазидни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w:t>
      </w:r>
    </w:p>
    <w:p w14:paraId="03980161" w14:textId="77777777" w:rsidR="00DF3D99" w:rsidRPr="00424500" w:rsidRDefault="00DF3D99" w:rsidP="00DF3D99">
      <w:pPr>
        <w:spacing w:line="240" w:lineRule="auto"/>
        <w:rPr>
          <w:rFonts w:eastAsia="Times New Roman" w:cs="Arial"/>
          <w:color w:val="000000"/>
          <w:lang w:eastAsia="bg-BG"/>
        </w:rPr>
      </w:pPr>
    </w:p>
    <w:p w14:paraId="252160D9" w14:textId="1A9C91F4"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Съобщени са случаи на реакции на </w:t>
      </w:r>
      <w:proofErr w:type="spellStart"/>
      <w:r w:rsidRPr="00424500">
        <w:rPr>
          <w:rFonts w:eastAsia="Times New Roman" w:cs="Arial"/>
          <w:color w:val="000000"/>
          <w:lang w:eastAsia="bg-BG"/>
        </w:rPr>
        <w:t>фоточуствителност</w:t>
      </w:r>
      <w:proofErr w:type="spellEnd"/>
      <w:r w:rsidRPr="00424500">
        <w:rPr>
          <w:rFonts w:eastAsia="Times New Roman" w:cs="Arial"/>
          <w:color w:val="000000"/>
          <w:lang w:eastAsia="bg-BG"/>
        </w:rPr>
        <w:t xml:space="preserve"> при употреба на </w:t>
      </w:r>
      <w:proofErr w:type="spellStart"/>
      <w:r w:rsidRPr="00424500">
        <w:rPr>
          <w:rFonts w:eastAsia="Times New Roman" w:cs="Arial"/>
          <w:color w:val="000000"/>
          <w:lang w:eastAsia="bg-BG"/>
        </w:rPr>
        <w:t>тиазидни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(вж. точка 4.8). Ако по време на лечението се прояви реакция на фоточувствителност, препоръчва се лечението да се прекрати. Ако се счита за необходимо повторно прилагане на </w:t>
      </w:r>
      <w:proofErr w:type="spellStart"/>
      <w:r w:rsidRPr="00424500">
        <w:rPr>
          <w:rFonts w:eastAsia="Times New Roman" w:cs="Arial"/>
          <w:color w:val="000000"/>
          <w:lang w:eastAsia="bg-BG"/>
        </w:rPr>
        <w:t>диуретика</w:t>
      </w:r>
      <w:proofErr w:type="spellEnd"/>
      <w:r w:rsidRPr="00424500">
        <w:rPr>
          <w:rFonts w:eastAsia="Times New Roman" w:cs="Arial"/>
          <w:color w:val="000000"/>
          <w:lang w:eastAsia="bg-BG"/>
        </w:rPr>
        <w:t xml:space="preserve">, препоръчва се изложените на слънце или на изкуствена </w:t>
      </w:r>
      <w:r w:rsidRPr="00424500">
        <w:rPr>
          <w:rFonts w:eastAsia="Times New Roman" w:cs="Arial"/>
          <w:color w:val="000000"/>
        </w:rPr>
        <w:t xml:space="preserve">UVA </w:t>
      </w:r>
      <w:r w:rsidRPr="00424500">
        <w:rPr>
          <w:rFonts w:eastAsia="Times New Roman" w:cs="Arial"/>
          <w:color w:val="000000"/>
          <w:lang w:eastAsia="bg-BG"/>
        </w:rPr>
        <w:t>светлина области да се защитят.</w:t>
      </w:r>
    </w:p>
    <w:p w14:paraId="4A35C5B4" w14:textId="77777777" w:rsidR="00DF3D99" w:rsidRPr="00424500" w:rsidRDefault="00DF3D99" w:rsidP="00DF3D99">
      <w:pPr>
        <w:spacing w:line="240" w:lineRule="auto"/>
        <w:rPr>
          <w:rFonts w:eastAsia="Times New Roman" w:cs="Arial"/>
          <w:color w:val="000000"/>
          <w:u w:val="single"/>
          <w:lang w:eastAsia="bg-BG"/>
        </w:rPr>
      </w:pPr>
    </w:p>
    <w:p w14:paraId="0C8D1AA2" w14:textId="7979A181"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Бременност:</w:t>
      </w:r>
    </w:p>
    <w:p w14:paraId="1C437C5D"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Лечение с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r w:rsidRPr="00424500">
        <w:rPr>
          <w:rFonts w:eastAsia="Times New Roman" w:cs="Arial"/>
          <w:color w:val="000000"/>
        </w:rPr>
        <w:t>II</w:t>
      </w:r>
      <w:r w:rsidRPr="00424500">
        <w:rPr>
          <w:rFonts w:eastAsia="Times New Roman" w:cs="Arial"/>
          <w:color w:val="000000"/>
          <w:lang w:eastAsia="bg-BG"/>
        </w:rPr>
        <w:t xml:space="preserve">-рецепторни антагонисти </w:t>
      </w:r>
      <w:r w:rsidRPr="00424500">
        <w:rPr>
          <w:rFonts w:eastAsia="Times New Roman" w:cs="Arial"/>
          <w:color w:val="000000"/>
        </w:rPr>
        <w:t>(</w:t>
      </w:r>
      <w:proofErr w:type="spellStart"/>
      <w:r w:rsidRPr="00424500">
        <w:rPr>
          <w:rFonts w:eastAsia="Times New Roman" w:cs="Arial"/>
          <w:color w:val="000000"/>
        </w:rPr>
        <w:t>AIIRAs</w:t>
      </w:r>
      <w:proofErr w:type="spellEnd"/>
      <w:r w:rsidRPr="00424500">
        <w:rPr>
          <w:rFonts w:eastAsia="Times New Roman" w:cs="Arial"/>
          <w:color w:val="000000"/>
        </w:rPr>
        <w:t xml:space="preserve">) </w:t>
      </w:r>
      <w:r w:rsidRPr="00424500">
        <w:rPr>
          <w:rFonts w:eastAsia="Times New Roman" w:cs="Arial"/>
          <w:color w:val="000000"/>
          <w:lang w:eastAsia="bg-BG"/>
        </w:rPr>
        <w:t xml:space="preserve">не трябва да се започва по време на бременност.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се счита, че от особена важност да се продължи с лечението с </w:t>
      </w:r>
      <w:proofErr w:type="spellStart"/>
      <w:r w:rsidRPr="00424500">
        <w:rPr>
          <w:rFonts w:eastAsia="Times New Roman" w:cs="Arial"/>
          <w:color w:val="000000"/>
        </w:rPr>
        <w:t>AIIRAs</w:t>
      </w:r>
      <w:proofErr w:type="spellEnd"/>
      <w:r w:rsidRPr="00424500">
        <w:rPr>
          <w:rFonts w:eastAsia="Times New Roman" w:cs="Arial"/>
          <w:color w:val="000000"/>
        </w:rPr>
        <w:t xml:space="preserve">. </w:t>
      </w:r>
      <w:r w:rsidRPr="00424500">
        <w:rPr>
          <w:rFonts w:eastAsia="Times New Roman" w:cs="Arial"/>
          <w:color w:val="000000"/>
          <w:lang w:eastAsia="bg-BG"/>
        </w:rPr>
        <w:t xml:space="preserve">Когато се установи бременност, лечението с </w:t>
      </w:r>
      <w:proofErr w:type="spellStart"/>
      <w:r w:rsidRPr="00424500">
        <w:rPr>
          <w:rFonts w:eastAsia="Times New Roman" w:cs="Arial"/>
          <w:color w:val="000000"/>
        </w:rPr>
        <w:t>AIIRAs</w:t>
      </w:r>
      <w:proofErr w:type="spellEnd"/>
      <w:r w:rsidRPr="00424500">
        <w:rPr>
          <w:rFonts w:eastAsia="Times New Roman" w:cs="Arial"/>
          <w:color w:val="000000"/>
        </w:rPr>
        <w:t xml:space="preserve"> </w:t>
      </w:r>
      <w:r w:rsidRPr="00424500">
        <w:rPr>
          <w:rFonts w:eastAsia="Times New Roman" w:cs="Arial"/>
          <w:color w:val="000000"/>
          <w:lang w:eastAsia="bg-BG"/>
        </w:rPr>
        <w:t>трябва незабавно да се прекрати и ако е подходящо, да се започне алтернативно лечение (вж. точки 4.3 и 4.6).</w:t>
      </w:r>
    </w:p>
    <w:p w14:paraId="527F8901" w14:textId="77777777" w:rsidR="00DF3D99" w:rsidRPr="00424500" w:rsidRDefault="00DF3D99" w:rsidP="00DF3D99">
      <w:pPr>
        <w:spacing w:line="240" w:lineRule="auto"/>
        <w:rPr>
          <w:rFonts w:eastAsia="Times New Roman" w:cs="Arial"/>
          <w:color w:val="000000"/>
          <w:u w:val="single"/>
          <w:lang w:eastAsia="bg-BG"/>
        </w:rPr>
      </w:pPr>
    </w:p>
    <w:p w14:paraId="6406C883" w14:textId="0BEE5D57" w:rsidR="00DF3D99" w:rsidRPr="00424500" w:rsidRDefault="00DF3D99" w:rsidP="00DF3D99">
      <w:pPr>
        <w:spacing w:line="240" w:lineRule="auto"/>
        <w:rPr>
          <w:rFonts w:eastAsia="Times New Roman" w:cs="Arial"/>
        </w:rPr>
      </w:pPr>
      <w:proofErr w:type="spellStart"/>
      <w:r w:rsidRPr="00424500">
        <w:rPr>
          <w:rFonts w:eastAsia="Times New Roman" w:cs="Arial"/>
          <w:color w:val="000000"/>
          <w:u w:val="single"/>
          <w:lang w:eastAsia="bg-BG"/>
        </w:rPr>
        <w:t>Хороидален</w:t>
      </w:r>
      <w:proofErr w:type="spellEnd"/>
      <w:r w:rsidRPr="00424500">
        <w:rPr>
          <w:rFonts w:eastAsia="Times New Roman" w:cs="Arial"/>
          <w:color w:val="000000"/>
          <w:u w:val="single"/>
          <w:lang w:eastAsia="bg-BG"/>
        </w:rPr>
        <w:t xml:space="preserve"> излив, остра </w:t>
      </w:r>
      <w:proofErr w:type="spellStart"/>
      <w:r w:rsidRPr="00424500">
        <w:rPr>
          <w:rFonts w:eastAsia="Times New Roman" w:cs="Arial"/>
          <w:color w:val="000000"/>
          <w:u w:val="single"/>
          <w:lang w:eastAsia="bg-BG"/>
        </w:rPr>
        <w:t>миопия</w:t>
      </w:r>
      <w:proofErr w:type="spellEnd"/>
      <w:r w:rsidRPr="00424500">
        <w:rPr>
          <w:rFonts w:eastAsia="Times New Roman" w:cs="Arial"/>
          <w:color w:val="000000"/>
          <w:u w:val="single"/>
          <w:lang w:eastAsia="bg-BG"/>
        </w:rPr>
        <w:t xml:space="preserve"> и вторична </w:t>
      </w:r>
      <w:proofErr w:type="spellStart"/>
      <w:r w:rsidRPr="00424500">
        <w:rPr>
          <w:rFonts w:eastAsia="Times New Roman" w:cs="Arial"/>
          <w:color w:val="000000"/>
          <w:u w:val="single"/>
          <w:lang w:eastAsia="bg-BG"/>
        </w:rPr>
        <w:t>закритоъгълна</w:t>
      </w:r>
      <w:proofErr w:type="spellEnd"/>
      <w:r w:rsidRPr="00424500">
        <w:rPr>
          <w:rFonts w:eastAsia="Times New Roman" w:cs="Arial"/>
          <w:color w:val="000000"/>
          <w:u w:val="single"/>
          <w:lang w:eastAsia="bg-BG"/>
        </w:rPr>
        <w:t xml:space="preserve"> глаукома:</w:t>
      </w:r>
    </w:p>
    <w:p w14:paraId="7347236D" w14:textId="77777777" w:rsidR="00DF3D99" w:rsidRPr="00424500" w:rsidRDefault="00DF3D99" w:rsidP="00DF3D99">
      <w:pPr>
        <w:spacing w:line="240" w:lineRule="auto"/>
        <w:rPr>
          <w:rFonts w:eastAsia="Times New Roman" w:cs="Arial"/>
        </w:rPr>
      </w:pPr>
      <w:proofErr w:type="spellStart"/>
      <w:r w:rsidRPr="00424500">
        <w:rPr>
          <w:rFonts w:eastAsia="Times New Roman" w:cs="Arial"/>
          <w:color w:val="000000"/>
          <w:lang w:eastAsia="bg-BG"/>
        </w:rPr>
        <w:t>Сулфонамидни</w:t>
      </w:r>
      <w:proofErr w:type="spellEnd"/>
      <w:r w:rsidRPr="00424500">
        <w:rPr>
          <w:rFonts w:eastAsia="Times New Roman" w:cs="Arial"/>
          <w:color w:val="000000"/>
          <w:lang w:eastAsia="bg-BG"/>
        </w:rPr>
        <w:t xml:space="preserve"> лекарствени продукти или производни на </w:t>
      </w:r>
      <w:proofErr w:type="spellStart"/>
      <w:r w:rsidRPr="00424500">
        <w:rPr>
          <w:rFonts w:eastAsia="Times New Roman" w:cs="Arial"/>
          <w:color w:val="000000"/>
          <w:lang w:eastAsia="bg-BG"/>
        </w:rPr>
        <w:t>сулфонамидните</w:t>
      </w:r>
      <w:proofErr w:type="spellEnd"/>
      <w:r w:rsidRPr="00424500">
        <w:rPr>
          <w:rFonts w:eastAsia="Times New Roman" w:cs="Arial"/>
          <w:color w:val="000000"/>
          <w:lang w:eastAsia="bg-BG"/>
        </w:rPr>
        <w:t xml:space="preserve"> лекарства, могат да причинят реакция на </w:t>
      </w:r>
      <w:proofErr w:type="spellStart"/>
      <w:r w:rsidRPr="00424500">
        <w:rPr>
          <w:rFonts w:eastAsia="Times New Roman" w:cs="Arial"/>
          <w:color w:val="000000"/>
          <w:lang w:eastAsia="bg-BG"/>
        </w:rPr>
        <w:t>идиосинкразия</w:t>
      </w:r>
      <w:proofErr w:type="spellEnd"/>
      <w:r w:rsidRPr="00424500">
        <w:rPr>
          <w:rFonts w:eastAsia="Times New Roman" w:cs="Arial"/>
          <w:color w:val="000000"/>
          <w:lang w:eastAsia="bg-BG"/>
        </w:rPr>
        <w:t xml:space="preserve">, водеща до </w:t>
      </w:r>
      <w:proofErr w:type="spellStart"/>
      <w:r w:rsidRPr="00424500">
        <w:rPr>
          <w:rFonts w:eastAsia="Times New Roman" w:cs="Arial"/>
          <w:color w:val="000000"/>
          <w:lang w:eastAsia="bg-BG"/>
        </w:rPr>
        <w:t>хороидален</w:t>
      </w:r>
      <w:proofErr w:type="spellEnd"/>
      <w:r w:rsidRPr="00424500">
        <w:rPr>
          <w:rFonts w:eastAsia="Times New Roman" w:cs="Arial"/>
          <w:color w:val="000000"/>
          <w:lang w:eastAsia="bg-BG"/>
        </w:rPr>
        <w:t xml:space="preserve"> излив с дефект на зрителното поле, преходна </w:t>
      </w:r>
      <w:proofErr w:type="spellStart"/>
      <w:r w:rsidRPr="00424500">
        <w:rPr>
          <w:rFonts w:eastAsia="Times New Roman" w:cs="Arial"/>
          <w:color w:val="000000"/>
          <w:lang w:eastAsia="bg-BG"/>
        </w:rPr>
        <w:t>миопатия</w:t>
      </w:r>
      <w:proofErr w:type="spellEnd"/>
      <w:r w:rsidRPr="00424500">
        <w:rPr>
          <w:rFonts w:eastAsia="Times New Roman" w:cs="Arial"/>
          <w:color w:val="000000"/>
          <w:lang w:eastAsia="bg-BG"/>
        </w:rPr>
        <w:t xml:space="preserve"> и остра </w:t>
      </w:r>
      <w:proofErr w:type="spellStart"/>
      <w:r w:rsidRPr="00424500">
        <w:rPr>
          <w:rFonts w:eastAsia="Times New Roman" w:cs="Arial"/>
          <w:color w:val="000000"/>
          <w:lang w:eastAsia="bg-BG"/>
        </w:rPr>
        <w:t>закритоъгълна</w:t>
      </w:r>
      <w:proofErr w:type="spellEnd"/>
      <w:r w:rsidRPr="00424500">
        <w:rPr>
          <w:rFonts w:eastAsia="Times New Roman" w:cs="Arial"/>
          <w:color w:val="000000"/>
          <w:lang w:eastAsia="bg-BG"/>
        </w:rPr>
        <w:t xml:space="preserve"> глаукома. Макар че хидрохлоротиазид е сулфонамид, досега са докладвани само изолирани случаи на остра </w:t>
      </w:r>
      <w:proofErr w:type="spellStart"/>
      <w:r w:rsidRPr="00424500">
        <w:rPr>
          <w:rFonts w:eastAsia="Times New Roman" w:cs="Arial"/>
          <w:color w:val="000000"/>
          <w:lang w:eastAsia="bg-BG"/>
        </w:rPr>
        <w:t>закритоъгълна</w:t>
      </w:r>
      <w:proofErr w:type="spellEnd"/>
      <w:r w:rsidRPr="00424500">
        <w:rPr>
          <w:rFonts w:eastAsia="Times New Roman" w:cs="Arial"/>
          <w:color w:val="000000"/>
          <w:lang w:eastAsia="bg-BG"/>
        </w:rPr>
        <w:t xml:space="preserve"> глаукома с хидрохлоротиазид. Симптомите включват остро начало на намалена зрителна острота или очна болка, които обикновено се появяват в рамките на няколко часа до седмици след приема. </w:t>
      </w:r>
      <w:proofErr w:type="spellStart"/>
      <w:r w:rsidRPr="00424500">
        <w:rPr>
          <w:rFonts w:eastAsia="Times New Roman" w:cs="Arial"/>
          <w:color w:val="000000"/>
          <w:lang w:eastAsia="bg-BG"/>
        </w:rPr>
        <w:t>Нелекуваната</w:t>
      </w:r>
      <w:proofErr w:type="spellEnd"/>
      <w:r w:rsidRPr="00424500">
        <w:rPr>
          <w:rFonts w:eastAsia="Times New Roman" w:cs="Arial"/>
          <w:color w:val="000000"/>
          <w:lang w:eastAsia="bg-BG"/>
        </w:rPr>
        <w:t xml:space="preserve"> остра </w:t>
      </w:r>
      <w:proofErr w:type="spellStart"/>
      <w:r w:rsidRPr="00424500">
        <w:rPr>
          <w:rFonts w:eastAsia="Times New Roman" w:cs="Arial"/>
          <w:color w:val="000000"/>
          <w:lang w:eastAsia="bg-BG"/>
        </w:rPr>
        <w:t>закритоъгълна</w:t>
      </w:r>
      <w:proofErr w:type="spellEnd"/>
      <w:r w:rsidRPr="00424500">
        <w:rPr>
          <w:rFonts w:eastAsia="Times New Roman" w:cs="Arial"/>
          <w:color w:val="000000"/>
          <w:lang w:eastAsia="bg-BG"/>
        </w:rPr>
        <w:t xml:space="preserve"> глаукома може да доведе до трайна загуба на зрението. Първичното лечение е възможно най-бързо прекратяване приема на лекарствения продукт. Може да се обсъди необходимостта от незабавно медицинско или хирургично лечение ако вътреочното налягане остане неконтролирано. Рисковите фактори за развитие на остра </w:t>
      </w:r>
      <w:proofErr w:type="spellStart"/>
      <w:r w:rsidRPr="00424500">
        <w:rPr>
          <w:rFonts w:eastAsia="Times New Roman" w:cs="Arial"/>
          <w:color w:val="000000"/>
          <w:lang w:eastAsia="bg-BG"/>
        </w:rPr>
        <w:t>закритоъгълна</w:t>
      </w:r>
      <w:proofErr w:type="spellEnd"/>
      <w:r w:rsidRPr="00424500">
        <w:rPr>
          <w:rFonts w:eastAsia="Times New Roman" w:cs="Arial"/>
          <w:color w:val="000000"/>
          <w:lang w:eastAsia="bg-BG"/>
        </w:rPr>
        <w:t xml:space="preserve"> глаукома може да включват </w:t>
      </w:r>
      <w:proofErr w:type="spellStart"/>
      <w:r w:rsidRPr="00424500">
        <w:rPr>
          <w:rFonts w:eastAsia="Times New Roman" w:cs="Arial"/>
          <w:color w:val="000000"/>
          <w:lang w:eastAsia="bg-BG"/>
        </w:rPr>
        <w:t>анамнестични</w:t>
      </w:r>
      <w:proofErr w:type="spellEnd"/>
      <w:r w:rsidRPr="00424500">
        <w:rPr>
          <w:rFonts w:eastAsia="Times New Roman" w:cs="Arial"/>
          <w:color w:val="000000"/>
          <w:lang w:eastAsia="bg-BG"/>
        </w:rPr>
        <w:t xml:space="preserve"> анамнеза за алергия към сулфонамиди или пеницилин (вж. точка 4.8).</w:t>
      </w:r>
    </w:p>
    <w:p w14:paraId="0157761A" w14:textId="77777777" w:rsidR="00DF3D99" w:rsidRPr="00424500" w:rsidRDefault="00DF3D99" w:rsidP="00DF3D99">
      <w:pPr>
        <w:spacing w:line="240" w:lineRule="auto"/>
        <w:rPr>
          <w:rFonts w:eastAsia="Times New Roman" w:cs="Arial"/>
          <w:color w:val="000000"/>
          <w:u w:val="single"/>
          <w:lang w:eastAsia="bg-BG"/>
        </w:rPr>
      </w:pPr>
    </w:p>
    <w:p w14:paraId="0B2704A3" w14:textId="01B7C043"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Помощни вещества:</w:t>
      </w:r>
    </w:p>
    <w:p w14:paraId="72E99463"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съдържа лактоза. Пациенти с редки наследствени проблеми на непоносимост към </w:t>
      </w:r>
      <w:proofErr w:type="spellStart"/>
      <w:r w:rsidRPr="00424500">
        <w:rPr>
          <w:rFonts w:eastAsia="Times New Roman" w:cs="Arial"/>
          <w:color w:val="000000"/>
          <w:lang w:eastAsia="bg-BG"/>
        </w:rPr>
        <w:t>галакгоза</w:t>
      </w:r>
      <w:proofErr w:type="spellEnd"/>
      <w:r w:rsidRPr="00424500">
        <w:rPr>
          <w:rFonts w:eastAsia="Times New Roman" w:cs="Arial"/>
          <w:color w:val="000000"/>
          <w:lang w:eastAsia="bg-BG"/>
        </w:rPr>
        <w:t xml:space="preserve">, пълен </w:t>
      </w:r>
      <w:proofErr w:type="spellStart"/>
      <w:r w:rsidRPr="00424500">
        <w:rPr>
          <w:rFonts w:eastAsia="Times New Roman" w:cs="Arial"/>
          <w:color w:val="000000"/>
          <w:lang w:eastAsia="bg-BG"/>
        </w:rPr>
        <w:t>лактазен</w:t>
      </w:r>
      <w:proofErr w:type="spellEnd"/>
      <w:r w:rsidRPr="00424500">
        <w:rPr>
          <w:rFonts w:eastAsia="Times New Roman" w:cs="Arial"/>
          <w:color w:val="000000"/>
          <w:lang w:eastAsia="bg-BG"/>
        </w:rPr>
        <w:t xml:space="preserve"> дефицит или </w:t>
      </w:r>
      <w:proofErr w:type="spellStart"/>
      <w:r w:rsidRPr="00424500">
        <w:rPr>
          <w:rFonts w:eastAsia="Times New Roman" w:cs="Arial"/>
          <w:color w:val="000000"/>
          <w:lang w:eastAsia="bg-BG"/>
        </w:rPr>
        <w:t>глюкозо-галактозна</w:t>
      </w:r>
      <w:proofErr w:type="spellEnd"/>
      <w:r w:rsidRPr="00424500">
        <w:rPr>
          <w:rFonts w:eastAsia="Times New Roman" w:cs="Arial"/>
          <w:color w:val="000000"/>
          <w:lang w:eastAsia="bg-BG"/>
        </w:rPr>
        <w:t xml:space="preserve"> малабсорбция не трябва да приемат това лекарство.</w:t>
      </w:r>
    </w:p>
    <w:p w14:paraId="11041F3C" w14:textId="77777777" w:rsidR="00DF3D99" w:rsidRPr="00424500" w:rsidRDefault="00DF3D99" w:rsidP="00DF3D99">
      <w:pPr>
        <w:spacing w:line="240" w:lineRule="auto"/>
        <w:rPr>
          <w:rFonts w:eastAsia="Times New Roman" w:cs="Arial"/>
          <w:color w:val="000000"/>
          <w:lang w:eastAsia="bg-BG"/>
        </w:rPr>
      </w:pPr>
    </w:p>
    <w:p w14:paraId="05EE9C7E" w14:textId="135A79EC" w:rsidR="00DF3D99" w:rsidRPr="00424500" w:rsidRDefault="00DF3D99" w:rsidP="00DF3D99">
      <w:pPr>
        <w:spacing w:line="240" w:lineRule="auto"/>
        <w:rPr>
          <w:rFonts w:eastAsia="Times New Roman" w:cs="Arial"/>
        </w:rPr>
      </w:pPr>
      <w:r w:rsidRPr="00424500">
        <w:rPr>
          <w:rFonts w:eastAsia="Times New Roman" w:cs="Arial"/>
          <w:color w:val="000000"/>
          <w:lang w:eastAsia="bg-BG"/>
        </w:rPr>
        <w:t>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съдържа натрий. Това лекарство съдържа по-малко от 1 </w:t>
      </w:r>
      <w:proofErr w:type="spellStart"/>
      <w:r w:rsidRPr="00424500">
        <w:rPr>
          <w:rFonts w:eastAsia="Times New Roman" w:cs="Arial"/>
          <w:color w:val="000000"/>
        </w:rPr>
        <w:t>mmol</w:t>
      </w:r>
      <w:proofErr w:type="spellEnd"/>
      <w:r w:rsidRPr="00424500">
        <w:rPr>
          <w:rFonts w:eastAsia="Times New Roman" w:cs="Arial"/>
          <w:color w:val="000000"/>
        </w:rPr>
        <w:t xml:space="preserve"> </w:t>
      </w:r>
      <w:r w:rsidRPr="00424500">
        <w:rPr>
          <w:rFonts w:eastAsia="Times New Roman" w:cs="Arial"/>
          <w:color w:val="000000"/>
          <w:lang w:eastAsia="bg-BG"/>
        </w:rPr>
        <w:t>натрий (23 мг) на таблетка, т.е. може да се каже, че практически не съдържа натрий.</w:t>
      </w:r>
    </w:p>
    <w:p w14:paraId="321DFDFB" w14:textId="77777777" w:rsidR="00DF3D99" w:rsidRPr="00424500" w:rsidRDefault="00DF3D99" w:rsidP="00DF3D99">
      <w:pPr>
        <w:spacing w:line="240" w:lineRule="auto"/>
        <w:rPr>
          <w:rFonts w:eastAsia="Times New Roman" w:cs="Arial"/>
          <w:color w:val="000000"/>
          <w:u w:val="single"/>
          <w:lang w:eastAsia="bg-BG"/>
        </w:rPr>
      </w:pPr>
    </w:p>
    <w:p w14:paraId="2DF6516F" w14:textId="662EF29A" w:rsidR="00DF3D99" w:rsidRPr="00424500" w:rsidRDefault="00DF3D99" w:rsidP="00DF3D99">
      <w:pPr>
        <w:spacing w:line="240" w:lineRule="auto"/>
        <w:rPr>
          <w:rFonts w:eastAsia="Times New Roman" w:cs="Arial"/>
        </w:rPr>
      </w:pPr>
      <w:proofErr w:type="spellStart"/>
      <w:r w:rsidRPr="00424500">
        <w:rPr>
          <w:rFonts w:eastAsia="Times New Roman" w:cs="Arial"/>
          <w:color w:val="000000"/>
          <w:u w:val="single"/>
          <w:lang w:eastAsia="bg-BG"/>
        </w:rPr>
        <w:t>Немеланомен</w:t>
      </w:r>
      <w:proofErr w:type="spellEnd"/>
      <w:r w:rsidRPr="00424500">
        <w:rPr>
          <w:rFonts w:eastAsia="Times New Roman" w:cs="Arial"/>
          <w:color w:val="000000"/>
          <w:u w:val="single"/>
          <w:lang w:eastAsia="bg-BG"/>
        </w:rPr>
        <w:t xml:space="preserve"> рак на кожата:</w:t>
      </w:r>
    </w:p>
    <w:p w14:paraId="5D9EE9FC"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В две епидемиологични проучвания, основаващи се на Датския национален раков регистър, е наблюдаван повишен риск от </w:t>
      </w:r>
      <w:proofErr w:type="spellStart"/>
      <w:r w:rsidRPr="00424500">
        <w:rPr>
          <w:rFonts w:eastAsia="Times New Roman" w:cs="Arial"/>
          <w:color w:val="000000"/>
          <w:lang w:eastAsia="bg-BG"/>
        </w:rPr>
        <w:t>немеланомен</w:t>
      </w:r>
      <w:proofErr w:type="spellEnd"/>
      <w:r w:rsidRPr="00424500">
        <w:rPr>
          <w:rFonts w:eastAsia="Times New Roman" w:cs="Arial"/>
          <w:color w:val="000000"/>
          <w:lang w:eastAsia="bg-BG"/>
        </w:rPr>
        <w:t xml:space="preserve"> рак на кожата (НМРК) [</w:t>
      </w:r>
      <w:proofErr w:type="spellStart"/>
      <w:r w:rsidRPr="00424500">
        <w:rPr>
          <w:rFonts w:eastAsia="Times New Roman" w:cs="Arial"/>
          <w:color w:val="000000"/>
          <w:lang w:eastAsia="bg-BG"/>
        </w:rPr>
        <w:t>базалноклетьчен</w:t>
      </w:r>
      <w:proofErr w:type="spellEnd"/>
      <w:r w:rsidRPr="00424500">
        <w:rPr>
          <w:rFonts w:eastAsia="Times New Roman" w:cs="Arial"/>
          <w:color w:val="000000"/>
          <w:lang w:eastAsia="bg-BG"/>
        </w:rPr>
        <w:t xml:space="preserve"> карцином (БКК) и </w:t>
      </w:r>
      <w:proofErr w:type="spellStart"/>
      <w:r w:rsidRPr="00424500">
        <w:rPr>
          <w:rFonts w:eastAsia="Times New Roman" w:cs="Arial"/>
          <w:color w:val="000000"/>
          <w:lang w:eastAsia="bg-BG"/>
        </w:rPr>
        <w:t>сквамозноклетъчен</w:t>
      </w:r>
      <w:proofErr w:type="spellEnd"/>
      <w:r w:rsidRPr="00424500">
        <w:rPr>
          <w:rFonts w:eastAsia="Times New Roman" w:cs="Arial"/>
          <w:color w:val="000000"/>
          <w:lang w:eastAsia="bg-BG"/>
        </w:rPr>
        <w:t xml:space="preserve"> карцином (СКК)] при нарастваща експозиция на кумулативна доза хидрохлоротиазид (ХХТЗ).</w:t>
      </w:r>
    </w:p>
    <w:p w14:paraId="34836082" w14:textId="77777777" w:rsidR="00DF3D99" w:rsidRPr="00424500" w:rsidRDefault="00DF3D99" w:rsidP="00DF3D99">
      <w:pPr>
        <w:spacing w:line="240" w:lineRule="auto"/>
        <w:rPr>
          <w:rFonts w:eastAsia="Times New Roman" w:cs="Arial"/>
        </w:rPr>
      </w:pPr>
      <w:proofErr w:type="spellStart"/>
      <w:r w:rsidRPr="00424500">
        <w:rPr>
          <w:rFonts w:eastAsia="Times New Roman" w:cs="Arial"/>
          <w:color w:val="000000"/>
          <w:lang w:eastAsia="bg-BG"/>
        </w:rPr>
        <w:t>Фотосенсибилизиращите</w:t>
      </w:r>
      <w:proofErr w:type="spellEnd"/>
      <w:r w:rsidRPr="00424500">
        <w:rPr>
          <w:rFonts w:eastAsia="Times New Roman" w:cs="Arial"/>
          <w:color w:val="000000"/>
          <w:lang w:eastAsia="bg-BG"/>
        </w:rPr>
        <w:t xml:space="preserve"> ефекти на ХХТЗ могат да действат като вероятен механизъм за развитие на НМРК.</w:t>
      </w:r>
    </w:p>
    <w:p w14:paraId="382FEF6E" w14:textId="77777777" w:rsidR="00DF3D99" w:rsidRPr="00424500" w:rsidRDefault="00DF3D99" w:rsidP="00DF3D99">
      <w:pPr>
        <w:rPr>
          <w:rFonts w:eastAsia="Times New Roman" w:cs="Arial"/>
        </w:rPr>
      </w:pPr>
      <w:r w:rsidRPr="00424500">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w:t>
      </w:r>
      <w:r w:rsidRPr="00424500">
        <w:rPr>
          <w:rFonts w:eastAsia="Times New Roman" w:cs="Arial"/>
          <w:i/>
          <w:iCs/>
          <w:color w:val="000000"/>
          <w:lang w:eastAsia="bg-BG"/>
        </w:rPr>
        <w:t xml:space="preserve"> </w:t>
      </w:r>
      <w:r w:rsidRPr="00424500">
        <w:rPr>
          <w:rFonts w:eastAsia="Times New Roman" w:cs="Arial"/>
          <w:color w:val="000000"/>
          <w:lang w:eastAsia="bg-BG"/>
        </w:rPr>
        <w:t xml:space="preserve">подозрителни кожни лезии. На пациентите трябва да се препоръчат възможни </w:t>
      </w:r>
      <w:r w:rsidRPr="00424500">
        <w:rPr>
          <w:rFonts w:eastAsia="Times New Roman" w:cs="Arial"/>
          <w:color w:val="000000"/>
          <w:lang w:eastAsia="bg-BG"/>
        </w:rPr>
        <w:lastRenderedPageBreak/>
        <w:t>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риска от рак на кожата.</w:t>
      </w:r>
    </w:p>
    <w:p w14:paraId="22011685"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Подозрителните кожни лезии трябва да бъдат подложени на незабавно изследване, потенциално включващо хистологични изследвания на </w:t>
      </w:r>
      <w:proofErr w:type="spellStart"/>
      <w:r w:rsidRPr="00424500">
        <w:rPr>
          <w:rFonts w:eastAsia="Times New Roman" w:cs="Arial"/>
          <w:color w:val="000000"/>
          <w:lang w:eastAsia="bg-BG"/>
        </w:rPr>
        <w:t>биопсични</w:t>
      </w:r>
      <w:proofErr w:type="spellEnd"/>
      <w:r w:rsidRPr="00424500">
        <w:rPr>
          <w:rFonts w:eastAsia="Times New Roman" w:cs="Arial"/>
          <w:color w:val="000000"/>
          <w:lang w:eastAsia="bg-BG"/>
        </w:rPr>
        <w:t xml:space="preserve"> материали. Преразглеждане на употребата на ХХТЗ може да се наложи и при </w:t>
      </w:r>
      <w:proofErr w:type="spellStart"/>
      <w:r w:rsidRPr="00424500">
        <w:rPr>
          <w:rFonts w:eastAsia="Times New Roman" w:cs="Arial"/>
          <w:color w:val="000000"/>
          <w:lang w:eastAsia="bg-BG"/>
        </w:rPr>
        <w:t>пациенти,които</w:t>
      </w:r>
      <w:proofErr w:type="spellEnd"/>
      <w:r w:rsidRPr="00424500">
        <w:rPr>
          <w:rFonts w:eastAsia="Times New Roman" w:cs="Arial"/>
          <w:color w:val="000000"/>
          <w:lang w:eastAsia="bg-BG"/>
        </w:rPr>
        <w:t xml:space="preserve"> са имали предходен НМРК (вж. също точка 4.8).</w:t>
      </w:r>
    </w:p>
    <w:p w14:paraId="780F53FC" w14:textId="43A551C9" w:rsidR="00DF3D99" w:rsidRPr="00424500" w:rsidRDefault="00DF3D99" w:rsidP="00DF3D99"/>
    <w:p w14:paraId="0734264C" w14:textId="7943819E" w:rsidR="007122AD" w:rsidRPr="00424500" w:rsidRDefault="002C50EE" w:rsidP="00936AD0">
      <w:pPr>
        <w:pStyle w:val="Heading2"/>
      </w:pPr>
      <w:r w:rsidRPr="00424500">
        <w:t>4.5. Взаимодействие с други лекарствени продукти и други форми на</w:t>
      </w:r>
      <w:r w:rsidR="004F1CE7" w:rsidRPr="00424500">
        <w:t xml:space="preserve"> взаимодействие</w:t>
      </w:r>
      <w:r w:rsidRPr="00424500">
        <w:t xml:space="preserve"> </w:t>
      </w:r>
    </w:p>
    <w:p w14:paraId="2DD07CF7" w14:textId="3256DF3B" w:rsidR="00DF3D99" w:rsidRPr="00424500" w:rsidRDefault="00DF3D99" w:rsidP="00DF3D99"/>
    <w:p w14:paraId="0BF40BDC" w14:textId="77777777"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Други антихипертензивни средства:</w:t>
      </w:r>
    </w:p>
    <w:p w14:paraId="2C77BC9B"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Антихипертензивният ефект на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може да бъде повишен при едновременна употреба на други антихипертензивни средства.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и хидрохлоротиазид (в дози до 300 </w:t>
      </w:r>
      <w:proofErr w:type="spellStart"/>
      <w:r w:rsidRPr="00424500">
        <w:rPr>
          <w:rFonts w:eastAsia="Times New Roman" w:cs="Arial"/>
          <w:color w:val="000000"/>
        </w:rPr>
        <w:t>mg</w:t>
      </w:r>
      <w:proofErr w:type="spellEnd"/>
      <w:r w:rsidRPr="00424500">
        <w:rPr>
          <w:rFonts w:eastAsia="Times New Roman" w:cs="Arial"/>
          <w:color w:val="000000"/>
        </w:rPr>
        <w:t xml:space="preserve">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/25 </w:t>
      </w:r>
      <w:proofErr w:type="spellStart"/>
      <w:r w:rsidRPr="00424500">
        <w:rPr>
          <w:rFonts w:eastAsia="Times New Roman" w:cs="Arial"/>
          <w:color w:val="000000"/>
        </w:rPr>
        <w:t>mg</w:t>
      </w:r>
      <w:proofErr w:type="spellEnd"/>
      <w:r w:rsidRPr="00424500">
        <w:rPr>
          <w:rFonts w:eastAsia="Times New Roman" w:cs="Arial"/>
          <w:color w:val="000000"/>
        </w:rPr>
        <w:t xml:space="preserve"> </w:t>
      </w:r>
      <w:r w:rsidRPr="00424500">
        <w:rPr>
          <w:rFonts w:eastAsia="Times New Roman" w:cs="Arial"/>
          <w:color w:val="000000"/>
          <w:lang w:eastAsia="bg-BG"/>
        </w:rPr>
        <w:t xml:space="preserve">хидрохлоротиазид) са прилагани безопасно заедно с други антихипертензивни средства, включително </w:t>
      </w:r>
      <w:proofErr w:type="spellStart"/>
      <w:r w:rsidRPr="00424500">
        <w:rPr>
          <w:rFonts w:eastAsia="Times New Roman" w:cs="Arial"/>
          <w:color w:val="000000"/>
          <w:lang w:eastAsia="bg-BG"/>
        </w:rPr>
        <w:t>блокери</w:t>
      </w:r>
      <w:proofErr w:type="spellEnd"/>
      <w:r w:rsidRPr="00424500">
        <w:rPr>
          <w:rFonts w:eastAsia="Times New Roman" w:cs="Arial"/>
          <w:color w:val="000000"/>
          <w:lang w:eastAsia="bg-BG"/>
        </w:rPr>
        <w:t xml:space="preserve"> на калциевите канали бета-</w:t>
      </w:r>
      <w:proofErr w:type="spellStart"/>
      <w:r w:rsidRPr="00424500">
        <w:rPr>
          <w:rFonts w:eastAsia="Times New Roman" w:cs="Arial"/>
          <w:color w:val="000000"/>
          <w:lang w:eastAsia="bg-BG"/>
        </w:rPr>
        <w:t>адренергични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блокери</w:t>
      </w:r>
      <w:proofErr w:type="spellEnd"/>
      <w:r w:rsidRPr="00424500">
        <w:rPr>
          <w:rFonts w:eastAsia="Times New Roman" w:cs="Arial"/>
          <w:color w:val="000000"/>
          <w:lang w:eastAsia="bg-BG"/>
        </w:rPr>
        <w:t>.</w:t>
      </w:r>
    </w:p>
    <w:p w14:paraId="088B5D4E"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Предшестващото лечение с висока доза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може да доведе до появата на </w:t>
      </w:r>
      <w:proofErr w:type="spellStart"/>
      <w:r w:rsidRPr="00424500">
        <w:rPr>
          <w:rFonts w:eastAsia="Times New Roman" w:cs="Arial"/>
          <w:color w:val="000000"/>
          <w:lang w:eastAsia="bg-BG"/>
        </w:rPr>
        <w:t>хиповолемия</w:t>
      </w:r>
      <w:proofErr w:type="spellEnd"/>
      <w:r w:rsidRPr="00424500">
        <w:rPr>
          <w:rFonts w:eastAsia="Times New Roman" w:cs="Arial"/>
          <w:color w:val="000000"/>
          <w:lang w:eastAsia="bg-BG"/>
        </w:rPr>
        <w:t xml:space="preserve"> и риск от хипотония при започване на лечението с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със или без </w:t>
      </w:r>
      <w:proofErr w:type="spellStart"/>
      <w:r w:rsidRPr="00424500">
        <w:rPr>
          <w:rFonts w:eastAsia="Times New Roman" w:cs="Arial"/>
          <w:color w:val="000000"/>
          <w:lang w:eastAsia="bg-BG"/>
        </w:rPr>
        <w:t>тиазидни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освен ако първо не е коригирана </w:t>
      </w:r>
      <w:proofErr w:type="spellStart"/>
      <w:r w:rsidRPr="00424500">
        <w:rPr>
          <w:rFonts w:eastAsia="Times New Roman" w:cs="Arial"/>
          <w:color w:val="000000"/>
          <w:lang w:eastAsia="bg-BG"/>
        </w:rPr>
        <w:t>хиповолемията</w:t>
      </w:r>
      <w:proofErr w:type="spellEnd"/>
      <w:r w:rsidRPr="00424500">
        <w:rPr>
          <w:rFonts w:eastAsia="Times New Roman" w:cs="Arial"/>
          <w:color w:val="000000"/>
          <w:lang w:eastAsia="bg-BG"/>
        </w:rPr>
        <w:t xml:space="preserve"> (вж. точка 4.4).</w:t>
      </w:r>
    </w:p>
    <w:p w14:paraId="2B5138AF" w14:textId="77777777" w:rsidR="00DF3D99" w:rsidRPr="00424500" w:rsidRDefault="00DF3D99" w:rsidP="00DF3D99">
      <w:pPr>
        <w:spacing w:line="240" w:lineRule="auto"/>
        <w:rPr>
          <w:rFonts w:eastAsia="Times New Roman" w:cs="Arial"/>
          <w:color w:val="000000"/>
          <w:u w:val="single"/>
          <w:lang w:eastAsia="bg-BG"/>
        </w:rPr>
      </w:pPr>
    </w:p>
    <w:p w14:paraId="65872864" w14:textId="7192E467"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 xml:space="preserve">Продукти, съдържащи </w:t>
      </w:r>
      <w:proofErr w:type="spellStart"/>
      <w:r w:rsidRPr="00424500">
        <w:rPr>
          <w:rFonts w:eastAsia="Times New Roman" w:cs="Arial"/>
          <w:color w:val="000000"/>
          <w:u w:val="single"/>
          <w:lang w:eastAsia="bg-BG"/>
        </w:rPr>
        <w:t>алискирен</w:t>
      </w:r>
      <w:proofErr w:type="spellEnd"/>
      <w:r w:rsidRPr="00424500">
        <w:rPr>
          <w:rFonts w:eastAsia="Times New Roman" w:cs="Arial"/>
          <w:color w:val="000000"/>
          <w:u w:val="single"/>
          <w:lang w:eastAsia="bg-BG"/>
        </w:rPr>
        <w:t xml:space="preserve"> или АСЕ инхибитори:</w:t>
      </w:r>
    </w:p>
    <w:p w14:paraId="0D2560DE"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Данни от клинични проучвания показват, че двойното блокиране на ренин-</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алдостероновата</w:t>
      </w:r>
      <w:proofErr w:type="spellEnd"/>
      <w:r w:rsidRPr="00424500">
        <w:rPr>
          <w:rFonts w:eastAsia="Times New Roman" w:cs="Arial"/>
          <w:color w:val="000000"/>
          <w:lang w:eastAsia="bg-BG"/>
        </w:rPr>
        <w:t xml:space="preserve"> система (РААС) чрез комбинираната употреба на АСЕ инхибитори,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r w:rsidRPr="00424500">
        <w:rPr>
          <w:rFonts w:eastAsia="Times New Roman" w:cs="Arial"/>
          <w:color w:val="000000"/>
        </w:rPr>
        <w:t>II</w:t>
      </w:r>
      <w:r w:rsidRPr="00424500">
        <w:rPr>
          <w:rFonts w:eastAsia="Times New Roman" w:cs="Arial"/>
          <w:color w:val="000000"/>
          <w:lang w:eastAsia="bg-BG"/>
        </w:rPr>
        <w:t xml:space="preserve">-рецепторни </w:t>
      </w:r>
      <w:proofErr w:type="spellStart"/>
      <w:r w:rsidRPr="00424500">
        <w:rPr>
          <w:rFonts w:eastAsia="Times New Roman" w:cs="Arial"/>
          <w:color w:val="000000"/>
          <w:lang w:eastAsia="bg-BG"/>
        </w:rPr>
        <w:t>блокери</w:t>
      </w:r>
      <w:proofErr w:type="spellEnd"/>
      <w:r w:rsidRPr="00424500">
        <w:rPr>
          <w:rFonts w:eastAsia="Times New Roman" w:cs="Arial"/>
          <w:color w:val="000000"/>
          <w:lang w:eastAsia="bg-BG"/>
        </w:rPr>
        <w:t xml:space="preserve"> или </w:t>
      </w:r>
      <w:proofErr w:type="spellStart"/>
      <w:r w:rsidRPr="00424500">
        <w:rPr>
          <w:rFonts w:eastAsia="Times New Roman" w:cs="Arial"/>
          <w:color w:val="000000"/>
          <w:lang w:eastAsia="bg-BG"/>
        </w:rPr>
        <w:t>алискирен</w:t>
      </w:r>
      <w:proofErr w:type="spellEnd"/>
      <w:r w:rsidRPr="00424500">
        <w:rPr>
          <w:rFonts w:eastAsia="Times New Roman" w:cs="Arial"/>
          <w:color w:val="000000"/>
          <w:lang w:eastAsia="bg-BG"/>
        </w:rPr>
        <w:t xml:space="preserve"> се свързва с по-висока честота на нежелани събития, като например хипотония, </w:t>
      </w:r>
      <w:proofErr w:type="spellStart"/>
      <w:r w:rsidRPr="00424500">
        <w:rPr>
          <w:rFonts w:eastAsia="Times New Roman" w:cs="Arial"/>
          <w:color w:val="000000"/>
          <w:lang w:eastAsia="bg-BG"/>
        </w:rPr>
        <w:t>хиперкалиемия</w:t>
      </w:r>
      <w:proofErr w:type="spellEnd"/>
      <w:r w:rsidRPr="00424500">
        <w:rPr>
          <w:rFonts w:eastAsia="Times New Roman" w:cs="Arial"/>
          <w:color w:val="000000"/>
          <w:lang w:eastAsia="bg-BG"/>
        </w:rPr>
        <w:t xml:space="preserve">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3CC8773B" w14:textId="77777777" w:rsidR="00DF3D99" w:rsidRPr="00424500" w:rsidRDefault="00DF3D99" w:rsidP="00DF3D99">
      <w:pPr>
        <w:spacing w:line="240" w:lineRule="auto"/>
        <w:rPr>
          <w:rFonts w:eastAsia="Times New Roman" w:cs="Arial"/>
          <w:color w:val="000000"/>
          <w:u w:val="single"/>
          <w:lang w:eastAsia="bg-BG"/>
        </w:rPr>
      </w:pPr>
    </w:p>
    <w:p w14:paraId="6E01E4A2" w14:textId="0CF8B871"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Литий:</w:t>
      </w:r>
    </w:p>
    <w:p w14:paraId="59AD1FB3"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Докладвано е обратимо повишаване на серумните концентрации на литий и литиева токсичност при едновременното приложение на литий и инхибитори на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конвертиращия ензим. Подобни ефекти при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са докладвани много рядко. Освен това, </w:t>
      </w: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понижават бъбречния клирънс на литий, така че рискът от литиева токсичност може да бъде повишен при Ко- </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Ето защо, комбинирането на литий и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не се препоръчва (вж. точка 4,4). Ако тази комбинация е доказано необходима, то се препоръчва внимателно проследяване на серумните нива на литий.</w:t>
      </w:r>
    </w:p>
    <w:p w14:paraId="53054A1A" w14:textId="77777777" w:rsidR="00DF3D99" w:rsidRPr="00424500" w:rsidRDefault="00DF3D99" w:rsidP="00DF3D99">
      <w:pPr>
        <w:spacing w:line="240" w:lineRule="auto"/>
        <w:rPr>
          <w:rFonts w:eastAsia="Times New Roman" w:cs="Arial"/>
          <w:color w:val="000000"/>
          <w:u w:val="single"/>
          <w:lang w:eastAsia="bg-BG"/>
        </w:rPr>
      </w:pPr>
    </w:p>
    <w:p w14:paraId="61A5F1D0" w14:textId="580BAD54"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Лекарствени продукти, повлияващи концентрацията на калий:</w:t>
      </w:r>
    </w:p>
    <w:p w14:paraId="363AA5F5"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Понижаващият съдържанието на калий ефект на хидрохлоротиазид се намалява от калий- съхраняващия ефект на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Освен това, този ефект на хидрохлоротиазид върху серумния калий може да се очаква да бъде </w:t>
      </w:r>
      <w:proofErr w:type="spellStart"/>
      <w:r w:rsidRPr="00424500">
        <w:rPr>
          <w:rFonts w:eastAsia="Times New Roman" w:cs="Arial"/>
          <w:color w:val="000000"/>
          <w:lang w:eastAsia="bg-BG"/>
        </w:rPr>
        <w:t>потенциран</w:t>
      </w:r>
      <w:proofErr w:type="spellEnd"/>
      <w:r w:rsidRPr="00424500">
        <w:rPr>
          <w:rFonts w:eastAsia="Times New Roman" w:cs="Arial"/>
          <w:color w:val="000000"/>
          <w:lang w:eastAsia="bg-BG"/>
        </w:rPr>
        <w:t xml:space="preserve"> от други лекарствени продукти, свързани със загуба на калий и хипокалиемия (напр. други </w:t>
      </w:r>
      <w:proofErr w:type="spellStart"/>
      <w:r w:rsidRPr="00424500">
        <w:rPr>
          <w:rFonts w:eastAsia="Times New Roman" w:cs="Arial"/>
          <w:color w:val="000000"/>
          <w:lang w:eastAsia="bg-BG"/>
        </w:rPr>
        <w:t>калийуретични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лаксативи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амфотерицин</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карбеноксолон</w:t>
      </w:r>
      <w:proofErr w:type="spellEnd"/>
      <w:r w:rsidRPr="00424500">
        <w:rPr>
          <w:rFonts w:eastAsia="Times New Roman" w:cs="Arial"/>
          <w:color w:val="000000"/>
          <w:lang w:eastAsia="bg-BG"/>
        </w:rPr>
        <w:t xml:space="preserve">, пеницилин </w:t>
      </w:r>
      <w:r w:rsidRPr="00424500">
        <w:rPr>
          <w:rFonts w:eastAsia="Times New Roman" w:cs="Arial"/>
          <w:color w:val="000000"/>
        </w:rPr>
        <w:t xml:space="preserve">G </w:t>
      </w:r>
      <w:r w:rsidRPr="00424500">
        <w:rPr>
          <w:rFonts w:eastAsia="Times New Roman" w:cs="Arial"/>
          <w:color w:val="000000"/>
          <w:lang w:eastAsia="bg-BG"/>
        </w:rPr>
        <w:t>натрий). Обратно на това, въз основа на опита с употребата на други лекарства, повлияващи ренин-</w:t>
      </w:r>
      <w:proofErr w:type="spellStart"/>
      <w:r w:rsidRPr="00424500">
        <w:rPr>
          <w:rFonts w:eastAsia="Times New Roman" w:cs="Arial"/>
          <w:color w:val="000000"/>
          <w:lang w:eastAsia="bg-BG"/>
        </w:rPr>
        <w:t>ангиотензиновата</w:t>
      </w:r>
      <w:proofErr w:type="spellEnd"/>
      <w:r w:rsidRPr="00424500">
        <w:rPr>
          <w:rFonts w:eastAsia="Times New Roman" w:cs="Arial"/>
          <w:color w:val="000000"/>
          <w:lang w:eastAsia="bg-BG"/>
        </w:rPr>
        <w:t xml:space="preserve"> система, едновременното приложение с калий- съхраняващи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калиеви добавки, заместители на солта, съдържащи калий или други лекарства, които може да повишат серумните нива на калия (напр. </w:t>
      </w:r>
      <w:proofErr w:type="spellStart"/>
      <w:r w:rsidRPr="00424500">
        <w:rPr>
          <w:rFonts w:eastAsia="Times New Roman" w:cs="Arial"/>
          <w:color w:val="000000"/>
          <w:lang w:eastAsia="bg-BG"/>
        </w:rPr>
        <w:t>хепарин</w:t>
      </w:r>
      <w:proofErr w:type="spellEnd"/>
      <w:r w:rsidRPr="00424500">
        <w:rPr>
          <w:rFonts w:eastAsia="Times New Roman" w:cs="Arial"/>
          <w:color w:val="000000"/>
          <w:lang w:eastAsia="bg-BG"/>
        </w:rPr>
        <w:t xml:space="preserve"> натрий), може да доведе до повишаване на нивата на серумния калий. Препоръчва се съответно проследяване на серумния калий при пациентите с повишен риск (вж. точка 4.4).</w:t>
      </w:r>
    </w:p>
    <w:p w14:paraId="1CCF4EB8" w14:textId="77777777" w:rsidR="00DF3D99" w:rsidRPr="00424500" w:rsidRDefault="00DF3D99" w:rsidP="00DF3D99">
      <w:pPr>
        <w:spacing w:line="240" w:lineRule="auto"/>
        <w:rPr>
          <w:rFonts w:eastAsia="Times New Roman" w:cs="Arial"/>
          <w:color w:val="000000"/>
          <w:u w:val="single"/>
          <w:lang w:eastAsia="bg-BG"/>
        </w:rPr>
      </w:pPr>
    </w:p>
    <w:p w14:paraId="02FD8957" w14:textId="0DEB740A"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 xml:space="preserve">Лекарствени </w:t>
      </w:r>
      <w:r w:rsidRPr="00424500">
        <w:rPr>
          <w:rFonts w:eastAsia="Times New Roman" w:cs="Arial"/>
          <w:smallCaps/>
          <w:color w:val="000000"/>
          <w:u w:val="single"/>
          <w:lang w:eastAsia="bg-BG"/>
        </w:rPr>
        <w:t>продукти,</w:t>
      </w:r>
      <w:r w:rsidRPr="00424500">
        <w:rPr>
          <w:rFonts w:eastAsia="Times New Roman" w:cs="Arial"/>
          <w:color w:val="000000"/>
          <w:u w:val="single"/>
          <w:lang w:eastAsia="bg-BG"/>
        </w:rPr>
        <w:t xml:space="preserve"> повлияващи се от нарушението на серумния калий:</w:t>
      </w:r>
    </w:p>
    <w:p w14:paraId="538A8035"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Препоръчва се периодично проследяване на серумния калий при приложението на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с лекарствени продукти, повлияващи се от нарушението на серумния калий (например, сърдечни </w:t>
      </w:r>
      <w:proofErr w:type="spellStart"/>
      <w:r w:rsidRPr="00424500">
        <w:rPr>
          <w:rFonts w:eastAsia="Times New Roman" w:cs="Arial"/>
          <w:color w:val="000000"/>
          <w:lang w:eastAsia="bg-BG"/>
        </w:rPr>
        <w:t>гликозиди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антиаритмици</w:t>
      </w:r>
      <w:proofErr w:type="spellEnd"/>
      <w:r w:rsidRPr="00424500">
        <w:rPr>
          <w:rFonts w:eastAsia="Times New Roman" w:cs="Arial"/>
          <w:color w:val="000000"/>
          <w:lang w:eastAsia="bg-BG"/>
        </w:rPr>
        <w:t>).</w:t>
      </w:r>
    </w:p>
    <w:p w14:paraId="6C9AE90C" w14:textId="77777777" w:rsidR="00DF3D99" w:rsidRPr="00424500" w:rsidRDefault="00DF3D99" w:rsidP="00DF3D99">
      <w:pPr>
        <w:spacing w:line="240" w:lineRule="auto"/>
        <w:rPr>
          <w:rFonts w:eastAsia="Times New Roman" w:cs="Arial"/>
          <w:color w:val="000000"/>
          <w:u w:val="single"/>
          <w:lang w:eastAsia="bg-BG"/>
        </w:rPr>
      </w:pPr>
    </w:p>
    <w:p w14:paraId="0365548A" w14:textId="11CFD13E"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Нестероидни противовъзпалителни средства:</w:t>
      </w:r>
    </w:p>
    <w:p w14:paraId="6168F019"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При едновременната употреба на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lang w:eastAsia="bg-BG"/>
        </w:rPr>
        <w:t xml:space="preserve"> </w:t>
      </w:r>
      <w:r w:rsidRPr="00424500">
        <w:rPr>
          <w:rFonts w:eastAsia="Times New Roman" w:cs="Arial"/>
          <w:color w:val="000000"/>
        </w:rPr>
        <w:t>II</w:t>
      </w:r>
      <w:r w:rsidRPr="00424500">
        <w:rPr>
          <w:rFonts w:eastAsia="Times New Roman" w:cs="Arial"/>
          <w:color w:val="000000"/>
          <w:lang w:eastAsia="bg-BG"/>
        </w:rPr>
        <w:t xml:space="preserve">-антагонисти и нестероидни противовъзпалителни средства (като селективни СОХ-2 инхибитори, ацетилсалицилова киселина (&gt; 3 </w:t>
      </w:r>
      <w:r w:rsidRPr="00424500">
        <w:rPr>
          <w:rFonts w:eastAsia="Times New Roman" w:cs="Arial"/>
          <w:color w:val="000000"/>
        </w:rPr>
        <w:t>g</w:t>
      </w:r>
      <w:r w:rsidRPr="00424500">
        <w:rPr>
          <w:rFonts w:eastAsia="Times New Roman" w:cs="Arial"/>
          <w:color w:val="000000"/>
          <w:lang w:eastAsia="bg-BG"/>
        </w:rPr>
        <w:t xml:space="preserve">/дневно) и неселективни НПВС), може да настъпи намаляване на </w:t>
      </w:r>
      <w:proofErr w:type="spellStart"/>
      <w:r w:rsidRPr="00424500">
        <w:rPr>
          <w:rFonts w:eastAsia="Times New Roman" w:cs="Arial"/>
          <w:color w:val="000000"/>
          <w:lang w:eastAsia="bg-BG"/>
        </w:rPr>
        <w:t>антихипергензивния</w:t>
      </w:r>
      <w:proofErr w:type="spellEnd"/>
      <w:r w:rsidRPr="00424500">
        <w:rPr>
          <w:rFonts w:eastAsia="Times New Roman" w:cs="Arial"/>
          <w:color w:val="000000"/>
          <w:lang w:eastAsia="bg-BG"/>
        </w:rPr>
        <w:t xml:space="preserve"> ефект.</w:t>
      </w:r>
    </w:p>
    <w:p w14:paraId="49BEA98F" w14:textId="65F84F63" w:rsidR="00DF3D99" w:rsidRPr="00424500" w:rsidRDefault="00DF3D99" w:rsidP="00DF3D99">
      <w:pPr>
        <w:rPr>
          <w:rFonts w:cs="Arial"/>
        </w:rPr>
      </w:pPr>
    </w:p>
    <w:p w14:paraId="6B7845F3"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Подобно на АСЕ инхибиторите, едновременното приложение на </w:t>
      </w:r>
      <w:proofErr w:type="spellStart"/>
      <w:r w:rsidRPr="00424500">
        <w:rPr>
          <w:rFonts w:eastAsia="Times New Roman" w:cs="Arial"/>
          <w:color w:val="000000"/>
          <w:lang w:eastAsia="bg-BG"/>
        </w:rPr>
        <w:t>ангиотензин</w:t>
      </w:r>
      <w:proofErr w:type="spellEnd"/>
      <w:r w:rsidRPr="00424500">
        <w:rPr>
          <w:rFonts w:eastAsia="Times New Roman" w:cs="Arial"/>
          <w:color w:val="000000"/>
        </w:rPr>
        <w:t xml:space="preserve"> II</w:t>
      </w:r>
      <w:r w:rsidRPr="00424500">
        <w:rPr>
          <w:rFonts w:eastAsia="Times New Roman" w:cs="Arial"/>
          <w:color w:val="000000"/>
          <w:lang w:eastAsia="bg-BG"/>
        </w:rPr>
        <w:t xml:space="preserve">-антагонисти и нестероидни противовъзпалителни средства може да доведе до повишаване на риска от влошаване на бъбречната функция, включително и възможността за поява на остра бъбречна недостатъчност и повишение на серумния калий, особено при пациенти с предшестващо нарушение на бъбречната функция. Комбинирането трябва да става с повишено внимание, особено при пациентите в напреднала възраст. Пациентите трябва да бъдат съответно </w:t>
      </w:r>
      <w:proofErr w:type="spellStart"/>
      <w:r w:rsidRPr="00424500">
        <w:rPr>
          <w:rFonts w:eastAsia="Times New Roman" w:cs="Arial"/>
          <w:color w:val="000000"/>
          <w:lang w:eastAsia="bg-BG"/>
        </w:rPr>
        <w:t>хидратирани</w:t>
      </w:r>
      <w:proofErr w:type="spellEnd"/>
      <w:r w:rsidRPr="00424500">
        <w:rPr>
          <w:rFonts w:eastAsia="Times New Roman" w:cs="Arial"/>
          <w:color w:val="000000"/>
          <w:lang w:eastAsia="bg-BG"/>
        </w:rPr>
        <w:t>, като е необходимо проследяване на бъбречната функция след започване на комбинираното лечение и периодично след това.</w:t>
      </w:r>
    </w:p>
    <w:p w14:paraId="127879EA" w14:textId="77777777" w:rsidR="00DF3D99" w:rsidRPr="00424500" w:rsidRDefault="00DF3D99" w:rsidP="00DF3D99">
      <w:pPr>
        <w:spacing w:line="240" w:lineRule="auto"/>
        <w:rPr>
          <w:rFonts w:eastAsia="Times New Roman" w:cs="Arial"/>
          <w:color w:val="000000"/>
          <w:u w:val="single"/>
          <w:lang w:eastAsia="bg-BG"/>
        </w:rPr>
      </w:pPr>
    </w:p>
    <w:p w14:paraId="002065E8" w14:textId="6CB5B89E" w:rsidR="00DF3D99" w:rsidRPr="00424500" w:rsidRDefault="00DF3D99" w:rsidP="00DF3D99">
      <w:pPr>
        <w:spacing w:line="240" w:lineRule="auto"/>
        <w:rPr>
          <w:rFonts w:eastAsia="Times New Roman" w:cs="Arial"/>
        </w:rPr>
      </w:pPr>
      <w:proofErr w:type="spellStart"/>
      <w:r w:rsidRPr="00424500">
        <w:rPr>
          <w:rFonts w:eastAsia="Times New Roman" w:cs="Arial"/>
          <w:color w:val="000000"/>
          <w:u w:val="single"/>
          <w:lang w:eastAsia="bg-BG"/>
        </w:rPr>
        <w:t>Репаглинид</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има потенциал да инхибира ОАТР1В1. В клинично проучване се съобщава, че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повишава </w:t>
      </w:r>
      <w:proofErr w:type="spellStart"/>
      <w:r w:rsidRPr="00424500">
        <w:rPr>
          <w:rFonts w:eastAsia="Times New Roman" w:cs="Arial"/>
          <w:color w:val="000000"/>
          <w:lang w:eastAsia="bg-BG"/>
        </w:rPr>
        <w:t>С</w:t>
      </w:r>
      <w:r w:rsidRPr="00424500">
        <w:rPr>
          <w:rFonts w:eastAsia="Times New Roman" w:cs="Arial"/>
          <w:color w:val="000000"/>
          <w:vertAlign w:val="subscript"/>
        </w:rPr>
        <w:t>max</w:t>
      </w:r>
      <w:proofErr w:type="spellEnd"/>
      <w:r w:rsidRPr="00424500">
        <w:rPr>
          <w:rFonts w:eastAsia="Times New Roman" w:cs="Arial"/>
          <w:color w:val="000000"/>
          <w:lang w:eastAsia="bg-BG"/>
        </w:rPr>
        <w:t xml:space="preserve"> и </w:t>
      </w:r>
      <w:r w:rsidRPr="00424500">
        <w:rPr>
          <w:rFonts w:eastAsia="Times New Roman" w:cs="Arial"/>
          <w:color w:val="000000"/>
        </w:rPr>
        <w:t xml:space="preserve">AUC </w:t>
      </w:r>
      <w:r w:rsidRPr="00424500">
        <w:rPr>
          <w:rFonts w:eastAsia="Times New Roman" w:cs="Arial"/>
          <w:color w:val="000000"/>
          <w:lang w:eastAsia="bg-BG"/>
        </w:rPr>
        <w:t xml:space="preserve">на </w:t>
      </w:r>
      <w:proofErr w:type="spellStart"/>
      <w:r w:rsidRPr="00424500">
        <w:rPr>
          <w:rFonts w:eastAsia="Times New Roman" w:cs="Arial"/>
          <w:color w:val="000000"/>
          <w:lang w:eastAsia="bg-BG"/>
        </w:rPr>
        <w:t>репаглинид</w:t>
      </w:r>
      <w:proofErr w:type="spellEnd"/>
      <w:r w:rsidRPr="00424500">
        <w:rPr>
          <w:rFonts w:eastAsia="Times New Roman" w:cs="Arial"/>
          <w:color w:val="000000"/>
          <w:lang w:eastAsia="bg-BG"/>
        </w:rPr>
        <w:t xml:space="preserve"> (субстрат на ОАТР1В1) съответно с 1,8 пъти и 1,3 пъти, когато се прилага 1 час преди </w:t>
      </w:r>
      <w:proofErr w:type="spellStart"/>
      <w:r w:rsidRPr="00424500">
        <w:rPr>
          <w:rFonts w:eastAsia="Times New Roman" w:cs="Arial"/>
          <w:color w:val="000000"/>
          <w:lang w:eastAsia="bg-BG"/>
        </w:rPr>
        <w:t>репаглинид</w:t>
      </w:r>
      <w:proofErr w:type="spellEnd"/>
      <w:r w:rsidRPr="00424500">
        <w:rPr>
          <w:rFonts w:eastAsia="Times New Roman" w:cs="Arial"/>
          <w:color w:val="000000"/>
          <w:lang w:eastAsia="bg-BG"/>
        </w:rPr>
        <w:t xml:space="preserve">. В друго проучване не се съобщава за съответно </w:t>
      </w:r>
      <w:proofErr w:type="spellStart"/>
      <w:r w:rsidRPr="00424500">
        <w:rPr>
          <w:rFonts w:eastAsia="Times New Roman" w:cs="Arial"/>
          <w:color w:val="000000"/>
          <w:lang w:eastAsia="bg-BG"/>
        </w:rPr>
        <w:t>фармакокинетично</w:t>
      </w:r>
      <w:proofErr w:type="spellEnd"/>
      <w:r w:rsidRPr="00424500">
        <w:rPr>
          <w:rFonts w:eastAsia="Times New Roman" w:cs="Arial"/>
          <w:color w:val="000000"/>
          <w:lang w:eastAsia="bg-BG"/>
        </w:rPr>
        <w:t xml:space="preserve"> взаимодействие при едновременно приложение на двете лекарства. Поради това може да се наложи коригиране на дозата на антидиабетното лекарство, като и на </w:t>
      </w:r>
      <w:proofErr w:type="spellStart"/>
      <w:r w:rsidRPr="00424500">
        <w:rPr>
          <w:rFonts w:eastAsia="Times New Roman" w:cs="Arial"/>
          <w:color w:val="000000"/>
          <w:lang w:eastAsia="bg-BG"/>
        </w:rPr>
        <w:t>репаглинид</w:t>
      </w:r>
      <w:proofErr w:type="spellEnd"/>
      <w:r w:rsidRPr="00424500">
        <w:rPr>
          <w:rFonts w:eastAsia="Times New Roman" w:cs="Arial"/>
          <w:color w:val="000000"/>
          <w:lang w:eastAsia="bg-BG"/>
        </w:rPr>
        <w:t xml:space="preserve"> (вж. точка 4.4).</w:t>
      </w:r>
    </w:p>
    <w:p w14:paraId="4E187DB7" w14:textId="77777777" w:rsidR="00DF3D99" w:rsidRPr="00424500" w:rsidRDefault="00DF3D99" w:rsidP="00DF3D99">
      <w:pPr>
        <w:spacing w:line="240" w:lineRule="auto"/>
        <w:rPr>
          <w:rFonts w:eastAsia="Times New Roman" w:cs="Arial"/>
          <w:color w:val="000000"/>
          <w:u w:val="single"/>
          <w:lang w:eastAsia="bg-BG"/>
        </w:rPr>
      </w:pPr>
    </w:p>
    <w:p w14:paraId="75F214AC" w14:textId="32E9CADE"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 xml:space="preserve">Допълнителна информация относно взаимодействията на </w:t>
      </w:r>
      <w:proofErr w:type="spellStart"/>
      <w:r w:rsidRPr="00424500">
        <w:rPr>
          <w:rFonts w:eastAsia="Times New Roman" w:cs="Arial"/>
          <w:color w:val="000000"/>
          <w:u w:val="single"/>
          <w:lang w:eastAsia="bg-BG"/>
        </w:rPr>
        <w:t>ирбесартан</w:t>
      </w:r>
      <w:proofErr w:type="spellEnd"/>
      <w:r w:rsidRPr="00424500">
        <w:rPr>
          <w:rFonts w:eastAsia="Times New Roman" w:cs="Arial"/>
          <w:color w:val="000000"/>
          <w:u w:val="single"/>
          <w:lang w:eastAsia="bg-BG"/>
        </w:rPr>
        <w:t>:</w:t>
      </w:r>
    </w:p>
    <w:p w14:paraId="63100ECF" w14:textId="77777777" w:rsidR="00DF3D99" w:rsidRPr="00424500" w:rsidRDefault="00DF3D99" w:rsidP="00DF3D99">
      <w:pPr>
        <w:spacing w:line="240" w:lineRule="auto"/>
        <w:rPr>
          <w:rFonts w:eastAsia="Times New Roman" w:cs="Arial"/>
        </w:rPr>
      </w:pPr>
      <w:r w:rsidRPr="00424500">
        <w:rPr>
          <w:rFonts w:eastAsia="Times New Roman" w:cs="Arial"/>
          <w:color w:val="000000"/>
          <w:lang w:eastAsia="bg-BG"/>
        </w:rPr>
        <w:t xml:space="preserve">При клинични проучвания фармакокинетиката на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не се повлиява от хидрохлоротиазид.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се </w:t>
      </w:r>
      <w:proofErr w:type="spellStart"/>
      <w:r w:rsidRPr="00424500">
        <w:rPr>
          <w:rFonts w:eastAsia="Times New Roman" w:cs="Arial"/>
          <w:color w:val="000000"/>
          <w:lang w:eastAsia="bg-BG"/>
        </w:rPr>
        <w:t>метаболизира</w:t>
      </w:r>
      <w:proofErr w:type="spellEnd"/>
      <w:r w:rsidRPr="00424500">
        <w:rPr>
          <w:rFonts w:eastAsia="Times New Roman" w:cs="Arial"/>
          <w:color w:val="000000"/>
          <w:lang w:eastAsia="bg-BG"/>
        </w:rPr>
        <w:t xml:space="preserve"> основно с помощта на </w:t>
      </w:r>
      <w:r w:rsidRPr="00424500">
        <w:rPr>
          <w:rFonts w:eastAsia="Times New Roman" w:cs="Arial"/>
          <w:color w:val="000000"/>
        </w:rPr>
        <w:t xml:space="preserve">CYP2C9 </w:t>
      </w:r>
      <w:r w:rsidRPr="00424500">
        <w:rPr>
          <w:rFonts w:eastAsia="Times New Roman" w:cs="Arial"/>
          <w:color w:val="000000"/>
          <w:lang w:eastAsia="bg-BG"/>
        </w:rPr>
        <w:t xml:space="preserve">и в по-малка степен чрез </w:t>
      </w:r>
      <w:proofErr w:type="spellStart"/>
      <w:r w:rsidRPr="00424500">
        <w:rPr>
          <w:rFonts w:eastAsia="Times New Roman" w:cs="Arial"/>
          <w:color w:val="000000"/>
          <w:lang w:eastAsia="bg-BG"/>
        </w:rPr>
        <w:t>глюкурониране</w:t>
      </w:r>
      <w:proofErr w:type="spellEnd"/>
      <w:r w:rsidRPr="00424500">
        <w:rPr>
          <w:rFonts w:eastAsia="Times New Roman" w:cs="Arial"/>
          <w:color w:val="000000"/>
          <w:lang w:eastAsia="bg-BG"/>
        </w:rPr>
        <w:t xml:space="preserve">. Не са наблюдавани значими </w:t>
      </w:r>
      <w:proofErr w:type="spellStart"/>
      <w:r w:rsidRPr="00424500">
        <w:rPr>
          <w:rFonts w:eastAsia="Times New Roman" w:cs="Arial"/>
          <w:color w:val="000000"/>
          <w:lang w:eastAsia="bg-BG"/>
        </w:rPr>
        <w:t>фармакокинетични</w:t>
      </w:r>
      <w:proofErr w:type="spellEnd"/>
      <w:r w:rsidRPr="00424500">
        <w:rPr>
          <w:rFonts w:eastAsia="Times New Roman" w:cs="Arial"/>
          <w:color w:val="000000"/>
          <w:lang w:eastAsia="bg-BG"/>
        </w:rPr>
        <w:t xml:space="preserve"> и </w:t>
      </w:r>
      <w:proofErr w:type="spellStart"/>
      <w:r w:rsidRPr="00424500">
        <w:rPr>
          <w:rFonts w:eastAsia="Times New Roman" w:cs="Arial"/>
          <w:color w:val="000000"/>
          <w:lang w:eastAsia="bg-BG"/>
        </w:rPr>
        <w:t>фармакодинамични</w:t>
      </w:r>
      <w:proofErr w:type="spellEnd"/>
      <w:r w:rsidRPr="00424500">
        <w:rPr>
          <w:rFonts w:eastAsia="Times New Roman" w:cs="Arial"/>
          <w:color w:val="000000"/>
          <w:lang w:eastAsia="bg-BG"/>
        </w:rPr>
        <w:t xml:space="preserve"> взаимодействия при едновременното приложение на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с </w:t>
      </w:r>
      <w:proofErr w:type="spellStart"/>
      <w:r w:rsidRPr="00424500">
        <w:rPr>
          <w:rFonts w:eastAsia="Times New Roman" w:cs="Arial"/>
          <w:color w:val="000000"/>
          <w:lang w:eastAsia="bg-BG"/>
        </w:rPr>
        <w:t>варфарин</w:t>
      </w:r>
      <w:proofErr w:type="spellEnd"/>
      <w:r w:rsidRPr="00424500">
        <w:rPr>
          <w:rFonts w:eastAsia="Times New Roman" w:cs="Arial"/>
          <w:color w:val="000000"/>
          <w:lang w:eastAsia="bg-BG"/>
        </w:rPr>
        <w:t xml:space="preserve">, който се </w:t>
      </w:r>
      <w:proofErr w:type="spellStart"/>
      <w:r w:rsidRPr="00424500">
        <w:rPr>
          <w:rFonts w:eastAsia="Times New Roman" w:cs="Arial"/>
          <w:color w:val="000000"/>
          <w:lang w:eastAsia="bg-BG"/>
        </w:rPr>
        <w:t>метаболизира</w:t>
      </w:r>
      <w:proofErr w:type="spellEnd"/>
      <w:r w:rsidRPr="00424500">
        <w:rPr>
          <w:rFonts w:eastAsia="Times New Roman" w:cs="Arial"/>
          <w:color w:val="000000"/>
          <w:lang w:eastAsia="bg-BG"/>
        </w:rPr>
        <w:t xml:space="preserve"> с помощта на </w:t>
      </w:r>
      <w:r w:rsidRPr="00424500">
        <w:rPr>
          <w:rFonts w:eastAsia="Times New Roman" w:cs="Arial"/>
          <w:color w:val="000000"/>
        </w:rPr>
        <w:t xml:space="preserve">CYP2C9. </w:t>
      </w:r>
      <w:r w:rsidRPr="00424500">
        <w:rPr>
          <w:rFonts w:eastAsia="Times New Roman" w:cs="Arial"/>
          <w:color w:val="000000"/>
          <w:lang w:eastAsia="bg-BG"/>
        </w:rPr>
        <w:t xml:space="preserve">Ефектите на индукторите на </w:t>
      </w:r>
      <w:r w:rsidRPr="00424500">
        <w:rPr>
          <w:rFonts w:eastAsia="Times New Roman" w:cs="Arial"/>
          <w:color w:val="000000"/>
        </w:rPr>
        <w:t xml:space="preserve">CYP2C9, </w:t>
      </w:r>
      <w:r w:rsidRPr="00424500">
        <w:rPr>
          <w:rFonts w:eastAsia="Times New Roman" w:cs="Arial"/>
          <w:color w:val="000000"/>
          <w:lang w:eastAsia="bg-BG"/>
        </w:rPr>
        <w:t xml:space="preserve">като </w:t>
      </w:r>
      <w:proofErr w:type="spellStart"/>
      <w:r w:rsidRPr="00424500">
        <w:rPr>
          <w:rFonts w:eastAsia="Times New Roman" w:cs="Arial"/>
          <w:color w:val="000000"/>
          <w:lang w:eastAsia="bg-BG"/>
        </w:rPr>
        <w:t>рифампицин</w:t>
      </w:r>
      <w:proofErr w:type="spellEnd"/>
      <w:r w:rsidRPr="00424500">
        <w:rPr>
          <w:rFonts w:eastAsia="Times New Roman" w:cs="Arial"/>
          <w:color w:val="000000"/>
          <w:lang w:eastAsia="bg-BG"/>
        </w:rPr>
        <w:t xml:space="preserve">, върху фармакокинетиката на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 xml:space="preserve">, не са проучени. Фармакокинетиката на </w:t>
      </w:r>
      <w:proofErr w:type="spellStart"/>
      <w:r w:rsidRPr="00424500">
        <w:rPr>
          <w:rFonts w:eastAsia="Times New Roman" w:cs="Arial"/>
          <w:color w:val="000000"/>
          <w:lang w:eastAsia="bg-BG"/>
        </w:rPr>
        <w:t>дигоксин</w:t>
      </w:r>
      <w:proofErr w:type="spellEnd"/>
      <w:r w:rsidRPr="00424500">
        <w:rPr>
          <w:rFonts w:eastAsia="Times New Roman" w:cs="Arial"/>
          <w:color w:val="000000"/>
          <w:lang w:eastAsia="bg-BG"/>
        </w:rPr>
        <w:t xml:space="preserve"> не се променя при едновременно приложение с </w:t>
      </w:r>
      <w:proofErr w:type="spellStart"/>
      <w:r w:rsidRPr="00424500">
        <w:rPr>
          <w:rFonts w:eastAsia="Times New Roman" w:cs="Arial"/>
          <w:color w:val="000000"/>
          <w:lang w:eastAsia="bg-BG"/>
        </w:rPr>
        <w:t>ирбесартан</w:t>
      </w:r>
      <w:proofErr w:type="spellEnd"/>
      <w:r w:rsidRPr="00424500">
        <w:rPr>
          <w:rFonts w:eastAsia="Times New Roman" w:cs="Arial"/>
          <w:color w:val="000000"/>
          <w:lang w:eastAsia="bg-BG"/>
        </w:rPr>
        <w:t>.</w:t>
      </w:r>
    </w:p>
    <w:p w14:paraId="1C036A11" w14:textId="77777777" w:rsidR="00DF3D99" w:rsidRPr="00424500" w:rsidRDefault="00DF3D99" w:rsidP="00DF3D99">
      <w:pPr>
        <w:spacing w:line="240" w:lineRule="auto"/>
        <w:rPr>
          <w:rFonts w:eastAsia="Times New Roman" w:cs="Arial"/>
          <w:color w:val="000000"/>
          <w:u w:val="single"/>
          <w:lang w:eastAsia="bg-BG"/>
        </w:rPr>
      </w:pPr>
    </w:p>
    <w:p w14:paraId="7A14FAE1" w14:textId="1C9BB1DF" w:rsidR="00DF3D99" w:rsidRPr="00424500" w:rsidRDefault="00DF3D99" w:rsidP="00DF3D99">
      <w:pPr>
        <w:spacing w:line="240" w:lineRule="auto"/>
        <w:rPr>
          <w:rFonts w:eastAsia="Times New Roman" w:cs="Arial"/>
        </w:rPr>
      </w:pPr>
      <w:r w:rsidRPr="00424500">
        <w:rPr>
          <w:rFonts w:eastAsia="Times New Roman" w:cs="Arial"/>
          <w:color w:val="000000"/>
          <w:u w:val="single"/>
          <w:lang w:eastAsia="bg-BG"/>
        </w:rPr>
        <w:t xml:space="preserve">Допълнителна информация относно взаимодействията на хидрохлоротиазид: </w:t>
      </w:r>
      <w:r w:rsidRPr="00424500">
        <w:rPr>
          <w:rFonts w:eastAsia="Times New Roman" w:cs="Arial"/>
          <w:color w:val="000000"/>
          <w:lang w:eastAsia="bg-BG"/>
        </w:rPr>
        <w:t xml:space="preserve">При съвместното им приложение, представените по-долу лекарствени продукти може да взаимодействат с </w:t>
      </w:r>
      <w:proofErr w:type="spellStart"/>
      <w:r w:rsidRPr="00424500">
        <w:rPr>
          <w:rFonts w:eastAsia="Times New Roman" w:cs="Arial"/>
          <w:color w:val="000000"/>
          <w:lang w:eastAsia="bg-BG"/>
        </w:rPr>
        <w:t>тиазидните</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w:t>
      </w:r>
    </w:p>
    <w:p w14:paraId="4EE85F18" w14:textId="77777777" w:rsidR="00DF3D99" w:rsidRPr="00424500" w:rsidRDefault="00DF3D99" w:rsidP="00DF3D99">
      <w:pPr>
        <w:spacing w:line="240" w:lineRule="auto"/>
        <w:rPr>
          <w:rFonts w:eastAsia="Times New Roman" w:cs="Arial"/>
          <w:i/>
          <w:iCs/>
          <w:color w:val="000000"/>
          <w:lang w:eastAsia="bg-BG"/>
        </w:rPr>
      </w:pPr>
    </w:p>
    <w:p w14:paraId="11E98838" w14:textId="4A08CE8A" w:rsidR="00DF3D99" w:rsidRPr="00424500" w:rsidRDefault="00DF3D99" w:rsidP="00DF3D99">
      <w:pPr>
        <w:spacing w:line="240" w:lineRule="auto"/>
        <w:rPr>
          <w:rFonts w:eastAsia="Times New Roman" w:cs="Arial"/>
        </w:rPr>
      </w:pPr>
      <w:r w:rsidRPr="00424500">
        <w:rPr>
          <w:rFonts w:eastAsia="Times New Roman" w:cs="Arial"/>
          <w:i/>
          <w:iCs/>
          <w:color w:val="000000"/>
          <w:lang w:eastAsia="bg-BG"/>
        </w:rPr>
        <w:t>Алкохол:</w:t>
      </w:r>
      <w:r w:rsidRPr="00424500">
        <w:rPr>
          <w:rFonts w:eastAsia="Times New Roman" w:cs="Arial"/>
          <w:color w:val="000000"/>
          <w:lang w:eastAsia="bg-BG"/>
        </w:rPr>
        <w:t xml:space="preserve"> може да настъпи </w:t>
      </w:r>
      <w:proofErr w:type="spellStart"/>
      <w:r w:rsidRPr="00424500">
        <w:rPr>
          <w:rFonts w:eastAsia="Times New Roman" w:cs="Arial"/>
          <w:color w:val="000000"/>
          <w:lang w:eastAsia="bg-BG"/>
        </w:rPr>
        <w:t>потенциране</w:t>
      </w:r>
      <w:proofErr w:type="spellEnd"/>
      <w:r w:rsidRPr="00424500">
        <w:rPr>
          <w:rFonts w:eastAsia="Times New Roman" w:cs="Arial"/>
          <w:color w:val="000000"/>
          <w:lang w:eastAsia="bg-BG"/>
        </w:rPr>
        <w:t xml:space="preserve"> на ортостатичната хипотония;</w:t>
      </w:r>
    </w:p>
    <w:p w14:paraId="478E5EBD" w14:textId="77777777" w:rsidR="00DF3D99" w:rsidRPr="00424500" w:rsidRDefault="00DF3D99" w:rsidP="00DF3D99">
      <w:pPr>
        <w:spacing w:line="240" w:lineRule="auto"/>
        <w:rPr>
          <w:rFonts w:eastAsia="Times New Roman" w:cs="Arial"/>
          <w:i/>
          <w:iCs/>
          <w:color w:val="000000"/>
          <w:lang w:eastAsia="bg-BG"/>
        </w:rPr>
      </w:pPr>
    </w:p>
    <w:p w14:paraId="471B9732" w14:textId="43950930" w:rsidR="00DF3D99" w:rsidRPr="00424500" w:rsidRDefault="00DF3D99" w:rsidP="00DF3D99">
      <w:pPr>
        <w:spacing w:line="240" w:lineRule="auto"/>
        <w:rPr>
          <w:rFonts w:eastAsia="Times New Roman" w:cs="Arial"/>
        </w:rPr>
      </w:pPr>
      <w:r w:rsidRPr="00424500">
        <w:rPr>
          <w:rFonts w:eastAsia="Times New Roman" w:cs="Arial"/>
          <w:i/>
          <w:iCs/>
          <w:color w:val="000000"/>
          <w:lang w:eastAsia="bg-BG"/>
        </w:rPr>
        <w:t xml:space="preserve">Антидиабетни лекарствени продукти (перорални средства и </w:t>
      </w:r>
      <w:proofErr w:type="spellStart"/>
      <w:r w:rsidRPr="00424500">
        <w:rPr>
          <w:rFonts w:eastAsia="Times New Roman" w:cs="Arial"/>
          <w:i/>
          <w:iCs/>
          <w:color w:val="000000"/>
          <w:lang w:eastAsia="bg-BG"/>
        </w:rPr>
        <w:t>инсулини</w:t>
      </w:r>
      <w:proofErr w:type="spellEnd"/>
      <w:r w:rsidRPr="00424500">
        <w:rPr>
          <w:rFonts w:eastAsia="Times New Roman" w:cs="Arial"/>
          <w:i/>
          <w:iCs/>
          <w:color w:val="000000"/>
          <w:lang w:eastAsia="bg-BG"/>
        </w:rPr>
        <w:t>):</w:t>
      </w:r>
      <w:r w:rsidRPr="00424500">
        <w:rPr>
          <w:rFonts w:eastAsia="Times New Roman" w:cs="Arial"/>
          <w:color w:val="000000"/>
          <w:lang w:eastAsia="bg-BG"/>
        </w:rPr>
        <w:t xml:space="preserve"> може да е необходимо коригиране на дозата на антидиабетния лекарствен продукт (вж. точка 4.4);</w:t>
      </w:r>
    </w:p>
    <w:p w14:paraId="00E4D486" w14:textId="77777777" w:rsidR="00DF3D99" w:rsidRPr="00424500" w:rsidRDefault="00DF3D99" w:rsidP="00DF3D99">
      <w:pPr>
        <w:spacing w:line="240" w:lineRule="auto"/>
        <w:rPr>
          <w:rFonts w:eastAsia="Times New Roman" w:cs="Arial"/>
          <w:i/>
          <w:iCs/>
          <w:color w:val="000000"/>
          <w:lang w:eastAsia="bg-BG"/>
        </w:rPr>
      </w:pPr>
    </w:p>
    <w:p w14:paraId="0884449D" w14:textId="3BD54C81" w:rsidR="00DF3D99" w:rsidRPr="00424500" w:rsidRDefault="00DF3D99" w:rsidP="00DF3D99">
      <w:pPr>
        <w:spacing w:line="240" w:lineRule="auto"/>
        <w:rPr>
          <w:rFonts w:eastAsia="Times New Roman" w:cs="Arial"/>
        </w:rPr>
      </w:pPr>
      <w:proofErr w:type="spellStart"/>
      <w:r w:rsidRPr="00424500">
        <w:rPr>
          <w:rFonts w:eastAsia="Times New Roman" w:cs="Arial"/>
          <w:i/>
          <w:iCs/>
          <w:color w:val="000000"/>
          <w:lang w:eastAsia="bg-BG"/>
        </w:rPr>
        <w:t>Холестирамин</w:t>
      </w:r>
      <w:proofErr w:type="spellEnd"/>
      <w:r w:rsidRPr="00424500">
        <w:rPr>
          <w:rFonts w:eastAsia="Times New Roman" w:cs="Arial"/>
          <w:i/>
          <w:iCs/>
          <w:color w:val="000000"/>
          <w:lang w:eastAsia="bg-BG"/>
        </w:rPr>
        <w:t xml:space="preserve"> и </w:t>
      </w:r>
      <w:proofErr w:type="spellStart"/>
      <w:r w:rsidRPr="00424500">
        <w:rPr>
          <w:rFonts w:eastAsia="Times New Roman" w:cs="Arial"/>
          <w:i/>
          <w:iCs/>
          <w:color w:val="000000"/>
          <w:lang w:eastAsia="bg-BG"/>
        </w:rPr>
        <w:t>холестиполови</w:t>
      </w:r>
      <w:proofErr w:type="spellEnd"/>
      <w:r w:rsidRPr="00424500">
        <w:rPr>
          <w:rFonts w:eastAsia="Times New Roman" w:cs="Arial"/>
          <w:i/>
          <w:iCs/>
          <w:color w:val="000000"/>
          <w:lang w:eastAsia="bg-BG"/>
        </w:rPr>
        <w:t xml:space="preserve"> смоли:</w:t>
      </w:r>
      <w:r w:rsidRPr="00424500">
        <w:rPr>
          <w:rFonts w:eastAsia="Times New Roman" w:cs="Arial"/>
          <w:color w:val="000000"/>
          <w:lang w:eastAsia="bg-BG"/>
        </w:rPr>
        <w:t xml:space="preserve"> абсорбцията на хидрохлоротиазид е нарушена в присъствието на </w:t>
      </w:r>
      <w:proofErr w:type="spellStart"/>
      <w:r w:rsidRPr="00424500">
        <w:rPr>
          <w:rFonts w:eastAsia="Times New Roman" w:cs="Arial"/>
          <w:color w:val="000000"/>
          <w:lang w:eastAsia="bg-BG"/>
        </w:rPr>
        <w:t>анионни</w:t>
      </w:r>
      <w:proofErr w:type="spellEnd"/>
      <w:r w:rsidRPr="00424500">
        <w:rPr>
          <w:rFonts w:eastAsia="Times New Roman" w:cs="Arial"/>
          <w:color w:val="000000"/>
          <w:lang w:eastAsia="bg-BG"/>
        </w:rPr>
        <w:t xml:space="preserve"> обменни смоли. Ко-</w:t>
      </w:r>
      <w:proofErr w:type="spellStart"/>
      <w:r w:rsidRPr="00424500">
        <w:rPr>
          <w:rFonts w:eastAsia="Times New Roman" w:cs="Arial"/>
          <w:color w:val="000000"/>
          <w:lang w:eastAsia="bg-BG"/>
        </w:rPr>
        <w:t>Ирбесо</w:t>
      </w:r>
      <w:proofErr w:type="spellEnd"/>
      <w:r w:rsidRPr="00424500">
        <w:rPr>
          <w:rFonts w:eastAsia="Times New Roman" w:cs="Arial"/>
          <w:color w:val="000000"/>
          <w:lang w:eastAsia="bg-BG"/>
        </w:rPr>
        <w:t xml:space="preserve"> трябва да</w:t>
      </w:r>
      <w:r w:rsidRPr="00424500">
        <w:rPr>
          <w:rFonts w:eastAsia="Times New Roman" w:cs="Arial"/>
          <w:color w:val="000000"/>
        </w:rPr>
        <w:t xml:space="preserve"> </w:t>
      </w:r>
      <w:r w:rsidRPr="00424500">
        <w:rPr>
          <w:rFonts w:eastAsia="Times New Roman" w:cs="Arial"/>
          <w:color w:val="000000"/>
          <w:lang w:eastAsia="bg-BG"/>
        </w:rPr>
        <w:t>се приема поне един час преди или четири часа след приема на такива лекарства;</w:t>
      </w:r>
    </w:p>
    <w:p w14:paraId="2172C7E2" w14:textId="77777777" w:rsidR="00DF3D99" w:rsidRPr="00424500" w:rsidRDefault="00DF3D99" w:rsidP="00DF3D99">
      <w:pPr>
        <w:spacing w:line="240" w:lineRule="auto"/>
        <w:rPr>
          <w:rFonts w:eastAsia="Times New Roman" w:cs="Arial"/>
          <w:i/>
          <w:iCs/>
          <w:color w:val="000000"/>
          <w:lang w:eastAsia="bg-BG"/>
        </w:rPr>
      </w:pPr>
    </w:p>
    <w:p w14:paraId="554900A4" w14:textId="65B9BC1E" w:rsidR="00DF3D99" w:rsidRPr="00424500" w:rsidRDefault="00DF3D99" w:rsidP="00DF3D99">
      <w:pPr>
        <w:spacing w:line="240" w:lineRule="auto"/>
        <w:rPr>
          <w:rFonts w:eastAsia="Times New Roman" w:cs="Arial"/>
        </w:rPr>
      </w:pPr>
      <w:proofErr w:type="spellStart"/>
      <w:r w:rsidRPr="00424500">
        <w:rPr>
          <w:rFonts w:eastAsia="Times New Roman" w:cs="Arial"/>
          <w:i/>
          <w:iCs/>
          <w:color w:val="000000"/>
          <w:lang w:eastAsia="bg-BG"/>
        </w:rPr>
        <w:t>Кортикостераиди</w:t>
      </w:r>
      <w:proofErr w:type="spellEnd"/>
      <w:r w:rsidRPr="00424500">
        <w:rPr>
          <w:rFonts w:eastAsia="Times New Roman" w:cs="Arial"/>
          <w:i/>
          <w:iCs/>
          <w:color w:val="000000"/>
          <w:lang w:eastAsia="bg-BG"/>
        </w:rPr>
        <w:t>, АКТХ:</w:t>
      </w:r>
      <w:r w:rsidRPr="00424500">
        <w:rPr>
          <w:rFonts w:eastAsia="Times New Roman" w:cs="Arial"/>
          <w:color w:val="000000"/>
          <w:lang w:eastAsia="bg-BG"/>
        </w:rPr>
        <w:t xml:space="preserve"> загубата на електролити, особено хипокалиемия, може да бъде повишен;</w:t>
      </w:r>
    </w:p>
    <w:p w14:paraId="5F323933" w14:textId="77777777" w:rsidR="00DF3D99" w:rsidRPr="00424500" w:rsidRDefault="00DF3D99" w:rsidP="00DF3D99">
      <w:pPr>
        <w:spacing w:line="240" w:lineRule="auto"/>
        <w:rPr>
          <w:rFonts w:eastAsia="Times New Roman" w:cs="Arial"/>
          <w:i/>
          <w:iCs/>
          <w:color w:val="000000"/>
          <w:lang w:eastAsia="bg-BG"/>
        </w:rPr>
      </w:pPr>
    </w:p>
    <w:p w14:paraId="6CAA89F6" w14:textId="4B6AE724" w:rsidR="00DF3D99" w:rsidRPr="00424500" w:rsidRDefault="00DF3D99" w:rsidP="00DF3D99">
      <w:pPr>
        <w:spacing w:line="240" w:lineRule="auto"/>
        <w:rPr>
          <w:rFonts w:eastAsia="Times New Roman" w:cs="Arial"/>
        </w:rPr>
      </w:pPr>
      <w:r w:rsidRPr="00424500">
        <w:rPr>
          <w:rFonts w:eastAsia="Times New Roman" w:cs="Arial"/>
          <w:i/>
          <w:iCs/>
          <w:color w:val="000000"/>
          <w:lang w:eastAsia="bg-BG"/>
        </w:rPr>
        <w:t xml:space="preserve">Сърдечни </w:t>
      </w:r>
      <w:proofErr w:type="spellStart"/>
      <w:r w:rsidRPr="00424500">
        <w:rPr>
          <w:rFonts w:eastAsia="Times New Roman" w:cs="Arial"/>
          <w:i/>
          <w:iCs/>
          <w:color w:val="000000"/>
          <w:lang w:eastAsia="bg-BG"/>
        </w:rPr>
        <w:t>гликозиди</w:t>
      </w:r>
      <w:proofErr w:type="spellEnd"/>
      <w:r w:rsidRPr="00424500">
        <w:rPr>
          <w:rFonts w:eastAsia="Times New Roman" w:cs="Arial"/>
          <w:i/>
          <w:iCs/>
          <w:color w:val="000000"/>
          <w:lang w:eastAsia="bg-BG"/>
        </w:rPr>
        <w:t>:</w:t>
      </w:r>
      <w:r w:rsidRPr="00424500">
        <w:rPr>
          <w:rFonts w:eastAsia="Times New Roman" w:cs="Arial"/>
          <w:color w:val="000000"/>
          <w:lang w:eastAsia="bg-BG"/>
        </w:rPr>
        <w:t xml:space="preserve"> предизвиканата от </w:t>
      </w: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хипокалиемия или </w:t>
      </w:r>
      <w:proofErr w:type="spellStart"/>
      <w:r w:rsidRPr="00424500">
        <w:rPr>
          <w:rFonts w:eastAsia="Times New Roman" w:cs="Arial"/>
          <w:color w:val="000000"/>
          <w:lang w:eastAsia="bg-BG"/>
        </w:rPr>
        <w:t>хипомагнезиемия</w:t>
      </w:r>
      <w:proofErr w:type="spellEnd"/>
      <w:r w:rsidRPr="00424500">
        <w:rPr>
          <w:rFonts w:eastAsia="Times New Roman" w:cs="Arial"/>
          <w:color w:val="000000"/>
          <w:lang w:eastAsia="bg-BG"/>
        </w:rPr>
        <w:t xml:space="preserve"> благоприятства възникването на индуцирани от дигиталис сърдечни аритмии (вж. точка 4.4);</w:t>
      </w:r>
    </w:p>
    <w:p w14:paraId="5A9B5714" w14:textId="77777777" w:rsidR="00DF3D99" w:rsidRPr="00424500" w:rsidRDefault="00DF3D99" w:rsidP="00DF3D99">
      <w:pPr>
        <w:spacing w:line="240" w:lineRule="auto"/>
        <w:rPr>
          <w:rFonts w:eastAsia="Times New Roman" w:cs="Arial"/>
          <w:i/>
          <w:iCs/>
          <w:color w:val="000000"/>
          <w:lang w:eastAsia="bg-BG"/>
        </w:rPr>
      </w:pPr>
    </w:p>
    <w:p w14:paraId="657BA245" w14:textId="24C953AA" w:rsidR="00DF3D99" w:rsidRPr="00424500" w:rsidRDefault="00DF3D99" w:rsidP="00DF3D99">
      <w:pPr>
        <w:spacing w:line="240" w:lineRule="auto"/>
        <w:rPr>
          <w:rFonts w:eastAsia="Times New Roman" w:cs="Arial"/>
        </w:rPr>
      </w:pPr>
      <w:r w:rsidRPr="00424500">
        <w:rPr>
          <w:rFonts w:eastAsia="Times New Roman" w:cs="Arial"/>
          <w:i/>
          <w:iCs/>
          <w:color w:val="000000"/>
          <w:lang w:eastAsia="bg-BG"/>
        </w:rPr>
        <w:t>Нестероидни противовъзпалителни средства:</w:t>
      </w:r>
      <w:r w:rsidRPr="00424500">
        <w:rPr>
          <w:rFonts w:eastAsia="Times New Roman" w:cs="Arial"/>
          <w:color w:val="000000"/>
          <w:lang w:eastAsia="bg-BG"/>
        </w:rPr>
        <w:t xml:space="preserve"> приложението на нестероидни противовъзпалителни средства може да намали диуретичния, </w:t>
      </w:r>
      <w:proofErr w:type="spellStart"/>
      <w:r w:rsidRPr="00424500">
        <w:rPr>
          <w:rFonts w:eastAsia="Times New Roman" w:cs="Arial"/>
          <w:color w:val="000000"/>
          <w:lang w:eastAsia="bg-BG"/>
        </w:rPr>
        <w:t>натриуретичния</w:t>
      </w:r>
      <w:proofErr w:type="spellEnd"/>
      <w:r w:rsidRPr="00424500">
        <w:rPr>
          <w:rFonts w:eastAsia="Times New Roman" w:cs="Arial"/>
          <w:color w:val="000000"/>
          <w:lang w:eastAsia="bg-BG"/>
        </w:rPr>
        <w:t xml:space="preserve"> и антихипертензивен ефект на </w:t>
      </w:r>
      <w:proofErr w:type="spellStart"/>
      <w:r w:rsidRPr="00424500">
        <w:rPr>
          <w:rFonts w:eastAsia="Times New Roman" w:cs="Arial"/>
          <w:color w:val="000000"/>
          <w:lang w:eastAsia="bg-BG"/>
        </w:rPr>
        <w:t>тиазидните</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при някои пациенти;</w:t>
      </w:r>
    </w:p>
    <w:p w14:paraId="0A31B3D5" w14:textId="77777777" w:rsidR="00DF3D99" w:rsidRPr="00424500" w:rsidRDefault="00DF3D99" w:rsidP="00DF3D99">
      <w:pPr>
        <w:spacing w:line="240" w:lineRule="auto"/>
        <w:rPr>
          <w:rFonts w:eastAsia="Times New Roman" w:cs="Arial"/>
          <w:i/>
          <w:iCs/>
          <w:color w:val="000000"/>
          <w:lang w:eastAsia="bg-BG"/>
        </w:rPr>
      </w:pPr>
    </w:p>
    <w:p w14:paraId="530D0D4D" w14:textId="14688E8F" w:rsidR="00DF3D99" w:rsidRPr="00424500" w:rsidRDefault="00DF3D99" w:rsidP="00DF3D99">
      <w:pPr>
        <w:spacing w:line="240" w:lineRule="auto"/>
        <w:rPr>
          <w:rFonts w:eastAsia="Times New Roman" w:cs="Arial"/>
        </w:rPr>
      </w:pPr>
      <w:proofErr w:type="spellStart"/>
      <w:r w:rsidRPr="00424500">
        <w:rPr>
          <w:rFonts w:eastAsia="Times New Roman" w:cs="Arial"/>
          <w:i/>
          <w:iCs/>
          <w:color w:val="000000"/>
          <w:lang w:eastAsia="bg-BG"/>
        </w:rPr>
        <w:t>Пресорни</w:t>
      </w:r>
      <w:proofErr w:type="spellEnd"/>
      <w:r w:rsidRPr="00424500">
        <w:rPr>
          <w:rFonts w:eastAsia="Times New Roman" w:cs="Arial"/>
          <w:i/>
          <w:iCs/>
          <w:color w:val="000000"/>
          <w:lang w:eastAsia="bg-BG"/>
        </w:rPr>
        <w:t xml:space="preserve"> </w:t>
      </w:r>
      <w:proofErr w:type="spellStart"/>
      <w:r w:rsidRPr="00424500">
        <w:rPr>
          <w:rFonts w:eastAsia="Times New Roman" w:cs="Arial"/>
          <w:i/>
          <w:iCs/>
          <w:color w:val="000000"/>
          <w:lang w:eastAsia="bg-BG"/>
        </w:rPr>
        <w:t>амини</w:t>
      </w:r>
      <w:proofErr w:type="spellEnd"/>
      <w:r w:rsidRPr="00424500">
        <w:rPr>
          <w:rFonts w:eastAsia="Times New Roman" w:cs="Arial"/>
          <w:i/>
          <w:iCs/>
          <w:color w:val="000000"/>
          <w:lang w:eastAsia="bg-BG"/>
        </w:rPr>
        <w:t xml:space="preserve"> (напр. </w:t>
      </w:r>
      <w:proofErr w:type="spellStart"/>
      <w:r w:rsidRPr="00424500">
        <w:rPr>
          <w:rFonts w:eastAsia="Times New Roman" w:cs="Arial"/>
          <w:i/>
          <w:iCs/>
          <w:color w:val="000000"/>
          <w:lang w:eastAsia="bg-BG"/>
        </w:rPr>
        <w:t>норадреналин</w:t>
      </w:r>
      <w:proofErr w:type="spellEnd"/>
      <w:r w:rsidRPr="00424500">
        <w:rPr>
          <w:rFonts w:eastAsia="Times New Roman" w:cs="Arial"/>
          <w:i/>
          <w:iCs/>
          <w:color w:val="000000"/>
          <w:lang w:eastAsia="bg-BG"/>
        </w:rPr>
        <w:t>):</w:t>
      </w:r>
      <w:r w:rsidRPr="00424500">
        <w:rPr>
          <w:rFonts w:eastAsia="Times New Roman" w:cs="Arial"/>
          <w:color w:val="000000"/>
          <w:lang w:eastAsia="bg-BG"/>
        </w:rPr>
        <w:t xml:space="preserve"> ефектът на </w:t>
      </w:r>
      <w:proofErr w:type="spellStart"/>
      <w:r w:rsidRPr="00424500">
        <w:rPr>
          <w:rFonts w:eastAsia="Times New Roman" w:cs="Arial"/>
          <w:color w:val="000000"/>
          <w:lang w:eastAsia="bg-BG"/>
        </w:rPr>
        <w:t>пресорните</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амини</w:t>
      </w:r>
      <w:proofErr w:type="spellEnd"/>
      <w:r w:rsidRPr="00424500">
        <w:rPr>
          <w:rFonts w:eastAsia="Times New Roman" w:cs="Arial"/>
          <w:color w:val="000000"/>
          <w:lang w:eastAsia="bg-BG"/>
        </w:rPr>
        <w:t xml:space="preserve"> може да бъде намален, но не в такава степен, че да изключи възможността за тяхната употреба;</w:t>
      </w:r>
    </w:p>
    <w:p w14:paraId="11AF87FA" w14:textId="77777777" w:rsidR="00DF3D99" w:rsidRPr="00424500" w:rsidRDefault="00DF3D99" w:rsidP="00DF3D99">
      <w:pPr>
        <w:spacing w:line="240" w:lineRule="auto"/>
        <w:rPr>
          <w:rFonts w:eastAsia="Times New Roman" w:cs="Arial"/>
          <w:i/>
          <w:iCs/>
          <w:color w:val="000000"/>
          <w:lang w:eastAsia="bg-BG"/>
        </w:rPr>
      </w:pPr>
    </w:p>
    <w:p w14:paraId="59682FB4" w14:textId="0CFAEF00" w:rsidR="00DF3D99" w:rsidRPr="00424500" w:rsidRDefault="00DF3D99" w:rsidP="00DF3D99">
      <w:pPr>
        <w:spacing w:line="240" w:lineRule="auto"/>
        <w:rPr>
          <w:rFonts w:eastAsia="Times New Roman" w:cs="Arial"/>
          <w:color w:val="000000"/>
          <w:lang w:eastAsia="bg-BG"/>
        </w:rPr>
      </w:pPr>
      <w:proofErr w:type="spellStart"/>
      <w:r w:rsidRPr="00424500">
        <w:rPr>
          <w:rFonts w:eastAsia="Times New Roman" w:cs="Arial"/>
          <w:i/>
          <w:iCs/>
          <w:color w:val="000000"/>
          <w:lang w:eastAsia="bg-BG"/>
        </w:rPr>
        <w:t>Недеполяризиращи</w:t>
      </w:r>
      <w:proofErr w:type="spellEnd"/>
      <w:r w:rsidRPr="00424500">
        <w:rPr>
          <w:rFonts w:eastAsia="Times New Roman" w:cs="Arial"/>
          <w:i/>
          <w:iCs/>
          <w:color w:val="000000"/>
          <w:lang w:eastAsia="bg-BG"/>
        </w:rPr>
        <w:t xml:space="preserve"> </w:t>
      </w:r>
      <w:proofErr w:type="spellStart"/>
      <w:r w:rsidRPr="00424500">
        <w:rPr>
          <w:rFonts w:eastAsia="Times New Roman" w:cs="Arial"/>
          <w:i/>
          <w:iCs/>
          <w:color w:val="000000"/>
          <w:lang w:eastAsia="bg-BG"/>
        </w:rPr>
        <w:t>релаксанти</w:t>
      </w:r>
      <w:proofErr w:type="spellEnd"/>
      <w:r w:rsidRPr="00424500">
        <w:rPr>
          <w:rFonts w:eastAsia="Times New Roman" w:cs="Arial"/>
          <w:i/>
          <w:iCs/>
          <w:color w:val="000000"/>
          <w:lang w:eastAsia="bg-BG"/>
        </w:rPr>
        <w:t xml:space="preserve"> на скелетната мускулатура (напр. </w:t>
      </w:r>
      <w:proofErr w:type="spellStart"/>
      <w:r w:rsidRPr="00424500">
        <w:rPr>
          <w:rFonts w:eastAsia="Times New Roman" w:cs="Arial"/>
          <w:i/>
          <w:iCs/>
          <w:color w:val="000000"/>
          <w:lang w:eastAsia="bg-BG"/>
        </w:rPr>
        <w:t>тубокурарин</w:t>
      </w:r>
      <w:proofErr w:type="spellEnd"/>
      <w:r w:rsidRPr="00424500">
        <w:rPr>
          <w:rFonts w:eastAsia="Times New Roman" w:cs="Arial"/>
          <w:i/>
          <w:iCs/>
          <w:color w:val="000000"/>
          <w:lang w:eastAsia="bg-BG"/>
        </w:rPr>
        <w:t>):</w:t>
      </w:r>
      <w:r w:rsidRPr="00424500">
        <w:rPr>
          <w:rFonts w:eastAsia="Times New Roman" w:cs="Arial"/>
          <w:color w:val="000000"/>
          <w:lang w:eastAsia="bg-BG"/>
        </w:rPr>
        <w:t xml:space="preserve"> ефектът на </w:t>
      </w:r>
      <w:proofErr w:type="spellStart"/>
      <w:r w:rsidRPr="00424500">
        <w:rPr>
          <w:rFonts w:eastAsia="Times New Roman" w:cs="Arial"/>
          <w:color w:val="000000"/>
          <w:lang w:eastAsia="bg-BG"/>
        </w:rPr>
        <w:t>недеполяризиращите</w:t>
      </w:r>
      <w:proofErr w:type="spellEnd"/>
      <w:r w:rsidRPr="00424500">
        <w:rPr>
          <w:rFonts w:eastAsia="Times New Roman" w:cs="Arial"/>
          <w:color w:val="000000"/>
          <w:lang w:eastAsia="bg-BG"/>
        </w:rPr>
        <w:t xml:space="preserve"> </w:t>
      </w:r>
    </w:p>
    <w:p w14:paraId="36C433D1" w14:textId="2FCCA87A" w:rsidR="00DF3D99" w:rsidRPr="00424500" w:rsidRDefault="00DF3D99" w:rsidP="00DF3D99">
      <w:pPr>
        <w:spacing w:line="240" w:lineRule="auto"/>
        <w:rPr>
          <w:rFonts w:eastAsia="Times New Roman" w:cs="Arial"/>
        </w:rPr>
      </w:pPr>
      <w:proofErr w:type="spellStart"/>
      <w:r w:rsidRPr="00424500">
        <w:rPr>
          <w:rFonts w:eastAsia="Times New Roman" w:cs="Arial"/>
          <w:color w:val="000000"/>
          <w:lang w:eastAsia="bg-BG"/>
        </w:rPr>
        <w:t>релаксанти</w:t>
      </w:r>
      <w:proofErr w:type="spellEnd"/>
      <w:r w:rsidRPr="00424500">
        <w:rPr>
          <w:rFonts w:eastAsia="Times New Roman" w:cs="Arial"/>
          <w:color w:val="000000"/>
          <w:lang w:eastAsia="bg-BG"/>
        </w:rPr>
        <w:t xml:space="preserve"> на скелетната мускулатура може да бъде </w:t>
      </w:r>
      <w:proofErr w:type="spellStart"/>
      <w:r w:rsidRPr="00424500">
        <w:rPr>
          <w:rFonts w:eastAsia="Times New Roman" w:cs="Arial"/>
          <w:color w:val="000000"/>
          <w:lang w:eastAsia="bg-BG"/>
        </w:rPr>
        <w:t>потенциран</w:t>
      </w:r>
      <w:proofErr w:type="spellEnd"/>
      <w:r w:rsidRPr="00424500">
        <w:rPr>
          <w:rFonts w:eastAsia="Times New Roman" w:cs="Arial"/>
          <w:color w:val="000000"/>
          <w:lang w:eastAsia="bg-BG"/>
        </w:rPr>
        <w:t xml:space="preserve"> от хидрохлоротиазид;</w:t>
      </w:r>
    </w:p>
    <w:p w14:paraId="23737A7A" w14:textId="77777777" w:rsidR="00DF3D99" w:rsidRPr="00424500" w:rsidRDefault="00DF3D99" w:rsidP="00DF3D99">
      <w:pPr>
        <w:spacing w:line="240" w:lineRule="auto"/>
        <w:rPr>
          <w:rFonts w:eastAsia="Times New Roman" w:cs="Arial"/>
          <w:i/>
          <w:iCs/>
          <w:color w:val="000000"/>
          <w:lang w:eastAsia="bg-BG"/>
        </w:rPr>
      </w:pPr>
    </w:p>
    <w:p w14:paraId="5281BD04" w14:textId="77777777" w:rsidR="00DF3D99" w:rsidRPr="00424500" w:rsidRDefault="00DF3D99" w:rsidP="00DF3D99">
      <w:pPr>
        <w:rPr>
          <w:rFonts w:eastAsia="Times New Roman" w:cs="Arial"/>
        </w:rPr>
      </w:pPr>
      <w:r w:rsidRPr="00424500">
        <w:rPr>
          <w:rFonts w:eastAsia="Times New Roman" w:cs="Arial"/>
          <w:i/>
          <w:iCs/>
          <w:color w:val="000000"/>
          <w:lang w:eastAsia="bg-BG"/>
        </w:rPr>
        <w:t>Лекарствени продукти за лечение на подагра:</w:t>
      </w:r>
      <w:r w:rsidRPr="00424500">
        <w:rPr>
          <w:rFonts w:eastAsia="Times New Roman" w:cs="Arial"/>
          <w:color w:val="000000"/>
          <w:lang w:eastAsia="bg-BG"/>
        </w:rPr>
        <w:t xml:space="preserve"> може да е необходима промяна на дозата на </w:t>
      </w:r>
      <w:proofErr w:type="spellStart"/>
      <w:r w:rsidRPr="00424500">
        <w:rPr>
          <w:rFonts w:eastAsia="Times New Roman" w:cs="Arial"/>
          <w:color w:val="000000"/>
          <w:lang w:eastAsia="bg-BG"/>
        </w:rPr>
        <w:t>антиподагрозните</w:t>
      </w:r>
      <w:proofErr w:type="spellEnd"/>
      <w:r w:rsidRPr="00424500">
        <w:rPr>
          <w:rFonts w:eastAsia="Times New Roman" w:cs="Arial"/>
          <w:color w:val="000000"/>
          <w:lang w:eastAsia="bg-BG"/>
        </w:rPr>
        <w:t xml:space="preserve"> лекарствени продукти, тъй като хидрохлоротиазид може да повиши нивата на</w:t>
      </w:r>
      <w:r w:rsidRPr="00424500">
        <w:rPr>
          <w:rFonts w:eastAsia="Times New Roman" w:cs="Arial"/>
        </w:rPr>
        <w:t xml:space="preserve"> </w:t>
      </w:r>
      <w:r w:rsidRPr="00424500">
        <w:rPr>
          <w:rFonts w:eastAsia="Times New Roman" w:cs="Arial"/>
          <w:color w:val="000000"/>
          <w:lang w:eastAsia="bg-BG"/>
        </w:rPr>
        <w:t xml:space="preserve">серумната пикочна киселина. Може да е необходимо повишаване дозата на </w:t>
      </w:r>
      <w:proofErr w:type="spellStart"/>
      <w:r w:rsidRPr="00424500">
        <w:rPr>
          <w:rFonts w:eastAsia="Times New Roman" w:cs="Arial"/>
          <w:color w:val="000000"/>
          <w:lang w:eastAsia="bg-BG"/>
        </w:rPr>
        <w:t>пробенецид</w:t>
      </w:r>
      <w:proofErr w:type="spellEnd"/>
      <w:r w:rsidRPr="00424500">
        <w:rPr>
          <w:rFonts w:eastAsia="Times New Roman" w:cs="Arial"/>
          <w:color w:val="000000"/>
          <w:lang w:eastAsia="bg-BG"/>
        </w:rPr>
        <w:t xml:space="preserve"> или </w:t>
      </w:r>
      <w:proofErr w:type="spellStart"/>
      <w:r w:rsidRPr="00424500">
        <w:rPr>
          <w:rFonts w:eastAsia="Times New Roman" w:cs="Arial"/>
          <w:color w:val="000000"/>
          <w:lang w:eastAsia="bg-BG"/>
        </w:rPr>
        <w:t>сулфинпиразон</w:t>
      </w:r>
      <w:proofErr w:type="spellEnd"/>
      <w:r w:rsidRPr="00424500">
        <w:rPr>
          <w:rFonts w:eastAsia="Times New Roman" w:cs="Arial"/>
          <w:color w:val="000000"/>
          <w:lang w:eastAsia="bg-BG"/>
        </w:rPr>
        <w:t xml:space="preserve">. Едновременното приложение с </w:t>
      </w:r>
      <w:proofErr w:type="spellStart"/>
      <w:r w:rsidRPr="00424500">
        <w:rPr>
          <w:rFonts w:eastAsia="Times New Roman" w:cs="Arial"/>
          <w:color w:val="000000"/>
          <w:lang w:eastAsia="bg-BG"/>
        </w:rPr>
        <w:t>тиазидни</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може да повиши честотата на реакциите на свръхчувствителност към </w:t>
      </w:r>
      <w:proofErr w:type="spellStart"/>
      <w:r w:rsidRPr="00424500">
        <w:rPr>
          <w:rFonts w:eastAsia="Times New Roman" w:cs="Arial"/>
          <w:color w:val="000000"/>
          <w:lang w:eastAsia="bg-BG"/>
        </w:rPr>
        <w:t>алопуринол</w:t>
      </w:r>
      <w:proofErr w:type="spellEnd"/>
      <w:r w:rsidRPr="00424500">
        <w:rPr>
          <w:rFonts w:eastAsia="Times New Roman" w:cs="Arial"/>
          <w:color w:val="000000"/>
          <w:lang w:eastAsia="bg-BG"/>
        </w:rPr>
        <w:t>;</w:t>
      </w:r>
    </w:p>
    <w:p w14:paraId="1460986D" w14:textId="77777777" w:rsidR="00DF3D99" w:rsidRPr="00424500" w:rsidRDefault="00DF3D99" w:rsidP="00DF3D99">
      <w:pPr>
        <w:spacing w:line="240" w:lineRule="auto"/>
        <w:rPr>
          <w:rFonts w:eastAsia="Times New Roman" w:cs="Arial"/>
          <w:i/>
          <w:iCs/>
          <w:color w:val="000000"/>
          <w:lang w:eastAsia="bg-BG"/>
        </w:rPr>
      </w:pPr>
    </w:p>
    <w:p w14:paraId="563D116D" w14:textId="3B10F3AA" w:rsidR="00DF3D99" w:rsidRPr="00424500" w:rsidRDefault="00DF3D99" w:rsidP="00DF3D99">
      <w:pPr>
        <w:spacing w:line="240" w:lineRule="auto"/>
        <w:rPr>
          <w:rFonts w:eastAsia="Times New Roman" w:cs="Arial"/>
        </w:rPr>
      </w:pPr>
      <w:r w:rsidRPr="00424500">
        <w:rPr>
          <w:rFonts w:eastAsia="Times New Roman" w:cs="Arial"/>
          <w:i/>
          <w:iCs/>
          <w:color w:val="000000"/>
          <w:lang w:eastAsia="bg-BG"/>
        </w:rPr>
        <w:t>Калциеви соли:</w:t>
      </w:r>
      <w:r w:rsidRPr="00424500">
        <w:rPr>
          <w:rFonts w:eastAsia="Times New Roman" w:cs="Arial"/>
          <w:color w:val="000000"/>
          <w:lang w:eastAsia="bg-BG"/>
        </w:rPr>
        <w:t xml:space="preserve"> </w:t>
      </w:r>
      <w:proofErr w:type="spellStart"/>
      <w:r w:rsidRPr="00424500">
        <w:rPr>
          <w:rFonts w:eastAsia="Times New Roman" w:cs="Arial"/>
          <w:color w:val="000000"/>
          <w:lang w:eastAsia="bg-BG"/>
        </w:rPr>
        <w:t>тиазидните</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може да повишат нивата на серумния калций поради понижена екскреция. Ако трябва да бъдат приложени калциеви добавки или лекарствени продукти, съхраняващи калция (напр. лечение с витамин </w:t>
      </w:r>
      <w:r w:rsidRPr="00424500">
        <w:rPr>
          <w:rFonts w:eastAsia="Times New Roman" w:cs="Arial"/>
          <w:color w:val="000000"/>
        </w:rPr>
        <w:t xml:space="preserve">D), </w:t>
      </w:r>
      <w:r w:rsidRPr="00424500">
        <w:rPr>
          <w:rFonts w:eastAsia="Times New Roman" w:cs="Arial"/>
          <w:color w:val="000000"/>
          <w:lang w:eastAsia="bg-BG"/>
        </w:rPr>
        <w:t>то е необходимо проследяване на нивата на серумния калций и съответна промяна на дозата на калций;</w:t>
      </w:r>
    </w:p>
    <w:p w14:paraId="7EFDE52C" w14:textId="77777777" w:rsidR="00DF3D99" w:rsidRPr="00424500" w:rsidRDefault="00DF3D99" w:rsidP="00DF3D99">
      <w:pPr>
        <w:spacing w:line="240" w:lineRule="auto"/>
        <w:rPr>
          <w:rFonts w:eastAsia="Times New Roman" w:cs="Arial"/>
          <w:i/>
          <w:iCs/>
          <w:color w:val="000000"/>
          <w:lang w:eastAsia="bg-BG"/>
        </w:rPr>
      </w:pPr>
    </w:p>
    <w:p w14:paraId="7FD26DAB" w14:textId="58C45501" w:rsidR="00DF3D99" w:rsidRPr="00424500" w:rsidRDefault="00DF3D99" w:rsidP="00DF3D99">
      <w:pPr>
        <w:spacing w:line="240" w:lineRule="auto"/>
        <w:rPr>
          <w:rFonts w:eastAsia="Times New Roman" w:cs="Arial"/>
        </w:rPr>
      </w:pPr>
      <w:proofErr w:type="spellStart"/>
      <w:r w:rsidRPr="00424500">
        <w:rPr>
          <w:rFonts w:eastAsia="Times New Roman" w:cs="Arial"/>
          <w:i/>
          <w:iCs/>
          <w:color w:val="000000"/>
          <w:lang w:eastAsia="bg-BG"/>
        </w:rPr>
        <w:t>Карбамазепин</w:t>
      </w:r>
      <w:proofErr w:type="spellEnd"/>
      <w:r w:rsidRPr="00424500">
        <w:rPr>
          <w:rFonts w:eastAsia="Times New Roman" w:cs="Arial"/>
          <w:i/>
          <w:iCs/>
          <w:color w:val="000000"/>
          <w:lang w:eastAsia="bg-BG"/>
        </w:rPr>
        <w:t>:</w:t>
      </w:r>
      <w:r w:rsidRPr="00424500">
        <w:rPr>
          <w:rFonts w:eastAsia="Times New Roman" w:cs="Arial"/>
          <w:color w:val="000000"/>
          <w:lang w:eastAsia="bg-BG"/>
        </w:rPr>
        <w:t xml:space="preserve"> едновременната употреба на </w:t>
      </w:r>
      <w:proofErr w:type="spellStart"/>
      <w:r w:rsidRPr="00424500">
        <w:rPr>
          <w:rFonts w:eastAsia="Times New Roman" w:cs="Arial"/>
          <w:color w:val="000000"/>
          <w:lang w:eastAsia="bg-BG"/>
        </w:rPr>
        <w:t>карбамазепин</w:t>
      </w:r>
      <w:proofErr w:type="spellEnd"/>
      <w:r w:rsidRPr="00424500">
        <w:rPr>
          <w:rFonts w:eastAsia="Times New Roman" w:cs="Arial"/>
          <w:color w:val="000000"/>
          <w:lang w:eastAsia="bg-BG"/>
        </w:rPr>
        <w:t xml:space="preserve"> с хидрохлоротиазид се свързва с риск от симптоматична </w:t>
      </w:r>
      <w:proofErr w:type="spellStart"/>
      <w:r w:rsidRPr="00424500">
        <w:rPr>
          <w:rFonts w:eastAsia="Times New Roman" w:cs="Arial"/>
          <w:color w:val="000000"/>
          <w:lang w:eastAsia="bg-BG"/>
        </w:rPr>
        <w:t>хипонатриемия</w:t>
      </w:r>
      <w:proofErr w:type="spellEnd"/>
      <w:r w:rsidRPr="00424500">
        <w:rPr>
          <w:rFonts w:eastAsia="Times New Roman" w:cs="Arial"/>
          <w:color w:val="000000"/>
          <w:lang w:eastAsia="bg-BG"/>
        </w:rPr>
        <w:t xml:space="preserve">. При едновременна употреба електролитите трябва да бъдат проследявани. Ако е възможно, трябва да се използва друг клас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w:t>
      </w:r>
    </w:p>
    <w:p w14:paraId="58CDAEFB" w14:textId="77777777" w:rsidR="00DF3D99" w:rsidRPr="00424500" w:rsidRDefault="00DF3D99" w:rsidP="00DF3D99">
      <w:pPr>
        <w:spacing w:line="240" w:lineRule="auto"/>
        <w:rPr>
          <w:rFonts w:eastAsia="Times New Roman" w:cs="Arial"/>
          <w:i/>
          <w:iCs/>
          <w:color w:val="000000"/>
          <w:lang w:eastAsia="bg-BG"/>
        </w:rPr>
      </w:pPr>
    </w:p>
    <w:p w14:paraId="46C6289D" w14:textId="6D4DB2B5" w:rsidR="00DF3D99" w:rsidRPr="00424500" w:rsidRDefault="00DF3D99" w:rsidP="00DF3D99">
      <w:pPr>
        <w:spacing w:line="240" w:lineRule="auto"/>
        <w:rPr>
          <w:rFonts w:eastAsia="Times New Roman" w:cs="Arial"/>
        </w:rPr>
      </w:pPr>
      <w:r w:rsidRPr="00424500">
        <w:rPr>
          <w:rFonts w:eastAsia="Times New Roman" w:cs="Arial"/>
          <w:i/>
          <w:iCs/>
          <w:color w:val="000000"/>
          <w:lang w:eastAsia="bg-BG"/>
        </w:rPr>
        <w:t>Други взаимодействия:</w:t>
      </w:r>
      <w:r w:rsidRPr="00424500">
        <w:rPr>
          <w:rFonts w:eastAsia="Times New Roman" w:cs="Arial"/>
          <w:color w:val="000000"/>
          <w:lang w:eastAsia="bg-BG"/>
        </w:rPr>
        <w:t xml:space="preserve"> хипергликемичният ефект на бета-</w:t>
      </w:r>
      <w:proofErr w:type="spellStart"/>
      <w:r w:rsidRPr="00424500">
        <w:rPr>
          <w:rFonts w:eastAsia="Times New Roman" w:cs="Arial"/>
          <w:color w:val="000000"/>
          <w:lang w:eastAsia="bg-BG"/>
        </w:rPr>
        <w:t>блокерите</w:t>
      </w:r>
      <w:proofErr w:type="spellEnd"/>
      <w:r w:rsidRPr="00424500">
        <w:rPr>
          <w:rFonts w:eastAsia="Times New Roman" w:cs="Arial"/>
          <w:color w:val="000000"/>
          <w:lang w:eastAsia="bg-BG"/>
        </w:rPr>
        <w:t xml:space="preserve"> и </w:t>
      </w:r>
      <w:proofErr w:type="spellStart"/>
      <w:r w:rsidRPr="00424500">
        <w:rPr>
          <w:rFonts w:eastAsia="Times New Roman" w:cs="Arial"/>
          <w:color w:val="000000"/>
          <w:lang w:eastAsia="bg-BG"/>
        </w:rPr>
        <w:t>диазоксид</w:t>
      </w:r>
      <w:proofErr w:type="spellEnd"/>
      <w:r w:rsidRPr="00424500">
        <w:rPr>
          <w:rFonts w:eastAsia="Times New Roman" w:cs="Arial"/>
          <w:color w:val="000000"/>
          <w:lang w:eastAsia="bg-BG"/>
        </w:rPr>
        <w:t xml:space="preserve"> може да бъде увеличен от </w:t>
      </w: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Антихолинергичните</w:t>
      </w:r>
      <w:proofErr w:type="spellEnd"/>
      <w:r w:rsidRPr="00424500">
        <w:rPr>
          <w:rFonts w:eastAsia="Times New Roman" w:cs="Arial"/>
          <w:color w:val="000000"/>
          <w:lang w:eastAsia="bg-BG"/>
        </w:rPr>
        <w:t xml:space="preserve"> средства (напр. атропин, </w:t>
      </w:r>
      <w:proofErr w:type="spellStart"/>
      <w:r w:rsidRPr="00424500">
        <w:rPr>
          <w:rFonts w:eastAsia="Times New Roman" w:cs="Arial"/>
          <w:color w:val="000000"/>
          <w:lang w:eastAsia="bg-BG"/>
        </w:rPr>
        <w:t>бепериден</w:t>
      </w:r>
      <w:proofErr w:type="spellEnd"/>
      <w:r w:rsidRPr="00424500">
        <w:rPr>
          <w:rFonts w:eastAsia="Times New Roman" w:cs="Arial"/>
          <w:color w:val="000000"/>
          <w:lang w:eastAsia="bg-BG"/>
        </w:rPr>
        <w:t xml:space="preserve">) може да повишат </w:t>
      </w:r>
      <w:proofErr w:type="spellStart"/>
      <w:r w:rsidRPr="00424500">
        <w:rPr>
          <w:rFonts w:eastAsia="Times New Roman" w:cs="Arial"/>
          <w:color w:val="000000"/>
          <w:lang w:eastAsia="bg-BG"/>
        </w:rPr>
        <w:t>бионаличностга</w:t>
      </w:r>
      <w:proofErr w:type="spellEnd"/>
      <w:r w:rsidRPr="00424500">
        <w:rPr>
          <w:rFonts w:eastAsia="Times New Roman" w:cs="Arial"/>
          <w:color w:val="000000"/>
          <w:lang w:eastAsia="bg-BG"/>
        </w:rPr>
        <w:t xml:space="preserve"> на </w:t>
      </w:r>
      <w:proofErr w:type="spellStart"/>
      <w:r w:rsidRPr="00424500">
        <w:rPr>
          <w:rFonts w:eastAsia="Times New Roman" w:cs="Arial"/>
          <w:color w:val="000000"/>
          <w:lang w:eastAsia="bg-BG"/>
        </w:rPr>
        <w:t>тиазидните</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диуретици</w:t>
      </w:r>
      <w:proofErr w:type="spellEnd"/>
      <w:r w:rsidRPr="00424500">
        <w:rPr>
          <w:rFonts w:eastAsia="Times New Roman" w:cs="Arial"/>
          <w:color w:val="000000"/>
          <w:lang w:eastAsia="bg-BG"/>
        </w:rPr>
        <w:t xml:space="preserve"> чрез намаляване на стомашно-чревния </w:t>
      </w:r>
      <w:proofErr w:type="spellStart"/>
      <w:r w:rsidRPr="00424500">
        <w:rPr>
          <w:rFonts w:eastAsia="Times New Roman" w:cs="Arial"/>
          <w:color w:val="000000"/>
          <w:lang w:eastAsia="bg-BG"/>
        </w:rPr>
        <w:t>мотилитет</w:t>
      </w:r>
      <w:proofErr w:type="spellEnd"/>
      <w:r w:rsidRPr="00424500">
        <w:rPr>
          <w:rFonts w:eastAsia="Times New Roman" w:cs="Arial"/>
          <w:color w:val="000000"/>
          <w:lang w:eastAsia="bg-BG"/>
        </w:rPr>
        <w:t xml:space="preserve"> и скоростта на изпразване на стомаха. </w:t>
      </w: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може да повишат риска от нежелани реакции, причинени от </w:t>
      </w:r>
      <w:proofErr w:type="spellStart"/>
      <w:r w:rsidRPr="00424500">
        <w:rPr>
          <w:rFonts w:eastAsia="Times New Roman" w:cs="Arial"/>
          <w:color w:val="000000"/>
          <w:lang w:eastAsia="bg-BG"/>
        </w:rPr>
        <w:t>амантадин</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Тиазидите</w:t>
      </w:r>
      <w:proofErr w:type="spellEnd"/>
      <w:r w:rsidRPr="00424500">
        <w:rPr>
          <w:rFonts w:eastAsia="Times New Roman" w:cs="Arial"/>
          <w:color w:val="000000"/>
          <w:lang w:eastAsia="bg-BG"/>
        </w:rPr>
        <w:t xml:space="preserve"> може да понижат бъбречната екскреция на </w:t>
      </w:r>
      <w:proofErr w:type="spellStart"/>
      <w:r w:rsidRPr="00424500">
        <w:rPr>
          <w:rFonts w:eastAsia="Times New Roman" w:cs="Arial"/>
          <w:color w:val="000000"/>
          <w:lang w:eastAsia="bg-BG"/>
        </w:rPr>
        <w:t>цитотоксичните</w:t>
      </w:r>
      <w:proofErr w:type="spellEnd"/>
      <w:r w:rsidRPr="00424500">
        <w:rPr>
          <w:rFonts w:eastAsia="Times New Roman" w:cs="Arial"/>
          <w:color w:val="000000"/>
          <w:lang w:eastAsia="bg-BG"/>
        </w:rPr>
        <w:t xml:space="preserve"> лекарствени продукти (напр. </w:t>
      </w:r>
      <w:proofErr w:type="spellStart"/>
      <w:r w:rsidRPr="00424500">
        <w:rPr>
          <w:rFonts w:eastAsia="Times New Roman" w:cs="Arial"/>
          <w:color w:val="000000"/>
          <w:lang w:eastAsia="bg-BG"/>
        </w:rPr>
        <w:t>циклофосфамид</w:t>
      </w:r>
      <w:proofErr w:type="spellEnd"/>
      <w:r w:rsidRPr="00424500">
        <w:rPr>
          <w:rFonts w:eastAsia="Times New Roman" w:cs="Arial"/>
          <w:color w:val="000000"/>
          <w:lang w:eastAsia="bg-BG"/>
        </w:rPr>
        <w:t xml:space="preserve">, </w:t>
      </w:r>
      <w:proofErr w:type="spellStart"/>
      <w:r w:rsidRPr="00424500">
        <w:rPr>
          <w:rFonts w:eastAsia="Times New Roman" w:cs="Arial"/>
          <w:color w:val="000000"/>
          <w:lang w:eastAsia="bg-BG"/>
        </w:rPr>
        <w:t>метотрексат</w:t>
      </w:r>
      <w:proofErr w:type="spellEnd"/>
      <w:r w:rsidRPr="00424500">
        <w:rPr>
          <w:rFonts w:eastAsia="Times New Roman" w:cs="Arial"/>
          <w:color w:val="000000"/>
          <w:lang w:eastAsia="bg-BG"/>
        </w:rPr>
        <w:t xml:space="preserve">) и да </w:t>
      </w:r>
      <w:proofErr w:type="spellStart"/>
      <w:r w:rsidRPr="00424500">
        <w:rPr>
          <w:rFonts w:eastAsia="Times New Roman" w:cs="Arial"/>
          <w:color w:val="000000"/>
          <w:lang w:eastAsia="bg-BG"/>
        </w:rPr>
        <w:t>потенцират</w:t>
      </w:r>
      <w:proofErr w:type="spellEnd"/>
      <w:r w:rsidRPr="00424500">
        <w:rPr>
          <w:rFonts w:eastAsia="Times New Roman" w:cs="Arial"/>
          <w:color w:val="000000"/>
          <w:lang w:eastAsia="bg-BG"/>
        </w:rPr>
        <w:t xml:space="preserve"> техните </w:t>
      </w:r>
      <w:proofErr w:type="spellStart"/>
      <w:r w:rsidRPr="00424500">
        <w:rPr>
          <w:rFonts w:eastAsia="Times New Roman" w:cs="Arial"/>
          <w:color w:val="000000"/>
          <w:lang w:eastAsia="bg-BG"/>
        </w:rPr>
        <w:t>миелосупресивни</w:t>
      </w:r>
      <w:proofErr w:type="spellEnd"/>
      <w:r w:rsidRPr="00424500">
        <w:rPr>
          <w:rFonts w:eastAsia="Times New Roman" w:cs="Arial"/>
          <w:color w:val="000000"/>
          <w:lang w:eastAsia="bg-BG"/>
        </w:rPr>
        <w:t xml:space="preserve"> ефекти.</w:t>
      </w:r>
    </w:p>
    <w:p w14:paraId="020A838D" w14:textId="58BA34FF" w:rsidR="00DF3D99" w:rsidRPr="00424500" w:rsidRDefault="00DF3D99" w:rsidP="00DF3D99">
      <w:pPr>
        <w:spacing w:line="240" w:lineRule="auto"/>
        <w:rPr>
          <w:rFonts w:ascii="Times New Roman" w:eastAsia="Times New Roman" w:hAnsi="Times New Roman" w:cs="Times New Roman"/>
          <w:sz w:val="24"/>
          <w:szCs w:val="24"/>
        </w:rPr>
      </w:pPr>
    </w:p>
    <w:p w14:paraId="5D9F40EA" w14:textId="588FE18D" w:rsidR="007122AD" w:rsidRPr="00424500" w:rsidRDefault="002C50EE" w:rsidP="00936AD0">
      <w:pPr>
        <w:pStyle w:val="Heading2"/>
      </w:pPr>
      <w:r w:rsidRPr="00424500">
        <w:t>4.6. Фертилитет, бременност и кърмене</w:t>
      </w:r>
    </w:p>
    <w:p w14:paraId="22CCB3F1" w14:textId="221FF699" w:rsidR="00DF3D99" w:rsidRPr="00424500" w:rsidRDefault="00DF3D99" w:rsidP="00DF3D99"/>
    <w:p w14:paraId="0886FF73" w14:textId="77777777" w:rsidR="00DF3D99" w:rsidRPr="00424500" w:rsidRDefault="00DF3D99" w:rsidP="00DF3D99">
      <w:pPr>
        <w:pStyle w:val="Heading3"/>
        <w:rPr>
          <w:rFonts w:eastAsia="Times New Roman"/>
          <w:sz w:val="32"/>
          <w:u w:val="single"/>
        </w:rPr>
      </w:pPr>
      <w:r w:rsidRPr="00424500">
        <w:rPr>
          <w:rFonts w:eastAsia="Times New Roman"/>
          <w:u w:val="single"/>
          <w:lang w:eastAsia="bg-BG"/>
        </w:rPr>
        <w:t>Бременност</w:t>
      </w:r>
    </w:p>
    <w:p w14:paraId="10840B28" w14:textId="77777777" w:rsidR="00DF3D99" w:rsidRPr="00424500" w:rsidRDefault="00DF3D99" w:rsidP="00DF3D99">
      <w:pPr>
        <w:spacing w:line="240" w:lineRule="auto"/>
        <w:rPr>
          <w:rFonts w:eastAsia="Times New Roman" w:cs="Arial"/>
          <w:i/>
          <w:iCs/>
          <w:color w:val="000000"/>
          <w:szCs w:val="18"/>
          <w:lang w:eastAsia="bg-BG"/>
        </w:rPr>
      </w:pPr>
    </w:p>
    <w:p w14:paraId="3E0289DD" w14:textId="026FA7C6" w:rsidR="00DF3D99" w:rsidRPr="00424500" w:rsidRDefault="00DF3D99" w:rsidP="00DF3D99">
      <w:pPr>
        <w:spacing w:line="240" w:lineRule="auto"/>
        <w:rPr>
          <w:rFonts w:eastAsia="Times New Roman" w:cs="Arial"/>
          <w:sz w:val="32"/>
          <w:szCs w:val="24"/>
        </w:rPr>
      </w:pPr>
      <w:proofErr w:type="spellStart"/>
      <w:r w:rsidRPr="00424500">
        <w:rPr>
          <w:rFonts w:eastAsia="Times New Roman" w:cs="Arial"/>
          <w:i/>
          <w:iCs/>
          <w:color w:val="000000"/>
          <w:szCs w:val="18"/>
          <w:lang w:eastAsia="bg-BG"/>
        </w:rPr>
        <w:t>Ангиотензин</w:t>
      </w:r>
      <w:proofErr w:type="spellEnd"/>
      <w:r w:rsidRPr="00424500">
        <w:rPr>
          <w:rFonts w:eastAsia="Times New Roman" w:cs="Arial"/>
          <w:i/>
          <w:iCs/>
          <w:color w:val="000000"/>
          <w:szCs w:val="18"/>
          <w:lang w:eastAsia="bg-BG"/>
        </w:rPr>
        <w:t xml:space="preserve"> </w:t>
      </w:r>
      <w:r w:rsidRPr="00424500">
        <w:rPr>
          <w:rFonts w:eastAsia="Times New Roman" w:cs="Arial"/>
          <w:i/>
          <w:iCs/>
          <w:color w:val="000000"/>
          <w:szCs w:val="18"/>
        </w:rPr>
        <w:t>II</w:t>
      </w:r>
      <w:r w:rsidRPr="00424500">
        <w:rPr>
          <w:rFonts w:eastAsia="Times New Roman" w:cs="Arial"/>
          <w:i/>
          <w:iCs/>
          <w:color w:val="000000"/>
          <w:szCs w:val="18"/>
          <w:lang w:eastAsia="bg-BG"/>
        </w:rPr>
        <w:t xml:space="preserve">-рецепторни антагонисти </w:t>
      </w:r>
      <w:r w:rsidRPr="00424500">
        <w:rPr>
          <w:rFonts w:eastAsia="Times New Roman" w:cs="Arial"/>
          <w:i/>
          <w:iCs/>
          <w:color w:val="000000"/>
          <w:szCs w:val="18"/>
        </w:rPr>
        <w:t>(</w:t>
      </w:r>
      <w:proofErr w:type="spellStart"/>
      <w:r w:rsidRPr="00424500">
        <w:rPr>
          <w:rFonts w:eastAsia="Times New Roman" w:cs="Arial"/>
          <w:i/>
          <w:iCs/>
          <w:color w:val="000000"/>
          <w:szCs w:val="18"/>
        </w:rPr>
        <w:t>AIIRAs</w:t>
      </w:r>
      <w:proofErr w:type="spellEnd"/>
      <w:r w:rsidRPr="00424500">
        <w:rPr>
          <w:rFonts w:eastAsia="Times New Roman" w:cs="Arial"/>
          <w:i/>
          <w:iCs/>
          <w:color w:val="000000"/>
          <w:szCs w:val="18"/>
        </w:rPr>
        <w:t>)</w:t>
      </w:r>
    </w:p>
    <w:p w14:paraId="3F442173" w14:textId="34ACC82A" w:rsidR="00DF3D99" w:rsidRPr="00424500" w:rsidRDefault="00DF3D99" w:rsidP="00DF3D99">
      <w:pPr>
        <w:rPr>
          <w:rFonts w:cs="Arial"/>
          <w:sz w:val="28"/>
        </w:rPr>
      </w:pPr>
    </w:p>
    <w:tbl>
      <w:tblPr>
        <w:tblStyle w:val="TableGrid"/>
        <w:tblW w:w="0" w:type="auto"/>
        <w:tblLook w:val="04A0" w:firstRow="1" w:lastRow="0" w:firstColumn="1" w:lastColumn="0" w:noHBand="0" w:noVBand="1"/>
      </w:tblPr>
      <w:tblGrid>
        <w:gridCol w:w="9350"/>
      </w:tblGrid>
      <w:tr w:rsidR="00DF3D99" w:rsidRPr="00424500" w14:paraId="7AEBD5CE" w14:textId="77777777" w:rsidTr="00DF3D99">
        <w:tc>
          <w:tcPr>
            <w:tcW w:w="9576" w:type="dxa"/>
          </w:tcPr>
          <w:p w14:paraId="6BCEE31E" w14:textId="0406472C"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Употребата на </w:t>
            </w:r>
            <w:proofErr w:type="spellStart"/>
            <w:r w:rsidRPr="00424500">
              <w:rPr>
                <w:rFonts w:eastAsia="Times New Roman" w:cs="Arial"/>
                <w:color w:val="000000"/>
                <w:szCs w:val="18"/>
              </w:rPr>
              <w:t>AIIRAs</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не се препоръчва по време на първия триместър на бременността (вж. точка 4.4). Употребата на </w:t>
            </w:r>
            <w:proofErr w:type="spellStart"/>
            <w:r w:rsidRPr="00424500">
              <w:rPr>
                <w:rFonts w:eastAsia="Times New Roman" w:cs="Arial"/>
                <w:color w:val="000000"/>
                <w:szCs w:val="18"/>
              </w:rPr>
              <w:t>AIIRAs</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е противопоказана по време на втория и третия триместър на бременността (вж. точки 4.3 и 4.4).</w:t>
            </w:r>
          </w:p>
        </w:tc>
      </w:tr>
    </w:tbl>
    <w:p w14:paraId="6387BA70" w14:textId="7FE5230B" w:rsidR="00DF3D99" w:rsidRPr="00424500" w:rsidRDefault="00DF3D99" w:rsidP="00DF3D99">
      <w:pPr>
        <w:rPr>
          <w:rFonts w:cs="Arial"/>
          <w:sz w:val="28"/>
        </w:rPr>
      </w:pPr>
    </w:p>
    <w:p w14:paraId="33AC2065"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Епидемиологичните данни относно риска от </w:t>
      </w:r>
      <w:proofErr w:type="spellStart"/>
      <w:r w:rsidRPr="00424500">
        <w:rPr>
          <w:rFonts w:eastAsia="Times New Roman" w:cs="Arial"/>
          <w:color w:val="000000"/>
          <w:szCs w:val="18"/>
          <w:lang w:eastAsia="bg-BG"/>
        </w:rPr>
        <w:t>тератогенност</w:t>
      </w:r>
      <w:proofErr w:type="spellEnd"/>
      <w:r w:rsidRPr="00424500">
        <w:rPr>
          <w:rFonts w:eastAsia="Times New Roman" w:cs="Arial"/>
          <w:color w:val="000000"/>
          <w:szCs w:val="18"/>
          <w:lang w:eastAsia="bg-BG"/>
        </w:rPr>
        <w:t xml:space="preserve"> след експозиция на АСЕ инхибитори по време на първия </w:t>
      </w:r>
      <w:proofErr w:type="spellStart"/>
      <w:r w:rsidRPr="00424500">
        <w:rPr>
          <w:rFonts w:eastAsia="Times New Roman" w:cs="Arial"/>
          <w:color w:val="000000"/>
          <w:szCs w:val="18"/>
          <w:lang w:eastAsia="bg-BG"/>
        </w:rPr>
        <w:t>триместьр</w:t>
      </w:r>
      <w:proofErr w:type="spellEnd"/>
      <w:r w:rsidRPr="00424500">
        <w:rPr>
          <w:rFonts w:eastAsia="Times New Roman" w:cs="Arial"/>
          <w:color w:val="000000"/>
          <w:szCs w:val="18"/>
          <w:lang w:eastAsia="bg-BG"/>
        </w:rPr>
        <w:t xml:space="preserve"> на бременността не са убедителни. Все пак леко увеличение на риска не може да бъде изключено. Докато няма контролирани епидемиологични данни относно риска при употреба на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w:t>
      </w:r>
      <w:r w:rsidRPr="00424500">
        <w:rPr>
          <w:rFonts w:eastAsia="Times New Roman" w:cs="Arial"/>
          <w:color w:val="000000"/>
          <w:szCs w:val="18"/>
        </w:rPr>
        <w:t>II</w:t>
      </w:r>
      <w:r w:rsidRPr="00424500">
        <w:rPr>
          <w:rFonts w:eastAsia="Times New Roman" w:cs="Arial"/>
          <w:color w:val="000000"/>
          <w:szCs w:val="18"/>
          <w:lang w:eastAsia="bg-BG"/>
        </w:rPr>
        <w:t xml:space="preserve">-рецепторни антагонисти </w:t>
      </w:r>
      <w:r w:rsidRPr="00424500">
        <w:rPr>
          <w:rFonts w:eastAsia="Times New Roman" w:cs="Arial"/>
          <w:color w:val="000000"/>
          <w:szCs w:val="18"/>
        </w:rPr>
        <w:t>(</w:t>
      </w:r>
      <w:proofErr w:type="spellStart"/>
      <w:r w:rsidRPr="00424500">
        <w:rPr>
          <w:rFonts w:eastAsia="Times New Roman" w:cs="Arial"/>
          <w:color w:val="000000"/>
          <w:szCs w:val="18"/>
        </w:rPr>
        <w:t>AIIRAs</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подобни рискове могат да съществуват и при този клас лекарства.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w:t>
      </w:r>
      <w:proofErr w:type="spellStart"/>
      <w:r w:rsidRPr="00424500">
        <w:rPr>
          <w:rFonts w:eastAsia="Times New Roman" w:cs="Arial"/>
          <w:color w:val="000000"/>
          <w:szCs w:val="18"/>
        </w:rPr>
        <w:t>AIIRAs</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Когато се установи бременност, лечението с </w:t>
      </w:r>
      <w:proofErr w:type="spellStart"/>
      <w:r w:rsidRPr="00424500">
        <w:rPr>
          <w:rFonts w:eastAsia="Times New Roman" w:cs="Arial"/>
          <w:color w:val="000000"/>
          <w:szCs w:val="18"/>
        </w:rPr>
        <w:t>AIIRAs</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трябва незабавно да се прекрати и ако е подходящо, да се започне алтернативно лечение.</w:t>
      </w:r>
    </w:p>
    <w:p w14:paraId="321BC271" w14:textId="77777777" w:rsidR="00DF3D99" w:rsidRPr="00424500" w:rsidRDefault="00DF3D99" w:rsidP="00DF3D99">
      <w:pPr>
        <w:spacing w:line="240" w:lineRule="auto"/>
        <w:rPr>
          <w:rFonts w:eastAsia="Times New Roman" w:cs="Arial"/>
          <w:color w:val="000000"/>
          <w:szCs w:val="18"/>
          <w:lang w:eastAsia="bg-BG"/>
        </w:rPr>
      </w:pPr>
    </w:p>
    <w:p w14:paraId="6D638526" w14:textId="085B5014"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Известно е, че експозицията на </w:t>
      </w:r>
      <w:proofErr w:type="spellStart"/>
      <w:r w:rsidRPr="00424500">
        <w:rPr>
          <w:rFonts w:eastAsia="Times New Roman" w:cs="Arial"/>
          <w:color w:val="000000"/>
          <w:szCs w:val="18"/>
        </w:rPr>
        <w:t>AIIRAs</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по време на втория и третия </w:t>
      </w:r>
      <w:proofErr w:type="spellStart"/>
      <w:r w:rsidRPr="00424500">
        <w:rPr>
          <w:rFonts w:eastAsia="Times New Roman" w:cs="Arial"/>
          <w:color w:val="000000"/>
          <w:szCs w:val="18"/>
          <w:lang w:eastAsia="bg-BG"/>
        </w:rPr>
        <w:t>триместьр</w:t>
      </w:r>
      <w:proofErr w:type="spellEnd"/>
      <w:r w:rsidRPr="00424500">
        <w:rPr>
          <w:rFonts w:eastAsia="Times New Roman" w:cs="Arial"/>
          <w:color w:val="000000"/>
          <w:szCs w:val="18"/>
          <w:lang w:eastAsia="bg-BG"/>
        </w:rPr>
        <w:t xml:space="preserve"> предизвиква </w:t>
      </w:r>
      <w:proofErr w:type="spellStart"/>
      <w:r w:rsidRPr="00424500">
        <w:rPr>
          <w:rFonts w:eastAsia="Times New Roman" w:cs="Arial"/>
          <w:color w:val="000000"/>
          <w:szCs w:val="18"/>
          <w:lang w:eastAsia="bg-BG"/>
        </w:rPr>
        <w:t>фетотоксичност</w:t>
      </w:r>
      <w:proofErr w:type="spellEnd"/>
      <w:r w:rsidRPr="00424500">
        <w:rPr>
          <w:rFonts w:eastAsia="Times New Roman" w:cs="Arial"/>
          <w:color w:val="000000"/>
          <w:szCs w:val="18"/>
          <w:lang w:eastAsia="bg-BG"/>
        </w:rPr>
        <w:t xml:space="preserve"> при хора (намалена бъбречна функция, </w:t>
      </w:r>
      <w:proofErr w:type="spellStart"/>
      <w:r w:rsidRPr="00424500">
        <w:rPr>
          <w:rFonts w:eastAsia="Times New Roman" w:cs="Arial"/>
          <w:color w:val="000000"/>
          <w:szCs w:val="18"/>
          <w:lang w:eastAsia="bg-BG"/>
        </w:rPr>
        <w:t>олигохидрамнион</w:t>
      </w:r>
      <w:proofErr w:type="spellEnd"/>
      <w:r w:rsidRPr="00424500">
        <w:rPr>
          <w:rFonts w:eastAsia="Times New Roman" w:cs="Arial"/>
          <w:color w:val="000000"/>
          <w:szCs w:val="18"/>
          <w:lang w:eastAsia="bg-BG"/>
        </w:rPr>
        <w:t xml:space="preserve">, забавена </w:t>
      </w:r>
      <w:proofErr w:type="spellStart"/>
      <w:r w:rsidRPr="00424500">
        <w:rPr>
          <w:rFonts w:eastAsia="Times New Roman" w:cs="Arial"/>
          <w:color w:val="000000"/>
          <w:szCs w:val="18"/>
          <w:lang w:eastAsia="bg-BG"/>
        </w:rPr>
        <w:t>осификация</w:t>
      </w:r>
      <w:proofErr w:type="spellEnd"/>
      <w:r w:rsidRPr="00424500">
        <w:rPr>
          <w:rFonts w:eastAsia="Times New Roman" w:cs="Arial"/>
          <w:color w:val="000000"/>
          <w:szCs w:val="18"/>
          <w:lang w:eastAsia="bg-BG"/>
        </w:rPr>
        <w:t xml:space="preserve"> на черепа) и </w:t>
      </w:r>
      <w:proofErr w:type="spellStart"/>
      <w:r w:rsidRPr="00424500">
        <w:rPr>
          <w:rFonts w:eastAsia="Times New Roman" w:cs="Arial"/>
          <w:color w:val="000000"/>
          <w:szCs w:val="18"/>
          <w:lang w:eastAsia="bg-BG"/>
        </w:rPr>
        <w:t>неонатална</w:t>
      </w:r>
      <w:proofErr w:type="spellEnd"/>
      <w:r w:rsidRPr="00424500">
        <w:rPr>
          <w:rFonts w:eastAsia="Times New Roman" w:cs="Arial"/>
          <w:color w:val="000000"/>
          <w:szCs w:val="18"/>
          <w:lang w:eastAsia="bg-BG"/>
        </w:rPr>
        <w:t xml:space="preserve"> токсичност (бъбречна недостатъчност, хипотония, </w:t>
      </w:r>
      <w:proofErr w:type="spellStart"/>
      <w:r w:rsidRPr="00424500">
        <w:rPr>
          <w:rFonts w:eastAsia="Times New Roman" w:cs="Arial"/>
          <w:color w:val="000000"/>
          <w:szCs w:val="18"/>
          <w:lang w:eastAsia="bg-BG"/>
        </w:rPr>
        <w:t>хиперкалиемия</w:t>
      </w:r>
      <w:proofErr w:type="spellEnd"/>
      <w:r w:rsidRPr="00424500">
        <w:rPr>
          <w:rFonts w:eastAsia="Times New Roman" w:cs="Arial"/>
          <w:color w:val="000000"/>
          <w:szCs w:val="18"/>
          <w:lang w:eastAsia="bg-BG"/>
        </w:rPr>
        <w:t>) (вж. точка 5.3).</w:t>
      </w:r>
    </w:p>
    <w:p w14:paraId="750F127D" w14:textId="77777777" w:rsidR="00DF3D99" w:rsidRPr="00424500" w:rsidRDefault="00DF3D99" w:rsidP="00DF3D99">
      <w:pPr>
        <w:spacing w:line="240" w:lineRule="auto"/>
        <w:rPr>
          <w:rFonts w:eastAsia="Times New Roman" w:cs="Arial"/>
          <w:color w:val="000000"/>
          <w:szCs w:val="18"/>
          <w:lang w:eastAsia="bg-BG"/>
        </w:rPr>
      </w:pPr>
    </w:p>
    <w:p w14:paraId="1DF8076E" w14:textId="6DFF4536"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Препоръчва се ехографско изследване на бъбречната функция и черепа в случай, че </w:t>
      </w:r>
      <w:proofErr w:type="spellStart"/>
      <w:r w:rsidRPr="00424500">
        <w:rPr>
          <w:rFonts w:eastAsia="Times New Roman" w:cs="Arial"/>
          <w:color w:val="000000"/>
          <w:szCs w:val="18"/>
        </w:rPr>
        <w:t>AIIRAs</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са прилагани през втория </w:t>
      </w:r>
      <w:proofErr w:type="spellStart"/>
      <w:r w:rsidRPr="00424500">
        <w:rPr>
          <w:rFonts w:eastAsia="Times New Roman" w:cs="Arial"/>
          <w:color w:val="000000"/>
          <w:szCs w:val="18"/>
          <w:lang w:eastAsia="bg-BG"/>
        </w:rPr>
        <w:t>триместьр</w:t>
      </w:r>
      <w:proofErr w:type="spellEnd"/>
      <w:r w:rsidRPr="00424500">
        <w:rPr>
          <w:rFonts w:eastAsia="Times New Roman" w:cs="Arial"/>
          <w:color w:val="000000"/>
          <w:szCs w:val="18"/>
          <w:lang w:eastAsia="bg-BG"/>
        </w:rPr>
        <w:t xml:space="preserve"> на бременността и след това.</w:t>
      </w:r>
    </w:p>
    <w:p w14:paraId="20984049" w14:textId="77777777" w:rsidR="00DF3D99" w:rsidRPr="00424500" w:rsidRDefault="00DF3D99" w:rsidP="00DF3D99">
      <w:pPr>
        <w:spacing w:line="240" w:lineRule="auto"/>
        <w:rPr>
          <w:rFonts w:eastAsia="Times New Roman" w:cs="Arial"/>
          <w:color w:val="000000"/>
          <w:szCs w:val="18"/>
          <w:lang w:eastAsia="bg-BG"/>
        </w:rPr>
      </w:pPr>
    </w:p>
    <w:p w14:paraId="38B92647" w14:textId="77777777" w:rsidR="00DF3D99" w:rsidRPr="00424500" w:rsidRDefault="00DF3D99" w:rsidP="00DF3D99">
      <w:pPr>
        <w:spacing w:line="240" w:lineRule="auto"/>
        <w:rPr>
          <w:rFonts w:eastAsia="Times New Roman" w:cs="Arial"/>
          <w:color w:val="000000"/>
          <w:szCs w:val="18"/>
          <w:lang w:eastAsia="bg-BG"/>
        </w:rPr>
      </w:pPr>
      <w:r w:rsidRPr="00424500">
        <w:rPr>
          <w:rFonts w:eastAsia="Times New Roman" w:cs="Arial"/>
          <w:color w:val="000000"/>
          <w:szCs w:val="18"/>
          <w:lang w:eastAsia="bg-BG"/>
        </w:rPr>
        <w:t xml:space="preserve">Новородените, чиито майки са приемали </w:t>
      </w:r>
      <w:proofErr w:type="spellStart"/>
      <w:r w:rsidRPr="00424500">
        <w:rPr>
          <w:rFonts w:eastAsia="Times New Roman" w:cs="Arial"/>
          <w:color w:val="000000"/>
          <w:szCs w:val="18"/>
        </w:rPr>
        <w:t>AIIRAs</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трябва да се наблюдават внимателно за наличие на хипотония (вж. </w:t>
      </w:r>
    </w:p>
    <w:p w14:paraId="4F41CDEB" w14:textId="0BE7050B"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точки 4.3 и 4.4).</w:t>
      </w:r>
    </w:p>
    <w:p w14:paraId="76853AEB" w14:textId="77777777" w:rsidR="00DF3D99" w:rsidRPr="00424500" w:rsidRDefault="00DF3D99" w:rsidP="00DF3D99">
      <w:pPr>
        <w:spacing w:line="240" w:lineRule="auto"/>
        <w:rPr>
          <w:rFonts w:eastAsia="Times New Roman" w:cs="Arial"/>
          <w:i/>
          <w:iCs/>
          <w:color w:val="000000"/>
          <w:szCs w:val="18"/>
          <w:lang w:eastAsia="bg-BG"/>
        </w:rPr>
      </w:pPr>
    </w:p>
    <w:p w14:paraId="2A858ABC" w14:textId="3A76B186" w:rsidR="00DF3D99" w:rsidRPr="00424500" w:rsidRDefault="00DF3D99" w:rsidP="00DF3D99">
      <w:pPr>
        <w:spacing w:line="240" w:lineRule="auto"/>
        <w:rPr>
          <w:rFonts w:eastAsia="Times New Roman" w:cs="Arial"/>
          <w:sz w:val="32"/>
          <w:szCs w:val="24"/>
        </w:rPr>
      </w:pPr>
      <w:r w:rsidRPr="00424500">
        <w:rPr>
          <w:rFonts w:eastAsia="Times New Roman" w:cs="Arial"/>
          <w:i/>
          <w:iCs/>
          <w:color w:val="000000"/>
          <w:szCs w:val="18"/>
          <w:lang w:eastAsia="bg-BG"/>
        </w:rPr>
        <w:t>Хидрохлоротиазид</w:t>
      </w:r>
    </w:p>
    <w:p w14:paraId="60078DD2" w14:textId="1CD88BC4" w:rsidR="00DF3D99" w:rsidRPr="00424500" w:rsidRDefault="00DF3D99" w:rsidP="00DF3D99">
      <w:pPr>
        <w:spacing w:line="240" w:lineRule="auto"/>
        <w:rPr>
          <w:rFonts w:eastAsia="Times New Roman" w:cs="Arial"/>
          <w:color w:val="000000"/>
          <w:szCs w:val="18"/>
          <w:lang w:eastAsia="bg-BG"/>
        </w:rPr>
      </w:pPr>
    </w:p>
    <w:p w14:paraId="60282A62" w14:textId="31FE3CDF"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Има ограничен опит с хидрохлоротиазид по време на бременност, особено по време първия</w:t>
      </w:r>
    </w:p>
    <w:p w14:paraId="557BBDD4" w14:textId="77777777" w:rsidR="00DF3D99" w:rsidRPr="00424500" w:rsidRDefault="00DF3D99" w:rsidP="00DF3D99">
      <w:pPr>
        <w:rPr>
          <w:rFonts w:eastAsia="Times New Roman" w:cs="Arial"/>
          <w:sz w:val="32"/>
          <w:szCs w:val="24"/>
        </w:rPr>
      </w:pPr>
      <w:proofErr w:type="spellStart"/>
      <w:r w:rsidRPr="00424500">
        <w:rPr>
          <w:rFonts w:eastAsia="Times New Roman" w:cs="Arial"/>
          <w:color w:val="000000"/>
          <w:szCs w:val="18"/>
          <w:lang w:eastAsia="bg-BG"/>
        </w:rPr>
        <w:t>триместьр</w:t>
      </w:r>
      <w:proofErr w:type="spellEnd"/>
      <w:r w:rsidRPr="00424500">
        <w:rPr>
          <w:rFonts w:eastAsia="Times New Roman" w:cs="Arial"/>
          <w:color w:val="000000"/>
          <w:szCs w:val="18"/>
          <w:lang w:eastAsia="bg-BG"/>
        </w:rPr>
        <w:t xml:space="preserve">. Проучванията при животни са недостатъчни. Хидрохлоротиазид преминава през плацентата. Въз основа на фармакологичния механизъм на действие, употребата на хидрохлоротиазид по време на втория и третия </w:t>
      </w:r>
      <w:proofErr w:type="spellStart"/>
      <w:r w:rsidRPr="00424500">
        <w:rPr>
          <w:rFonts w:eastAsia="Times New Roman" w:cs="Arial"/>
          <w:color w:val="000000"/>
          <w:szCs w:val="18"/>
          <w:lang w:eastAsia="bg-BG"/>
        </w:rPr>
        <w:t>триместьр</w:t>
      </w:r>
      <w:proofErr w:type="spellEnd"/>
      <w:r w:rsidRPr="00424500">
        <w:rPr>
          <w:rFonts w:eastAsia="Times New Roman" w:cs="Arial"/>
          <w:color w:val="000000"/>
          <w:szCs w:val="18"/>
          <w:lang w:eastAsia="bg-BG"/>
        </w:rPr>
        <w:t xml:space="preserve"> може да наруши </w:t>
      </w:r>
      <w:proofErr w:type="spellStart"/>
      <w:r w:rsidRPr="00424500">
        <w:rPr>
          <w:rFonts w:eastAsia="Times New Roman" w:cs="Arial"/>
          <w:color w:val="000000"/>
          <w:szCs w:val="18"/>
          <w:lang w:eastAsia="bg-BG"/>
        </w:rPr>
        <w:t>фето-плацентарната</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перфузия</w:t>
      </w:r>
      <w:proofErr w:type="spellEnd"/>
      <w:r w:rsidRPr="00424500">
        <w:rPr>
          <w:rFonts w:eastAsia="Times New Roman" w:cs="Arial"/>
          <w:color w:val="000000"/>
          <w:szCs w:val="18"/>
          <w:lang w:eastAsia="bg-BG"/>
        </w:rPr>
        <w:t xml:space="preserve"> и може да причини фетални и </w:t>
      </w:r>
      <w:proofErr w:type="spellStart"/>
      <w:r w:rsidRPr="00424500">
        <w:rPr>
          <w:rFonts w:eastAsia="Times New Roman" w:cs="Arial"/>
          <w:color w:val="000000"/>
          <w:szCs w:val="18"/>
          <w:lang w:eastAsia="bg-BG"/>
        </w:rPr>
        <w:t>неонатални</w:t>
      </w:r>
      <w:proofErr w:type="spellEnd"/>
      <w:r w:rsidRPr="00424500">
        <w:rPr>
          <w:rFonts w:eastAsia="Times New Roman" w:cs="Arial"/>
          <w:color w:val="000000"/>
          <w:szCs w:val="18"/>
          <w:lang w:eastAsia="bg-BG"/>
        </w:rPr>
        <w:t xml:space="preserve"> ефекти като жълтеница, нарушение на електролитния баланс и </w:t>
      </w:r>
      <w:proofErr w:type="spellStart"/>
      <w:r w:rsidRPr="00424500">
        <w:rPr>
          <w:rFonts w:eastAsia="Times New Roman" w:cs="Arial"/>
          <w:color w:val="000000"/>
          <w:szCs w:val="18"/>
          <w:lang w:eastAsia="bg-BG"/>
        </w:rPr>
        <w:t>тромбоцитопения</w:t>
      </w:r>
      <w:proofErr w:type="spellEnd"/>
      <w:r w:rsidRPr="00424500">
        <w:rPr>
          <w:rFonts w:eastAsia="Times New Roman" w:cs="Arial"/>
          <w:color w:val="000000"/>
          <w:szCs w:val="18"/>
          <w:lang w:eastAsia="bg-BG"/>
        </w:rPr>
        <w:t>.</w:t>
      </w:r>
    </w:p>
    <w:p w14:paraId="7272DDDA" w14:textId="77777777" w:rsidR="00DF3D99" w:rsidRPr="00424500" w:rsidRDefault="00DF3D99" w:rsidP="00DF3D99">
      <w:pPr>
        <w:spacing w:line="240" w:lineRule="auto"/>
        <w:rPr>
          <w:rFonts w:eastAsia="Times New Roman" w:cs="Arial"/>
          <w:color w:val="000000"/>
          <w:szCs w:val="18"/>
          <w:lang w:eastAsia="bg-BG"/>
        </w:rPr>
      </w:pPr>
    </w:p>
    <w:p w14:paraId="072E4B28" w14:textId="21C089CA"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Хидрохлоротиазид не бива да се използва за </w:t>
      </w:r>
      <w:proofErr w:type="spellStart"/>
      <w:r w:rsidRPr="00424500">
        <w:rPr>
          <w:rFonts w:eastAsia="Times New Roman" w:cs="Arial"/>
          <w:color w:val="000000"/>
          <w:szCs w:val="18"/>
          <w:lang w:eastAsia="bg-BG"/>
        </w:rPr>
        <w:t>гестационен</w:t>
      </w:r>
      <w:proofErr w:type="spellEnd"/>
      <w:r w:rsidRPr="00424500">
        <w:rPr>
          <w:rFonts w:eastAsia="Times New Roman" w:cs="Arial"/>
          <w:color w:val="000000"/>
          <w:szCs w:val="18"/>
          <w:lang w:eastAsia="bg-BG"/>
        </w:rPr>
        <w:t xml:space="preserve"> едем, </w:t>
      </w:r>
      <w:proofErr w:type="spellStart"/>
      <w:r w:rsidRPr="00424500">
        <w:rPr>
          <w:rFonts w:eastAsia="Times New Roman" w:cs="Arial"/>
          <w:color w:val="000000"/>
          <w:szCs w:val="18"/>
          <w:lang w:eastAsia="bg-BG"/>
        </w:rPr>
        <w:t>гестационна</w:t>
      </w:r>
      <w:proofErr w:type="spellEnd"/>
      <w:r w:rsidRPr="00424500">
        <w:rPr>
          <w:rFonts w:eastAsia="Times New Roman" w:cs="Arial"/>
          <w:color w:val="000000"/>
          <w:szCs w:val="18"/>
          <w:lang w:eastAsia="bg-BG"/>
        </w:rPr>
        <w:t xml:space="preserve"> хипертония или </w:t>
      </w:r>
      <w:proofErr w:type="spellStart"/>
      <w:r w:rsidRPr="00424500">
        <w:rPr>
          <w:rFonts w:eastAsia="Times New Roman" w:cs="Arial"/>
          <w:color w:val="000000"/>
          <w:szCs w:val="18"/>
          <w:lang w:eastAsia="bg-BG"/>
        </w:rPr>
        <w:t>прееклампсия</w:t>
      </w:r>
      <w:proofErr w:type="spellEnd"/>
      <w:r w:rsidRPr="00424500">
        <w:rPr>
          <w:rFonts w:eastAsia="Times New Roman" w:cs="Arial"/>
          <w:color w:val="000000"/>
          <w:szCs w:val="18"/>
          <w:lang w:eastAsia="bg-BG"/>
        </w:rPr>
        <w:t xml:space="preserve">, поради риска от намаляване на плазмения обем и </w:t>
      </w:r>
      <w:proofErr w:type="spellStart"/>
      <w:r w:rsidRPr="00424500">
        <w:rPr>
          <w:rFonts w:eastAsia="Times New Roman" w:cs="Arial"/>
          <w:color w:val="000000"/>
          <w:szCs w:val="18"/>
          <w:lang w:eastAsia="bg-BG"/>
        </w:rPr>
        <w:t>плацентарна</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хипоперфузия</w:t>
      </w:r>
      <w:proofErr w:type="spellEnd"/>
      <w:r w:rsidRPr="00424500">
        <w:rPr>
          <w:rFonts w:eastAsia="Times New Roman" w:cs="Arial"/>
          <w:color w:val="000000"/>
          <w:szCs w:val="18"/>
          <w:lang w:eastAsia="bg-BG"/>
        </w:rPr>
        <w:t>, без благоприятен ефект върху хода на болестта.</w:t>
      </w:r>
    </w:p>
    <w:p w14:paraId="4AADA9FF" w14:textId="77777777" w:rsidR="00DF3D99" w:rsidRPr="00424500" w:rsidRDefault="00DF3D99" w:rsidP="00DF3D99">
      <w:pPr>
        <w:spacing w:line="240" w:lineRule="auto"/>
        <w:rPr>
          <w:rFonts w:eastAsia="Times New Roman" w:cs="Arial"/>
          <w:color w:val="000000"/>
          <w:szCs w:val="18"/>
          <w:lang w:eastAsia="bg-BG"/>
        </w:rPr>
      </w:pPr>
    </w:p>
    <w:p w14:paraId="1605E88B" w14:textId="3BB5DB5F"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Хидрохлоротиазид не трябва да се използва при лечение на есенциална хипертония при бременни жени, освен в редки случаи, когато не може да бъде приложено друго лечение.</w:t>
      </w:r>
    </w:p>
    <w:p w14:paraId="3D16AE4B" w14:textId="77777777" w:rsidR="00DF3D99" w:rsidRPr="00424500" w:rsidRDefault="00DF3D99" w:rsidP="00DF3D99">
      <w:pPr>
        <w:spacing w:line="240" w:lineRule="auto"/>
        <w:rPr>
          <w:rFonts w:eastAsia="Times New Roman" w:cs="Arial"/>
          <w:color w:val="000000"/>
          <w:szCs w:val="18"/>
          <w:lang w:eastAsia="bg-BG"/>
        </w:rPr>
      </w:pPr>
    </w:p>
    <w:p w14:paraId="007277C3" w14:textId="7DA1A3D2" w:rsidR="00DF3D99" w:rsidRPr="00424500" w:rsidRDefault="00DF3D99" w:rsidP="00DF3D99">
      <w:pPr>
        <w:spacing w:line="240" w:lineRule="auto"/>
        <w:rPr>
          <w:rFonts w:eastAsia="Times New Roman" w:cs="Arial"/>
          <w:color w:val="000000"/>
          <w:szCs w:val="18"/>
          <w:lang w:eastAsia="bg-BG"/>
        </w:rPr>
      </w:pPr>
      <w:r w:rsidRPr="00424500">
        <w:rPr>
          <w:rFonts w:eastAsia="Times New Roman" w:cs="Arial"/>
          <w:color w:val="000000"/>
          <w:szCs w:val="18"/>
          <w:lang w:eastAsia="bg-BG"/>
        </w:rPr>
        <w:t>Тъй като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съдържа хидрохлоротиазид, той не се препоръчва по време на първия </w:t>
      </w:r>
      <w:proofErr w:type="spellStart"/>
      <w:r w:rsidRPr="00424500">
        <w:rPr>
          <w:rFonts w:eastAsia="Times New Roman" w:cs="Arial"/>
          <w:color w:val="000000"/>
          <w:szCs w:val="18"/>
          <w:lang w:eastAsia="bg-BG"/>
        </w:rPr>
        <w:t>триместьр</w:t>
      </w:r>
      <w:proofErr w:type="spellEnd"/>
      <w:r w:rsidRPr="00424500">
        <w:rPr>
          <w:rFonts w:eastAsia="Times New Roman" w:cs="Arial"/>
          <w:color w:val="000000"/>
          <w:szCs w:val="18"/>
          <w:lang w:eastAsia="bg-BG"/>
        </w:rPr>
        <w:t xml:space="preserve"> на бременността. </w:t>
      </w:r>
    </w:p>
    <w:p w14:paraId="7BB6DA02" w14:textId="4B7C60FD"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При планиране на бременност, пациентките трябва да преминат на подходящо алтернативно лечение.</w:t>
      </w:r>
    </w:p>
    <w:p w14:paraId="0CD29E6D" w14:textId="77777777" w:rsidR="00DF3D99" w:rsidRPr="00424500" w:rsidRDefault="00DF3D99" w:rsidP="00DF3D99">
      <w:pPr>
        <w:spacing w:line="240" w:lineRule="auto"/>
        <w:rPr>
          <w:rFonts w:eastAsia="Times New Roman" w:cs="Arial"/>
          <w:color w:val="000000"/>
          <w:szCs w:val="18"/>
          <w:u w:val="single"/>
          <w:lang w:eastAsia="bg-BG"/>
        </w:rPr>
      </w:pPr>
    </w:p>
    <w:p w14:paraId="30D683CD" w14:textId="2A294897" w:rsidR="00DF3D99" w:rsidRPr="00424500" w:rsidRDefault="00DF3D99" w:rsidP="00DF3D99">
      <w:pPr>
        <w:pStyle w:val="Heading3"/>
        <w:rPr>
          <w:rFonts w:eastAsia="Times New Roman"/>
          <w:sz w:val="32"/>
          <w:u w:val="single"/>
        </w:rPr>
      </w:pPr>
      <w:r w:rsidRPr="00424500">
        <w:rPr>
          <w:rFonts w:eastAsia="Times New Roman"/>
          <w:u w:val="single"/>
          <w:lang w:eastAsia="bg-BG"/>
        </w:rPr>
        <w:lastRenderedPageBreak/>
        <w:t>Кърмене</w:t>
      </w:r>
    </w:p>
    <w:p w14:paraId="387420DD" w14:textId="77777777" w:rsidR="00DF3D99" w:rsidRPr="00424500" w:rsidRDefault="00DF3D99" w:rsidP="00DF3D99">
      <w:pPr>
        <w:spacing w:line="240" w:lineRule="auto"/>
        <w:rPr>
          <w:rFonts w:eastAsia="Times New Roman" w:cs="Arial"/>
          <w:i/>
          <w:iCs/>
          <w:color w:val="000000"/>
          <w:szCs w:val="18"/>
          <w:lang w:eastAsia="bg-BG"/>
        </w:rPr>
      </w:pPr>
    </w:p>
    <w:p w14:paraId="308B19BA" w14:textId="07147FB6" w:rsidR="00DF3D99" w:rsidRPr="00424500" w:rsidRDefault="00DF3D99" w:rsidP="00DF3D99">
      <w:pPr>
        <w:spacing w:line="240" w:lineRule="auto"/>
        <w:rPr>
          <w:rFonts w:eastAsia="Times New Roman" w:cs="Arial"/>
          <w:sz w:val="32"/>
          <w:szCs w:val="24"/>
        </w:rPr>
      </w:pPr>
      <w:proofErr w:type="spellStart"/>
      <w:r w:rsidRPr="00424500">
        <w:rPr>
          <w:rFonts w:eastAsia="Times New Roman" w:cs="Arial"/>
          <w:i/>
          <w:iCs/>
          <w:color w:val="000000"/>
          <w:szCs w:val="18"/>
          <w:lang w:eastAsia="bg-BG"/>
        </w:rPr>
        <w:t>Ангиотензин</w:t>
      </w:r>
      <w:proofErr w:type="spellEnd"/>
      <w:r w:rsidRPr="00424500">
        <w:rPr>
          <w:rFonts w:eastAsia="Times New Roman" w:cs="Arial"/>
          <w:i/>
          <w:iCs/>
          <w:color w:val="000000"/>
          <w:szCs w:val="18"/>
          <w:lang w:eastAsia="bg-BG"/>
        </w:rPr>
        <w:t xml:space="preserve"> П-рецепторни антагонисти </w:t>
      </w:r>
      <w:r w:rsidRPr="00424500">
        <w:rPr>
          <w:rFonts w:eastAsia="Times New Roman" w:cs="Arial"/>
          <w:i/>
          <w:iCs/>
          <w:color w:val="000000"/>
          <w:szCs w:val="18"/>
        </w:rPr>
        <w:t>(</w:t>
      </w:r>
      <w:proofErr w:type="spellStart"/>
      <w:r w:rsidRPr="00424500">
        <w:rPr>
          <w:rFonts w:eastAsia="Times New Roman" w:cs="Arial"/>
          <w:i/>
          <w:iCs/>
          <w:color w:val="000000"/>
          <w:szCs w:val="18"/>
        </w:rPr>
        <w:t>AIIRAs</w:t>
      </w:r>
      <w:proofErr w:type="spellEnd"/>
      <w:r w:rsidRPr="00424500">
        <w:rPr>
          <w:rFonts w:eastAsia="Times New Roman" w:cs="Arial"/>
          <w:i/>
          <w:iCs/>
          <w:color w:val="000000"/>
          <w:szCs w:val="18"/>
        </w:rPr>
        <w:t>)</w:t>
      </w:r>
    </w:p>
    <w:p w14:paraId="3D30CBFC" w14:textId="77777777" w:rsidR="00DF3D99" w:rsidRPr="00424500" w:rsidRDefault="00DF3D99" w:rsidP="00DF3D99">
      <w:pPr>
        <w:spacing w:line="240" w:lineRule="auto"/>
        <w:rPr>
          <w:rFonts w:eastAsia="Times New Roman" w:cs="Arial"/>
          <w:color w:val="000000"/>
          <w:szCs w:val="18"/>
          <w:lang w:eastAsia="bg-BG"/>
        </w:rPr>
      </w:pPr>
    </w:p>
    <w:p w14:paraId="6366CEA2" w14:textId="5A1D9D85"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Тъй като не е налична информация относно употребата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по време на кърмене, Ко- </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не се препоръчва, а се предпочитат алтернативни терапии с по-добре установен профил на безопасност по време на кърмене, особено при кърмене на новородено или преждевременно родено дете.</w:t>
      </w:r>
    </w:p>
    <w:p w14:paraId="0770C2D4" w14:textId="77777777" w:rsidR="00DF3D99" w:rsidRPr="00424500" w:rsidRDefault="00DF3D99" w:rsidP="00DF3D99">
      <w:pPr>
        <w:spacing w:line="240" w:lineRule="auto"/>
        <w:rPr>
          <w:rFonts w:eastAsia="Times New Roman" w:cs="Arial"/>
          <w:color w:val="000000"/>
          <w:szCs w:val="18"/>
          <w:lang w:eastAsia="bg-BG"/>
        </w:rPr>
      </w:pPr>
    </w:p>
    <w:p w14:paraId="7A12036D" w14:textId="140E6621"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Не е известно дали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или неговите метаболити се </w:t>
      </w:r>
      <w:proofErr w:type="spellStart"/>
      <w:r w:rsidRPr="00424500">
        <w:rPr>
          <w:rFonts w:eastAsia="Times New Roman" w:cs="Arial"/>
          <w:color w:val="000000"/>
          <w:szCs w:val="18"/>
          <w:lang w:eastAsia="bg-BG"/>
        </w:rPr>
        <w:t>екскретират</w:t>
      </w:r>
      <w:proofErr w:type="spellEnd"/>
      <w:r w:rsidRPr="00424500">
        <w:rPr>
          <w:rFonts w:eastAsia="Times New Roman" w:cs="Arial"/>
          <w:color w:val="000000"/>
          <w:szCs w:val="18"/>
          <w:lang w:eastAsia="bg-BG"/>
        </w:rPr>
        <w:t xml:space="preserve"> в кърмата.</w:t>
      </w:r>
    </w:p>
    <w:p w14:paraId="201A5FFD"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Наличните </w:t>
      </w:r>
      <w:proofErr w:type="spellStart"/>
      <w:r w:rsidRPr="00424500">
        <w:rPr>
          <w:rFonts w:eastAsia="Times New Roman" w:cs="Arial"/>
          <w:color w:val="000000"/>
          <w:szCs w:val="18"/>
          <w:lang w:eastAsia="bg-BG"/>
        </w:rPr>
        <w:t>фармакодинамични</w:t>
      </w:r>
      <w:proofErr w:type="spellEnd"/>
      <w:r w:rsidRPr="00424500">
        <w:rPr>
          <w:rFonts w:eastAsia="Times New Roman" w:cs="Arial"/>
          <w:color w:val="000000"/>
          <w:szCs w:val="18"/>
          <w:lang w:eastAsia="bg-BG"/>
        </w:rPr>
        <w:t xml:space="preserve">/токсикологични данни при плъхове са показали екскреция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или неговите метаболити в млякото (за подробности вижте точка 5.3).</w:t>
      </w:r>
    </w:p>
    <w:p w14:paraId="68FC1BE4" w14:textId="77777777" w:rsidR="00DF3D99" w:rsidRPr="00424500" w:rsidRDefault="00DF3D99" w:rsidP="00DF3D99">
      <w:pPr>
        <w:spacing w:line="240" w:lineRule="auto"/>
        <w:rPr>
          <w:rFonts w:eastAsia="Times New Roman" w:cs="Arial"/>
          <w:i/>
          <w:iCs/>
          <w:color w:val="000000"/>
          <w:szCs w:val="18"/>
          <w:lang w:eastAsia="bg-BG"/>
        </w:rPr>
      </w:pPr>
    </w:p>
    <w:p w14:paraId="2EE13C43" w14:textId="0BEEF365" w:rsidR="00DF3D99" w:rsidRPr="00424500" w:rsidRDefault="00DF3D99" w:rsidP="00DF3D99">
      <w:pPr>
        <w:spacing w:line="240" w:lineRule="auto"/>
        <w:rPr>
          <w:rFonts w:eastAsia="Times New Roman" w:cs="Arial"/>
          <w:sz w:val="32"/>
          <w:szCs w:val="24"/>
        </w:rPr>
      </w:pPr>
      <w:r w:rsidRPr="00424500">
        <w:rPr>
          <w:rFonts w:eastAsia="Times New Roman" w:cs="Arial"/>
          <w:i/>
          <w:iCs/>
          <w:color w:val="000000"/>
          <w:szCs w:val="18"/>
          <w:lang w:eastAsia="bg-BG"/>
        </w:rPr>
        <w:t>Хидрохлоротиазид</w:t>
      </w:r>
    </w:p>
    <w:p w14:paraId="2CB82A7F" w14:textId="77777777" w:rsidR="00DF3D99" w:rsidRPr="00424500" w:rsidRDefault="00DF3D99" w:rsidP="00DF3D99">
      <w:pPr>
        <w:spacing w:line="240" w:lineRule="auto"/>
        <w:rPr>
          <w:rFonts w:eastAsia="Times New Roman" w:cs="Arial"/>
          <w:color w:val="000000"/>
          <w:szCs w:val="18"/>
          <w:lang w:eastAsia="bg-BG"/>
        </w:rPr>
      </w:pPr>
    </w:p>
    <w:p w14:paraId="11D19788" w14:textId="2AC6EE7E"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Хидрохлоротиазид се </w:t>
      </w:r>
      <w:proofErr w:type="spellStart"/>
      <w:r w:rsidRPr="00424500">
        <w:rPr>
          <w:rFonts w:eastAsia="Times New Roman" w:cs="Arial"/>
          <w:color w:val="000000"/>
          <w:szCs w:val="18"/>
          <w:lang w:eastAsia="bg-BG"/>
        </w:rPr>
        <w:t>екскретира</w:t>
      </w:r>
      <w:proofErr w:type="spellEnd"/>
      <w:r w:rsidRPr="00424500">
        <w:rPr>
          <w:rFonts w:eastAsia="Times New Roman" w:cs="Arial"/>
          <w:color w:val="000000"/>
          <w:szCs w:val="18"/>
          <w:lang w:eastAsia="bg-BG"/>
        </w:rPr>
        <w:t xml:space="preserve"> в малки количества в кърмата. </w:t>
      </w:r>
      <w:proofErr w:type="spellStart"/>
      <w:r w:rsidRPr="00424500">
        <w:rPr>
          <w:rFonts w:eastAsia="Times New Roman" w:cs="Arial"/>
          <w:color w:val="000000"/>
          <w:szCs w:val="18"/>
          <w:lang w:eastAsia="bg-BG"/>
        </w:rPr>
        <w:t>Гиазидите</w:t>
      </w:r>
      <w:proofErr w:type="spellEnd"/>
      <w:r w:rsidRPr="00424500">
        <w:rPr>
          <w:rFonts w:eastAsia="Times New Roman" w:cs="Arial"/>
          <w:color w:val="000000"/>
          <w:szCs w:val="18"/>
          <w:lang w:eastAsia="bg-BG"/>
        </w:rPr>
        <w:t xml:space="preserve"> във високи дози </w:t>
      </w:r>
      <w:proofErr w:type="spellStart"/>
      <w:r w:rsidRPr="00424500">
        <w:rPr>
          <w:rFonts w:eastAsia="Times New Roman" w:cs="Arial"/>
          <w:color w:val="000000"/>
          <w:szCs w:val="18"/>
          <w:lang w:eastAsia="bg-BG"/>
        </w:rPr>
        <w:t>водеши</w:t>
      </w:r>
      <w:proofErr w:type="spellEnd"/>
      <w:r w:rsidRPr="00424500">
        <w:rPr>
          <w:rFonts w:eastAsia="Times New Roman" w:cs="Arial"/>
          <w:color w:val="000000"/>
          <w:szCs w:val="18"/>
          <w:lang w:eastAsia="bg-BG"/>
        </w:rPr>
        <w:t xml:space="preserve"> до интензивна </w:t>
      </w:r>
      <w:proofErr w:type="spellStart"/>
      <w:r w:rsidRPr="00424500">
        <w:rPr>
          <w:rFonts w:eastAsia="Times New Roman" w:cs="Arial"/>
          <w:color w:val="000000"/>
          <w:szCs w:val="18"/>
          <w:lang w:eastAsia="bg-BG"/>
        </w:rPr>
        <w:t>диуреза</w:t>
      </w:r>
      <w:proofErr w:type="spellEnd"/>
      <w:r w:rsidRPr="00424500">
        <w:rPr>
          <w:rFonts w:eastAsia="Times New Roman" w:cs="Arial"/>
          <w:color w:val="000000"/>
          <w:szCs w:val="18"/>
          <w:lang w:eastAsia="bg-BG"/>
        </w:rPr>
        <w:t>, могат да подтиснат производството на кърма. Не се препоръчва употребата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по време на кърмене. Ако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се използва по време на кърмене, дозите трябва да се поддържат възможно най-ниски.</w:t>
      </w:r>
    </w:p>
    <w:p w14:paraId="18161E88" w14:textId="77777777" w:rsidR="00DF3D99" w:rsidRPr="00424500" w:rsidRDefault="00DF3D99" w:rsidP="00DF3D99">
      <w:pPr>
        <w:spacing w:line="240" w:lineRule="auto"/>
        <w:rPr>
          <w:rFonts w:eastAsia="Times New Roman" w:cs="Arial"/>
          <w:color w:val="000000"/>
          <w:szCs w:val="18"/>
          <w:u w:val="single"/>
          <w:lang w:eastAsia="bg-BG"/>
        </w:rPr>
      </w:pPr>
    </w:p>
    <w:p w14:paraId="30AEF0EF" w14:textId="304311FF" w:rsidR="00DF3D99" w:rsidRPr="00424500" w:rsidRDefault="00DF3D99" w:rsidP="00DF3D99">
      <w:pPr>
        <w:pStyle w:val="Heading3"/>
        <w:rPr>
          <w:rFonts w:eastAsia="Times New Roman"/>
          <w:sz w:val="32"/>
          <w:u w:val="single"/>
        </w:rPr>
      </w:pPr>
      <w:r w:rsidRPr="00424500">
        <w:rPr>
          <w:rFonts w:eastAsia="Times New Roman"/>
          <w:u w:val="single"/>
          <w:lang w:eastAsia="bg-BG"/>
        </w:rPr>
        <w:t>Фертилитет</w:t>
      </w:r>
    </w:p>
    <w:p w14:paraId="031B0ED3" w14:textId="77777777" w:rsidR="00DF3D99" w:rsidRPr="00424500" w:rsidRDefault="00DF3D99" w:rsidP="00DF3D99">
      <w:pPr>
        <w:spacing w:line="240" w:lineRule="auto"/>
        <w:rPr>
          <w:rFonts w:eastAsia="Times New Roman" w:cs="Arial"/>
          <w:color w:val="000000"/>
          <w:szCs w:val="18"/>
          <w:lang w:eastAsia="bg-BG"/>
        </w:rPr>
      </w:pPr>
    </w:p>
    <w:p w14:paraId="7FEED481" w14:textId="239E1868" w:rsidR="00DF3D99" w:rsidRPr="00424500" w:rsidRDefault="00DF3D99" w:rsidP="00DF3D99">
      <w:pPr>
        <w:spacing w:line="240" w:lineRule="auto"/>
        <w:rPr>
          <w:rFonts w:eastAsia="Times New Roman" w:cs="Arial"/>
          <w:sz w:val="32"/>
          <w:szCs w:val="24"/>
        </w:rPr>
      </w:pP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е показал ефект върху </w:t>
      </w:r>
      <w:proofErr w:type="spellStart"/>
      <w:r w:rsidRPr="00424500">
        <w:rPr>
          <w:rFonts w:eastAsia="Times New Roman" w:cs="Arial"/>
          <w:color w:val="000000"/>
          <w:szCs w:val="18"/>
          <w:lang w:eastAsia="bg-BG"/>
        </w:rPr>
        <w:t>фертилитета</w:t>
      </w:r>
      <w:proofErr w:type="spellEnd"/>
      <w:r w:rsidRPr="00424500">
        <w:rPr>
          <w:rFonts w:eastAsia="Times New Roman" w:cs="Arial"/>
          <w:color w:val="000000"/>
          <w:szCs w:val="18"/>
          <w:lang w:eastAsia="bg-BG"/>
        </w:rPr>
        <w:t xml:space="preserve"> на плъхове и тяхното потомство, до </w:t>
      </w:r>
      <w:proofErr w:type="spellStart"/>
      <w:r w:rsidRPr="00424500">
        <w:rPr>
          <w:rFonts w:eastAsia="Times New Roman" w:cs="Arial"/>
          <w:color w:val="000000"/>
          <w:szCs w:val="18"/>
          <w:lang w:eastAsia="bg-BG"/>
        </w:rPr>
        <w:t>дозови</w:t>
      </w:r>
      <w:proofErr w:type="spellEnd"/>
      <w:r w:rsidRPr="00424500">
        <w:rPr>
          <w:rFonts w:eastAsia="Times New Roman" w:cs="Arial"/>
          <w:color w:val="000000"/>
          <w:szCs w:val="18"/>
          <w:lang w:eastAsia="bg-BG"/>
        </w:rPr>
        <w:t xml:space="preserve"> нива, причиняващи първите симптоми на токсичност при родителите (вж. точка 5.3).</w:t>
      </w:r>
    </w:p>
    <w:p w14:paraId="147E68D1" w14:textId="77777777" w:rsidR="00DF3D99" w:rsidRPr="00424500" w:rsidRDefault="00DF3D99" w:rsidP="00DF3D99"/>
    <w:p w14:paraId="5DD7A76D" w14:textId="1DE2E1AF" w:rsidR="007122AD" w:rsidRPr="00424500" w:rsidRDefault="002C50EE" w:rsidP="00936AD0">
      <w:pPr>
        <w:pStyle w:val="Heading2"/>
      </w:pPr>
      <w:r w:rsidRPr="00424500">
        <w:t>4.7. Ефекти върху способността за шофиране и работа с машини</w:t>
      </w:r>
    </w:p>
    <w:p w14:paraId="23F8B1C5" w14:textId="16C89914" w:rsidR="00DF3D99" w:rsidRPr="00424500" w:rsidRDefault="00DF3D99" w:rsidP="00DF3D99"/>
    <w:p w14:paraId="28A544D2" w14:textId="15F1FFF3" w:rsidR="00DF3D99" w:rsidRPr="00424500" w:rsidRDefault="00DF3D99" w:rsidP="00DF3D99">
      <w:r w:rsidRPr="00424500">
        <w:t xml:space="preserve">Въз основа на </w:t>
      </w:r>
      <w:proofErr w:type="spellStart"/>
      <w:r w:rsidRPr="00424500">
        <w:t>фармакодинамичните</w:t>
      </w:r>
      <w:proofErr w:type="spellEnd"/>
      <w:r w:rsidRPr="00424500">
        <w:t xml:space="preserve"> свойства, не се очаква Ко-</w:t>
      </w:r>
      <w:proofErr w:type="spellStart"/>
      <w:r w:rsidRPr="00424500">
        <w:t>Ирбесо</w:t>
      </w:r>
      <w:proofErr w:type="spellEnd"/>
      <w:r w:rsidRPr="00424500">
        <w:t xml:space="preserve"> да повлияе на способността за шофиране и работа с машини. В случай на шофиране или работа с машини, трябва да се има предвид възможността за поява на замаяност или отпадналост, по време на лечението на хипертония.</w:t>
      </w:r>
    </w:p>
    <w:p w14:paraId="7FF4BCB4" w14:textId="77777777" w:rsidR="00DF3D99" w:rsidRPr="00424500" w:rsidRDefault="00DF3D99" w:rsidP="00DF3D99"/>
    <w:p w14:paraId="44CE30A3" w14:textId="40C33555" w:rsidR="007122AD" w:rsidRPr="00424500" w:rsidRDefault="002C50EE" w:rsidP="00936AD0">
      <w:pPr>
        <w:pStyle w:val="Heading2"/>
      </w:pPr>
      <w:r w:rsidRPr="00424500">
        <w:t>4.8. Нежелани лекарствени реакции</w:t>
      </w:r>
    </w:p>
    <w:p w14:paraId="1BE1D0FA" w14:textId="411ACB28" w:rsidR="00DF3D99" w:rsidRPr="00424500" w:rsidRDefault="00DF3D99" w:rsidP="00DF3D99"/>
    <w:p w14:paraId="70E0FE21" w14:textId="77777777" w:rsidR="00DF3D99" w:rsidRPr="00424500" w:rsidRDefault="00DF3D99" w:rsidP="00DF3D99">
      <w:pPr>
        <w:spacing w:line="240" w:lineRule="auto"/>
        <w:rPr>
          <w:rFonts w:eastAsia="Times New Roman" w:cs="Arial"/>
          <w:sz w:val="32"/>
          <w:szCs w:val="24"/>
        </w:rPr>
      </w:pPr>
      <w:proofErr w:type="spellStart"/>
      <w:r w:rsidRPr="00424500">
        <w:rPr>
          <w:rFonts w:eastAsia="Times New Roman" w:cs="Arial"/>
          <w:color w:val="000000"/>
          <w:szCs w:val="18"/>
          <w:u w:val="single"/>
          <w:lang w:eastAsia="bg-BG"/>
        </w:rPr>
        <w:t>Ирбесартан</w:t>
      </w:r>
      <w:proofErr w:type="spellEnd"/>
      <w:r w:rsidRPr="00424500">
        <w:rPr>
          <w:rFonts w:eastAsia="Times New Roman" w:cs="Arial"/>
          <w:color w:val="000000"/>
          <w:szCs w:val="18"/>
          <w:u w:val="single"/>
          <w:lang w:eastAsia="bg-BG"/>
        </w:rPr>
        <w:t>/хидрохлоротиазид комбинация</w:t>
      </w:r>
    </w:p>
    <w:p w14:paraId="400A9D43" w14:textId="77777777" w:rsidR="00DF3D99" w:rsidRPr="00424500" w:rsidRDefault="00DF3D99" w:rsidP="00DF3D99">
      <w:pPr>
        <w:spacing w:line="240" w:lineRule="auto"/>
        <w:rPr>
          <w:rFonts w:eastAsia="Times New Roman" w:cs="Arial"/>
          <w:color w:val="000000"/>
          <w:szCs w:val="18"/>
          <w:lang w:eastAsia="bg-BG"/>
        </w:rPr>
      </w:pPr>
    </w:p>
    <w:p w14:paraId="56B8984F" w14:textId="411708D4"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Сред 898 пациенти с хипертония, които са приемали различни дози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/хидрохлоротиазид (от 37,5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/6,25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до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в плацебо-контролирани изпитвания, 29,5 % от пациентите са изпитали нежелани лекарствени реакции. Най-често съобщаваните нежелани лекарствени</w:t>
      </w:r>
      <w:r w:rsidRPr="00424500">
        <w:rPr>
          <w:rFonts w:eastAsia="Times New Roman" w:cs="Arial"/>
          <w:color w:val="000000"/>
          <w:szCs w:val="18"/>
          <w:u w:val="single"/>
          <w:lang w:eastAsia="bg-BG"/>
        </w:rPr>
        <w:t xml:space="preserve"> </w:t>
      </w:r>
      <w:r w:rsidRPr="00424500">
        <w:rPr>
          <w:rFonts w:eastAsia="Times New Roman" w:cs="Arial"/>
          <w:color w:val="000000"/>
          <w:szCs w:val="18"/>
          <w:lang w:eastAsia="bg-BG"/>
        </w:rPr>
        <w:t>реакции са били замаяност (5.6 %), умора (4.9 %), гадене/повръщане (1.8 %) и нарушено</w:t>
      </w:r>
      <w:r w:rsidRPr="00424500">
        <w:rPr>
          <w:rFonts w:eastAsia="Times New Roman" w:cs="Arial"/>
          <w:sz w:val="32"/>
          <w:szCs w:val="24"/>
        </w:rPr>
        <w:t xml:space="preserve"> </w:t>
      </w:r>
      <w:r w:rsidRPr="00424500">
        <w:rPr>
          <w:rFonts w:eastAsia="Times New Roman" w:cs="Arial"/>
          <w:color w:val="000000"/>
          <w:szCs w:val="18"/>
          <w:lang w:eastAsia="bg-BG"/>
        </w:rPr>
        <w:t xml:space="preserve">уриниране (1.4 %). Освен това, повишаване на </w:t>
      </w:r>
      <w:proofErr w:type="spellStart"/>
      <w:r w:rsidRPr="00424500">
        <w:rPr>
          <w:rFonts w:eastAsia="Times New Roman" w:cs="Arial"/>
          <w:color w:val="000000"/>
          <w:szCs w:val="18"/>
          <w:lang w:eastAsia="bg-BG"/>
        </w:rPr>
        <w:t>урейния</w:t>
      </w:r>
      <w:proofErr w:type="spellEnd"/>
      <w:r w:rsidRPr="00424500">
        <w:rPr>
          <w:rFonts w:eastAsia="Times New Roman" w:cs="Arial"/>
          <w:color w:val="000000"/>
          <w:szCs w:val="18"/>
          <w:lang w:eastAsia="bg-BG"/>
        </w:rPr>
        <w:t xml:space="preserve"> азот в кръвта </w:t>
      </w:r>
      <w:r w:rsidRPr="00424500">
        <w:rPr>
          <w:rFonts w:eastAsia="Times New Roman" w:cs="Arial"/>
          <w:color w:val="000000"/>
          <w:szCs w:val="18"/>
        </w:rPr>
        <w:t xml:space="preserve">(BLJN) </w:t>
      </w:r>
      <w:r w:rsidRPr="00424500">
        <w:rPr>
          <w:rFonts w:eastAsia="Times New Roman" w:cs="Arial"/>
          <w:color w:val="000000"/>
          <w:szCs w:val="18"/>
          <w:lang w:eastAsia="bg-BG"/>
        </w:rPr>
        <w:t>(2,3 %),</w:t>
      </w:r>
    </w:p>
    <w:p w14:paraId="2EF0E46E" w14:textId="40F1CE06" w:rsidR="00DF3D99" w:rsidRPr="00424500" w:rsidRDefault="00DF3D99" w:rsidP="00DF3D99">
      <w:pPr>
        <w:spacing w:line="240" w:lineRule="auto"/>
        <w:rPr>
          <w:rFonts w:eastAsia="Times New Roman" w:cs="Arial"/>
          <w:color w:val="000000"/>
          <w:szCs w:val="18"/>
          <w:lang w:eastAsia="bg-BG"/>
        </w:rPr>
      </w:pPr>
      <w:proofErr w:type="spellStart"/>
      <w:r w:rsidRPr="00424500">
        <w:rPr>
          <w:rFonts w:eastAsia="Times New Roman" w:cs="Arial"/>
          <w:color w:val="000000"/>
          <w:szCs w:val="18"/>
          <w:lang w:eastAsia="bg-BG"/>
        </w:rPr>
        <w:t>креатинкиназата</w:t>
      </w:r>
      <w:proofErr w:type="spellEnd"/>
      <w:r w:rsidRPr="00424500">
        <w:rPr>
          <w:rFonts w:eastAsia="Times New Roman" w:cs="Arial"/>
          <w:color w:val="000000"/>
          <w:szCs w:val="18"/>
          <w:lang w:eastAsia="bg-BG"/>
        </w:rPr>
        <w:t xml:space="preserve"> (1,7 %) и </w:t>
      </w:r>
      <w:proofErr w:type="spellStart"/>
      <w:r w:rsidRPr="00424500">
        <w:rPr>
          <w:rFonts w:eastAsia="Times New Roman" w:cs="Arial"/>
          <w:color w:val="000000"/>
          <w:szCs w:val="18"/>
          <w:lang w:eastAsia="bg-BG"/>
        </w:rPr>
        <w:t>креатинина</w:t>
      </w:r>
      <w:proofErr w:type="spellEnd"/>
      <w:r w:rsidRPr="00424500">
        <w:rPr>
          <w:rFonts w:eastAsia="Times New Roman" w:cs="Arial"/>
          <w:color w:val="000000"/>
          <w:szCs w:val="18"/>
          <w:lang w:eastAsia="bg-BG"/>
        </w:rPr>
        <w:t xml:space="preserve"> (1,1 %), също са наблюдавани често при изпитванията,</w:t>
      </w:r>
    </w:p>
    <w:p w14:paraId="00A4249E"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Таблица 1 показва нежеланите реакции, наблюдавани от спонтанни съобщения и при плацебо контролирани проучвания.</w:t>
      </w:r>
    </w:p>
    <w:p w14:paraId="341D78EC"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Честотата на представените по-долу нежеланите реакции е определена, както следва:</w:t>
      </w:r>
    </w:p>
    <w:p w14:paraId="69B4C010"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lastRenderedPageBreak/>
        <w:t>много чести (≥ 1/10); чести (≥ 1/100 до &lt; 1/10); нечести (≥1/1 000 до &lt; 1/100); редки (≥ 1/10 000 до &lt; 1/1 000); много редки (&lt; 1/10 000).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1779817E" w14:textId="77777777" w:rsidR="00DF3D99" w:rsidRPr="00424500" w:rsidRDefault="00DF3D99" w:rsidP="00DF3D99">
      <w:pPr>
        <w:spacing w:line="240" w:lineRule="auto"/>
        <w:rPr>
          <w:rFonts w:ascii="Times New Roman" w:eastAsia="Times New Roman" w:hAnsi="Times New Roman" w:cs="Times New Roman"/>
          <w:color w:val="000000"/>
          <w:sz w:val="18"/>
          <w:szCs w:val="18"/>
          <w:lang w:eastAsia="bg-BG"/>
        </w:rPr>
      </w:pPr>
    </w:p>
    <w:tbl>
      <w:tblPr>
        <w:tblStyle w:val="TableGrid"/>
        <w:tblW w:w="0" w:type="auto"/>
        <w:tblLook w:val="04A0" w:firstRow="1" w:lastRow="0" w:firstColumn="1" w:lastColumn="0" w:noHBand="0" w:noVBand="1"/>
      </w:tblPr>
      <w:tblGrid>
        <w:gridCol w:w="3150"/>
        <w:gridCol w:w="3060"/>
        <w:gridCol w:w="3140"/>
      </w:tblGrid>
      <w:tr w:rsidR="00DF3D99" w:rsidRPr="00424500" w14:paraId="3DA949BF" w14:textId="77777777" w:rsidTr="00DF3D99">
        <w:tc>
          <w:tcPr>
            <w:tcW w:w="9576" w:type="dxa"/>
            <w:gridSpan w:val="3"/>
          </w:tcPr>
          <w:p w14:paraId="503934BE" w14:textId="6533D817" w:rsidR="00DF3D99" w:rsidRPr="00424500" w:rsidRDefault="00DF3D99" w:rsidP="00DF3D99">
            <w:pPr>
              <w:rPr>
                <w:b/>
              </w:rPr>
            </w:pPr>
            <w:r w:rsidRPr="00424500">
              <w:rPr>
                <w:b/>
              </w:rPr>
              <w:t>Таблица 1: Нежелани реакции при плацебо-контролирани изпитвания и спонтанни съобщения</w:t>
            </w:r>
          </w:p>
        </w:tc>
      </w:tr>
      <w:tr w:rsidR="00DF3D99" w:rsidRPr="00424500" w14:paraId="1501051D" w14:textId="77777777" w:rsidTr="00DF3D99">
        <w:tc>
          <w:tcPr>
            <w:tcW w:w="3192" w:type="dxa"/>
            <w:vMerge w:val="restart"/>
          </w:tcPr>
          <w:p w14:paraId="227EED5E" w14:textId="251C20E4" w:rsidR="00DF3D99" w:rsidRPr="00424500" w:rsidRDefault="00DF3D99" w:rsidP="00DF3D99">
            <w:r w:rsidRPr="00424500">
              <w:rPr>
                <w:i/>
                <w:iCs/>
                <w:szCs w:val="18"/>
              </w:rPr>
              <w:t>Изследвания:</w:t>
            </w:r>
          </w:p>
        </w:tc>
        <w:tc>
          <w:tcPr>
            <w:tcW w:w="3192" w:type="dxa"/>
          </w:tcPr>
          <w:p w14:paraId="7A6505D6" w14:textId="4326A0B2" w:rsidR="00DF3D99" w:rsidRPr="00424500" w:rsidRDefault="00DF3D99" w:rsidP="00DF3D99">
            <w:r w:rsidRPr="00424500">
              <w:rPr>
                <w:szCs w:val="18"/>
              </w:rPr>
              <w:t>Чести:</w:t>
            </w:r>
          </w:p>
        </w:tc>
        <w:tc>
          <w:tcPr>
            <w:tcW w:w="3192" w:type="dxa"/>
          </w:tcPr>
          <w:p w14:paraId="109DE904" w14:textId="3BEFACA6" w:rsidR="00DF3D99" w:rsidRPr="00424500" w:rsidRDefault="00DF3D99" w:rsidP="00DF3D99">
            <w:r w:rsidRPr="00424500">
              <w:rPr>
                <w:szCs w:val="18"/>
              </w:rPr>
              <w:t xml:space="preserve">повишаване на </w:t>
            </w:r>
            <w:proofErr w:type="spellStart"/>
            <w:r w:rsidRPr="00424500">
              <w:rPr>
                <w:szCs w:val="18"/>
              </w:rPr>
              <w:t>урейния</w:t>
            </w:r>
            <w:proofErr w:type="spellEnd"/>
            <w:r w:rsidRPr="00424500">
              <w:rPr>
                <w:szCs w:val="18"/>
              </w:rPr>
              <w:t xml:space="preserve"> азот в кръвта (BUN), </w:t>
            </w:r>
            <w:proofErr w:type="spellStart"/>
            <w:r w:rsidRPr="00424500">
              <w:rPr>
                <w:szCs w:val="18"/>
              </w:rPr>
              <w:t>креатинина</w:t>
            </w:r>
            <w:proofErr w:type="spellEnd"/>
            <w:r w:rsidRPr="00424500">
              <w:rPr>
                <w:szCs w:val="18"/>
              </w:rPr>
              <w:t xml:space="preserve"> и </w:t>
            </w:r>
            <w:proofErr w:type="spellStart"/>
            <w:r w:rsidRPr="00424500">
              <w:rPr>
                <w:szCs w:val="18"/>
              </w:rPr>
              <w:t>креатинкиназата</w:t>
            </w:r>
            <w:proofErr w:type="spellEnd"/>
          </w:p>
        </w:tc>
      </w:tr>
      <w:tr w:rsidR="00DF3D99" w:rsidRPr="00424500" w14:paraId="4D07F277" w14:textId="77777777" w:rsidTr="00DF3D99">
        <w:tc>
          <w:tcPr>
            <w:tcW w:w="3192" w:type="dxa"/>
            <w:vMerge/>
          </w:tcPr>
          <w:p w14:paraId="632DE806" w14:textId="77777777" w:rsidR="00DF3D99" w:rsidRPr="00424500" w:rsidRDefault="00DF3D99" w:rsidP="00DF3D99"/>
        </w:tc>
        <w:tc>
          <w:tcPr>
            <w:tcW w:w="3192" w:type="dxa"/>
          </w:tcPr>
          <w:p w14:paraId="732B1ABF" w14:textId="74BF29ED" w:rsidR="00DF3D99" w:rsidRPr="00424500" w:rsidRDefault="00DF3D99" w:rsidP="00DF3D99">
            <w:r w:rsidRPr="00424500">
              <w:rPr>
                <w:szCs w:val="18"/>
              </w:rPr>
              <w:t>Нечести:</w:t>
            </w:r>
          </w:p>
        </w:tc>
        <w:tc>
          <w:tcPr>
            <w:tcW w:w="3192" w:type="dxa"/>
          </w:tcPr>
          <w:p w14:paraId="57AE1928" w14:textId="64B87031" w:rsidR="00DF3D99" w:rsidRPr="00424500" w:rsidRDefault="00DF3D99" w:rsidP="00DF3D99">
            <w:r w:rsidRPr="00424500">
              <w:rPr>
                <w:szCs w:val="18"/>
              </w:rPr>
              <w:t>понижение на серумния калий и натрий</w:t>
            </w:r>
          </w:p>
        </w:tc>
      </w:tr>
      <w:tr w:rsidR="00DF3D99" w:rsidRPr="00424500" w14:paraId="3A678759" w14:textId="77777777" w:rsidTr="00DF3D99">
        <w:tc>
          <w:tcPr>
            <w:tcW w:w="3192" w:type="dxa"/>
          </w:tcPr>
          <w:p w14:paraId="44ED9E64" w14:textId="12B4F4D3" w:rsidR="00DF3D99" w:rsidRPr="00424500" w:rsidRDefault="00DF3D99" w:rsidP="00DF3D99">
            <w:r w:rsidRPr="00424500">
              <w:rPr>
                <w:i/>
                <w:iCs/>
                <w:szCs w:val="18"/>
              </w:rPr>
              <w:t>Сърдечни нарушения:</w:t>
            </w:r>
          </w:p>
        </w:tc>
        <w:tc>
          <w:tcPr>
            <w:tcW w:w="3192" w:type="dxa"/>
          </w:tcPr>
          <w:p w14:paraId="6AE23007" w14:textId="43210125" w:rsidR="00DF3D99" w:rsidRPr="00424500" w:rsidRDefault="00DF3D99" w:rsidP="00DF3D99">
            <w:r w:rsidRPr="00424500">
              <w:rPr>
                <w:szCs w:val="18"/>
              </w:rPr>
              <w:t>Нечести:</w:t>
            </w:r>
          </w:p>
        </w:tc>
        <w:tc>
          <w:tcPr>
            <w:tcW w:w="3192" w:type="dxa"/>
          </w:tcPr>
          <w:p w14:paraId="0259643F" w14:textId="6435AEA6" w:rsidR="00DF3D99" w:rsidRPr="00424500" w:rsidRDefault="00DF3D99" w:rsidP="00DF3D99">
            <w:proofErr w:type="spellStart"/>
            <w:r w:rsidRPr="00424500">
              <w:rPr>
                <w:szCs w:val="18"/>
              </w:rPr>
              <w:t>синкоп</w:t>
            </w:r>
            <w:proofErr w:type="spellEnd"/>
            <w:r w:rsidRPr="00424500">
              <w:rPr>
                <w:szCs w:val="18"/>
              </w:rPr>
              <w:t>, хипотония, тахикардия, оток</w:t>
            </w:r>
          </w:p>
        </w:tc>
      </w:tr>
      <w:tr w:rsidR="00DF3D99" w:rsidRPr="00424500" w14:paraId="4E743BDB" w14:textId="77777777" w:rsidTr="00DF3D99">
        <w:tc>
          <w:tcPr>
            <w:tcW w:w="3192" w:type="dxa"/>
            <w:vMerge w:val="restart"/>
          </w:tcPr>
          <w:p w14:paraId="30C03F98" w14:textId="7A79F7B5" w:rsidR="00DF3D99" w:rsidRPr="00424500" w:rsidRDefault="00DF3D99" w:rsidP="00DF3D99">
            <w:r w:rsidRPr="00424500">
              <w:rPr>
                <w:i/>
                <w:iCs/>
                <w:szCs w:val="18"/>
              </w:rPr>
              <w:t>Нарушения на нервната система:</w:t>
            </w:r>
          </w:p>
        </w:tc>
        <w:tc>
          <w:tcPr>
            <w:tcW w:w="3192" w:type="dxa"/>
          </w:tcPr>
          <w:p w14:paraId="5A548807" w14:textId="3420E00D" w:rsidR="00DF3D99" w:rsidRPr="00424500" w:rsidRDefault="00DF3D99" w:rsidP="00DF3D99">
            <w:r w:rsidRPr="00424500">
              <w:rPr>
                <w:szCs w:val="18"/>
              </w:rPr>
              <w:t>Чести:</w:t>
            </w:r>
          </w:p>
        </w:tc>
        <w:tc>
          <w:tcPr>
            <w:tcW w:w="3192" w:type="dxa"/>
          </w:tcPr>
          <w:p w14:paraId="77F35E44" w14:textId="6C4031F4" w:rsidR="00DF3D99" w:rsidRPr="00424500" w:rsidRDefault="00DF3D99" w:rsidP="00DF3D99">
            <w:r w:rsidRPr="00424500">
              <w:rPr>
                <w:szCs w:val="18"/>
              </w:rPr>
              <w:t>виене на свят</w:t>
            </w:r>
          </w:p>
        </w:tc>
      </w:tr>
      <w:tr w:rsidR="00DF3D99" w:rsidRPr="00424500" w14:paraId="3B0F864E" w14:textId="77777777" w:rsidTr="00DF3D99">
        <w:tc>
          <w:tcPr>
            <w:tcW w:w="3192" w:type="dxa"/>
            <w:vMerge/>
          </w:tcPr>
          <w:p w14:paraId="5C2922CA" w14:textId="77777777" w:rsidR="00DF3D99" w:rsidRPr="00424500" w:rsidRDefault="00DF3D99" w:rsidP="00DF3D99"/>
        </w:tc>
        <w:tc>
          <w:tcPr>
            <w:tcW w:w="3192" w:type="dxa"/>
          </w:tcPr>
          <w:p w14:paraId="31287E3E" w14:textId="75C958AC" w:rsidR="00DF3D99" w:rsidRPr="00424500" w:rsidRDefault="00DF3D99" w:rsidP="00DF3D99">
            <w:r w:rsidRPr="00424500">
              <w:rPr>
                <w:szCs w:val="18"/>
              </w:rPr>
              <w:t>Нечести:</w:t>
            </w:r>
          </w:p>
        </w:tc>
        <w:tc>
          <w:tcPr>
            <w:tcW w:w="3192" w:type="dxa"/>
          </w:tcPr>
          <w:p w14:paraId="797FE8B6" w14:textId="485BA237" w:rsidR="00DF3D99" w:rsidRPr="00424500" w:rsidRDefault="00DF3D99" w:rsidP="00DF3D99">
            <w:r w:rsidRPr="00424500">
              <w:rPr>
                <w:szCs w:val="18"/>
              </w:rPr>
              <w:t>замаяност при изправяне</w:t>
            </w:r>
          </w:p>
        </w:tc>
      </w:tr>
      <w:tr w:rsidR="00DF3D99" w:rsidRPr="00424500" w14:paraId="78507928" w14:textId="77777777" w:rsidTr="00DF3D99">
        <w:tc>
          <w:tcPr>
            <w:tcW w:w="3192" w:type="dxa"/>
            <w:vMerge/>
          </w:tcPr>
          <w:p w14:paraId="5DA01F4C" w14:textId="77777777" w:rsidR="00DF3D99" w:rsidRPr="00424500" w:rsidRDefault="00DF3D99" w:rsidP="00DF3D99"/>
        </w:tc>
        <w:tc>
          <w:tcPr>
            <w:tcW w:w="3192" w:type="dxa"/>
          </w:tcPr>
          <w:p w14:paraId="62DD92F4" w14:textId="7E6AE8D3" w:rsidR="00DF3D99" w:rsidRPr="00424500" w:rsidRDefault="00DF3D99" w:rsidP="00DF3D99">
            <w:r w:rsidRPr="00424500">
              <w:rPr>
                <w:szCs w:val="18"/>
              </w:rPr>
              <w:t>С неизвестна честота:</w:t>
            </w:r>
          </w:p>
        </w:tc>
        <w:tc>
          <w:tcPr>
            <w:tcW w:w="3192" w:type="dxa"/>
          </w:tcPr>
          <w:p w14:paraId="695B8D81" w14:textId="6672E67A" w:rsidR="00DF3D99" w:rsidRPr="00424500" w:rsidRDefault="00DF3D99" w:rsidP="00DF3D99">
            <w:r w:rsidRPr="00424500">
              <w:rPr>
                <w:szCs w:val="18"/>
              </w:rPr>
              <w:t>главоболие</w:t>
            </w:r>
          </w:p>
        </w:tc>
      </w:tr>
      <w:tr w:rsidR="00DF3D99" w:rsidRPr="00424500" w14:paraId="5ADCD3AB" w14:textId="77777777" w:rsidTr="00DF3D99">
        <w:tc>
          <w:tcPr>
            <w:tcW w:w="3192" w:type="dxa"/>
          </w:tcPr>
          <w:p w14:paraId="4244F7EE" w14:textId="6100D206" w:rsidR="00DF3D99" w:rsidRPr="00424500" w:rsidRDefault="00DF3D99" w:rsidP="00DF3D99">
            <w:r w:rsidRPr="00424500">
              <w:rPr>
                <w:i/>
                <w:iCs/>
                <w:szCs w:val="18"/>
              </w:rPr>
              <w:t>Нарушения на ухото и лабиринта:</w:t>
            </w:r>
          </w:p>
        </w:tc>
        <w:tc>
          <w:tcPr>
            <w:tcW w:w="3192" w:type="dxa"/>
          </w:tcPr>
          <w:p w14:paraId="6AE83DCD" w14:textId="77862C1C" w:rsidR="00DF3D99" w:rsidRPr="00424500" w:rsidRDefault="00DF3D99" w:rsidP="00DF3D99">
            <w:r w:rsidRPr="00424500">
              <w:rPr>
                <w:szCs w:val="18"/>
              </w:rPr>
              <w:t>С неизвестна честота:</w:t>
            </w:r>
          </w:p>
        </w:tc>
        <w:tc>
          <w:tcPr>
            <w:tcW w:w="3192" w:type="dxa"/>
          </w:tcPr>
          <w:p w14:paraId="6A97C13B" w14:textId="715718A4" w:rsidR="00DF3D99" w:rsidRPr="00424500" w:rsidRDefault="00DF3D99" w:rsidP="00DF3D99">
            <w:r w:rsidRPr="00424500">
              <w:rPr>
                <w:szCs w:val="18"/>
              </w:rPr>
              <w:t>шум в ушите</w:t>
            </w:r>
          </w:p>
        </w:tc>
      </w:tr>
      <w:tr w:rsidR="00DF3D99" w:rsidRPr="00424500" w14:paraId="7E937269" w14:textId="77777777" w:rsidTr="00DF3D99">
        <w:tc>
          <w:tcPr>
            <w:tcW w:w="3192" w:type="dxa"/>
          </w:tcPr>
          <w:p w14:paraId="64B11BCA" w14:textId="4FCE0945" w:rsidR="00DF3D99" w:rsidRPr="00424500" w:rsidRDefault="00DF3D99" w:rsidP="00DF3D99">
            <w:r w:rsidRPr="00424500">
              <w:rPr>
                <w:i/>
                <w:iCs/>
                <w:szCs w:val="18"/>
              </w:rPr>
              <w:t xml:space="preserve">Респираторни, гръдни и </w:t>
            </w:r>
            <w:proofErr w:type="spellStart"/>
            <w:r w:rsidRPr="00424500">
              <w:rPr>
                <w:i/>
                <w:iCs/>
                <w:szCs w:val="18"/>
              </w:rPr>
              <w:t>медиастинални</w:t>
            </w:r>
            <w:proofErr w:type="spellEnd"/>
            <w:r w:rsidRPr="00424500">
              <w:rPr>
                <w:i/>
                <w:iCs/>
                <w:szCs w:val="18"/>
              </w:rPr>
              <w:t xml:space="preserve"> нарушения:</w:t>
            </w:r>
          </w:p>
        </w:tc>
        <w:tc>
          <w:tcPr>
            <w:tcW w:w="3192" w:type="dxa"/>
          </w:tcPr>
          <w:p w14:paraId="7983F7F6" w14:textId="2E468C3C" w:rsidR="00DF3D99" w:rsidRPr="00424500" w:rsidRDefault="00DF3D99" w:rsidP="00DF3D99">
            <w:r w:rsidRPr="00424500">
              <w:rPr>
                <w:szCs w:val="18"/>
              </w:rPr>
              <w:t>С неизвестна честота:</w:t>
            </w:r>
          </w:p>
        </w:tc>
        <w:tc>
          <w:tcPr>
            <w:tcW w:w="3192" w:type="dxa"/>
          </w:tcPr>
          <w:p w14:paraId="56CC8191" w14:textId="637EB06A" w:rsidR="00DF3D99" w:rsidRPr="00424500" w:rsidRDefault="00DF3D99" w:rsidP="00DF3D99">
            <w:r w:rsidRPr="00424500">
              <w:rPr>
                <w:szCs w:val="18"/>
              </w:rPr>
              <w:t>кашлица</w:t>
            </w:r>
          </w:p>
        </w:tc>
      </w:tr>
      <w:tr w:rsidR="00DF3D99" w:rsidRPr="00424500" w14:paraId="47F9E38C" w14:textId="77777777" w:rsidTr="00DF3D99">
        <w:tc>
          <w:tcPr>
            <w:tcW w:w="3192" w:type="dxa"/>
            <w:vMerge w:val="restart"/>
          </w:tcPr>
          <w:p w14:paraId="79992512" w14:textId="0E42AB73" w:rsidR="00DF3D99" w:rsidRPr="00424500" w:rsidRDefault="00DF3D99" w:rsidP="00DF3D99">
            <w:r w:rsidRPr="00424500">
              <w:rPr>
                <w:i/>
                <w:iCs/>
                <w:szCs w:val="18"/>
              </w:rPr>
              <w:t>Стомашно-чревни нарушения:</w:t>
            </w:r>
          </w:p>
        </w:tc>
        <w:tc>
          <w:tcPr>
            <w:tcW w:w="3192" w:type="dxa"/>
          </w:tcPr>
          <w:p w14:paraId="0330185B" w14:textId="2EB8258F" w:rsidR="00DF3D99" w:rsidRPr="00424500" w:rsidRDefault="00DF3D99" w:rsidP="00DF3D99">
            <w:r w:rsidRPr="00424500">
              <w:rPr>
                <w:szCs w:val="18"/>
              </w:rPr>
              <w:t>Чести:</w:t>
            </w:r>
          </w:p>
        </w:tc>
        <w:tc>
          <w:tcPr>
            <w:tcW w:w="3192" w:type="dxa"/>
          </w:tcPr>
          <w:p w14:paraId="6723156D" w14:textId="69859D10" w:rsidR="00DF3D99" w:rsidRPr="00424500" w:rsidRDefault="00DF3D99" w:rsidP="00DF3D99">
            <w:r w:rsidRPr="00424500">
              <w:rPr>
                <w:szCs w:val="18"/>
              </w:rPr>
              <w:t>гадене/повръщане</w:t>
            </w:r>
          </w:p>
        </w:tc>
      </w:tr>
      <w:tr w:rsidR="00DF3D99" w:rsidRPr="00424500" w14:paraId="3ADF3F7B" w14:textId="77777777" w:rsidTr="00DF3D99">
        <w:tc>
          <w:tcPr>
            <w:tcW w:w="3192" w:type="dxa"/>
            <w:vMerge/>
          </w:tcPr>
          <w:p w14:paraId="589B4062" w14:textId="77777777" w:rsidR="00DF3D99" w:rsidRPr="00424500" w:rsidRDefault="00DF3D99" w:rsidP="00DF3D99"/>
        </w:tc>
        <w:tc>
          <w:tcPr>
            <w:tcW w:w="3192" w:type="dxa"/>
          </w:tcPr>
          <w:p w14:paraId="5701D73A" w14:textId="45E75EE8" w:rsidR="00DF3D99" w:rsidRPr="00424500" w:rsidRDefault="00DF3D99" w:rsidP="00DF3D99">
            <w:r w:rsidRPr="00424500">
              <w:rPr>
                <w:szCs w:val="18"/>
              </w:rPr>
              <w:t>Нечести:</w:t>
            </w:r>
          </w:p>
        </w:tc>
        <w:tc>
          <w:tcPr>
            <w:tcW w:w="3192" w:type="dxa"/>
          </w:tcPr>
          <w:p w14:paraId="7CAAADEC" w14:textId="5830B9EE" w:rsidR="00DF3D99" w:rsidRPr="00424500" w:rsidRDefault="00DF3D99" w:rsidP="00DF3D99">
            <w:r w:rsidRPr="00424500">
              <w:rPr>
                <w:szCs w:val="18"/>
              </w:rPr>
              <w:t>диария</w:t>
            </w:r>
          </w:p>
        </w:tc>
      </w:tr>
      <w:tr w:rsidR="00DF3D99" w:rsidRPr="00424500" w14:paraId="4C96F0E7" w14:textId="77777777" w:rsidTr="00DF3D99">
        <w:tc>
          <w:tcPr>
            <w:tcW w:w="3192" w:type="dxa"/>
            <w:vMerge/>
          </w:tcPr>
          <w:p w14:paraId="21931831" w14:textId="77777777" w:rsidR="00DF3D99" w:rsidRPr="00424500" w:rsidRDefault="00DF3D99" w:rsidP="00DF3D99"/>
        </w:tc>
        <w:tc>
          <w:tcPr>
            <w:tcW w:w="3192" w:type="dxa"/>
          </w:tcPr>
          <w:p w14:paraId="2313E6B8" w14:textId="6059BC85" w:rsidR="00DF3D99" w:rsidRPr="00424500" w:rsidRDefault="00DF3D99" w:rsidP="00DF3D99">
            <w:r w:rsidRPr="00424500">
              <w:rPr>
                <w:szCs w:val="18"/>
              </w:rPr>
              <w:t>С неизвестна честота:</w:t>
            </w:r>
          </w:p>
        </w:tc>
        <w:tc>
          <w:tcPr>
            <w:tcW w:w="3192" w:type="dxa"/>
          </w:tcPr>
          <w:p w14:paraId="4D86EF4B" w14:textId="6DA22B15" w:rsidR="00DF3D99" w:rsidRPr="00424500" w:rsidRDefault="00DF3D99" w:rsidP="00DF3D99">
            <w:r w:rsidRPr="00424500">
              <w:rPr>
                <w:szCs w:val="18"/>
              </w:rPr>
              <w:t>диспепсия, нарушение на вкуса</w:t>
            </w:r>
          </w:p>
        </w:tc>
      </w:tr>
      <w:tr w:rsidR="00DF3D99" w:rsidRPr="00424500" w14:paraId="18A4D33D" w14:textId="77777777" w:rsidTr="00DF3D99">
        <w:tc>
          <w:tcPr>
            <w:tcW w:w="3192" w:type="dxa"/>
            <w:vMerge w:val="restart"/>
          </w:tcPr>
          <w:p w14:paraId="55A4B3E5" w14:textId="015BACA2" w:rsidR="00DF3D99" w:rsidRPr="00424500" w:rsidRDefault="00DF3D99" w:rsidP="00DF3D99">
            <w:r w:rsidRPr="00424500">
              <w:rPr>
                <w:i/>
                <w:iCs/>
                <w:szCs w:val="18"/>
              </w:rPr>
              <w:t>Нарушения на бъбреците и пикочните пътища:</w:t>
            </w:r>
          </w:p>
        </w:tc>
        <w:tc>
          <w:tcPr>
            <w:tcW w:w="3192" w:type="dxa"/>
          </w:tcPr>
          <w:p w14:paraId="2A963A33" w14:textId="34FA7AD3" w:rsidR="00DF3D99" w:rsidRPr="00424500" w:rsidRDefault="00DF3D99" w:rsidP="00DF3D99">
            <w:r w:rsidRPr="00424500">
              <w:rPr>
                <w:szCs w:val="18"/>
              </w:rPr>
              <w:t>Чести:</w:t>
            </w:r>
          </w:p>
        </w:tc>
        <w:tc>
          <w:tcPr>
            <w:tcW w:w="3192" w:type="dxa"/>
          </w:tcPr>
          <w:p w14:paraId="6043807B" w14:textId="0846BE6F" w:rsidR="00DF3D99" w:rsidRPr="00424500" w:rsidRDefault="00DF3D99" w:rsidP="00DF3D99">
            <w:r w:rsidRPr="00424500">
              <w:rPr>
                <w:szCs w:val="18"/>
              </w:rPr>
              <w:t>нарушено уриниране</w:t>
            </w:r>
          </w:p>
        </w:tc>
      </w:tr>
      <w:tr w:rsidR="00DF3D99" w:rsidRPr="00424500" w14:paraId="23223BDD" w14:textId="77777777" w:rsidTr="00DF3D99">
        <w:tc>
          <w:tcPr>
            <w:tcW w:w="3192" w:type="dxa"/>
            <w:vMerge/>
          </w:tcPr>
          <w:p w14:paraId="06489BDD" w14:textId="77777777" w:rsidR="00DF3D99" w:rsidRPr="00424500" w:rsidRDefault="00DF3D99" w:rsidP="00DF3D99"/>
        </w:tc>
        <w:tc>
          <w:tcPr>
            <w:tcW w:w="3192" w:type="dxa"/>
          </w:tcPr>
          <w:p w14:paraId="2A901274" w14:textId="1D0455C5" w:rsidR="00DF3D99" w:rsidRPr="00424500" w:rsidRDefault="00DF3D99" w:rsidP="00DF3D99">
            <w:r w:rsidRPr="00424500">
              <w:rPr>
                <w:szCs w:val="18"/>
              </w:rPr>
              <w:t>С неизвестна честота:</w:t>
            </w:r>
          </w:p>
        </w:tc>
        <w:tc>
          <w:tcPr>
            <w:tcW w:w="3192" w:type="dxa"/>
          </w:tcPr>
          <w:p w14:paraId="7420A336" w14:textId="4A5B338E" w:rsidR="00DF3D99" w:rsidRPr="00424500" w:rsidRDefault="00DF3D99" w:rsidP="00DF3D99">
            <w:r w:rsidRPr="00424500">
              <w:rPr>
                <w:szCs w:val="18"/>
              </w:rPr>
              <w:t>нарушена бъбречна функция, включително отделни случаи на бъбречна недостатъчност при пациенти с риск (вж. точка 4.4)</w:t>
            </w:r>
          </w:p>
        </w:tc>
      </w:tr>
      <w:tr w:rsidR="00DF3D99" w:rsidRPr="00424500" w14:paraId="09F6ADF0" w14:textId="77777777" w:rsidTr="00DF3D99">
        <w:tc>
          <w:tcPr>
            <w:tcW w:w="3192" w:type="dxa"/>
            <w:vMerge w:val="restart"/>
          </w:tcPr>
          <w:p w14:paraId="735F60D4" w14:textId="27D5ADA2" w:rsidR="00DF3D99" w:rsidRPr="00424500" w:rsidRDefault="00DF3D99" w:rsidP="00DF3D99">
            <w:r w:rsidRPr="00424500">
              <w:rPr>
                <w:i/>
                <w:iCs/>
                <w:szCs w:val="18"/>
              </w:rPr>
              <w:t>Нарушения на мускулно-скелетната система и съединителната тъкан:</w:t>
            </w:r>
          </w:p>
        </w:tc>
        <w:tc>
          <w:tcPr>
            <w:tcW w:w="3192" w:type="dxa"/>
          </w:tcPr>
          <w:p w14:paraId="2D129329" w14:textId="4B72F652" w:rsidR="00DF3D99" w:rsidRPr="00424500" w:rsidRDefault="00DF3D99" w:rsidP="00DF3D99">
            <w:r w:rsidRPr="00424500">
              <w:rPr>
                <w:szCs w:val="18"/>
              </w:rPr>
              <w:t>Нечести:</w:t>
            </w:r>
          </w:p>
        </w:tc>
        <w:tc>
          <w:tcPr>
            <w:tcW w:w="3192" w:type="dxa"/>
          </w:tcPr>
          <w:p w14:paraId="3CA46655" w14:textId="146072CC" w:rsidR="00DF3D99" w:rsidRPr="00424500" w:rsidRDefault="00DF3D99" w:rsidP="00DF3D99">
            <w:r w:rsidRPr="00424500">
              <w:rPr>
                <w:szCs w:val="18"/>
              </w:rPr>
              <w:t>оток на крайниците</w:t>
            </w:r>
          </w:p>
        </w:tc>
      </w:tr>
      <w:tr w:rsidR="00DF3D99" w:rsidRPr="00424500" w14:paraId="613E4B4D" w14:textId="77777777" w:rsidTr="00DF3D99">
        <w:tc>
          <w:tcPr>
            <w:tcW w:w="3192" w:type="dxa"/>
            <w:vMerge/>
          </w:tcPr>
          <w:p w14:paraId="577B889B" w14:textId="77777777" w:rsidR="00DF3D99" w:rsidRPr="00424500" w:rsidRDefault="00DF3D99" w:rsidP="00DF3D99"/>
        </w:tc>
        <w:tc>
          <w:tcPr>
            <w:tcW w:w="3192" w:type="dxa"/>
          </w:tcPr>
          <w:p w14:paraId="393499E5" w14:textId="5320A8C4" w:rsidR="00DF3D99" w:rsidRPr="00424500" w:rsidRDefault="00DF3D99" w:rsidP="00DF3D99">
            <w:r w:rsidRPr="00424500">
              <w:rPr>
                <w:szCs w:val="18"/>
              </w:rPr>
              <w:t>С неизвестна честота:</w:t>
            </w:r>
          </w:p>
        </w:tc>
        <w:tc>
          <w:tcPr>
            <w:tcW w:w="3192" w:type="dxa"/>
          </w:tcPr>
          <w:p w14:paraId="3200BC23" w14:textId="26F74AEF" w:rsidR="00DF3D99" w:rsidRPr="00424500" w:rsidRDefault="00DF3D99" w:rsidP="00DF3D99">
            <w:proofErr w:type="spellStart"/>
            <w:r w:rsidRPr="00424500">
              <w:rPr>
                <w:szCs w:val="18"/>
              </w:rPr>
              <w:t>атралгия</w:t>
            </w:r>
            <w:proofErr w:type="spellEnd"/>
            <w:r w:rsidRPr="00424500">
              <w:rPr>
                <w:szCs w:val="18"/>
              </w:rPr>
              <w:t xml:space="preserve">, </w:t>
            </w:r>
            <w:proofErr w:type="spellStart"/>
            <w:r w:rsidRPr="00424500">
              <w:rPr>
                <w:szCs w:val="18"/>
              </w:rPr>
              <w:t>миалгия</w:t>
            </w:r>
            <w:proofErr w:type="spellEnd"/>
          </w:p>
        </w:tc>
      </w:tr>
      <w:tr w:rsidR="00DF3D99" w:rsidRPr="00424500" w14:paraId="0DBE0548" w14:textId="77777777" w:rsidTr="00DF3D99">
        <w:tc>
          <w:tcPr>
            <w:tcW w:w="3192" w:type="dxa"/>
          </w:tcPr>
          <w:p w14:paraId="2DDBB8D8" w14:textId="26BAA34C" w:rsidR="00DF3D99" w:rsidRPr="00424500" w:rsidRDefault="00DF3D99" w:rsidP="00DF3D99">
            <w:r w:rsidRPr="00424500">
              <w:rPr>
                <w:i/>
                <w:iCs/>
                <w:szCs w:val="18"/>
              </w:rPr>
              <w:t>Нарушения на метаболизма и храненето:</w:t>
            </w:r>
          </w:p>
        </w:tc>
        <w:tc>
          <w:tcPr>
            <w:tcW w:w="3192" w:type="dxa"/>
          </w:tcPr>
          <w:p w14:paraId="614EF136" w14:textId="61175DAB" w:rsidR="00DF3D99" w:rsidRPr="00424500" w:rsidRDefault="00DF3D99" w:rsidP="00DF3D99">
            <w:r w:rsidRPr="00424500">
              <w:rPr>
                <w:szCs w:val="18"/>
              </w:rPr>
              <w:t>С неизвестна честота:</w:t>
            </w:r>
          </w:p>
        </w:tc>
        <w:tc>
          <w:tcPr>
            <w:tcW w:w="3192" w:type="dxa"/>
          </w:tcPr>
          <w:p w14:paraId="2C888E0B" w14:textId="587158C3" w:rsidR="00DF3D99" w:rsidRPr="00424500" w:rsidRDefault="00DF3D99" w:rsidP="00DF3D99">
            <w:proofErr w:type="spellStart"/>
            <w:r w:rsidRPr="00424500">
              <w:rPr>
                <w:szCs w:val="18"/>
              </w:rPr>
              <w:t>хиперкалемия</w:t>
            </w:r>
            <w:proofErr w:type="spellEnd"/>
          </w:p>
        </w:tc>
      </w:tr>
      <w:tr w:rsidR="00DF3D99" w:rsidRPr="00424500" w14:paraId="50334FDC" w14:textId="77777777" w:rsidTr="00DF3D99">
        <w:tc>
          <w:tcPr>
            <w:tcW w:w="3192" w:type="dxa"/>
          </w:tcPr>
          <w:p w14:paraId="4DDD40FF" w14:textId="0F672369" w:rsidR="00DF3D99" w:rsidRPr="00424500" w:rsidRDefault="00DF3D99" w:rsidP="00DF3D99">
            <w:r w:rsidRPr="00424500">
              <w:rPr>
                <w:i/>
                <w:iCs/>
                <w:szCs w:val="18"/>
              </w:rPr>
              <w:t>Съдови нарушения:</w:t>
            </w:r>
          </w:p>
        </w:tc>
        <w:tc>
          <w:tcPr>
            <w:tcW w:w="3192" w:type="dxa"/>
          </w:tcPr>
          <w:p w14:paraId="3C134610" w14:textId="02C61C36" w:rsidR="00DF3D99" w:rsidRPr="00424500" w:rsidRDefault="00DF3D99" w:rsidP="00DF3D99">
            <w:r w:rsidRPr="00424500">
              <w:rPr>
                <w:szCs w:val="18"/>
              </w:rPr>
              <w:t>Нечести:</w:t>
            </w:r>
          </w:p>
        </w:tc>
        <w:tc>
          <w:tcPr>
            <w:tcW w:w="3192" w:type="dxa"/>
          </w:tcPr>
          <w:p w14:paraId="4A739BF8" w14:textId="0534E56A" w:rsidR="00DF3D99" w:rsidRPr="00424500" w:rsidRDefault="00DF3D99" w:rsidP="00DF3D99">
            <w:r w:rsidRPr="00424500">
              <w:rPr>
                <w:szCs w:val="18"/>
              </w:rPr>
              <w:t>Зачервяване на лицето</w:t>
            </w:r>
          </w:p>
        </w:tc>
      </w:tr>
      <w:tr w:rsidR="00DF3D99" w:rsidRPr="00424500" w14:paraId="6E36AEB0" w14:textId="77777777" w:rsidTr="00DF3D99">
        <w:tc>
          <w:tcPr>
            <w:tcW w:w="3192" w:type="dxa"/>
          </w:tcPr>
          <w:p w14:paraId="5B8B91CC" w14:textId="5951C3EA" w:rsidR="00DF3D99" w:rsidRPr="00424500" w:rsidRDefault="00DF3D99" w:rsidP="00DF3D99">
            <w:r w:rsidRPr="00424500">
              <w:rPr>
                <w:i/>
                <w:iCs/>
                <w:szCs w:val="18"/>
              </w:rPr>
              <w:t>Общи нарушения и ефекти на мястото на приложение:</w:t>
            </w:r>
          </w:p>
        </w:tc>
        <w:tc>
          <w:tcPr>
            <w:tcW w:w="3192" w:type="dxa"/>
          </w:tcPr>
          <w:p w14:paraId="14652803" w14:textId="30D5BF84" w:rsidR="00DF3D99" w:rsidRPr="00424500" w:rsidRDefault="00DF3D99" w:rsidP="00DF3D99">
            <w:r w:rsidRPr="00424500">
              <w:rPr>
                <w:szCs w:val="18"/>
              </w:rPr>
              <w:t>Чести:</w:t>
            </w:r>
          </w:p>
        </w:tc>
        <w:tc>
          <w:tcPr>
            <w:tcW w:w="3192" w:type="dxa"/>
          </w:tcPr>
          <w:p w14:paraId="07BCB9F5" w14:textId="1320FB81" w:rsidR="00DF3D99" w:rsidRPr="00424500" w:rsidRDefault="00DF3D99" w:rsidP="00DF3D99">
            <w:r w:rsidRPr="00424500">
              <w:rPr>
                <w:szCs w:val="18"/>
              </w:rPr>
              <w:t>умора</w:t>
            </w:r>
          </w:p>
        </w:tc>
      </w:tr>
      <w:tr w:rsidR="00DF3D99" w:rsidRPr="00424500" w14:paraId="79C830E9" w14:textId="77777777" w:rsidTr="00DF3D99">
        <w:tc>
          <w:tcPr>
            <w:tcW w:w="3192" w:type="dxa"/>
          </w:tcPr>
          <w:p w14:paraId="42D8891A" w14:textId="735D4174" w:rsidR="00DF3D99" w:rsidRPr="00424500" w:rsidRDefault="00DF3D99" w:rsidP="00DF3D99">
            <w:r w:rsidRPr="00424500">
              <w:rPr>
                <w:i/>
                <w:iCs/>
                <w:szCs w:val="18"/>
              </w:rPr>
              <w:t>Нарушения на имунната система:</w:t>
            </w:r>
          </w:p>
        </w:tc>
        <w:tc>
          <w:tcPr>
            <w:tcW w:w="3192" w:type="dxa"/>
          </w:tcPr>
          <w:p w14:paraId="08108B55" w14:textId="5BA4E4D1" w:rsidR="00DF3D99" w:rsidRPr="00424500" w:rsidRDefault="00DF3D99" w:rsidP="00DF3D99">
            <w:r w:rsidRPr="00424500">
              <w:rPr>
                <w:szCs w:val="18"/>
              </w:rPr>
              <w:t>С неизвестна честота:</w:t>
            </w:r>
          </w:p>
        </w:tc>
        <w:tc>
          <w:tcPr>
            <w:tcW w:w="3192" w:type="dxa"/>
          </w:tcPr>
          <w:p w14:paraId="7DBDEA08" w14:textId="5FEB127F" w:rsidR="00DF3D99" w:rsidRPr="00424500" w:rsidRDefault="00DF3D99" w:rsidP="00DF3D99">
            <w:r w:rsidRPr="00424500">
              <w:rPr>
                <w:szCs w:val="18"/>
              </w:rPr>
              <w:t>случаи на реакции на свръхчувствителност, като ангиоедем, обрив, уртикария</w:t>
            </w:r>
          </w:p>
        </w:tc>
      </w:tr>
      <w:tr w:rsidR="00DF3D99" w:rsidRPr="00424500" w14:paraId="6A098BFC" w14:textId="77777777" w:rsidTr="00DF3D99">
        <w:tc>
          <w:tcPr>
            <w:tcW w:w="3192" w:type="dxa"/>
            <w:vMerge w:val="restart"/>
          </w:tcPr>
          <w:p w14:paraId="10094C2A" w14:textId="5831738B" w:rsidR="00DF3D99" w:rsidRPr="00424500" w:rsidRDefault="00DF3D99" w:rsidP="00DF3D99">
            <w:proofErr w:type="spellStart"/>
            <w:r w:rsidRPr="00424500">
              <w:rPr>
                <w:i/>
                <w:iCs/>
                <w:szCs w:val="18"/>
              </w:rPr>
              <w:t>Хепатобилиарни</w:t>
            </w:r>
            <w:proofErr w:type="spellEnd"/>
            <w:r w:rsidRPr="00424500">
              <w:rPr>
                <w:i/>
                <w:iCs/>
                <w:szCs w:val="18"/>
              </w:rPr>
              <w:t xml:space="preserve"> нарушения:</w:t>
            </w:r>
          </w:p>
        </w:tc>
        <w:tc>
          <w:tcPr>
            <w:tcW w:w="3192" w:type="dxa"/>
          </w:tcPr>
          <w:p w14:paraId="4FBBA1ED" w14:textId="7C2A7A6D" w:rsidR="00DF3D99" w:rsidRPr="00424500" w:rsidRDefault="00DF3D99" w:rsidP="00DF3D99">
            <w:r w:rsidRPr="00424500">
              <w:rPr>
                <w:szCs w:val="18"/>
              </w:rPr>
              <w:t>Нечести:</w:t>
            </w:r>
          </w:p>
        </w:tc>
        <w:tc>
          <w:tcPr>
            <w:tcW w:w="3192" w:type="dxa"/>
          </w:tcPr>
          <w:p w14:paraId="6C3FE38D" w14:textId="04A7AD20" w:rsidR="00DF3D99" w:rsidRPr="00424500" w:rsidRDefault="00DF3D99" w:rsidP="00DF3D99">
            <w:r w:rsidRPr="00424500">
              <w:rPr>
                <w:szCs w:val="18"/>
              </w:rPr>
              <w:t>жълтеница</w:t>
            </w:r>
          </w:p>
        </w:tc>
      </w:tr>
      <w:tr w:rsidR="00DF3D99" w:rsidRPr="00424500" w14:paraId="419E43A3" w14:textId="77777777" w:rsidTr="00DF3D99">
        <w:tc>
          <w:tcPr>
            <w:tcW w:w="3192" w:type="dxa"/>
            <w:vMerge/>
          </w:tcPr>
          <w:p w14:paraId="0B4C34D1" w14:textId="77777777" w:rsidR="00DF3D99" w:rsidRPr="00424500" w:rsidRDefault="00DF3D99" w:rsidP="00DF3D99"/>
        </w:tc>
        <w:tc>
          <w:tcPr>
            <w:tcW w:w="3192" w:type="dxa"/>
          </w:tcPr>
          <w:p w14:paraId="0592E97B" w14:textId="2FA94C1D" w:rsidR="00DF3D99" w:rsidRPr="00424500" w:rsidRDefault="00DF3D99" w:rsidP="00DF3D99">
            <w:r w:rsidRPr="00424500">
              <w:rPr>
                <w:szCs w:val="18"/>
              </w:rPr>
              <w:t>С неизвестна честота:</w:t>
            </w:r>
          </w:p>
        </w:tc>
        <w:tc>
          <w:tcPr>
            <w:tcW w:w="3192" w:type="dxa"/>
          </w:tcPr>
          <w:p w14:paraId="7013C5F5" w14:textId="0CD9C3D0" w:rsidR="00DF3D99" w:rsidRPr="00424500" w:rsidRDefault="00DF3D99" w:rsidP="00DF3D99">
            <w:r w:rsidRPr="00424500">
              <w:rPr>
                <w:szCs w:val="18"/>
              </w:rPr>
              <w:t>хепатит, нарушена чернодробна функция</w:t>
            </w:r>
          </w:p>
        </w:tc>
      </w:tr>
      <w:tr w:rsidR="00DF3D99" w:rsidRPr="00424500" w14:paraId="6D05A39A" w14:textId="77777777" w:rsidTr="00DF3D99">
        <w:tc>
          <w:tcPr>
            <w:tcW w:w="3192" w:type="dxa"/>
          </w:tcPr>
          <w:p w14:paraId="6F9592F6" w14:textId="1939BCC9" w:rsidR="00DF3D99" w:rsidRPr="00424500" w:rsidRDefault="00DF3D99" w:rsidP="00DF3D99">
            <w:r w:rsidRPr="00424500">
              <w:rPr>
                <w:i/>
                <w:iCs/>
                <w:szCs w:val="18"/>
              </w:rPr>
              <w:t>Нарушения на възпроизводителната система и гърдата:</w:t>
            </w:r>
          </w:p>
        </w:tc>
        <w:tc>
          <w:tcPr>
            <w:tcW w:w="3192" w:type="dxa"/>
          </w:tcPr>
          <w:p w14:paraId="5833E3E6" w14:textId="570C23AA" w:rsidR="00DF3D99" w:rsidRPr="00424500" w:rsidRDefault="00DF3D99" w:rsidP="00DF3D99">
            <w:r w:rsidRPr="00424500">
              <w:rPr>
                <w:szCs w:val="18"/>
              </w:rPr>
              <w:t>Нечести:</w:t>
            </w:r>
          </w:p>
        </w:tc>
        <w:tc>
          <w:tcPr>
            <w:tcW w:w="3192" w:type="dxa"/>
          </w:tcPr>
          <w:p w14:paraId="59BAC432" w14:textId="07C116E4" w:rsidR="00DF3D99" w:rsidRPr="00424500" w:rsidRDefault="00DF3D99" w:rsidP="00DF3D99">
            <w:r w:rsidRPr="00424500">
              <w:rPr>
                <w:szCs w:val="18"/>
              </w:rPr>
              <w:t>сексуална дисфункция, промени в либидото</w:t>
            </w:r>
          </w:p>
        </w:tc>
      </w:tr>
    </w:tbl>
    <w:p w14:paraId="51730B50" w14:textId="1597CC0C" w:rsidR="00DF3D99" w:rsidRPr="00424500" w:rsidRDefault="00DF3D99" w:rsidP="00DF3D99"/>
    <w:p w14:paraId="1A999380"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u w:val="single"/>
          <w:lang w:eastAsia="bg-BG"/>
        </w:rPr>
        <w:t>Допълнителна информация за отделните съставки:</w:t>
      </w:r>
    </w:p>
    <w:p w14:paraId="7B7BAA11" w14:textId="26A0DE72" w:rsidR="00DF3D99" w:rsidRPr="00424500" w:rsidRDefault="00DF3D99" w:rsidP="00DF3D99">
      <w:pPr>
        <w:rPr>
          <w:rFonts w:eastAsia="Times New Roman" w:cs="Arial"/>
          <w:color w:val="000000"/>
          <w:szCs w:val="18"/>
          <w:lang w:eastAsia="bg-BG"/>
        </w:rPr>
      </w:pPr>
      <w:r w:rsidRPr="00424500">
        <w:rPr>
          <w:rFonts w:eastAsia="Times New Roman" w:cs="Arial"/>
          <w:color w:val="000000"/>
          <w:szCs w:val="18"/>
          <w:lang w:eastAsia="bg-BG"/>
        </w:rPr>
        <w:t>В допълнение към изброените по-горе нежелани реакции за комбинирания продукт, други нежелани реакции, вече докладвани при една от отделните съставки, може да бъдат потенциални нежелани реакции и при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Таблици 2 и 3 по-долу представят нежеланите реакции, съобщени при отделните съставки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w:t>
      </w:r>
    </w:p>
    <w:p w14:paraId="04827EDA" w14:textId="5399B927" w:rsidR="00DF3D99" w:rsidRPr="00424500" w:rsidRDefault="00DF3D99" w:rsidP="00DF3D99"/>
    <w:tbl>
      <w:tblPr>
        <w:tblStyle w:val="TableGrid"/>
        <w:tblW w:w="0" w:type="auto"/>
        <w:tblLook w:val="04A0" w:firstRow="1" w:lastRow="0" w:firstColumn="1" w:lastColumn="0" w:noHBand="0" w:noVBand="1"/>
      </w:tblPr>
      <w:tblGrid>
        <w:gridCol w:w="3113"/>
        <w:gridCol w:w="3102"/>
        <w:gridCol w:w="3135"/>
      </w:tblGrid>
      <w:tr w:rsidR="00DF3D99" w:rsidRPr="00424500" w14:paraId="35618569" w14:textId="77777777" w:rsidTr="00DF3D99">
        <w:tc>
          <w:tcPr>
            <w:tcW w:w="9576" w:type="dxa"/>
            <w:gridSpan w:val="3"/>
          </w:tcPr>
          <w:p w14:paraId="13C9878A" w14:textId="27FA3EC2" w:rsidR="00DF3D99" w:rsidRPr="00424500" w:rsidRDefault="00DF3D99" w:rsidP="00DF3D99">
            <w:r w:rsidRPr="00424500">
              <w:rPr>
                <w:b/>
                <w:bCs/>
              </w:rPr>
              <w:t>Таблица 2:</w:t>
            </w:r>
            <w:r w:rsidRPr="00424500">
              <w:rPr>
                <w:bCs/>
              </w:rPr>
              <w:t xml:space="preserve"> </w:t>
            </w:r>
            <w:r w:rsidRPr="00424500">
              <w:t xml:space="preserve">Нежелани реакции, съобщени при самостоятелна употреба на </w:t>
            </w:r>
            <w:proofErr w:type="spellStart"/>
            <w:r w:rsidRPr="00424500">
              <w:t>ирбесартан</w:t>
            </w:r>
            <w:proofErr w:type="spellEnd"/>
          </w:p>
        </w:tc>
      </w:tr>
      <w:tr w:rsidR="00DF3D99" w:rsidRPr="00424500" w14:paraId="7B073531" w14:textId="77777777" w:rsidTr="00DF3D99">
        <w:tc>
          <w:tcPr>
            <w:tcW w:w="3192" w:type="dxa"/>
            <w:vAlign w:val="bottom"/>
          </w:tcPr>
          <w:p w14:paraId="7947E389" w14:textId="3F5343F4" w:rsidR="00DF3D99" w:rsidRPr="00424500" w:rsidRDefault="00DF3D99" w:rsidP="00DF3D99">
            <w:r w:rsidRPr="00424500">
              <w:t>Нарушения на кръвта и лимфната система</w:t>
            </w:r>
          </w:p>
        </w:tc>
        <w:tc>
          <w:tcPr>
            <w:tcW w:w="3192" w:type="dxa"/>
          </w:tcPr>
          <w:p w14:paraId="55F0E92B" w14:textId="7862B4ED" w:rsidR="00DF3D99" w:rsidRPr="00424500" w:rsidRDefault="00DF3D99" w:rsidP="00DF3D99">
            <w:r w:rsidRPr="00424500">
              <w:t>С неизвестна честота:</w:t>
            </w:r>
          </w:p>
        </w:tc>
        <w:tc>
          <w:tcPr>
            <w:tcW w:w="3192" w:type="dxa"/>
          </w:tcPr>
          <w:p w14:paraId="162DEDC4" w14:textId="7DC3E2FA" w:rsidR="00DF3D99" w:rsidRPr="00424500" w:rsidRDefault="00DF3D99" w:rsidP="00DF3D99">
            <w:r w:rsidRPr="00424500">
              <w:t xml:space="preserve">анемия, </w:t>
            </w:r>
            <w:proofErr w:type="spellStart"/>
            <w:r w:rsidRPr="00424500">
              <w:t>тромбоцитопения</w:t>
            </w:r>
            <w:proofErr w:type="spellEnd"/>
          </w:p>
        </w:tc>
      </w:tr>
      <w:tr w:rsidR="00DF3D99" w:rsidRPr="00424500" w14:paraId="48933B81" w14:textId="77777777" w:rsidTr="00DF3D99">
        <w:tc>
          <w:tcPr>
            <w:tcW w:w="3192" w:type="dxa"/>
            <w:vAlign w:val="bottom"/>
          </w:tcPr>
          <w:p w14:paraId="5E909375" w14:textId="5EE78CD3" w:rsidR="00DF3D99" w:rsidRPr="00424500" w:rsidRDefault="00DF3D99" w:rsidP="00DF3D99">
            <w:r w:rsidRPr="00424500">
              <w:t>Общи нарушения и ефекти на мястото на приложение:</w:t>
            </w:r>
          </w:p>
        </w:tc>
        <w:tc>
          <w:tcPr>
            <w:tcW w:w="3192" w:type="dxa"/>
          </w:tcPr>
          <w:p w14:paraId="6B75D6AE" w14:textId="74126C2A" w:rsidR="00DF3D99" w:rsidRPr="00424500" w:rsidRDefault="00DF3D99" w:rsidP="00DF3D99">
            <w:r w:rsidRPr="00424500">
              <w:t>Нечести:</w:t>
            </w:r>
          </w:p>
        </w:tc>
        <w:tc>
          <w:tcPr>
            <w:tcW w:w="3192" w:type="dxa"/>
          </w:tcPr>
          <w:p w14:paraId="22B9AF9F" w14:textId="01CC8E95" w:rsidR="00DF3D99" w:rsidRPr="00424500" w:rsidRDefault="00DF3D99" w:rsidP="00DF3D99">
            <w:r w:rsidRPr="00424500">
              <w:t>гръдна болка</w:t>
            </w:r>
          </w:p>
        </w:tc>
      </w:tr>
      <w:tr w:rsidR="00DF3D99" w:rsidRPr="00424500" w14:paraId="2D10CD56" w14:textId="77777777" w:rsidTr="00DF3D99">
        <w:tc>
          <w:tcPr>
            <w:tcW w:w="3192" w:type="dxa"/>
          </w:tcPr>
          <w:p w14:paraId="535EAE69" w14:textId="1F869F68" w:rsidR="00DF3D99" w:rsidRPr="00424500" w:rsidRDefault="00DF3D99" w:rsidP="00DF3D99">
            <w:r w:rsidRPr="00424500">
              <w:t>Нарушения на имунната система:</w:t>
            </w:r>
          </w:p>
        </w:tc>
        <w:tc>
          <w:tcPr>
            <w:tcW w:w="3192" w:type="dxa"/>
          </w:tcPr>
          <w:p w14:paraId="7255D738" w14:textId="0A9E11E2" w:rsidR="00DF3D99" w:rsidRPr="00424500" w:rsidRDefault="00DF3D99" w:rsidP="00DF3D99">
            <w:r w:rsidRPr="00424500">
              <w:t>С неизвестна честота:</w:t>
            </w:r>
          </w:p>
        </w:tc>
        <w:tc>
          <w:tcPr>
            <w:tcW w:w="3192" w:type="dxa"/>
            <w:vAlign w:val="bottom"/>
          </w:tcPr>
          <w:p w14:paraId="622E80D1" w14:textId="6D20BEF3" w:rsidR="00DF3D99" w:rsidRPr="00424500" w:rsidRDefault="00DF3D99" w:rsidP="00DF3D99">
            <w:proofErr w:type="spellStart"/>
            <w:r w:rsidRPr="00424500">
              <w:t>Анафилакгична</w:t>
            </w:r>
            <w:proofErr w:type="spellEnd"/>
            <w:r w:rsidRPr="00424500">
              <w:t xml:space="preserve"> реакция, включително </w:t>
            </w:r>
            <w:proofErr w:type="spellStart"/>
            <w:r w:rsidRPr="00424500">
              <w:t>анафилактичен</w:t>
            </w:r>
            <w:proofErr w:type="spellEnd"/>
            <w:r w:rsidRPr="00424500">
              <w:t xml:space="preserve"> шок</w:t>
            </w:r>
          </w:p>
        </w:tc>
      </w:tr>
      <w:tr w:rsidR="00DF3D99" w:rsidRPr="00424500" w14:paraId="74082AF7" w14:textId="77777777" w:rsidTr="00DF3D99">
        <w:tc>
          <w:tcPr>
            <w:tcW w:w="3192" w:type="dxa"/>
            <w:vAlign w:val="bottom"/>
          </w:tcPr>
          <w:p w14:paraId="78A215EF" w14:textId="1C4A64CB" w:rsidR="00DF3D99" w:rsidRPr="00424500" w:rsidRDefault="00DF3D99" w:rsidP="00DF3D99">
            <w:r w:rsidRPr="00424500">
              <w:t>Нарушения на метаболизма и храненето:</w:t>
            </w:r>
          </w:p>
        </w:tc>
        <w:tc>
          <w:tcPr>
            <w:tcW w:w="3192" w:type="dxa"/>
          </w:tcPr>
          <w:p w14:paraId="7D306CC7" w14:textId="6D09849A" w:rsidR="00DF3D99" w:rsidRPr="00424500" w:rsidRDefault="00DF3D99" w:rsidP="00DF3D99">
            <w:r w:rsidRPr="00424500">
              <w:t>С неизвестна честота:</w:t>
            </w:r>
          </w:p>
        </w:tc>
        <w:tc>
          <w:tcPr>
            <w:tcW w:w="3192" w:type="dxa"/>
          </w:tcPr>
          <w:p w14:paraId="45CA1158" w14:textId="21310561" w:rsidR="00DF3D99" w:rsidRPr="00424500" w:rsidRDefault="00DF3D99" w:rsidP="00DF3D99">
            <w:r w:rsidRPr="00424500">
              <w:t>хипогликемия</w:t>
            </w:r>
          </w:p>
        </w:tc>
      </w:tr>
    </w:tbl>
    <w:p w14:paraId="4B60FD7C" w14:textId="70A81069" w:rsidR="00DF3D99" w:rsidRPr="00424500" w:rsidRDefault="00DF3D99" w:rsidP="00DF3D99"/>
    <w:tbl>
      <w:tblPr>
        <w:tblStyle w:val="TableGrid"/>
        <w:tblW w:w="0" w:type="auto"/>
        <w:tblLook w:val="04A0" w:firstRow="1" w:lastRow="0" w:firstColumn="1" w:lastColumn="0" w:noHBand="0" w:noVBand="1"/>
      </w:tblPr>
      <w:tblGrid>
        <w:gridCol w:w="3083"/>
        <w:gridCol w:w="3020"/>
        <w:gridCol w:w="3247"/>
      </w:tblGrid>
      <w:tr w:rsidR="00DF3D99" w:rsidRPr="00424500" w14:paraId="7A976D15" w14:textId="77777777" w:rsidTr="00DF3D99">
        <w:tc>
          <w:tcPr>
            <w:tcW w:w="9576" w:type="dxa"/>
            <w:gridSpan w:val="3"/>
            <w:vAlign w:val="bottom"/>
          </w:tcPr>
          <w:p w14:paraId="1D590166" w14:textId="323CD20F" w:rsidR="00DF3D99" w:rsidRPr="00424500" w:rsidRDefault="00DF3D99" w:rsidP="00DF3D99">
            <w:pPr>
              <w:rPr>
                <w:b/>
              </w:rPr>
            </w:pPr>
            <w:r w:rsidRPr="00424500">
              <w:rPr>
                <w:b/>
                <w:bCs/>
              </w:rPr>
              <w:t xml:space="preserve">Таблица </w:t>
            </w:r>
            <w:r w:rsidRPr="00424500">
              <w:rPr>
                <w:b/>
              </w:rPr>
              <w:t xml:space="preserve">3: Нежелани реакции съобщени при самостоятелна употреба на </w:t>
            </w:r>
            <w:r w:rsidRPr="00424500">
              <w:rPr>
                <w:b/>
                <w:bCs/>
              </w:rPr>
              <w:t>хидрохлоротиазид</w:t>
            </w:r>
          </w:p>
        </w:tc>
      </w:tr>
      <w:tr w:rsidR="00DF3D99" w:rsidRPr="00424500" w14:paraId="002C1BEF" w14:textId="77777777" w:rsidTr="00DF3D99">
        <w:tc>
          <w:tcPr>
            <w:tcW w:w="3166" w:type="dxa"/>
          </w:tcPr>
          <w:p w14:paraId="1E40C654" w14:textId="083579AD" w:rsidR="00DF3D99" w:rsidRPr="00424500" w:rsidRDefault="00DF3D99" w:rsidP="00DF3D99">
            <w:r w:rsidRPr="00424500">
              <w:rPr>
                <w:i/>
                <w:iCs/>
                <w:szCs w:val="18"/>
              </w:rPr>
              <w:t>Изследвания:</w:t>
            </w:r>
          </w:p>
        </w:tc>
        <w:tc>
          <w:tcPr>
            <w:tcW w:w="3163" w:type="dxa"/>
          </w:tcPr>
          <w:p w14:paraId="36053632" w14:textId="06899C85" w:rsidR="00DF3D99" w:rsidRPr="00424500" w:rsidRDefault="00DF3D99" w:rsidP="00DF3D99">
            <w:r w:rsidRPr="00424500">
              <w:rPr>
                <w:szCs w:val="18"/>
              </w:rPr>
              <w:t>С неизвестна честота:</w:t>
            </w:r>
          </w:p>
        </w:tc>
        <w:tc>
          <w:tcPr>
            <w:tcW w:w="3247" w:type="dxa"/>
            <w:vAlign w:val="bottom"/>
          </w:tcPr>
          <w:p w14:paraId="00FCE00E" w14:textId="68465668" w:rsidR="00DF3D99" w:rsidRPr="00424500" w:rsidRDefault="00DF3D99" w:rsidP="00DF3D99">
            <w:r w:rsidRPr="00424500">
              <w:rPr>
                <w:szCs w:val="18"/>
              </w:rPr>
              <w:t xml:space="preserve">нарушение на електролитния баланс (включително хипокалиемия и </w:t>
            </w:r>
            <w:proofErr w:type="spellStart"/>
            <w:r w:rsidRPr="00424500">
              <w:rPr>
                <w:szCs w:val="18"/>
              </w:rPr>
              <w:t>хипонатриемия</w:t>
            </w:r>
            <w:proofErr w:type="spellEnd"/>
            <w:r w:rsidRPr="00424500">
              <w:rPr>
                <w:szCs w:val="18"/>
              </w:rPr>
              <w:t xml:space="preserve">, вж. точка 4.4), </w:t>
            </w:r>
            <w:proofErr w:type="spellStart"/>
            <w:r w:rsidRPr="00424500">
              <w:rPr>
                <w:szCs w:val="18"/>
              </w:rPr>
              <w:t>хиперурикемия</w:t>
            </w:r>
            <w:proofErr w:type="spellEnd"/>
            <w:r w:rsidRPr="00424500">
              <w:rPr>
                <w:szCs w:val="18"/>
              </w:rPr>
              <w:t xml:space="preserve">, </w:t>
            </w:r>
            <w:proofErr w:type="spellStart"/>
            <w:r w:rsidRPr="00424500">
              <w:rPr>
                <w:szCs w:val="18"/>
              </w:rPr>
              <w:t>глюкозурия</w:t>
            </w:r>
            <w:proofErr w:type="spellEnd"/>
            <w:r w:rsidRPr="00424500">
              <w:rPr>
                <w:szCs w:val="18"/>
              </w:rPr>
              <w:t xml:space="preserve">, хипергликемия, повишение на холестерола и </w:t>
            </w:r>
            <w:proofErr w:type="spellStart"/>
            <w:r w:rsidRPr="00424500">
              <w:rPr>
                <w:szCs w:val="18"/>
              </w:rPr>
              <w:t>триглицеридите</w:t>
            </w:r>
            <w:proofErr w:type="spellEnd"/>
          </w:p>
        </w:tc>
      </w:tr>
      <w:tr w:rsidR="00DF3D99" w:rsidRPr="00424500" w14:paraId="410C8D49" w14:textId="77777777" w:rsidTr="00DF3D99">
        <w:tc>
          <w:tcPr>
            <w:tcW w:w="3166" w:type="dxa"/>
          </w:tcPr>
          <w:p w14:paraId="37383EB2" w14:textId="6D6DC78B" w:rsidR="00DF3D99" w:rsidRPr="00424500" w:rsidRDefault="00DF3D99" w:rsidP="00DF3D99">
            <w:r w:rsidRPr="00424500">
              <w:rPr>
                <w:i/>
                <w:iCs/>
                <w:szCs w:val="18"/>
              </w:rPr>
              <w:t>Сърдечни нарушения:</w:t>
            </w:r>
          </w:p>
        </w:tc>
        <w:tc>
          <w:tcPr>
            <w:tcW w:w="3163" w:type="dxa"/>
            <w:vAlign w:val="bottom"/>
          </w:tcPr>
          <w:p w14:paraId="03CA11B6" w14:textId="278D11B0" w:rsidR="00DF3D99" w:rsidRPr="00424500" w:rsidRDefault="00DF3D99" w:rsidP="00DF3D99">
            <w:r w:rsidRPr="00424500">
              <w:rPr>
                <w:szCs w:val="18"/>
              </w:rPr>
              <w:t>С неизвестна честота:</w:t>
            </w:r>
          </w:p>
        </w:tc>
        <w:tc>
          <w:tcPr>
            <w:tcW w:w="3247" w:type="dxa"/>
          </w:tcPr>
          <w:p w14:paraId="7A16356D" w14:textId="69EC5FE2" w:rsidR="00DF3D99" w:rsidRPr="00424500" w:rsidRDefault="00DF3D99" w:rsidP="00DF3D99">
            <w:r w:rsidRPr="00424500">
              <w:rPr>
                <w:szCs w:val="18"/>
              </w:rPr>
              <w:t>сърдечни аритмии</w:t>
            </w:r>
          </w:p>
        </w:tc>
      </w:tr>
      <w:tr w:rsidR="00DF3D99" w:rsidRPr="00424500" w14:paraId="7A9D0F33" w14:textId="77777777" w:rsidTr="00DF3D99">
        <w:tc>
          <w:tcPr>
            <w:tcW w:w="3166" w:type="dxa"/>
          </w:tcPr>
          <w:p w14:paraId="1994F892" w14:textId="2C273DDD" w:rsidR="00DF3D99" w:rsidRPr="00424500" w:rsidRDefault="00DF3D99" w:rsidP="00DF3D99">
            <w:r w:rsidRPr="00424500">
              <w:rPr>
                <w:i/>
                <w:iCs/>
                <w:szCs w:val="18"/>
              </w:rPr>
              <w:t>Нарушения на кръвта и лимфната система:</w:t>
            </w:r>
          </w:p>
        </w:tc>
        <w:tc>
          <w:tcPr>
            <w:tcW w:w="3163" w:type="dxa"/>
          </w:tcPr>
          <w:p w14:paraId="0310C4B8" w14:textId="787D1C2D" w:rsidR="00DF3D99" w:rsidRPr="00424500" w:rsidRDefault="00DF3D99" w:rsidP="00DF3D99">
            <w:r w:rsidRPr="00424500">
              <w:rPr>
                <w:szCs w:val="18"/>
              </w:rPr>
              <w:t>С неизвестна честота:</w:t>
            </w:r>
          </w:p>
        </w:tc>
        <w:tc>
          <w:tcPr>
            <w:tcW w:w="3247" w:type="dxa"/>
            <w:vAlign w:val="bottom"/>
          </w:tcPr>
          <w:p w14:paraId="35578BDB" w14:textId="72AEE2D4" w:rsidR="00DF3D99" w:rsidRPr="00424500" w:rsidRDefault="00DF3D99" w:rsidP="00DF3D99">
            <w:proofErr w:type="spellStart"/>
            <w:r w:rsidRPr="00424500">
              <w:rPr>
                <w:szCs w:val="18"/>
              </w:rPr>
              <w:t>апластична</w:t>
            </w:r>
            <w:proofErr w:type="spellEnd"/>
            <w:r w:rsidRPr="00424500">
              <w:rPr>
                <w:szCs w:val="18"/>
              </w:rPr>
              <w:t xml:space="preserve"> анемия, потискане на костния мозък, </w:t>
            </w:r>
            <w:proofErr w:type="spellStart"/>
            <w:r w:rsidRPr="00424500">
              <w:rPr>
                <w:szCs w:val="18"/>
              </w:rPr>
              <w:t>неутропения</w:t>
            </w:r>
            <w:proofErr w:type="spellEnd"/>
            <w:r w:rsidRPr="00424500">
              <w:rPr>
                <w:szCs w:val="18"/>
              </w:rPr>
              <w:t>/</w:t>
            </w:r>
            <w:proofErr w:type="spellStart"/>
            <w:r w:rsidRPr="00424500">
              <w:rPr>
                <w:szCs w:val="18"/>
              </w:rPr>
              <w:t>агранулоцигоза</w:t>
            </w:r>
            <w:proofErr w:type="spellEnd"/>
            <w:r w:rsidRPr="00424500">
              <w:rPr>
                <w:szCs w:val="18"/>
              </w:rPr>
              <w:t xml:space="preserve">, </w:t>
            </w:r>
            <w:proofErr w:type="spellStart"/>
            <w:r w:rsidRPr="00424500">
              <w:rPr>
                <w:szCs w:val="18"/>
              </w:rPr>
              <w:t>хемолитична</w:t>
            </w:r>
            <w:proofErr w:type="spellEnd"/>
            <w:r w:rsidRPr="00424500">
              <w:rPr>
                <w:szCs w:val="18"/>
              </w:rPr>
              <w:t xml:space="preserve"> анемия, </w:t>
            </w:r>
            <w:proofErr w:type="spellStart"/>
            <w:r w:rsidRPr="00424500">
              <w:rPr>
                <w:szCs w:val="18"/>
              </w:rPr>
              <w:t>левкопения</w:t>
            </w:r>
            <w:proofErr w:type="spellEnd"/>
            <w:r w:rsidRPr="00424500">
              <w:rPr>
                <w:szCs w:val="18"/>
              </w:rPr>
              <w:t xml:space="preserve">, </w:t>
            </w:r>
            <w:proofErr w:type="spellStart"/>
            <w:r w:rsidRPr="00424500">
              <w:rPr>
                <w:szCs w:val="18"/>
              </w:rPr>
              <w:t>тромбоцитопения</w:t>
            </w:r>
            <w:proofErr w:type="spellEnd"/>
          </w:p>
        </w:tc>
      </w:tr>
      <w:tr w:rsidR="00DF3D99" w:rsidRPr="00424500" w14:paraId="717574ED" w14:textId="77777777" w:rsidTr="00DF3D99">
        <w:tc>
          <w:tcPr>
            <w:tcW w:w="3166" w:type="dxa"/>
            <w:vAlign w:val="bottom"/>
          </w:tcPr>
          <w:p w14:paraId="765D02AC" w14:textId="3A40E237" w:rsidR="00DF3D99" w:rsidRPr="00424500" w:rsidRDefault="00DF3D99" w:rsidP="00DF3D99">
            <w:r w:rsidRPr="00424500">
              <w:rPr>
                <w:i/>
                <w:iCs/>
                <w:szCs w:val="18"/>
              </w:rPr>
              <w:t>Нарушения на нервната система:</w:t>
            </w:r>
          </w:p>
        </w:tc>
        <w:tc>
          <w:tcPr>
            <w:tcW w:w="3163" w:type="dxa"/>
            <w:vAlign w:val="bottom"/>
          </w:tcPr>
          <w:p w14:paraId="693C7718" w14:textId="663333EA" w:rsidR="00DF3D99" w:rsidRPr="00424500" w:rsidRDefault="00DF3D99" w:rsidP="00DF3D99">
            <w:r w:rsidRPr="00424500">
              <w:rPr>
                <w:szCs w:val="18"/>
              </w:rPr>
              <w:t>С неизвестна честота:</w:t>
            </w:r>
          </w:p>
        </w:tc>
        <w:tc>
          <w:tcPr>
            <w:tcW w:w="3247" w:type="dxa"/>
            <w:vAlign w:val="bottom"/>
          </w:tcPr>
          <w:p w14:paraId="4FB1C23D" w14:textId="555B9357" w:rsidR="00DF3D99" w:rsidRPr="00424500" w:rsidRDefault="00DF3D99" w:rsidP="00DF3D99">
            <w:proofErr w:type="spellStart"/>
            <w:r w:rsidRPr="00424500">
              <w:rPr>
                <w:szCs w:val="18"/>
              </w:rPr>
              <w:t>вертиго</w:t>
            </w:r>
            <w:proofErr w:type="spellEnd"/>
            <w:r w:rsidRPr="00424500">
              <w:rPr>
                <w:szCs w:val="18"/>
              </w:rPr>
              <w:t xml:space="preserve">, </w:t>
            </w:r>
            <w:proofErr w:type="spellStart"/>
            <w:r w:rsidRPr="00424500">
              <w:rPr>
                <w:szCs w:val="18"/>
              </w:rPr>
              <w:t>парестезия</w:t>
            </w:r>
            <w:proofErr w:type="spellEnd"/>
            <w:r w:rsidRPr="00424500">
              <w:rPr>
                <w:szCs w:val="18"/>
              </w:rPr>
              <w:t>, замаяност, безпокойство</w:t>
            </w:r>
          </w:p>
        </w:tc>
      </w:tr>
      <w:tr w:rsidR="00DF3D99" w:rsidRPr="00424500" w14:paraId="63073275" w14:textId="77777777" w:rsidTr="00DF3D99">
        <w:tc>
          <w:tcPr>
            <w:tcW w:w="3166" w:type="dxa"/>
          </w:tcPr>
          <w:p w14:paraId="42138EF9" w14:textId="353049B2" w:rsidR="00DF3D99" w:rsidRPr="00424500" w:rsidRDefault="00DF3D99" w:rsidP="00DF3D99">
            <w:r w:rsidRPr="00424500">
              <w:rPr>
                <w:i/>
                <w:iCs/>
                <w:szCs w:val="18"/>
              </w:rPr>
              <w:t>Нарушения на очите:</w:t>
            </w:r>
          </w:p>
        </w:tc>
        <w:tc>
          <w:tcPr>
            <w:tcW w:w="3163" w:type="dxa"/>
          </w:tcPr>
          <w:p w14:paraId="0360CF70" w14:textId="18880A62" w:rsidR="00DF3D99" w:rsidRPr="00424500" w:rsidRDefault="00DF3D99" w:rsidP="00DF3D99">
            <w:r w:rsidRPr="00424500">
              <w:rPr>
                <w:szCs w:val="18"/>
              </w:rPr>
              <w:t>С неизвестна честота:</w:t>
            </w:r>
          </w:p>
        </w:tc>
        <w:tc>
          <w:tcPr>
            <w:tcW w:w="3247" w:type="dxa"/>
            <w:vAlign w:val="bottom"/>
          </w:tcPr>
          <w:p w14:paraId="34029B29" w14:textId="3603077A" w:rsidR="00DF3D99" w:rsidRPr="00424500" w:rsidRDefault="00DF3D99" w:rsidP="00DF3D99">
            <w:r w:rsidRPr="00424500">
              <w:rPr>
                <w:szCs w:val="18"/>
              </w:rPr>
              <w:t xml:space="preserve">преходно замъглено виждане, </w:t>
            </w:r>
            <w:proofErr w:type="spellStart"/>
            <w:r w:rsidRPr="00424500">
              <w:rPr>
                <w:szCs w:val="18"/>
              </w:rPr>
              <w:t>ксантопсия</w:t>
            </w:r>
            <w:proofErr w:type="spellEnd"/>
            <w:r w:rsidRPr="00424500">
              <w:rPr>
                <w:szCs w:val="18"/>
              </w:rPr>
              <w:t xml:space="preserve">, остра </w:t>
            </w:r>
            <w:proofErr w:type="spellStart"/>
            <w:r w:rsidRPr="00424500">
              <w:rPr>
                <w:szCs w:val="18"/>
              </w:rPr>
              <w:t>миопия</w:t>
            </w:r>
            <w:proofErr w:type="spellEnd"/>
            <w:r w:rsidRPr="00424500">
              <w:rPr>
                <w:szCs w:val="18"/>
              </w:rPr>
              <w:t xml:space="preserve">, вторична остра </w:t>
            </w:r>
            <w:proofErr w:type="spellStart"/>
            <w:r w:rsidRPr="00424500">
              <w:rPr>
                <w:szCs w:val="18"/>
              </w:rPr>
              <w:t>закритоъгълна</w:t>
            </w:r>
            <w:proofErr w:type="spellEnd"/>
            <w:r w:rsidRPr="00424500">
              <w:rPr>
                <w:szCs w:val="18"/>
              </w:rPr>
              <w:t xml:space="preserve"> глаукома, </w:t>
            </w:r>
            <w:proofErr w:type="spellStart"/>
            <w:r w:rsidRPr="00424500">
              <w:rPr>
                <w:szCs w:val="18"/>
              </w:rPr>
              <w:t>хороидален</w:t>
            </w:r>
            <w:proofErr w:type="spellEnd"/>
            <w:r w:rsidRPr="00424500">
              <w:rPr>
                <w:szCs w:val="18"/>
              </w:rPr>
              <w:t xml:space="preserve"> излив</w:t>
            </w:r>
          </w:p>
        </w:tc>
      </w:tr>
      <w:tr w:rsidR="00DF3D99" w:rsidRPr="00424500" w14:paraId="325F2EDE" w14:textId="77777777" w:rsidTr="00DF3D99">
        <w:tc>
          <w:tcPr>
            <w:tcW w:w="3166" w:type="dxa"/>
            <w:vAlign w:val="bottom"/>
          </w:tcPr>
          <w:p w14:paraId="2627A60C" w14:textId="5033EF35" w:rsidR="00DF3D99" w:rsidRPr="00424500" w:rsidRDefault="00DF3D99" w:rsidP="00DF3D99">
            <w:r w:rsidRPr="00424500">
              <w:rPr>
                <w:i/>
                <w:iCs/>
                <w:szCs w:val="18"/>
              </w:rPr>
              <w:lastRenderedPageBreak/>
              <w:t xml:space="preserve">Респираторни, гръдни и </w:t>
            </w:r>
            <w:proofErr w:type="spellStart"/>
            <w:r w:rsidRPr="00424500">
              <w:rPr>
                <w:i/>
                <w:iCs/>
                <w:szCs w:val="18"/>
              </w:rPr>
              <w:t>медиастинални</w:t>
            </w:r>
            <w:proofErr w:type="spellEnd"/>
            <w:r w:rsidRPr="00424500">
              <w:rPr>
                <w:i/>
                <w:iCs/>
                <w:szCs w:val="18"/>
              </w:rPr>
              <w:t xml:space="preserve"> нарушения:</w:t>
            </w:r>
          </w:p>
        </w:tc>
        <w:tc>
          <w:tcPr>
            <w:tcW w:w="3163" w:type="dxa"/>
            <w:vAlign w:val="bottom"/>
          </w:tcPr>
          <w:p w14:paraId="5A19D148" w14:textId="736C976C" w:rsidR="00DF3D99" w:rsidRPr="00424500" w:rsidRDefault="00DF3D99" w:rsidP="00DF3D99">
            <w:r w:rsidRPr="00424500">
              <w:rPr>
                <w:szCs w:val="18"/>
              </w:rPr>
              <w:t>С неизвестна честота:</w:t>
            </w:r>
          </w:p>
        </w:tc>
        <w:tc>
          <w:tcPr>
            <w:tcW w:w="3247" w:type="dxa"/>
            <w:vAlign w:val="bottom"/>
          </w:tcPr>
          <w:p w14:paraId="2B7E9677" w14:textId="27F9FBE7" w:rsidR="00DF3D99" w:rsidRPr="00424500" w:rsidRDefault="00DF3D99" w:rsidP="00DF3D99">
            <w:r w:rsidRPr="00424500">
              <w:rPr>
                <w:szCs w:val="18"/>
              </w:rPr>
              <w:t xml:space="preserve">респираторен </w:t>
            </w:r>
            <w:proofErr w:type="spellStart"/>
            <w:r w:rsidRPr="00424500">
              <w:rPr>
                <w:szCs w:val="18"/>
              </w:rPr>
              <w:t>дистрес</w:t>
            </w:r>
            <w:proofErr w:type="spellEnd"/>
            <w:r w:rsidRPr="00424500">
              <w:rPr>
                <w:szCs w:val="18"/>
              </w:rPr>
              <w:t xml:space="preserve"> (включително </w:t>
            </w:r>
            <w:proofErr w:type="spellStart"/>
            <w:r w:rsidRPr="00424500">
              <w:rPr>
                <w:szCs w:val="18"/>
              </w:rPr>
              <w:t>пневмонит</w:t>
            </w:r>
            <w:proofErr w:type="spellEnd"/>
            <w:r w:rsidRPr="00424500">
              <w:rPr>
                <w:szCs w:val="18"/>
              </w:rPr>
              <w:t xml:space="preserve"> и белодробен оток)</w:t>
            </w:r>
          </w:p>
        </w:tc>
      </w:tr>
      <w:tr w:rsidR="00DF3D99" w:rsidRPr="00424500" w14:paraId="057E8941" w14:textId="77777777" w:rsidTr="00DF3D99">
        <w:tc>
          <w:tcPr>
            <w:tcW w:w="3166" w:type="dxa"/>
          </w:tcPr>
          <w:p w14:paraId="0895DA1C" w14:textId="3C419586" w:rsidR="00DF3D99" w:rsidRPr="00424500" w:rsidRDefault="00DF3D99" w:rsidP="00DF3D99">
            <w:r w:rsidRPr="00424500">
              <w:rPr>
                <w:i/>
                <w:iCs/>
                <w:szCs w:val="18"/>
              </w:rPr>
              <w:t>Стомашно-чревни нарушения:</w:t>
            </w:r>
          </w:p>
        </w:tc>
        <w:tc>
          <w:tcPr>
            <w:tcW w:w="3163" w:type="dxa"/>
          </w:tcPr>
          <w:p w14:paraId="77DD2761" w14:textId="3B120FE5" w:rsidR="00DF3D99" w:rsidRPr="00424500" w:rsidRDefault="00DF3D99" w:rsidP="00DF3D99">
            <w:r w:rsidRPr="00424500">
              <w:rPr>
                <w:szCs w:val="18"/>
              </w:rPr>
              <w:t>С неизвестна честота:</w:t>
            </w:r>
          </w:p>
        </w:tc>
        <w:tc>
          <w:tcPr>
            <w:tcW w:w="3247" w:type="dxa"/>
            <w:vAlign w:val="bottom"/>
          </w:tcPr>
          <w:p w14:paraId="7A3CB1D1" w14:textId="3EF89258" w:rsidR="00DF3D99" w:rsidRPr="00424500" w:rsidRDefault="00DF3D99" w:rsidP="00DF3D99">
            <w:proofErr w:type="spellStart"/>
            <w:r w:rsidRPr="00424500">
              <w:rPr>
                <w:szCs w:val="18"/>
              </w:rPr>
              <w:t>панкреатит</w:t>
            </w:r>
            <w:proofErr w:type="spellEnd"/>
            <w:r w:rsidRPr="00424500">
              <w:rPr>
                <w:szCs w:val="18"/>
              </w:rPr>
              <w:t xml:space="preserve">, анорексия, диария, запек, стомашно дразнене, </w:t>
            </w:r>
            <w:proofErr w:type="spellStart"/>
            <w:r w:rsidRPr="00424500">
              <w:rPr>
                <w:szCs w:val="18"/>
              </w:rPr>
              <w:t>сиалоадснит</w:t>
            </w:r>
            <w:proofErr w:type="spellEnd"/>
            <w:r w:rsidRPr="00424500">
              <w:rPr>
                <w:szCs w:val="18"/>
              </w:rPr>
              <w:t>, загуба на апетит</w:t>
            </w:r>
          </w:p>
        </w:tc>
      </w:tr>
      <w:tr w:rsidR="00DF3D99" w:rsidRPr="00424500" w14:paraId="0F312819" w14:textId="77777777" w:rsidTr="00DF3D99">
        <w:tc>
          <w:tcPr>
            <w:tcW w:w="3166" w:type="dxa"/>
            <w:vAlign w:val="bottom"/>
          </w:tcPr>
          <w:p w14:paraId="62642C7F" w14:textId="6112FEC0" w:rsidR="00DF3D99" w:rsidRPr="00424500" w:rsidRDefault="00DF3D99" w:rsidP="00DF3D99">
            <w:r w:rsidRPr="00424500">
              <w:rPr>
                <w:i/>
                <w:iCs/>
                <w:szCs w:val="18"/>
              </w:rPr>
              <w:t>Нарушения на бъбреците и пикочните пътища:</w:t>
            </w:r>
          </w:p>
        </w:tc>
        <w:tc>
          <w:tcPr>
            <w:tcW w:w="3163" w:type="dxa"/>
            <w:vAlign w:val="bottom"/>
          </w:tcPr>
          <w:p w14:paraId="380BF295" w14:textId="30C40236" w:rsidR="00DF3D99" w:rsidRPr="00424500" w:rsidRDefault="00DF3D99" w:rsidP="00DF3D99">
            <w:r w:rsidRPr="00424500">
              <w:rPr>
                <w:szCs w:val="18"/>
              </w:rPr>
              <w:t>С неизвестна честота:</w:t>
            </w:r>
          </w:p>
        </w:tc>
        <w:tc>
          <w:tcPr>
            <w:tcW w:w="3247" w:type="dxa"/>
            <w:vAlign w:val="bottom"/>
          </w:tcPr>
          <w:p w14:paraId="3D660DEE" w14:textId="6A95B21F" w:rsidR="00DF3D99" w:rsidRPr="00424500" w:rsidRDefault="00DF3D99" w:rsidP="00DF3D99">
            <w:proofErr w:type="spellStart"/>
            <w:r w:rsidRPr="00424500">
              <w:rPr>
                <w:szCs w:val="18"/>
              </w:rPr>
              <w:t>интерстициален</w:t>
            </w:r>
            <w:proofErr w:type="spellEnd"/>
            <w:r w:rsidRPr="00424500">
              <w:rPr>
                <w:szCs w:val="18"/>
              </w:rPr>
              <w:t xml:space="preserve"> нефрит, бъбречна дисфункция</w:t>
            </w:r>
          </w:p>
        </w:tc>
      </w:tr>
      <w:tr w:rsidR="00DF3D99" w:rsidRPr="00424500" w14:paraId="0B88FFF5" w14:textId="77777777" w:rsidTr="00DF3D99">
        <w:tc>
          <w:tcPr>
            <w:tcW w:w="3166" w:type="dxa"/>
          </w:tcPr>
          <w:p w14:paraId="6BDC093E" w14:textId="0BDF4DAB" w:rsidR="00DF3D99" w:rsidRPr="00424500" w:rsidRDefault="00DF3D99" w:rsidP="00DF3D99">
            <w:r w:rsidRPr="00424500">
              <w:rPr>
                <w:i/>
                <w:iCs/>
                <w:szCs w:val="18"/>
              </w:rPr>
              <w:t>Нарушения на кожата и подкожната тъкан:</w:t>
            </w:r>
          </w:p>
        </w:tc>
        <w:tc>
          <w:tcPr>
            <w:tcW w:w="3163" w:type="dxa"/>
          </w:tcPr>
          <w:p w14:paraId="735B7845" w14:textId="10B35D02" w:rsidR="00DF3D99" w:rsidRPr="00424500" w:rsidRDefault="00DF3D99" w:rsidP="00DF3D99">
            <w:r w:rsidRPr="00424500">
              <w:rPr>
                <w:szCs w:val="18"/>
              </w:rPr>
              <w:t>С неизвестна честота:</w:t>
            </w:r>
          </w:p>
        </w:tc>
        <w:tc>
          <w:tcPr>
            <w:tcW w:w="3247" w:type="dxa"/>
            <w:vAlign w:val="bottom"/>
          </w:tcPr>
          <w:p w14:paraId="1721ECE0" w14:textId="4C03DEEE" w:rsidR="00DF3D99" w:rsidRPr="00424500" w:rsidRDefault="00DF3D99" w:rsidP="00DF3D99">
            <w:proofErr w:type="spellStart"/>
            <w:r w:rsidRPr="00424500">
              <w:rPr>
                <w:szCs w:val="18"/>
              </w:rPr>
              <w:t>анафилактични</w:t>
            </w:r>
            <w:proofErr w:type="spellEnd"/>
            <w:r w:rsidRPr="00424500">
              <w:rPr>
                <w:szCs w:val="18"/>
              </w:rPr>
              <w:t xml:space="preserve"> реакции, токсична епидермална </w:t>
            </w:r>
            <w:proofErr w:type="spellStart"/>
            <w:r w:rsidRPr="00424500">
              <w:rPr>
                <w:szCs w:val="18"/>
              </w:rPr>
              <w:t>некролиза</w:t>
            </w:r>
            <w:proofErr w:type="spellEnd"/>
            <w:r w:rsidRPr="00424500">
              <w:rPr>
                <w:szCs w:val="18"/>
              </w:rPr>
              <w:t xml:space="preserve">, </w:t>
            </w:r>
            <w:proofErr w:type="spellStart"/>
            <w:r w:rsidRPr="00424500">
              <w:rPr>
                <w:szCs w:val="18"/>
              </w:rPr>
              <w:t>некротизиращ</w:t>
            </w:r>
            <w:proofErr w:type="spellEnd"/>
            <w:r w:rsidRPr="00424500">
              <w:rPr>
                <w:szCs w:val="18"/>
              </w:rPr>
              <w:t xml:space="preserve"> </w:t>
            </w:r>
            <w:proofErr w:type="spellStart"/>
            <w:r w:rsidRPr="00424500">
              <w:rPr>
                <w:szCs w:val="18"/>
              </w:rPr>
              <w:t>ангиит</w:t>
            </w:r>
            <w:proofErr w:type="spellEnd"/>
            <w:r w:rsidRPr="00424500">
              <w:rPr>
                <w:szCs w:val="18"/>
              </w:rPr>
              <w:t xml:space="preserve"> (</w:t>
            </w:r>
            <w:proofErr w:type="spellStart"/>
            <w:r w:rsidRPr="00424500">
              <w:rPr>
                <w:szCs w:val="18"/>
              </w:rPr>
              <w:t>васкулит</w:t>
            </w:r>
            <w:proofErr w:type="spellEnd"/>
            <w:r w:rsidRPr="00424500">
              <w:rPr>
                <w:szCs w:val="18"/>
              </w:rPr>
              <w:t xml:space="preserve">, кожен </w:t>
            </w:r>
            <w:proofErr w:type="spellStart"/>
            <w:r w:rsidRPr="00424500">
              <w:rPr>
                <w:szCs w:val="18"/>
              </w:rPr>
              <w:t>васкулит</w:t>
            </w:r>
            <w:proofErr w:type="spellEnd"/>
            <w:r w:rsidRPr="00424500">
              <w:rPr>
                <w:szCs w:val="18"/>
              </w:rPr>
              <w:t xml:space="preserve">), кожни </w:t>
            </w:r>
            <w:proofErr w:type="spellStart"/>
            <w:r w:rsidRPr="00424500">
              <w:rPr>
                <w:szCs w:val="18"/>
              </w:rPr>
              <w:t>лупус</w:t>
            </w:r>
            <w:proofErr w:type="spellEnd"/>
            <w:r w:rsidRPr="00424500">
              <w:rPr>
                <w:szCs w:val="18"/>
              </w:rPr>
              <w:t xml:space="preserve"> еритематодес-подобни реакции, </w:t>
            </w:r>
            <w:proofErr w:type="spellStart"/>
            <w:r w:rsidRPr="00424500">
              <w:rPr>
                <w:szCs w:val="18"/>
              </w:rPr>
              <w:t>реакгивиране</w:t>
            </w:r>
            <w:proofErr w:type="spellEnd"/>
            <w:r w:rsidRPr="00424500">
              <w:rPr>
                <w:szCs w:val="18"/>
              </w:rPr>
              <w:t xml:space="preserve"> на кожен </w:t>
            </w:r>
            <w:proofErr w:type="spellStart"/>
            <w:r w:rsidRPr="00424500">
              <w:rPr>
                <w:szCs w:val="18"/>
              </w:rPr>
              <w:t>лупус</w:t>
            </w:r>
            <w:proofErr w:type="spellEnd"/>
            <w:r w:rsidRPr="00424500">
              <w:rPr>
                <w:szCs w:val="18"/>
              </w:rPr>
              <w:t xml:space="preserve"> еритематодес, фоточувствителни реакции, обрив, уртикария</w:t>
            </w:r>
          </w:p>
        </w:tc>
      </w:tr>
      <w:tr w:rsidR="00DF3D99" w:rsidRPr="00424500" w14:paraId="533B9E3F" w14:textId="77777777" w:rsidTr="00DF3D99">
        <w:tc>
          <w:tcPr>
            <w:tcW w:w="3166" w:type="dxa"/>
            <w:vAlign w:val="bottom"/>
          </w:tcPr>
          <w:p w14:paraId="21CFFE6C" w14:textId="4B8C3C0F" w:rsidR="00DF3D99" w:rsidRPr="00424500" w:rsidRDefault="00DF3D99" w:rsidP="00DF3D99">
            <w:r w:rsidRPr="00424500">
              <w:rPr>
                <w:i/>
                <w:iCs/>
                <w:szCs w:val="18"/>
              </w:rPr>
              <w:t>Нарушения на мускулно- скелетната система и съединителната тъкан:</w:t>
            </w:r>
          </w:p>
        </w:tc>
        <w:tc>
          <w:tcPr>
            <w:tcW w:w="3163" w:type="dxa"/>
          </w:tcPr>
          <w:p w14:paraId="4360335A" w14:textId="5DE8DEFE" w:rsidR="00DF3D99" w:rsidRPr="00424500" w:rsidRDefault="00DF3D99" w:rsidP="00DF3D99">
            <w:r w:rsidRPr="00424500">
              <w:rPr>
                <w:szCs w:val="18"/>
              </w:rPr>
              <w:t>С неизвестна честота:</w:t>
            </w:r>
          </w:p>
        </w:tc>
        <w:tc>
          <w:tcPr>
            <w:tcW w:w="3247" w:type="dxa"/>
          </w:tcPr>
          <w:p w14:paraId="5C9ECD6C" w14:textId="49BFA46B" w:rsidR="00DF3D99" w:rsidRPr="00424500" w:rsidRDefault="00DF3D99" w:rsidP="00DF3D99">
            <w:r w:rsidRPr="00424500">
              <w:rPr>
                <w:szCs w:val="18"/>
              </w:rPr>
              <w:t>слабост, мускулен спазъм</w:t>
            </w:r>
          </w:p>
        </w:tc>
      </w:tr>
      <w:tr w:rsidR="00DF3D99" w:rsidRPr="00424500" w14:paraId="555B77F4" w14:textId="77777777" w:rsidTr="00DF3D99">
        <w:tc>
          <w:tcPr>
            <w:tcW w:w="3166" w:type="dxa"/>
          </w:tcPr>
          <w:p w14:paraId="3132B3F3" w14:textId="58137729" w:rsidR="00DF3D99" w:rsidRPr="00424500" w:rsidRDefault="00DF3D99" w:rsidP="00DF3D99">
            <w:r w:rsidRPr="00424500">
              <w:rPr>
                <w:i/>
                <w:iCs/>
                <w:szCs w:val="18"/>
              </w:rPr>
              <w:t>Съдови нарушения:</w:t>
            </w:r>
          </w:p>
        </w:tc>
        <w:tc>
          <w:tcPr>
            <w:tcW w:w="3163" w:type="dxa"/>
            <w:vAlign w:val="bottom"/>
          </w:tcPr>
          <w:p w14:paraId="012E3BAF" w14:textId="7DCF3502" w:rsidR="00DF3D99" w:rsidRPr="00424500" w:rsidRDefault="00DF3D99" w:rsidP="00DF3D99">
            <w:r w:rsidRPr="00424500">
              <w:rPr>
                <w:szCs w:val="18"/>
              </w:rPr>
              <w:t>С неизвестна честота:</w:t>
            </w:r>
          </w:p>
        </w:tc>
        <w:tc>
          <w:tcPr>
            <w:tcW w:w="3247" w:type="dxa"/>
          </w:tcPr>
          <w:p w14:paraId="65B46A36" w14:textId="11319B1F" w:rsidR="00DF3D99" w:rsidRPr="00424500" w:rsidRDefault="00DF3D99" w:rsidP="00DF3D99">
            <w:proofErr w:type="spellStart"/>
            <w:r w:rsidRPr="00424500">
              <w:rPr>
                <w:szCs w:val="18"/>
              </w:rPr>
              <w:t>постурална</w:t>
            </w:r>
            <w:proofErr w:type="spellEnd"/>
            <w:r w:rsidRPr="00424500">
              <w:rPr>
                <w:szCs w:val="18"/>
              </w:rPr>
              <w:t xml:space="preserve"> хипотония</w:t>
            </w:r>
          </w:p>
        </w:tc>
      </w:tr>
      <w:tr w:rsidR="00DF3D99" w:rsidRPr="00424500" w14:paraId="42E00D61" w14:textId="77777777" w:rsidTr="00DF3D99">
        <w:tc>
          <w:tcPr>
            <w:tcW w:w="3166" w:type="dxa"/>
            <w:vAlign w:val="bottom"/>
          </w:tcPr>
          <w:p w14:paraId="3115A4E2" w14:textId="37189E72" w:rsidR="00DF3D99" w:rsidRPr="00424500" w:rsidRDefault="00DF3D99" w:rsidP="00DF3D99">
            <w:r w:rsidRPr="00424500">
              <w:rPr>
                <w:i/>
                <w:iCs/>
                <w:szCs w:val="18"/>
              </w:rPr>
              <w:t>Общи нарушения и ефекти на мястото на приложение:</w:t>
            </w:r>
          </w:p>
        </w:tc>
        <w:tc>
          <w:tcPr>
            <w:tcW w:w="3163" w:type="dxa"/>
            <w:vAlign w:val="bottom"/>
          </w:tcPr>
          <w:p w14:paraId="26633264" w14:textId="46835F5E" w:rsidR="00DF3D99" w:rsidRPr="00424500" w:rsidRDefault="00DF3D99" w:rsidP="00DF3D99">
            <w:r w:rsidRPr="00424500">
              <w:rPr>
                <w:szCs w:val="18"/>
              </w:rPr>
              <w:t>С неизвестна честота:</w:t>
            </w:r>
          </w:p>
        </w:tc>
        <w:tc>
          <w:tcPr>
            <w:tcW w:w="3247" w:type="dxa"/>
          </w:tcPr>
          <w:p w14:paraId="4690FA53" w14:textId="38EE7ED4" w:rsidR="00DF3D99" w:rsidRPr="00424500" w:rsidRDefault="00DF3D99" w:rsidP="00DF3D99">
            <w:r w:rsidRPr="00424500">
              <w:rPr>
                <w:szCs w:val="18"/>
              </w:rPr>
              <w:t>треска</w:t>
            </w:r>
          </w:p>
        </w:tc>
      </w:tr>
      <w:tr w:rsidR="00DF3D99" w:rsidRPr="00424500" w14:paraId="26CA4E1D" w14:textId="77777777" w:rsidTr="00DF3D99">
        <w:tc>
          <w:tcPr>
            <w:tcW w:w="3166" w:type="dxa"/>
          </w:tcPr>
          <w:p w14:paraId="286E2A2A" w14:textId="31ED41C7" w:rsidR="00DF3D99" w:rsidRPr="00424500" w:rsidRDefault="00DF3D99" w:rsidP="00DF3D99">
            <w:proofErr w:type="spellStart"/>
            <w:r w:rsidRPr="00424500">
              <w:rPr>
                <w:i/>
                <w:iCs/>
                <w:szCs w:val="18"/>
              </w:rPr>
              <w:t>Хепатобилиарни</w:t>
            </w:r>
            <w:proofErr w:type="spellEnd"/>
            <w:r w:rsidRPr="00424500">
              <w:rPr>
                <w:i/>
                <w:iCs/>
                <w:szCs w:val="18"/>
              </w:rPr>
              <w:t xml:space="preserve"> нарушения:</w:t>
            </w:r>
          </w:p>
        </w:tc>
        <w:tc>
          <w:tcPr>
            <w:tcW w:w="3163" w:type="dxa"/>
            <w:vAlign w:val="bottom"/>
          </w:tcPr>
          <w:p w14:paraId="255464A0" w14:textId="76014DD9" w:rsidR="00DF3D99" w:rsidRPr="00424500" w:rsidRDefault="00DF3D99" w:rsidP="00DF3D99">
            <w:r w:rsidRPr="00424500">
              <w:rPr>
                <w:szCs w:val="18"/>
              </w:rPr>
              <w:t>С неизвестна честота:</w:t>
            </w:r>
          </w:p>
        </w:tc>
        <w:tc>
          <w:tcPr>
            <w:tcW w:w="3247" w:type="dxa"/>
            <w:vAlign w:val="bottom"/>
          </w:tcPr>
          <w:p w14:paraId="31A52006" w14:textId="2B1486E1" w:rsidR="00DF3D99" w:rsidRPr="00424500" w:rsidRDefault="00DF3D99" w:rsidP="00DF3D99">
            <w:r w:rsidRPr="00424500">
              <w:rPr>
                <w:szCs w:val="18"/>
              </w:rPr>
              <w:t>жълтеница (</w:t>
            </w:r>
            <w:proofErr w:type="spellStart"/>
            <w:r w:rsidRPr="00424500">
              <w:rPr>
                <w:szCs w:val="18"/>
              </w:rPr>
              <w:t>интрахепатална</w:t>
            </w:r>
            <w:proofErr w:type="spellEnd"/>
            <w:r w:rsidRPr="00424500">
              <w:rPr>
                <w:szCs w:val="18"/>
              </w:rPr>
              <w:t xml:space="preserve"> </w:t>
            </w:r>
            <w:proofErr w:type="spellStart"/>
            <w:r w:rsidRPr="00424500">
              <w:rPr>
                <w:szCs w:val="18"/>
              </w:rPr>
              <w:t>холестатична</w:t>
            </w:r>
            <w:proofErr w:type="spellEnd"/>
            <w:r w:rsidRPr="00424500">
              <w:rPr>
                <w:szCs w:val="18"/>
              </w:rPr>
              <w:t xml:space="preserve"> жълтеница)</w:t>
            </w:r>
          </w:p>
        </w:tc>
      </w:tr>
      <w:tr w:rsidR="00DF3D99" w:rsidRPr="00424500" w14:paraId="0325A4AB" w14:textId="77777777" w:rsidTr="00DF3D99">
        <w:tc>
          <w:tcPr>
            <w:tcW w:w="3166" w:type="dxa"/>
          </w:tcPr>
          <w:p w14:paraId="3A237066" w14:textId="4D8721C1" w:rsidR="00DF3D99" w:rsidRPr="00424500" w:rsidRDefault="00DF3D99" w:rsidP="00DF3D99">
            <w:r w:rsidRPr="00424500">
              <w:rPr>
                <w:i/>
                <w:iCs/>
                <w:szCs w:val="18"/>
              </w:rPr>
              <w:t>Психични нарушения:</w:t>
            </w:r>
          </w:p>
        </w:tc>
        <w:tc>
          <w:tcPr>
            <w:tcW w:w="3163" w:type="dxa"/>
            <w:vAlign w:val="bottom"/>
          </w:tcPr>
          <w:p w14:paraId="7C9BC5EE" w14:textId="5426D5E9" w:rsidR="00DF3D99" w:rsidRPr="00424500" w:rsidRDefault="00DF3D99" w:rsidP="00DF3D99">
            <w:r w:rsidRPr="00424500">
              <w:rPr>
                <w:szCs w:val="18"/>
              </w:rPr>
              <w:t>С неизвестна честота:</w:t>
            </w:r>
          </w:p>
        </w:tc>
        <w:tc>
          <w:tcPr>
            <w:tcW w:w="3247" w:type="dxa"/>
          </w:tcPr>
          <w:p w14:paraId="7F05233C" w14:textId="70E91B97" w:rsidR="00DF3D99" w:rsidRPr="00424500" w:rsidRDefault="00DF3D99" w:rsidP="00DF3D99">
            <w:r w:rsidRPr="00424500">
              <w:rPr>
                <w:szCs w:val="18"/>
              </w:rPr>
              <w:t>депресия, нарушения на съня</w:t>
            </w:r>
          </w:p>
        </w:tc>
      </w:tr>
      <w:tr w:rsidR="00DF3D99" w:rsidRPr="00424500" w14:paraId="5FB775C1" w14:textId="77777777" w:rsidTr="00DF3D99">
        <w:tc>
          <w:tcPr>
            <w:tcW w:w="3166" w:type="dxa"/>
          </w:tcPr>
          <w:p w14:paraId="562AEEF0" w14:textId="0FD3EB8B" w:rsidR="00DF3D99" w:rsidRPr="00424500" w:rsidRDefault="00DF3D99" w:rsidP="00DF3D99">
            <w:pPr>
              <w:rPr>
                <w:rFonts w:ascii="Times New Roman" w:eastAsia="Times New Roman" w:hAnsi="Times New Roman" w:cs="Times New Roman"/>
                <w:sz w:val="24"/>
                <w:szCs w:val="24"/>
              </w:rPr>
            </w:pPr>
            <w:proofErr w:type="spellStart"/>
            <w:r w:rsidRPr="00424500">
              <w:rPr>
                <w:i/>
                <w:iCs/>
                <w:szCs w:val="18"/>
              </w:rPr>
              <w:t>Неоплазми</w:t>
            </w:r>
            <w:proofErr w:type="spellEnd"/>
            <w:r w:rsidRPr="00424500">
              <w:rPr>
                <w:i/>
                <w:iCs/>
                <w:szCs w:val="18"/>
              </w:rPr>
              <w:t xml:space="preserve"> - доброкачествени, </w:t>
            </w:r>
            <w:r w:rsidRPr="00424500">
              <w:rPr>
                <w:lang w:eastAsia="bg-BG"/>
              </w:rPr>
              <w:t>злокачествени и неопределени (вкл. кисти и полипи)</w:t>
            </w:r>
          </w:p>
        </w:tc>
        <w:tc>
          <w:tcPr>
            <w:tcW w:w="3163" w:type="dxa"/>
          </w:tcPr>
          <w:p w14:paraId="481D5D95" w14:textId="24C4EDD1" w:rsidR="00DF3D99" w:rsidRPr="00424500" w:rsidRDefault="00DF3D99" w:rsidP="00DF3D99">
            <w:r w:rsidRPr="00424500">
              <w:rPr>
                <w:szCs w:val="18"/>
              </w:rPr>
              <w:t>С неизвестна честота:</w:t>
            </w:r>
          </w:p>
        </w:tc>
        <w:tc>
          <w:tcPr>
            <w:tcW w:w="3247" w:type="dxa"/>
            <w:vAlign w:val="bottom"/>
          </w:tcPr>
          <w:p w14:paraId="31E43C00" w14:textId="77777777" w:rsidR="00DF3D99" w:rsidRPr="00424500" w:rsidRDefault="00DF3D99" w:rsidP="00DF3D99">
            <w:proofErr w:type="spellStart"/>
            <w:r w:rsidRPr="00424500">
              <w:rPr>
                <w:szCs w:val="18"/>
              </w:rPr>
              <w:t>Немеланомен</w:t>
            </w:r>
            <w:proofErr w:type="spellEnd"/>
            <w:r w:rsidRPr="00424500">
              <w:rPr>
                <w:szCs w:val="18"/>
              </w:rPr>
              <w:t xml:space="preserve"> рак на кожата</w:t>
            </w:r>
          </w:p>
          <w:p w14:paraId="299BF94B" w14:textId="1BDE9402" w:rsidR="00DF3D99" w:rsidRPr="00424500" w:rsidRDefault="00DF3D99" w:rsidP="00DF3D99">
            <w:r w:rsidRPr="00424500">
              <w:rPr>
                <w:szCs w:val="18"/>
              </w:rPr>
              <w:t>(</w:t>
            </w:r>
            <w:proofErr w:type="spellStart"/>
            <w:r w:rsidRPr="00424500">
              <w:rPr>
                <w:szCs w:val="18"/>
              </w:rPr>
              <w:t>базалноклетьчен</w:t>
            </w:r>
            <w:proofErr w:type="spellEnd"/>
            <w:r w:rsidRPr="00424500">
              <w:rPr>
                <w:szCs w:val="18"/>
              </w:rPr>
              <w:t xml:space="preserve"> карцином и </w:t>
            </w:r>
            <w:proofErr w:type="spellStart"/>
            <w:r w:rsidRPr="00424500">
              <w:rPr>
                <w:szCs w:val="18"/>
              </w:rPr>
              <w:t>сквамозноклетъчен</w:t>
            </w:r>
            <w:proofErr w:type="spellEnd"/>
            <w:r w:rsidRPr="00424500">
              <w:rPr>
                <w:szCs w:val="18"/>
              </w:rPr>
              <w:t xml:space="preserve"> карцином)</w:t>
            </w:r>
          </w:p>
        </w:tc>
      </w:tr>
    </w:tbl>
    <w:p w14:paraId="7A8A727E" w14:textId="4FFFE6BF" w:rsidR="00DF3D99" w:rsidRPr="00424500" w:rsidRDefault="00DF3D99" w:rsidP="00DF3D99"/>
    <w:p w14:paraId="32C07D27" w14:textId="77777777" w:rsidR="00DF3D99" w:rsidRPr="00424500" w:rsidRDefault="00DF3D99" w:rsidP="00DF3D99">
      <w:pPr>
        <w:spacing w:line="240" w:lineRule="auto"/>
        <w:rPr>
          <w:rFonts w:eastAsia="Times New Roman" w:cs="Arial"/>
          <w:szCs w:val="24"/>
        </w:rPr>
      </w:pPr>
      <w:proofErr w:type="spellStart"/>
      <w:r w:rsidRPr="00424500">
        <w:rPr>
          <w:rFonts w:eastAsia="Times New Roman" w:cs="Arial"/>
          <w:color w:val="000000"/>
          <w:szCs w:val="24"/>
          <w:lang w:eastAsia="bg-BG"/>
        </w:rPr>
        <w:t>Немеланомен</w:t>
      </w:r>
      <w:proofErr w:type="spellEnd"/>
      <w:r w:rsidRPr="00424500">
        <w:rPr>
          <w:rFonts w:eastAsia="Times New Roman" w:cs="Arial"/>
          <w:color w:val="000000"/>
          <w:szCs w:val="24"/>
          <w:lang w:eastAsia="bg-BG"/>
        </w:rPr>
        <w:t xml:space="preserve">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41B3C1A7" w14:textId="77777777" w:rsidR="00DF3D99" w:rsidRPr="00424500" w:rsidRDefault="00DF3D99" w:rsidP="00DF3D99">
      <w:pPr>
        <w:spacing w:line="240" w:lineRule="auto"/>
        <w:rPr>
          <w:rFonts w:eastAsia="Times New Roman" w:cs="Arial"/>
          <w:color w:val="000000"/>
          <w:szCs w:val="24"/>
          <w:lang w:eastAsia="bg-BG"/>
        </w:rPr>
      </w:pPr>
    </w:p>
    <w:p w14:paraId="1D8E16E3" w14:textId="12EDA3DB" w:rsidR="00DF3D99" w:rsidRPr="00424500" w:rsidRDefault="00DF3D99" w:rsidP="00DF3D99">
      <w:pPr>
        <w:spacing w:line="240" w:lineRule="auto"/>
        <w:rPr>
          <w:rFonts w:eastAsia="Times New Roman" w:cs="Arial"/>
          <w:szCs w:val="24"/>
        </w:rPr>
      </w:pPr>
      <w:proofErr w:type="spellStart"/>
      <w:r w:rsidRPr="00424500">
        <w:rPr>
          <w:rFonts w:eastAsia="Times New Roman" w:cs="Arial"/>
          <w:color w:val="000000"/>
          <w:szCs w:val="24"/>
          <w:lang w:eastAsia="bg-BG"/>
        </w:rPr>
        <w:t>Дозозависимите</w:t>
      </w:r>
      <w:proofErr w:type="spellEnd"/>
      <w:r w:rsidRPr="00424500">
        <w:rPr>
          <w:rFonts w:eastAsia="Times New Roman" w:cs="Arial"/>
          <w:color w:val="000000"/>
          <w:szCs w:val="24"/>
          <w:lang w:eastAsia="bg-BG"/>
        </w:rPr>
        <w:t xml:space="preserve"> нежелани реакции на хидрохлоротиазид (особено нарушенията на електролитния баланс) може да бъдат увеличени при титрирането на хидрохлоротиазид.</w:t>
      </w:r>
    </w:p>
    <w:p w14:paraId="641DDABD" w14:textId="77777777" w:rsidR="00DF3D99" w:rsidRPr="00424500" w:rsidRDefault="00DF3D99" w:rsidP="00DF3D99">
      <w:pPr>
        <w:spacing w:line="240" w:lineRule="auto"/>
        <w:rPr>
          <w:rFonts w:eastAsia="Times New Roman" w:cs="Arial"/>
          <w:color w:val="000000"/>
          <w:szCs w:val="24"/>
          <w:u w:val="single"/>
          <w:lang w:eastAsia="bg-BG"/>
        </w:rPr>
      </w:pPr>
    </w:p>
    <w:p w14:paraId="6F10D482" w14:textId="28190D3E" w:rsidR="00DF3D99" w:rsidRPr="00424500" w:rsidRDefault="00DF3D99" w:rsidP="00DF3D99">
      <w:pPr>
        <w:spacing w:line="240" w:lineRule="auto"/>
        <w:rPr>
          <w:rFonts w:eastAsia="Times New Roman" w:cs="Arial"/>
          <w:szCs w:val="24"/>
        </w:rPr>
      </w:pPr>
      <w:r w:rsidRPr="00424500">
        <w:rPr>
          <w:rFonts w:eastAsia="Times New Roman" w:cs="Arial"/>
          <w:color w:val="000000"/>
          <w:szCs w:val="24"/>
          <w:u w:val="single"/>
          <w:lang w:eastAsia="bg-BG"/>
        </w:rPr>
        <w:t>Съобщаване на подозирани нежелани реакции</w:t>
      </w:r>
    </w:p>
    <w:p w14:paraId="637789B8" w14:textId="77777777" w:rsidR="00DF3D99" w:rsidRPr="00424500" w:rsidRDefault="00DF3D99" w:rsidP="00DF3D99">
      <w:pPr>
        <w:spacing w:line="240" w:lineRule="auto"/>
        <w:rPr>
          <w:rFonts w:eastAsia="Times New Roman" w:cs="Arial"/>
          <w:color w:val="000000"/>
          <w:szCs w:val="24"/>
          <w:lang w:eastAsia="bg-BG"/>
        </w:rPr>
      </w:pPr>
    </w:p>
    <w:p w14:paraId="73B57B74" w14:textId="685D6EFB" w:rsidR="00DF3D99" w:rsidRPr="00424500" w:rsidRDefault="00DF3D99" w:rsidP="00DF3D99">
      <w:pPr>
        <w:spacing w:line="240" w:lineRule="auto"/>
        <w:rPr>
          <w:rFonts w:eastAsia="Times New Roman" w:cs="Arial"/>
          <w:szCs w:val="24"/>
        </w:rPr>
      </w:pPr>
      <w:r w:rsidRPr="00424500">
        <w:rPr>
          <w:rFonts w:eastAsia="Times New Roman" w:cs="Arial"/>
          <w:color w:val="000000"/>
          <w:szCs w:val="24"/>
          <w:lang w:eastAsia="bg-BG"/>
        </w:rPr>
        <w:t xml:space="preserve">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w:t>
      </w:r>
      <w:r w:rsidRPr="00424500">
        <w:rPr>
          <w:rFonts w:eastAsia="Times New Roman" w:cs="Arial"/>
          <w:color w:val="000000"/>
          <w:szCs w:val="24"/>
          <w:lang w:eastAsia="bg-BG"/>
        </w:rPr>
        <w:lastRenderedPageBreak/>
        <w:t>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AE900B6" w14:textId="77777777" w:rsidR="00DF3D99" w:rsidRPr="00424500" w:rsidRDefault="00DF3D99" w:rsidP="00DF3D99">
      <w:pPr>
        <w:spacing w:line="240" w:lineRule="auto"/>
        <w:rPr>
          <w:rFonts w:eastAsia="Times New Roman" w:cs="Arial"/>
          <w:color w:val="000000"/>
          <w:szCs w:val="24"/>
          <w:lang w:eastAsia="bg-BG"/>
        </w:rPr>
      </w:pPr>
    </w:p>
    <w:p w14:paraId="0013F0ED" w14:textId="77777777" w:rsidR="00DF3D99" w:rsidRPr="00424500" w:rsidRDefault="00DF3D99" w:rsidP="00DF3D99">
      <w:pPr>
        <w:spacing w:line="240" w:lineRule="auto"/>
        <w:rPr>
          <w:rFonts w:eastAsia="Times New Roman" w:cs="Arial"/>
          <w:color w:val="000000"/>
          <w:szCs w:val="24"/>
          <w:lang w:eastAsia="bg-BG"/>
        </w:rPr>
      </w:pPr>
      <w:r w:rsidRPr="00424500">
        <w:rPr>
          <w:rFonts w:eastAsia="Times New Roman" w:cs="Arial"/>
          <w:color w:val="000000"/>
          <w:szCs w:val="24"/>
          <w:lang w:eastAsia="bg-BG"/>
        </w:rPr>
        <w:t xml:space="preserve">Изпълнителна агенция по лекарствата </w:t>
      </w:r>
    </w:p>
    <w:p w14:paraId="7B3B08FD" w14:textId="77777777" w:rsidR="00DF3D99" w:rsidRPr="00424500" w:rsidRDefault="00DF3D99" w:rsidP="00DF3D99">
      <w:pPr>
        <w:spacing w:line="240" w:lineRule="auto"/>
        <w:rPr>
          <w:rFonts w:eastAsia="Times New Roman" w:cs="Arial"/>
          <w:color w:val="000000"/>
          <w:szCs w:val="24"/>
          <w:lang w:eastAsia="bg-BG"/>
        </w:rPr>
      </w:pPr>
      <w:proofErr w:type="spellStart"/>
      <w:r w:rsidRPr="00424500">
        <w:rPr>
          <w:rFonts w:eastAsia="Times New Roman" w:cs="Arial"/>
          <w:color w:val="000000"/>
          <w:szCs w:val="24"/>
          <w:lang w:eastAsia="bg-BG"/>
        </w:rPr>
        <w:t>ул</w:t>
      </w:r>
      <w:proofErr w:type="spellEnd"/>
      <w:r w:rsidRPr="00424500">
        <w:rPr>
          <w:rFonts w:eastAsia="Times New Roman" w:cs="Arial"/>
          <w:color w:val="000000"/>
          <w:szCs w:val="24"/>
          <w:lang w:eastAsia="bg-BG"/>
        </w:rPr>
        <w:t xml:space="preserve">.,Дамян Груев” № 8 </w:t>
      </w:r>
    </w:p>
    <w:p w14:paraId="56411254" w14:textId="77777777" w:rsidR="00DF3D99" w:rsidRPr="00424500" w:rsidRDefault="00DF3D99" w:rsidP="00DF3D99">
      <w:pPr>
        <w:spacing w:line="240" w:lineRule="auto"/>
        <w:rPr>
          <w:rFonts w:eastAsia="Times New Roman" w:cs="Arial"/>
          <w:color w:val="000000"/>
          <w:szCs w:val="24"/>
          <w:lang w:eastAsia="bg-BG"/>
        </w:rPr>
      </w:pPr>
      <w:r w:rsidRPr="00424500">
        <w:rPr>
          <w:rFonts w:eastAsia="Times New Roman" w:cs="Arial"/>
          <w:color w:val="000000"/>
          <w:szCs w:val="24"/>
          <w:lang w:eastAsia="bg-BG"/>
        </w:rPr>
        <w:t xml:space="preserve">1303 София, </w:t>
      </w:r>
    </w:p>
    <w:p w14:paraId="6A8D2FE9" w14:textId="77777777" w:rsidR="00DF3D99" w:rsidRPr="00424500" w:rsidRDefault="00DF3D99" w:rsidP="00DF3D99">
      <w:pPr>
        <w:spacing w:line="240" w:lineRule="auto"/>
        <w:rPr>
          <w:rFonts w:eastAsia="Times New Roman" w:cs="Arial"/>
          <w:color w:val="000000"/>
          <w:szCs w:val="24"/>
          <w:lang w:eastAsia="bg-BG"/>
        </w:rPr>
      </w:pPr>
      <w:r w:rsidRPr="00424500">
        <w:rPr>
          <w:rFonts w:eastAsia="Times New Roman" w:cs="Arial"/>
          <w:color w:val="000000"/>
          <w:szCs w:val="24"/>
          <w:lang w:eastAsia="bg-BG"/>
        </w:rPr>
        <w:t xml:space="preserve">тел: +359 2 890 34 17 </w:t>
      </w:r>
    </w:p>
    <w:p w14:paraId="144E17A4" w14:textId="1968F50A" w:rsidR="00DF3D99" w:rsidRPr="00424500" w:rsidRDefault="00DF3D99" w:rsidP="00DF3D99">
      <w:pPr>
        <w:spacing w:line="240" w:lineRule="auto"/>
        <w:rPr>
          <w:rFonts w:eastAsia="Times New Roman" w:cs="Arial"/>
          <w:szCs w:val="24"/>
        </w:rPr>
      </w:pPr>
      <w:r w:rsidRPr="00424500">
        <w:rPr>
          <w:rFonts w:eastAsia="Times New Roman" w:cs="Arial"/>
          <w:color w:val="000000"/>
          <w:szCs w:val="24"/>
          <w:lang w:eastAsia="bg-BG"/>
        </w:rPr>
        <w:t xml:space="preserve">уебсайт: </w:t>
      </w:r>
      <w:hyperlink r:id="rId5" w:history="1">
        <w:r w:rsidRPr="00424500">
          <w:rPr>
            <w:rFonts w:eastAsia="Times New Roman" w:cs="Arial"/>
            <w:color w:val="000000"/>
            <w:szCs w:val="24"/>
          </w:rPr>
          <w:t>www.bda.bg</w:t>
        </w:r>
      </w:hyperlink>
    </w:p>
    <w:p w14:paraId="27441085" w14:textId="77777777" w:rsidR="00DF3D99" w:rsidRPr="00424500" w:rsidRDefault="00DF3D99" w:rsidP="00DF3D99"/>
    <w:p w14:paraId="5A87DBA3" w14:textId="492C4402" w:rsidR="007122AD" w:rsidRPr="00424500" w:rsidRDefault="002C50EE" w:rsidP="00936AD0">
      <w:pPr>
        <w:pStyle w:val="Heading2"/>
      </w:pPr>
      <w:r w:rsidRPr="00424500">
        <w:t>4.9. Предозиране</w:t>
      </w:r>
    </w:p>
    <w:p w14:paraId="4239E55B" w14:textId="4220ABBA" w:rsidR="00DF3D99" w:rsidRPr="00424500" w:rsidRDefault="00DF3D99" w:rsidP="00DF3D99"/>
    <w:p w14:paraId="028885F2"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Няма специфична информация по отношение на лечението при предозиране с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Пациентът трябва да бъдат внимателно проследяван, като лечението трябва да бъде симптоматично и поддържащо. Лечението зависи от времето от приемането и тежестта на симптомите. Препоръчва се предизвикването на повръщане и/или стомашна промивка. Активният въглен може да бъде полезен при лечение на предозирането. Серумните електролити и </w:t>
      </w:r>
      <w:proofErr w:type="spellStart"/>
      <w:r w:rsidRPr="00424500">
        <w:rPr>
          <w:rFonts w:eastAsia="Times New Roman" w:cs="Arial"/>
          <w:color w:val="000000"/>
          <w:szCs w:val="18"/>
          <w:lang w:eastAsia="bg-BG"/>
        </w:rPr>
        <w:t>креатининът</w:t>
      </w:r>
      <w:proofErr w:type="spellEnd"/>
      <w:r w:rsidRPr="00424500">
        <w:rPr>
          <w:rFonts w:eastAsia="Times New Roman" w:cs="Arial"/>
          <w:color w:val="000000"/>
          <w:szCs w:val="18"/>
          <w:lang w:eastAsia="bg-BG"/>
        </w:rPr>
        <w:t xml:space="preserve"> трябва да бъдат често проследявани. При поява на хипотония, пациентът трябва да бъде поставен в легнало положение и да се предприеме бързо обемно и електролитно заместване.</w:t>
      </w:r>
    </w:p>
    <w:p w14:paraId="1153C8B4" w14:textId="77777777" w:rsidR="00DF3D99" w:rsidRPr="00424500" w:rsidRDefault="00DF3D99" w:rsidP="00DF3D99">
      <w:pPr>
        <w:spacing w:line="240" w:lineRule="auto"/>
        <w:rPr>
          <w:rFonts w:eastAsia="Times New Roman" w:cs="Arial"/>
          <w:color w:val="000000"/>
          <w:szCs w:val="18"/>
          <w:lang w:eastAsia="bg-BG"/>
        </w:rPr>
      </w:pPr>
    </w:p>
    <w:p w14:paraId="4A87501B" w14:textId="1F01562D"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Най-честите прояви на предозиране с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се очаква да бъдат хипотония и тахикардия; възможна е и появата на брадикардия.</w:t>
      </w:r>
    </w:p>
    <w:p w14:paraId="7AF18828" w14:textId="77777777" w:rsidR="00DF3D99" w:rsidRPr="00424500" w:rsidRDefault="00DF3D99" w:rsidP="00DF3D99">
      <w:pPr>
        <w:spacing w:line="240" w:lineRule="auto"/>
        <w:rPr>
          <w:rFonts w:eastAsia="Times New Roman" w:cs="Arial"/>
          <w:color w:val="000000"/>
          <w:szCs w:val="18"/>
          <w:lang w:eastAsia="bg-BG"/>
        </w:rPr>
      </w:pPr>
    </w:p>
    <w:p w14:paraId="6E8E47C7" w14:textId="1A1035ED" w:rsidR="00DF3D99" w:rsidRPr="00424500" w:rsidRDefault="00DF3D99" w:rsidP="00DF3D99">
      <w:pPr>
        <w:spacing w:line="240" w:lineRule="auto"/>
        <w:rPr>
          <w:rFonts w:eastAsia="Times New Roman" w:cs="Arial"/>
          <w:color w:val="000000"/>
          <w:szCs w:val="18"/>
          <w:lang w:eastAsia="bg-BG"/>
        </w:rPr>
      </w:pPr>
      <w:r w:rsidRPr="00424500">
        <w:rPr>
          <w:rFonts w:eastAsia="Times New Roman" w:cs="Arial"/>
          <w:color w:val="000000"/>
          <w:szCs w:val="18"/>
          <w:lang w:eastAsia="bg-BG"/>
        </w:rPr>
        <w:t xml:space="preserve">Предозирането с хидрохлоротиазид е свързано с недостиг на електролити (хипокалиемия, </w:t>
      </w:r>
      <w:proofErr w:type="spellStart"/>
      <w:r w:rsidRPr="00424500">
        <w:rPr>
          <w:rFonts w:eastAsia="Times New Roman" w:cs="Arial"/>
          <w:color w:val="000000"/>
          <w:szCs w:val="18"/>
          <w:lang w:eastAsia="bg-BG"/>
        </w:rPr>
        <w:t>хипохлоремия</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хипонатриемия</w:t>
      </w:r>
      <w:proofErr w:type="spellEnd"/>
      <w:r w:rsidRPr="00424500">
        <w:rPr>
          <w:rFonts w:eastAsia="Times New Roman" w:cs="Arial"/>
          <w:color w:val="000000"/>
          <w:szCs w:val="18"/>
          <w:lang w:eastAsia="bg-BG"/>
        </w:rPr>
        <w:t xml:space="preserve">) и дехидратация, в резултат на прекомерната </w:t>
      </w:r>
      <w:proofErr w:type="spellStart"/>
      <w:r w:rsidRPr="00424500">
        <w:rPr>
          <w:rFonts w:eastAsia="Times New Roman" w:cs="Arial"/>
          <w:color w:val="000000"/>
          <w:szCs w:val="18"/>
          <w:lang w:eastAsia="bg-BG"/>
        </w:rPr>
        <w:t>диуреза</w:t>
      </w:r>
      <w:proofErr w:type="spellEnd"/>
      <w:r w:rsidRPr="00424500">
        <w:rPr>
          <w:rFonts w:eastAsia="Times New Roman" w:cs="Arial"/>
          <w:color w:val="000000"/>
          <w:szCs w:val="18"/>
          <w:lang w:eastAsia="bg-BG"/>
        </w:rPr>
        <w:t xml:space="preserve">. Най-честите признаци и симптоми на предозиране са гадене и </w:t>
      </w:r>
      <w:proofErr w:type="spellStart"/>
      <w:r w:rsidRPr="00424500">
        <w:rPr>
          <w:rFonts w:eastAsia="Times New Roman" w:cs="Arial"/>
          <w:color w:val="000000"/>
          <w:szCs w:val="18"/>
          <w:lang w:eastAsia="bg-BG"/>
        </w:rPr>
        <w:t>сомнолентност</w:t>
      </w:r>
      <w:proofErr w:type="spellEnd"/>
      <w:r w:rsidRPr="00424500">
        <w:rPr>
          <w:rFonts w:eastAsia="Times New Roman" w:cs="Arial"/>
          <w:color w:val="000000"/>
          <w:szCs w:val="18"/>
          <w:lang w:eastAsia="bg-BG"/>
        </w:rPr>
        <w:t xml:space="preserve">. Хипокалиемията може да доведе до мускулни спазми и/или и изявена сърдечна аритмия, </w:t>
      </w:r>
    </w:p>
    <w:p w14:paraId="441908AF" w14:textId="2CF282BD"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свързана с едновременната употреба на сърдечни </w:t>
      </w:r>
      <w:proofErr w:type="spellStart"/>
      <w:r w:rsidRPr="00424500">
        <w:rPr>
          <w:rFonts w:eastAsia="Times New Roman" w:cs="Arial"/>
          <w:color w:val="000000"/>
          <w:szCs w:val="18"/>
          <w:lang w:eastAsia="bg-BG"/>
        </w:rPr>
        <w:t>гликозиди</w:t>
      </w:r>
      <w:proofErr w:type="spellEnd"/>
      <w:r w:rsidRPr="00424500">
        <w:rPr>
          <w:rFonts w:eastAsia="Times New Roman" w:cs="Arial"/>
          <w:color w:val="000000"/>
          <w:szCs w:val="18"/>
          <w:lang w:eastAsia="bg-BG"/>
        </w:rPr>
        <w:t xml:space="preserve"> или някои </w:t>
      </w:r>
      <w:proofErr w:type="spellStart"/>
      <w:r w:rsidRPr="00424500">
        <w:rPr>
          <w:rFonts w:eastAsia="Times New Roman" w:cs="Arial"/>
          <w:color w:val="000000"/>
          <w:szCs w:val="18"/>
          <w:lang w:eastAsia="bg-BG"/>
        </w:rPr>
        <w:t>антиаритмични</w:t>
      </w:r>
      <w:proofErr w:type="spellEnd"/>
      <w:r w:rsidRPr="00424500">
        <w:rPr>
          <w:rFonts w:eastAsia="Times New Roman" w:cs="Arial"/>
          <w:color w:val="000000"/>
          <w:szCs w:val="18"/>
          <w:lang w:eastAsia="bg-BG"/>
        </w:rPr>
        <w:t xml:space="preserve"> лекарствени продукти.</w:t>
      </w:r>
    </w:p>
    <w:p w14:paraId="3D199905" w14:textId="77777777" w:rsidR="00DF3D99" w:rsidRPr="00424500" w:rsidRDefault="00DF3D99" w:rsidP="00DF3D99">
      <w:pPr>
        <w:spacing w:line="240" w:lineRule="auto"/>
        <w:rPr>
          <w:rFonts w:eastAsia="Times New Roman" w:cs="Arial"/>
          <w:color w:val="000000"/>
          <w:szCs w:val="18"/>
          <w:lang w:eastAsia="bg-BG"/>
        </w:rPr>
      </w:pPr>
    </w:p>
    <w:p w14:paraId="0F6EE922" w14:textId="546B8D53" w:rsidR="00DF3D99" w:rsidRPr="00424500" w:rsidRDefault="00DF3D99" w:rsidP="00DF3D99">
      <w:pPr>
        <w:spacing w:line="240" w:lineRule="auto"/>
        <w:rPr>
          <w:rFonts w:eastAsia="Times New Roman" w:cs="Arial"/>
          <w:sz w:val="32"/>
          <w:szCs w:val="24"/>
        </w:rPr>
      </w:pP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се отделя чрез хемодиализа. Степента на отделяне на хидрохлоротиазид с помощта на хемодиализа не е установена.</w:t>
      </w:r>
    </w:p>
    <w:p w14:paraId="7A68C5F9" w14:textId="77777777" w:rsidR="00DF3D99" w:rsidRPr="00424500" w:rsidRDefault="00DF3D99" w:rsidP="00DF3D99"/>
    <w:p w14:paraId="02081B24" w14:textId="1F46E296" w:rsidR="00395555" w:rsidRPr="00424500" w:rsidRDefault="002C50EE" w:rsidP="008A6AF2">
      <w:pPr>
        <w:pStyle w:val="Heading1"/>
      </w:pPr>
      <w:r w:rsidRPr="00424500">
        <w:t>5. ФАРМАКОЛОГИЧНИ СВОЙСТВА</w:t>
      </w:r>
    </w:p>
    <w:p w14:paraId="7DE36AC8" w14:textId="240D860B" w:rsidR="00B6672E" w:rsidRPr="00424500" w:rsidRDefault="002C50EE" w:rsidP="00936AD0">
      <w:pPr>
        <w:pStyle w:val="Heading2"/>
      </w:pPr>
      <w:r w:rsidRPr="00424500">
        <w:t xml:space="preserve">5.1. </w:t>
      </w:r>
      <w:proofErr w:type="spellStart"/>
      <w:r w:rsidRPr="00424500">
        <w:t>Фармакодинамични</w:t>
      </w:r>
      <w:proofErr w:type="spellEnd"/>
      <w:r w:rsidRPr="00424500">
        <w:t xml:space="preserve"> свойства</w:t>
      </w:r>
    </w:p>
    <w:p w14:paraId="35DC0D78" w14:textId="55FD7448" w:rsidR="00DF3D99" w:rsidRPr="00424500" w:rsidRDefault="00DF3D99" w:rsidP="00DF3D99"/>
    <w:p w14:paraId="04FCE762"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Фармакотерапевтична група: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 антагонисти, комбинации АТС код: </w:t>
      </w:r>
      <w:r w:rsidRPr="00424500">
        <w:rPr>
          <w:rFonts w:eastAsia="Times New Roman" w:cs="Arial"/>
          <w:color w:val="000000"/>
          <w:szCs w:val="18"/>
        </w:rPr>
        <w:t>C09DA04.</w:t>
      </w:r>
    </w:p>
    <w:p w14:paraId="4B85DF5C" w14:textId="77777777" w:rsidR="00DF3D99" w:rsidRPr="00424500" w:rsidRDefault="00DF3D99" w:rsidP="00DF3D99">
      <w:pPr>
        <w:spacing w:line="240" w:lineRule="auto"/>
        <w:rPr>
          <w:rFonts w:eastAsia="Times New Roman" w:cs="Arial"/>
          <w:color w:val="000000"/>
          <w:szCs w:val="18"/>
          <w:u w:val="single"/>
          <w:lang w:eastAsia="bg-BG"/>
        </w:rPr>
      </w:pPr>
    </w:p>
    <w:p w14:paraId="754540AA" w14:textId="38A5CBBD"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u w:val="single"/>
          <w:lang w:eastAsia="bg-BG"/>
        </w:rPr>
        <w:t>Механизъм на действие</w:t>
      </w:r>
    </w:p>
    <w:p w14:paraId="41AA2DA4" w14:textId="77777777" w:rsidR="00DF3D99" w:rsidRPr="00424500" w:rsidRDefault="00DF3D99" w:rsidP="00DF3D99">
      <w:pPr>
        <w:rPr>
          <w:rFonts w:eastAsia="Times New Roman" w:cs="Arial"/>
          <w:color w:val="000000"/>
          <w:szCs w:val="18"/>
          <w:lang w:eastAsia="bg-BG"/>
        </w:rPr>
      </w:pPr>
    </w:p>
    <w:p w14:paraId="6C6582F4" w14:textId="77EC37C7" w:rsidR="00DF3D99" w:rsidRPr="00424500" w:rsidRDefault="00DF3D99" w:rsidP="00DF3D99">
      <w:pPr>
        <w:rPr>
          <w:rFonts w:eastAsia="Times New Roman" w:cs="Arial"/>
          <w:sz w:val="32"/>
          <w:szCs w:val="24"/>
        </w:rPr>
      </w:pPr>
      <w:r w:rsidRPr="00424500">
        <w:rPr>
          <w:rFonts w:eastAsia="Times New Roman" w:cs="Arial"/>
          <w:color w:val="000000"/>
          <w:szCs w:val="18"/>
          <w:lang w:eastAsia="bg-BG"/>
        </w:rPr>
        <w:t>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представлява комбинация от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II-рецепторен антагонист-</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w:t>
      </w:r>
      <w:proofErr w:type="spellStart"/>
      <w:r w:rsidRPr="00424500">
        <w:rPr>
          <w:rFonts w:eastAsia="Times New Roman" w:cs="Arial"/>
          <w:color w:val="000000"/>
          <w:szCs w:val="18"/>
          <w:lang w:eastAsia="bg-BG"/>
        </w:rPr>
        <w:t>тиазиден</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диуретик</w:t>
      </w:r>
      <w:proofErr w:type="spellEnd"/>
      <w:r w:rsidRPr="00424500">
        <w:rPr>
          <w:rFonts w:eastAsia="Times New Roman" w:cs="Arial"/>
          <w:color w:val="000000"/>
          <w:szCs w:val="18"/>
          <w:lang w:eastAsia="bg-BG"/>
        </w:rPr>
        <w:t xml:space="preserve"> - хидрохлоротиазид. Комбинацията от двата компонента притеснява адитивен антихипертензивен ефект, като понижава кръвното налягане в по-голяма степен, в сравнение с всеки от отделните компоненти, приложен самостоятелно.</w:t>
      </w:r>
    </w:p>
    <w:p w14:paraId="25D1C408" w14:textId="77777777" w:rsidR="00DF3D99" w:rsidRPr="00424500" w:rsidRDefault="00DF3D99" w:rsidP="00DF3D99">
      <w:pPr>
        <w:spacing w:line="240" w:lineRule="auto"/>
        <w:rPr>
          <w:rFonts w:eastAsia="Times New Roman" w:cs="Arial"/>
          <w:color w:val="000000"/>
          <w:szCs w:val="18"/>
          <w:lang w:eastAsia="bg-BG"/>
        </w:rPr>
      </w:pPr>
    </w:p>
    <w:p w14:paraId="7D8A514A" w14:textId="3E5D8C07" w:rsidR="00DF3D99" w:rsidRPr="00424500" w:rsidRDefault="00DF3D99" w:rsidP="00DF3D99">
      <w:pPr>
        <w:spacing w:line="240" w:lineRule="auto"/>
        <w:rPr>
          <w:rFonts w:eastAsia="Times New Roman" w:cs="Arial"/>
          <w:color w:val="000000"/>
          <w:szCs w:val="18"/>
          <w:lang w:eastAsia="bg-BG"/>
        </w:rPr>
      </w:pP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е мощен, перорално активен, селективен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II-рецепторен (тип АТ</w:t>
      </w:r>
      <w:r w:rsidRPr="00424500">
        <w:rPr>
          <w:rFonts w:eastAsia="Times New Roman" w:cs="Arial"/>
          <w:color w:val="000000"/>
          <w:szCs w:val="18"/>
          <w:vertAlign w:val="subscript"/>
          <w:lang w:eastAsia="bg-BG"/>
        </w:rPr>
        <w:t>1</w:t>
      </w:r>
      <w:r w:rsidRPr="00424500">
        <w:rPr>
          <w:rFonts w:eastAsia="Times New Roman" w:cs="Arial"/>
          <w:color w:val="000000"/>
          <w:szCs w:val="18"/>
          <w:lang w:eastAsia="bg-BG"/>
        </w:rPr>
        <w:t xml:space="preserve">) антагонист. Очаква се </w:t>
      </w:r>
    </w:p>
    <w:p w14:paraId="0D5DB9B0" w14:textId="335FCEB9"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lastRenderedPageBreak/>
        <w:t xml:space="preserve">блокиране на цялостното действие на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 </w:t>
      </w:r>
      <w:proofErr w:type="spellStart"/>
      <w:r w:rsidRPr="00424500">
        <w:rPr>
          <w:rFonts w:eastAsia="Times New Roman" w:cs="Arial"/>
          <w:color w:val="000000"/>
          <w:szCs w:val="18"/>
          <w:lang w:eastAsia="bg-BG"/>
        </w:rPr>
        <w:t>медиираните</w:t>
      </w:r>
      <w:proofErr w:type="spellEnd"/>
      <w:r w:rsidRPr="00424500">
        <w:rPr>
          <w:rFonts w:eastAsia="Times New Roman" w:cs="Arial"/>
          <w:color w:val="000000"/>
          <w:szCs w:val="18"/>
          <w:lang w:eastAsia="bg-BG"/>
        </w:rPr>
        <w:t xml:space="preserve"> от </w:t>
      </w:r>
      <w:r w:rsidRPr="00424500">
        <w:rPr>
          <w:rFonts w:eastAsia="Times New Roman" w:cs="Arial"/>
          <w:color w:val="000000"/>
          <w:szCs w:val="18"/>
        </w:rPr>
        <w:t>AT</w:t>
      </w:r>
      <w:r w:rsidRPr="00424500">
        <w:rPr>
          <w:rFonts w:eastAsia="Times New Roman" w:cs="Arial"/>
          <w:color w:val="000000"/>
          <w:szCs w:val="18"/>
          <w:vertAlign w:val="subscript"/>
        </w:rPr>
        <w:t>1</w:t>
      </w:r>
      <w:r w:rsidRPr="00424500">
        <w:rPr>
          <w:rFonts w:eastAsia="Times New Roman" w:cs="Arial"/>
          <w:color w:val="000000"/>
          <w:szCs w:val="18"/>
        </w:rPr>
        <w:t xml:space="preserve"> </w:t>
      </w:r>
      <w:r w:rsidRPr="00424500">
        <w:rPr>
          <w:rFonts w:eastAsia="Times New Roman" w:cs="Arial"/>
          <w:color w:val="000000"/>
          <w:szCs w:val="18"/>
          <w:lang w:eastAsia="bg-BG"/>
        </w:rPr>
        <w:t xml:space="preserve">рецептори, независимо от източника или пътя на синтез на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 Селективният антагонизъм спрямо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 </w:t>
      </w:r>
      <w:r w:rsidRPr="00424500">
        <w:rPr>
          <w:rFonts w:eastAsia="Times New Roman" w:cs="Arial"/>
          <w:color w:val="000000"/>
          <w:szCs w:val="18"/>
        </w:rPr>
        <w:t xml:space="preserve">(AT </w:t>
      </w:r>
      <w:r w:rsidRPr="00424500">
        <w:rPr>
          <w:rFonts w:eastAsia="Times New Roman" w:cs="Arial"/>
          <w:color w:val="000000"/>
          <w:szCs w:val="18"/>
          <w:vertAlign w:val="subscript"/>
        </w:rPr>
        <w:t>1</w:t>
      </w:r>
      <w:r w:rsidRPr="00424500">
        <w:rPr>
          <w:rFonts w:eastAsia="Times New Roman" w:cs="Arial"/>
          <w:color w:val="000000"/>
          <w:szCs w:val="18"/>
        </w:rPr>
        <w:t xml:space="preserve">) </w:t>
      </w:r>
      <w:r w:rsidRPr="00424500">
        <w:rPr>
          <w:rFonts w:eastAsia="Times New Roman" w:cs="Arial"/>
          <w:color w:val="000000"/>
          <w:szCs w:val="18"/>
          <w:lang w:eastAsia="bg-BG"/>
        </w:rPr>
        <w:t xml:space="preserve">рецепторите води до повишаване на плазмените нива на ренин и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 и понижаване на плазмената концентрация на </w:t>
      </w:r>
      <w:proofErr w:type="spellStart"/>
      <w:r w:rsidRPr="00424500">
        <w:rPr>
          <w:rFonts w:eastAsia="Times New Roman" w:cs="Arial"/>
          <w:color w:val="000000"/>
          <w:szCs w:val="18"/>
          <w:lang w:eastAsia="bg-BG"/>
        </w:rPr>
        <w:t>алдостерон</w:t>
      </w:r>
      <w:proofErr w:type="spellEnd"/>
      <w:r w:rsidRPr="00424500">
        <w:rPr>
          <w:rFonts w:eastAsia="Times New Roman" w:cs="Arial"/>
          <w:color w:val="000000"/>
          <w:szCs w:val="18"/>
          <w:lang w:eastAsia="bg-BG"/>
        </w:rPr>
        <w:t xml:space="preserve">. Серумните нива на калий не се променят значително при самостоятелното приложение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в препоръчителните дози при пациенти без съществуващ риск от поява на нарушен електролитен баланс (вж. точки 4.4 и 4.5).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инхибира АСЕ (</w:t>
      </w:r>
      <w:proofErr w:type="spellStart"/>
      <w:r w:rsidRPr="00424500">
        <w:rPr>
          <w:rFonts w:eastAsia="Times New Roman" w:cs="Arial"/>
          <w:color w:val="000000"/>
          <w:szCs w:val="18"/>
          <w:lang w:eastAsia="bg-BG"/>
        </w:rPr>
        <w:t>киназа</w:t>
      </w:r>
      <w:proofErr w:type="spellEnd"/>
      <w:r w:rsidRPr="00424500">
        <w:rPr>
          <w:rFonts w:eastAsia="Times New Roman" w:cs="Arial"/>
          <w:color w:val="000000"/>
          <w:szCs w:val="18"/>
          <w:lang w:eastAsia="bg-BG"/>
        </w:rPr>
        <w:t xml:space="preserve"> II) - ензим, който генерира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 и също така разгражда </w:t>
      </w:r>
      <w:proofErr w:type="spellStart"/>
      <w:r w:rsidRPr="00424500">
        <w:rPr>
          <w:rFonts w:eastAsia="Times New Roman" w:cs="Arial"/>
          <w:color w:val="000000"/>
          <w:szCs w:val="18"/>
          <w:lang w:eastAsia="bg-BG"/>
        </w:rPr>
        <w:t>брадикинина</w:t>
      </w:r>
      <w:proofErr w:type="spellEnd"/>
      <w:r w:rsidRPr="00424500">
        <w:rPr>
          <w:rFonts w:eastAsia="Times New Roman" w:cs="Arial"/>
          <w:color w:val="000000"/>
          <w:szCs w:val="18"/>
          <w:lang w:eastAsia="bg-BG"/>
        </w:rPr>
        <w:t xml:space="preserve"> до неактивни метаболити.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изисква метаболитно активиране за осъществяване на своето действие.</w:t>
      </w:r>
    </w:p>
    <w:p w14:paraId="4F339F6A" w14:textId="77777777" w:rsidR="00DF3D99" w:rsidRPr="00424500" w:rsidRDefault="00DF3D99" w:rsidP="00DF3D99">
      <w:pPr>
        <w:spacing w:line="240" w:lineRule="auto"/>
        <w:rPr>
          <w:rFonts w:eastAsia="Times New Roman" w:cs="Arial"/>
          <w:color w:val="000000"/>
          <w:szCs w:val="18"/>
          <w:lang w:eastAsia="bg-BG"/>
        </w:rPr>
      </w:pPr>
    </w:p>
    <w:p w14:paraId="5FA94FE8" w14:textId="7B5A386D"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Хидрохлоротиазид е </w:t>
      </w:r>
      <w:proofErr w:type="spellStart"/>
      <w:r w:rsidRPr="00424500">
        <w:rPr>
          <w:rFonts w:eastAsia="Times New Roman" w:cs="Arial"/>
          <w:color w:val="000000"/>
          <w:szCs w:val="18"/>
          <w:lang w:eastAsia="bg-BG"/>
        </w:rPr>
        <w:t>тиазиден</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диуретик</w:t>
      </w:r>
      <w:proofErr w:type="spellEnd"/>
      <w:r w:rsidRPr="00424500">
        <w:rPr>
          <w:rFonts w:eastAsia="Times New Roman" w:cs="Arial"/>
          <w:color w:val="000000"/>
          <w:szCs w:val="18"/>
          <w:lang w:eastAsia="bg-BG"/>
        </w:rPr>
        <w:t xml:space="preserve">. Механизмът на антихипертензивния ефект на </w:t>
      </w:r>
      <w:proofErr w:type="spellStart"/>
      <w:r w:rsidRPr="00424500">
        <w:rPr>
          <w:rFonts w:eastAsia="Times New Roman" w:cs="Arial"/>
          <w:color w:val="000000"/>
          <w:szCs w:val="18"/>
          <w:lang w:eastAsia="bg-BG"/>
        </w:rPr>
        <w:t>тиазидните</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диуретици</w:t>
      </w:r>
      <w:proofErr w:type="spellEnd"/>
      <w:r w:rsidRPr="00424500">
        <w:rPr>
          <w:rFonts w:eastAsia="Times New Roman" w:cs="Arial"/>
          <w:color w:val="000000"/>
          <w:szCs w:val="18"/>
          <w:lang w:eastAsia="bg-BG"/>
        </w:rPr>
        <w:t xml:space="preserve"> не е напълно известен. </w:t>
      </w:r>
      <w:proofErr w:type="spellStart"/>
      <w:r w:rsidRPr="00424500">
        <w:rPr>
          <w:rFonts w:eastAsia="Times New Roman" w:cs="Arial"/>
          <w:color w:val="000000"/>
          <w:szCs w:val="18"/>
          <w:lang w:eastAsia="bg-BG"/>
        </w:rPr>
        <w:t>Тиазидите</w:t>
      </w:r>
      <w:proofErr w:type="spellEnd"/>
      <w:r w:rsidRPr="00424500">
        <w:rPr>
          <w:rFonts w:eastAsia="Times New Roman" w:cs="Arial"/>
          <w:color w:val="000000"/>
          <w:szCs w:val="18"/>
          <w:lang w:eastAsia="bg-BG"/>
        </w:rPr>
        <w:t xml:space="preserve"> влияят върху бъбречните </w:t>
      </w:r>
      <w:proofErr w:type="spellStart"/>
      <w:r w:rsidRPr="00424500">
        <w:rPr>
          <w:rFonts w:eastAsia="Times New Roman" w:cs="Arial"/>
          <w:color w:val="000000"/>
          <w:szCs w:val="18"/>
          <w:lang w:eastAsia="bg-BG"/>
        </w:rPr>
        <w:t>тубулни</w:t>
      </w:r>
      <w:proofErr w:type="spellEnd"/>
      <w:r w:rsidRPr="00424500">
        <w:rPr>
          <w:rFonts w:eastAsia="Times New Roman" w:cs="Arial"/>
          <w:color w:val="000000"/>
          <w:szCs w:val="18"/>
          <w:lang w:eastAsia="bg-BG"/>
        </w:rPr>
        <w:t xml:space="preserve"> механизми на </w:t>
      </w:r>
      <w:proofErr w:type="spellStart"/>
      <w:r w:rsidRPr="00424500">
        <w:rPr>
          <w:rFonts w:eastAsia="Times New Roman" w:cs="Arial"/>
          <w:color w:val="000000"/>
          <w:szCs w:val="18"/>
          <w:lang w:eastAsia="bg-BG"/>
        </w:rPr>
        <w:t>реабсорбция</w:t>
      </w:r>
      <w:proofErr w:type="spellEnd"/>
      <w:r w:rsidRPr="00424500">
        <w:rPr>
          <w:rFonts w:eastAsia="Times New Roman" w:cs="Arial"/>
          <w:color w:val="000000"/>
          <w:szCs w:val="18"/>
          <w:lang w:eastAsia="bg-BG"/>
        </w:rPr>
        <w:t xml:space="preserve"> на електролитите, като директно увеличават </w:t>
      </w:r>
      <w:proofErr w:type="spellStart"/>
      <w:r w:rsidRPr="00424500">
        <w:rPr>
          <w:rFonts w:eastAsia="Times New Roman" w:cs="Arial"/>
          <w:color w:val="000000"/>
          <w:szCs w:val="18"/>
          <w:lang w:eastAsia="bg-BG"/>
        </w:rPr>
        <w:t>екскретирането</w:t>
      </w:r>
      <w:proofErr w:type="spellEnd"/>
      <w:r w:rsidRPr="00424500">
        <w:rPr>
          <w:rFonts w:eastAsia="Times New Roman" w:cs="Arial"/>
          <w:color w:val="000000"/>
          <w:szCs w:val="18"/>
          <w:lang w:eastAsia="bg-BG"/>
        </w:rPr>
        <w:t xml:space="preserve"> на натрий и хлориди в приблизително еквивалентни количества. Диуретичното действие на хидрохлоротиазид намалява плазмения обем, повишава активността на ренин в плазмата, засилва секрецията на </w:t>
      </w:r>
      <w:proofErr w:type="spellStart"/>
      <w:r w:rsidRPr="00424500">
        <w:rPr>
          <w:rFonts w:eastAsia="Times New Roman" w:cs="Arial"/>
          <w:color w:val="000000"/>
          <w:szCs w:val="18"/>
          <w:lang w:eastAsia="bg-BG"/>
        </w:rPr>
        <w:t>алдостерон</w:t>
      </w:r>
      <w:proofErr w:type="spellEnd"/>
      <w:r w:rsidRPr="00424500">
        <w:rPr>
          <w:rFonts w:eastAsia="Times New Roman" w:cs="Arial"/>
          <w:color w:val="000000"/>
          <w:szCs w:val="18"/>
          <w:lang w:eastAsia="bg-BG"/>
        </w:rPr>
        <w:t xml:space="preserve"> с последващо увеличено отделяне на калий и бикарбонати в урината и намаляване на серумната концентрация на калий. Вероятно чрез блокиране на ренин-</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w:t>
      </w:r>
      <w:proofErr w:type="spellStart"/>
      <w:r w:rsidRPr="00424500">
        <w:rPr>
          <w:rFonts w:eastAsia="Times New Roman" w:cs="Arial"/>
          <w:color w:val="000000"/>
          <w:szCs w:val="18"/>
          <w:lang w:eastAsia="bg-BG"/>
        </w:rPr>
        <w:t>алдостероновата</w:t>
      </w:r>
      <w:proofErr w:type="spellEnd"/>
      <w:r w:rsidRPr="00424500">
        <w:rPr>
          <w:rFonts w:eastAsia="Times New Roman" w:cs="Arial"/>
          <w:color w:val="000000"/>
          <w:szCs w:val="18"/>
          <w:lang w:eastAsia="bg-BG"/>
        </w:rPr>
        <w:t xml:space="preserve"> система, едновременното приложение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има тенденция към предотвратяване загубата на калий, свързана с действието на тези </w:t>
      </w:r>
      <w:proofErr w:type="spellStart"/>
      <w:r w:rsidRPr="00424500">
        <w:rPr>
          <w:rFonts w:eastAsia="Times New Roman" w:cs="Arial"/>
          <w:color w:val="000000"/>
          <w:szCs w:val="18"/>
          <w:lang w:eastAsia="bg-BG"/>
        </w:rPr>
        <w:t>диуретици</w:t>
      </w:r>
      <w:proofErr w:type="spellEnd"/>
      <w:r w:rsidRPr="00424500">
        <w:rPr>
          <w:rFonts w:eastAsia="Times New Roman" w:cs="Arial"/>
          <w:color w:val="000000"/>
          <w:szCs w:val="18"/>
          <w:lang w:eastAsia="bg-BG"/>
        </w:rPr>
        <w:t xml:space="preserve">. При хидрохлоротиазид началото на </w:t>
      </w:r>
      <w:proofErr w:type="spellStart"/>
      <w:r w:rsidRPr="00424500">
        <w:rPr>
          <w:rFonts w:eastAsia="Times New Roman" w:cs="Arial"/>
          <w:color w:val="000000"/>
          <w:szCs w:val="18"/>
          <w:lang w:eastAsia="bg-BG"/>
        </w:rPr>
        <w:t>диурезата</w:t>
      </w:r>
      <w:proofErr w:type="spellEnd"/>
      <w:r w:rsidRPr="00424500">
        <w:rPr>
          <w:rFonts w:eastAsia="Times New Roman" w:cs="Arial"/>
          <w:color w:val="000000"/>
          <w:szCs w:val="18"/>
          <w:lang w:eastAsia="bg-BG"/>
        </w:rPr>
        <w:t xml:space="preserve"> настъпва след 2 часа, а максималният ефект обикновено се достига след 4 часа, а действието продължава приблизително 6-12 часа.</w:t>
      </w:r>
    </w:p>
    <w:p w14:paraId="24DED0B2" w14:textId="77777777" w:rsidR="00DF3D99" w:rsidRPr="00424500" w:rsidRDefault="00DF3D99" w:rsidP="00DF3D99">
      <w:pPr>
        <w:spacing w:line="240" w:lineRule="auto"/>
        <w:rPr>
          <w:rFonts w:eastAsia="Times New Roman" w:cs="Arial"/>
          <w:color w:val="000000"/>
          <w:szCs w:val="18"/>
          <w:lang w:eastAsia="bg-BG"/>
        </w:rPr>
      </w:pPr>
    </w:p>
    <w:p w14:paraId="7D6B4F3E" w14:textId="0A777C0E"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Комбинацията от хидрохлоротиазид 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предизвиква </w:t>
      </w:r>
      <w:proofErr w:type="spellStart"/>
      <w:r w:rsidRPr="00424500">
        <w:rPr>
          <w:rFonts w:eastAsia="Times New Roman" w:cs="Arial"/>
          <w:color w:val="000000"/>
          <w:szCs w:val="18"/>
          <w:lang w:eastAsia="bg-BG"/>
        </w:rPr>
        <w:t>дозозависимо</w:t>
      </w:r>
      <w:proofErr w:type="spellEnd"/>
      <w:r w:rsidRPr="00424500">
        <w:rPr>
          <w:rFonts w:eastAsia="Times New Roman" w:cs="Arial"/>
          <w:color w:val="000000"/>
          <w:szCs w:val="18"/>
          <w:lang w:eastAsia="bg-BG"/>
        </w:rPr>
        <w:t xml:space="preserve">, адитивно понижение на кръвното налягане при прием на терапевтичните дози. Добавянето на 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хидрохлоротиазид към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веднъж дневно при пациенти, които не са се повлияли достатъчно добре от самостоятелното приложение на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предизвиква допълнително коригирано спрямо плацебо понижение на диастолното налягане, с най-ниска стойност (24 часа след приема) от 6,1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Комбинацията от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хидрохлоротиазид предизвиква общо понижение на </w:t>
      </w:r>
      <w:proofErr w:type="spellStart"/>
      <w:r w:rsidRPr="00424500">
        <w:rPr>
          <w:rFonts w:eastAsia="Times New Roman" w:cs="Arial"/>
          <w:color w:val="000000"/>
          <w:szCs w:val="18"/>
          <w:lang w:eastAsia="bg-BG"/>
        </w:rPr>
        <w:t>систолното</w:t>
      </w:r>
      <w:proofErr w:type="spellEnd"/>
      <w:r w:rsidRPr="00424500">
        <w:rPr>
          <w:rFonts w:eastAsia="Times New Roman" w:cs="Arial"/>
          <w:color w:val="000000"/>
          <w:szCs w:val="18"/>
          <w:lang w:eastAsia="bg-BG"/>
        </w:rPr>
        <w:t xml:space="preserve"> и </w:t>
      </w:r>
      <w:proofErr w:type="spellStart"/>
      <w:r w:rsidRPr="00424500">
        <w:rPr>
          <w:rFonts w:eastAsia="Times New Roman" w:cs="Arial"/>
          <w:color w:val="000000"/>
          <w:szCs w:val="18"/>
          <w:lang w:eastAsia="bg-BG"/>
        </w:rPr>
        <w:t>диастоличното</w:t>
      </w:r>
      <w:proofErr w:type="spellEnd"/>
      <w:r w:rsidRPr="00424500">
        <w:rPr>
          <w:rFonts w:eastAsia="Times New Roman" w:cs="Arial"/>
          <w:color w:val="000000"/>
          <w:szCs w:val="18"/>
          <w:lang w:eastAsia="bg-BG"/>
        </w:rPr>
        <w:t xml:space="preserve"> налягане спрямо плацебо до 13,6/11,5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w:t>
      </w:r>
    </w:p>
    <w:p w14:paraId="773D776A" w14:textId="77777777" w:rsidR="00DF3D99" w:rsidRPr="00424500" w:rsidRDefault="00DF3D99" w:rsidP="00DF3D99">
      <w:pPr>
        <w:spacing w:line="240" w:lineRule="auto"/>
        <w:rPr>
          <w:rFonts w:eastAsia="Times New Roman" w:cs="Arial"/>
          <w:color w:val="000000"/>
          <w:szCs w:val="18"/>
          <w:lang w:eastAsia="bg-BG"/>
        </w:rPr>
      </w:pPr>
    </w:p>
    <w:p w14:paraId="18CC072B" w14:textId="12F90B91"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Ограничени клинични данни (7 от 22 пациенти) показват, че при пациенти, при които не е постигнат желания контрол при комбинацията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биха могли да се повлияят от комбинацията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При тези пациенти е наблюдавано значително понижаване на кръвното налягане както на </w:t>
      </w:r>
      <w:proofErr w:type="spellStart"/>
      <w:r w:rsidRPr="00424500">
        <w:rPr>
          <w:rFonts w:eastAsia="Times New Roman" w:cs="Arial"/>
          <w:color w:val="000000"/>
          <w:szCs w:val="18"/>
          <w:lang w:eastAsia="bg-BG"/>
        </w:rPr>
        <w:t>систолното</w:t>
      </w:r>
      <w:proofErr w:type="spellEnd"/>
      <w:r w:rsidRPr="00424500">
        <w:rPr>
          <w:rFonts w:eastAsia="Times New Roman" w:cs="Arial"/>
          <w:color w:val="000000"/>
          <w:szCs w:val="18"/>
          <w:lang w:eastAsia="bg-BG"/>
        </w:rPr>
        <w:t xml:space="preserve"> кръвно налягане </w:t>
      </w:r>
      <w:r w:rsidRPr="00424500">
        <w:rPr>
          <w:rFonts w:eastAsia="Times New Roman" w:cs="Arial"/>
          <w:color w:val="000000"/>
          <w:szCs w:val="18"/>
        </w:rPr>
        <w:t xml:space="preserve">(SBP), </w:t>
      </w:r>
      <w:r w:rsidRPr="00424500">
        <w:rPr>
          <w:rFonts w:eastAsia="Times New Roman" w:cs="Arial"/>
          <w:color w:val="000000"/>
          <w:szCs w:val="18"/>
          <w:lang w:eastAsia="bg-BG"/>
        </w:rPr>
        <w:t xml:space="preserve">така и на </w:t>
      </w:r>
      <w:proofErr w:type="spellStart"/>
      <w:r w:rsidRPr="00424500">
        <w:rPr>
          <w:rFonts w:eastAsia="Times New Roman" w:cs="Arial"/>
          <w:color w:val="000000"/>
          <w:szCs w:val="18"/>
          <w:lang w:eastAsia="bg-BG"/>
        </w:rPr>
        <w:t>диастоличното</w:t>
      </w:r>
      <w:proofErr w:type="spellEnd"/>
      <w:r w:rsidRPr="00424500">
        <w:rPr>
          <w:rFonts w:eastAsia="Times New Roman" w:cs="Arial"/>
          <w:color w:val="000000"/>
          <w:szCs w:val="18"/>
          <w:lang w:eastAsia="bg-BG"/>
        </w:rPr>
        <w:t xml:space="preserve"> кръвно налягане </w:t>
      </w:r>
      <w:r w:rsidRPr="00424500">
        <w:rPr>
          <w:rFonts w:eastAsia="Times New Roman" w:cs="Arial"/>
          <w:color w:val="000000"/>
          <w:szCs w:val="18"/>
        </w:rPr>
        <w:t xml:space="preserve">(DBP) </w:t>
      </w:r>
      <w:r w:rsidRPr="00424500">
        <w:rPr>
          <w:rFonts w:eastAsia="Times New Roman" w:cs="Arial"/>
          <w:color w:val="000000"/>
          <w:szCs w:val="18"/>
          <w:lang w:eastAsia="bg-BG"/>
        </w:rPr>
        <w:t xml:space="preserve">(съответно 13,3 и 8,3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w:t>
      </w:r>
    </w:p>
    <w:p w14:paraId="056CB698" w14:textId="77777777" w:rsidR="00DF3D99" w:rsidRPr="00424500" w:rsidRDefault="00DF3D99" w:rsidP="00DF3D99">
      <w:pPr>
        <w:rPr>
          <w:rFonts w:eastAsia="Times New Roman" w:cs="Arial"/>
          <w:color w:val="000000"/>
          <w:szCs w:val="18"/>
          <w:lang w:eastAsia="bg-BG"/>
        </w:rPr>
      </w:pPr>
    </w:p>
    <w:p w14:paraId="7762D721" w14:textId="36A5A103" w:rsidR="00DF3D99" w:rsidRPr="00424500" w:rsidRDefault="00DF3D99" w:rsidP="00DF3D99">
      <w:pPr>
        <w:rPr>
          <w:rFonts w:eastAsia="Times New Roman" w:cs="Arial"/>
          <w:color w:val="000000"/>
          <w:szCs w:val="18"/>
          <w:lang w:eastAsia="bg-BG"/>
        </w:rPr>
      </w:pPr>
      <w:r w:rsidRPr="00424500">
        <w:rPr>
          <w:rFonts w:eastAsia="Times New Roman" w:cs="Arial"/>
          <w:color w:val="000000"/>
          <w:szCs w:val="18"/>
          <w:lang w:eastAsia="bg-BG"/>
        </w:rPr>
        <w:t xml:space="preserve">Еднократният дневен прием на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хидрохлоротиазид предизвиква средно понижение на коригираното спрямо плацебо </w:t>
      </w:r>
      <w:proofErr w:type="spellStart"/>
      <w:r w:rsidRPr="00424500">
        <w:rPr>
          <w:rFonts w:eastAsia="Times New Roman" w:cs="Arial"/>
          <w:color w:val="000000"/>
          <w:szCs w:val="18"/>
          <w:lang w:eastAsia="bg-BG"/>
        </w:rPr>
        <w:t>систолно</w:t>
      </w:r>
      <w:proofErr w:type="spellEnd"/>
      <w:r w:rsidRPr="00424500">
        <w:rPr>
          <w:rFonts w:eastAsia="Times New Roman" w:cs="Arial"/>
          <w:color w:val="000000"/>
          <w:szCs w:val="18"/>
          <w:lang w:eastAsia="bg-BG"/>
        </w:rPr>
        <w:t xml:space="preserve">/диастолно кръвно налягане, с най- ниска стойност (до 24 часа след приема) от 12,9/6,9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при пациенти с лека до умерена хипертония. Максимален ефект се достига след 3-6 часа. При амбулаторно проследяване на кръвното налягане, комбинацията от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хидрохлоротиазид, приета веднъж дневно, поддържа постоянни стойности на кръвното налягане през 24-часовия период със средно 24-часово понижение спрямо плацебо на </w:t>
      </w:r>
      <w:proofErr w:type="spellStart"/>
      <w:r w:rsidRPr="00424500">
        <w:rPr>
          <w:rFonts w:eastAsia="Times New Roman" w:cs="Arial"/>
          <w:color w:val="000000"/>
          <w:szCs w:val="18"/>
          <w:lang w:eastAsia="bg-BG"/>
        </w:rPr>
        <w:t>систолното</w:t>
      </w:r>
      <w:proofErr w:type="spellEnd"/>
      <w:r w:rsidRPr="00424500">
        <w:rPr>
          <w:rFonts w:eastAsia="Times New Roman" w:cs="Arial"/>
          <w:color w:val="000000"/>
          <w:szCs w:val="18"/>
          <w:lang w:eastAsia="bg-BG"/>
        </w:rPr>
        <w:t xml:space="preserve">/диастолното налягане от 15,8/10,0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Амбулаторното проследяване е отчело, че съотношението между най-малкия и най-големия ефект от приема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е 100%. Същото съотношение, измерено при посещение в лекарски кабинет с апарат с маншета, е 68% и 76% при употреба съответно </w:t>
      </w:r>
      <w:r w:rsidRPr="00424500">
        <w:rPr>
          <w:rFonts w:eastAsia="Times New Roman" w:cs="Arial"/>
          <w:color w:val="000000"/>
          <w:szCs w:val="18"/>
          <w:lang w:eastAsia="bg-BG"/>
        </w:rPr>
        <w:lastRenderedPageBreak/>
        <w:t xml:space="preserve">на Ко- </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и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Тези 24-часови ефекти са наблюдавани без прекомерно понижаване на кръвното налягане при максималния ефект и съответстват на безопасно и ефективно понижение на кръвното налягане при еднократен дневен прием.</w:t>
      </w:r>
    </w:p>
    <w:p w14:paraId="0B1EC7FC" w14:textId="36EAC47F" w:rsidR="00DF3D99" w:rsidRPr="00424500" w:rsidRDefault="00DF3D99" w:rsidP="00DF3D99">
      <w:pPr>
        <w:rPr>
          <w:rFonts w:eastAsia="Times New Roman" w:cs="Arial"/>
          <w:color w:val="000000"/>
          <w:szCs w:val="18"/>
          <w:lang w:eastAsia="bg-BG"/>
        </w:rPr>
      </w:pPr>
    </w:p>
    <w:p w14:paraId="4D414F1C"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При пациенти, които не се повлияват добре само от 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хидрохлоротиазид, добавянето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предизвиква допълнително средно понижение спрямо плацебо на </w:t>
      </w:r>
      <w:proofErr w:type="spellStart"/>
      <w:r w:rsidRPr="00424500">
        <w:rPr>
          <w:rFonts w:eastAsia="Times New Roman" w:cs="Arial"/>
          <w:color w:val="000000"/>
          <w:szCs w:val="18"/>
          <w:lang w:eastAsia="bg-BG"/>
        </w:rPr>
        <w:t>систолното</w:t>
      </w:r>
      <w:proofErr w:type="spellEnd"/>
      <w:r w:rsidRPr="00424500">
        <w:rPr>
          <w:rFonts w:eastAsia="Times New Roman" w:cs="Arial"/>
          <w:color w:val="000000"/>
          <w:szCs w:val="18"/>
          <w:lang w:eastAsia="bg-BG"/>
        </w:rPr>
        <w:t xml:space="preserve">/диастолното налягане от 11,1/7,2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w:t>
      </w:r>
    </w:p>
    <w:p w14:paraId="1CEDDF88" w14:textId="77777777" w:rsidR="00DF3D99" w:rsidRPr="00424500" w:rsidRDefault="00DF3D99" w:rsidP="00DF3D99">
      <w:pPr>
        <w:spacing w:line="240" w:lineRule="auto"/>
        <w:rPr>
          <w:rFonts w:eastAsia="Times New Roman" w:cs="Arial"/>
          <w:color w:val="000000"/>
          <w:szCs w:val="18"/>
          <w:lang w:eastAsia="bg-BG"/>
        </w:rPr>
      </w:pPr>
    </w:p>
    <w:p w14:paraId="5D84B605" w14:textId="755D7211" w:rsidR="00DF3D99" w:rsidRPr="00424500" w:rsidRDefault="00DF3D99" w:rsidP="00DF3D99">
      <w:pPr>
        <w:spacing w:line="240" w:lineRule="auto"/>
        <w:rPr>
          <w:rFonts w:eastAsia="Times New Roman" w:cs="Arial"/>
          <w:sz w:val="32"/>
          <w:szCs w:val="24"/>
        </w:rPr>
      </w:pPr>
      <w:proofErr w:type="spellStart"/>
      <w:r w:rsidRPr="00424500">
        <w:rPr>
          <w:rFonts w:eastAsia="Times New Roman" w:cs="Arial"/>
          <w:color w:val="000000"/>
          <w:szCs w:val="18"/>
          <w:lang w:eastAsia="bg-BG"/>
        </w:rPr>
        <w:t>Хипотензивният</w:t>
      </w:r>
      <w:proofErr w:type="spellEnd"/>
      <w:r w:rsidRPr="00424500">
        <w:rPr>
          <w:rFonts w:eastAsia="Times New Roman" w:cs="Arial"/>
          <w:color w:val="000000"/>
          <w:szCs w:val="18"/>
          <w:lang w:eastAsia="bg-BG"/>
        </w:rPr>
        <w:t xml:space="preserve"> ефект на комбинацията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 хидрохлоротиазид се проявява още след прием на първата доза и е с продължителност 1-2 седмици, като максималният му ефект настъпва след 6-8 седмици. При дългосрочни клинични проучвания за проследяване е било установено, че ефектът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/хидрохлоротиазид се поддържа над 1 година. Въпреки че не са били провеждани целенасочени клинични проучвания с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по отношение на </w:t>
      </w:r>
      <w:proofErr w:type="spellStart"/>
      <w:r w:rsidRPr="00424500">
        <w:rPr>
          <w:rFonts w:eastAsia="Times New Roman" w:cs="Arial"/>
          <w:color w:val="000000"/>
          <w:szCs w:val="18"/>
          <w:lang w:eastAsia="bg-BG"/>
        </w:rPr>
        <w:t>ребаунд</w:t>
      </w:r>
      <w:proofErr w:type="spellEnd"/>
      <w:r w:rsidRPr="00424500">
        <w:rPr>
          <w:rFonts w:eastAsia="Times New Roman" w:cs="Arial"/>
          <w:color w:val="000000"/>
          <w:szCs w:val="18"/>
          <w:lang w:eastAsia="bg-BG"/>
        </w:rPr>
        <w:t xml:space="preserve"> хипертония, такъв ефект не е наблюдаван при приема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хидрохлоротиазид.</w:t>
      </w:r>
    </w:p>
    <w:p w14:paraId="1480CB8D" w14:textId="77777777" w:rsidR="00DF3D99" w:rsidRPr="00424500" w:rsidRDefault="00DF3D99" w:rsidP="00DF3D99">
      <w:pPr>
        <w:spacing w:line="240" w:lineRule="auto"/>
        <w:rPr>
          <w:rFonts w:eastAsia="Times New Roman" w:cs="Arial"/>
          <w:color w:val="000000"/>
          <w:szCs w:val="18"/>
          <w:lang w:eastAsia="bg-BG"/>
        </w:rPr>
      </w:pPr>
    </w:p>
    <w:p w14:paraId="4747B748" w14:textId="6CA5176E"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Ефектът на комбинацията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хидрохлоротиазид върху заболеваемостта и смъртността не е проучван. Епидемиологичните проучвания показват, че продължителното лечение с хидрохлоротиазид намалява риска от развитие на сърдечно-съдови заболявания и смърт.</w:t>
      </w:r>
    </w:p>
    <w:p w14:paraId="238B61CD" w14:textId="77777777" w:rsidR="00DF3D99" w:rsidRPr="00424500" w:rsidRDefault="00DF3D99" w:rsidP="00DF3D99">
      <w:pPr>
        <w:spacing w:line="240" w:lineRule="auto"/>
        <w:rPr>
          <w:rFonts w:eastAsia="Times New Roman" w:cs="Arial"/>
          <w:color w:val="000000"/>
          <w:szCs w:val="18"/>
          <w:lang w:eastAsia="bg-BG"/>
        </w:rPr>
      </w:pPr>
    </w:p>
    <w:p w14:paraId="254F1A5A" w14:textId="2C0DABFA"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Ефектът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не се определя от възрастта и пола. Подобно на случаи с други лекарствени продукти, които повлияват ренин-</w:t>
      </w:r>
      <w:proofErr w:type="spellStart"/>
      <w:r w:rsidRPr="00424500">
        <w:rPr>
          <w:rFonts w:eastAsia="Times New Roman" w:cs="Arial"/>
          <w:color w:val="000000"/>
          <w:szCs w:val="18"/>
          <w:lang w:eastAsia="bg-BG"/>
        </w:rPr>
        <w:t>ангиотензиновата</w:t>
      </w:r>
      <w:proofErr w:type="spellEnd"/>
      <w:r w:rsidRPr="00424500">
        <w:rPr>
          <w:rFonts w:eastAsia="Times New Roman" w:cs="Arial"/>
          <w:color w:val="000000"/>
          <w:szCs w:val="18"/>
          <w:lang w:eastAsia="bg-BG"/>
        </w:rPr>
        <w:t xml:space="preserve"> система, пациенти от черната раса с хипертония имат значително по-малък отговор при </w:t>
      </w:r>
      <w:proofErr w:type="spellStart"/>
      <w:r w:rsidRPr="00424500">
        <w:rPr>
          <w:rFonts w:eastAsia="Times New Roman" w:cs="Arial"/>
          <w:color w:val="000000"/>
          <w:szCs w:val="18"/>
          <w:lang w:eastAsia="bg-BG"/>
        </w:rPr>
        <w:t>монотерапия</w:t>
      </w:r>
      <w:proofErr w:type="spellEnd"/>
      <w:r w:rsidRPr="00424500">
        <w:rPr>
          <w:rFonts w:eastAsia="Times New Roman" w:cs="Arial"/>
          <w:color w:val="000000"/>
          <w:szCs w:val="18"/>
          <w:lang w:eastAsia="bg-BG"/>
        </w:rPr>
        <w:t xml:space="preserve"> с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При прилагане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заедно с ниска доза хидрохлоротиазид (напр. 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дневно) </w:t>
      </w:r>
      <w:proofErr w:type="spellStart"/>
      <w:r w:rsidRPr="00424500">
        <w:rPr>
          <w:rFonts w:eastAsia="Times New Roman" w:cs="Arial"/>
          <w:color w:val="000000"/>
          <w:szCs w:val="18"/>
          <w:lang w:eastAsia="bg-BG"/>
        </w:rPr>
        <w:t>антихипертензнвният</w:t>
      </w:r>
      <w:proofErr w:type="spellEnd"/>
      <w:r w:rsidRPr="00424500">
        <w:rPr>
          <w:rFonts w:eastAsia="Times New Roman" w:cs="Arial"/>
          <w:color w:val="000000"/>
          <w:szCs w:val="18"/>
          <w:lang w:eastAsia="bg-BG"/>
        </w:rPr>
        <w:t xml:space="preserve"> отговор при чернокожите пациенти се доближава до този при пациентите от бялата раса.</w:t>
      </w:r>
    </w:p>
    <w:p w14:paraId="1AF377CC" w14:textId="77777777" w:rsidR="00DF3D99" w:rsidRPr="00424500" w:rsidRDefault="00DF3D99" w:rsidP="00DF3D99">
      <w:pPr>
        <w:spacing w:line="240" w:lineRule="auto"/>
        <w:rPr>
          <w:rFonts w:eastAsia="Times New Roman" w:cs="Arial"/>
          <w:color w:val="000000"/>
          <w:szCs w:val="18"/>
          <w:u w:val="single"/>
          <w:lang w:eastAsia="bg-BG"/>
        </w:rPr>
      </w:pPr>
    </w:p>
    <w:p w14:paraId="66B2B653" w14:textId="3533AFFE"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u w:val="single"/>
          <w:lang w:eastAsia="bg-BG"/>
        </w:rPr>
        <w:t>Клинична ефикасност и безопасност</w:t>
      </w:r>
    </w:p>
    <w:p w14:paraId="167BD369" w14:textId="77777777" w:rsidR="00DF3D99" w:rsidRPr="00424500" w:rsidRDefault="00DF3D99" w:rsidP="00DF3D99">
      <w:pPr>
        <w:spacing w:line="240" w:lineRule="auto"/>
        <w:rPr>
          <w:rFonts w:eastAsia="Times New Roman" w:cs="Arial"/>
          <w:color w:val="000000"/>
          <w:szCs w:val="18"/>
          <w:lang w:eastAsia="bg-BG"/>
        </w:rPr>
      </w:pPr>
    </w:p>
    <w:p w14:paraId="710980DD" w14:textId="09477C65"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Ефикасността и безопасността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като начална терапия при тежка хипертония (дефинирана при </w:t>
      </w:r>
      <w:proofErr w:type="spellStart"/>
      <w:r w:rsidRPr="00424500">
        <w:rPr>
          <w:rFonts w:eastAsia="Times New Roman" w:cs="Arial"/>
          <w:color w:val="000000"/>
          <w:szCs w:val="18"/>
        </w:rPr>
        <w:t>SeDBP</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≥110 </w:t>
      </w:r>
      <w:proofErr w:type="spellStart"/>
      <w:r w:rsidRPr="00424500">
        <w:rPr>
          <w:rFonts w:eastAsia="Times New Roman" w:cs="Arial"/>
          <w:color w:val="000000"/>
          <w:szCs w:val="18"/>
        </w:rPr>
        <w:t>mmHg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са оценени в </w:t>
      </w:r>
      <w:proofErr w:type="spellStart"/>
      <w:r w:rsidRPr="00424500">
        <w:rPr>
          <w:rFonts w:eastAsia="Times New Roman" w:cs="Arial"/>
          <w:color w:val="000000"/>
          <w:szCs w:val="18"/>
          <w:lang w:eastAsia="bg-BG"/>
        </w:rPr>
        <w:t>многоцентрово</w:t>
      </w:r>
      <w:proofErr w:type="spellEnd"/>
      <w:r w:rsidRPr="00424500">
        <w:rPr>
          <w:rFonts w:eastAsia="Times New Roman" w:cs="Arial"/>
          <w:color w:val="000000"/>
          <w:szCs w:val="18"/>
          <w:lang w:eastAsia="bg-BG"/>
        </w:rPr>
        <w:t xml:space="preserve">, рандомизирано, двойносляпо, активно контролирано, 8-седмично, паралелно групово проучване. Общо 697 пациенти са рандомизирани в съотношение 2:1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/хидрохлоротиазид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/12,5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150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и при систематично форсирано титриране (преди да бъде оценен отговора към по-ниската доза) след една седмица, съответно до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w:t>
      </w:r>
      <w:proofErr w:type="spellStart"/>
      <w:r w:rsidRPr="00424500">
        <w:rPr>
          <w:rFonts w:eastAsia="Times New Roman" w:cs="Arial"/>
          <w:color w:val="000000"/>
          <w:szCs w:val="18"/>
          <w:lang w:eastAsia="bg-BG"/>
        </w:rPr>
        <w:t>хидрохлортиазид</w:t>
      </w:r>
      <w:proofErr w:type="spellEnd"/>
      <w:r w:rsidRPr="00424500">
        <w:rPr>
          <w:rFonts w:eastAsia="Times New Roman" w:cs="Arial"/>
          <w:color w:val="000000"/>
          <w:szCs w:val="18"/>
          <w:lang w:eastAsia="bg-BG"/>
        </w:rPr>
        <w:t xml:space="preserve"> 300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/25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или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300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
    <w:p w14:paraId="2BF8632D" w14:textId="77777777" w:rsidR="00DF3D99" w:rsidRPr="00424500" w:rsidRDefault="00DF3D99" w:rsidP="00DF3D99">
      <w:pPr>
        <w:spacing w:line="240" w:lineRule="auto"/>
        <w:rPr>
          <w:rFonts w:eastAsia="Times New Roman" w:cs="Arial"/>
          <w:color w:val="000000"/>
          <w:szCs w:val="18"/>
          <w:lang w:eastAsia="bg-BG"/>
        </w:rPr>
      </w:pPr>
    </w:p>
    <w:p w14:paraId="14A1A203" w14:textId="276A16C6"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58% от пациентите в проучването са от мъжки пол. Средната възраст на пациентите е 52,5 години, 13% са на възраст ≥ 65 години и само 2% са на възраст ≥ 75. Дванадесет процента (12%) от пациентите са диабетици, 34% са с </w:t>
      </w:r>
      <w:proofErr w:type="spellStart"/>
      <w:r w:rsidRPr="00424500">
        <w:rPr>
          <w:rFonts w:eastAsia="Times New Roman" w:cs="Arial"/>
          <w:color w:val="000000"/>
          <w:szCs w:val="18"/>
          <w:lang w:eastAsia="bg-BG"/>
        </w:rPr>
        <w:t>хиперлипидемия</w:t>
      </w:r>
      <w:proofErr w:type="spellEnd"/>
      <w:r w:rsidRPr="00424500">
        <w:rPr>
          <w:rFonts w:eastAsia="Times New Roman" w:cs="Arial"/>
          <w:color w:val="000000"/>
          <w:szCs w:val="18"/>
          <w:lang w:eastAsia="bg-BG"/>
        </w:rPr>
        <w:t xml:space="preserve">, а най-честото сърдечно-съдово състояние е стабилна ангина </w:t>
      </w:r>
      <w:proofErr w:type="spellStart"/>
      <w:r w:rsidRPr="00424500">
        <w:rPr>
          <w:rFonts w:eastAsia="Times New Roman" w:cs="Arial"/>
          <w:color w:val="000000"/>
          <w:szCs w:val="18"/>
          <w:lang w:eastAsia="bg-BG"/>
        </w:rPr>
        <w:t>пекторис</w:t>
      </w:r>
      <w:proofErr w:type="spellEnd"/>
      <w:r w:rsidRPr="00424500">
        <w:rPr>
          <w:rFonts w:eastAsia="Times New Roman" w:cs="Arial"/>
          <w:color w:val="000000"/>
          <w:szCs w:val="18"/>
          <w:lang w:eastAsia="bg-BG"/>
        </w:rPr>
        <w:t xml:space="preserve"> при 3,5% от участниците.</w:t>
      </w:r>
    </w:p>
    <w:p w14:paraId="1C91851D" w14:textId="77777777" w:rsidR="00DF3D99" w:rsidRPr="00424500" w:rsidRDefault="00DF3D99" w:rsidP="00DF3D99">
      <w:pPr>
        <w:spacing w:line="240" w:lineRule="auto"/>
        <w:rPr>
          <w:rFonts w:eastAsia="Times New Roman" w:cs="Arial"/>
          <w:color w:val="000000"/>
          <w:szCs w:val="18"/>
          <w:lang w:eastAsia="bg-BG"/>
        </w:rPr>
      </w:pPr>
    </w:p>
    <w:p w14:paraId="17D10D28" w14:textId="7301867E"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Основната цел на това проучване е да се съпостави съотношението на пациентите, при които </w:t>
      </w:r>
      <w:proofErr w:type="spellStart"/>
      <w:r w:rsidRPr="00424500">
        <w:rPr>
          <w:rFonts w:eastAsia="Times New Roman" w:cs="Arial"/>
          <w:color w:val="000000"/>
          <w:szCs w:val="18"/>
        </w:rPr>
        <w:t>SeDBP</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е било контролирано </w:t>
      </w:r>
      <w:r w:rsidRPr="00424500">
        <w:rPr>
          <w:rFonts w:eastAsia="Times New Roman" w:cs="Arial"/>
          <w:color w:val="000000"/>
          <w:szCs w:val="18"/>
        </w:rPr>
        <w:t>(</w:t>
      </w:r>
      <w:proofErr w:type="spellStart"/>
      <w:r w:rsidRPr="00424500">
        <w:rPr>
          <w:rFonts w:eastAsia="Times New Roman" w:cs="Arial"/>
          <w:color w:val="000000"/>
          <w:szCs w:val="18"/>
        </w:rPr>
        <w:t>SeDBP</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&lt; 90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през 5-та седмица от лечението. Четиридесет и седем процента (47,2%) от пациентите, лекувани с комбинацията, са достигнали най-ниска стойност </w:t>
      </w:r>
      <w:proofErr w:type="spellStart"/>
      <w:r w:rsidRPr="00424500">
        <w:rPr>
          <w:rFonts w:eastAsia="Times New Roman" w:cs="Arial"/>
          <w:color w:val="000000"/>
          <w:szCs w:val="18"/>
        </w:rPr>
        <w:t>SeDBP</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&lt; 90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в сравнение с 33,2% от пациентите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(р = 0,0005). Средната изходна стойност на кръвното налягане е приблизително 172/113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при всяка от групите на лечение и намаляването на </w:t>
      </w:r>
      <w:proofErr w:type="spellStart"/>
      <w:r w:rsidRPr="00424500">
        <w:rPr>
          <w:rFonts w:eastAsia="Times New Roman" w:cs="Arial"/>
          <w:color w:val="000000"/>
          <w:szCs w:val="18"/>
        </w:rPr>
        <w:lastRenderedPageBreak/>
        <w:t>SeSBP</w:t>
      </w:r>
      <w:proofErr w:type="spellEnd"/>
      <w:r w:rsidRPr="00424500">
        <w:rPr>
          <w:rFonts w:eastAsia="Times New Roman" w:cs="Arial"/>
          <w:color w:val="000000"/>
          <w:szCs w:val="18"/>
        </w:rPr>
        <w:t>/</w:t>
      </w:r>
      <w:proofErr w:type="spellStart"/>
      <w:r w:rsidRPr="00424500">
        <w:rPr>
          <w:rFonts w:eastAsia="Times New Roman" w:cs="Arial"/>
          <w:color w:val="000000"/>
          <w:szCs w:val="18"/>
        </w:rPr>
        <w:t>SeDBP</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през петата седмица е 30,8/24,0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и 21,1/19,3 </w:t>
      </w:r>
      <w:r w:rsidRPr="00424500">
        <w:rPr>
          <w:rFonts w:eastAsia="Times New Roman" w:cs="Arial"/>
          <w:color w:val="000000"/>
          <w:szCs w:val="18"/>
        </w:rPr>
        <w:t xml:space="preserve">mm </w:t>
      </w:r>
      <w:proofErr w:type="spellStart"/>
      <w:r w:rsidRPr="00424500">
        <w:rPr>
          <w:rFonts w:eastAsia="Times New Roman" w:cs="Arial"/>
          <w:color w:val="000000"/>
          <w:szCs w:val="18"/>
        </w:rPr>
        <w:t>Hg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съответно за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w:t>
      </w:r>
      <w:proofErr w:type="spellStart"/>
      <w:r w:rsidRPr="00424500">
        <w:rPr>
          <w:rFonts w:eastAsia="Times New Roman" w:cs="Arial"/>
          <w:color w:val="000000"/>
          <w:szCs w:val="18"/>
          <w:lang w:eastAsia="bg-BG"/>
        </w:rPr>
        <w:t>хидрохлортиазид</w:t>
      </w:r>
      <w:proofErr w:type="spellEnd"/>
      <w:r w:rsidRPr="00424500">
        <w:rPr>
          <w:rFonts w:eastAsia="Times New Roman" w:cs="Arial"/>
          <w:color w:val="000000"/>
          <w:szCs w:val="18"/>
          <w:lang w:eastAsia="bg-BG"/>
        </w:rPr>
        <w:t xml:space="preserve"> 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(р &lt; 0,0001).</w:t>
      </w:r>
    </w:p>
    <w:p w14:paraId="1313EFC3" w14:textId="77777777" w:rsidR="00DF3D99" w:rsidRPr="00424500" w:rsidRDefault="00DF3D99" w:rsidP="00DF3D99">
      <w:pPr>
        <w:spacing w:line="240" w:lineRule="auto"/>
        <w:rPr>
          <w:rFonts w:eastAsia="Times New Roman" w:cs="Arial"/>
          <w:color w:val="000000"/>
          <w:szCs w:val="18"/>
          <w:lang w:eastAsia="bg-BG"/>
        </w:rPr>
      </w:pPr>
    </w:p>
    <w:p w14:paraId="49F2769F" w14:textId="15AC6E66"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Видът и честотата на съобщените нежелани реакции при пациентите, лекувани с комбинацията са подобни на профила на нежеланите реакции при пациентите на </w:t>
      </w:r>
      <w:proofErr w:type="spellStart"/>
      <w:r w:rsidRPr="00424500">
        <w:rPr>
          <w:rFonts w:eastAsia="Times New Roman" w:cs="Arial"/>
          <w:color w:val="000000"/>
          <w:szCs w:val="18"/>
          <w:lang w:eastAsia="bg-BG"/>
        </w:rPr>
        <w:t>монотерапия</w:t>
      </w:r>
      <w:proofErr w:type="spellEnd"/>
      <w:r w:rsidRPr="00424500">
        <w:rPr>
          <w:rFonts w:eastAsia="Times New Roman" w:cs="Arial"/>
          <w:color w:val="000000"/>
          <w:szCs w:val="18"/>
          <w:lang w:eastAsia="bg-BG"/>
        </w:rPr>
        <w:t xml:space="preserve">. Няма съобщения за случаи на </w:t>
      </w:r>
      <w:proofErr w:type="spellStart"/>
      <w:r w:rsidRPr="00424500">
        <w:rPr>
          <w:rFonts w:eastAsia="Times New Roman" w:cs="Arial"/>
          <w:color w:val="000000"/>
          <w:szCs w:val="18"/>
          <w:lang w:eastAsia="bg-BG"/>
        </w:rPr>
        <w:t>синкоп</w:t>
      </w:r>
      <w:proofErr w:type="spellEnd"/>
      <w:r w:rsidRPr="00424500">
        <w:rPr>
          <w:rFonts w:eastAsia="Times New Roman" w:cs="Arial"/>
          <w:color w:val="000000"/>
          <w:szCs w:val="18"/>
          <w:lang w:eastAsia="bg-BG"/>
        </w:rPr>
        <w:t xml:space="preserve"> в нито една от групите през 8-седмичния период на лечение. Има съобщения за хипотония, като нежелана реакция при 0,6% и 0% от пациентите, и за замаяност при 2,8% и 3,1 % съответно в групата с комбинирана терапия и групата с </w:t>
      </w:r>
      <w:proofErr w:type="spellStart"/>
      <w:r w:rsidRPr="00424500">
        <w:rPr>
          <w:rFonts w:eastAsia="Times New Roman" w:cs="Arial"/>
          <w:color w:val="000000"/>
          <w:szCs w:val="18"/>
          <w:lang w:eastAsia="bg-BG"/>
        </w:rPr>
        <w:t>монотерапия</w:t>
      </w:r>
      <w:proofErr w:type="spellEnd"/>
      <w:r w:rsidRPr="00424500">
        <w:rPr>
          <w:rFonts w:eastAsia="Times New Roman" w:cs="Arial"/>
          <w:color w:val="000000"/>
          <w:szCs w:val="18"/>
          <w:lang w:eastAsia="bg-BG"/>
        </w:rPr>
        <w:t>.</w:t>
      </w:r>
    </w:p>
    <w:p w14:paraId="35D713B4" w14:textId="77777777" w:rsidR="00DF3D99" w:rsidRPr="00424500" w:rsidRDefault="00DF3D99" w:rsidP="00DF3D99">
      <w:pPr>
        <w:spacing w:line="240" w:lineRule="auto"/>
        <w:rPr>
          <w:rFonts w:eastAsia="Times New Roman" w:cs="Arial"/>
          <w:i/>
          <w:iCs/>
          <w:color w:val="000000"/>
          <w:szCs w:val="18"/>
          <w:lang w:eastAsia="bg-BG"/>
        </w:rPr>
      </w:pPr>
    </w:p>
    <w:p w14:paraId="75BD895A" w14:textId="7EE1C1DC" w:rsidR="00DF3D99" w:rsidRPr="00424500" w:rsidRDefault="00DF3D99" w:rsidP="00DF3D99">
      <w:pPr>
        <w:spacing w:line="240" w:lineRule="auto"/>
        <w:rPr>
          <w:rFonts w:eastAsia="Times New Roman" w:cs="Arial"/>
          <w:sz w:val="32"/>
          <w:szCs w:val="24"/>
        </w:rPr>
      </w:pPr>
      <w:r w:rsidRPr="00424500">
        <w:rPr>
          <w:rFonts w:eastAsia="Times New Roman" w:cs="Arial"/>
          <w:i/>
          <w:iCs/>
          <w:color w:val="000000"/>
          <w:szCs w:val="18"/>
          <w:lang w:eastAsia="bg-BG"/>
        </w:rPr>
        <w:t>Двойно блокиране на ренин-</w:t>
      </w:r>
      <w:proofErr w:type="spellStart"/>
      <w:r w:rsidRPr="00424500">
        <w:rPr>
          <w:rFonts w:eastAsia="Times New Roman" w:cs="Arial"/>
          <w:i/>
          <w:iCs/>
          <w:color w:val="000000"/>
          <w:szCs w:val="18"/>
          <w:lang w:eastAsia="bg-BG"/>
        </w:rPr>
        <w:t>ангиотензин</w:t>
      </w:r>
      <w:proofErr w:type="spellEnd"/>
      <w:r w:rsidRPr="00424500">
        <w:rPr>
          <w:rFonts w:eastAsia="Times New Roman" w:cs="Arial"/>
          <w:i/>
          <w:iCs/>
          <w:color w:val="000000"/>
          <w:szCs w:val="18"/>
          <w:lang w:eastAsia="bg-BG"/>
        </w:rPr>
        <w:t>-</w:t>
      </w:r>
      <w:proofErr w:type="spellStart"/>
      <w:r w:rsidRPr="00424500">
        <w:rPr>
          <w:rFonts w:eastAsia="Times New Roman" w:cs="Arial"/>
          <w:i/>
          <w:iCs/>
          <w:color w:val="000000"/>
          <w:szCs w:val="18"/>
          <w:lang w:eastAsia="bg-BG"/>
        </w:rPr>
        <w:t>алдостероновата</w:t>
      </w:r>
      <w:proofErr w:type="spellEnd"/>
      <w:r w:rsidRPr="00424500">
        <w:rPr>
          <w:rFonts w:eastAsia="Times New Roman" w:cs="Arial"/>
          <w:i/>
          <w:iCs/>
          <w:color w:val="000000"/>
          <w:szCs w:val="18"/>
          <w:lang w:eastAsia="bg-BG"/>
        </w:rPr>
        <w:t xml:space="preserve"> система (РААС)</w:t>
      </w:r>
    </w:p>
    <w:p w14:paraId="19F2E714" w14:textId="77777777" w:rsidR="00DF3D99" w:rsidRPr="00424500" w:rsidRDefault="00DF3D99" w:rsidP="00DF3D99">
      <w:pPr>
        <w:rPr>
          <w:rFonts w:eastAsia="Times New Roman" w:cs="Arial"/>
          <w:color w:val="000000"/>
          <w:szCs w:val="18"/>
          <w:lang w:eastAsia="bg-BG"/>
        </w:rPr>
      </w:pPr>
    </w:p>
    <w:p w14:paraId="5298FF5D" w14:textId="77777777" w:rsidR="00DF3D99" w:rsidRPr="00424500" w:rsidRDefault="00DF3D99" w:rsidP="00DF3D99">
      <w:pPr>
        <w:rPr>
          <w:rFonts w:eastAsia="Times New Roman" w:cs="Arial"/>
          <w:sz w:val="32"/>
          <w:szCs w:val="24"/>
        </w:rPr>
      </w:pPr>
      <w:r w:rsidRPr="00424500">
        <w:rPr>
          <w:rFonts w:eastAsia="Times New Roman" w:cs="Arial"/>
          <w:color w:val="000000"/>
          <w:szCs w:val="18"/>
          <w:lang w:eastAsia="bg-BG"/>
        </w:rPr>
        <w:t xml:space="preserve">Две големи рандомизирани контролирани проучвания - </w:t>
      </w:r>
      <w:r w:rsidRPr="00424500">
        <w:rPr>
          <w:rFonts w:eastAsia="Times New Roman" w:cs="Arial"/>
          <w:color w:val="000000"/>
          <w:szCs w:val="18"/>
        </w:rPr>
        <w:t>ONTARGET (</w:t>
      </w:r>
      <w:proofErr w:type="spellStart"/>
      <w:r w:rsidRPr="00424500">
        <w:rPr>
          <w:rFonts w:eastAsia="Times New Roman" w:cs="Arial"/>
          <w:color w:val="000000"/>
          <w:szCs w:val="18"/>
        </w:rPr>
        <w:t>ONgoing</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Telmisartan</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Alone</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and</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in</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combination</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with</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Ramipril</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Global</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Endpoint</w:t>
      </w:r>
      <w:proofErr w:type="spellEnd"/>
      <w:r w:rsidRPr="00424500">
        <w:rPr>
          <w:rFonts w:eastAsia="Times New Roman" w:cs="Arial"/>
          <w:color w:val="000000"/>
          <w:szCs w:val="18"/>
        </w:rPr>
        <w:t xml:space="preserve"> </w:t>
      </w:r>
      <w:proofErr w:type="spellStart"/>
      <w:r w:rsidRPr="00424500">
        <w:rPr>
          <w:rFonts w:eastAsia="Times New Roman" w:cs="Arial"/>
          <w:color w:val="000000"/>
          <w:szCs w:val="18"/>
        </w:rPr>
        <w:t>Trial</w:t>
      </w:r>
      <w:proofErr w:type="spellEnd"/>
      <w:r w:rsidRPr="00424500">
        <w:rPr>
          <w:rFonts w:eastAsia="Times New Roman" w:cs="Arial"/>
          <w:color w:val="000000"/>
          <w:szCs w:val="18"/>
        </w:rPr>
        <w:t xml:space="preserve"> - </w:t>
      </w:r>
      <w:r w:rsidRPr="00424500">
        <w:rPr>
          <w:rFonts w:eastAsia="Times New Roman" w:cs="Arial"/>
          <w:color w:val="000000"/>
          <w:szCs w:val="18"/>
          <w:lang w:eastAsia="bg-BG"/>
        </w:rPr>
        <w:t xml:space="preserve">текущо глобално изпитване за крайни точки на </w:t>
      </w:r>
      <w:proofErr w:type="spellStart"/>
      <w:r w:rsidRPr="00424500">
        <w:rPr>
          <w:rFonts w:eastAsia="Times New Roman" w:cs="Arial"/>
          <w:color w:val="000000"/>
          <w:szCs w:val="18"/>
          <w:lang w:eastAsia="bg-BG"/>
        </w:rPr>
        <w:t>телмисартан</w:t>
      </w:r>
      <w:proofErr w:type="spellEnd"/>
      <w:r w:rsidRPr="00424500">
        <w:rPr>
          <w:rFonts w:eastAsia="Times New Roman" w:cs="Arial"/>
          <w:color w:val="000000"/>
          <w:szCs w:val="18"/>
          <w:lang w:eastAsia="bg-BG"/>
        </w:rPr>
        <w:t xml:space="preserve">, самостоятелно и в комбинация с </w:t>
      </w:r>
      <w:proofErr w:type="spellStart"/>
      <w:r w:rsidRPr="00424500">
        <w:rPr>
          <w:rFonts w:eastAsia="Times New Roman" w:cs="Arial"/>
          <w:color w:val="000000"/>
          <w:szCs w:val="18"/>
          <w:lang w:eastAsia="bg-BG"/>
        </w:rPr>
        <w:t>рамиприл</w:t>
      </w:r>
      <w:proofErr w:type="spellEnd"/>
      <w:r w:rsidRPr="00424500">
        <w:rPr>
          <w:rFonts w:eastAsia="Times New Roman" w:cs="Arial"/>
          <w:color w:val="000000"/>
          <w:szCs w:val="18"/>
          <w:lang w:eastAsia="bg-BG"/>
        </w:rPr>
        <w:t xml:space="preserve">) и </w:t>
      </w:r>
      <w:r w:rsidRPr="00424500">
        <w:rPr>
          <w:rFonts w:eastAsia="Times New Roman" w:cs="Arial"/>
          <w:color w:val="000000"/>
          <w:szCs w:val="18"/>
        </w:rPr>
        <w:t xml:space="preserve">VA NEPHRON-D </w:t>
      </w:r>
      <w:r w:rsidRPr="00424500">
        <w:rPr>
          <w:rFonts w:eastAsia="Times New Roman" w:cs="Arial"/>
          <w:color w:val="000000"/>
          <w:szCs w:val="18"/>
          <w:lang w:eastAsia="bg-BG"/>
        </w:rPr>
        <w:t xml:space="preserve">(Клинично проучване свързано с развитие на нефропатия при диабет, проведено от Министерство на въпросите на ветераните) - проучват употребата на комбинацията от АСЕ инхибитор и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w:t>
      </w:r>
      <w:r w:rsidRPr="00424500">
        <w:rPr>
          <w:rFonts w:eastAsia="Times New Roman" w:cs="Arial"/>
          <w:color w:val="000000"/>
          <w:szCs w:val="18"/>
        </w:rPr>
        <w:t>II</w:t>
      </w:r>
      <w:r w:rsidRPr="00424500">
        <w:rPr>
          <w:rFonts w:eastAsia="Times New Roman" w:cs="Arial"/>
          <w:color w:val="000000"/>
          <w:szCs w:val="18"/>
          <w:lang w:eastAsia="bg-BG"/>
        </w:rPr>
        <w:t xml:space="preserve">-рецепторен </w:t>
      </w:r>
      <w:proofErr w:type="spellStart"/>
      <w:r w:rsidRPr="00424500">
        <w:rPr>
          <w:rFonts w:eastAsia="Times New Roman" w:cs="Arial"/>
          <w:color w:val="000000"/>
          <w:szCs w:val="18"/>
          <w:lang w:eastAsia="bg-BG"/>
        </w:rPr>
        <w:t>блокер</w:t>
      </w:r>
      <w:proofErr w:type="spellEnd"/>
      <w:r w:rsidRPr="00424500">
        <w:rPr>
          <w:rFonts w:eastAsia="Times New Roman" w:cs="Arial"/>
          <w:color w:val="000000"/>
          <w:szCs w:val="18"/>
          <w:lang w:eastAsia="bg-BG"/>
        </w:rPr>
        <w:t>.</w:t>
      </w:r>
    </w:p>
    <w:p w14:paraId="7FD4E8FB" w14:textId="77777777" w:rsidR="00DF3D99" w:rsidRPr="00424500" w:rsidRDefault="00DF3D99" w:rsidP="00DF3D99">
      <w:pPr>
        <w:spacing w:line="240" w:lineRule="auto"/>
        <w:rPr>
          <w:rFonts w:eastAsia="Times New Roman" w:cs="Arial"/>
          <w:color w:val="000000"/>
          <w:szCs w:val="18"/>
        </w:rPr>
      </w:pPr>
    </w:p>
    <w:p w14:paraId="52897D1C" w14:textId="1BC2160E"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rPr>
        <w:t xml:space="preserve">ONTARGET </w:t>
      </w:r>
      <w:r w:rsidRPr="00424500">
        <w:rPr>
          <w:rFonts w:eastAsia="Times New Roman" w:cs="Arial"/>
          <w:color w:val="000000"/>
          <w:szCs w:val="18"/>
          <w:lang w:eastAsia="bg-BG"/>
        </w:rPr>
        <w:t xml:space="preserve">е проучване, проведено при пациенти с анамнеза за сърдечно-съдова или </w:t>
      </w:r>
      <w:proofErr w:type="spellStart"/>
      <w:r w:rsidRPr="00424500">
        <w:rPr>
          <w:rFonts w:eastAsia="Times New Roman" w:cs="Arial"/>
          <w:color w:val="000000"/>
          <w:szCs w:val="18"/>
          <w:lang w:eastAsia="bg-BG"/>
        </w:rPr>
        <w:t>мозъчносъдова</w:t>
      </w:r>
      <w:proofErr w:type="spellEnd"/>
      <w:r w:rsidRPr="00424500">
        <w:rPr>
          <w:rFonts w:eastAsia="Times New Roman" w:cs="Arial"/>
          <w:color w:val="000000"/>
          <w:szCs w:val="18"/>
          <w:lang w:eastAsia="bg-BG"/>
        </w:rPr>
        <w:t xml:space="preserve"> болест, или захарен диабет тип 2, придружени с данни за увреждане на </w:t>
      </w:r>
      <w:proofErr w:type="spellStart"/>
      <w:r w:rsidRPr="00424500">
        <w:rPr>
          <w:rFonts w:eastAsia="Times New Roman" w:cs="Arial"/>
          <w:color w:val="000000"/>
          <w:szCs w:val="18"/>
          <w:lang w:eastAsia="bg-BG"/>
        </w:rPr>
        <w:t>ефекторни</w:t>
      </w:r>
      <w:proofErr w:type="spellEnd"/>
      <w:r w:rsidRPr="00424500">
        <w:rPr>
          <w:rFonts w:eastAsia="Times New Roman" w:cs="Arial"/>
          <w:color w:val="000000"/>
          <w:szCs w:val="18"/>
          <w:lang w:eastAsia="bg-BG"/>
        </w:rPr>
        <w:t xml:space="preserve"> органи. </w:t>
      </w:r>
      <w:r w:rsidRPr="00424500">
        <w:rPr>
          <w:rFonts w:eastAsia="Times New Roman" w:cs="Arial"/>
          <w:color w:val="000000"/>
          <w:szCs w:val="18"/>
        </w:rPr>
        <w:t xml:space="preserve">VA NEPHRON-D </w:t>
      </w:r>
      <w:r w:rsidRPr="00424500">
        <w:rPr>
          <w:rFonts w:eastAsia="Times New Roman" w:cs="Arial"/>
          <w:color w:val="000000"/>
          <w:szCs w:val="18"/>
          <w:lang w:eastAsia="bg-BG"/>
        </w:rPr>
        <w:t>е проучване при пациенти със захарен диабет тип 2 и диабетна нефропатия.</w:t>
      </w:r>
    </w:p>
    <w:p w14:paraId="228FD78C" w14:textId="77777777" w:rsidR="00DF3D99" w:rsidRPr="00424500" w:rsidRDefault="00DF3D99" w:rsidP="00DF3D99">
      <w:pPr>
        <w:spacing w:line="240" w:lineRule="auto"/>
        <w:rPr>
          <w:rFonts w:eastAsia="Times New Roman" w:cs="Arial"/>
          <w:color w:val="000000"/>
          <w:szCs w:val="18"/>
          <w:lang w:eastAsia="bg-BG"/>
        </w:rPr>
      </w:pPr>
    </w:p>
    <w:p w14:paraId="7F916B57" w14:textId="0A2B585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Тези проучвания не показват значим благоприятен ефект върху бъбречните и/или сърдечно</w:t>
      </w:r>
      <w:r w:rsidRPr="00424500">
        <w:rPr>
          <w:rFonts w:eastAsia="Times New Roman" w:cs="Arial"/>
          <w:color w:val="000000"/>
          <w:szCs w:val="18"/>
          <w:lang w:eastAsia="bg-BG"/>
        </w:rPr>
        <w:softHyphen/>
        <w:t xml:space="preserve">съдовите последици и смъртност, като същевременно са наблюдавани повишен риск от </w:t>
      </w:r>
      <w:proofErr w:type="spellStart"/>
      <w:r w:rsidRPr="00424500">
        <w:rPr>
          <w:rFonts w:eastAsia="Times New Roman" w:cs="Arial"/>
          <w:color w:val="000000"/>
          <w:szCs w:val="18"/>
          <w:lang w:eastAsia="bg-BG"/>
        </w:rPr>
        <w:t>хиперкалиемия</w:t>
      </w:r>
      <w:proofErr w:type="spellEnd"/>
      <w:r w:rsidRPr="00424500">
        <w:rPr>
          <w:rFonts w:eastAsia="Times New Roman" w:cs="Arial"/>
          <w:color w:val="000000"/>
          <w:szCs w:val="18"/>
          <w:lang w:eastAsia="bg-BG"/>
        </w:rPr>
        <w:t xml:space="preserve">, остро увреждане на бъбреците и/или хипотония в сравнение с </w:t>
      </w:r>
      <w:proofErr w:type="spellStart"/>
      <w:r w:rsidRPr="00424500">
        <w:rPr>
          <w:rFonts w:eastAsia="Times New Roman" w:cs="Arial"/>
          <w:color w:val="000000"/>
          <w:szCs w:val="18"/>
          <w:lang w:eastAsia="bg-BG"/>
        </w:rPr>
        <w:t>монотерапията</w:t>
      </w:r>
      <w:proofErr w:type="spellEnd"/>
      <w:r w:rsidRPr="00424500">
        <w:rPr>
          <w:rFonts w:eastAsia="Times New Roman" w:cs="Arial"/>
          <w:color w:val="000000"/>
          <w:szCs w:val="18"/>
          <w:lang w:eastAsia="bg-BG"/>
        </w:rPr>
        <w:t xml:space="preserve">. Като се имат предвид сходните им </w:t>
      </w:r>
      <w:proofErr w:type="spellStart"/>
      <w:r w:rsidRPr="00424500">
        <w:rPr>
          <w:rFonts w:eastAsia="Times New Roman" w:cs="Arial"/>
          <w:color w:val="000000"/>
          <w:szCs w:val="18"/>
          <w:lang w:eastAsia="bg-BG"/>
        </w:rPr>
        <w:t>фармакодинамични</w:t>
      </w:r>
      <w:proofErr w:type="spellEnd"/>
      <w:r w:rsidRPr="00424500">
        <w:rPr>
          <w:rFonts w:eastAsia="Times New Roman" w:cs="Arial"/>
          <w:color w:val="000000"/>
          <w:szCs w:val="18"/>
          <w:lang w:eastAsia="bg-BG"/>
        </w:rPr>
        <w:t xml:space="preserve"> свойства, тези резултати са приложими и за други АСЕ инхибитори и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w:t>
      </w:r>
      <w:r w:rsidRPr="00424500">
        <w:rPr>
          <w:rFonts w:eastAsia="Times New Roman" w:cs="Arial"/>
          <w:color w:val="000000"/>
          <w:szCs w:val="18"/>
        </w:rPr>
        <w:t>II</w:t>
      </w:r>
      <w:r w:rsidRPr="00424500">
        <w:rPr>
          <w:rFonts w:eastAsia="Times New Roman" w:cs="Arial"/>
          <w:color w:val="000000"/>
          <w:szCs w:val="18"/>
          <w:lang w:eastAsia="bg-BG"/>
        </w:rPr>
        <w:t xml:space="preserve">-рецепторни </w:t>
      </w:r>
      <w:proofErr w:type="spellStart"/>
      <w:r w:rsidRPr="00424500">
        <w:rPr>
          <w:rFonts w:eastAsia="Times New Roman" w:cs="Arial"/>
          <w:color w:val="000000"/>
          <w:szCs w:val="18"/>
          <w:lang w:eastAsia="bg-BG"/>
        </w:rPr>
        <w:t>блокери</w:t>
      </w:r>
      <w:proofErr w:type="spellEnd"/>
      <w:r w:rsidRPr="00424500">
        <w:rPr>
          <w:rFonts w:eastAsia="Times New Roman" w:cs="Arial"/>
          <w:color w:val="000000"/>
          <w:szCs w:val="18"/>
          <w:lang w:eastAsia="bg-BG"/>
        </w:rPr>
        <w:t>.</w:t>
      </w:r>
    </w:p>
    <w:p w14:paraId="08CFF673" w14:textId="77777777"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lang w:eastAsia="bg-BG"/>
        </w:rPr>
        <w:t xml:space="preserve">АСЕ инхибитори и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w:t>
      </w:r>
      <w:r w:rsidRPr="00424500">
        <w:rPr>
          <w:rFonts w:eastAsia="Times New Roman" w:cs="Arial"/>
          <w:color w:val="000000"/>
          <w:szCs w:val="18"/>
        </w:rPr>
        <w:t>II</w:t>
      </w:r>
      <w:r w:rsidRPr="00424500">
        <w:rPr>
          <w:rFonts w:eastAsia="Times New Roman" w:cs="Arial"/>
          <w:color w:val="000000"/>
          <w:szCs w:val="18"/>
          <w:lang w:eastAsia="bg-BG"/>
        </w:rPr>
        <w:t xml:space="preserve">-рецепторни </w:t>
      </w:r>
      <w:proofErr w:type="spellStart"/>
      <w:r w:rsidRPr="00424500">
        <w:rPr>
          <w:rFonts w:eastAsia="Times New Roman" w:cs="Arial"/>
          <w:color w:val="000000"/>
          <w:szCs w:val="18"/>
          <w:lang w:eastAsia="bg-BG"/>
        </w:rPr>
        <w:t>блокери</w:t>
      </w:r>
      <w:proofErr w:type="spellEnd"/>
      <w:r w:rsidRPr="00424500">
        <w:rPr>
          <w:rFonts w:eastAsia="Times New Roman" w:cs="Arial"/>
          <w:color w:val="000000"/>
          <w:szCs w:val="18"/>
          <w:lang w:eastAsia="bg-BG"/>
        </w:rPr>
        <w:t xml:space="preserve"> следователно не бива да се използват едновременно при пациенти с диабетна нефропатия.</w:t>
      </w:r>
    </w:p>
    <w:p w14:paraId="6735F24B" w14:textId="77777777" w:rsidR="00DF3D99" w:rsidRPr="00424500" w:rsidRDefault="00DF3D99" w:rsidP="00DF3D99">
      <w:pPr>
        <w:spacing w:line="240" w:lineRule="auto"/>
        <w:rPr>
          <w:rFonts w:eastAsia="Times New Roman" w:cs="Arial"/>
          <w:color w:val="000000"/>
          <w:szCs w:val="18"/>
        </w:rPr>
      </w:pPr>
    </w:p>
    <w:p w14:paraId="2D2E4769" w14:textId="3BE8A605" w:rsidR="00DF3D99" w:rsidRPr="00424500" w:rsidRDefault="00DF3D99" w:rsidP="00DF3D99">
      <w:pPr>
        <w:spacing w:line="240" w:lineRule="auto"/>
        <w:rPr>
          <w:rFonts w:eastAsia="Times New Roman" w:cs="Arial"/>
          <w:sz w:val="32"/>
          <w:szCs w:val="24"/>
        </w:rPr>
      </w:pPr>
      <w:r w:rsidRPr="00424500">
        <w:rPr>
          <w:rFonts w:eastAsia="Times New Roman" w:cs="Arial"/>
          <w:color w:val="000000"/>
          <w:szCs w:val="18"/>
        </w:rPr>
        <w:t xml:space="preserve">ALTITUDE </w:t>
      </w:r>
      <w:r w:rsidRPr="00424500">
        <w:rPr>
          <w:rFonts w:eastAsia="Times New Roman" w:cs="Arial"/>
          <w:color w:val="000000"/>
          <w:szCs w:val="18"/>
          <w:lang w:eastAsia="bg-BG"/>
        </w:rPr>
        <w:t xml:space="preserve">(Клинично проучване, проведено с </w:t>
      </w:r>
      <w:proofErr w:type="spellStart"/>
      <w:r w:rsidRPr="00424500">
        <w:rPr>
          <w:rFonts w:eastAsia="Times New Roman" w:cs="Arial"/>
          <w:color w:val="000000"/>
          <w:szCs w:val="18"/>
          <w:lang w:eastAsia="bg-BG"/>
        </w:rPr>
        <w:t>алискирен</w:t>
      </w:r>
      <w:proofErr w:type="spellEnd"/>
      <w:r w:rsidRPr="00424500">
        <w:rPr>
          <w:rFonts w:eastAsia="Times New Roman" w:cs="Arial"/>
          <w:color w:val="000000"/>
          <w:szCs w:val="18"/>
          <w:lang w:eastAsia="bg-BG"/>
        </w:rPr>
        <w:t xml:space="preserve">,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w:t>
      </w:r>
      <w:proofErr w:type="spellStart"/>
      <w:r w:rsidRPr="00424500">
        <w:rPr>
          <w:rFonts w:eastAsia="Times New Roman" w:cs="Arial"/>
          <w:color w:val="000000"/>
          <w:szCs w:val="18"/>
          <w:lang w:eastAsia="bg-BG"/>
        </w:rPr>
        <w:t>алискирен</w:t>
      </w:r>
      <w:proofErr w:type="spellEnd"/>
      <w:r w:rsidRPr="00424500">
        <w:rPr>
          <w:rFonts w:eastAsia="Times New Roman" w:cs="Arial"/>
          <w:color w:val="000000"/>
          <w:szCs w:val="18"/>
          <w:lang w:eastAsia="bg-BG"/>
        </w:rPr>
        <w:t xml:space="preserve"> към стандартна терапия с АСЕ инхибитор или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w:t>
      </w:r>
      <w:r w:rsidRPr="00424500">
        <w:rPr>
          <w:rFonts w:eastAsia="Times New Roman" w:cs="Arial"/>
          <w:color w:val="000000"/>
          <w:szCs w:val="18"/>
        </w:rPr>
        <w:t>II</w:t>
      </w:r>
      <w:r w:rsidRPr="00424500">
        <w:rPr>
          <w:rFonts w:eastAsia="Times New Roman" w:cs="Arial"/>
          <w:color w:val="000000"/>
          <w:szCs w:val="18"/>
          <w:lang w:eastAsia="bg-BG"/>
        </w:rPr>
        <w:t xml:space="preserve">-рецепторен </w:t>
      </w:r>
      <w:proofErr w:type="spellStart"/>
      <w:r w:rsidRPr="00424500">
        <w:rPr>
          <w:rFonts w:eastAsia="Times New Roman" w:cs="Arial"/>
          <w:color w:val="000000"/>
          <w:szCs w:val="18"/>
          <w:lang w:eastAsia="bg-BG"/>
        </w:rPr>
        <w:t>блокер</w:t>
      </w:r>
      <w:proofErr w:type="spellEnd"/>
      <w:r w:rsidRPr="00424500">
        <w:rPr>
          <w:rFonts w:eastAsia="Times New Roman" w:cs="Arial"/>
          <w:color w:val="000000"/>
          <w:szCs w:val="18"/>
          <w:lang w:eastAsia="bg-BG"/>
        </w:rPr>
        <w:t xml:space="preserve">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w:t>
      </w:r>
      <w:r w:rsidRPr="00424500">
        <w:rPr>
          <w:rFonts w:eastAsia="Times New Roman" w:cs="Arial"/>
          <w:color w:val="000000"/>
          <w:szCs w:val="18"/>
          <w:lang w:eastAsia="bg-BG"/>
        </w:rPr>
        <w:softHyphen/>
        <w:t xml:space="preserve">съдовата смърт, така и инсултът са по-чести в групата на </w:t>
      </w:r>
      <w:proofErr w:type="spellStart"/>
      <w:r w:rsidRPr="00424500">
        <w:rPr>
          <w:rFonts w:eastAsia="Times New Roman" w:cs="Arial"/>
          <w:color w:val="000000"/>
          <w:szCs w:val="18"/>
          <w:lang w:eastAsia="bg-BG"/>
        </w:rPr>
        <w:t>алискирен</w:t>
      </w:r>
      <w:proofErr w:type="spellEnd"/>
      <w:r w:rsidRPr="00424500">
        <w:rPr>
          <w:rFonts w:eastAsia="Times New Roman" w:cs="Arial"/>
          <w:color w:val="000000"/>
          <w:szCs w:val="18"/>
          <w:lang w:eastAsia="bg-BG"/>
        </w:rPr>
        <w:t>, отколкото в групата на плацебо, а представляващите интерес нежелани събития и сериозни нежелани събития (</w:t>
      </w:r>
      <w:proofErr w:type="spellStart"/>
      <w:r w:rsidRPr="00424500">
        <w:rPr>
          <w:rFonts w:eastAsia="Times New Roman" w:cs="Arial"/>
          <w:color w:val="000000"/>
          <w:szCs w:val="18"/>
          <w:lang w:eastAsia="bg-BG"/>
        </w:rPr>
        <w:t>хиперкалиемия</w:t>
      </w:r>
      <w:proofErr w:type="spellEnd"/>
      <w:r w:rsidRPr="00424500">
        <w:rPr>
          <w:rFonts w:eastAsia="Times New Roman" w:cs="Arial"/>
          <w:color w:val="000000"/>
          <w:szCs w:val="18"/>
          <w:lang w:eastAsia="bg-BG"/>
        </w:rPr>
        <w:t xml:space="preserve">, хипотония и бъбречна дисфункция) се съобщават по-често в групата на </w:t>
      </w:r>
      <w:proofErr w:type="spellStart"/>
      <w:r w:rsidRPr="00424500">
        <w:rPr>
          <w:rFonts w:eastAsia="Times New Roman" w:cs="Arial"/>
          <w:color w:val="000000"/>
          <w:szCs w:val="18"/>
          <w:lang w:eastAsia="bg-BG"/>
        </w:rPr>
        <w:t>алискирен</w:t>
      </w:r>
      <w:proofErr w:type="spellEnd"/>
      <w:r w:rsidRPr="00424500">
        <w:rPr>
          <w:rFonts w:eastAsia="Times New Roman" w:cs="Arial"/>
          <w:color w:val="000000"/>
          <w:szCs w:val="18"/>
          <w:lang w:eastAsia="bg-BG"/>
        </w:rPr>
        <w:t>, отколкото в групата на плацебо.</w:t>
      </w:r>
    </w:p>
    <w:p w14:paraId="68A6915D" w14:textId="77777777" w:rsidR="009C7494" w:rsidRPr="00424500" w:rsidRDefault="009C7494" w:rsidP="00DF3D99">
      <w:pPr>
        <w:spacing w:line="240" w:lineRule="auto"/>
        <w:rPr>
          <w:rFonts w:eastAsia="Times New Roman" w:cs="Arial"/>
          <w:i/>
          <w:iCs/>
          <w:color w:val="000000"/>
          <w:szCs w:val="18"/>
          <w:lang w:eastAsia="bg-BG"/>
        </w:rPr>
      </w:pPr>
    </w:p>
    <w:p w14:paraId="6376525F" w14:textId="4551A7FE" w:rsidR="00DF3D99" w:rsidRPr="00424500" w:rsidRDefault="00DF3D99" w:rsidP="00DF3D99">
      <w:pPr>
        <w:spacing w:line="240" w:lineRule="auto"/>
        <w:rPr>
          <w:rFonts w:eastAsia="Times New Roman" w:cs="Arial"/>
          <w:sz w:val="32"/>
          <w:szCs w:val="24"/>
        </w:rPr>
      </w:pPr>
      <w:proofErr w:type="spellStart"/>
      <w:r w:rsidRPr="00424500">
        <w:rPr>
          <w:rFonts w:eastAsia="Times New Roman" w:cs="Arial"/>
          <w:i/>
          <w:iCs/>
          <w:color w:val="000000"/>
          <w:szCs w:val="18"/>
          <w:lang w:eastAsia="bg-BG"/>
        </w:rPr>
        <w:t>Немеланомен</w:t>
      </w:r>
      <w:proofErr w:type="spellEnd"/>
      <w:r w:rsidRPr="00424500">
        <w:rPr>
          <w:rFonts w:eastAsia="Times New Roman" w:cs="Arial"/>
          <w:i/>
          <w:iCs/>
          <w:color w:val="000000"/>
          <w:szCs w:val="18"/>
          <w:lang w:eastAsia="bg-BG"/>
        </w:rPr>
        <w:t xml:space="preserve"> кожен рак</w:t>
      </w:r>
    </w:p>
    <w:p w14:paraId="49C27D67" w14:textId="77777777" w:rsidR="009C7494" w:rsidRPr="00424500" w:rsidRDefault="009C7494" w:rsidP="00DF3D99">
      <w:pPr>
        <w:rPr>
          <w:rFonts w:eastAsia="Times New Roman" w:cs="Arial"/>
          <w:color w:val="000000"/>
          <w:szCs w:val="18"/>
          <w:lang w:eastAsia="bg-BG"/>
        </w:rPr>
      </w:pPr>
    </w:p>
    <w:p w14:paraId="67810D95" w14:textId="23EC2308" w:rsidR="00DF3D99" w:rsidRPr="00424500" w:rsidRDefault="00DF3D99" w:rsidP="00DF3D99">
      <w:pPr>
        <w:rPr>
          <w:rFonts w:eastAsia="Times New Roman" w:cs="Arial"/>
          <w:color w:val="000000"/>
          <w:szCs w:val="18"/>
          <w:lang w:eastAsia="bg-BG"/>
        </w:rPr>
      </w:pPr>
      <w:r w:rsidRPr="00424500">
        <w:rPr>
          <w:rFonts w:eastAsia="Times New Roman" w:cs="Arial"/>
          <w:color w:val="000000"/>
          <w:szCs w:val="18"/>
          <w:lang w:eastAsia="bg-BG"/>
        </w:rPr>
        <w:t xml:space="preserve">Въз основа на наличните данни от епидемиологични изследвания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w:t>
      </w:r>
      <w:r w:rsidRPr="00424500">
        <w:rPr>
          <w:rFonts w:eastAsia="Times New Roman" w:cs="Arial"/>
          <w:color w:val="000000"/>
          <w:szCs w:val="18"/>
          <w:lang w:eastAsia="bg-BG"/>
        </w:rPr>
        <w:lastRenderedPageBreak/>
        <w:t xml:space="preserve">(кумулативно ≥50 000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 е свързана с коригиран </w:t>
      </w:r>
      <w:r w:rsidRPr="00424500">
        <w:rPr>
          <w:rFonts w:eastAsia="Times New Roman" w:cs="Arial"/>
          <w:color w:val="000000"/>
          <w:szCs w:val="18"/>
        </w:rPr>
        <w:t xml:space="preserve">OR </w:t>
      </w:r>
      <w:r w:rsidRPr="00424500">
        <w:rPr>
          <w:rFonts w:eastAsia="Times New Roman" w:cs="Arial"/>
          <w:color w:val="000000"/>
          <w:szCs w:val="18"/>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424500">
        <w:rPr>
          <w:rFonts w:eastAsia="Times New Roman" w:cs="Arial"/>
          <w:color w:val="000000"/>
          <w:szCs w:val="18"/>
        </w:rPr>
        <w:t xml:space="preserve">OR </w:t>
      </w:r>
      <w:r w:rsidRPr="00424500">
        <w:rPr>
          <w:rFonts w:eastAsia="Times New Roman" w:cs="Arial"/>
          <w:color w:val="000000"/>
          <w:szCs w:val="18"/>
          <w:lang w:eastAsia="bg-BG"/>
        </w:rPr>
        <w:t xml:space="preserve">2,1 (95% ДИ: 1,7-2,6), нарастващ до </w:t>
      </w:r>
      <w:r w:rsidRPr="00424500">
        <w:rPr>
          <w:rFonts w:eastAsia="Times New Roman" w:cs="Arial"/>
          <w:color w:val="000000"/>
          <w:szCs w:val="18"/>
        </w:rPr>
        <w:t xml:space="preserve">OR </w:t>
      </w:r>
      <w:r w:rsidRPr="00424500">
        <w:rPr>
          <w:rFonts w:eastAsia="Times New Roman" w:cs="Arial"/>
          <w:color w:val="000000"/>
          <w:szCs w:val="18"/>
          <w:lang w:eastAsia="bg-BG"/>
        </w:rPr>
        <w:t xml:space="preserve">3,9 (3,0-4,9) за висока употреба (~25 000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и </w:t>
      </w:r>
      <w:r w:rsidRPr="00424500">
        <w:rPr>
          <w:rFonts w:eastAsia="Times New Roman" w:cs="Arial"/>
          <w:color w:val="000000"/>
          <w:szCs w:val="18"/>
        </w:rPr>
        <w:t xml:space="preserve">OR </w:t>
      </w:r>
      <w:r w:rsidRPr="00424500">
        <w:rPr>
          <w:rFonts w:eastAsia="Times New Roman" w:cs="Arial"/>
          <w:color w:val="000000"/>
          <w:szCs w:val="18"/>
          <w:lang w:eastAsia="bg-BG"/>
        </w:rPr>
        <w:t>7,7 (5,7-10,5) за най-високата кумулативна доза (-100 000) (вж. също точка 4.4).</w:t>
      </w:r>
    </w:p>
    <w:p w14:paraId="3508A5ED" w14:textId="77777777" w:rsidR="009C7494" w:rsidRPr="00424500" w:rsidRDefault="009C7494" w:rsidP="00DF3D99">
      <w:pPr>
        <w:rPr>
          <w:rFonts w:cs="Arial"/>
          <w:sz w:val="28"/>
        </w:rPr>
      </w:pPr>
    </w:p>
    <w:p w14:paraId="78DD93AA" w14:textId="27D23B88" w:rsidR="00B6672E" w:rsidRPr="00424500" w:rsidRDefault="002C50EE" w:rsidP="00936AD0">
      <w:pPr>
        <w:pStyle w:val="Heading2"/>
      </w:pPr>
      <w:r w:rsidRPr="00424500">
        <w:t>5.2. Фармакокинетични свойства</w:t>
      </w:r>
    </w:p>
    <w:p w14:paraId="4742A05B" w14:textId="620E95A1" w:rsidR="009C7494" w:rsidRPr="00424500" w:rsidRDefault="009C7494" w:rsidP="009C7494"/>
    <w:p w14:paraId="1F1DFAA4" w14:textId="77777777"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Едновременният прием на хидрохлоротиазид 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влияе върху фармакокинетиката им.</w:t>
      </w:r>
    </w:p>
    <w:p w14:paraId="5F87FFD5" w14:textId="77777777" w:rsidR="009C7494" w:rsidRPr="00424500" w:rsidRDefault="009C7494" w:rsidP="009C7494">
      <w:pPr>
        <w:spacing w:line="240" w:lineRule="auto"/>
        <w:rPr>
          <w:rFonts w:eastAsia="Times New Roman" w:cs="Arial"/>
          <w:color w:val="000000"/>
          <w:szCs w:val="18"/>
          <w:u w:val="single"/>
          <w:lang w:eastAsia="bg-BG"/>
        </w:rPr>
      </w:pPr>
    </w:p>
    <w:p w14:paraId="5C252B09" w14:textId="5F7D2883" w:rsidR="009C7494" w:rsidRPr="00424500" w:rsidRDefault="009C7494" w:rsidP="009C7494">
      <w:pPr>
        <w:pStyle w:val="Heading3"/>
        <w:rPr>
          <w:rFonts w:eastAsia="Times New Roman"/>
          <w:sz w:val="32"/>
          <w:u w:val="single"/>
        </w:rPr>
      </w:pPr>
      <w:r w:rsidRPr="00424500">
        <w:rPr>
          <w:rFonts w:eastAsia="Times New Roman"/>
          <w:u w:val="single"/>
          <w:lang w:eastAsia="bg-BG"/>
        </w:rPr>
        <w:t>Абсорбция</w:t>
      </w:r>
    </w:p>
    <w:p w14:paraId="4A05997D" w14:textId="77777777" w:rsidR="009C7494" w:rsidRPr="00424500" w:rsidRDefault="009C7494" w:rsidP="009C7494">
      <w:pPr>
        <w:spacing w:line="240" w:lineRule="auto"/>
        <w:rPr>
          <w:rFonts w:eastAsia="Times New Roman" w:cs="Arial"/>
          <w:color w:val="000000"/>
          <w:szCs w:val="18"/>
          <w:lang w:eastAsia="bg-BG"/>
        </w:rPr>
      </w:pPr>
    </w:p>
    <w:p w14:paraId="18F0E0B9" w14:textId="7F6E6AD6" w:rsidR="009C7494" w:rsidRPr="00424500" w:rsidRDefault="009C7494" w:rsidP="009C7494">
      <w:pPr>
        <w:spacing w:line="240" w:lineRule="auto"/>
        <w:rPr>
          <w:rFonts w:eastAsia="Times New Roman" w:cs="Arial"/>
          <w:sz w:val="32"/>
          <w:szCs w:val="24"/>
        </w:rPr>
      </w:pP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хидрохлоротиазид са перорално активни </w:t>
      </w:r>
      <w:proofErr w:type="spellStart"/>
      <w:r w:rsidRPr="00424500">
        <w:rPr>
          <w:rFonts w:eastAsia="Times New Roman" w:cs="Arial"/>
          <w:color w:val="000000"/>
          <w:szCs w:val="18"/>
          <w:lang w:eastAsia="bg-BG"/>
        </w:rPr>
        <w:t>вещетва</w:t>
      </w:r>
      <w:proofErr w:type="spellEnd"/>
      <w:r w:rsidRPr="00424500">
        <w:rPr>
          <w:rFonts w:eastAsia="Times New Roman" w:cs="Arial"/>
          <w:color w:val="000000"/>
          <w:szCs w:val="18"/>
          <w:lang w:eastAsia="bg-BG"/>
        </w:rPr>
        <w:t xml:space="preserve"> и за тяхното действие не се изисква биотрансформация. След перорално приложение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абсолютната перорална бионаличност е 60-80% и 50-80%, съответно за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 хидрохлоротиазид. Едновременният прием на храна не променя значително бионаличността на Ко-</w:t>
      </w:r>
      <w:proofErr w:type="spellStart"/>
      <w:r w:rsidRPr="00424500">
        <w:rPr>
          <w:rFonts w:eastAsia="Times New Roman" w:cs="Arial"/>
          <w:color w:val="000000"/>
          <w:szCs w:val="18"/>
          <w:lang w:eastAsia="bg-BG"/>
        </w:rPr>
        <w:t>Ирбесо</w:t>
      </w:r>
      <w:proofErr w:type="spellEnd"/>
      <w:r w:rsidRPr="00424500">
        <w:rPr>
          <w:rFonts w:eastAsia="Times New Roman" w:cs="Arial"/>
          <w:color w:val="000000"/>
          <w:szCs w:val="18"/>
          <w:lang w:eastAsia="bg-BG"/>
        </w:rPr>
        <w:t xml:space="preserve">. Максимална плазмена концентрация се достига 1,5-2 часа след перорално приложение за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1-2,5 часа за хидрохлоротиазид.</w:t>
      </w:r>
    </w:p>
    <w:p w14:paraId="773C4DAF" w14:textId="77777777" w:rsidR="009C7494" w:rsidRPr="00424500" w:rsidRDefault="009C7494" w:rsidP="009C7494">
      <w:pPr>
        <w:spacing w:line="240" w:lineRule="auto"/>
        <w:rPr>
          <w:rFonts w:eastAsia="Times New Roman" w:cs="Arial"/>
          <w:color w:val="000000"/>
          <w:szCs w:val="18"/>
          <w:u w:val="single"/>
          <w:lang w:eastAsia="bg-BG"/>
        </w:rPr>
      </w:pPr>
    </w:p>
    <w:p w14:paraId="6BE9D49F" w14:textId="53DE3317" w:rsidR="009C7494" w:rsidRPr="00424500" w:rsidRDefault="009C7494" w:rsidP="009C7494">
      <w:pPr>
        <w:pStyle w:val="Heading3"/>
        <w:rPr>
          <w:rFonts w:eastAsia="Times New Roman"/>
          <w:u w:val="single"/>
          <w:lang w:eastAsia="bg-BG"/>
        </w:rPr>
      </w:pPr>
      <w:r w:rsidRPr="00424500">
        <w:rPr>
          <w:rFonts w:eastAsia="Times New Roman"/>
          <w:u w:val="single"/>
          <w:lang w:eastAsia="bg-BG"/>
        </w:rPr>
        <w:t>Разпределение</w:t>
      </w:r>
    </w:p>
    <w:p w14:paraId="0E5ADBAA" w14:textId="4EA9C839" w:rsidR="009C7494" w:rsidRPr="00424500" w:rsidRDefault="009C7494" w:rsidP="009C7494">
      <w:pPr>
        <w:spacing w:line="240" w:lineRule="auto"/>
        <w:rPr>
          <w:rFonts w:eastAsia="Times New Roman" w:cs="Arial"/>
          <w:color w:val="000000"/>
          <w:szCs w:val="18"/>
          <w:u w:val="single"/>
          <w:lang w:eastAsia="bg-BG"/>
        </w:rPr>
      </w:pPr>
    </w:p>
    <w:p w14:paraId="3A29EEA1" w14:textId="77777777"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Свързването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 плазмените протеини е около 96%, като свързването с клетъчните компоненти на кръвта е незначително. Обемът на разпределение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е 53-93 литра. Около 68% от хидрохлоротиазид се свързва с плазмените протеини, а привидният обем на разпределение е 0,83-1,14</w:t>
      </w:r>
      <w:r w:rsidRPr="00424500">
        <w:rPr>
          <w:rFonts w:eastAsia="Times New Roman" w:cs="Arial"/>
          <w:color w:val="000000"/>
          <w:szCs w:val="18"/>
        </w:rPr>
        <w:t>1/</w:t>
      </w:r>
      <w:proofErr w:type="spellStart"/>
      <w:r w:rsidRPr="00424500">
        <w:rPr>
          <w:rFonts w:eastAsia="Times New Roman" w:cs="Arial"/>
          <w:color w:val="000000"/>
          <w:szCs w:val="18"/>
        </w:rPr>
        <w:t>kg</w:t>
      </w:r>
      <w:proofErr w:type="spellEnd"/>
      <w:r w:rsidRPr="00424500">
        <w:rPr>
          <w:rFonts w:eastAsia="Times New Roman" w:cs="Arial"/>
          <w:color w:val="000000"/>
          <w:szCs w:val="18"/>
        </w:rPr>
        <w:t>.</w:t>
      </w:r>
    </w:p>
    <w:p w14:paraId="35A01DFA" w14:textId="77777777" w:rsidR="009C7494" w:rsidRPr="00424500" w:rsidRDefault="009C7494" w:rsidP="009C7494">
      <w:pPr>
        <w:spacing w:line="240" w:lineRule="auto"/>
        <w:rPr>
          <w:rFonts w:eastAsia="Times New Roman" w:cs="Arial"/>
          <w:color w:val="000000"/>
          <w:szCs w:val="18"/>
          <w:u w:val="single"/>
          <w:lang w:eastAsia="bg-BG"/>
        </w:rPr>
      </w:pPr>
    </w:p>
    <w:p w14:paraId="75B47365" w14:textId="07BB4058" w:rsidR="009C7494" w:rsidRPr="00424500" w:rsidRDefault="009C7494" w:rsidP="009C7494">
      <w:pPr>
        <w:pStyle w:val="Heading3"/>
        <w:rPr>
          <w:rFonts w:eastAsia="Times New Roman"/>
          <w:sz w:val="32"/>
          <w:u w:val="single"/>
        </w:rPr>
      </w:pPr>
      <w:r w:rsidRPr="00424500">
        <w:rPr>
          <w:rFonts w:eastAsia="Times New Roman"/>
          <w:u w:val="single"/>
          <w:lang w:eastAsia="bg-BG"/>
        </w:rPr>
        <w:t>Линейност/нелинейност</w:t>
      </w:r>
    </w:p>
    <w:p w14:paraId="26BBF2E3" w14:textId="77777777" w:rsidR="009C7494" w:rsidRPr="00424500" w:rsidRDefault="009C7494" w:rsidP="009C7494">
      <w:pPr>
        <w:spacing w:line="240" w:lineRule="auto"/>
        <w:rPr>
          <w:rFonts w:eastAsia="Times New Roman" w:cs="Arial"/>
          <w:sz w:val="32"/>
          <w:szCs w:val="24"/>
        </w:rPr>
      </w:pP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показва линейна и пропорционална на дозата фармакокинетика в </w:t>
      </w:r>
      <w:proofErr w:type="spellStart"/>
      <w:r w:rsidRPr="00424500">
        <w:rPr>
          <w:rFonts w:eastAsia="Times New Roman" w:cs="Arial"/>
          <w:color w:val="000000"/>
          <w:szCs w:val="18"/>
          <w:lang w:eastAsia="bg-BG"/>
        </w:rPr>
        <w:t>дозовия</w:t>
      </w:r>
      <w:proofErr w:type="spellEnd"/>
      <w:r w:rsidRPr="00424500">
        <w:rPr>
          <w:rFonts w:eastAsia="Times New Roman" w:cs="Arial"/>
          <w:color w:val="000000"/>
          <w:szCs w:val="18"/>
          <w:lang w:eastAsia="bg-BG"/>
        </w:rPr>
        <w:t xml:space="preserve"> диапазон от 10 до 600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При перорално приложение на доза, превишаваща 600 </w:t>
      </w:r>
      <w:proofErr w:type="spellStart"/>
      <w:r w:rsidRPr="00424500">
        <w:rPr>
          <w:rFonts w:eastAsia="Times New Roman" w:cs="Arial"/>
          <w:color w:val="000000"/>
          <w:szCs w:val="18"/>
        </w:rPr>
        <w:t>mg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е наблюдавано по-малко от пропорционално повишаване на абсорбцията; механизмът на това не е известен. Общият телесен и бъбречен клирънс са съответно 157-176 и 3-3,5 </w:t>
      </w:r>
      <w:r w:rsidRPr="00424500">
        <w:rPr>
          <w:rFonts w:eastAsia="Times New Roman" w:cs="Arial"/>
          <w:color w:val="000000"/>
          <w:szCs w:val="18"/>
        </w:rPr>
        <w:t>ml/</w:t>
      </w:r>
      <w:proofErr w:type="spellStart"/>
      <w:r w:rsidRPr="00424500">
        <w:rPr>
          <w:rFonts w:eastAsia="Times New Roman" w:cs="Arial"/>
          <w:color w:val="000000"/>
          <w:szCs w:val="18"/>
        </w:rPr>
        <w:t>min</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Терминалният елиминационен полуживот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е 11-15 часа. Стационарни плазмени концентрации се постигат в рамките на 3 дни след започване на лечението с еднократен дневен прием. При многократно приложение на дози, приемани веднъж дневно, е наблюдавано ограничено кумулиране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(&lt; 20%). При едно проучване са наблюдавани малко по-високи плазмени концентрации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при жени с хипертония. Въпреки това не е наблюдавана разлика по отношение на елиминационния полуживот и кумулирането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е необходимо коригиране на дозата при пациентите от женски пол. Стойностите на </w:t>
      </w:r>
      <w:r w:rsidRPr="00424500">
        <w:rPr>
          <w:rFonts w:eastAsia="Times New Roman" w:cs="Arial"/>
          <w:color w:val="000000"/>
          <w:szCs w:val="18"/>
        </w:rPr>
        <w:t xml:space="preserve">AUC </w:t>
      </w:r>
      <w:r w:rsidRPr="00424500">
        <w:rPr>
          <w:rFonts w:eastAsia="Times New Roman" w:cs="Arial"/>
          <w:color w:val="000000"/>
          <w:szCs w:val="18"/>
          <w:lang w:eastAsia="bg-BG"/>
        </w:rPr>
        <w:t xml:space="preserve">и </w:t>
      </w:r>
      <w:proofErr w:type="spellStart"/>
      <w:r w:rsidRPr="00424500">
        <w:rPr>
          <w:rFonts w:eastAsia="Times New Roman" w:cs="Arial"/>
          <w:color w:val="000000"/>
          <w:szCs w:val="18"/>
        </w:rPr>
        <w:t>Cmax</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също са малко по-високи при пациенти в старческа възраст (≥ 65 години), в сравнение с младите индивиди (18-40 години). Въпреки това, терминалният елиминационен полуживот не се променя значително. Не е необходим коригиране на дозата при хора в </w:t>
      </w:r>
      <w:r w:rsidRPr="00424500">
        <w:rPr>
          <w:rFonts w:eastAsia="Times New Roman" w:cs="Arial"/>
          <w:color w:val="000000"/>
          <w:szCs w:val="18"/>
          <w:lang w:eastAsia="bg-BG"/>
        </w:rPr>
        <w:lastRenderedPageBreak/>
        <w:t>старческа възраст. Средният плазмен полуживот на хидрохлоротиазид варира от 5-15 часа.</w:t>
      </w:r>
    </w:p>
    <w:p w14:paraId="49B6B2D5" w14:textId="77777777" w:rsidR="009C7494" w:rsidRPr="00424500" w:rsidRDefault="009C7494" w:rsidP="009C7494">
      <w:pPr>
        <w:spacing w:line="240" w:lineRule="auto"/>
        <w:rPr>
          <w:rFonts w:eastAsia="Times New Roman" w:cs="Arial"/>
          <w:color w:val="000000"/>
          <w:szCs w:val="18"/>
          <w:u w:val="single"/>
          <w:lang w:eastAsia="bg-BG"/>
        </w:rPr>
      </w:pPr>
    </w:p>
    <w:p w14:paraId="1361B86C" w14:textId="1C321E07" w:rsidR="009C7494" w:rsidRPr="00424500" w:rsidRDefault="009C7494" w:rsidP="009C7494">
      <w:pPr>
        <w:pStyle w:val="Heading3"/>
        <w:rPr>
          <w:rFonts w:eastAsia="Times New Roman"/>
          <w:sz w:val="32"/>
          <w:u w:val="single"/>
        </w:rPr>
      </w:pPr>
      <w:r w:rsidRPr="00424500">
        <w:rPr>
          <w:rFonts w:eastAsia="Times New Roman"/>
          <w:u w:val="single"/>
          <w:lang w:eastAsia="bg-BG"/>
        </w:rPr>
        <w:t>Биотрансформация</w:t>
      </w:r>
    </w:p>
    <w:p w14:paraId="64B5595C" w14:textId="77777777" w:rsidR="009C7494" w:rsidRPr="00424500" w:rsidRDefault="009C7494" w:rsidP="009C7494">
      <w:pPr>
        <w:spacing w:line="240" w:lineRule="auto"/>
        <w:rPr>
          <w:rFonts w:eastAsia="Times New Roman" w:cs="Arial"/>
          <w:color w:val="000000"/>
          <w:szCs w:val="18"/>
          <w:lang w:eastAsia="bg-BG"/>
        </w:rPr>
      </w:pPr>
    </w:p>
    <w:p w14:paraId="26ECC56D" w14:textId="5AAAC786"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След перорално или интравенозно приложение на </w:t>
      </w:r>
      <w:r w:rsidRPr="00424500">
        <w:rPr>
          <w:rFonts w:eastAsia="Times New Roman" w:cs="Arial"/>
          <w:color w:val="000000"/>
          <w:szCs w:val="18"/>
          <w:vertAlign w:val="superscript"/>
          <w:lang w:eastAsia="bg-BG"/>
        </w:rPr>
        <w:t>14</w:t>
      </w:r>
      <w:r w:rsidRPr="00424500">
        <w:rPr>
          <w:rFonts w:eastAsia="Times New Roman" w:cs="Arial"/>
          <w:color w:val="000000"/>
          <w:szCs w:val="18"/>
          <w:lang w:eastAsia="bg-BG"/>
        </w:rPr>
        <w:t xml:space="preserve">С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80-85% от радиоактивността в плазмата се дължи на непроменения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се </w:t>
      </w:r>
      <w:proofErr w:type="spellStart"/>
      <w:r w:rsidRPr="00424500">
        <w:rPr>
          <w:rFonts w:eastAsia="Times New Roman" w:cs="Arial"/>
          <w:color w:val="000000"/>
          <w:szCs w:val="18"/>
          <w:lang w:eastAsia="bg-BG"/>
        </w:rPr>
        <w:t>метаболизира</w:t>
      </w:r>
      <w:proofErr w:type="spellEnd"/>
      <w:r w:rsidRPr="00424500">
        <w:rPr>
          <w:rFonts w:eastAsia="Times New Roman" w:cs="Arial"/>
          <w:color w:val="000000"/>
          <w:szCs w:val="18"/>
          <w:lang w:eastAsia="bg-BG"/>
        </w:rPr>
        <w:t xml:space="preserve"> в черния дроб чрез </w:t>
      </w:r>
      <w:proofErr w:type="spellStart"/>
      <w:r w:rsidRPr="00424500">
        <w:rPr>
          <w:rFonts w:eastAsia="Times New Roman" w:cs="Arial"/>
          <w:color w:val="000000"/>
          <w:szCs w:val="18"/>
          <w:lang w:eastAsia="bg-BG"/>
        </w:rPr>
        <w:t>конюгиране</w:t>
      </w:r>
      <w:proofErr w:type="spellEnd"/>
      <w:r w:rsidRPr="00424500">
        <w:rPr>
          <w:rFonts w:eastAsia="Times New Roman" w:cs="Arial"/>
          <w:color w:val="000000"/>
          <w:szCs w:val="18"/>
          <w:lang w:eastAsia="bg-BG"/>
        </w:rPr>
        <w:t xml:space="preserve"> с </w:t>
      </w:r>
      <w:proofErr w:type="spellStart"/>
      <w:r w:rsidRPr="00424500">
        <w:rPr>
          <w:rFonts w:eastAsia="Times New Roman" w:cs="Arial"/>
          <w:color w:val="000000"/>
          <w:szCs w:val="18"/>
          <w:lang w:eastAsia="bg-BG"/>
        </w:rPr>
        <w:t>глюкурониди</w:t>
      </w:r>
      <w:proofErr w:type="spellEnd"/>
      <w:r w:rsidRPr="00424500">
        <w:rPr>
          <w:rFonts w:eastAsia="Times New Roman" w:cs="Arial"/>
          <w:color w:val="000000"/>
          <w:szCs w:val="18"/>
          <w:lang w:eastAsia="bg-BG"/>
        </w:rPr>
        <w:t xml:space="preserve"> и окисление. Главният циркулиращ метаболит е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глюкуронид</w:t>
      </w:r>
      <w:proofErr w:type="spellEnd"/>
      <w:r w:rsidRPr="00424500">
        <w:rPr>
          <w:rFonts w:eastAsia="Times New Roman" w:cs="Arial"/>
          <w:color w:val="000000"/>
          <w:szCs w:val="18"/>
          <w:lang w:eastAsia="bg-BG"/>
        </w:rPr>
        <w:t xml:space="preserve"> (около 6%). Проучвания </w:t>
      </w:r>
      <w:proofErr w:type="spellStart"/>
      <w:r w:rsidRPr="00424500">
        <w:rPr>
          <w:rFonts w:eastAsia="Times New Roman" w:cs="Arial"/>
          <w:i/>
          <w:iCs/>
          <w:color w:val="000000"/>
          <w:szCs w:val="18"/>
        </w:rPr>
        <w:t>in</w:t>
      </w:r>
      <w:proofErr w:type="spellEnd"/>
      <w:r w:rsidRPr="00424500">
        <w:rPr>
          <w:rFonts w:eastAsia="Times New Roman" w:cs="Arial"/>
          <w:i/>
          <w:iCs/>
          <w:color w:val="000000"/>
          <w:szCs w:val="18"/>
        </w:rPr>
        <w:t xml:space="preserve"> </w:t>
      </w:r>
      <w:proofErr w:type="spellStart"/>
      <w:r w:rsidRPr="00424500">
        <w:rPr>
          <w:rFonts w:eastAsia="Times New Roman" w:cs="Arial"/>
          <w:i/>
          <w:iCs/>
          <w:color w:val="000000"/>
          <w:szCs w:val="18"/>
        </w:rPr>
        <w:t>vitro</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са показали, че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се окислява основно от </w:t>
      </w:r>
      <w:proofErr w:type="spellStart"/>
      <w:r w:rsidRPr="00424500">
        <w:rPr>
          <w:rFonts w:eastAsia="Times New Roman" w:cs="Arial"/>
          <w:color w:val="000000"/>
          <w:szCs w:val="18"/>
          <w:lang w:eastAsia="bg-BG"/>
        </w:rPr>
        <w:t>цитохром</w:t>
      </w:r>
      <w:proofErr w:type="spellEnd"/>
      <w:r w:rsidRPr="00424500">
        <w:rPr>
          <w:rFonts w:eastAsia="Times New Roman" w:cs="Arial"/>
          <w:color w:val="000000"/>
          <w:szCs w:val="18"/>
          <w:lang w:eastAsia="bg-BG"/>
        </w:rPr>
        <w:t xml:space="preserve"> Р450 ензим </w:t>
      </w:r>
      <w:r w:rsidRPr="00424500">
        <w:rPr>
          <w:rFonts w:eastAsia="Times New Roman" w:cs="Arial"/>
          <w:color w:val="000000"/>
          <w:szCs w:val="18"/>
        </w:rPr>
        <w:t xml:space="preserve">CYP2C9; </w:t>
      </w:r>
      <w:proofErr w:type="spellStart"/>
      <w:r w:rsidRPr="00424500">
        <w:rPr>
          <w:rFonts w:eastAsia="Times New Roman" w:cs="Arial"/>
          <w:color w:val="000000"/>
          <w:szCs w:val="18"/>
          <w:lang w:eastAsia="bg-BG"/>
        </w:rPr>
        <w:t>изоензимът</w:t>
      </w:r>
      <w:proofErr w:type="spellEnd"/>
      <w:r w:rsidRPr="00424500">
        <w:rPr>
          <w:rFonts w:eastAsia="Times New Roman" w:cs="Arial"/>
          <w:color w:val="000000"/>
          <w:szCs w:val="18"/>
          <w:lang w:eastAsia="bg-BG"/>
        </w:rPr>
        <w:t xml:space="preserve"> </w:t>
      </w:r>
      <w:r w:rsidRPr="00424500">
        <w:rPr>
          <w:rFonts w:eastAsia="Times New Roman" w:cs="Arial"/>
          <w:color w:val="000000"/>
          <w:szCs w:val="18"/>
        </w:rPr>
        <w:t xml:space="preserve">CYP3A4 </w:t>
      </w:r>
      <w:r w:rsidRPr="00424500">
        <w:rPr>
          <w:rFonts w:eastAsia="Times New Roman" w:cs="Arial"/>
          <w:color w:val="000000"/>
          <w:szCs w:val="18"/>
          <w:lang w:eastAsia="bg-BG"/>
        </w:rPr>
        <w:t>има минимален ефект.</w:t>
      </w:r>
    </w:p>
    <w:p w14:paraId="2E92531B" w14:textId="77777777" w:rsidR="009C7494" w:rsidRPr="00424500" w:rsidRDefault="009C7494" w:rsidP="009C7494">
      <w:pPr>
        <w:spacing w:line="240" w:lineRule="auto"/>
        <w:rPr>
          <w:rFonts w:eastAsia="Times New Roman" w:cs="Arial"/>
          <w:color w:val="000000"/>
          <w:szCs w:val="18"/>
          <w:u w:val="single"/>
          <w:lang w:eastAsia="bg-BG"/>
        </w:rPr>
      </w:pPr>
    </w:p>
    <w:p w14:paraId="645EB74B" w14:textId="00F76961" w:rsidR="009C7494" w:rsidRPr="00424500" w:rsidRDefault="009C7494" w:rsidP="009C7494">
      <w:pPr>
        <w:pStyle w:val="Heading3"/>
        <w:rPr>
          <w:rFonts w:eastAsia="Times New Roman"/>
          <w:sz w:val="32"/>
          <w:u w:val="single"/>
        </w:rPr>
      </w:pPr>
      <w:r w:rsidRPr="00424500">
        <w:rPr>
          <w:rFonts w:eastAsia="Times New Roman"/>
          <w:u w:val="single"/>
          <w:lang w:eastAsia="bg-BG"/>
        </w:rPr>
        <w:t>Елиминиране</w:t>
      </w:r>
    </w:p>
    <w:p w14:paraId="73CDC360" w14:textId="77777777" w:rsidR="009C7494" w:rsidRPr="00424500" w:rsidRDefault="009C7494" w:rsidP="009C7494">
      <w:pPr>
        <w:spacing w:line="240" w:lineRule="auto"/>
        <w:rPr>
          <w:rFonts w:eastAsia="Times New Roman" w:cs="Arial"/>
          <w:color w:val="000000"/>
          <w:szCs w:val="18"/>
          <w:lang w:eastAsia="bg-BG"/>
        </w:rPr>
      </w:pPr>
    </w:p>
    <w:p w14:paraId="20AAAA24" w14:textId="3E8AF45F" w:rsidR="009C7494" w:rsidRPr="00424500" w:rsidRDefault="009C7494" w:rsidP="009C7494">
      <w:pPr>
        <w:spacing w:line="240" w:lineRule="auto"/>
        <w:rPr>
          <w:rFonts w:eastAsia="Times New Roman" w:cs="Arial"/>
          <w:sz w:val="32"/>
          <w:szCs w:val="24"/>
        </w:rPr>
      </w:pP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 метаболитите му се елиминират чрез жлъчката и бъбреците. След перорално или интравенозно приложение на </w:t>
      </w:r>
      <w:r w:rsidRPr="00424500">
        <w:rPr>
          <w:rFonts w:eastAsia="Times New Roman" w:cs="Arial"/>
          <w:color w:val="000000"/>
          <w:szCs w:val="18"/>
          <w:vertAlign w:val="superscript"/>
          <w:lang w:eastAsia="bg-BG"/>
        </w:rPr>
        <w:t>14</w:t>
      </w:r>
      <w:r w:rsidRPr="00424500">
        <w:rPr>
          <w:rFonts w:eastAsia="Times New Roman" w:cs="Arial"/>
          <w:color w:val="000000"/>
          <w:szCs w:val="18"/>
          <w:lang w:eastAsia="bg-BG"/>
        </w:rPr>
        <w:t xml:space="preserve">С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около 20% от радиоактивния препарат се установява в урината, а останалата част - във фекалиите. По-малко от 2% от дозата се </w:t>
      </w:r>
      <w:proofErr w:type="spellStart"/>
      <w:r w:rsidRPr="00424500">
        <w:rPr>
          <w:rFonts w:eastAsia="Times New Roman" w:cs="Arial"/>
          <w:color w:val="000000"/>
          <w:szCs w:val="18"/>
          <w:lang w:eastAsia="bg-BG"/>
        </w:rPr>
        <w:t>екскретира</w:t>
      </w:r>
      <w:proofErr w:type="spellEnd"/>
      <w:r w:rsidRPr="00424500">
        <w:rPr>
          <w:rFonts w:eastAsia="Times New Roman" w:cs="Arial"/>
          <w:color w:val="000000"/>
          <w:szCs w:val="18"/>
          <w:lang w:eastAsia="bg-BG"/>
        </w:rPr>
        <w:t xml:space="preserve"> в урината като непроменен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Хидрохлоротиазид не се </w:t>
      </w:r>
      <w:proofErr w:type="spellStart"/>
      <w:r w:rsidRPr="00424500">
        <w:rPr>
          <w:rFonts w:eastAsia="Times New Roman" w:cs="Arial"/>
          <w:color w:val="000000"/>
          <w:szCs w:val="18"/>
          <w:lang w:eastAsia="bg-BG"/>
        </w:rPr>
        <w:t>метаболизира</w:t>
      </w:r>
      <w:proofErr w:type="spellEnd"/>
      <w:r w:rsidRPr="00424500">
        <w:rPr>
          <w:rFonts w:eastAsia="Times New Roman" w:cs="Arial"/>
          <w:color w:val="000000"/>
          <w:szCs w:val="18"/>
          <w:lang w:eastAsia="bg-BG"/>
        </w:rPr>
        <w:t xml:space="preserve">, а бързо се елиминира през бъбреците. Най-малко 61% от пероралната доза се елиминира в непроменен вид за период от 24 часа. Хидрохлоротиазид преминава през плацентата, но не преминава кръвно-мозъчната бариера и се </w:t>
      </w:r>
      <w:proofErr w:type="spellStart"/>
      <w:r w:rsidRPr="00424500">
        <w:rPr>
          <w:rFonts w:eastAsia="Times New Roman" w:cs="Arial"/>
          <w:color w:val="000000"/>
          <w:szCs w:val="18"/>
          <w:lang w:eastAsia="bg-BG"/>
        </w:rPr>
        <w:t>екскретира</w:t>
      </w:r>
      <w:proofErr w:type="spellEnd"/>
      <w:r w:rsidRPr="00424500">
        <w:rPr>
          <w:rFonts w:eastAsia="Times New Roman" w:cs="Arial"/>
          <w:color w:val="000000"/>
          <w:szCs w:val="18"/>
          <w:lang w:eastAsia="bg-BG"/>
        </w:rPr>
        <w:t xml:space="preserve"> в кърмата.</w:t>
      </w:r>
    </w:p>
    <w:p w14:paraId="5839B76D" w14:textId="77777777" w:rsidR="009C7494" w:rsidRPr="00424500" w:rsidRDefault="009C7494" w:rsidP="009C7494">
      <w:pPr>
        <w:spacing w:line="240" w:lineRule="auto"/>
        <w:rPr>
          <w:rFonts w:eastAsia="Times New Roman" w:cs="Arial"/>
          <w:color w:val="000000"/>
          <w:szCs w:val="18"/>
          <w:u w:val="single"/>
          <w:lang w:eastAsia="bg-BG"/>
        </w:rPr>
      </w:pPr>
    </w:p>
    <w:p w14:paraId="4E4DDE26" w14:textId="37CD40BF"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u w:val="single"/>
          <w:lang w:eastAsia="bg-BG"/>
        </w:rPr>
        <w:t>Бъбречно увреждане</w:t>
      </w:r>
    </w:p>
    <w:p w14:paraId="3692E00A" w14:textId="77777777" w:rsidR="009C7494" w:rsidRPr="00424500" w:rsidRDefault="009C7494" w:rsidP="009C7494">
      <w:pPr>
        <w:spacing w:line="240" w:lineRule="auto"/>
        <w:rPr>
          <w:rFonts w:eastAsia="Times New Roman" w:cs="Arial"/>
          <w:color w:val="000000"/>
          <w:szCs w:val="18"/>
          <w:lang w:eastAsia="bg-BG"/>
        </w:rPr>
      </w:pPr>
    </w:p>
    <w:p w14:paraId="1C50450D" w14:textId="393EBAD9"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При пациенти с бъбречно увреждане или такива на хемодиализа, </w:t>
      </w:r>
      <w:proofErr w:type="spellStart"/>
      <w:r w:rsidRPr="00424500">
        <w:rPr>
          <w:rFonts w:eastAsia="Times New Roman" w:cs="Arial"/>
          <w:color w:val="000000"/>
          <w:szCs w:val="18"/>
          <w:lang w:eastAsia="bg-BG"/>
        </w:rPr>
        <w:t>фармакокинетичните</w:t>
      </w:r>
      <w:proofErr w:type="spellEnd"/>
      <w:r w:rsidRPr="00424500">
        <w:rPr>
          <w:rFonts w:eastAsia="Times New Roman" w:cs="Arial"/>
          <w:color w:val="000000"/>
          <w:szCs w:val="18"/>
          <w:lang w:eastAsia="bg-BG"/>
        </w:rPr>
        <w:t xml:space="preserve"> параметри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се променят значително.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се отстранява чрез хемодиализа. При пациенти с </w:t>
      </w:r>
      <w:proofErr w:type="spellStart"/>
      <w:r w:rsidRPr="00424500">
        <w:rPr>
          <w:rFonts w:eastAsia="Times New Roman" w:cs="Arial"/>
          <w:color w:val="000000"/>
          <w:szCs w:val="18"/>
          <w:lang w:eastAsia="bg-BG"/>
        </w:rPr>
        <w:t>креатининов</w:t>
      </w:r>
      <w:proofErr w:type="spellEnd"/>
      <w:r w:rsidRPr="00424500">
        <w:rPr>
          <w:rFonts w:eastAsia="Times New Roman" w:cs="Arial"/>
          <w:color w:val="000000"/>
          <w:szCs w:val="18"/>
          <w:lang w:eastAsia="bg-BG"/>
        </w:rPr>
        <w:t xml:space="preserve"> клирънс &lt; 20 </w:t>
      </w:r>
      <w:r w:rsidRPr="00424500">
        <w:rPr>
          <w:rFonts w:eastAsia="Times New Roman" w:cs="Arial"/>
          <w:color w:val="000000"/>
          <w:szCs w:val="18"/>
        </w:rPr>
        <w:t>ml/</w:t>
      </w:r>
      <w:proofErr w:type="spellStart"/>
      <w:r w:rsidRPr="00424500">
        <w:rPr>
          <w:rFonts w:eastAsia="Times New Roman" w:cs="Arial"/>
          <w:color w:val="000000"/>
          <w:szCs w:val="18"/>
        </w:rPr>
        <w:t>min</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елиминационният полуживот ма хидрохлоротиазид се удължава до 21 часа.</w:t>
      </w:r>
    </w:p>
    <w:p w14:paraId="7626AC31" w14:textId="77777777" w:rsidR="009C7494" w:rsidRPr="00424500" w:rsidRDefault="009C7494" w:rsidP="009C7494">
      <w:pPr>
        <w:spacing w:line="240" w:lineRule="auto"/>
        <w:rPr>
          <w:rFonts w:eastAsia="Times New Roman" w:cs="Arial"/>
          <w:color w:val="000000"/>
          <w:szCs w:val="18"/>
          <w:u w:val="single"/>
          <w:lang w:eastAsia="bg-BG"/>
        </w:rPr>
      </w:pPr>
    </w:p>
    <w:p w14:paraId="4E75D71E" w14:textId="4462CEC0"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u w:val="single"/>
          <w:lang w:eastAsia="bg-BG"/>
        </w:rPr>
        <w:t>Чернодробно увреждане</w:t>
      </w:r>
    </w:p>
    <w:p w14:paraId="7D43AAFD" w14:textId="77777777" w:rsidR="009C7494" w:rsidRPr="00424500" w:rsidRDefault="009C7494" w:rsidP="009C7494">
      <w:pPr>
        <w:spacing w:line="240" w:lineRule="auto"/>
        <w:rPr>
          <w:rFonts w:eastAsia="Times New Roman" w:cs="Arial"/>
          <w:color w:val="000000"/>
          <w:szCs w:val="18"/>
          <w:lang w:eastAsia="bg-BG"/>
        </w:rPr>
      </w:pPr>
    </w:p>
    <w:p w14:paraId="19CA7A1C" w14:textId="1DA27A89"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При пациентите с лека до умерена цироза, </w:t>
      </w:r>
      <w:proofErr w:type="spellStart"/>
      <w:r w:rsidRPr="00424500">
        <w:rPr>
          <w:rFonts w:eastAsia="Times New Roman" w:cs="Arial"/>
          <w:color w:val="000000"/>
          <w:szCs w:val="18"/>
          <w:lang w:eastAsia="bg-BG"/>
        </w:rPr>
        <w:t>фармакокинетичните</w:t>
      </w:r>
      <w:proofErr w:type="spellEnd"/>
      <w:r w:rsidRPr="00424500">
        <w:rPr>
          <w:rFonts w:eastAsia="Times New Roman" w:cs="Arial"/>
          <w:color w:val="000000"/>
          <w:szCs w:val="18"/>
          <w:lang w:eastAsia="bg-BG"/>
        </w:rPr>
        <w:t xml:space="preserve"> параметри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се променят значително. Не са провеждани проучвания при пациенти с тежко чернодробно нарушение.</w:t>
      </w:r>
    </w:p>
    <w:p w14:paraId="648F21C5" w14:textId="0B207634" w:rsidR="009C7494" w:rsidRPr="00424500" w:rsidRDefault="009C7494" w:rsidP="009C7494"/>
    <w:p w14:paraId="4FB791BE" w14:textId="77635F83" w:rsidR="00B6672E" w:rsidRPr="00424500" w:rsidRDefault="002C50EE" w:rsidP="00936AD0">
      <w:pPr>
        <w:pStyle w:val="Heading2"/>
      </w:pPr>
      <w:r w:rsidRPr="00424500">
        <w:t>5.3. Предклинични данни за безопасност</w:t>
      </w:r>
    </w:p>
    <w:p w14:paraId="3A540E64" w14:textId="45B8D816" w:rsidR="009C7494" w:rsidRPr="00424500" w:rsidRDefault="009C7494" w:rsidP="009C7494"/>
    <w:p w14:paraId="446FF529" w14:textId="161CF2D9" w:rsidR="009C7494" w:rsidRPr="00424500" w:rsidRDefault="009C7494" w:rsidP="009C7494">
      <w:pPr>
        <w:spacing w:line="240" w:lineRule="auto"/>
        <w:rPr>
          <w:rFonts w:eastAsia="Times New Roman" w:cs="Arial"/>
          <w:color w:val="000000"/>
          <w:szCs w:val="18"/>
          <w:u w:val="single"/>
          <w:lang w:eastAsia="bg-BG"/>
        </w:rPr>
      </w:pPr>
      <w:proofErr w:type="spellStart"/>
      <w:r w:rsidRPr="00424500">
        <w:rPr>
          <w:rFonts w:eastAsia="Times New Roman" w:cs="Arial"/>
          <w:color w:val="000000"/>
          <w:szCs w:val="18"/>
          <w:u w:val="single"/>
          <w:lang w:eastAsia="bg-BG"/>
        </w:rPr>
        <w:t>Ирбесартан</w:t>
      </w:r>
      <w:proofErr w:type="spellEnd"/>
      <w:r w:rsidRPr="00424500">
        <w:rPr>
          <w:rFonts w:eastAsia="Times New Roman" w:cs="Arial"/>
          <w:color w:val="000000"/>
          <w:szCs w:val="18"/>
          <w:u w:val="single"/>
          <w:lang w:eastAsia="bg-BG"/>
        </w:rPr>
        <w:t>/хидрохлоротиазид</w:t>
      </w:r>
    </w:p>
    <w:p w14:paraId="6F9D3736" w14:textId="7D5BFE49" w:rsidR="009C7494" w:rsidRPr="00424500" w:rsidRDefault="009C7494" w:rsidP="009C7494">
      <w:pPr>
        <w:spacing w:line="240" w:lineRule="auto"/>
        <w:rPr>
          <w:rFonts w:eastAsia="Times New Roman" w:cs="Arial"/>
          <w:color w:val="000000"/>
          <w:szCs w:val="18"/>
          <w:u w:val="single"/>
          <w:lang w:eastAsia="bg-BG"/>
        </w:rPr>
      </w:pPr>
    </w:p>
    <w:p w14:paraId="2B2DA2D9" w14:textId="6175D558" w:rsidR="009C7494" w:rsidRPr="00424500" w:rsidRDefault="009C7494" w:rsidP="009C7494">
      <w:pPr>
        <w:spacing w:line="240" w:lineRule="auto"/>
        <w:rPr>
          <w:rFonts w:eastAsia="Times New Roman" w:cs="Arial"/>
          <w:color w:val="000000"/>
          <w:szCs w:val="18"/>
          <w:lang w:eastAsia="bg-BG"/>
        </w:rPr>
      </w:pPr>
      <w:r w:rsidRPr="00424500">
        <w:rPr>
          <w:rFonts w:eastAsia="Times New Roman" w:cs="Arial"/>
          <w:color w:val="000000"/>
          <w:szCs w:val="18"/>
          <w:lang w:eastAsia="bg-BG"/>
        </w:rPr>
        <w:t xml:space="preserve">Потенциалната токсичност на комбинацията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/хидрохлоротиазид след перорално приложение е оценена при плъхове и макаци при проучвания с продължителност до 6 месеца. Не са установени токсикологични находки, които да са от значение за клиничната употреба. Описаните по-долу промени, наблюдавани при плъхове и макаци, които са получавали комбинацията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/хидрохлоротиазид в дози 10/10 и 90/90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дневно, са били наблюдавани също и при самостоятелната употреба на отделните лекарствени продукти и/или са в резултат от </w:t>
      </w:r>
      <w:proofErr w:type="spellStart"/>
      <w:r w:rsidRPr="00424500">
        <w:rPr>
          <w:rFonts w:eastAsia="Times New Roman" w:cs="Arial"/>
          <w:color w:val="000000"/>
          <w:szCs w:val="18"/>
          <w:lang w:eastAsia="bg-BG"/>
        </w:rPr>
        <w:t>от</w:t>
      </w:r>
      <w:proofErr w:type="spellEnd"/>
      <w:r w:rsidRPr="00424500">
        <w:rPr>
          <w:rFonts w:eastAsia="Times New Roman" w:cs="Arial"/>
          <w:color w:val="000000"/>
          <w:szCs w:val="18"/>
          <w:lang w:eastAsia="bg-BG"/>
        </w:rPr>
        <w:t xml:space="preserve"> понижаване на кръвното налягане (не са наблюдавани значими токсикологични взаимодействия):</w:t>
      </w:r>
    </w:p>
    <w:p w14:paraId="00866950" w14:textId="77777777" w:rsidR="009C7494" w:rsidRPr="00424500" w:rsidRDefault="009C7494" w:rsidP="009C7494">
      <w:pPr>
        <w:spacing w:line="240" w:lineRule="auto"/>
        <w:rPr>
          <w:rFonts w:eastAsia="Times New Roman" w:cs="Arial"/>
          <w:sz w:val="32"/>
          <w:szCs w:val="24"/>
        </w:rPr>
      </w:pPr>
    </w:p>
    <w:p w14:paraId="271815A8" w14:textId="77777777" w:rsidR="009C7494" w:rsidRPr="00424500" w:rsidRDefault="009C7494" w:rsidP="009C7494">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lastRenderedPageBreak/>
        <w:t xml:space="preserve">промени в бъбреците, изразяващи се с леко повишение на серумната урея и </w:t>
      </w:r>
      <w:proofErr w:type="spellStart"/>
      <w:r w:rsidRPr="00424500">
        <w:rPr>
          <w:rFonts w:eastAsia="Times New Roman" w:cs="Arial"/>
          <w:color w:val="000000"/>
          <w:szCs w:val="18"/>
          <w:lang w:eastAsia="bg-BG"/>
        </w:rPr>
        <w:t>креатинин</w:t>
      </w:r>
      <w:proofErr w:type="spellEnd"/>
      <w:r w:rsidRPr="00424500">
        <w:rPr>
          <w:rFonts w:eastAsia="Times New Roman" w:cs="Arial"/>
          <w:color w:val="000000"/>
          <w:szCs w:val="18"/>
          <w:lang w:eastAsia="bg-BG"/>
        </w:rPr>
        <w:t xml:space="preserve">, хиперплазия/хипертрофия на </w:t>
      </w:r>
      <w:proofErr w:type="spellStart"/>
      <w:r w:rsidRPr="00424500">
        <w:rPr>
          <w:rFonts w:eastAsia="Times New Roman" w:cs="Arial"/>
          <w:color w:val="000000"/>
          <w:szCs w:val="18"/>
          <w:lang w:eastAsia="bg-BG"/>
        </w:rPr>
        <w:t>юкстагломерулния</w:t>
      </w:r>
      <w:proofErr w:type="spellEnd"/>
      <w:r w:rsidRPr="00424500">
        <w:rPr>
          <w:rFonts w:eastAsia="Times New Roman" w:cs="Arial"/>
          <w:color w:val="000000"/>
          <w:szCs w:val="18"/>
          <w:lang w:eastAsia="bg-BG"/>
        </w:rPr>
        <w:t xml:space="preserve"> апарат, като директно последствие от взаимодействието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 ренин-</w:t>
      </w:r>
      <w:proofErr w:type="spellStart"/>
      <w:r w:rsidRPr="00424500">
        <w:rPr>
          <w:rFonts w:eastAsia="Times New Roman" w:cs="Arial"/>
          <w:color w:val="000000"/>
          <w:szCs w:val="18"/>
          <w:lang w:eastAsia="bg-BG"/>
        </w:rPr>
        <w:t>ангиотензиновата</w:t>
      </w:r>
      <w:proofErr w:type="spellEnd"/>
      <w:r w:rsidRPr="00424500">
        <w:rPr>
          <w:rFonts w:eastAsia="Times New Roman" w:cs="Arial"/>
          <w:color w:val="000000"/>
          <w:szCs w:val="18"/>
          <w:lang w:eastAsia="bg-BG"/>
        </w:rPr>
        <w:t xml:space="preserve"> система;</w:t>
      </w:r>
    </w:p>
    <w:p w14:paraId="3389C6E6" w14:textId="77777777" w:rsidR="009C7494" w:rsidRPr="00424500" w:rsidRDefault="009C7494" w:rsidP="009C7494">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 xml:space="preserve">леко понижени стойности на </w:t>
      </w:r>
      <w:proofErr w:type="spellStart"/>
      <w:r w:rsidRPr="00424500">
        <w:rPr>
          <w:rFonts w:eastAsia="Times New Roman" w:cs="Arial"/>
          <w:color w:val="000000"/>
          <w:szCs w:val="18"/>
          <w:lang w:eastAsia="bg-BG"/>
        </w:rPr>
        <w:t>еритроцитните</w:t>
      </w:r>
      <w:proofErr w:type="spellEnd"/>
      <w:r w:rsidRPr="00424500">
        <w:rPr>
          <w:rFonts w:eastAsia="Times New Roman" w:cs="Arial"/>
          <w:color w:val="000000"/>
          <w:szCs w:val="18"/>
          <w:lang w:eastAsia="bg-BG"/>
        </w:rPr>
        <w:t xml:space="preserve"> показатели (брой еритроцити, хемоглобин, хематокрит);</w:t>
      </w:r>
    </w:p>
    <w:p w14:paraId="64253775" w14:textId="77777777" w:rsidR="009C7494" w:rsidRPr="00424500" w:rsidRDefault="009C7494" w:rsidP="009C7494">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 xml:space="preserve">промяна в цвета на стомашната лигавица, язви и </w:t>
      </w:r>
      <w:proofErr w:type="spellStart"/>
      <w:r w:rsidRPr="00424500">
        <w:rPr>
          <w:rFonts w:eastAsia="Times New Roman" w:cs="Arial"/>
          <w:color w:val="000000"/>
          <w:szCs w:val="18"/>
          <w:lang w:eastAsia="bg-BG"/>
        </w:rPr>
        <w:t>фокална</w:t>
      </w:r>
      <w:proofErr w:type="spellEnd"/>
      <w:r w:rsidRPr="00424500">
        <w:rPr>
          <w:rFonts w:eastAsia="Times New Roman" w:cs="Arial"/>
          <w:color w:val="000000"/>
          <w:szCs w:val="18"/>
          <w:lang w:eastAsia="bg-BG"/>
        </w:rPr>
        <w:t xml:space="preserve"> некроза на стомашната лигавица са били наблюдавани при малък брой плъхове при едно 6-месечно токсикологично проучване при доза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90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дневно, хидрохлоротиазид 90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дневно, 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/хидрохлоротиазид 10/10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дневно. Тези лезии не са наблюдавани при макаци;</w:t>
      </w:r>
    </w:p>
    <w:p w14:paraId="17A43544" w14:textId="0159913B" w:rsidR="009C7494" w:rsidRPr="00424500" w:rsidRDefault="009C7494" w:rsidP="009C7494">
      <w:pPr>
        <w:pStyle w:val="ListParagraph"/>
        <w:numPr>
          <w:ilvl w:val="0"/>
          <w:numId w:val="37"/>
        </w:numPr>
        <w:spacing w:line="240" w:lineRule="auto"/>
        <w:rPr>
          <w:rFonts w:eastAsia="Times New Roman" w:cs="Arial"/>
          <w:sz w:val="32"/>
          <w:szCs w:val="24"/>
        </w:rPr>
      </w:pPr>
      <w:r w:rsidRPr="00424500">
        <w:rPr>
          <w:rFonts w:eastAsia="Times New Roman" w:cs="Arial"/>
          <w:color w:val="000000"/>
          <w:szCs w:val="18"/>
          <w:lang w:eastAsia="bg-BG"/>
        </w:rPr>
        <w:t xml:space="preserve">понижение на серумната концентрация на калий, дължащо се на хидрохлоротиазид, и частично </w:t>
      </w:r>
      <w:proofErr w:type="spellStart"/>
      <w:r w:rsidRPr="00424500">
        <w:rPr>
          <w:rFonts w:eastAsia="Times New Roman" w:cs="Arial"/>
          <w:color w:val="000000"/>
          <w:szCs w:val="18"/>
          <w:lang w:eastAsia="bg-BG"/>
        </w:rPr>
        <w:t>предодвратено</w:t>
      </w:r>
      <w:proofErr w:type="spellEnd"/>
      <w:r w:rsidRPr="00424500">
        <w:rPr>
          <w:rFonts w:eastAsia="Times New Roman" w:cs="Arial"/>
          <w:color w:val="000000"/>
          <w:szCs w:val="18"/>
          <w:lang w:eastAsia="bg-BG"/>
        </w:rPr>
        <w:t xml:space="preserve"> при комбиниране на хидрохлоротиазид с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w:t>
      </w:r>
    </w:p>
    <w:p w14:paraId="1F8507F0" w14:textId="77777777" w:rsidR="009C7494" w:rsidRPr="00424500" w:rsidRDefault="009C7494" w:rsidP="009C7494">
      <w:pPr>
        <w:spacing w:line="240" w:lineRule="auto"/>
        <w:rPr>
          <w:rFonts w:eastAsia="Times New Roman" w:cs="Arial"/>
          <w:color w:val="000000"/>
          <w:szCs w:val="18"/>
          <w:lang w:eastAsia="bg-BG"/>
        </w:rPr>
      </w:pPr>
    </w:p>
    <w:p w14:paraId="119C3391" w14:textId="02CD7819"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Повечето от гореспоменатите ефекти вероятно се дължат на фармакологичното действие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(блокиране инхибирането на освобождаване на ренин, предизвикано от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II и стимулиране на клетките, образуващи </w:t>
      </w:r>
      <w:proofErr w:type="spellStart"/>
      <w:r w:rsidRPr="00424500">
        <w:rPr>
          <w:rFonts w:eastAsia="Times New Roman" w:cs="Arial"/>
          <w:color w:val="000000"/>
          <w:szCs w:val="18"/>
          <w:lang w:eastAsia="bg-BG"/>
        </w:rPr>
        <w:t>рении</w:t>
      </w:r>
      <w:proofErr w:type="spellEnd"/>
      <w:r w:rsidRPr="00424500">
        <w:rPr>
          <w:rFonts w:eastAsia="Times New Roman" w:cs="Arial"/>
          <w:color w:val="000000"/>
          <w:szCs w:val="18"/>
          <w:lang w:eastAsia="bg-BG"/>
        </w:rPr>
        <w:t xml:space="preserve">) и се срещат също при инхибиторите на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-конвертиращия ензим. Тези находки нямат значение за клиничната употреба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/хидрохлоротиазид.</w:t>
      </w:r>
    </w:p>
    <w:p w14:paraId="662606FB" w14:textId="77777777" w:rsidR="009C7494" w:rsidRPr="00424500" w:rsidRDefault="009C7494" w:rsidP="009C7494">
      <w:pPr>
        <w:spacing w:line="240" w:lineRule="auto"/>
        <w:rPr>
          <w:rFonts w:eastAsia="Times New Roman" w:cs="Arial"/>
          <w:color w:val="000000"/>
          <w:szCs w:val="18"/>
          <w:lang w:eastAsia="bg-BG"/>
        </w:rPr>
      </w:pPr>
    </w:p>
    <w:p w14:paraId="30730E8E" w14:textId="4D8E4626"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Не са установени тератогенни ефекти при плъхове, третирани с комбинацията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/хидрохлоротиазид в дози, токсични за майките. Ефектът на тази комбинация спрямо </w:t>
      </w:r>
      <w:proofErr w:type="spellStart"/>
      <w:r w:rsidRPr="00424500">
        <w:rPr>
          <w:rFonts w:eastAsia="Times New Roman" w:cs="Arial"/>
          <w:color w:val="000000"/>
          <w:szCs w:val="18"/>
          <w:lang w:eastAsia="bg-BG"/>
        </w:rPr>
        <w:t>фертилитета</w:t>
      </w:r>
      <w:proofErr w:type="spellEnd"/>
      <w:r w:rsidRPr="00424500">
        <w:rPr>
          <w:rFonts w:eastAsia="Times New Roman" w:cs="Arial"/>
          <w:color w:val="000000"/>
          <w:szCs w:val="18"/>
          <w:lang w:eastAsia="bg-BG"/>
        </w:rPr>
        <w:t xml:space="preserve"> не е оценяван при проучвания с опитни животни, тъй като няма данни за нежелан ефект върху </w:t>
      </w:r>
      <w:proofErr w:type="spellStart"/>
      <w:r w:rsidRPr="00424500">
        <w:rPr>
          <w:rFonts w:eastAsia="Times New Roman" w:cs="Arial"/>
          <w:color w:val="000000"/>
          <w:szCs w:val="18"/>
          <w:lang w:eastAsia="bg-BG"/>
        </w:rPr>
        <w:t>фертилитета</w:t>
      </w:r>
      <w:proofErr w:type="spellEnd"/>
      <w:r w:rsidRPr="00424500">
        <w:rPr>
          <w:rFonts w:eastAsia="Times New Roman" w:cs="Arial"/>
          <w:color w:val="000000"/>
          <w:szCs w:val="18"/>
          <w:lang w:eastAsia="bg-BG"/>
        </w:rPr>
        <w:t xml:space="preserve"> при животни или хора при самостоятелно приложение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или хидрохлоротиазид. При проучвания при животни е установено, че друг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-II антагонист, приложен самостоятелно, оказва влияние върху показателите на </w:t>
      </w:r>
      <w:proofErr w:type="spellStart"/>
      <w:r w:rsidRPr="00424500">
        <w:rPr>
          <w:rFonts w:eastAsia="Times New Roman" w:cs="Arial"/>
          <w:color w:val="000000"/>
          <w:szCs w:val="18"/>
          <w:lang w:eastAsia="bg-BG"/>
        </w:rPr>
        <w:t>фертилитета</w:t>
      </w:r>
      <w:proofErr w:type="spellEnd"/>
      <w:r w:rsidRPr="00424500">
        <w:rPr>
          <w:rFonts w:eastAsia="Times New Roman" w:cs="Arial"/>
          <w:color w:val="000000"/>
          <w:szCs w:val="18"/>
          <w:lang w:eastAsia="bg-BG"/>
        </w:rPr>
        <w:t xml:space="preserve">. Тези находки са наблюдавани също при по-ниски дози от този </w:t>
      </w:r>
      <w:proofErr w:type="spellStart"/>
      <w:r w:rsidRPr="00424500">
        <w:rPr>
          <w:rFonts w:eastAsia="Times New Roman" w:cs="Arial"/>
          <w:color w:val="000000"/>
          <w:szCs w:val="18"/>
          <w:lang w:eastAsia="bg-BG"/>
        </w:rPr>
        <w:t>ангиотензин</w:t>
      </w:r>
      <w:proofErr w:type="spellEnd"/>
      <w:r w:rsidRPr="00424500">
        <w:rPr>
          <w:rFonts w:eastAsia="Times New Roman" w:cs="Arial"/>
          <w:color w:val="000000"/>
          <w:szCs w:val="18"/>
          <w:lang w:eastAsia="bg-BG"/>
        </w:rPr>
        <w:t xml:space="preserve"> П-антагонист, когато е прилаган в комбинация с хидрохлоротиазид.</w:t>
      </w:r>
    </w:p>
    <w:p w14:paraId="3B0500F7" w14:textId="77777777" w:rsidR="009C7494" w:rsidRPr="00424500" w:rsidRDefault="009C7494" w:rsidP="009C7494">
      <w:pPr>
        <w:spacing w:line="240" w:lineRule="auto"/>
        <w:rPr>
          <w:rFonts w:eastAsia="Times New Roman" w:cs="Arial"/>
          <w:color w:val="000000"/>
          <w:szCs w:val="18"/>
          <w:lang w:eastAsia="bg-BG"/>
        </w:rPr>
      </w:pPr>
    </w:p>
    <w:p w14:paraId="49021F00" w14:textId="5BE6A998"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Няма доказателства за мутагенен или </w:t>
      </w:r>
      <w:proofErr w:type="spellStart"/>
      <w:r w:rsidRPr="00424500">
        <w:rPr>
          <w:rFonts w:eastAsia="Times New Roman" w:cs="Arial"/>
          <w:color w:val="000000"/>
          <w:szCs w:val="18"/>
          <w:lang w:eastAsia="bg-BG"/>
        </w:rPr>
        <w:t>кластогенен</w:t>
      </w:r>
      <w:proofErr w:type="spellEnd"/>
      <w:r w:rsidRPr="00424500">
        <w:rPr>
          <w:rFonts w:eastAsia="Times New Roman" w:cs="Arial"/>
          <w:color w:val="000000"/>
          <w:szCs w:val="18"/>
          <w:lang w:eastAsia="bg-BG"/>
        </w:rPr>
        <w:t xml:space="preserve"> ефект на комбинацията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/хидрохлоротиазид. Канцерогенният потенциал на тази комбинация не е оценяван при проучвания с животни.</w:t>
      </w:r>
    </w:p>
    <w:p w14:paraId="67BC4115" w14:textId="77777777" w:rsidR="009C7494" w:rsidRPr="00424500" w:rsidRDefault="009C7494" w:rsidP="009C7494">
      <w:pPr>
        <w:spacing w:line="240" w:lineRule="auto"/>
        <w:rPr>
          <w:rFonts w:eastAsia="Times New Roman" w:cs="Arial"/>
          <w:color w:val="000000"/>
          <w:szCs w:val="18"/>
          <w:u w:val="single"/>
          <w:lang w:eastAsia="bg-BG"/>
        </w:rPr>
      </w:pPr>
    </w:p>
    <w:p w14:paraId="716C0C6D" w14:textId="4A02C7EA" w:rsidR="009C7494" w:rsidRPr="00424500" w:rsidRDefault="009C7494" w:rsidP="009C7494">
      <w:pPr>
        <w:spacing w:line="240" w:lineRule="auto"/>
        <w:rPr>
          <w:rFonts w:eastAsia="Times New Roman" w:cs="Arial"/>
          <w:sz w:val="32"/>
          <w:szCs w:val="24"/>
        </w:rPr>
      </w:pPr>
      <w:proofErr w:type="spellStart"/>
      <w:r w:rsidRPr="00424500">
        <w:rPr>
          <w:rFonts w:eastAsia="Times New Roman" w:cs="Arial"/>
          <w:color w:val="000000"/>
          <w:szCs w:val="18"/>
          <w:u w:val="single"/>
          <w:lang w:eastAsia="bg-BG"/>
        </w:rPr>
        <w:t>Ирбесартан</w:t>
      </w:r>
      <w:proofErr w:type="spellEnd"/>
    </w:p>
    <w:p w14:paraId="438514DA" w14:textId="77777777" w:rsidR="009C7494" w:rsidRPr="00424500" w:rsidRDefault="009C7494" w:rsidP="009C7494">
      <w:pPr>
        <w:spacing w:line="240" w:lineRule="auto"/>
        <w:rPr>
          <w:rFonts w:eastAsia="Times New Roman" w:cs="Arial"/>
          <w:color w:val="000000"/>
          <w:szCs w:val="18"/>
          <w:lang w:eastAsia="bg-BG"/>
        </w:rPr>
      </w:pPr>
    </w:p>
    <w:p w14:paraId="4D373778" w14:textId="637DCF40" w:rsidR="009C7494" w:rsidRPr="00424500" w:rsidRDefault="009C7494" w:rsidP="009C7494">
      <w:pPr>
        <w:spacing w:line="240" w:lineRule="auto"/>
        <w:rPr>
          <w:rFonts w:eastAsia="Times New Roman" w:cs="Arial"/>
          <w:color w:val="000000"/>
          <w:szCs w:val="18"/>
          <w:lang w:eastAsia="bg-BG"/>
        </w:rPr>
      </w:pPr>
      <w:r w:rsidRPr="00424500">
        <w:rPr>
          <w:rFonts w:eastAsia="Times New Roman" w:cs="Arial"/>
          <w:color w:val="000000"/>
          <w:szCs w:val="18"/>
          <w:lang w:eastAsia="bg-BG"/>
        </w:rPr>
        <w:t xml:space="preserve">Няма данни за </w:t>
      </w:r>
      <w:proofErr w:type="spellStart"/>
      <w:r w:rsidRPr="00424500">
        <w:rPr>
          <w:rFonts w:eastAsia="Times New Roman" w:cs="Arial"/>
          <w:color w:val="000000"/>
          <w:szCs w:val="18"/>
          <w:lang w:eastAsia="bg-BG"/>
        </w:rPr>
        <w:t>абнормна</w:t>
      </w:r>
      <w:proofErr w:type="spellEnd"/>
      <w:r w:rsidRPr="00424500">
        <w:rPr>
          <w:rFonts w:eastAsia="Times New Roman" w:cs="Arial"/>
          <w:color w:val="000000"/>
          <w:szCs w:val="18"/>
          <w:lang w:eastAsia="bg-BG"/>
        </w:rPr>
        <w:t xml:space="preserve"> системна токсичност или токсичност по отношение на таргетните органи при клинично значими дози. При неклиничните проучвания за безопасност, приемът на високи дози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w:t>
      </w:r>
      <w:r w:rsidRPr="00424500">
        <w:rPr>
          <w:rFonts w:eastAsia="Times New Roman" w:cs="Arial"/>
          <w:i/>
          <w:iCs/>
          <w:color w:val="000000"/>
          <w:szCs w:val="18"/>
          <w:lang w:eastAsia="bg-BG"/>
        </w:rPr>
        <w:t>(≥ 250</w:t>
      </w:r>
      <w:r w:rsidRPr="00424500">
        <w:rPr>
          <w:rFonts w:eastAsia="Times New Roman" w:cs="Arial"/>
          <w:color w:val="000000"/>
          <w:szCs w:val="18"/>
          <w:lang w:eastAsia="bg-BG"/>
        </w:rPr>
        <w:t xml:space="preserve">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lang w:eastAsia="bg-BG"/>
        </w:rPr>
        <w:t xml:space="preserve">/дневно при плъхове и ≥ 100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lang w:eastAsia="bg-BG"/>
        </w:rPr>
        <w:t xml:space="preserve">/дневно при макаци) е довел до понижение на параметрите, свързани с червените кръвни клетки (еритроцити, хемоглобин, хематокрит). При много високи дози (≥ 500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lang w:eastAsia="bg-BG"/>
        </w:rPr>
        <w:t xml:space="preserve">/дневно) дегенеративни промени в бъбреците (като </w:t>
      </w:r>
      <w:proofErr w:type="spellStart"/>
      <w:r w:rsidRPr="00424500">
        <w:rPr>
          <w:rFonts w:eastAsia="Times New Roman" w:cs="Arial"/>
          <w:color w:val="000000"/>
          <w:szCs w:val="18"/>
          <w:lang w:eastAsia="bg-BG"/>
        </w:rPr>
        <w:t>интерстициален</w:t>
      </w:r>
      <w:proofErr w:type="spellEnd"/>
      <w:r w:rsidRPr="00424500">
        <w:rPr>
          <w:rFonts w:eastAsia="Times New Roman" w:cs="Arial"/>
          <w:color w:val="000000"/>
          <w:szCs w:val="18"/>
          <w:lang w:eastAsia="bg-BG"/>
        </w:rPr>
        <w:t xml:space="preserve"> нефрит, разширение на </w:t>
      </w:r>
      <w:proofErr w:type="spellStart"/>
      <w:r w:rsidRPr="00424500">
        <w:rPr>
          <w:rFonts w:eastAsia="Times New Roman" w:cs="Arial"/>
          <w:color w:val="000000"/>
          <w:szCs w:val="18"/>
          <w:lang w:eastAsia="bg-BG"/>
        </w:rPr>
        <w:t>тубулите</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базофилни</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тубули</w:t>
      </w:r>
      <w:proofErr w:type="spellEnd"/>
      <w:r w:rsidRPr="00424500">
        <w:rPr>
          <w:rFonts w:eastAsia="Times New Roman" w:cs="Arial"/>
          <w:color w:val="000000"/>
          <w:szCs w:val="18"/>
          <w:lang w:eastAsia="bg-BG"/>
        </w:rPr>
        <w:t xml:space="preserve">, повишаване на плазмените концентрации на уреята и </w:t>
      </w:r>
      <w:proofErr w:type="spellStart"/>
      <w:r w:rsidRPr="00424500">
        <w:rPr>
          <w:rFonts w:eastAsia="Times New Roman" w:cs="Arial"/>
          <w:color w:val="000000"/>
          <w:szCs w:val="18"/>
          <w:lang w:eastAsia="bg-BG"/>
        </w:rPr>
        <w:t>креатинина</w:t>
      </w:r>
      <w:proofErr w:type="spellEnd"/>
      <w:r w:rsidRPr="00424500">
        <w:rPr>
          <w:rFonts w:eastAsia="Times New Roman" w:cs="Arial"/>
          <w:color w:val="000000"/>
          <w:szCs w:val="18"/>
          <w:lang w:eastAsia="bg-BG"/>
        </w:rPr>
        <w:t xml:space="preserve">) са причинени от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при плъхове и макаци, като тези промени са определени като вторични, в резултат на </w:t>
      </w:r>
      <w:proofErr w:type="spellStart"/>
      <w:r w:rsidRPr="00424500">
        <w:rPr>
          <w:rFonts w:eastAsia="Times New Roman" w:cs="Arial"/>
          <w:color w:val="000000"/>
          <w:szCs w:val="18"/>
          <w:lang w:eastAsia="bg-BG"/>
        </w:rPr>
        <w:t>хипотензивните</w:t>
      </w:r>
      <w:proofErr w:type="spellEnd"/>
      <w:r w:rsidRPr="00424500">
        <w:rPr>
          <w:rFonts w:eastAsia="Times New Roman" w:cs="Arial"/>
          <w:color w:val="000000"/>
          <w:szCs w:val="18"/>
          <w:lang w:eastAsia="bg-BG"/>
        </w:rPr>
        <w:t xml:space="preserve"> ефекти на лекарството, водещи до понижена бъбречна </w:t>
      </w:r>
      <w:proofErr w:type="spellStart"/>
      <w:r w:rsidRPr="00424500">
        <w:rPr>
          <w:rFonts w:eastAsia="Times New Roman" w:cs="Arial"/>
          <w:color w:val="000000"/>
          <w:szCs w:val="18"/>
          <w:lang w:eastAsia="bg-BG"/>
        </w:rPr>
        <w:t>перфузия</w:t>
      </w:r>
      <w:proofErr w:type="spellEnd"/>
      <w:r w:rsidRPr="00424500">
        <w:rPr>
          <w:rFonts w:eastAsia="Times New Roman" w:cs="Arial"/>
          <w:color w:val="000000"/>
          <w:szCs w:val="18"/>
          <w:lang w:eastAsia="bg-BG"/>
        </w:rPr>
        <w:t xml:space="preserve">. Освен това,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води до хиперплазия/хипертрофия на </w:t>
      </w:r>
      <w:proofErr w:type="spellStart"/>
      <w:r w:rsidRPr="00424500">
        <w:rPr>
          <w:rFonts w:eastAsia="Times New Roman" w:cs="Arial"/>
          <w:color w:val="000000"/>
          <w:szCs w:val="18"/>
          <w:lang w:eastAsia="bg-BG"/>
        </w:rPr>
        <w:t>юкстрагломерулните</w:t>
      </w:r>
      <w:proofErr w:type="spellEnd"/>
      <w:r w:rsidRPr="00424500">
        <w:rPr>
          <w:rFonts w:eastAsia="Times New Roman" w:cs="Arial"/>
          <w:color w:val="000000"/>
          <w:szCs w:val="18"/>
          <w:lang w:eastAsia="bg-BG"/>
        </w:rPr>
        <w:t xml:space="preserve"> клетки (при плъхове, при ≥ 90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lang w:eastAsia="bg-BG"/>
        </w:rPr>
        <w:t xml:space="preserve">/дневно и при маймуни от рода макак, при ≥10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lang w:eastAsia="bg-BG"/>
        </w:rPr>
        <w:t xml:space="preserve">/дневно). Всички тези промени са определени резултат от фармакологичното действие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В терапевтични </w:t>
      </w:r>
      <w:r w:rsidRPr="00424500">
        <w:rPr>
          <w:rFonts w:eastAsia="Times New Roman" w:cs="Arial"/>
          <w:color w:val="000000"/>
          <w:szCs w:val="18"/>
          <w:lang w:eastAsia="bg-BG"/>
        </w:rPr>
        <w:lastRenderedPageBreak/>
        <w:t xml:space="preserve">дози, приложението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при хора не води до значима хиперплазия/хипертрофия на </w:t>
      </w:r>
      <w:proofErr w:type="spellStart"/>
      <w:r w:rsidRPr="00424500">
        <w:rPr>
          <w:rFonts w:eastAsia="Times New Roman" w:cs="Arial"/>
          <w:color w:val="000000"/>
          <w:szCs w:val="18"/>
          <w:lang w:eastAsia="bg-BG"/>
        </w:rPr>
        <w:t>юкстрагломерулните</w:t>
      </w:r>
      <w:proofErr w:type="spellEnd"/>
      <w:r w:rsidRPr="00424500">
        <w:rPr>
          <w:rFonts w:eastAsia="Times New Roman" w:cs="Arial"/>
          <w:color w:val="000000"/>
          <w:szCs w:val="18"/>
          <w:lang w:eastAsia="bg-BG"/>
        </w:rPr>
        <w:t xml:space="preserve"> клетки.</w:t>
      </w:r>
    </w:p>
    <w:p w14:paraId="6C84C534" w14:textId="3C8E5EDE" w:rsidR="009C7494" w:rsidRPr="00424500" w:rsidRDefault="009C7494" w:rsidP="009C7494">
      <w:pPr>
        <w:spacing w:line="240" w:lineRule="auto"/>
        <w:rPr>
          <w:rFonts w:eastAsia="Times New Roman" w:cs="Arial"/>
          <w:color w:val="000000"/>
          <w:szCs w:val="18"/>
          <w:lang w:eastAsia="bg-BG"/>
        </w:rPr>
      </w:pPr>
    </w:p>
    <w:p w14:paraId="0B5AEF32" w14:textId="77777777"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Няма данни за наличието на мутагенен, </w:t>
      </w:r>
      <w:proofErr w:type="spellStart"/>
      <w:r w:rsidRPr="00424500">
        <w:rPr>
          <w:rFonts w:eastAsia="Times New Roman" w:cs="Arial"/>
          <w:color w:val="000000"/>
          <w:szCs w:val="18"/>
          <w:lang w:eastAsia="bg-BG"/>
        </w:rPr>
        <w:t>кластогенен</w:t>
      </w:r>
      <w:proofErr w:type="spellEnd"/>
      <w:r w:rsidRPr="00424500">
        <w:rPr>
          <w:rFonts w:eastAsia="Times New Roman" w:cs="Arial"/>
          <w:color w:val="000000"/>
          <w:szCs w:val="18"/>
          <w:lang w:eastAsia="bg-BG"/>
        </w:rPr>
        <w:t xml:space="preserve"> или карциногенен ефект.</w:t>
      </w:r>
    </w:p>
    <w:p w14:paraId="17A1F697" w14:textId="77777777" w:rsidR="009C7494" w:rsidRPr="00424500" w:rsidRDefault="009C7494" w:rsidP="009C7494">
      <w:pPr>
        <w:spacing w:line="240" w:lineRule="auto"/>
        <w:rPr>
          <w:rFonts w:eastAsia="Times New Roman" w:cs="Arial"/>
          <w:color w:val="000000"/>
          <w:szCs w:val="18"/>
          <w:lang w:eastAsia="bg-BG"/>
        </w:rPr>
      </w:pPr>
    </w:p>
    <w:p w14:paraId="3A970670" w14:textId="1E114572"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При проучвания при мъжки и женски плъхове, </w:t>
      </w:r>
      <w:proofErr w:type="spellStart"/>
      <w:r w:rsidRPr="00424500">
        <w:rPr>
          <w:rFonts w:eastAsia="Times New Roman" w:cs="Arial"/>
          <w:color w:val="000000"/>
          <w:szCs w:val="18"/>
          <w:lang w:eastAsia="bg-BG"/>
        </w:rPr>
        <w:t>фертилитета</w:t>
      </w:r>
      <w:proofErr w:type="spellEnd"/>
      <w:r w:rsidRPr="00424500">
        <w:rPr>
          <w:rFonts w:eastAsia="Times New Roman" w:cs="Arial"/>
          <w:color w:val="000000"/>
          <w:szCs w:val="18"/>
          <w:lang w:eastAsia="bg-BG"/>
        </w:rPr>
        <w:t xml:space="preserve"> и репродуктивните способности не били засегнати, дори при перорални дози на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причиняващи известна токсичност при родителите (от 50 до 650 </w:t>
      </w:r>
      <w:proofErr w:type="spellStart"/>
      <w:r w:rsidRPr="00424500">
        <w:rPr>
          <w:rFonts w:eastAsia="Times New Roman" w:cs="Arial"/>
          <w:color w:val="000000"/>
          <w:szCs w:val="18"/>
        </w:rPr>
        <w:t>mg</w:t>
      </w:r>
      <w:proofErr w:type="spellEnd"/>
      <w:r w:rsidRPr="00424500">
        <w:rPr>
          <w:rFonts w:eastAsia="Times New Roman" w:cs="Arial"/>
          <w:color w:val="000000"/>
          <w:szCs w:val="18"/>
        </w:rPr>
        <w:t>/</w:t>
      </w:r>
      <w:proofErr w:type="spellStart"/>
      <w:r w:rsidRPr="00424500">
        <w:rPr>
          <w:rFonts w:eastAsia="Times New Roman" w:cs="Arial"/>
          <w:color w:val="000000"/>
          <w:szCs w:val="18"/>
        </w:rPr>
        <w:t>kg</w:t>
      </w:r>
      <w:proofErr w:type="spellEnd"/>
      <w:r w:rsidRPr="00424500">
        <w:rPr>
          <w:rFonts w:eastAsia="Times New Roman" w:cs="Arial"/>
          <w:color w:val="000000"/>
          <w:szCs w:val="18"/>
        </w:rPr>
        <w:t xml:space="preserve"> </w:t>
      </w:r>
      <w:r w:rsidRPr="00424500">
        <w:rPr>
          <w:rFonts w:eastAsia="Times New Roman" w:cs="Arial"/>
          <w:color w:val="000000"/>
          <w:szCs w:val="18"/>
          <w:lang w:eastAsia="bg-BG"/>
        </w:rPr>
        <w:t xml:space="preserve">дневно), включително смърт при най-високата доза. Не са наблюдавани значими ефекти върху броя на жълтите тела, имплантите или живите </w:t>
      </w:r>
      <w:proofErr w:type="spellStart"/>
      <w:r w:rsidRPr="00424500">
        <w:rPr>
          <w:rFonts w:eastAsia="Times New Roman" w:cs="Arial"/>
          <w:color w:val="000000"/>
          <w:szCs w:val="18"/>
          <w:lang w:eastAsia="bg-BG"/>
        </w:rPr>
        <w:t>фетуси</w:t>
      </w:r>
      <w:proofErr w:type="spellEnd"/>
      <w:r w:rsidRPr="00424500">
        <w:rPr>
          <w:rFonts w:eastAsia="Times New Roman" w:cs="Arial"/>
          <w:color w:val="000000"/>
          <w:szCs w:val="18"/>
          <w:lang w:eastAsia="bg-BG"/>
        </w:rPr>
        <w:t xml:space="preserve">.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не засяга преживяемостта, развитието или </w:t>
      </w:r>
      <w:proofErr w:type="spellStart"/>
      <w:r w:rsidRPr="00424500">
        <w:rPr>
          <w:rFonts w:eastAsia="Times New Roman" w:cs="Arial"/>
          <w:color w:val="000000"/>
          <w:szCs w:val="18"/>
          <w:lang w:eastAsia="bg-BG"/>
        </w:rPr>
        <w:t>репродуктивността</w:t>
      </w:r>
      <w:proofErr w:type="spellEnd"/>
      <w:r w:rsidRPr="00424500">
        <w:rPr>
          <w:rFonts w:eastAsia="Times New Roman" w:cs="Arial"/>
          <w:color w:val="000000"/>
          <w:szCs w:val="18"/>
          <w:lang w:eastAsia="bg-BG"/>
        </w:rPr>
        <w:t xml:space="preserve"> на потомството. Проучвания при животни показват, че радиоактивно белязан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се открива във </w:t>
      </w:r>
      <w:proofErr w:type="spellStart"/>
      <w:r w:rsidRPr="00424500">
        <w:rPr>
          <w:rFonts w:eastAsia="Times New Roman" w:cs="Arial"/>
          <w:color w:val="000000"/>
          <w:szCs w:val="18"/>
          <w:lang w:eastAsia="bg-BG"/>
        </w:rPr>
        <w:t>фетуси</w:t>
      </w:r>
      <w:proofErr w:type="spellEnd"/>
      <w:r w:rsidRPr="00424500">
        <w:rPr>
          <w:rFonts w:eastAsia="Times New Roman" w:cs="Arial"/>
          <w:color w:val="000000"/>
          <w:szCs w:val="18"/>
          <w:lang w:eastAsia="bg-BG"/>
        </w:rPr>
        <w:t xml:space="preserve"> на плъхове и зайци.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се </w:t>
      </w:r>
      <w:proofErr w:type="spellStart"/>
      <w:r w:rsidRPr="00424500">
        <w:rPr>
          <w:rFonts w:eastAsia="Times New Roman" w:cs="Arial"/>
          <w:color w:val="000000"/>
          <w:szCs w:val="18"/>
          <w:lang w:eastAsia="bg-BG"/>
        </w:rPr>
        <w:t>екскретира</w:t>
      </w:r>
      <w:proofErr w:type="spellEnd"/>
      <w:r w:rsidRPr="00424500">
        <w:rPr>
          <w:rFonts w:eastAsia="Times New Roman" w:cs="Arial"/>
          <w:color w:val="000000"/>
          <w:szCs w:val="18"/>
          <w:lang w:eastAsia="bg-BG"/>
        </w:rPr>
        <w:t xml:space="preserve"> в млякото на кърмещи плъхове.</w:t>
      </w:r>
    </w:p>
    <w:p w14:paraId="623A6103" w14:textId="77777777" w:rsidR="009C7494" w:rsidRPr="00424500" w:rsidRDefault="009C7494" w:rsidP="009C7494">
      <w:pPr>
        <w:spacing w:line="240" w:lineRule="auto"/>
        <w:rPr>
          <w:rFonts w:eastAsia="Times New Roman" w:cs="Arial"/>
          <w:color w:val="000000"/>
          <w:szCs w:val="18"/>
          <w:lang w:eastAsia="bg-BG"/>
        </w:rPr>
      </w:pPr>
    </w:p>
    <w:p w14:paraId="4EDED625" w14:textId="3B7DBFF8"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Проучванията при животни с </w:t>
      </w:r>
      <w:proofErr w:type="spellStart"/>
      <w:r w:rsidRPr="00424500">
        <w:rPr>
          <w:rFonts w:eastAsia="Times New Roman" w:cs="Arial"/>
          <w:color w:val="000000"/>
          <w:szCs w:val="18"/>
          <w:lang w:eastAsia="bg-BG"/>
        </w:rPr>
        <w:t>ирбесартан</w:t>
      </w:r>
      <w:proofErr w:type="spellEnd"/>
      <w:r w:rsidRPr="00424500">
        <w:rPr>
          <w:rFonts w:eastAsia="Times New Roman" w:cs="Arial"/>
          <w:color w:val="000000"/>
          <w:szCs w:val="18"/>
          <w:lang w:eastAsia="bg-BG"/>
        </w:rPr>
        <w:t xml:space="preserve">, показват преходни токсични ефекти (увеличение на бъбречното легенче, </w:t>
      </w:r>
      <w:proofErr w:type="spellStart"/>
      <w:r w:rsidRPr="00424500">
        <w:rPr>
          <w:rFonts w:eastAsia="Times New Roman" w:cs="Arial"/>
          <w:color w:val="000000"/>
          <w:szCs w:val="18"/>
          <w:lang w:eastAsia="bg-BG"/>
        </w:rPr>
        <w:t>хидроуретер</w:t>
      </w:r>
      <w:proofErr w:type="spellEnd"/>
      <w:r w:rsidRPr="00424500">
        <w:rPr>
          <w:rFonts w:eastAsia="Times New Roman" w:cs="Arial"/>
          <w:color w:val="000000"/>
          <w:szCs w:val="18"/>
          <w:lang w:eastAsia="bg-BG"/>
        </w:rPr>
        <w:t xml:space="preserve"> или подкожен оток) при </w:t>
      </w:r>
      <w:proofErr w:type="spellStart"/>
      <w:r w:rsidRPr="00424500">
        <w:rPr>
          <w:rFonts w:eastAsia="Times New Roman" w:cs="Arial"/>
          <w:color w:val="000000"/>
          <w:szCs w:val="18"/>
          <w:lang w:eastAsia="bg-BG"/>
        </w:rPr>
        <w:t>фетуси</w:t>
      </w:r>
      <w:proofErr w:type="spellEnd"/>
      <w:r w:rsidRPr="00424500">
        <w:rPr>
          <w:rFonts w:eastAsia="Times New Roman" w:cs="Arial"/>
          <w:color w:val="000000"/>
          <w:szCs w:val="18"/>
          <w:lang w:eastAsia="bg-BG"/>
        </w:rPr>
        <w:t xml:space="preserve"> на плъхове, които преминават след раждането. При зайци, аборт или ранна резорбция са наблюдавани при дози, водещи до значителна токсичност за майката, включително смърт. Не са наблюдавани тератогенни ефекти при плъхове или зайци.</w:t>
      </w:r>
    </w:p>
    <w:p w14:paraId="0344242B" w14:textId="77777777" w:rsidR="009C7494" w:rsidRPr="00424500" w:rsidRDefault="009C7494" w:rsidP="009C7494">
      <w:pPr>
        <w:spacing w:line="240" w:lineRule="auto"/>
        <w:rPr>
          <w:rFonts w:eastAsia="Times New Roman" w:cs="Arial"/>
          <w:color w:val="000000"/>
          <w:szCs w:val="18"/>
          <w:u w:val="single"/>
          <w:lang w:eastAsia="bg-BG"/>
        </w:rPr>
      </w:pPr>
    </w:p>
    <w:p w14:paraId="55CA3304" w14:textId="74A89AB6"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u w:val="single"/>
          <w:lang w:eastAsia="bg-BG"/>
        </w:rPr>
        <w:t>Хидрохлоротиазид</w:t>
      </w:r>
    </w:p>
    <w:p w14:paraId="032FCA6A" w14:textId="77777777" w:rsidR="009C7494" w:rsidRPr="00424500" w:rsidRDefault="009C7494" w:rsidP="009C7494">
      <w:pPr>
        <w:spacing w:line="240" w:lineRule="auto"/>
        <w:rPr>
          <w:rFonts w:eastAsia="Times New Roman" w:cs="Arial"/>
          <w:color w:val="000000"/>
          <w:szCs w:val="18"/>
          <w:lang w:eastAsia="bg-BG"/>
        </w:rPr>
      </w:pPr>
    </w:p>
    <w:p w14:paraId="5F46A1F3" w14:textId="51A1ACC0" w:rsidR="009C7494" w:rsidRPr="00424500" w:rsidRDefault="009C7494" w:rsidP="009C7494">
      <w:pPr>
        <w:spacing w:line="240" w:lineRule="auto"/>
        <w:rPr>
          <w:rFonts w:eastAsia="Times New Roman" w:cs="Arial"/>
          <w:sz w:val="32"/>
          <w:szCs w:val="24"/>
        </w:rPr>
      </w:pPr>
      <w:r w:rsidRPr="00424500">
        <w:rPr>
          <w:rFonts w:eastAsia="Times New Roman" w:cs="Arial"/>
          <w:color w:val="000000"/>
          <w:szCs w:val="18"/>
          <w:lang w:eastAsia="bg-BG"/>
        </w:rPr>
        <w:t xml:space="preserve">Въпреки че при някои експериментални модели са получени несигурни данни за </w:t>
      </w:r>
      <w:proofErr w:type="spellStart"/>
      <w:r w:rsidRPr="00424500">
        <w:rPr>
          <w:rFonts w:eastAsia="Times New Roman" w:cs="Arial"/>
          <w:color w:val="000000"/>
          <w:szCs w:val="18"/>
          <w:lang w:eastAsia="bg-BG"/>
        </w:rPr>
        <w:t>генотоксичен</w:t>
      </w:r>
      <w:proofErr w:type="spellEnd"/>
      <w:r w:rsidRPr="00424500">
        <w:rPr>
          <w:rFonts w:eastAsia="Times New Roman" w:cs="Arial"/>
          <w:color w:val="000000"/>
          <w:szCs w:val="18"/>
          <w:lang w:eastAsia="bg-BG"/>
        </w:rPr>
        <w:t xml:space="preserve"> или карциногенен ефект, големият опит с употребата на хидрохлоротиазид при хора не е показал връзка между употребата му и повишена честота на поява на </w:t>
      </w:r>
      <w:proofErr w:type="spellStart"/>
      <w:r w:rsidRPr="00424500">
        <w:rPr>
          <w:rFonts w:eastAsia="Times New Roman" w:cs="Arial"/>
          <w:color w:val="000000"/>
          <w:szCs w:val="18"/>
          <w:lang w:eastAsia="bg-BG"/>
        </w:rPr>
        <w:t>неоплазми</w:t>
      </w:r>
      <w:proofErr w:type="spellEnd"/>
      <w:r w:rsidRPr="00424500">
        <w:rPr>
          <w:rFonts w:eastAsia="Times New Roman" w:cs="Arial"/>
          <w:color w:val="000000"/>
          <w:szCs w:val="18"/>
          <w:lang w:eastAsia="bg-BG"/>
        </w:rPr>
        <w:t>.</w:t>
      </w:r>
    </w:p>
    <w:p w14:paraId="426D2A20" w14:textId="77777777" w:rsidR="009C7494" w:rsidRPr="00424500" w:rsidRDefault="009C7494" w:rsidP="009C7494">
      <w:pPr>
        <w:spacing w:line="240" w:lineRule="auto"/>
        <w:rPr>
          <w:rFonts w:eastAsia="Times New Roman" w:cs="Arial"/>
          <w:sz w:val="32"/>
          <w:szCs w:val="24"/>
        </w:rPr>
      </w:pPr>
    </w:p>
    <w:p w14:paraId="1BA6531D" w14:textId="70F5E86F" w:rsidR="00B6672E" w:rsidRPr="00424500" w:rsidRDefault="002C50EE" w:rsidP="00936AD0">
      <w:pPr>
        <w:pStyle w:val="Heading1"/>
      </w:pPr>
      <w:r w:rsidRPr="00424500">
        <w:t>7. ПРИТЕЖАТЕЛ НА РАЗРЕШЕНИЕТО ЗА УПОТРЕБА</w:t>
      </w:r>
    </w:p>
    <w:p w14:paraId="24E2F039" w14:textId="312684F6" w:rsidR="009C7494" w:rsidRPr="00424500" w:rsidRDefault="009C7494" w:rsidP="009C7494"/>
    <w:p w14:paraId="2CBD32B8" w14:textId="77777777" w:rsidR="009C7494" w:rsidRPr="00424500" w:rsidRDefault="009C7494" w:rsidP="009C7494">
      <w:pPr>
        <w:rPr>
          <w:sz w:val="24"/>
          <w:szCs w:val="24"/>
        </w:rPr>
      </w:pPr>
      <w:r w:rsidRPr="00424500">
        <w:rPr>
          <w:lang w:eastAsia="bg-BG"/>
        </w:rPr>
        <w:t>„</w:t>
      </w:r>
      <w:proofErr w:type="spellStart"/>
      <w:r w:rsidRPr="00424500">
        <w:rPr>
          <w:lang w:eastAsia="bg-BG"/>
        </w:rPr>
        <w:t>Чайкафарма</w:t>
      </w:r>
      <w:proofErr w:type="spellEnd"/>
      <w:r w:rsidRPr="00424500">
        <w:rPr>
          <w:lang w:eastAsia="bg-BG"/>
        </w:rPr>
        <w:t xml:space="preserve"> Висококачествените Лекарства” АД</w:t>
      </w:r>
    </w:p>
    <w:p w14:paraId="714F98B4" w14:textId="77777777" w:rsidR="009C7494" w:rsidRPr="00424500" w:rsidRDefault="009C7494" w:rsidP="009C7494">
      <w:pPr>
        <w:rPr>
          <w:sz w:val="24"/>
          <w:szCs w:val="24"/>
        </w:rPr>
      </w:pPr>
      <w:r w:rsidRPr="00424500">
        <w:rPr>
          <w:lang w:eastAsia="bg-BG"/>
        </w:rPr>
        <w:t>бул. “Г. М. Димитров” № 1,</w:t>
      </w:r>
    </w:p>
    <w:p w14:paraId="15A225C2" w14:textId="77777777" w:rsidR="009C7494" w:rsidRPr="00424500" w:rsidRDefault="009C7494" w:rsidP="009C7494">
      <w:pPr>
        <w:rPr>
          <w:sz w:val="24"/>
          <w:szCs w:val="24"/>
        </w:rPr>
      </w:pPr>
      <w:proofErr w:type="spellStart"/>
      <w:r w:rsidRPr="00424500">
        <w:rPr>
          <w:lang w:eastAsia="bg-BG"/>
        </w:rPr>
        <w:t>гр.София</w:t>
      </w:r>
      <w:proofErr w:type="spellEnd"/>
      <w:r w:rsidRPr="00424500">
        <w:rPr>
          <w:lang w:eastAsia="bg-BG"/>
        </w:rPr>
        <w:t xml:space="preserve"> 1172, България</w:t>
      </w:r>
    </w:p>
    <w:p w14:paraId="088F3A67" w14:textId="77777777" w:rsidR="009C7494" w:rsidRPr="00424500" w:rsidRDefault="009C7494" w:rsidP="009C7494">
      <w:pPr>
        <w:rPr>
          <w:sz w:val="24"/>
          <w:szCs w:val="24"/>
        </w:rPr>
      </w:pPr>
      <w:r w:rsidRPr="00424500">
        <w:rPr>
          <w:lang w:eastAsia="bg-BG"/>
        </w:rPr>
        <w:t>тел: +359 2 962 54 54</w:t>
      </w:r>
    </w:p>
    <w:p w14:paraId="79C03A5C" w14:textId="77777777" w:rsidR="009C7494" w:rsidRPr="00424500" w:rsidRDefault="009C7494" w:rsidP="009C7494">
      <w:pPr>
        <w:rPr>
          <w:sz w:val="24"/>
          <w:szCs w:val="24"/>
        </w:rPr>
      </w:pPr>
      <w:r w:rsidRPr="00424500">
        <w:rPr>
          <w:lang w:eastAsia="bg-BG"/>
        </w:rPr>
        <w:t>факс: +359 2 9603 703</w:t>
      </w:r>
    </w:p>
    <w:p w14:paraId="2DC7AB6F" w14:textId="54B27C1A" w:rsidR="009C7494" w:rsidRPr="00424500" w:rsidRDefault="009C7494" w:rsidP="009C7494">
      <w:pPr>
        <w:rPr>
          <w:sz w:val="24"/>
          <w:szCs w:val="24"/>
        </w:rPr>
      </w:pPr>
      <w:r w:rsidRPr="00424500">
        <w:t>e-</w:t>
      </w:r>
      <w:proofErr w:type="spellStart"/>
      <w:r w:rsidRPr="00424500">
        <w:t>mail</w:t>
      </w:r>
      <w:proofErr w:type="spellEnd"/>
      <w:r w:rsidRPr="00424500">
        <w:t>: info@tchaikapharma.com</w:t>
      </w:r>
    </w:p>
    <w:p w14:paraId="508F3A54" w14:textId="54EA5F3F" w:rsidR="00B6672E" w:rsidRPr="00424500" w:rsidRDefault="00936AD0" w:rsidP="00936AD0">
      <w:pPr>
        <w:pStyle w:val="Heading1"/>
      </w:pPr>
      <w:r w:rsidRPr="00424500">
        <w:t>8.</w:t>
      </w:r>
      <w:r w:rsidR="002C50EE" w:rsidRPr="00424500">
        <w:t>НОМЕР НА РАЗРЕШЕНИЕТО ЗА УПОТРЕБА</w:t>
      </w:r>
    </w:p>
    <w:p w14:paraId="3E54DAD7" w14:textId="585C339C" w:rsidR="009C7494" w:rsidRPr="00424500" w:rsidRDefault="009C7494" w:rsidP="009C7494"/>
    <w:p w14:paraId="1259B18E" w14:textId="77777777" w:rsidR="009C7494" w:rsidRPr="00424500" w:rsidRDefault="009C7494" w:rsidP="009C7494">
      <w:pPr>
        <w:rPr>
          <w:sz w:val="24"/>
          <w:szCs w:val="24"/>
        </w:rPr>
      </w:pPr>
      <w:r w:rsidRPr="00424500">
        <w:rPr>
          <w:lang w:eastAsia="bg-BG"/>
        </w:rPr>
        <w:t>Ко-</w:t>
      </w:r>
      <w:proofErr w:type="spellStart"/>
      <w:r w:rsidRPr="00424500">
        <w:rPr>
          <w:lang w:eastAsia="bg-BG"/>
        </w:rPr>
        <w:t>Ирбесо</w:t>
      </w:r>
      <w:proofErr w:type="spellEnd"/>
      <w:r w:rsidRPr="00424500">
        <w:rPr>
          <w:lang w:eastAsia="bg-BG"/>
        </w:rPr>
        <w:t xml:space="preserve"> 150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филмирани таблетки - 20110196</w:t>
      </w:r>
    </w:p>
    <w:p w14:paraId="6434C8C7" w14:textId="1D5F8010" w:rsidR="009C7494" w:rsidRPr="00424500" w:rsidRDefault="009C7494" w:rsidP="009C7494">
      <w:r w:rsidRPr="00424500">
        <w:rPr>
          <w:lang w:eastAsia="bg-BG"/>
        </w:rPr>
        <w:t>Ко-</w:t>
      </w:r>
      <w:proofErr w:type="spellStart"/>
      <w:r w:rsidRPr="00424500">
        <w:rPr>
          <w:lang w:eastAsia="bg-BG"/>
        </w:rPr>
        <w:t>Ирбесо</w:t>
      </w:r>
      <w:proofErr w:type="spellEnd"/>
      <w:r w:rsidRPr="00424500">
        <w:rPr>
          <w:lang w:eastAsia="bg-BG"/>
        </w:rPr>
        <w:t xml:space="preserve"> 300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филмирани таблетки - 20110197</w:t>
      </w:r>
    </w:p>
    <w:p w14:paraId="2CCB5832" w14:textId="73C0B708" w:rsidR="007C605B" w:rsidRPr="00424500" w:rsidRDefault="002C50EE" w:rsidP="007C605B">
      <w:pPr>
        <w:pStyle w:val="Heading1"/>
      </w:pPr>
      <w:r w:rsidRPr="00424500">
        <w:t>9. ДАТА НА ПЪРВО РАЗРЕШАВАНЕ/ПОДНОВЯВАНЕ НА РАЗРЕШЕНИЕТО ЗА УПОТРЕБА</w:t>
      </w:r>
    </w:p>
    <w:p w14:paraId="433AAA36" w14:textId="3CA0C0A5" w:rsidR="009C7494" w:rsidRPr="00424500" w:rsidRDefault="009C7494" w:rsidP="009C7494"/>
    <w:p w14:paraId="75744983" w14:textId="77777777" w:rsidR="009C7494" w:rsidRPr="00424500" w:rsidRDefault="009C7494" w:rsidP="009C7494">
      <w:pPr>
        <w:rPr>
          <w:sz w:val="24"/>
          <w:szCs w:val="24"/>
        </w:rPr>
      </w:pPr>
      <w:r w:rsidRPr="00424500">
        <w:rPr>
          <w:lang w:eastAsia="bg-BG"/>
        </w:rPr>
        <w:t>Дата на първо разрешаване:</w:t>
      </w:r>
    </w:p>
    <w:p w14:paraId="09351470" w14:textId="77777777" w:rsidR="009C7494" w:rsidRPr="00424500" w:rsidRDefault="009C7494" w:rsidP="009C7494">
      <w:pPr>
        <w:rPr>
          <w:sz w:val="24"/>
          <w:szCs w:val="24"/>
        </w:rPr>
      </w:pPr>
      <w:r w:rsidRPr="00424500">
        <w:rPr>
          <w:lang w:eastAsia="bg-BG"/>
        </w:rPr>
        <w:t>Ко-</w:t>
      </w:r>
      <w:proofErr w:type="spellStart"/>
      <w:r w:rsidRPr="00424500">
        <w:rPr>
          <w:lang w:eastAsia="bg-BG"/>
        </w:rPr>
        <w:t>Ирбесо</w:t>
      </w:r>
      <w:proofErr w:type="spellEnd"/>
      <w:r w:rsidRPr="00424500">
        <w:rPr>
          <w:lang w:eastAsia="bg-BG"/>
        </w:rPr>
        <w:t xml:space="preserve"> 150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филмирани таблетки - 29.03.2011</w:t>
      </w:r>
    </w:p>
    <w:p w14:paraId="545DCB40" w14:textId="77777777" w:rsidR="009C7494" w:rsidRPr="00424500" w:rsidRDefault="009C7494" w:rsidP="009C7494">
      <w:pPr>
        <w:rPr>
          <w:sz w:val="24"/>
          <w:szCs w:val="24"/>
        </w:rPr>
      </w:pPr>
      <w:r w:rsidRPr="00424500">
        <w:rPr>
          <w:lang w:eastAsia="bg-BG"/>
        </w:rPr>
        <w:lastRenderedPageBreak/>
        <w:t>Ко-</w:t>
      </w:r>
      <w:proofErr w:type="spellStart"/>
      <w:r w:rsidRPr="00424500">
        <w:rPr>
          <w:lang w:eastAsia="bg-BG"/>
        </w:rPr>
        <w:t>Ирбесо</w:t>
      </w:r>
      <w:proofErr w:type="spellEnd"/>
      <w:r w:rsidRPr="00424500">
        <w:rPr>
          <w:lang w:eastAsia="bg-BG"/>
        </w:rPr>
        <w:t xml:space="preserve"> 300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филмирани таблетки - 29.03.2011</w:t>
      </w:r>
    </w:p>
    <w:p w14:paraId="72F0621D" w14:textId="77777777" w:rsidR="009C7494" w:rsidRPr="00424500" w:rsidRDefault="009C7494" w:rsidP="009C7494">
      <w:pPr>
        <w:rPr>
          <w:lang w:eastAsia="bg-BG"/>
        </w:rPr>
      </w:pPr>
    </w:p>
    <w:p w14:paraId="2D4B49CA" w14:textId="186B999A" w:rsidR="009C7494" w:rsidRPr="00424500" w:rsidRDefault="009C7494" w:rsidP="009C7494">
      <w:pPr>
        <w:rPr>
          <w:sz w:val="24"/>
          <w:szCs w:val="24"/>
        </w:rPr>
      </w:pPr>
      <w:r w:rsidRPr="00424500">
        <w:rPr>
          <w:lang w:eastAsia="bg-BG"/>
        </w:rPr>
        <w:t>Дата на последно подновяване:</w:t>
      </w:r>
    </w:p>
    <w:p w14:paraId="3C5AA7AB" w14:textId="77777777" w:rsidR="009C7494" w:rsidRPr="00424500" w:rsidRDefault="009C7494" w:rsidP="009C7494">
      <w:pPr>
        <w:rPr>
          <w:sz w:val="24"/>
          <w:szCs w:val="24"/>
        </w:rPr>
      </w:pPr>
      <w:r w:rsidRPr="00424500">
        <w:rPr>
          <w:lang w:eastAsia="bg-BG"/>
        </w:rPr>
        <w:t>Ко-</w:t>
      </w:r>
      <w:proofErr w:type="spellStart"/>
      <w:r w:rsidRPr="00424500">
        <w:rPr>
          <w:lang w:eastAsia="bg-BG"/>
        </w:rPr>
        <w:t>Ирбесо</w:t>
      </w:r>
      <w:proofErr w:type="spellEnd"/>
      <w:r w:rsidRPr="00424500">
        <w:rPr>
          <w:lang w:eastAsia="bg-BG"/>
        </w:rPr>
        <w:t xml:space="preserve"> 150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филмирани таблетки — 18.01.2016</w:t>
      </w:r>
    </w:p>
    <w:p w14:paraId="7E0B4A69" w14:textId="7CDF2A6D" w:rsidR="009C7494" w:rsidRPr="00424500" w:rsidRDefault="009C7494" w:rsidP="009C7494">
      <w:r w:rsidRPr="00424500">
        <w:rPr>
          <w:lang w:eastAsia="bg-BG"/>
        </w:rPr>
        <w:t>Ко-</w:t>
      </w:r>
      <w:proofErr w:type="spellStart"/>
      <w:r w:rsidRPr="00424500">
        <w:rPr>
          <w:lang w:eastAsia="bg-BG"/>
        </w:rPr>
        <w:t>Ирбесо</w:t>
      </w:r>
      <w:proofErr w:type="spellEnd"/>
      <w:r w:rsidRPr="00424500">
        <w:rPr>
          <w:lang w:eastAsia="bg-BG"/>
        </w:rPr>
        <w:t xml:space="preserve"> 300 </w:t>
      </w:r>
      <w:proofErr w:type="spellStart"/>
      <w:r w:rsidRPr="00424500">
        <w:t>mg</w:t>
      </w:r>
      <w:proofErr w:type="spellEnd"/>
      <w:r w:rsidRPr="00424500">
        <w:t xml:space="preserve">/12,5 </w:t>
      </w:r>
      <w:proofErr w:type="spellStart"/>
      <w:r w:rsidRPr="00424500">
        <w:t>mg</w:t>
      </w:r>
      <w:proofErr w:type="spellEnd"/>
      <w:r w:rsidRPr="00424500">
        <w:t xml:space="preserve"> </w:t>
      </w:r>
      <w:r w:rsidRPr="00424500">
        <w:rPr>
          <w:lang w:eastAsia="bg-BG"/>
        </w:rPr>
        <w:t>филмирани таблетки - 18.01.2016</w:t>
      </w:r>
    </w:p>
    <w:p w14:paraId="0E9D0119" w14:textId="0245C6D7" w:rsidR="002C50EE" w:rsidRPr="00424500" w:rsidRDefault="002C50EE" w:rsidP="002C50EE">
      <w:pPr>
        <w:pStyle w:val="Heading1"/>
      </w:pPr>
      <w:r w:rsidRPr="00424500">
        <w:t>10. ДАТА НА АКТУАЛИЗИРАНЕ НА ТЕКСТА</w:t>
      </w:r>
    </w:p>
    <w:bookmarkEnd w:id="0"/>
    <w:p w14:paraId="43FB38A2" w14:textId="44405618" w:rsidR="007C605B" w:rsidRPr="00424500" w:rsidRDefault="009C7494" w:rsidP="009C7494">
      <w:r w:rsidRPr="00424500">
        <w:t>Ноември, 2021</w:t>
      </w:r>
    </w:p>
    <w:sectPr w:rsidR="007C605B" w:rsidRPr="00424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37EA8"/>
    <w:multiLevelType w:val="hybridMultilevel"/>
    <w:tmpl w:val="77D46DD8"/>
    <w:lvl w:ilvl="0" w:tplc="65864F60">
      <w:start w:val="4"/>
      <w:numFmt w:val="bullet"/>
      <w:lvlText w:val="-"/>
      <w:lvlJc w:val="left"/>
      <w:pPr>
        <w:ind w:left="720" w:hanging="360"/>
      </w:pPr>
      <w:rPr>
        <w:rFonts w:ascii="Times New Roman" w:eastAsia="Times New Roman" w:hAnsi="Times New Roman"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658875166">
    <w:abstractNumId w:val="28"/>
  </w:num>
  <w:num w:numId="2" w16cid:durableId="1315523134">
    <w:abstractNumId w:val="0"/>
  </w:num>
  <w:num w:numId="3" w16cid:durableId="607927306">
    <w:abstractNumId w:val="14"/>
  </w:num>
  <w:num w:numId="4" w16cid:durableId="287980459">
    <w:abstractNumId w:val="3"/>
  </w:num>
  <w:num w:numId="5" w16cid:durableId="1455560741">
    <w:abstractNumId w:val="1"/>
  </w:num>
  <w:num w:numId="6" w16cid:durableId="191115490">
    <w:abstractNumId w:val="17"/>
  </w:num>
  <w:num w:numId="7" w16cid:durableId="1480882422">
    <w:abstractNumId w:val="12"/>
  </w:num>
  <w:num w:numId="8" w16cid:durableId="1506824910">
    <w:abstractNumId w:val="16"/>
  </w:num>
  <w:num w:numId="9" w16cid:durableId="1087965768">
    <w:abstractNumId w:val="2"/>
  </w:num>
  <w:num w:numId="10" w16cid:durableId="1823278102">
    <w:abstractNumId w:val="4"/>
  </w:num>
  <w:num w:numId="11" w16cid:durableId="1845047756">
    <w:abstractNumId w:val="31"/>
  </w:num>
  <w:num w:numId="12" w16cid:durableId="653871104">
    <w:abstractNumId w:val="15"/>
  </w:num>
  <w:num w:numId="13" w16cid:durableId="1139809035">
    <w:abstractNumId w:val="20"/>
  </w:num>
  <w:num w:numId="14" w16cid:durableId="588589182">
    <w:abstractNumId w:val="13"/>
  </w:num>
  <w:num w:numId="15" w16cid:durableId="373848046">
    <w:abstractNumId w:val="30"/>
  </w:num>
  <w:num w:numId="16" w16cid:durableId="726416816">
    <w:abstractNumId w:val="11"/>
  </w:num>
  <w:num w:numId="17" w16cid:durableId="863203633">
    <w:abstractNumId w:val="25"/>
  </w:num>
  <w:num w:numId="18" w16cid:durableId="285934877">
    <w:abstractNumId w:val="8"/>
  </w:num>
  <w:num w:numId="19" w16cid:durableId="1611931486">
    <w:abstractNumId w:val="27"/>
  </w:num>
  <w:num w:numId="20" w16cid:durableId="85855968">
    <w:abstractNumId w:val="24"/>
  </w:num>
  <w:num w:numId="21" w16cid:durableId="350690911">
    <w:abstractNumId w:val="18"/>
  </w:num>
  <w:num w:numId="22" w16cid:durableId="2027823476">
    <w:abstractNumId w:val="26"/>
  </w:num>
  <w:num w:numId="23" w16cid:durableId="81493303">
    <w:abstractNumId w:val="19"/>
  </w:num>
  <w:num w:numId="24" w16cid:durableId="201749993">
    <w:abstractNumId w:val="9"/>
  </w:num>
  <w:num w:numId="25" w16cid:durableId="439223344">
    <w:abstractNumId w:val="23"/>
  </w:num>
  <w:num w:numId="26" w16cid:durableId="27536332">
    <w:abstractNumId w:val="22"/>
  </w:num>
  <w:num w:numId="27" w16cid:durableId="1237863697">
    <w:abstractNumId w:val="33"/>
  </w:num>
  <w:num w:numId="28" w16cid:durableId="1853032363">
    <w:abstractNumId w:val="6"/>
  </w:num>
  <w:num w:numId="29" w16cid:durableId="1002128801">
    <w:abstractNumId w:val="21"/>
  </w:num>
  <w:num w:numId="30" w16cid:durableId="987398061">
    <w:abstractNumId w:val="36"/>
  </w:num>
  <w:num w:numId="31" w16cid:durableId="2056880045">
    <w:abstractNumId w:val="5"/>
  </w:num>
  <w:num w:numId="32" w16cid:durableId="1481580631">
    <w:abstractNumId w:val="35"/>
  </w:num>
  <w:num w:numId="33" w16cid:durableId="104471469">
    <w:abstractNumId w:val="29"/>
  </w:num>
  <w:num w:numId="34" w16cid:durableId="1151096941">
    <w:abstractNumId w:val="34"/>
  </w:num>
  <w:num w:numId="35" w16cid:durableId="1434666712">
    <w:abstractNumId w:val="7"/>
  </w:num>
  <w:num w:numId="36" w16cid:durableId="1706296905">
    <w:abstractNumId w:val="10"/>
  </w:num>
  <w:num w:numId="37" w16cid:durableId="11389622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4500"/>
    <w:rsid w:val="00426E5F"/>
    <w:rsid w:val="004A448E"/>
    <w:rsid w:val="004D4D6B"/>
    <w:rsid w:val="004F1CE7"/>
    <w:rsid w:val="004F498A"/>
    <w:rsid w:val="00517A5B"/>
    <w:rsid w:val="00593A00"/>
    <w:rsid w:val="005A66D9"/>
    <w:rsid w:val="00605BCA"/>
    <w:rsid w:val="006158A1"/>
    <w:rsid w:val="00617B1F"/>
    <w:rsid w:val="006563C4"/>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C7494"/>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DF3D99"/>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8376</Words>
  <Characters>47746</Characters>
  <Application>Microsoft Office Word</Application>
  <DocSecurity>0</DocSecurity>
  <Lines>397</Lines>
  <Paragraphs>112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4</cp:revision>
  <dcterms:created xsi:type="dcterms:W3CDTF">2022-07-03T22:57:00Z</dcterms:created>
  <dcterms:modified xsi:type="dcterms:W3CDTF">2022-07-05T12:24:00Z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