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6B33BA05" w:rsidR="002C50EE" w:rsidRDefault="002C50EE" w:rsidP="002C50EE">
      <w:pPr>
        <w:pStyle w:val="Heading1"/>
        <w:jc w:val="center"/>
      </w:pPr>
      <w:bookmarkStart w:id="0" w:name="_Hlk63124480"/>
      <w:r>
        <w:t>КРАТКА ХАРАКТЕРИСТИКА НА ПРОДУКТА</w:t>
      </w:r>
    </w:p>
    <w:p w14:paraId="3A743506" w14:textId="77777777" w:rsidR="0065702C" w:rsidRPr="0065702C" w:rsidRDefault="0065702C" w:rsidP="0065702C"/>
    <w:p w14:paraId="7D4B7EDA" w14:textId="1722ED8A" w:rsidR="0065702C" w:rsidRDefault="00DD466D" w:rsidP="0065702C">
      <w:pPr>
        <w:pStyle w:val="Heading1"/>
      </w:pPr>
      <w:r>
        <w:t>1.ИМЕ НА ЛЕКАРСТВЕНИЯ ПРОДУКТ</w:t>
      </w:r>
    </w:p>
    <w:p w14:paraId="31FF901D" w14:textId="34487F3A" w:rsidR="0065702C" w:rsidRDefault="0065702C" w:rsidP="0065702C"/>
    <w:p w14:paraId="451B98B7"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2 </w:t>
      </w:r>
      <w:r w:rsidRPr="0065702C">
        <w:rPr>
          <w:rFonts w:eastAsia="Times New Roman" w:cs="Arial"/>
          <w:color w:val="000000"/>
          <w:lang w:val="en-US"/>
        </w:rPr>
        <w:t xml:space="preserve">mg/0,625 mg </w:t>
      </w:r>
      <w:r w:rsidRPr="0065702C">
        <w:rPr>
          <w:rFonts w:eastAsia="Times New Roman" w:cs="Arial"/>
          <w:color w:val="000000"/>
          <w:lang w:eastAsia="bg-BG"/>
        </w:rPr>
        <w:t>таблетки</w:t>
      </w:r>
    </w:p>
    <w:p w14:paraId="4EBE6EE2"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4 </w:t>
      </w:r>
      <w:r w:rsidRPr="0065702C">
        <w:rPr>
          <w:rFonts w:eastAsia="Times New Roman" w:cs="Arial"/>
          <w:color w:val="000000"/>
          <w:lang w:val="en-US"/>
        </w:rPr>
        <w:t xml:space="preserve">mg/1,25 mg </w:t>
      </w:r>
      <w:r w:rsidRPr="0065702C">
        <w:rPr>
          <w:rFonts w:eastAsia="Times New Roman" w:cs="Arial"/>
          <w:color w:val="000000"/>
          <w:lang w:eastAsia="bg-BG"/>
        </w:rPr>
        <w:t>таблетки</w:t>
      </w:r>
    </w:p>
    <w:p w14:paraId="7AB0BC19"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8 </w:t>
      </w:r>
      <w:r w:rsidRPr="0065702C">
        <w:rPr>
          <w:rFonts w:eastAsia="Times New Roman" w:cs="Arial"/>
          <w:color w:val="000000"/>
          <w:lang w:val="en-US"/>
        </w:rPr>
        <w:t xml:space="preserve">mg/2,5 mg </w:t>
      </w:r>
      <w:r w:rsidRPr="0065702C">
        <w:rPr>
          <w:rFonts w:eastAsia="Times New Roman" w:cs="Arial"/>
          <w:color w:val="000000"/>
          <w:lang w:eastAsia="bg-BG"/>
        </w:rPr>
        <w:t>таблетки</w:t>
      </w:r>
    </w:p>
    <w:p w14:paraId="1443BA1B" w14:textId="77777777" w:rsidR="0065702C" w:rsidRPr="0065702C" w:rsidRDefault="0065702C" w:rsidP="0065702C">
      <w:pPr>
        <w:spacing w:line="240" w:lineRule="auto"/>
        <w:rPr>
          <w:rFonts w:eastAsia="Times New Roman" w:cs="Arial"/>
          <w:color w:val="000000"/>
          <w:lang w:val="en-US"/>
        </w:rPr>
      </w:pPr>
    </w:p>
    <w:p w14:paraId="692D0FC7" w14:textId="0233B216"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w:t>
      </w:r>
      <w:r w:rsidRPr="0065702C">
        <w:rPr>
          <w:rFonts w:eastAsia="Times New Roman" w:cs="Arial"/>
          <w:color w:val="000000"/>
          <w:lang w:eastAsia="bg-BG"/>
        </w:rPr>
        <w:t xml:space="preserve">2 </w:t>
      </w:r>
      <w:r w:rsidRPr="0065702C">
        <w:rPr>
          <w:rFonts w:eastAsia="Times New Roman" w:cs="Arial"/>
          <w:color w:val="000000"/>
          <w:lang w:val="en-US"/>
        </w:rPr>
        <w:t xml:space="preserve">mg/0.625 </w:t>
      </w:r>
      <w:r w:rsidRPr="0065702C">
        <w:rPr>
          <w:rFonts w:eastAsia="Times New Roman" w:cs="Arial"/>
          <w:i/>
          <w:iCs/>
          <w:color w:val="000000"/>
          <w:lang w:val="en-US"/>
        </w:rPr>
        <w:t>mg</w:t>
      </w:r>
      <w:r w:rsidRPr="0065702C">
        <w:rPr>
          <w:rFonts w:eastAsia="Times New Roman" w:cs="Arial"/>
          <w:color w:val="000000"/>
          <w:lang w:val="en-US"/>
        </w:rPr>
        <w:t xml:space="preserve"> tablets</w:t>
      </w:r>
    </w:p>
    <w:p w14:paraId="00C33983"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4 mg/1.25 mg tablets</w:t>
      </w:r>
    </w:p>
    <w:p w14:paraId="5C45B3FA" w14:textId="5C81FF80" w:rsidR="0065702C" w:rsidRPr="0065702C" w:rsidRDefault="0065702C" w:rsidP="0065702C">
      <w:pPr>
        <w:rPr>
          <w:rFonts w:cs="Arial"/>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8 mg/2.5 mg tablets</w:t>
      </w:r>
    </w:p>
    <w:p w14:paraId="6C0D9EF5" w14:textId="77777777" w:rsidR="0065702C" w:rsidRPr="0065702C" w:rsidRDefault="0065702C" w:rsidP="0065702C"/>
    <w:p w14:paraId="6920A680" w14:textId="456D5041" w:rsidR="00C40420" w:rsidRDefault="00DD466D" w:rsidP="004A448E">
      <w:pPr>
        <w:pStyle w:val="Heading1"/>
      </w:pPr>
      <w:r>
        <w:t>2. КАЧЕСТВЕН И КОЛИЧЕСТВЕН СЪСТАВ</w:t>
      </w:r>
    </w:p>
    <w:p w14:paraId="0DACB205" w14:textId="35362C94" w:rsidR="0065702C" w:rsidRDefault="0065702C" w:rsidP="0065702C"/>
    <w:p w14:paraId="1E534B2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7C76281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2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1,67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0,625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48539C61" w14:textId="77777777" w:rsidR="0065702C" w:rsidRPr="0065702C" w:rsidRDefault="0065702C" w:rsidP="0065702C">
      <w:pPr>
        <w:spacing w:line="240" w:lineRule="auto"/>
        <w:rPr>
          <w:rFonts w:eastAsia="Times New Roman" w:cs="Arial"/>
          <w:color w:val="000000"/>
          <w:u w:val="single"/>
          <w:lang w:eastAsia="bg-BG"/>
        </w:rPr>
      </w:pPr>
    </w:p>
    <w:p w14:paraId="5BEE261F" w14:textId="4F9CAADC"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5A394CA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4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3,34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1,25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6AA91967" w14:textId="77777777" w:rsidR="0065702C" w:rsidRPr="0065702C" w:rsidRDefault="0065702C" w:rsidP="0065702C">
      <w:pPr>
        <w:spacing w:line="240" w:lineRule="auto"/>
        <w:rPr>
          <w:rFonts w:eastAsia="Times New Roman" w:cs="Arial"/>
          <w:color w:val="000000"/>
          <w:u w:val="single"/>
          <w:lang w:eastAsia="bg-BG"/>
        </w:rPr>
      </w:pPr>
    </w:p>
    <w:p w14:paraId="633E70E4" w14:textId="4AA302A4"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6D7DCCF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8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6,68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69242554" w14:textId="77777777" w:rsidR="0065702C" w:rsidRPr="0065702C" w:rsidRDefault="0065702C" w:rsidP="0065702C">
      <w:pPr>
        <w:rPr>
          <w:rFonts w:eastAsia="Times New Roman" w:cs="Arial"/>
          <w:color w:val="000000"/>
          <w:lang w:eastAsia="bg-BG"/>
        </w:rPr>
      </w:pPr>
    </w:p>
    <w:p w14:paraId="16B1F7CC" w14:textId="4C308FC8" w:rsidR="0065702C" w:rsidRPr="0065702C" w:rsidRDefault="0065702C" w:rsidP="0065702C">
      <w:pPr>
        <w:rPr>
          <w:rFonts w:eastAsia="Times New Roman" w:cs="Arial"/>
          <w:color w:val="000000"/>
          <w:lang w:eastAsia="bg-BG"/>
        </w:rPr>
      </w:pPr>
      <w:r>
        <w:rPr>
          <w:rFonts w:eastAsia="Times New Roman" w:cs="Arial"/>
          <w:color w:val="000000"/>
          <w:lang w:eastAsia="bg-BG"/>
        </w:rPr>
        <w:t>Помощ</w:t>
      </w:r>
      <w:r w:rsidRPr="0065702C">
        <w:rPr>
          <w:rFonts w:eastAsia="Times New Roman" w:cs="Arial"/>
          <w:color w:val="000000"/>
          <w:lang w:eastAsia="bg-BG"/>
        </w:rPr>
        <w:t>но вешество с известно действие: лактоза</w:t>
      </w:r>
    </w:p>
    <w:tbl>
      <w:tblPr>
        <w:tblStyle w:val="TableGrid"/>
        <w:tblW w:w="0" w:type="auto"/>
        <w:tblLook w:val="04A0" w:firstRow="1" w:lastRow="0" w:firstColumn="1" w:lastColumn="0" w:noHBand="0" w:noVBand="1"/>
      </w:tblPr>
      <w:tblGrid>
        <w:gridCol w:w="2336"/>
        <w:gridCol w:w="2338"/>
        <w:gridCol w:w="2338"/>
        <w:gridCol w:w="2338"/>
      </w:tblGrid>
      <w:tr w:rsidR="0065702C" w:rsidRPr="0065702C" w14:paraId="6B452666" w14:textId="77777777" w:rsidTr="0065702C">
        <w:tc>
          <w:tcPr>
            <w:tcW w:w="2375" w:type="dxa"/>
          </w:tcPr>
          <w:p w14:paraId="2B794AB9" w14:textId="77777777" w:rsidR="0065702C" w:rsidRPr="0065702C" w:rsidRDefault="0065702C" w:rsidP="0065702C">
            <w:pPr>
              <w:rPr>
                <w:rFonts w:eastAsia="Times New Roman" w:cs="Arial"/>
                <w:color w:val="000000"/>
                <w:lang w:eastAsia="bg-BG"/>
              </w:rPr>
            </w:pPr>
          </w:p>
        </w:tc>
        <w:tc>
          <w:tcPr>
            <w:tcW w:w="2375" w:type="dxa"/>
          </w:tcPr>
          <w:p w14:paraId="673463E3" w14:textId="748B4756" w:rsidR="0065702C" w:rsidRPr="0065702C" w:rsidRDefault="0065702C" w:rsidP="0065702C">
            <w:pPr>
              <w:rPr>
                <w:rFonts w:eastAsia="Times New Roman" w:cs="Arial"/>
                <w:color w:val="000000"/>
                <w:lang w:eastAsia="bg-BG"/>
              </w:rPr>
            </w:pPr>
            <w:r w:rsidRPr="0065702C">
              <w:rPr>
                <w:rFonts w:cs="Arial"/>
                <w:lang w:eastAsia="bg-BG"/>
              </w:rPr>
              <w:t xml:space="preserve">2 </w:t>
            </w:r>
            <w:r w:rsidRPr="0065702C">
              <w:rPr>
                <w:rFonts w:cs="Arial"/>
              </w:rPr>
              <w:t xml:space="preserve">mg/0,625 mg </w:t>
            </w:r>
            <w:r w:rsidRPr="0065702C">
              <w:rPr>
                <w:rFonts w:cs="Arial"/>
                <w:lang w:eastAsia="bg-BG"/>
              </w:rPr>
              <w:t>таблетки</w:t>
            </w:r>
          </w:p>
        </w:tc>
        <w:tc>
          <w:tcPr>
            <w:tcW w:w="2375" w:type="dxa"/>
          </w:tcPr>
          <w:p w14:paraId="5FE8DCA5" w14:textId="1E3CA06F" w:rsidR="0065702C" w:rsidRPr="0065702C" w:rsidRDefault="0065702C" w:rsidP="0065702C">
            <w:pPr>
              <w:rPr>
                <w:rFonts w:eastAsia="Times New Roman" w:cs="Arial"/>
                <w:color w:val="000000"/>
                <w:lang w:eastAsia="bg-BG"/>
              </w:rPr>
            </w:pPr>
            <w:r w:rsidRPr="0065702C">
              <w:rPr>
                <w:rFonts w:cs="Arial"/>
                <w:lang w:eastAsia="bg-BG"/>
              </w:rPr>
              <w:t xml:space="preserve">4 </w:t>
            </w:r>
            <w:r w:rsidRPr="0065702C">
              <w:rPr>
                <w:rFonts w:cs="Arial"/>
              </w:rPr>
              <w:t xml:space="preserve">mg/1,25 mg </w:t>
            </w:r>
            <w:r w:rsidRPr="0065702C">
              <w:rPr>
                <w:rFonts w:cs="Arial"/>
                <w:lang w:eastAsia="bg-BG"/>
              </w:rPr>
              <w:t>таблетки</w:t>
            </w:r>
          </w:p>
        </w:tc>
        <w:tc>
          <w:tcPr>
            <w:tcW w:w="2375" w:type="dxa"/>
          </w:tcPr>
          <w:p w14:paraId="03659656" w14:textId="16E39546" w:rsidR="0065702C" w:rsidRPr="0065702C" w:rsidRDefault="0065702C" w:rsidP="0065702C">
            <w:pPr>
              <w:rPr>
                <w:rFonts w:eastAsia="Times New Roman" w:cs="Arial"/>
                <w:color w:val="000000"/>
                <w:lang w:eastAsia="bg-BG"/>
              </w:rPr>
            </w:pPr>
            <w:r w:rsidRPr="0065702C">
              <w:rPr>
                <w:rFonts w:cs="Arial"/>
              </w:rPr>
              <w:t xml:space="preserve">8 mg/2,5 mg </w:t>
            </w:r>
            <w:r w:rsidRPr="0065702C">
              <w:rPr>
                <w:rFonts w:cs="Arial"/>
                <w:lang w:eastAsia="bg-BG"/>
              </w:rPr>
              <w:t>таблетки</w:t>
            </w:r>
          </w:p>
        </w:tc>
      </w:tr>
      <w:tr w:rsidR="0065702C" w:rsidRPr="0065702C" w14:paraId="797591AC" w14:textId="77777777" w:rsidTr="0065702C">
        <w:tc>
          <w:tcPr>
            <w:tcW w:w="2375" w:type="dxa"/>
          </w:tcPr>
          <w:p w14:paraId="56DF09FE" w14:textId="33E254D4" w:rsidR="0065702C" w:rsidRPr="0065702C" w:rsidRDefault="0065702C" w:rsidP="0065702C">
            <w:pPr>
              <w:rPr>
                <w:rFonts w:eastAsia="Times New Roman" w:cs="Arial"/>
                <w:color w:val="000000"/>
                <w:lang w:eastAsia="bg-BG"/>
              </w:rPr>
            </w:pPr>
            <w:r w:rsidRPr="0065702C">
              <w:rPr>
                <w:rFonts w:cs="Arial"/>
                <w:lang w:eastAsia="bg-BG"/>
              </w:rPr>
              <w:t>лактоза</w:t>
            </w:r>
          </w:p>
        </w:tc>
        <w:tc>
          <w:tcPr>
            <w:tcW w:w="2375" w:type="dxa"/>
          </w:tcPr>
          <w:p w14:paraId="458F47B0" w14:textId="0CDD1DEA" w:rsidR="0065702C" w:rsidRPr="0065702C" w:rsidRDefault="0065702C" w:rsidP="0065702C">
            <w:pPr>
              <w:rPr>
                <w:rFonts w:eastAsia="Times New Roman" w:cs="Arial"/>
                <w:color w:val="000000"/>
                <w:lang w:eastAsia="bg-BG"/>
              </w:rPr>
            </w:pPr>
            <w:r w:rsidRPr="0065702C">
              <w:rPr>
                <w:rFonts w:cs="Arial"/>
                <w:lang w:eastAsia="bg-BG"/>
              </w:rPr>
              <w:t xml:space="preserve">29,650 </w:t>
            </w:r>
            <w:r w:rsidRPr="0065702C">
              <w:rPr>
                <w:rFonts w:cs="Arial"/>
              </w:rPr>
              <w:t>mg</w:t>
            </w:r>
          </w:p>
        </w:tc>
        <w:tc>
          <w:tcPr>
            <w:tcW w:w="2375" w:type="dxa"/>
          </w:tcPr>
          <w:p w14:paraId="24BE12CA" w14:textId="19D145C5" w:rsidR="0065702C" w:rsidRPr="0065702C" w:rsidRDefault="0065702C" w:rsidP="0065702C">
            <w:pPr>
              <w:rPr>
                <w:rFonts w:eastAsia="Times New Roman" w:cs="Arial"/>
                <w:color w:val="000000"/>
                <w:lang w:eastAsia="bg-BG"/>
              </w:rPr>
            </w:pPr>
            <w:r w:rsidRPr="0065702C">
              <w:rPr>
                <w:rFonts w:cs="Arial"/>
              </w:rPr>
              <w:t>59,301 mg</w:t>
            </w:r>
          </w:p>
        </w:tc>
        <w:tc>
          <w:tcPr>
            <w:tcW w:w="2375" w:type="dxa"/>
          </w:tcPr>
          <w:p w14:paraId="2AE39FC8" w14:textId="0C6E4D0B" w:rsidR="0065702C" w:rsidRPr="0065702C" w:rsidRDefault="0065702C" w:rsidP="0065702C">
            <w:pPr>
              <w:rPr>
                <w:rFonts w:eastAsia="Times New Roman" w:cs="Arial"/>
                <w:color w:val="000000"/>
                <w:lang w:eastAsia="bg-BG"/>
              </w:rPr>
            </w:pPr>
            <w:r w:rsidRPr="0065702C">
              <w:rPr>
                <w:rFonts w:cs="Arial"/>
              </w:rPr>
              <w:t>118,602 mg</w:t>
            </w:r>
          </w:p>
        </w:tc>
      </w:tr>
    </w:tbl>
    <w:p w14:paraId="63661537" w14:textId="5E48CC4D" w:rsidR="0065702C" w:rsidRPr="0065702C" w:rsidRDefault="0065702C" w:rsidP="0065702C">
      <w:pPr>
        <w:rPr>
          <w:rFonts w:eastAsia="Times New Roman" w:cs="Arial"/>
          <w:color w:val="000000"/>
          <w:lang w:eastAsia="bg-BG"/>
        </w:rPr>
      </w:pPr>
    </w:p>
    <w:p w14:paraId="29D28056" w14:textId="0B923F55" w:rsidR="0065702C" w:rsidRPr="0065702C" w:rsidRDefault="0065702C" w:rsidP="0065702C">
      <w:pPr>
        <w:rPr>
          <w:rFonts w:cs="Arial"/>
        </w:rPr>
      </w:pPr>
    </w:p>
    <w:p w14:paraId="04945C6D" w14:textId="06EEEC80" w:rsidR="0065702C" w:rsidRPr="0065702C" w:rsidRDefault="0065702C" w:rsidP="0065702C">
      <w:pPr>
        <w:rPr>
          <w:rFonts w:cs="Arial"/>
        </w:rPr>
      </w:pPr>
      <w:r w:rsidRPr="0065702C">
        <w:rPr>
          <w:rFonts w:cs="Arial"/>
        </w:rPr>
        <w:t>За пълния списък на помощните вещества, вижте точка 6.1.</w:t>
      </w:r>
    </w:p>
    <w:p w14:paraId="70BF4F80" w14:textId="77777777" w:rsidR="0065702C" w:rsidRPr="0065702C" w:rsidRDefault="0065702C" w:rsidP="0065702C"/>
    <w:p w14:paraId="614984C4" w14:textId="7E08C8B7" w:rsidR="008A6AF2" w:rsidRDefault="00DD466D" w:rsidP="002C50EE">
      <w:pPr>
        <w:pStyle w:val="Heading1"/>
      </w:pPr>
      <w:r>
        <w:t>3. ЛЕКАРСТВЕНА ФОРМА</w:t>
      </w:r>
    </w:p>
    <w:p w14:paraId="32090540" w14:textId="1F1B29F7" w:rsidR="0065702C" w:rsidRDefault="0065702C" w:rsidP="0065702C"/>
    <w:p w14:paraId="3C91D4AD"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Таблетка</w:t>
      </w:r>
    </w:p>
    <w:p w14:paraId="042E8E75" w14:textId="77777777" w:rsidR="0065702C" w:rsidRPr="0065702C" w:rsidRDefault="0065702C" w:rsidP="0065702C">
      <w:pPr>
        <w:spacing w:line="240" w:lineRule="auto"/>
        <w:rPr>
          <w:rFonts w:eastAsia="Times New Roman" w:cs="Arial"/>
          <w:color w:val="000000"/>
          <w:u w:val="single"/>
          <w:lang w:eastAsia="bg-BG"/>
        </w:rPr>
      </w:pPr>
    </w:p>
    <w:p w14:paraId="4198BD6D" w14:textId="2C84F818"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1BA7CA8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Бели до почти бели, кръгли, леко двойноизпъкнали таблетки със скосени ръбове, гравирани с къса черта от едната страна.</w:t>
      </w:r>
    </w:p>
    <w:p w14:paraId="0F106A6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03CF3D2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lastRenderedPageBreak/>
        <w:t>Бели до почти бели, кръгли, леко двойноизпъкнали, с делителна черта от едната страна със скосени ръбове. Делителната черта е само за улесняване на счупването за по-лесно поглъщане, а не за да разделя на равни дози.</w:t>
      </w:r>
    </w:p>
    <w:p w14:paraId="4069B013"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7025A7AB" w14:textId="31949781" w:rsidR="0065702C" w:rsidRPr="0065702C" w:rsidRDefault="0065702C" w:rsidP="0065702C">
      <w:pPr>
        <w:rPr>
          <w:rFonts w:cs="Arial"/>
        </w:rPr>
      </w:pPr>
      <w:r w:rsidRPr="0065702C">
        <w:rPr>
          <w:rFonts w:eastAsia="Times New Roman" w:cs="Arial"/>
          <w:color w:val="000000"/>
          <w:lang w:eastAsia="bg-BG"/>
        </w:rPr>
        <w:t>Бели до почти бели, кръгли, леко двойноизпъкнали, с делителна черта от едната страна. Делителната черта е само за улесняване на счупването за по-лесно поглъщане, а не за да разделя на равни дози.</w:t>
      </w:r>
    </w:p>
    <w:p w14:paraId="244F9CD6" w14:textId="77777777" w:rsidR="0065702C" w:rsidRPr="0065702C" w:rsidRDefault="0065702C" w:rsidP="0065702C"/>
    <w:p w14:paraId="490FC2C4" w14:textId="5AB2F2F0" w:rsidR="002C50EE" w:rsidRDefault="002C50EE" w:rsidP="002C50EE">
      <w:pPr>
        <w:pStyle w:val="Heading1"/>
      </w:pPr>
      <w:r>
        <w:t>4. КЛИНИЧНИ ДАННИ</w:t>
      </w:r>
    </w:p>
    <w:p w14:paraId="1E1EB5A2" w14:textId="77777777" w:rsidR="0065702C" w:rsidRPr="0065702C" w:rsidRDefault="0065702C" w:rsidP="0065702C"/>
    <w:p w14:paraId="0C8E6903" w14:textId="1B2AD687" w:rsidR="008134C8" w:rsidRDefault="002C50EE" w:rsidP="004A448E">
      <w:pPr>
        <w:pStyle w:val="Heading2"/>
      </w:pPr>
      <w:r>
        <w:t>4.1. Терапевтични показания</w:t>
      </w:r>
    </w:p>
    <w:p w14:paraId="5574C83E" w14:textId="7C32CC22" w:rsidR="0065702C" w:rsidRDefault="0065702C" w:rsidP="0065702C"/>
    <w:p w14:paraId="43CE3DD8" w14:textId="160F7E32" w:rsidR="0065702C" w:rsidRPr="0065702C" w:rsidRDefault="0065702C" w:rsidP="0065702C">
      <w:pPr>
        <w:rPr>
          <w:rFonts w:cs="Arial"/>
        </w:rPr>
      </w:pPr>
      <w:r w:rsidRPr="0065702C">
        <w:rPr>
          <w:rFonts w:cs="Arial"/>
          <w:u w:val="single"/>
        </w:rPr>
        <w:t xml:space="preserve">Ко-Пренеса 2 </w:t>
      </w:r>
      <w:r w:rsidRPr="0065702C">
        <w:rPr>
          <w:rFonts w:cs="Arial"/>
          <w:u w:val="single"/>
          <w:lang w:val="en-US"/>
        </w:rPr>
        <w:t xml:space="preserve">mg/0,625 mg </w:t>
      </w:r>
      <w:r w:rsidRPr="0065702C">
        <w:rPr>
          <w:rFonts w:cs="Arial"/>
          <w:u w:val="single"/>
        </w:rPr>
        <w:t>таблетки</w:t>
      </w:r>
    </w:p>
    <w:p w14:paraId="7B52D5C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Есенциална хипертония.</w:t>
      </w:r>
    </w:p>
    <w:p w14:paraId="1C33E080" w14:textId="77777777" w:rsidR="0065702C" w:rsidRPr="0065702C" w:rsidRDefault="0065702C" w:rsidP="0065702C">
      <w:pPr>
        <w:spacing w:line="240" w:lineRule="auto"/>
        <w:rPr>
          <w:rFonts w:eastAsia="Times New Roman" w:cs="Arial"/>
          <w:color w:val="000000"/>
          <w:u w:val="single"/>
          <w:lang w:eastAsia="bg-BG"/>
        </w:rPr>
      </w:pPr>
    </w:p>
    <w:p w14:paraId="33DF2801" w14:textId="3C90DB25"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130E6E9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Лечение на есенциална хипертония.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таблетки е показан при пациенти, чието кръвно налягане не е достатъчно контролирано само с периндоприл.</w:t>
      </w:r>
    </w:p>
    <w:p w14:paraId="2D9EB4F5" w14:textId="77777777" w:rsidR="0065702C" w:rsidRPr="0065702C" w:rsidRDefault="0065702C" w:rsidP="0065702C">
      <w:pPr>
        <w:spacing w:line="240" w:lineRule="auto"/>
        <w:rPr>
          <w:rFonts w:eastAsia="Times New Roman" w:cs="Arial"/>
          <w:color w:val="000000"/>
          <w:u w:val="single"/>
          <w:lang w:eastAsia="bg-BG"/>
        </w:rPr>
      </w:pPr>
    </w:p>
    <w:p w14:paraId="2BB4F0CB" w14:textId="5AC75F45"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3598D0AE" w14:textId="4854FC5C" w:rsidR="0065702C" w:rsidRDefault="0065702C" w:rsidP="0065702C">
      <w:pPr>
        <w:rPr>
          <w:rFonts w:eastAsia="Times New Roman" w:cs="Arial"/>
          <w:color w:val="000000"/>
          <w:lang w:eastAsia="bg-BG"/>
        </w:rPr>
      </w:pPr>
      <w:r w:rsidRPr="0065702C">
        <w:rPr>
          <w:rFonts w:eastAsia="Times New Roman" w:cs="Arial"/>
          <w:color w:val="000000"/>
          <w:lang w:eastAsia="bg-BG"/>
        </w:rPr>
        <w:t xml:space="preserve">Таблетките Ко-Пренеса 8 </w:t>
      </w:r>
      <w:r w:rsidRPr="0065702C">
        <w:rPr>
          <w:rFonts w:eastAsia="Times New Roman" w:cs="Arial"/>
          <w:color w:val="000000"/>
          <w:lang w:val="en-US"/>
        </w:rPr>
        <w:t xml:space="preserve">mg/2,5 mg </w:t>
      </w:r>
      <w:r w:rsidRPr="0065702C">
        <w:rPr>
          <w:rFonts w:eastAsia="Times New Roman" w:cs="Arial"/>
          <w:color w:val="000000"/>
          <w:lang w:eastAsia="bg-BG"/>
        </w:rPr>
        <w:t>са показани за заместителна терапия при лечение на есенциална хипертония, при пациенти, които вече се лекуват с периндоприл и индапамид, приемани едновременно в същата доза.</w:t>
      </w:r>
    </w:p>
    <w:p w14:paraId="35C2D91B" w14:textId="3E05EA5B" w:rsidR="0065702C" w:rsidRPr="0065702C" w:rsidRDefault="0065702C" w:rsidP="0065702C">
      <w:pPr>
        <w:rPr>
          <w:rFonts w:cs="Arial"/>
        </w:rPr>
      </w:pPr>
    </w:p>
    <w:p w14:paraId="30BE2C7B" w14:textId="16759633" w:rsidR="008134C8" w:rsidRDefault="002C50EE" w:rsidP="004A448E">
      <w:pPr>
        <w:pStyle w:val="Heading2"/>
      </w:pPr>
      <w:r>
        <w:t>4.2. Дозировка и начин на приложение</w:t>
      </w:r>
    </w:p>
    <w:p w14:paraId="380FD315" w14:textId="52219B14" w:rsidR="0065702C" w:rsidRDefault="0065702C" w:rsidP="0065702C"/>
    <w:p w14:paraId="03FC7503" w14:textId="77777777" w:rsidR="0065702C" w:rsidRPr="00E42DF2" w:rsidRDefault="0065702C" w:rsidP="00E42DF2">
      <w:pPr>
        <w:pStyle w:val="Heading3"/>
        <w:rPr>
          <w:rFonts w:eastAsia="Times New Roman"/>
          <w:u w:val="single"/>
          <w:lang w:eastAsia="bg-BG"/>
        </w:rPr>
      </w:pPr>
      <w:r w:rsidRPr="00E42DF2">
        <w:rPr>
          <w:rFonts w:eastAsia="Times New Roman"/>
          <w:u w:val="single"/>
          <w:lang w:eastAsia="bg-BG"/>
        </w:rPr>
        <w:t>Дозировка</w:t>
      </w:r>
    </w:p>
    <w:p w14:paraId="0721A04D" w14:textId="77777777" w:rsidR="0065702C" w:rsidRPr="0065702C" w:rsidRDefault="0065702C" w:rsidP="0065702C">
      <w:pPr>
        <w:spacing w:line="240" w:lineRule="auto"/>
        <w:rPr>
          <w:rFonts w:eastAsia="Times New Roman" w:cs="Arial"/>
          <w:color w:val="000000"/>
          <w:u w:val="single"/>
          <w:lang w:eastAsia="bg-BG"/>
        </w:rPr>
      </w:pPr>
    </w:p>
    <w:p w14:paraId="300F63E5"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59780B53"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Обичайната доза е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 като еднократна доза, за предпочитане да се приема сутрин, преди хранене. Ако кръвното налягане не се контролира след един месец от лечението, дозата може да се удвои.</w:t>
      </w:r>
    </w:p>
    <w:p w14:paraId="6D5765C3" w14:textId="77777777" w:rsidR="0065702C" w:rsidRPr="0065702C" w:rsidRDefault="0065702C" w:rsidP="0065702C">
      <w:pPr>
        <w:spacing w:line="240" w:lineRule="auto"/>
        <w:rPr>
          <w:rFonts w:eastAsia="Times New Roman" w:cs="Arial"/>
          <w:color w:val="000000"/>
          <w:u w:val="single"/>
          <w:lang w:eastAsia="bg-BG"/>
        </w:rPr>
      </w:pPr>
    </w:p>
    <w:p w14:paraId="4CE7D84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7561387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Една таблетка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 xml:space="preserve">дневно като еднократна доза, за предпочитане е да се приема сутрин и преди хранене. По възможност се препоръчва титриране на дозата на отделните компоненти.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 xml:space="preserve">таблетки трябва да бъдат използвани, когато кръвното налягане не се контролира достатъчно с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(при наличност),</w:t>
      </w:r>
    </w:p>
    <w:p w14:paraId="2DC0262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Когато от клинична гледна точка е подходящо, може да се има предвид директно преминаване от монотерапия към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таблетки</w:t>
      </w:r>
    </w:p>
    <w:p w14:paraId="3F84F9B1" w14:textId="77777777" w:rsidR="0065702C" w:rsidRPr="0065702C" w:rsidRDefault="0065702C" w:rsidP="0065702C">
      <w:pPr>
        <w:spacing w:line="240" w:lineRule="auto"/>
        <w:rPr>
          <w:rFonts w:eastAsia="Times New Roman" w:cs="Arial"/>
          <w:color w:val="000000"/>
          <w:u w:val="single"/>
          <w:lang w:eastAsia="bg-BG"/>
        </w:rPr>
      </w:pPr>
    </w:p>
    <w:p w14:paraId="6B6BCC5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218C46E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Обичайната доза е една таблетка Ко-Пренеса 8 </w:t>
      </w:r>
      <w:r w:rsidRPr="0065702C">
        <w:rPr>
          <w:rFonts w:eastAsia="Times New Roman" w:cs="Arial"/>
          <w:color w:val="000000"/>
          <w:lang w:val="en-US"/>
        </w:rPr>
        <w:t xml:space="preserve">mg/2,5 mg </w:t>
      </w:r>
      <w:r w:rsidRPr="0065702C">
        <w:rPr>
          <w:rFonts w:eastAsia="Times New Roman" w:cs="Arial"/>
          <w:color w:val="000000"/>
          <w:lang w:eastAsia="bg-BG"/>
        </w:rPr>
        <w:t>дневно като еднократна доза, за предпочитане е да се приема сутрин и преди хранене.</w:t>
      </w:r>
    </w:p>
    <w:p w14:paraId="1D881502" w14:textId="77777777" w:rsidR="0065702C" w:rsidRPr="0065702C" w:rsidRDefault="0065702C" w:rsidP="0065702C">
      <w:pPr>
        <w:spacing w:line="240" w:lineRule="auto"/>
        <w:rPr>
          <w:rFonts w:eastAsia="Times New Roman" w:cs="Arial"/>
          <w:i/>
          <w:iCs/>
          <w:color w:val="000000"/>
          <w:lang w:eastAsia="bg-BG"/>
        </w:rPr>
      </w:pPr>
    </w:p>
    <w:p w14:paraId="089ABD7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Пациенти в старческа възраст (вж. точка 4.4)</w:t>
      </w:r>
    </w:p>
    <w:p w14:paraId="3362C8C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lastRenderedPageBreak/>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6FBE737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Лечението трябва да започне с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w:t>
      </w:r>
    </w:p>
    <w:p w14:paraId="78611E0E" w14:textId="77777777" w:rsidR="0065702C" w:rsidRPr="0065702C" w:rsidRDefault="0065702C" w:rsidP="0065702C">
      <w:pPr>
        <w:spacing w:line="240" w:lineRule="auto"/>
        <w:rPr>
          <w:rFonts w:eastAsia="Times New Roman" w:cs="Arial"/>
          <w:color w:val="000000"/>
          <w:u w:val="single"/>
          <w:lang w:eastAsia="bg-BG"/>
        </w:rPr>
      </w:pPr>
    </w:p>
    <w:p w14:paraId="40CB005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mg/1</w:t>
      </w:r>
      <w:r w:rsidRPr="0065702C">
        <w:rPr>
          <w:rFonts w:eastAsia="Times New Roman" w:cs="Arial"/>
          <w:color w:val="000000"/>
          <w:u w:val="single"/>
          <w:lang w:eastAsia="bg-BG"/>
        </w:rPr>
        <w:t xml:space="preserve">,25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46D8C9D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Лечението трябва да започне след като се вземат предвид отговорът на кръвното налягане и състоянието на бъбречната функция.</w:t>
      </w:r>
    </w:p>
    <w:p w14:paraId="05C34A52" w14:textId="77777777" w:rsidR="0065702C" w:rsidRPr="0065702C" w:rsidRDefault="0065702C" w:rsidP="0065702C">
      <w:pPr>
        <w:spacing w:line="240" w:lineRule="auto"/>
        <w:rPr>
          <w:rFonts w:eastAsia="Times New Roman" w:cs="Arial"/>
          <w:color w:val="000000"/>
          <w:u w:val="single"/>
          <w:lang w:eastAsia="bg-BG"/>
        </w:rPr>
      </w:pPr>
    </w:p>
    <w:p w14:paraId="3006D4C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111D977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пациентите в старческа възраст, плазменият креатинин трябва да се коригира по отношение на възрастта, теглото и пола. Пациентите в старческа възраст могат да се лекуват, ако бъбречната функция е нормална и в зависимост от повлияването на кръвното налягане,</w:t>
      </w:r>
    </w:p>
    <w:p w14:paraId="37492493" w14:textId="77777777" w:rsidR="0065702C" w:rsidRPr="0065702C" w:rsidRDefault="0065702C" w:rsidP="0065702C">
      <w:pPr>
        <w:spacing w:line="240" w:lineRule="auto"/>
        <w:rPr>
          <w:rFonts w:eastAsia="Times New Roman" w:cs="Arial"/>
          <w:i/>
          <w:iCs/>
          <w:color w:val="000000"/>
          <w:lang w:eastAsia="bg-BG"/>
        </w:rPr>
      </w:pPr>
    </w:p>
    <w:p w14:paraId="0C0CDB8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Бъбречно увреждане (вж. точка 4.4)</w:t>
      </w:r>
    </w:p>
    <w:p w14:paraId="644F298D"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тежка бъбречна недостатъчност (креатининов клирънс под 30 </w:t>
      </w:r>
      <w:r w:rsidRPr="0065702C">
        <w:rPr>
          <w:rFonts w:eastAsia="Times New Roman" w:cs="Arial"/>
          <w:color w:val="000000"/>
          <w:lang w:val="en-US"/>
        </w:rPr>
        <w:t xml:space="preserve">ml/min) </w:t>
      </w:r>
      <w:r w:rsidRPr="0065702C">
        <w:rPr>
          <w:rFonts w:eastAsia="Times New Roman" w:cs="Arial"/>
          <w:color w:val="000000"/>
          <w:lang w:eastAsia="bg-BG"/>
        </w:rPr>
        <w:t>лечението е противопоказано.</w:t>
      </w:r>
    </w:p>
    <w:p w14:paraId="4BFA000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умерена бъбречна недостатъчност (креатининов клирънс 30-60 </w:t>
      </w:r>
      <w:r w:rsidRPr="0065702C">
        <w:rPr>
          <w:rFonts w:eastAsia="Times New Roman" w:cs="Arial"/>
          <w:color w:val="000000"/>
          <w:lang w:val="en-US"/>
        </w:rPr>
        <w:t xml:space="preserve">ml/min) </w:t>
      </w:r>
      <w:r w:rsidRPr="0065702C">
        <w:rPr>
          <w:rFonts w:eastAsia="Times New Roman" w:cs="Arial"/>
          <w:color w:val="000000"/>
          <w:lang w:eastAsia="bg-BG"/>
        </w:rPr>
        <w:t xml:space="preserve">максималната доза трябва да бъде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w:t>
      </w:r>
    </w:p>
    <w:p w14:paraId="50E10043" w14:textId="77777777" w:rsidR="0065702C" w:rsidRPr="0065702C" w:rsidRDefault="0065702C" w:rsidP="0065702C">
      <w:pPr>
        <w:spacing w:line="240" w:lineRule="auto"/>
        <w:rPr>
          <w:rFonts w:eastAsia="Times New Roman" w:cs="Arial"/>
          <w:color w:val="000000"/>
          <w:u w:val="single"/>
          <w:lang w:eastAsia="bg-BG"/>
        </w:rPr>
      </w:pPr>
    </w:p>
    <w:p w14:paraId="62D3E8B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7694E27E" w14:textId="77777777" w:rsidR="0065702C" w:rsidRPr="0065702C" w:rsidRDefault="0065702C" w:rsidP="0065702C">
      <w:pPr>
        <w:rPr>
          <w:rFonts w:eastAsia="Times New Roman" w:cs="Arial"/>
          <w:color w:val="000000"/>
          <w:lang w:eastAsia="bg-BG"/>
        </w:rPr>
      </w:pPr>
      <w:r w:rsidRPr="0065702C">
        <w:rPr>
          <w:rFonts w:eastAsia="Times New Roman" w:cs="Arial"/>
          <w:color w:val="000000"/>
          <w:lang w:eastAsia="bg-BG"/>
        </w:rPr>
        <w:t xml:space="preserve">При пациенти с умерена бъбречна недостатъчност (креатининов клирънс 30-60 </w:t>
      </w:r>
      <w:r w:rsidRPr="0065702C">
        <w:rPr>
          <w:rFonts w:eastAsia="Times New Roman" w:cs="Arial"/>
          <w:color w:val="000000"/>
          <w:lang w:val="en-US"/>
        </w:rPr>
        <w:t xml:space="preserve">ml/min) </w:t>
      </w:r>
      <w:r w:rsidRPr="0065702C">
        <w:rPr>
          <w:rFonts w:eastAsia="Times New Roman" w:cs="Arial"/>
          <w:color w:val="000000"/>
          <w:lang w:eastAsia="bg-BG"/>
        </w:rPr>
        <w:t xml:space="preserve">се препоръчва започване на лечението със свободната комбинация в подходящата дозировка </w:t>
      </w:r>
    </w:p>
    <w:p w14:paraId="48C1E652" w14:textId="77777777" w:rsidR="0065702C" w:rsidRPr="0065702C" w:rsidRDefault="0065702C" w:rsidP="0065702C">
      <w:pPr>
        <w:rPr>
          <w:rFonts w:eastAsia="Times New Roman" w:cs="Arial"/>
          <w:color w:val="000000"/>
          <w:u w:val="single"/>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51ADBD0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тежка и умерена бъбречна недостатъчност (креатининов клирънс под 60 </w:t>
      </w:r>
      <w:r w:rsidRPr="0065702C">
        <w:rPr>
          <w:rFonts w:eastAsia="Times New Roman" w:cs="Arial"/>
          <w:color w:val="000000"/>
          <w:lang w:val="en-US"/>
        </w:rPr>
        <w:t xml:space="preserve">ml/min), </w:t>
      </w:r>
      <w:r w:rsidRPr="0065702C">
        <w:rPr>
          <w:rFonts w:eastAsia="Times New Roman" w:cs="Arial"/>
          <w:color w:val="000000"/>
          <w:lang w:eastAsia="bg-BG"/>
        </w:rPr>
        <w:t>лечението е противопоказано.</w:t>
      </w:r>
    </w:p>
    <w:p w14:paraId="11392B8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креатининов клирънс, по-голям или равен на 60 </w:t>
      </w:r>
      <w:r w:rsidRPr="0065702C">
        <w:rPr>
          <w:rFonts w:eastAsia="Times New Roman" w:cs="Arial"/>
          <w:color w:val="000000"/>
          <w:lang w:val="en-US"/>
        </w:rPr>
        <w:t xml:space="preserve">ml/min, </w:t>
      </w:r>
      <w:r w:rsidRPr="0065702C">
        <w:rPr>
          <w:rFonts w:eastAsia="Times New Roman" w:cs="Arial"/>
          <w:color w:val="000000"/>
          <w:lang w:eastAsia="bg-BG"/>
        </w:rPr>
        <w:t>не се изисква промяна в дозировката.</w:t>
      </w:r>
    </w:p>
    <w:p w14:paraId="5946C0A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Обичайното клинично наблюдение трябва да включва често контролиране на стойностите на креатинин и калий.</w:t>
      </w:r>
    </w:p>
    <w:p w14:paraId="0A5A1A92" w14:textId="77777777" w:rsidR="0065702C" w:rsidRPr="0065702C" w:rsidRDefault="0065702C" w:rsidP="0065702C">
      <w:pPr>
        <w:spacing w:line="240" w:lineRule="auto"/>
        <w:rPr>
          <w:rFonts w:eastAsia="Times New Roman" w:cs="Arial"/>
          <w:i/>
          <w:iCs/>
          <w:color w:val="000000"/>
          <w:lang w:eastAsia="bg-BG"/>
        </w:rPr>
      </w:pPr>
    </w:p>
    <w:p w14:paraId="3DB9FA3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Чернодробно увреждане (вж. точка 4.3, 4.4 и 5.2)</w:t>
      </w:r>
    </w:p>
    <w:p w14:paraId="22C15CD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тежка чернодробна недостатъчност лечението е противопоказано. При пациенти с умерена чернодробна недостатъчност не е необходима промяна на дозата.</w:t>
      </w:r>
    </w:p>
    <w:p w14:paraId="6F134871" w14:textId="77777777" w:rsidR="0065702C" w:rsidRPr="0065702C" w:rsidRDefault="0065702C" w:rsidP="0065702C">
      <w:pPr>
        <w:spacing w:line="240" w:lineRule="auto"/>
        <w:rPr>
          <w:rFonts w:eastAsia="Times New Roman" w:cs="Arial"/>
          <w:i/>
          <w:iCs/>
          <w:color w:val="000000"/>
          <w:lang w:eastAsia="bg-BG"/>
        </w:rPr>
      </w:pPr>
    </w:p>
    <w:p w14:paraId="51CF1AE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Педиатрична популация</w:t>
      </w:r>
    </w:p>
    <w:p w14:paraId="1148C3F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2F92108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1191D1C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222AAAD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Ко-Пренеса 4 </w:t>
      </w:r>
      <w:r w:rsidRPr="0065702C">
        <w:rPr>
          <w:rFonts w:eastAsia="Times New Roman" w:cs="Arial"/>
          <w:color w:val="000000"/>
          <w:lang w:val="en-US"/>
        </w:rPr>
        <w:t xml:space="preserve">mg/1,25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59E90698"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5BAEE52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 Пренеса 8 </w:t>
      </w:r>
      <w:r w:rsidRPr="0065702C">
        <w:rPr>
          <w:rFonts w:eastAsia="Times New Roman" w:cs="Arial"/>
          <w:color w:val="000000"/>
          <w:lang w:val="en-US"/>
        </w:rPr>
        <w:t xml:space="preserve">mg/2,5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5F9A3DF8" w14:textId="77777777" w:rsidR="0065702C" w:rsidRPr="0065702C" w:rsidRDefault="0065702C" w:rsidP="0065702C">
      <w:pPr>
        <w:spacing w:line="240" w:lineRule="auto"/>
        <w:rPr>
          <w:rFonts w:eastAsia="Times New Roman" w:cs="Arial"/>
          <w:color w:val="000000"/>
          <w:u w:val="single"/>
          <w:lang w:eastAsia="bg-BG"/>
        </w:rPr>
      </w:pPr>
    </w:p>
    <w:p w14:paraId="3B483866" w14:textId="77777777" w:rsidR="0065702C" w:rsidRPr="00E42DF2" w:rsidRDefault="0065702C" w:rsidP="00E42DF2">
      <w:pPr>
        <w:pStyle w:val="Heading3"/>
        <w:rPr>
          <w:rFonts w:eastAsia="Times New Roman"/>
          <w:u w:val="single"/>
          <w:lang w:eastAsia="bg-BG"/>
        </w:rPr>
      </w:pPr>
      <w:r w:rsidRPr="00E42DF2">
        <w:rPr>
          <w:rFonts w:eastAsia="Times New Roman"/>
          <w:u w:val="single"/>
          <w:lang w:eastAsia="bg-BG"/>
        </w:rPr>
        <w:lastRenderedPageBreak/>
        <w:t>Начин на приложение:</w:t>
      </w:r>
    </w:p>
    <w:p w14:paraId="5CA86AB5" w14:textId="77777777" w:rsidR="0065702C" w:rsidRPr="0065702C" w:rsidRDefault="0065702C" w:rsidP="0065702C">
      <w:pPr>
        <w:rPr>
          <w:rFonts w:eastAsia="Times New Roman" w:cs="Arial"/>
          <w:color w:val="000000"/>
          <w:lang w:eastAsia="bg-BG"/>
        </w:rPr>
      </w:pPr>
    </w:p>
    <w:p w14:paraId="441290CC" w14:textId="77777777" w:rsidR="0065702C" w:rsidRPr="0065702C" w:rsidRDefault="0065702C" w:rsidP="0065702C">
      <w:pPr>
        <w:rPr>
          <w:rFonts w:eastAsia="Times New Roman" w:cs="Arial"/>
          <w:color w:val="000000"/>
          <w:u w:val="single"/>
          <w:lang w:eastAsia="bg-BG"/>
        </w:rPr>
      </w:pPr>
      <w:r w:rsidRPr="0065702C">
        <w:rPr>
          <w:rFonts w:eastAsia="Times New Roman" w:cs="Arial"/>
          <w:color w:val="000000"/>
          <w:lang w:eastAsia="bg-BG"/>
        </w:rPr>
        <w:t>Перорално приложение.</w:t>
      </w:r>
    </w:p>
    <w:p w14:paraId="1A7B9D33" w14:textId="1749C34B" w:rsidR="0065702C" w:rsidRPr="0065702C" w:rsidRDefault="0065702C" w:rsidP="0065702C"/>
    <w:p w14:paraId="28C984E8" w14:textId="03D5DE47" w:rsidR="008134C8" w:rsidRDefault="002C50EE" w:rsidP="004A448E">
      <w:pPr>
        <w:pStyle w:val="Heading2"/>
      </w:pPr>
      <w:r>
        <w:t>4.3. Противопоказания</w:t>
      </w:r>
    </w:p>
    <w:p w14:paraId="3EBD0EF4" w14:textId="75F37337" w:rsidR="0065702C" w:rsidRDefault="0065702C" w:rsidP="0065702C"/>
    <w:p w14:paraId="0B205BC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е периндоприл:</w:t>
      </w:r>
    </w:p>
    <w:p w14:paraId="736EB17E"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Свръхчувствителност към периндоприл или друг АСЕ инхибитор.</w:t>
      </w:r>
    </w:p>
    <w:p w14:paraId="789C2FCC"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Анамнеза за ангионевротичен оток (оток на Квинке) във връзка с предишно лечение с АСЕ инхибитори (вж. точка 4.4).</w:t>
      </w:r>
    </w:p>
    <w:p w14:paraId="1AE29D39"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Наследствен или идиопатичен ангионевротичен оток.</w:t>
      </w:r>
    </w:p>
    <w:p w14:paraId="02B64DC8"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Втори и трети триместър на бременността (вж, точки 4.4 и 4.6).</w:t>
      </w:r>
    </w:p>
    <w:p w14:paraId="26D29C5E"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 xml:space="preserve">Едновременната употреба на Ко-Пренеса с алискирен-съдържащи продукти е противопоказана при пациенти със захарен диабет или бъбречно увреждане </w:t>
      </w:r>
      <w:r w:rsidRPr="0065702C">
        <w:rPr>
          <w:rFonts w:eastAsia="Times New Roman" w:cs="Arial"/>
          <w:color w:val="000000"/>
          <w:lang w:val="en-US"/>
        </w:rPr>
        <w:t xml:space="preserve">(GFR </w:t>
      </w:r>
      <w:r w:rsidRPr="0065702C">
        <w:rPr>
          <w:rFonts w:eastAsia="Times New Roman" w:cs="Arial"/>
          <w:color w:val="000000"/>
          <w:lang w:eastAsia="bg-BG"/>
        </w:rPr>
        <w:t xml:space="preserve">&lt; 60 </w:t>
      </w:r>
      <w:r w:rsidRPr="0065702C">
        <w:rPr>
          <w:rFonts w:eastAsia="Times New Roman" w:cs="Arial"/>
          <w:color w:val="000000"/>
          <w:lang w:val="en-US"/>
        </w:rPr>
        <w:t>ml/min/l,73 m</w:t>
      </w:r>
      <w:r w:rsidRPr="0065702C">
        <w:rPr>
          <w:rFonts w:eastAsia="Times New Roman" w:cs="Arial"/>
          <w:color w:val="000000"/>
          <w:vertAlign w:val="superscript"/>
          <w:lang w:val="en-US"/>
        </w:rPr>
        <w:t>2</w:t>
      </w:r>
      <w:r w:rsidRPr="0065702C">
        <w:rPr>
          <w:rFonts w:eastAsia="Times New Roman" w:cs="Arial"/>
          <w:color w:val="000000"/>
          <w:lang w:val="en-US"/>
        </w:rPr>
        <w:t xml:space="preserve">) </w:t>
      </w:r>
      <w:r w:rsidRPr="0065702C">
        <w:rPr>
          <w:rFonts w:eastAsia="Times New Roman" w:cs="Arial"/>
          <w:color w:val="000000"/>
          <w:lang w:eastAsia="bg-BG"/>
        </w:rPr>
        <w:t>(вж. точки 4.5 и 5.1).</w:t>
      </w:r>
    </w:p>
    <w:p w14:paraId="78C58A27"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Съпътстваща употреба при терапия със сакубитрил/валсартан. Ко-Пренеса не трябва да се започва по-рано от 36 часа след последната доза сакубитрил/валсартан (вж. също точки 4.4 и 4.5).</w:t>
      </w:r>
    </w:p>
    <w:p w14:paraId="4D52005D"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Екстракорпорални лечения, водещи до контакт на кръвта с отрицателно заредени повърхности (вж. точки 4.4 и 4.5).</w:t>
      </w:r>
    </w:p>
    <w:p w14:paraId="5DE4D5E9"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593AC5C4" w14:textId="77777777" w:rsidR="0065702C" w:rsidRPr="0065702C" w:rsidRDefault="0065702C" w:rsidP="0065702C">
      <w:pPr>
        <w:spacing w:line="240" w:lineRule="auto"/>
        <w:rPr>
          <w:rFonts w:eastAsia="Times New Roman" w:cs="Arial"/>
          <w:i/>
          <w:iCs/>
          <w:color w:val="000000"/>
          <w:u w:val="single"/>
          <w:lang w:eastAsia="bg-BG"/>
        </w:rPr>
      </w:pPr>
    </w:p>
    <w:p w14:paraId="2EEF3B97" w14:textId="192FC8E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индапамид:</w:t>
      </w:r>
    </w:p>
    <w:p w14:paraId="2ACDD192"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Свръхчувствителност към индапамид или друг сулфонамид.</w:t>
      </w:r>
    </w:p>
    <w:p w14:paraId="34ED8CFB" w14:textId="77777777" w:rsidR="0065702C" w:rsidRPr="0065702C" w:rsidRDefault="0065702C" w:rsidP="006E6807">
      <w:pPr>
        <w:pStyle w:val="ListParagraph"/>
        <w:numPr>
          <w:ilvl w:val="0"/>
          <w:numId w:val="3"/>
        </w:numPr>
        <w:spacing w:line="240" w:lineRule="auto"/>
        <w:jc w:val="both"/>
        <w:rPr>
          <w:rFonts w:eastAsia="Times New Roman" w:cs="Arial"/>
          <w:sz w:val="24"/>
          <w:szCs w:val="24"/>
          <w:lang w:eastAsia="bg-BG"/>
        </w:rPr>
      </w:pPr>
      <w:r w:rsidRPr="0065702C">
        <w:rPr>
          <w:rFonts w:eastAsia="Times New Roman" w:cs="Arial"/>
          <w:color w:val="000000"/>
          <w:lang w:eastAsia="bg-BG"/>
        </w:rPr>
        <w:t xml:space="preserve">Тежка бъбречна недостатъчност (креатининов клирънс под 30 </w:t>
      </w:r>
      <w:r w:rsidRPr="0065702C">
        <w:rPr>
          <w:rFonts w:eastAsia="Times New Roman" w:cs="Arial"/>
          <w:color w:val="000000"/>
          <w:lang w:val="en-US"/>
        </w:rPr>
        <w:t>ml/min)</w:t>
      </w:r>
    </w:p>
    <w:p w14:paraId="184642D7"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Чернодробна енцефалопатия.</w:t>
      </w:r>
    </w:p>
    <w:p w14:paraId="5A7EFAC9"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Тежко увреждане на чернодробната функция.</w:t>
      </w:r>
    </w:p>
    <w:p w14:paraId="5467D233"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Хипокалиемия.</w:t>
      </w:r>
    </w:p>
    <w:p w14:paraId="2F19EF82" w14:textId="77777777" w:rsidR="0065702C" w:rsidRPr="0065702C" w:rsidRDefault="0065702C" w:rsidP="0065702C">
      <w:pPr>
        <w:rPr>
          <w:rFonts w:eastAsia="Times New Roman" w:cs="Arial"/>
          <w:i/>
          <w:iCs/>
          <w:color w:val="000000"/>
          <w:u w:val="single"/>
          <w:lang w:eastAsia="bg-BG"/>
        </w:rPr>
      </w:pPr>
    </w:p>
    <w:p w14:paraId="1797F740" w14:textId="3EC1E278" w:rsidR="0065702C" w:rsidRPr="0065702C" w:rsidRDefault="0065702C" w:rsidP="0065702C">
      <w:pPr>
        <w:rPr>
          <w:rFonts w:cs="Arial"/>
        </w:rPr>
      </w:pPr>
      <w:r w:rsidRPr="0065702C">
        <w:rPr>
          <w:rFonts w:eastAsia="Times New Roman" w:cs="Arial"/>
          <w:i/>
          <w:iCs/>
          <w:color w:val="000000"/>
          <w:u w:val="single"/>
          <w:lang w:eastAsia="bg-BG"/>
        </w:rPr>
        <w:t>Свързани с Ко-Пренеса:</w:t>
      </w:r>
    </w:p>
    <w:p w14:paraId="284A0E3A" w14:textId="77777777" w:rsidR="0065702C" w:rsidRPr="0065702C" w:rsidRDefault="0065702C" w:rsidP="006E6807">
      <w:pPr>
        <w:pStyle w:val="ListParagraph"/>
        <w:numPr>
          <w:ilvl w:val="0"/>
          <w:numId w:val="4"/>
        </w:numPr>
        <w:spacing w:line="240" w:lineRule="auto"/>
        <w:rPr>
          <w:rFonts w:eastAsia="Times New Roman" w:cs="Arial"/>
          <w:color w:val="000000"/>
          <w:lang w:eastAsia="bg-BG"/>
        </w:rPr>
      </w:pPr>
      <w:r w:rsidRPr="0065702C">
        <w:rPr>
          <w:rFonts w:eastAsia="Times New Roman" w:cs="Arial"/>
          <w:color w:val="000000"/>
          <w:lang w:eastAsia="bg-BG"/>
        </w:rPr>
        <w:t xml:space="preserve">Свръхчувствителност към някое от помощните вещества, изброени в точка 6. </w:t>
      </w:r>
    </w:p>
    <w:p w14:paraId="1D59B9A0" w14:textId="55A14E6A"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1632FC9B" w14:textId="77777777" w:rsidR="0065702C" w:rsidRPr="0065702C" w:rsidRDefault="0065702C" w:rsidP="006E6807">
      <w:pPr>
        <w:pStyle w:val="ListParagraph"/>
        <w:numPr>
          <w:ilvl w:val="0"/>
          <w:numId w:val="1"/>
        </w:numPr>
        <w:spacing w:line="240" w:lineRule="auto"/>
        <w:rPr>
          <w:rFonts w:eastAsia="Times New Roman" w:cs="Arial"/>
          <w:sz w:val="24"/>
          <w:szCs w:val="24"/>
          <w:lang w:eastAsia="bg-BG"/>
        </w:rPr>
      </w:pPr>
      <w:r w:rsidRPr="0065702C">
        <w:rPr>
          <w:rFonts w:eastAsia="Times New Roman" w:cs="Arial"/>
          <w:color w:val="000000"/>
          <w:lang w:eastAsia="bg-BG"/>
        </w:rPr>
        <w:t xml:space="preserve">Тежко и умерено увреждане на бъбречната функция (креатининов клирънс под 60 </w:t>
      </w:r>
      <w:r w:rsidRPr="0065702C">
        <w:rPr>
          <w:rFonts w:eastAsia="Times New Roman" w:cs="Arial"/>
          <w:color w:val="000000"/>
          <w:lang w:val="en-US"/>
        </w:rPr>
        <w:t>ml/min).</w:t>
      </w:r>
    </w:p>
    <w:p w14:paraId="454F3177" w14:textId="77777777" w:rsidR="0065702C" w:rsidRPr="0065702C" w:rsidRDefault="0065702C" w:rsidP="0065702C">
      <w:pPr>
        <w:spacing w:line="240" w:lineRule="auto"/>
        <w:rPr>
          <w:rFonts w:eastAsia="Times New Roman" w:cs="Arial"/>
          <w:color w:val="000000"/>
          <w:lang w:eastAsia="bg-BG"/>
        </w:rPr>
      </w:pPr>
    </w:p>
    <w:p w14:paraId="7EAE3BF0" w14:textId="033F8B8F" w:rsidR="0065702C" w:rsidRDefault="0065702C" w:rsidP="0065702C">
      <w:pPr>
        <w:spacing w:line="240" w:lineRule="auto"/>
        <w:rPr>
          <w:rFonts w:eastAsia="Times New Roman" w:cs="Arial"/>
          <w:color w:val="000000"/>
          <w:lang w:eastAsia="bg-BG"/>
        </w:rPr>
      </w:pPr>
      <w:r w:rsidRPr="0065702C">
        <w:rPr>
          <w:rFonts w:eastAsia="Times New Roman" w:cs="Arial"/>
          <w:color w:val="000000"/>
          <w:lang w:eastAsia="bg-BG"/>
        </w:rPr>
        <w:t xml:space="preserve">Поради липса на достатъчен терапевтичен опит, Ко-Пренеса не трябва да се прилага при: </w:t>
      </w:r>
    </w:p>
    <w:p w14:paraId="3D1172BE" w14:textId="3B351688" w:rsidR="0065702C" w:rsidRPr="0065702C" w:rsidRDefault="0065702C" w:rsidP="006E6807">
      <w:pPr>
        <w:pStyle w:val="ListParagraph"/>
        <w:numPr>
          <w:ilvl w:val="0"/>
          <w:numId w:val="1"/>
        </w:numPr>
        <w:spacing w:line="240" w:lineRule="auto"/>
        <w:rPr>
          <w:rFonts w:eastAsia="Times New Roman" w:cs="Arial"/>
          <w:sz w:val="24"/>
          <w:szCs w:val="24"/>
          <w:lang w:eastAsia="bg-BG"/>
        </w:rPr>
      </w:pPr>
      <w:r w:rsidRPr="0065702C">
        <w:rPr>
          <w:rFonts w:eastAsia="Times New Roman" w:cs="Arial"/>
          <w:color w:val="000000"/>
          <w:lang w:eastAsia="bg-BG"/>
        </w:rPr>
        <w:t>Пациенти на хемодиализа.</w:t>
      </w:r>
    </w:p>
    <w:p w14:paraId="41EF41FC" w14:textId="7277AF50" w:rsidR="0065702C" w:rsidRPr="00E42DF2" w:rsidRDefault="0065702C" w:rsidP="006E6807">
      <w:pPr>
        <w:pStyle w:val="ListParagraph"/>
        <w:numPr>
          <w:ilvl w:val="0"/>
          <w:numId w:val="1"/>
        </w:numPr>
        <w:rPr>
          <w:rFonts w:cs="Arial"/>
        </w:rPr>
      </w:pPr>
      <w:r w:rsidRPr="0065702C">
        <w:rPr>
          <w:rFonts w:eastAsia="Times New Roman" w:cs="Arial"/>
          <w:color w:val="000000"/>
          <w:lang w:eastAsia="bg-BG"/>
        </w:rPr>
        <w:t>Пациенти с нелекувана сърдечна декомпенсация.</w:t>
      </w:r>
    </w:p>
    <w:p w14:paraId="748D7956" w14:textId="77777777" w:rsidR="00E42DF2" w:rsidRPr="0065702C" w:rsidRDefault="00E42DF2" w:rsidP="006E6807">
      <w:pPr>
        <w:pStyle w:val="ListParagraph"/>
        <w:numPr>
          <w:ilvl w:val="0"/>
          <w:numId w:val="1"/>
        </w:numPr>
        <w:rPr>
          <w:rFonts w:cs="Arial"/>
        </w:rPr>
      </w:pPr>
    </w:p>
    <w:p w14:paraId="212F509C" w14:textId="4A3F2D01" w:rsidR="004F498A" w:rsidRDefault="002C50EE" w:rsidP="004A448E">
      <w:pPr>
        <w:pStyle w:val="Heading2"/>
      </w:pPr>
      <w:r>
        <w:t>4.4. Специални предупреждения и предпазни мерки при употреба</w:t>
      </w:r>
    </w:p>
    <w:p w14:paraId="74AE4CE9" w14:textId="5DC986C5" w:rsidR="0065702C" w:rsidRDefault="0065702C" w:rsidP="0065702C"/>
    <w:p w14:paraId="24B3AA4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Специални предупреждения</w:t>
      </w:r>
    </w:p>
    <w:p w14:paraId="44845545" w14:textId="77777777" w:rsidR="0065702C" w:rsidRPr="0065702C" w:rsidRDefault="0065702C" w:rsidP="0065702C">
      <w:pPr>
        <w:spacing w:line="240" w:lineRule="auto"/>
        <w:rPr>
          <w:rFonts w:eastAsia="Times New Roman" w:cs="Arial"/>
          <w:i/>
          <w:iCs/>
          <w:color w:val="000000"/>
          <w:u w:val="single"/>
          <w:lang w:eastAsia="bg-BG"/>
        </w:rPr>
      </w:pPr>
    </w:p>
    <w:p w14:paraId="1B972BF9" w14:textId="39C48DE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Общи за периндоприл и идапамид</w:t>
      </w:r>
      <w:r w:rsidRPr="0065702C">
        <w:rPr>
          <w:rFonts w:eastAsia="Times New Roman" w:cs="Arial"/>
          <w:i/>
          <w:iCs/>
          <w:color w:val="000000"/>
          <w:lang w:eastAsia="bg-BG"/>
        </w:rPr>
        <w:t>:</w:t>
      </w:r>
    </w:p>
    <w:p w14:paraId="4D6982B2" w14:textId="77777777" w:rsidR="0065702C" w:rsidRPr="0065702C" w:rsidRDefault="0065702C" w:rsidP="0065702C">
      <w:pPr>
        <w:spacing w:line="240" w:lineRule="auto"/>
        <w:rPr>
          <w:rFonts w:eastAsia="Times New Roman" w:cs="Arial"/>
          <w:color w:val="000000"/>
          <w:u w:val="single"/>
          <w:lang w:eastAsia="bg-BG"/>
        </w:rPr>
      </w:pPr>
    </w:p>
    <w:p w14:paraId="117EB751" w14:textId="23C8120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Само за 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454B595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lastRenderedPageBreak/>
        <w:t xml:space="preserve">Доказано е, че при по-ниската доза на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няма значително намаляване на нежеланите лекарствени реакции, в сравнение с най-ниската одобрена доза на отделните монокомпоненти, с изключение на хипокалиемия (вж. точка 4.8). Повишена честота на идиосинкратични реакции, не могат да бъдат изключени, при едновременно излагане на пациента на две антихипертензивни лекарства, нови за него. За да се намали този риск пациентът трябва да бъде внимателно наблюдаван.</w:t>
      </w:r>
    </w:p>
    <w:p w14:paraId="7FE37589" w14:textId="77777777" w:rsidR="0065702C" w:rsidRPr="0065702C" w:rsidRDefault="0065702C" w:rsidP="0065702C">
      <w:pPr>
        <w:spacing w:line="240" w:lineRule="auto"/>
        <w:rPr>
          <w:rFonts w:eastAsia="Times New Roman" w:cs="Arial"/>
          <w:color w:val="000000"/>
          <w:lang w:eastAsia="bg-BG"/>
        </w:rPr>
      </w:pPr>
    </w:p>
    <w:p w14:paraId="76AE6FC9" w14:textId="63C7B7C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Литий</w:t>
      </w:r>
    </w:p>
    <w:p w14:paraId="1D03596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Комбинирането на литий и комбинация от периндоприл и индапамид обичайно не се препоръчва (вж. точка 4.5).</w:t>
      </w:r>
    </w:p>
    <w:p w14:paraId="06DA2A1A" w14:textId="77777777" w:rsidR="0065702C" w:rsidRPr="0065702C" w:rsidRDefault="0065702C" w:rsidP="0065702C">
      <w:pPr>
        <w:spacing w:line="240" w:lineRule="auto"/>
        <w:rPr>
          <w:rFonts w:eastAsia="Times New Roman" w:cs="Arial"/>
          <w:i/>
          <w:iCs/>
          <w:color w:val="000000"/>
          <w:u w:val="single"/>
          <w:lang w:eastAsia="bg-BG"/>
        </w:rPr>
      </w:pPr>
    </w:p>
    <w:p w14:paraId="248A5130" w14:textId="3C0AD6AB"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периндоприл:</w:t>
      </w:r>
    </w:p>
    <w:p w14:paraId="30229540" w14:textId="77777777" w:rsidR="0065702C" w:rsidRPr="0065702C" w:rsidRDefault="0065702C" w:rsidP="0065702C">
      <w:pPr>
        <w:spacing w:line="240" w:lineRule="auto"/>
        <w:rPr>
          <w:rFonts w:eastAsia="Times New Roman" w:cs="Arial"/>
          <w:i/>
          <w:iCs/>
          <w:color w:val="000000"/>
          <w:lang w:eastAsia="bg-BG"/>
        </w:rPr>
      </w:pPr>
    </w:p>
    <w:p w14:paraId="695966D1" w14:textId="7A8DE1F6"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Двойно блокиране на ренин-ангиотензин-алдостероновата система (РААС)</w:t>
      </w:r>
    </w:p>
    <w:p w14:paraId="25CA4B9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5CC30718"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0F40DB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0F376EAD" w14:textId="77777777" w:rsidR="0065702C" w:rsidRPr="0065702C" w:rsidRDefault="0065702C" w:rsidP="0065702C">
      <w:pPr>
        <w:spacing w:line="240" w:lineRule="auto"/>
        <w:rPr>
          <w:rFonts w:eastAsia="Times New Roman" w:cs="Arial"/>
          <w:i/>
          <w:iCs/>
          <w:color w:val="000000"/>
          <w:lang w:eastAsia="bg-BG"/>
        </w:rPr>
      </w:pPr>
    </w:p>
    <w:p w14:paraId="6DC00CAF" w14:textId="5420F3D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Неутропения/агранулоцитоза/тромбоцитопения/анемия</w:t>
      </w:r>
    </w:p>
    <w:p w14:paraId="32499344" w14:textId="43A7E321"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 приемащи АСЕ-инхибитори, са наблюдавани неутропения/ агранулоцотоза, тромбоцитопения и анемия. При пациенти с нормална бъбречна функция, без други усложняващи фактори, неутропения се развива рядко. Периндоприл трябва да се използва с изключително внимание от пациенти с колагенови съдови заболявания, на имуносупресивно лечение, лечение с алопуринол или прокаинамид или комбинация от тези усложняващи фактори, особено в случаи, когато съществува предварително установена увредена бъбречна функция. Някои от тези пациенти развиват сериозни инфекции, които в няколко случая не се повлияват от интензивно антибиотично лечение. Ако на такива пациенти се назначи периндоприл, се препоръчва редовно проследяване на левкограмата и пациентите трдбва да бъдат предупредени да съобщават за всякакви признаци на инфекция (например възпалено</w:t>
      </w:r>
      <w:r w:rsidRPr="0065702C">
        <w:rPr>
          <w:rFonts w:eastAsia="Times New Roman" w:cs="Arial"/>
          <w:sz w:val="24"/>
          <w:szCs w:val="24"/>
          <w:lang w:eastAsia="bg-BG"/>
        </w:rPr>
        <w:t xml:space="preserve"> </w:t>
      </w:r>
      <w:r w:rsidRPr="0065702C">
        <w:rPr>
          <w:rFonts w:eastAsia="Times New Roman" w:cs="Arial"/>
          <w:color w:val="000000"/>
          <w:lang w:eastAsia="bg-BG"/>
        </w:rPr>
        <w:t>гърло, температура) (вж. точки 4.5 и 4.8),</w:t>
      </w:r>
    </w:p>
    <w:p w14:paraId="4BA37118" w14:textId="77777777" w:rsidR="0065702C" w:rsidRPr="0065702C" w:rsidRDefault="0065702C" w:rsidP="0065702C">
      <w:pPr>
        <w:spacing w:line="240" w:lineRule="auto"/>
        <w:rPr>
          <w:rFonts w:eastAsia="Times New Roman" w:cs="Arial"/>
          <w:sz w:val="24"/>
          <w:szCs w:val="24"/>
          <w:lang w:eastAsia="bg-BG"/>
        </w:rPr>
      </w:pPr>
    </w:p>
    <w:p w14:paraId="174424C9" w14:textId="583673F1" w:rsidR="0065702C" w:rsidRPr="0065702C" w:rsidRDefault="0065702C" w:rsidP="0065702C">
      <w:pPr>
        <w:rPr>
          <w:rFonts w:cs="Arial"/>
        </w:rPr>
      </w:pPr>
      <w:r w:rsidRPr="0065702C">
        <w:rPr>
          <w:rFonts w:eastAsia="Times New Roman" w:cs="Arial"/>
          <w:i/>
          <w:iCs/>
          <w:color w:val="000000"/>
          <w:lang w:eastAsia="bg-BG"/>
        </w:rPr>
        <w:t>Реноваскуларна  хипертония</w:t>
      </w:r>
    </w:p>
    <w:p w14:paraId="13CA529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0C494F5D" w14:textId="77777777" w:rsidR="0065702C" w:rsidRPr="0065702C" w:rsidRDefault="0065702C" w:rsidP="0065702C">
      <w:pPr>
        <w:spacing w:line="240" w:lineRule="auto"/>
        <w:rPr>
          <w:rFonts w:eastAsia="Times New Roman" w:cs="Arial"/>
          <w:i/>
          <w:iCs/>
          <w:color w:val="000000"/>
          <w:lang w:eastAsia="bg-BG"/>
        </w:rPr>
      </w:pPr>
    </w:p>
    <w:p w14:paraId="53CE1D54" w14:textId="2A79589D"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Свръхчувствителност/ангиоедем</w:t>
      </w:r>
    </w:p>
    <w:p w14:paraId="2547FE8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Има съобщения за редки случаи на ангиоедем на лицето, крайниците, устните, лигавиците, езика, глотиса и/или ларинкса при пациенти, лекувани с инхибитори на ангиотензин- конвертиращия ензим, включително с периндоприл (вж, точка 4.8). Това </w:t>
      </w:r>
      <w:r w:rsidRPr="0065702C">
        <w:rPr>
          <w:rFonts w:eastAsia="Times New Roman" w:cs="Arial"/>
          <w:color w:val="000000"/>
          <w:lang w:eastAsia="bg-BG"/>
        </w:rPr>
        <w:lastRenderedPageBreak/>
        <w:t>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преди пациента. В случаите, когато отокът се ограничи по лицето и устните, състоянието по принцип се овладява без лечение, макар че за облекчаване на симптомите е полезно прилагането на антихистаминови лекарства.</w:t>
      </w:r>
    </w:p>
    <w:p w14:paraId="1C3A2CA3" w14:textId="77777777" w:rsidR="0065702C" w:rsidRPr="0065702C" w:rsidRDefault="0065702C" w:rsidP="0065702C">
      <w:pPr>
        <w:spacing w:line="240" w:lineRule="auto"/>
        <w:rPr>
          <w:rFonts w:eastAsia="Times New Roman" w:cs="Arial"/>
          <w:color w:val="000000"/>
          <w:lang w:eastAsia="bg-BG"/>
        </w:rPr>
      </w:pPr>
    </w:p>
    <w:p w14:paraId="55FB88DB" w14:textId="73764B78"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Ангиоедем, свързан с оток на ларинкса може да има фатален изход. В случаите, при които има ангажиране на езика, глотиса или ларинкса, което може да причини обструкция на въздушните пътища, незабавно трябва да се започне спешно лечение, което може да включва подкожно приложение на адреналин 1:1000 (0,3 </w:t>
      </w:r>
      <w:r w:rsidRPr="0065702C">
        <w:rPr>
          <w:rFonts w:eastAsia="Times New Roman" w:cs="Arial"/>
          <w:color w:val="000000"/>
          <w:lang w:val="en-US"/>
        </w:rPr>
        <w:t xml:space="preserve">ml </w:t>
      </w:r>
      <w:r w:rsidRPr="0065702C">
        <w:rPr>
          <w:rFonts w:eastAsia="Times New Roman" w:cs="Arial"/>
          <w:color w:val="000000"/>
          <w:lang w:eastAsia="bg-BG"/>
        </w:rPr>
        <w:t xml:space="preserve">до 0,5 </w:t>
      </w:r>
      <w:r w:rsidRPr="0065702C">
        <w:rPr>
          <w:rFonts w:eastAsia="Times New Roman" w:cs="Arial"/>
          <w:color w:val="000000"/>
          <w:lang w:val="en-US"/>
        </w:rPr>
        <w:t xml:space="preserve">ml) </w:t>
      </w:r>
      <w:r w:rsidRPr="0065702C">
        <w:rPr>
          <w:rFonts w:eastAsia="Times New Roman" w:cs="Arial"/>
          <w:color w:val="000000"/>
          <w:lang w:eastAsia="bg-BG"/>
        </w:rPr>
        <w:t>и/или да се предприемат други подходящи мерки, за да се осигури проходимост на дихателните пътища.</w:t>
      </w:r>
    </w:p>
    <w:p w14:paraId="6D32E573" w14:textId="77777777" w:rsidR="0065702C" w:rsidRPr="0065702C" w:rsidRDefault="0065702C" w:rsidP="0065702C">
      <w:pPr>
        <w:spacing w:line="240" w:lineRule="auto"/>
        <w:rPr>
          <w:rFonts w:eastAsia="Times New Roman" w:cs="Arial"/>
          <w:color w:val="000000"/>
          <w:lang w:eastAsia="bg-BG"/>
        </w:rPr>
      </w:pPr>
    </w:p>
    <w:p w14:paraId="2DBE2C46" w14:textId="7ECF2E5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чернокожи пациенти, приемащи АСЕ инхибитори, се съобщава за по-голям риск от ангиоедем в сравнение с не-чернокожи.</w:t>
      </w:r>
    </w:p>
    <w:p w14:paraId="1AE5C2BB" w14:textId="77777777" w:rsidR="0065702C" w:rsidRPr="0065702C" w:rsidRDefault="0065702C" w:rsidP="0065702C">
      <w:pPr>
        <w:spacing w:line="240" w:lineRule="auto"/>
        <w:rPr>
          <w:rFonts w:eastAsia="Times New Roman" w:cs="Arial"/>
          <w:color w:val="000000"/>
          <w:lang w:eastAsia="bg-BG"/>
        </w:rPr>
      </w:pPr>
    </w:p>
    <w:p w14:paraId="73B556CA" w14:textId="54995F31"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Пациенти с анамнеза на ангиоедем, несвързан с лечение с АСЕ-инхибитор, може да са изложени на повишен риск от ангиоедм в процеса на приемане на АСЕ-инхибитора (вж. точка 4.3).</w:t>
      </w:r>
    </w:p>
    <w:p w14:paraId="009E3917" w14:textId="77777777" w:rsidR="0065702C" w:rsidRPr="0065702C" w:rsidRDefault="0065702C" w:rsidP="0065702C">
      <w:pPr>
        <w:spacing w:line="240" w:lineRule="auto"/>
        <w:rPr>
          <w:rFonts w:eastAsia="Times New Roman" w:cs="Arial"/>
          <w:color w:val="000000"/>
          <w:lang w:eastAsia="bg-BG"/>
        </w:rPr>
      </w:pPr>
    </w:p>
    <w:p w14:paraId="0ECF69AA" w14:textId="7B6C30E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Има редки съобщения за чревен ангионевротичен оток при пациенти, лекувани с АСЕ инхибитори. Тези пациенти са имали коремна болка (с или без гадене или повръщане); в някои случаи не е имало предшестващ ангионевротичен оток на лицето, а С-1 естеразата е била в нормални стойности. Ангионевротичният оток е бил диагностициран чрез процедури, включително абдоминална компютърна томография или ултразвук, или по време на операция, а симптоматиката е преминавала след спиране на АСЕ инхибитора. Чревният ангионевротичен оток трябва да бъде включен в диференциалната диагноза на приемащи АСЕ инхибитори пациенти, с болка в корема.</w:t>
      </w:r>
    </w:p>
    <w:p w14:paraId="262BCDD5" w14:textId="77777777" w:rsidR="0065702C" w:rsidRPr="0065702C" w:rsidRDefault="0065702C" w:rsidP="0065702C">
      <w:pPr>
        <w:spacing w:line="240" w:lineRule="auto"/>
        <w:rPr>
          <w:rFonts w:eastAsia="Times New Roman" w:cs="Arial"/>
          <w:color w:val="000000"/>
          <w:lang w:eastAsia="bg-BG"/>
        </w:rPr>
      </w:pPr>
    </w:p>
    <w:p w14:paraId="46154FFC" w14:textId="5100C8F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периндоприл. Лечение с периндоприл не трябва да се започва по-рано от 36 часа след последната доза сакубитрил/валсартан (вж. точки 4.3 и 4.5).</w:t>
      </w:r>
    </w:p>
    <w:p w14:paraId="772D935B" w14:textId="77777777" w:rsidR="0065702C" w:rsidRPr="0065702C" w:rsidRDefault="0065702C" w:rsidP="0065702C">
      <w:pPr>
        <w:spacing w:line="240" w:lineRule="auto"/>
        <w:rPr>
          <w:rFonts w:eastAsia="Times New Roman" w:cs="Arial"/>
          <w:color w:val="000000"/>
          <w:lang w:eastAsia="bg-BG"/>
        </w:rPr>
      </w:pPr>
    </w:p>
    <w:p w14:paraId="3AAA5D59" w14:textId="15BFB91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Съпътстващата употреба на АСЕ инхибитори с </w:t>
      </w:r>
      <w:r w:rsidRPr="0065702C">
        <w:rPr>
          <w:rFonts w:eastAsia="Times New Roman" w:cs="Arial"/>
          <w:color w:val="000000"/>
          <w:lang w:val="en-US"/>
        </w:rPr>
        <w:t xml:space="preserve">NEP </w:t>
      </w:r>
      <w:r w:rsidRPr="0065702C">
        <w:rPr>
          <w:rFonts w:eastAsia="Times New Roman" w:cs="Arial"/>
          <w:color w:val="000000"/>
          <w:lang w:eastAsia="bg-BG"/>
        </w:rPr>
        <w:t xml:space="preserve">инхибитори (напр. рацекадотрил), </w:t>
      </w:r>
      <w:proofErr w:type="spellStart"/>
      <w:r w:rsidRPr="0065702C">
        <w:rPr>
          <w:rFonts w:eastAsia="Times New Roman" w:cs="Arial"/>
          <w:color w:val="000000"/>
          <w:lang w:val="en-US"/>
        </w:rPr>
        <w:t>mTOR</w:t>
      </w:r>
      <w:proofErr w:type="spellEnd"/>
      <w:r w:rsidRPr="0065702C">
        <w:rPr>
          <w:rFonts w:eastAsia="Times New Roman" w:cs="Arial"/>
          <w:color w:val="000000"/>
          <w:lang w:val="en-US"/>
        </w:rPr>
        <w:t xml:space="preserve"> </w:t>
      </w:r>
      <w:r w:rsidRPr="0065702C">
        <w:rPr>
          <w:rFonts w:eastAsia="Times New Roman" w:cs="Arial"/>
          <w:color w:val="000000"/>
          <w:lang w:eastAsia="bg-BG"/>
        </w:rPr>
        <w:t xml:space="preserve">инхибитори (напр. сиролимус, еверолимус, темсиролимус) и глиптини (напр. линаглиптин, саксаглиптин, ситаглиптин,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65702C">
        <w:rPr>
          <w:rFonts w:eastAsia="Times New Roman" w:cs="Arial"/>
          <w:color w:val="000000"/>
          <w:lang w:val="en-US"/>
        </w:rPr>
        <w:t>mTOR</w:t>
      </w:r>
      <w:proofErr w:type="spellEnd"/>
      <w:r w:rsidRPr="0065702C">
        <w:rPr>
          <w:rFonts w:eastAsia="Times New Roman" w:cs="Arial"/>
          <w:color w:val="000000"/>
          <w:lang w:val="en-US"/>
        </w:rPr>
        <w:t xml:space="preserve"> </w:t>
      </w:r>
      <w:r w:rsidRPr="0065702C">
        <w:rPr>
          <w:rFonts w:eastAsia="Times New Roman" w:cs="Arial"/>
          <w:color w:val="000000"/>
          <w:lang w:eastAsia="bg-BG"/>
        </w:rPr>
        <w:t>инхибитори (напр. сиролимус, еверолимус, темсиролимус) и глиптини (напр. линаглиптин, саксаглиптин, ситаглиптин, вилдаглиптин) при пациент, който вече приема АСЕ инхибитор.</w:t>
      </w:r>
    </w:p>
    <w:p w14:paraId="607C25B7" w14:textId="77777777" w:rsidR="0065702C" w:rsidRPr="0065702C" w:rsidRDefault="0065702C" w:rsidP="0065702C">
      <w:pPr>
        <w:spacing w:line="240" w:lineRule="auto"/>
        <w:rPr>
          <w:rFonts w:eastAsia="Times New Roman" w:cs="Arial"/>
          <w:i/>
          <w:iCs/>
          <w:color w:val="000000"/>
          <w:lang w:eastAsia="bg-BG"/>
        </w:rPr>
      </w:pPr>
    </w:p>
    <w:p w14:paraId="34CC0144" w14:textId="79843898"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Анафилактоидни реакции по време на десенсибилизация</w:t>
      </w:r>
      <w:r w:rsidRPr="0065702C">
        <w:rPr>
          <w:rFonts w:eastAsia="Times New Roman" w:cs="Arial"/>
          <w:i/>
          <w:iCs/>
          <w:color w:val="000000"/>
          <w:lang w:eastAsia="bg-BG"/>
        </w:rPr>
        <w:tab/>
      </w:r>
    </w:p>
    <w:p w14:paraId="721749A4" w14:textId="77777777" w:rsidR="00233E30" w:rsidRDefault="0065702C" w:rsidP="00233E30">
      <w:pPr>
        <w:rPr>
          <w:rFonts w:ascii="Times New Roman" w:eastAsia="Times New Roman" w:hAnsi="Times New Roman" w:cs="Times New Roman"/>
          <w:sz w:val="24"/>
          <w:szCs w:val="24"/>
          <w:lang w:eastAsia="bg-BG"/>
        </w:rPr>
      </w:pPr>
      <w:r w:rsidRPr="0065702C">
        <w:rPr>
          <w:rFonts w:eastAsia="Times New Roman" w:cs="Arial"/>
          <w:color w:val="000000"/>
          <w:lang w:eastAsia="bg-BG"/>
        </w:rPr>
        <w:t>Има единични съобщения за пациенти, приемащи АСЕ инхибитори, при които са наблюдавани продължителни жнвотозастрашаващи анафилактоидни реакции по време на лечение за десенсибилизация с отрова на ципокрили насекоми (пчели, оси). АСЕ инхибиторите трябва да</w:t>
      </w:r>
      <w:r>
        <w:rPr>
          <w:rFonts w:eastAsia="Times New Roman" w:cs="Arial"/>
          <w:color w:val="000000"/>
          <w:lang w:eastAsia="bg-BG"/>
        </w:rPr>
        <w:t xml:space="preserve"> </w:t>
      </w:r>
      <w:r w:rsidRPr="00233E30">
        <w:rPr>
          <w:rFonts w:eastAsia="Times New Roman" w:cs="Arial"/>
          <w:color w:val="000000"/>
          <w:lang w:eastAsia="bg-BG"/>
        </w:rPr>
        <w:t xml:space="preserve">се прилагат с повишено внимание при алергични пациенти, лекувани с десенсибилизация, и да се избягват при индивиди в процеса на </w:t>
      </w:r>
      <w:r w:rsidRPr="00233E30">
        <w:rPr>
          <w:rFonts w:eastAsia="Times New Roman" w:cs="Arial"/>
          <w:color w:val="000000"/>
          <w:lang w:eastAsia="bg-BG"/>
        </w:rPr>
        <w:lastRenderedPageBreak/>
        <w:t>имунотерапията с отрова. Такива реакции обаче могат да бъдат предотвратени чрез временно спиране на АСЕ инхибитора поне 24 часа преди началото на десенсибилизацията при пациенти, нуждаещи се както от АСЕ инхибитори, така и от десенсибилизация.</w:t>
      </w:r>
    </w:p>
    <w:p w14:paraId="43ABD233" w14:textId="77777777" w:rsidR="00233E30" w:rsidRDefault="00233E30" w:rsidP="00233E30">
      <w:pPr>
        <w:rPr>
          <w:rFonts w:ascii="Times New Roman" w:eastAsia="Times New Roman" w:hAnsi="Times New Roman" w:cs="Times New Roman"/>
          <w:sz w:val="24"/>
          <w:szCs w:val="24"/>
          <w:lang w:eastAsia="bg-BG"/>
        </w:rPr>
      </w:pPr>
    </w:p>
    <w:p w14:paraId="0BCC80B0" w14:textId="0270FD23" w:rsidR="0065702C" w:rsidRPr="0065702C" w:rsidRDefault="0065702C" w:rsidP="00233E30">
      <w:pPr>
        <w:rPr>
          <w:rFonts w:eastAsia="Times New Roman" w:cs="Arial"/>
          <w:sz w:val="24"/>
          <w:szCs w:val="24"/>
          <w:lang w:eastAsia="bg-BG"/>
        </w:rPr>
      </w:pPr>
      <w:r w:rsidRPr="0065702C">
        <w:rPr>
          <w:rFonts w:eastAsia="Times New Roman" w:cs="Arial"/>
          <w:i/>
          <w:iCs/>
          <w:color w:val="000000"/>
          <w:lang w:eastAsia="bg-BG"/>
        </w:rPr>
        <w:t xml:space="preserve">Анафилактоидниреакции по време на афереза на липопротеините с 1ниска плътност </w:t>
      </w:r>
      <w:r w:rsidRPr="0065702C">
        <w:rPr>
          <w:rFonts w:eastAsia="Times New Roman" w:cs="Arial"/>
          <w:i/>
          <w:iCs/>
          <w:color w:val="000000"/>
          <w:lang w:val="en-US"/>
        </w:rPr>
        <w:t xml:space="preserve">(LDL) </w:t>
      </w:r>
      <w:r w:rsidRPr="0065702C">
        <w:rPr>
          <w:rFonts w:eastAsia="Times New Roman" w:cs="Arial"/>
          <w:color w:val="000000"/>
          <w:lang w:eastAsia="bg-BG"/>
        </w:rPr>
        <w:t xml:space="preserve">В редки случаи при пациенти, приемащи АСЕ-инхибитори по време на афереза на липопротеините с ниска плътност </w:t>
      </w:r>
      <w:r w:rsidRPr="0065702C">
        <w:rPr>
          <w:rFonts w:eastAsia="Times New Roman" w:cs="Arial"/>
          <w:color w:val="000000"/>
          <w:lang w:val="en-US"/>
        </w:rPr>
        <w:t xml:space="preserve">(LDL) </w:t>
      </w:r>
      <w:r w:rsidRPr="0065702C">
        <w:rPr>
          <w:rFonts w:eastAsia="Times New Roman" w:cs="Arial"/>
          <w:color w:val="000000"/>
          <w:lang w:eastAsia="bg-BG"/>
        </w:rPr>
        <w:t>с декстранов сулфат, са наблюдавани животозастрашаващи анафилактоидни реакции. Тези реакции се избягват чрез временно прекратяване на лечението с АСЕ-инхибитор преди всяка афереза.</w:t>
      </w:r>
    </w:p>
    <w:p w14:paraId="26244779" w14:textId="77777777" w:rsidR="00233E30" w:rsidRPr="00233E30" w:rsidRDefault="00233E30" w:rsidP="0065702C">
      <w:pPr>
        <w:spacing w:line="240" w:lineRule="auto"/>
        <w:rPr>
          <w:rFonts w:eastAsia="Times New Roman" w:cs="Arial"/>
          <w:i/>
          <w:iCs/>
          <w:color w:val="000000"/>
          <w:lang w:eastAsia="bg-BG"/>
        </w:rPr>
      </w:pPr>
    </w:p>
    <w:p w14:paraId="3F718DCB" w14:textId="31ABC7FF"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Пациенти на хемодиализа</w:t>
      </w:r>
    </w:p>
    <w:p w14:paraId="025984E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диализирани с мембрани с висока скорост на потока </w:t>
      </w:r>
      <w:r w:rsidRPr="0065702C">
        <w:rPr>
          <w:rFonts w:eastAsia="Times New Roman" w:cs="Arial"/>
          <w:color w:val="000000"/>
          <w:lang w:val="en-US"/>
        </w:rPr>
        <w:t xml:space="preserve">(high flux) </w:t>
      </w:r>
      <w:r w:rsidRPr="0065702C">
        <w:rPr>
          <w:rFonts w:eastAsia="Times New Roman" w:cs="Arial"/>
          <w:color w:val="000000"/>
          <w:lang w:eastAsia="bg-BG"/>
        </w:rPr>
        <w:t xml:space="preserve">(например </w:t>
      </w:r>
      <w:r w:rsidRPr="0065702C">
        <w:rPr>
          <w:rFonts w:eastAsia="Times New Roman" w:cs="Arial"/>
          <w:color w:val="000000"/>
          <w:lang w:val="en-US"/>
        </w:rPr>
        <w:t xml:space="preserve">AN </w:t>
      </w:r>
      <w:r w:rsidRPr="0065702C">
        <w:rPr>
          <w:rFonts w:eastAsia="Times New Roman" w:cs="Arial"/>
          <w:color w:val="000000"/>
          <w:lang w:eastAsia="bg-BG"/>
        </w:rPr>
        <w:t>69</w:t>
      </w:r>
      <w:r w:rsidRPr="0065702C">
        <w:rPr>
          <w:rFonts w:eastAsia="Times New Roman" w:cs="Arial"/>
          <w:color w:val="000000"/>
          <w:vertAlign w:val="superscript"/>
          <w:lang w:eastAsia="bg-BG"/>
        </w:rPr>
        <w:t>®</w:t>
      </w:r>
      <w:r w:rsidRPr="0065702C">
        <w:rPr>
          <w:rFonts w:eastAsia="Times New Roman" w:cs="Arial"/>
          <w:color w:val="000000"/>
          <w:lang w:eastAsia="bg-BG"/>
        </w:rPr>
        <w:t>) и едновременно лекувани с АСЕ-инхибитор,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антихипертензивено лекарство от различен клас.</w:t>
      </w:r>
    </w:p>
    <w:p w14:paraId="3E7F00DB" w14:textId="77777777" w:rsidR="00233E30" w:rsidRPr="00233E30" w:rsidRDefault="00233E30" w:rsidP="0065702C">
      <w:pPr>
        <w:spacing w:line="240" w:lineRule="auto"/>
        <w:rPr>
          <w:rFonts w:eastAsia="Times New Roman" w:cs="Arial"/>
          <w:i/>
          <w:iCs/>
          <w:color w:val="000000"/>
          <w:lang w:eastAsia="bg-BG"/>
        </w:rPr>
      </w:pPr>
    </w:p>
    <w:p w14:paraId="3F4B874D" w14:textId="58D6AB8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Първичен алдостеронизъм</w:t>
      </w:r>
    </w:p>
    <w:p w14:paraId="4F926D7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Пациенти с първичен хипералдостеронизъм като цяло не се повлияват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175073C8" w14:textId="77777777" w:rsidR="00233E30" w:rsidRPr="00233E30" w:rsidRDefault="00233E30" w:rsidP="0065702C">
      <w:pPr>
        <w:spacing w:line="240" w:lineRule="auto"/>
        <w:rPr>
          <w:rFonts w:eastAsia="Times New Roman" w:cs="Arial"/>
          <w:i/>
          <w:iCs/>
          <w:color w:val="000000"/>
          <w:u w:val="single"/>
          <w:lang w:eastAsia="bg-BG"/>
        </w:rPr>
      </w:pPr>
    </w:p>
    <w:p w14:paraId="3F7E4C91" w14:textId="2950AED9"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 xml:space="preserve">Калий-съхраняващи лекарства, калиеви добавки или заместители на солта, съдържащи калий </w:t>
      </w:r>
      <w:r w:rsidRPr="0065702C">
        <w:rPr>
          <w:rFonts w:eastAsia="Times New Roman" w:cs="Arial"/>
          <w:color w:val="000000"/>
          <w:lang w:eastAsia="bg-BG"/>
        </w:rPr>
        <w:t>Комбинирането на периндоприл с калий-съхраняващи лекарства, калиеви добавки или заместители на солта, съдържащи калий, обикновено не се препоръчва (вж. точка 4.5).</w:t>
      </w:r>
    </w:p>
    <w:p w14:paraId="4F70ADEB" w14:textId="77777777" w:rsidR="00233E30" w:rsidRPr="00233E30" w:rsidRDefault="00233E30" w:rsidP="0065702C">
      <w:pPr>
        <w:spacing w:line="240" w:lineRule="auto"/>
        <w:rPr>
          <w:rFonts w:eastAsia="Times New Roman" w:cs="Arial"/>
          <w:i/>
          <w:iCs/>
          <w:color w:val="000000"/>
          <w:lang w:eastAsia="bg-BG"/>
        </w:rPr>
      </w:pPr>
    </w:p>
    <w:p w14:paraId="6B4C2473" w14:textId="047674EF"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Бременност</w:t>
      </w:r>
    </w:p>
    <w:p w14:paraId="631F3E7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АСЕ инхибитори не трябва да се започват по време на бременност. Освен когато продължаването на лечението с АСЕ инхибитор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 (вж. точка 4.3 и 4.6).</w:t>
      </w:r>
    </w:p>
    <w:p w14:paraId="429D9021" w14:textId="77777777" w:rsidR="00233E30" w:rsidRPr="00233E30" w:rsidRDefault="00233E30" w:rsidP="0065702C">
      <w:pPr>
        <w:spacing w:line="240" w:lineRule="auto"/>
        <w:rPr>
          <w:rFonts w:eastAsia="Times New Roman" w:cs="Arial"/>
          <w:i/>
          <w:iCs/>
          <w:color w:val="000000"/>
          <w:u w:val="single"/>
          <w:lang w:eastAsia="bg-BG"/>
        </w:rPr>
      </w:pPr>
    </w:p>
    <w:p w14:paraId="40AB8031" w14:textId="30CCF9F2"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индапамид</w:t>
      </w:r>
    </w:p>
    <w:p w14:paraId="2843C93D" w14:textId="77777777" w:rsidR="00233E30" w:rsidRPr="00233E30" w:rsidRDefault="00233E30" w:rsidP="0065702C">
      <w:pPr>
        <w:spacing w:line="240" w:lineRule="auto"/>
        <w:rPr>
          <w:rFonts w:eastAsia="Times New Roman" w:cs="Arial"/>
          <w:i/>
          <w:iCs/>
          <w:color w:val="000000"/>
          <w:lang w:eastAsia="bg-BG"/>
        </w:rPr>
      </w:pPr>
    </w:p>
    <w:p w14:paraId="0E61BD68" w14:textId="31AF2C50"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Чернодробна енцефалопатия</w:t>
      </w:r>
    </w:p>
    <w:p w14:paraId="56ABFDF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увредена чернодробна функция, тиазидните диуретици и техните аналози могат да причинят, особено в случай на електролитен дисбаланс, чернодробна енцефалопатия, която може да прогресира до чернодробна кома. В такъв случай приемането на диуретика веднага трябва да се преустанови.</w:t>
      </w:r>
    </w:p>
    <w:p w14:paraId="51A75359" w14:textId="77777777" w:rsidR="00233E30" w:rsidRPr="00233E30" w:rsidRDefault="00233E30" w:rsidP="0065702C">
      <w:pPr>
        <w:spacing w:line="240" w:lineRule="auto"/>
        <w:rPr>
          <w:rFonts w:eastAsia="Times New Roman" w:cs="Arial"/>
          <w:i/>
          <w:iCs/>
          <w:color w:val="000000"/>
          <w:lang w:eastAsia="bg-BG"/>
        </w:rPr>
      </w:pPr>
    </w:p>
    <w:p w14:paraId="1F3A0B7A" w14:textId="4B8BEA46"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Фоточувствителност</w:t>
      </w:r>
    </w:p>
    <w:p w14:paraId="10D703A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Случаи а реакции на фоточувствитепност са съобщени при тиазиди и тиазидни производни диуретици (вж. точка 4.8). Ако по време на лечението се появят реакции на фоточувствителност, се препоръчва прекратяване на лечението. Ако повторното приемане на диуретика се счете за необходимо, се препоръчва изложените на светлина части да бъдат защитени от слънце или изкуствени </w:t>
      </w:r>
      <w:r w:rsidRPr="0065702C">
        <w:rPr>
          <w:rFonts w:eastAsia="Times New Roman" w:cs="Arial"/>
          <w:color w:val="000000"/>
          <w:lang w:val="en-US"/>
        </w:rPr>
        <w:t>UVA.</w:t>
      </w:r>
    </w:p>
    <w:p w14:paraId="6AE1E7AF" w14:textId="77777777" w:rsidR="00233E30" w:rsidRPr="00233E30" w:rsidRDefault="00233E30" w:rsidP="0065702C">
      <w:pPr>
        <w:spacing w:line="240" w:lineRule="auto"/>
        <w:rPr>
          <w:rFonts w:eastAsia="Times New Roman" w:cs="Arial"/>
          <w:i/>
          <w:iCs/>
          <w:color w:val="000000"/>
          <w:u w:val="single"/>
          <w:lang w:eastAsia="bg-BG"/>
        </w:rPr>
      </w:pPr>
    </w:p>
    <w:p w14:paraId="23B36686" w14:textId="1B3567F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lastRenderedPageBreak/>
        <w:t>Специални предпазни мерки при употреба</w:t>
      </w:r>
    </w:p>
    <w:p w14:paraId="565C7CF4" w14:textId="77777777" w:rsidR="00233E30" w:rsidRPr="00233E30" w:rsidRDefault="00233E30" w:rsidP="0065702C">
      <w:pPr>
        <w:spacing w:line="240" w:lineRule="auto"/>
        <w:rPr>
          <w:rFonts w:eastAsia="Times New Roman" w:cs="Arial"/>
          <w:i/>
          <w:iCs/>
          <w:color w:val="000000"/>
          <w:u w:val="single"/>
          <w:lang w:eastAsia="bg-BG"/>
        </w:rPr>
      </w:pPr>
    </w:p>
    <w:p w14:paraId="3470E225" w14:textId="778221ED"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Обши за периндоприл и индапамид:</w:t>
      </w:r>
    </w:p>
    <w:p w14:paraId="6D6DCD8A" w14:textId="77777777" w:rsidR="00233E30" w:rsidRPr="00233E30" w:rsidRDefault="00233E30" w:rsidP="0065702C">
      <w:pPr>
        <w:rPr>
          <w:rFonts w:eastAsia="Times New Roman" w:cs="Arial"/>
          <w:i/>
          <w:iCs/>
          <w:color w:val="000000"/>
          <w:lang w:eastAsia="bg-BG"/>
        </w:rPr>
      </w:pPr>
    </w:p>
    <w:p w14:paraId="4691E96B" w14:textId="7C3DEDE5" w:rsidR="0065702C" w:rsidRDefault="0065702C" w:rsidP="0065702C">
      <w:pPr>
        <w:rPr>
          <w:rFonts w:eastAsia="Times New Roman" w:cs="Arial"/>
          <w:i/>
          <w:iCs/>
          <w:color w:val="000000"/>
          <w:lang w:eastAsia="bg-BG"/>
        </w:rPr>
      </w:pPr>
      <w:r w:rsidRPr="00233E30">
        <w:rPr>
          <w:rFonts w:eastAsia="Times New Roman" w:cs="Arial"/>
          <w:i/>
          <w:iCs/>
          <w:color w:val="000000"/>
          <w:lang w:eastAsia="bg-BG"/>
        </w:rPr>
        <w:t>Бъбречна недостатъчност</w:t>
      </w:r>
    </w:p>
    <w:p w14:paraId="6EDC655F" w14:textId="1829DF08" w:rsidR="00233E30" w:rsidRDefault="00233E30" w:rsidP="0065702C">
      <w:pPr>
        <w:rPr>
          <w:rFonts w:eastAsia="Times New Roman" w:cs="Arial"/>
          <w:i/>
          <w:iCs/>
          <w:color w:val="000000"/>
          <w:lang w:eastAsia="bg-BG"/>
        </w:rPr>
      </w:pPr>
    </w:p>
    <w:p w14:paraId="540E4FD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тежка бъбречна недостатъчност (креатининов клирънс &lt; 30 </w:t>
      </w:r>
      <w:r w:rsidRPr="00233E30">
        <w:rPr>
          <w:rFonts w:eastAsia="Times New Roman" w:cs="Arial"/>
          <w:color w:val="000000"/>
          <w:lang w:val="en-US"/>
        </w:rPr>
        <w:t xml:space="preserve">ml/min) </w:t>
      </w:r>
      <w:r w:rsidRPr="00233E30">
        <w:rPr>
          <w:rFonts w:eastAsia="Times New Roman" w:cs="Arial"/>
          <w:color w:val="000000"/>
          <w:lang w:eastAsia="bg-BG"/>
        </w:rPr>
        <w:t>лечението е противопоказано.</w:t>
      </w:r>
    </w:p>
    <w:p w14:paraId="441AFDB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Ко-Пренеса 8 </w:t>
      </w:r>
      <w:r w:rsidRPr="00233E30">
        <w:rPr>
          <w:rFonts w:eastAsia="Times New Roman" w:cs="Arial"/>
          <w:color w:val="000000"/>
          <w:u w:val="single"/>
          <w:lang w:val="en-US"/>
        </w:rPr>
        <w:t xml:space="preserve">mg/2,5 mg </w:t>
      </w:r>
      <w:r w:rsidRPr="00233E30">
        <w:rPr>
          <w:rFonts w:eastAsia="Times New Roman" w:cs="Arial"/>
          <w:color w:val="000000"/>
          <w:u w:val="single"/>
          <w:lang w:eastAsia="bg-BG"/>
        </w:rPr>
        <w:t>таблетки</w:t>
      </w:r>
    </w:p>
    <w:p w14:paraId="5A836DC7"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случаи на тежка и умерено тежка бъбречна недостатъчност (креатининов клирънс &lt; 60 </w:t>
      </w:r>
      <w:r w:rsidRPr="00233E30">
        <w:rPr>
          <w:rFonts w:eastAsia="Times New Roman" w:cs="Arial"/>
          <w:color w:val="000000"/>
          <w:lang w:val="en-US"/>
        </w:rPr>
        <w:t xml:space="preserve">ml/min) </w:t>
      </w:r>
      <w:r w:rsidRPr="00233E30">
        <w:rPr>
          <w:rFonts w:eastAsia="Times New Roman" w:cs="Arial"/>
          <w:color w:val="000000"/>
          <w:lang w:eastAsia="bg-BG"/>
        </w:rPr>
        <w:t>лечението е противопоказано.</w:t>
      </w:r>
    </w:p>
    <w:p w14:paraId="3F8B8CE9" w14:textId="77777777" w:rsidR="00233E30" w:rsidRPr="00233E30" w:rsidRDefault="00233E30" w:rsidP="00233E30">
      <w:pPr>
        <w:spacing w:line="240" w:lineRule="auto"/>
        <w:rPr>
          <w:rFonts w:eastAsia="Times New Roman" w:cs="Arial"/>
          <w:color w:val="000000"/>
          <w:lang w:eastAsia="bg-BG"/>
        </w:rPr>
      </w:pPr>
    </w:p>
    <w:p w14:paraId="7F175C82" w14:textId="2878DB8E"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пациенти с хипертония и без предшестваща проява на бъбречни увреждания, и при които кръвните изследвания показват функционална бъбречна недостатъчност, лечението трябва да се прекрати и по възможност да се продължи с по-ниска доза или само с една от съставките. При такива пациенти медицинското наблюдение трябва да включва често контролиране на стойностите на креатинина и калия -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w:t>
      </w:r>
    </w:p>
    <w:p w14:paraId="3E44D2A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Лекарството обичайно не се препоръчва в случай на двустранна стеноза на бъбречните артерии или единствен функциониращ бъбрек.</w:t>
      </w:r>
    </w:p>
    <w:p w14:paraId="4A947BAF" w14:textId="77777777" w:rsidR="00233E30" w:rsidRPr="00233E30" w:rsidRDefault="00233E30" w:rsidP="00233E30">
      <w:pPr>
        <w:spacing w:line="240" w:lineRule="auto"/>
        <w:rPr>
          <w:rFonts w:eastAsia="Times New Roman" w:cs="Arial"/>
          <w:i/>
          <w:iCs/>
          <w:color w:val="000000"/>
          <w:lang w:eastAsia="bg-BG"/>
        </w:rPr>
      </w:pPr>
    </w:p>
    <w:p w14:paraId="7152FC9A" w14:textId="3466108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Хипотония и загуба на вода и електролити</w:t>
      </w:r>
    </w:p>
    <w:p w14:paraId="17B1A44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наличие на загуба на натрий съществува риск от внезапна хипотония (особено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се появят вследствие на интеркурентна диария или повръщане. При такива пациенти редовно трябва да се контролират електролитите в серума. Значителната хипотония може да наложи включване на венозна инфузия на изотоничен разтвор на натриев хлорид.</w:t>
      </w:r>
    </w:p>
    <w:p w14:paraId="14F7BC84"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36285DD4" w14:textId="77777777" w:rsidR="00233E30" w:rsidRPr="00233E30" w:rsidRDefault="00233E30" w:rsidP="00233E30">
      <w:pPr>
        <w:spacing w:line="240" w:lineRule="auto"/>
        <w:rPr>
          <w:rFonts w:eastAsia="Times New Roman" w:cs="Arial"/>
          <w:i/>
          <w:iCs/>
          <w:color w:val="000000"/>
          <w:lang w:eastAsia="bg-BG"/>
        </w:rPr>
      </w:pPr>
    </w:p>
    <w:p w14:paraId="7F07D86F" w14:textId="3D59B959"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калий</w:t>
      </w:r>
    </w:p>
    <w:p w14:paraId="6B071B4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Комбинацията на периндоприл и индапамид не може да предотврати настъпването на хипокал немия,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49E31A68" w14:textId="77777777" w:rsidR="00233E30" w:rsidRPr="00233E30" w:rsidRDefault="00233E30" w:rsidP="00233E30">
      <w:pPr>
        <w:spacing w:line="240" w:lineRule="auto"/>
        <w:rPr>
          <w:rFonts w:eastAsia="Times New Roman" w:cs="Arial"/>
          <w:color w:val="000000"/>
          <w:lang w:eastAsia="bg-BG"/>
        </w:rPr>
      </w:pPr>
    </w:p>
    <w:p w14:paraId="0AAE3D80" w14:textId="63D051E8"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Таблетките Ко- Пренеса съдържат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597A0EB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Това лекарство съдържа по-малко от 1 </w:t>
      </w:r>
      <w:proofErr w:type="spellStart"/>
      <w:r w:rsidRPr="00233E30">
        <w:rPr>
          <w:rFonts w:eastAsia="Times New Roman" w:cs="Arial"/>
          <w:color w:val="000000"/>
          <w:lang w:val="en-US"/>
        </w:rPr>
        <w:t>mmol</w:t>
      </w:r>
      <w:proofErr w:type="spellEnd"/>
      <w:r w:rsidRPr="00233E30">
        <w:rPr>
          <w:rFonts w:eastAsia="Times New Roman" w:cs="Arial"/>
          <w:color w:val="000000"/>
          <w:lang w:val="en-US"/>
        </w:rPr>
        <w:t xml:space="preserve"> </w:t>
      </w:r>
      <w:r w:rsidRPr="00233E30">
        <w:rPr>
          <w:rFonts w:eastAsia="Times New Roman" w:cs="Arial"/>
          <w:color w:val="000000"/>
          <w:lang w:eastAsia="bg-BG"/>
        </w:rPr>
        <w:t xml:space="preserve">натрий (23 </w:t>
      </w:r>
      <w:r w:rsidRPr="00233E30">
        <w:rPr>
          <w:rFonts w:eastAsia="Times New Roman" w:cs="Arial"/>
          <w:color w:val="000000"/>
          <w:lang w:val="en-US"/>
        </w:rPr>
        <w:t xml:space="preserve">mg) </w:t>
      </w:r>
      <w:r w:rsidRPr="00233E30">
        <w:rPr>
          <w:rFonts w:eastAsia="Times New Roman" w:cs="Arial"/>
          <w:color w:val="000000"/>
          <w:lang w:eastAsia="bg-BG"/>
        </w:rPr>
        <w:t>на таблетка, т.е. може да се каже, че практически не съдържа натрий.</w:t>
      </w:r>
    </w:p>
    <w:p w14:paraId="4F1CEF23" w14:textId="77777777" w:rsidR="00233E30" w:rsidRPr="00233E30" w:rsidRDefault="00233E30" w:rsidP="00233E30">
      <w:pPr>
        <w:spacing w:line="240" w:lineRule="auto"/>
        <w:rPr>
          <w:rFonts w:eastAsia="Times New Roman" w:cs="Arial"/>
          <w:i/>
          <w:iCs/>
          <w:color w:val="000000"/>
          <w:u w:val="single"/>
          <w:lang w:eastAsia="bg-BG"/>
        </w:rPr>
      </w:pPr>
    </w:p>
    <w:p w14:paraId="3A93A407" w14:textId="45A4675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u w:val="single"/>
          <w:lang w:eastAsia="bg-BG"/>
        </w:rPr>
        <w:t>Свързани с периндоприл:</w:t>
      </w:r>
    </w:p>
    <w:p w14:paraId="69F12975" w14:textId="77777777" w:rsidR="00233E30" w:rsidRPr="00233E30" w:rsidRDefault="00233E30" w:rsidP="00233E30">
      <w:pPr>
        <w:spacing w:line="240" w:lineRule="auto"/>
        <w:rPr>
          <w:rFonts w:eastAsia="Times New Roman" w:cs="Arial"/>
          <w:i/>
          <w:iCs/>
          <w:color w:val="000000"/>
          <w:lang w:eastAsia="bg-BG"/>
        </w:rPr>
      </w:pPr>
    </w:p>
    <w:p w14:paraId="4D086BB2" w14:textId="240EE19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Кашлица</w:t>
      </w:r>
    </w:p>
    <w:p w14:paraId="57186C9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lastRenderedPageBreak/>
        <w:t>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В случай че се предпочита предписването на инхибитор на ангиотензин конвертиращия ензим, то продължаването на това лечение при появата на кашлица трябва да се преоценява.</w:t>
      </w:r>
    </w:p>
    <w:p w14:paraId="6FB57B47" w14:textId="77777777" w:rsidR="00233E30" w:rsidRPr="00233E30" w:rsidRDefault="00233E30" w:rsidP="00233E30">
      <w:pPr>
        <w:spacing w:line="240" w:lineRule="auto"/>
        <w:rPr>
          <w:rFonts w:eastAsia="Times New Roman" w:cs="Arial"/>
          <w:i/>
          <w:iCs/>
          <w:color w:val="000000"/>
          <w:lang w:eastAsia="bg-BG"/>
        </w:rPr>
      </w:pPr>
    </w:p>
    <w:p w14:paraId="5F0BEB3F" w14:textId="67A9949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Педиатрична популация</w:t>
      </w:r>
    </w:p>
    <w:p w14:paraId="674CC7C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0A660013" w14:textId="2047559F" w:rsidR="00233E30" w:rsidRPr="00233E30" w:rsidRDefault="00233E30" w:rsidP="00233E30">
      <w:pPr>
        <w:spacing w:line="240" w:lineRule="auto"/>
        <w:rPr>
          <w:rFonts w:eastAsia="Times New Roman" w:cs="Arial"/>
          <w:sz w:val="24"/>
          <w:szCs w:val="24"/>
          <w:lang w:eastAsia="bg-BG"/>
        </w:rPr>
      </w:pPr>
    </w:p>
    <w:p w14:paraId="195DF094" w14:textId="061D7D8C" w:rsidR="00233E30" w:rsidRPr="00233E30" w:rsidRDefault="00233E30" w:rsidP="00233E30">
      <w:pPr>
        <w:rPr>
          <w:rFonts w:eastAsia="Times New Roman" w:cs="Arial"/>
          <w:i/>
          <w:iCs/>
          <w:color w:val="000000"/>
          <w:lang w:eastAsia="bg-BG"/>
        </w:rPr>
      </w:pPr>
      <w:r w:rsidRPr="00233E30">
        <w:rPr>
          <w:rFonts w:eastAsia="Times New Roman" w:cs="Arial"/>
          <w:i/>
          <w:iCs/>
          <w:color w:val="000000"/>
          <w:lang w:eastAsia="bg-BG"/>
        </w:rPr>
        <w:t>Риск от артериална хипотония и/или бъбречна недостатъчност (в случаите на сърдечни недостатъчност, загуба на вода и електролити и т.н.)</w:t>
      </w:r>
    </w:p>
    <w:p w14:paraId="011D42EA"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 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лекарството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в хода на лечението.</w:t>
      </w:r>
    </w:p>
    <w:p w14:paraId="5A9CB29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такива случаи лечението трябва да започва с по-ниски дози, които постепенно да се увеличават.</w:t>
      </w:r>
    </w:p>
    <w:p w14:paraId="5534EE30" w14:textId="77777777" w:rsidR="00233E30" w:rsidRPr="00233E30" w:rsidRDefault="00233E30" w:rsidP="00233E30">
      <w:pPr>
        <w:spacing w:line="240" w:lineRule="auto"/>
        <w:rPr>
          <w:rFonts w:eastAsia="Times New Roman" w:cs="Arial"/>
          <w:i/>
          <w:iCs/>
          <w:color w:val="000000"/>
          <w:lang w:eastAsia="bg-BG"/>
        </w:rPr>
      </w:pPr>
    </w:p>
    <w:p w14:paraId="487B6148" w14:textId="65A7109B"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Старческа възраст</w:t>
      </w:r>
    </w:p>
    <w:p w14:paraId="404FEF1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Преди началото на лечението трябва да се изследват бъбречната функция и серумния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72C75F7C" w14:textId="77777777" w:rsidR="00233E30" w:rsidRPr="00233E30" w:rsidRDefault="00233E30" w:rsidP="00233E30">
      <w:pPr>
        <w:spacing w:line="240" w:lineRule="auto"/>
        <w:rPr>
          <w:rFonts w:eastAsia="Times New Roman" w:cs="Arial"/>
          <w:i/>
          <w:iCs/>
          <w:color w:val="000000"/>
          <w:lang w:eastAsia="bg-BG"/>
        </w:rPr>
      </w:pPr>
    </w:p>
    <w:p w14:paraId="5593CFFF" w14:textId="39EDCC6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Атеросклероза</w:t>
      </w:r>
    </w:p>
    <w:p w14:paraId="229F3B8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047C91B0" w14:textId="77777777" w:rsidR="00233E30" w:rsidRPr="00233E30" w:rsidRDefault="00233E30" w:rsidP="00233E30">
      <w:pPr>
        <w:spacing w:line="240" w:lineRule="auto"/>
        <w:rPr>
          <w:rFonts w:eastAsia="Times New Roman" w:cs="Arial"/>
          <w:i/>
          <w:iCs/>
          <w:color w:val="000000"/>
          <w:lang w:eastAsia="bg-BG"/>
        </w:rPr>
      </w:pPr>
    </w:p>
    <w:p w14:paraId="51BBBEB3" w14:textId="698A94D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Реноваскуларна хипертония</w:t>
      </w:r>
    </w:p>
    <w:p w14:paraId="2A8FC141"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Лечението на реноваскуларната хипертония се състои в реваскуларизация. Въпреки това, инхибиторите на ангиотензин-конвертиращия ензим могат да бъдат полезни при пациенти с реноваскуларна хипертония, които очакват хирургична корекция, а също и тогава, когато такава намеса не е възможна.</w:t>
      </w:r>
    </w:p>
    <w:p w14:paraId="67F5A77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Таблетки Ко-Пренеса 2 </w:t>
      </w:r>
      <w:r w:rsidRPr="00233E30">
        <w:rPr>
          <w:rFonts w:eastAsia="Times New Roman" w:cs="Arial"/>
          <w:color w:val="000000"/>
          <w:u w:val="single"/>
          <w:lang w:val="en-US"/>
        </w:rPr>
        <w:t xml:space="preserve">mg/0,625 mg </w:t>
      </w:r>
      <w:r w:rsidRPr="00233E30">
        <w:rPr>
          <w:rFonts w:eastAsia="Times New Roman" w:cs="Arial"/>
          <w:color w:val="000000"/>
          <w:u w:val="single"/>
          <w:lang w:eastAsia="bg-BG"/>
        </w:rPr>
        <w:t xml:space="preserve">и 4 </w:t>
      </w:r>
      <w:r w:rsidRPr="00233E30">
        <w:rPr>
          <w:rFonts w:eastAsia="Times New Roman" w:cs="Arial"/>
          <w:color w:val="000000"/>
          <w:u w:val="single"/>
          <w:lang w:val="en-US"/>
        </w:rPr>
        <w:t>mg/1,25 mg</w:t>
      </w:r>
    </w:p>
    <w:p w14:paraId="56274E2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Ако Ко-Пренеса се предпише на пациенти с установена или подозирана стеноза на бъбречните артерии, лечението трябва да се започва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3CEF50D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Таблетки Ко-Пренеса 8 </w:t>
      </w:r>
      <w:r w:rsidRPr="00233E30">
        <w:rPr>
          <w:rFonts w:eastAsia="Times New Roman" w:cs="Arial"/>
          <w:color w:val="000000"/>
          <w:u w:val="single"/>
          <w:lang w:val="en-US"/>
        </w:rPr>
        <w:t>mg/2,5 mg</w:t>
      </w:r>
    </w:p>
    <w:p w14:paraId="43FE2ECA"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lastRenderedPageBreak/>
        <w:t xml:space="preserve">Лечението с таблетките Ко-Пренеса 8 </w:t>
      </w:r>
      <w:r w:rsidRPr="00233E30">
        <w:rPr>
          <w:rFonts w:eastAsia="Times New Roman" w:cs="Arial"/>
          <w:color w:val="000000"/>
          <w:lang w:val="en-US"/>
        </w:rPr>
        <w:t xml:space="preserve">mg/2,5 mg </w:t>
      </w:r>
      <w:r w:rsidRPr="00233E30">
        <w:rPr>
          <w:rFonts w:eastAsia="Times New Roman" w:cs="Arial"/>
          <w:color w:val="000000"/>
          <w:lang w:eastAsia="bg-BG"/>
        </w:rPr>
        <w:t xml:space="preserve">не е подходящо за пациенти с установена или подозирана стеноза на бъбречните артерии, тъй като лечението трябва да започне в болнични условия с дози, по-ниски от тези на Ко-Пренеса 8 </w:t>
      </w:r>
      <w:r w:rsidRPr="00233E30">
        <w:rPr>
          <w:rFonts w:eastAsia="Times New Roman" w:cs="Arial"/>
          <w:color w:val="000000"/>
          <w:lang w:val="en-US"/>
        </w:rPr>
        <w:t>mg/2,5 mg</w:t>
      </w:r>
    </w:p>
    <w:p w14:paraId="5A5E2A53" w14:textId="77777777" w:rsidR="00233E30" w:rsidRPr="00233E30" w:rsidRDefault="00233E30" w:rsidP="00233E30">
      <w:pPr>
        <w:spacing w:line="240" w:lineRule="auto"/>
        <w:rPr>
          <w:rFonts w:eastAsia="Times New Roman" w:cs="Arial"/>
          <w:i/>
          <w:iCs/>
          <w:color w:val="000000"/>
          <w:lang w:eastAsia="bg-BG"/>
        </w:rPr>
      </w:pPr>
    </w:p>
    <w:p w14:paraId="0955C291" w14:textId="6A79B694"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Сърдечна недостатъчност/тежка сърдечна недостатъчност</w:t>
      </w:r>
    </w:p>
    <w:p w14:paraId="3A15FD9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пациенти с тежка сърдечна недостатъчност (IV степен), лечението трябва да започва под лекарско наблюдение и с ниска начална доза, затова Ко-Пренеса 8 </w:t>
      </w:r>
      <w:r w:rsidRPr="00233E30">
        <w:rPr>
          <w:rFonts w:eastAsia="Times New Roman" w:cs="Arial"/>
          <w:color w:val="000000"/>
          <w:lang w:val="en-US"/>
        </w:rPr>
        <w:t xml:space="preserve">mg/2,5 mg </w:t>
      </w:r>
      <w:r w:rsidRPr="00233E30">
        <w:rPr>
          <w:rFonts w:eastAsia="Times New Roman" w:cs="Arial"/>
          <w:color w:val="000000"/>
          <w:lang w:eastAsia="bg-BG"/>
        </w:rPr>
        <w:t>не е подходящ за начално лечение. Лечението с бета-блокери при хипертоници с коронарна недостатъчност не трябва да се спира: АСЕ инхибиторът би трябвало да се прибави към бета-блокера.</w:t>
      </w:r>
    </w:p>
    <w:p w14:paraId="595A202C" w14:textId="77777777" w:rsidR="00233E30" w:rsidRPr="00233E30" w:rsidRDefault="00233E30" w:rsidP="00233E30">
      <w:pPr>
        <w:spacing w:line="240" w:lineRule="auto"/>
        <w:rPr>
          <w:rFonts w:eastAsia="Times New Roman" w:cs="Arial"/>
          <w:i/>
          <w:iCs/>
          <w:color w:val="000000"/>
          <w:lang w:eastAsia="bg-BG"/>
        </w:rPr>
      </w:pPr>
    </w:p>
    <w:p w14:paraId="78AE0CD9" w14:textId="3C27AE6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Диабетици</w:t>
      </w:r>
    </w:p>
    <w:p w14:paraId="482FEB3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пациенти с инсулино-зависим захарен диабет (спонтанни тенденции към повишени стойности на серумния калий), лечението с Ко-Пренеса 8 </w:t>
      </w:r>
      <w:r w:rsidRPr="00233E30">
        <w:rPr>
          <w:rFonts w:eastAsia="Times New Roman" w:cs="Arial"/>
          <w:color w:val="000000"/>
          <w:lang w:val="en-US"/>
        </w:rPr>
        <w:t xml:space="preserve">mg/2,5 mg </w:t>
      </w:r>
      <w:r w:rsidRPr="00233E30">
        <w:rPr>
          <w:rFonts w:eastAsia="Times New Roman" w:cs="Arial"/>
          <w:color w:val="000000"/>
          <w:lang w:eastAsia="bg-BG"/>
        </w:rPr>
        <w:t>таблетки не е подходящо, тъй като лечението трябва да започва под лекарско наблюдение и с ниска начална доза. През първия месец от лечението с АСЕ-инхибитори на диабетици, които приемат перорални антидиабетни препарати или инсулин, трябва да се извършва редовен контрол на гликемията (вж. точка 4.5).</w:t>
      </w:r>
    </w:p>
    <w:p w14:paraId="67094A71" w14:textId="77777777" w:rsidR="00233E30" w:rsidRPr="00233E30" w:rsidRDefault="00233E30" w:rsidP="00233E30">
      <w:pPr>
        <w:spacing w:line="240" w:lineRule="auto"/>
        <w:rPr>
          <w:rFonts w:eastAsia="Times New Roman" w:cs="Arial"/>
          <w:i/>
          <w:iCs/>
          <w:color w:val="000000"/>
          <w:lang w:eastAsia="bg-BG"/>
        </w:rPr>
      </w:pPr>
    </w:p>
    <w:p w14:paraId="715FD66D" w14:textId="71911CC3"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Етнически различия</w:t>
      </w:r>
    </w:p>
    <w:p w14:paraId="62BB8E81" w14:textId="09DF6728" w:rsidR="00233E30" w:rsidRPr="00233E30" w:rsidRDefault="00233E30" w:rsidP="00233E30">
      <w:pPr>
        <w:rPr>
          <w:rFonts w:eastAsia="Times New Roman" w:cs="Arial"/>
          <w:color w:val="000000"/>
          <w:lang w:eastAsia="bg-BG"/>
        </w:rPr>
      </w:pPr>
      <w:r w:rsidRPr="00233E30">
        <w:rPr>
          <w:rFonts w:eastAsia="Times New Roman" w:cs="Arial"/>
          <w:color w:val="000000"/>
          <w:lang w:eastAsia="bg-BG"/>
        </w:rPr>
        <w:t>Подобно на останалите АСЕ-инхибитори, периндоприл може да бъде по-малко ефективен за намаляване на кръвното налягане при чернокожи, отко</w:t>
      </w:r>
      <w:r>
        <w:rPr>
          <w:rFonts w:eastAsia="Times New Roman" w:cs="Arial"/>
          <w:color w:val="000000"/>
          <w:lang w:eastAsia="bg-BG"/>
        </w:rPr>
        <w:t xml:space="preserve">лкото при не-чернокожи вероятно </w:t>
      </w:r>
      <w:r w:rsidRPr="00233E30">
        <w:rPr>
          <w:rFonts w:eastAsia="Times New Roman" w:cs="Arial"/>
          <w:color w:val="000000"/>
          <w:lang w:eastAsia="bg-BG"/>
        </w:rPr>
        <w:t>поради преобладаването на по-ниски ренинови нива сред чернокожата популация от хипертоници.</w:t>
      </w:r>
    </w:p>
    <w:p w14:paraId="50BADC10" w14:textId="77777777" w:rsidR="00233E30" w:rsidRPr="00233E30" w:rsidRDefault="00233E30" w:rsidP="00233E30">
      <w:pPr>
        <w:spacing w:line="240" w:lineRule="auto"/>
        <w:rPr>
          <w:rFonts w:eastAsia="Times New Roman" w:cs="Arial"/>
          <w:i/>
          <w:iCs/>
          <w:color w:val="000000"/>
          <w:lang w:eastAsia="bg-BG"/>
        </w:rPr>
      </w:pPr>
    </w:p>
    <w:p w14:paraId="5056DA81" w14:textId="23D580CC"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Хирургична интервенция/анестезия</w:t>
      </w:r>
    </w:p>
    <w:p w14:paraId="2F09796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Инхибиторите на ангиотензин-конвертиращия ензим могат да предизвикат хипотония при анестезия, особено когато използваният анестетик е с потенциално хипотензивно действие. По тази причина се препоръчва приемането на АСЕ инхибитори с продължително действие, какъвто е и периндоприл, по възможност да се прекъсне един ден преди хирургичната намеса.</w:t>
      </w:r>
    </w:p>
    <w:p w14:paraId="269E5953" w14:textId="77777777" w:rsidR="00233E30" w:rsidRPr="00233E30" w:rsidRDefault="00233E30" w:rsidP="00233E30">
      <w:pPr>
        <w:spacing w:line="240" w:lineRule="auto"/>
        <w:rPr>
          <w:rFonts w:eastAsia="Times New Roman" w:cs="Arial"/>
          <w:i/>
          <w:iCs/>
          <w:color w:val="000000"/>
          <w:lang w:eastAsia="bg-BG"/>
        </w:rPr>
      </w:pPr>
    </w:p>
    <w:p w14:paraId="19844063" w14:textId="0B1E5B39"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 xml:space="preserve">Аортна стеноза или стеноза на мшпралната клапа/хипертрофична кардиомиопатия </w:t>
      </w:r>
      <w:r w:rsidRPr="00233E30">
        <w:rPr>
          <w:rFonts w:eastAsia="Times New Roman" w:cs="Arial"/>
          <w:color w:val="000000"/>
          <w:lang w:eastAsia="bg-BG"/>
        </w:rPr>
        <w:t>При пациенти с обструкция на изходния тракт на лявата камера АСЕ инхибиторите трябва да се употребяват с повишено внимание.</w:t>
      </w:r>
    </w:p>
    <w:p w14:paraId="40189BD0" w14:textId="77777777" w:rsidR="00233E30" w:rsidRPr="00233E30" w:rsidRDefault="00233E30" w:rsidP="00233E30">
      <w:pPr>
        <w:spacing w:line="240" w:lineRule="auto"/>
        <w:rPr>
          <w:rFonts w:eastAsia="Times New Roman" w:cs="Arial"/>
          <w:i/>
          <w:iCs/>
          <w:color w:val="000000"/>
          <w:lang w:eastAsia="bg-BG"/>
        </w:rPr>
      </w:pPr>
    </w:p>
    <w:p w14:paraId="01A6DE20" w14:textId="4A51D30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Чернодробна недостатъчност</w:t>
      </w:r>
    </w:p>
    <w:p w14:paraId="79A42207"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Рядко АСЕ 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При пациенти, получаващи АСЕ инхибитори, които развият жълтеница или изразено повишаване на чернодробните ензими, АСЕ инхибиторът трябва да бъде спрян и да се проведе подходящо медицинско наблюдение (вж. точка 4.8).</w:t>
      </w:r>
    </w:p>
    <w:p w14:paraId="7BFA3F0D" w14:textId="77777777" w:rsidR="00233E30" w:rsidRPr="00233E30" w:rsidRDefault="00233E30" w:rsidP="00233E30">
      <w:pPr>
        <w:spacing w:line="240" w:lineRule="auto"/>
        <w:rPr>
          <w:rFonts w:eastAsia="Times New Roman" w:cs="Arial"/>
          <w:i/>
          <w:iCs/>
          <w:color w:val="000000"/>
          <w:lang w:eastAsia="bg-BG"/>
        </w:rPr>
      </w:pPr>
    </w:p>
    <w:p w14:paraId="28BA4D6C" w14:textId="1B6139FC"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Хиперкалиемия</w:t>
      </w:r>
    </w:p>
    <w:p w14:paraId="0E38F663"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Този ефект обикновено не е от значение при пациенти с нормална бъбречна функция. Пациентите с риск от развитие на хиперкалиемия включват такива с бъбречна недостатъчност, влошаване на бъбречната функция, напреднала възраст (&gt; 70 години), неконтролиран захарен диабет, интеркурентни събития, по-</w:t>
      </w:r>
      <w:r w:rsidRPr="00233E30">
        <w:rPr>
          <w:rFonts w:eastAsia="Times New Roman" w:cs="Arial"/>
          <w:color w:val="000000"/>
          <w:lang w:eastAsia="bg-BG"/>
        </w:rPr>
        <w:lastRenderedPageBreak/>
        <w:t xml:space="preserve">специално дехидратиране, остра сърдечна декомпенсация и метаболитна ацидоза или такива, употребяващи едновременно калий-съхраняващи диуретици (например спиронолактон, еплеренон, триамтерен или амилорид), калиеви добавки или заместители на солта, съдържащи калий, както и болни, лекувани с други лекарства, свързани с повишение на серумния калий (напр. хепарин,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ацетилсалицилова киселина ≥ 3 </w:t>
      </w:r>
      <w:r w:rsidRPr="00233E30">
        <w:rPr>
          <w:rFonts w:eastAsia="Times New Roman" w:cs="Arial"/>
          <w:color w:val="000000"/>
          <w:lang w:val="en-US"/>
        </w:rPr>
        <w:t>g</w:t>
      </w:r>
      <w:r w:rsidRPr="00233E30">
        <w:rPr>
          <w:rFonts w:eastAsia="Times New Roman" w:cs="Arial"/>
          <w:color w:val="000000"/>
          <w:lang w:eastAsia="bg-BG"/>
        </w:rPr>
        <w:t>/ден, СОХ-2 инхибитори и неселективни НСПВС, имуносупресори като циклоспорин или такролимус. Употребата на калиеви добавки, калий-съхраняващи диуретици или заместители на солта, съдържащи калий, особено при пациенти с нарушена бъбречна функция, може да доведе до значително повишаване на серумния калий.</w:t>
      </w:r>
    </w:p>
    <w:p w14:paraId="3A50F8C0"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Хиперкалиемията може да причини сериозни, понякога фатални аритмии. Калий- съхраняващите диуретици, ангиотензин-рецепторните блокери и гореспоменатите лекарствени средства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02C27E3D" w14:textId="77777777" w:rsidR="00233E30" w:rsidRPr="00233E30" w:rsidRDefault="00233E30" w:rsidP="00233E30">
      <w:pPr>
        <w:spacing w:line="240" w:lineRule="auto"/>
        <w:rPr>
          <w:rFonts w:eastAsia="Times New Roman" w:cs="Arial"/>
          <w:i/>
          <w:iCs/>
          <w:color w:val="000000"/>
          <w:u w:val="single"/>
          <w:lang w:eastAsia="bg-BG"/>
        </w:rPr>
      </w:pPr>
    </w:p>
    <w:p w14:paraId="4F63ADD9" w14:textId="26A428EB"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u w:val="single"/>
          <w:lang w:eastAsia="bg-BG"/>
        </w:rPr>
        <w:t>Свързани с индапамид:</w:t>
      </w:r>
    </w:p>
    <w:p w14:paraId="7600CDA2" w14:textId="77777777" w:rsidR="00233E30" w:rsidRPr="00233E30" w:rsidRDefault="00233E30" w:rsidP="00233E30">
      <w:pPr>
        <w:spacing w:line="240" w:lineRule="auto"/>
        <w:rPr>
          <w:rFonts w:eastAsia="Times New Roman" w:cs="Arial"/>
          <w:i/>
          <w:iCs/>
          <w:color w:val="000000"/>
          <w:lang w:eastAsia="bg-BG"/>
        </w:rPr>
      </w:pPr>
    </w:p>
    <w:p w14:paraId="3E113E57" w14:textId="7A71ACD8"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Водно-електролитен баланс:</w:t>
      </w:r>
    </w:p>
    <w:p w14:paraId="369167A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натрий</w:t>
      </w:r>
    </w:p>
    <w:p w14:paraId="03420F3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Трябва да се изследва преди започване на лечението, а след това подлежи на редовен контрол. 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напреднала възраст и при такива с цироза (вж. точка 4.8 и 4.9).</w:t>
      </w:r>
    </w:p>
    <w:p w14:paraId="184D940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Хипонатриемията с хиповолемия може да е причина за дехидратация и ортостатична</w:t>
      </w:r>
      <w:r w:rsidRPr="00233E30">
        <w:rPr>
          <w:rFonts w:eastAsia="Times New Roman" w:cs="Arial"/>
          <w:color w:val="000000"/>
          <w:u w:val="single"/>
          <w:lang w:eastAsia="bg-BG"/>
        </w:rPr>
        <w:t xml:space="preserve"> </w:t>
      </w:r>
      <w:r w:rsidRPr="00233E30">
        <w:rPr>
          <w:rFonts w:eastAsia="Times New Roman" w:cs="Arial"/>
          <w:color w:val="000000"/>
          <w:lang w:eastAsia="bg-BG"/>
        </w:rPr>
        <w:t>хипотония. Съпътстващата загуба на хлорни йони може да доведе до вторична комренсаторна метаболитна алкалоза: честотата и степента на този ефект са леки.</w:t>
      </w:r>
    </w:p>
    <w:p w14:paraId="2FDBB952" w14:textId="77777777" w:rsidR="00233E30" w:rsidRPr="00233E30" w:rsidRDefault="00233E30" w:rsidP="00233E30">
      <w:pPr>
        <w:rPr>
          <w:rFonts w:eastAsia="Times New Roman" w:cs="Arial"/>
          <w:i/>
          <w:iCs/>
          <w:color w:val="000000"/>
          <w:lang w:eastAsia="bg-BG"/>
        </w:rPr>
      </w:pPr>
    </w:p>
    <w:p w14:paraId="5DE647F8" w14:textId="17DDB7AA" w:rsidR="00233E30" w:rsidRPr="00233E30" w:rsidRDefault="00233E30" w:rsidP="00233E30">
      <w:pPr>
        <w:rPr>
          <w:rFonts w:cs="Arial"/>
        </w:rPr>
      </w:pPr>
      <w:r w:rsidRPr="00233E30">
        <w:rPr>
          <w:rFonts w:eastAsia="Times New Roman" w:cs="Arial"/>
          <w:i/>
          <w:iCs/>
          <w:color w:val="000000"/>
          <w:lang w:eastAsia="bg-BG"/>
        </w:rPr>
        <w:t>Серумен калий</w:t>
      </w:r>
    </w:p>
    <w:p w14:paraId="5B88943C"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Голям риск при лечение с тиазидни диуретици и техните аналози е загубата на калий и хипокалиемията. Хипокалиемията може да причини мускулни нарушения. Съобщавани са случаи на рабдомиолиза, главно в контекста на тежка хипокалиемия. Рискът от поява на понижени стойности на серумния калий (&lt;3,4 </w:t>
      </w:r>
      <w:proofErr w:type="spellStart"/>
      <w:r w:rsidRPr="00233E30">
        <w:rPr>
          <w:rFonts w:eastAsia="Times New Roman" w:cs="Arial"/>
          <w:color w:val="000000"/>
          <w:lang w:val="en-US"/>
        </w:rPr>
        <w:t>mmol</w:t>
      </w:r>
      <w:proofErr w:type="spellEnd"/>
      <w:r w:rsidRPr="00233E30">
        <w:rPr>
          <w:rFonts w:eastAsia="Times New Roman" w:cs="Arial"/>
          <w:color w:val="000000"/>
          <w:lang w:val="en-US"/>
        </w:rPr>
        <w:t>/l</w:t>
      </w:r>
      <w:r w:rsidRPr="00233E30">
        <w:rPr>
          <w:rFonts w:eastAsia="Times New Roman" w:cs="Arial"/>
          <w:color w:val="000000"/>
          <w:lang w:eastAsia="bg-BG"/>
        </w:rPr>
        <w:t>) трябва да се предотвратява при високорискови групи пациенти, като тези в напреднала възраст и/или с недохранване, независимо дали получават повече от едно лекарствено средство, пациенти с цироза с отоци и асцит, коронарно болни и пациенти със сърдечна недостатъчност.</w:t>
      </w:r>
    </w:p>
    <w:p w14:paraId="21AB9F1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такива случаи хипокалиемията повишава миокардната токсичност на сърдечните гликозиди и риска от ритъмни нарушения. Рискови са и пациенти с удължен </w:t>
      </w:r>
      <w:r w:rsidRPr="00233E30">
        <w:rPr>
          <w:rFonts w:eastAsia="Times New Roman" w:cs="Arial"/>
          <w:color w:val="000000"/>
          <w:lang w:val="en-US"/>
        </w:rPr>
        <w:t xml:space="preserve">QT </w:t>
      </w:r>
      <w:r w:rsidRPr="00233E30">
        <w:rPr>
          <w:rFonts w:eastAsia="Times New Roman" w:cs="Arial"/>
          <w:color w:val="00000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ритьмни нарушения, особено на </w:t>
      </w:r>
      <w:proofErr w:type="spellStart"/>
      <w:r w:rsidRPr="00233E30">
        <w:rPr>
          <w:rFonts w:eastAsia="Times New Roman" w:cs="Arial"/>
          <w:color w:val="000000"/>
          <w:lang w:val="en-US"/>
        </w:rPr>
        <w:t>torsades</w:t>
      </w:r>
      <w:proofErr w:type="spellEnd"/>
      <w:r w:rsidRPr="00233E30">
        <w:rPr>
          <w:rFonts w:eastAsia="Times New Roman" w:cs="Arial"/>
          <w:color w:val="000000"/>
          <w:lang w:val="en-US"/>
        </w:rPr>
        <w:t xml:space="preserve"> de pointes, </w:t>
      </w:r>
      <w:r w:rsidRPr="00233E30">
        <w:rPr>
          <w:rFonts w:eastAsia="Times New Roman" w:cs="Arial"/>
          <w:color w:val="000000"/>
          <w:lang w:eastAsia="bg-BG"/>
        </w:rPr>
        <w:t>които могат за бъдат фатални.</w:t>
      </w:r>
    </w:p>
    <w:p w14:paraId="5002C7F0"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всички посочени случаи е необходимо по-често проследяване на стойностите на серумния калий.</w:t>
      </w:r>
    </w:p>
    <w:p w14:paraId="15BD1DD4"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Първото изследване на серумния калий следва да се извърши през първата седмица след началото на лечението.</w:t>
      </w:r>
    </w:p>
    <w:p w14:paraId="132E071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Ако се установят ниски стойности на калия, те трябва да бъдат коригирани. Хипокалиемия, установена заедно с ниска серумна концентрация на магнезий, може да не се повлияе от лечението, освен ако серумният магнезий не бъде коригиран.</w:t>
      </w:r>
    </w:p>
    <w:p w14:paraId="155CF31A" w14:textId="77777777" w:rsidR="00233E30" w:rsidRPr="00233E30" w:rsidRDefault="00233E30" w:rsidP="00233E30">
      <w:pPr>
        <w:spacing w:line="240" w:lineRule="auto"/>
        <w:rPr>
          <w:rFonts w:eastAsia="Times New Roman" w:cs="Arial"/>
          <w:i/>
          <w:iCs/>
          <w:color w:val="000000"/>
          <w:lang w:eastAsia="bg-BG"/>
        </w:rPr>
      </w:pPr>
    </w:p>
    <w:p w14:paraId="67D3A6BE" w14:textId="666A416D"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lastRenderedPageBreak/>
        <w:t>Серумен магнезий</w:t>
      </w:r>
    </w:p>
    <w:p w14:paraId="3DB0C49B"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Доказано е, че тиазидите и техните аналози, включително индапамид, повишават екскрецията на магнезий с урината, което може да доведе до хипомагнезиемия (вж.точки 4.5 и 4.8).</w:t>
      </w:r>
    </w:p>
    <w:p w14:paraId="1C1D3065" w14:textId="77777777" w:rsidR="00233E30" w:rsidRPr="00233E30" w:rsidRDefault="00233E30" w:rsidP="00233E30">
      <w:pPr>
        <w:spacing w:line="240" w:lineRule="auto"/>
        <w:rPr>
          <w:rFonts w:eastAsia="Times New Roman" w:cs="Arial"/>
          <w:i/>
          <w:iCs/>
          <w:color w:val="000000"/>
          <w:lang w:eastAsia="bg-BG"/>
        </w:rPr>
      </w:pPr>
    </w:p>
    <w:p w14:paraId="41733245" w14:textId="29E6F3A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калций</w:t>
      </w:r>
    </w:p>
    <w:p w14:paraId="7B5C513D" w14:textId="34014EE2" w:rsidR="00233E30" w:rsidRPr="00233E30" w:rsidRDefault="00233E30" w:rsidP="00233E30">
      <w:pPr>
        <w:spacing w:line="240" w:lineRule="auto"/>
        <w:rPr>
          <w:rFonts w:eastAsia="Times New Roman" w:cs="Arial"/>
          <w:color w:val="000000"/>
          <w:lang w:eastAsia="bg-BG"/>
        </w:rPr>
      </w:pPr>
      <w:r w:rsidRPr="00233E30">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 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6815068A" w14:textId="77777777" w:rsidR="00233E30" w:rsidRPr="00233E30" w:rsidRDefault="00233E30" w:rsidP="00233E30">
      <w:pPr>
        <w:spacing w:line="240" w:lineRule="auto"/>
        <w:rPr>
          <w:rFonts w:eastAsia="Times New Roman" w:cs="Arial"/>
          <w:i/>
          <w:iCs/>
          <w:color w:val="000000"/>
          <w:lang w:eastAsia="bg-BG"/>
        </w:rPr>
      </w:pPr>
    </w:p>
    <w:p w14:paraId="1FA578A3" w14:textId="313C0EEA"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Кръвна захар</w:t>
      </w:r>
    </w:p>
    <w:p w14:paraId="2A11D93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Контролът на кръвната захар е важен при диабетици, особено при наличие на хипокалиемия.</w:t>
      </w:r>
    </w:p>
    <w:p w14:paraId="2BC0DBF2" w14:textId="77777777" w:rsidR="00233E30" w:rsidRPr="00233E30" w:rsidRDefault="00233E30" w:rsidP="00233E30">
      <w:pPr>
        <w:spacing w:line="240" w:lineRule="auto"/>
        <w:rPr>
          <w:rFonts w:eastAsia="Times New Roman" w:cs="Arial"/>
          <w:i/>
          <w:iCs/>
          <w:color w:val="000000"/>
          <w:lang w:eastAsia="bg-BG"/>
        </w:rPr>
      </w:pPr>
    </w:p>
    <w:p w14:paraId="09C6B7D9" w14:textId="09A8CCAE"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Пикочна киселина</w:t>
      </w:r>
    </w:p>
    <w:p w14:paraId="2787C16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пациенти с хиперурикемия може да се повиши рискът от подагрозни пристъпи.</w:t>
      </w:r>
    </w:p>
    <w:p w14:paraId="64313EE6" w14:textId="77777777" w:rsidR="00233E30" w:rsidRPr="00233E30" w:rsidRDefault="00233E30" w:rsidP="00233E30">
      <w:pPr>
        <w:spacing w:line="240" w:lineRule="auto"/>
        <w:rPr>
          <w:rFonts w:eastAsia="Times New Roman" w:cs="Arial"/>
          <w:i/>
          <w:iCs/>
          <w:color w:val="000000"/>
          <w:lang w:eastAsia="bg-BG"/>
        </w:rPr>
      </w:pPr>
    </w:p>
    <w:p w14:paraId="1E13170F" w14:textId="20C29740"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Бъбречна функция и диуретици:</w:t>
      </w:r>
    </w:p>
    <w:p w14:paraId="5D686C58"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233E30">
        <w:rPr>
          <w:rFonts w:eastAsia="Times New Roman" w:cs="Arial"/>
          <w:color w:val="000000"/>
          <w:lang w:val="en-US"/>
        </w:rPr>
        <w:t xml:space="preserve">mg/l, </w:t>
      </w:r>
      <w:r w:rsidRPr="00233E30">
        <w:rPr>
          <w:rFonts w:eastAsia="Times New Roman" w:cs="Arial"/>
          <w:color w:val="000000"/>
          <w:lang w:eastAsia="bg-BG"/>
        </w:rPr>
        <w:t>т.е. 220 μ</w:t>
      </w:r>
      <w:proofErr w:type="spellStart"/>
      <w:r w:rsidRPr="00233E30">
        <w:rPr>
          <w:rFonts w:eastAsia="Times New Roman" w:cs="Arial"/>
          <w:color w:val="000000"/>
          <w:lang w:val="en-US"/>
        </w:rPr>
        <w:t>mol</w:t>
      </w:r>
      <w:proofErr w:type="spellEnd"/>
      <w:r w:rsidRPr="00233E30">
        <w:rPr>
          <w:rFonts w:eastAsia="Times New Roman" w:cs="Arial"/>
          <w:color w:val="000000"/>
          <w:lang w:val="en-US"/>
        </w:rPr>
        <w:t xml:space="preserve">/l </w:t>
      </w:r>
      <w:r w:rsidRPr="00233E30">
        <w:rPr>
          <w:rFonts w:eastAsia="Times New Roman" w:cs="Arial"/>
          <w:color w:val="000000"/>
          <w:lang w:eastAsia="bg-BG"/>
        </w:rPr>
        <w:t xml:space="preserve">за възрастни). При пациенти в старческа възраст стойностите на серумния креатинин трябва да бъдат коригирани според възрастта, телесното тегло и половата принадлежност на пациента по формулата на </w:t>
      </w:r>
      <w:proofErr w:type="spellStart"/>
      <w:r w:rsidRPr="00233E30">
        <w:rPr>
          <w:rFonts w:eastAsia="Times New Roman" w:cs="Arial"/>
          <w:color w:val="000000"/>
          <w:lang w:val="en-US"/>
        </w:rPr>
        <w:t>Cockroft</w:t>
      </w:r>
      <w:proofErr w:type="spellEnd"/>
      <w:r w:rsidRPr="00233E30">
        <w:rPr>
          <w:rFonts w:eastAsia="Times New Roman" w:cs="Arial"/>
          <w:color w:val="000000"/>
          <w:lang w:val="en-US"/>
        </w:rPr>
        <w:t>:</w:t>
      </w:r>
    </w:p>
    <w:p w14:paraId="4D76792D" w14:textId="77777777" w:rsidR="00233E30" w:rsidRPr="00233E30" w:rsidRDefault="00233E30" w:rsidP="00233E30">
      <w:pPr>
        <w:spacing w:line="240" w:lineRule="auto"/>
        <w:rPr>
          <w:rFonts w:eastAsia="Times New Roman" w:cs="Arial"/>
          <w:color w:val="000000"/>
          <w:lang w:val="en-US"/>
        </w:rPr>
      </w:pPr>
    </w:p>
    <w:p w14:paraId="0A115A44" w14:textId="5046F6CA" w:rsidR="00233E30" w:rsidRPr="00233E30" w:rsidRDefault="00233E30" w:rsidP="00233E30">
      <w:pPr>
        <w:spacing w:line="240" w:lineRule="auto"/>
        <w:rPr>
          <w:rFonts w:eastAsia="Times New Roman" w:cs="Arial"/>
          <w:sz w:val="24"/>
          <w:szCs w:val="24"/>
          <w:lang w:eastAsia="bg-BG"/>
        </w:rPr>
      </w:pPr>
      <w:proofErr w:type="spellStart"/>
      <w:proofErr w:type="gramStart"/>
      <w:r w:rsidRPr="00233E30">
        <w:rPr>
          <w:rFonts w:eastAsia="Times New Roman" w:cs="Arial"/>
          <w:color w:val="000000"/>
          <w:lang w:val="en-US"/>
        </w:rPr>
        <w:t>cl</w:t>
      </w:r>
      <w:r w:rsidRPr="00233E30">
        <w:rPr>
          <w:rFonts w:eastAsia="Times New Roman" w:cs="Arial"/>
          <w:color w:val="000000"/>
          <w:vertAlign w:val="subscript"/>
          <w:lang w:val="en-US"/>
        </w:rPr>
        <w:t>cr</w:t>
      </w:r>
      <w:proofErr w:type="spellEnd"/>
      <w:proofErr w:type="gramEnd"/>
      <w:r w:rsidRPr="00233E30">
        <w:rPr>
          <w:rFonts w:eastAsia="Times New Roman" w:cs="Arial"/>
          <w:color w:val="000000"/>
          <w:lang w:val="en-US"/>
        </w:rPr>
        <w:t xml:space="preserve"> </w:t>
      </w:r>
      <w:r w:rsidRPr="00233E30">
        <w:rPr>
          <w:rFonts w:eastAsia="Times New Roman" w:cs="Arial"/>
          <w:color w:val="000000"/>
          <w:lang w:eastAsia="bg-BG"/>
        </w:rPr>
        <w:t>= (140 - възраст) х телесно тегло / 0,814 х серумен креатинин</w:t>
      </w:r>
    </w:p>
    <w:p w14:paraId="69FC9D88" w14:textId="77777777" w:rsidR="00233E30" w:rsidRPr="00233E30" w:rsidRDefault="00233E30" w:rsidP="00233E30">
      <w:pPr>
        <w:spacing w:line="240" w:lineRule="auto"/>
        <w:rPr>
          <w:rFonts w:eastAsia="Times New Roman" w:cs="Arial"/>
          <w:color w:val="000000"/>
          <w:lang w:eastAsia="bg-BG"/>
        </w:rPr>
      </w:pPr>
    </w:p>
    <w:p w14:paraId="6B702430" w14:textId="77777777" w:rsidR="00233E30" w:rsidRPr="00233E30" w:rsidRDefault="00233E30" w:rsidP="00233E30">
      <w:pPr>
        <w:spacing w:line="240" w:lineRule="auto"/>
        <w:rPr>
          <w:rFonts w:eastAsia="Times New Roman" w:cs="Arial"/>
          <w:color w:val="000000"/>
          <w:lang w:eastAsia="bg-BG"/>
        </w:rPr>
      </w:pPr>
      <w:r w:rsidRPr="00233E30">
        <w:rPr>
          <w:rFonts w:eastAsia="Times New Roman" w:cs="Arial"/>
          <w:color w:val="000000"/>
          <w:lang w:eastAsia="bg-BG"/>
        </w:rPr>
        <w:t xml:space="preserve">където: възрастта е изразена в години </w:t>
      </w:r>
    </w:p>
    <w:p w14:paraId="6F1CFBE2" w14:textId="4AE53CFA" w:rsidR="00233E30" w:rsidRPr="00233E30" w:rsidRDefault="00233E30" w:rsidP="00233E30">
      <w:pPr>
        <w:spacing w:line="240" w:lineRule="auto"/>
        <w:rPr>
          <w:rFonts w:eastAsia="Times New Roman" w:cs="Arial"/>
          <w:color w:val="000000"/>
          <w:lang w:val="en-US"/>
        </w:rPr>
      </w:pPr>
      <w:r w:rsidRPr="00233E30">
        <w:rPr>
          <w:rFonts w:eastAsia="Times New Roman" w:cs="Arial"/>
          <w:color w:val="000000"/>
          <w:lang w:eastAsia="bg-BG"/>
        </w:rPr>
        <w:t xml:space="preserve">              телесното тегло - в </w:t>
      </w:r>
      <w:r w:rsidRPr="00233E30">
        <w:rPr>
          <w:rFonts w:eastAsia="Times New Roman" w:cs="Arial"/>
          <w:color w:val="000000"/>
          <w:lang w:val="en-US"/>
        </w:rPr>
        <w:t xml:space="preserve">kg </w:t>
      </w:r>
    </w:p>
    <w:p w14:paraId="56C0A490" w14:textId="5B939214"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              серумният креатинин - в </w:t>
      </w:r>
      <w:proofErr w:type="spellStart"/>
      <w:r w:rsidRPr="00233E30">
        <w:rPr>
          <w:rFonts w:eastAsia="Times New Roman" w:cs="Arial"/>
          <w:color w:val="000000"/>
          <w:lang w:val="en-US"/>
        </w:rPr>
        <w:t>micromol</w:t>
      </w:r>
      <w:proofErr w:type="spellEnd"/>
      <w:r w:rsidRPr="00233E30">
        <w:rPr>
          <w:rFonts w:eastAsia="Times New Roman" w:cs="Arial"/>
          <w:color w:val="000000"/>
          <w:lang w:val="en-US"/>
        </w:rPr>
        <w:t>/l</w:t>
      </w:r>
    </w:p>
    <w:p w14:paraId="40250B4F" w14:textId="77777777" w:rsidR="00233E30" w:rsidRPr="00233E30" w:rsidRDefault="00233E30" w:rsidP="00233E30">
      <w:pPr>
        <w:spacing w:line="240" w:lineRule="auto"/>
        <w:rPr>
          <w:rFonts w:eastAsia="Times New Roman" w:cs="Arial"/>
          <w:color w:val="000000"/>
          <w:lang w:eastAsia="bg-BG"/>
        </w:rPr>
      </w:pPr>
    </w:p>
    <w:p w14:paraId="37761B8E" w14:textId="1B344AC4"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Тази формула е подходяща за мъже в старческа възраст и трябва да бъде адаптирана за жени чрез умножаване на получения резултат х 0,185.</w:t>
      </w:r>
    </w:p>
    <w:p w14:paraId="06600A7A" w14:textId="77777777" w:rsidR="00233E30" w:rsidRPr="00233E30" w:rsidRDefault="00233E30" w:rsidP="00233E30">
      <w:pPr>
        <w:rPr>
          <w:rFonts w:eastAsia="Times New Roman" w:cs="Arial"/>
          <w:color w:val="000000"/>
          <w:lang w:eastAsia="bg-BG"/>
        </w:rPr>
      </w:pPr>
    </w:p>
    <w:p w14:paraId="17343873" w14:textId="77777777" w:rsidR="00233E30" w:rsidRPr="00233E30" w:rsidRDefault="00233E30" w:rsidP="00233E30">
      <w:pPr>
        <w:rPr>
          <w:rFonts w:eastAsia="Times New Roman" w:cs="Arial"/>
          <w:sz w:val="24"/>
          <w:szCs w:val="24"/>
          <w:lang w:eastAsia="bg-BG"/>
        </w:rPr>
      </w:pPr>
      <w:r w:rsidRPr="00233E30">
        <w:rPr>
          <w:rFonts w:eastAsia="Times New Roman" w:cs="Arial"/>
          <w:color w:val="00000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науреята и креатинина. Тази преходна функционална бъбречна недостатъчност</w:t>
      </w:r>
      <w:r>
        <w:rPr>
          <w:rFonts w:ascii="Times New Roman" w:eastAsia="Times New Roman" w:hAnsi="Times New Roman" w:cs="Times New Roman"/>
          <w:color w:val="000000"/>
          <w:lang w:eastAsia="bg-BG"/>
        </w:rPr>
        <w:t xml:space="preserve"> </w:t>
      </w:r>
      <w:r w:rsidRPr="00233E30">
        <w:rPr>
          <w:rFonts w:eastAsia="Times New Roman" w:cs="Arial"/>
          <w:color w:val="000000"/>
          <w:lang w:eastAsia="bg-BG"/>
        </w:rPr>
        <w:t>не води до нежелани последствия при пациенти с нормална бъбречна функция, но може да влоши съществуваща бъбречна недостатъчност.</w:t>
      </w:r>
    </w:p>
    <w:p w14:paraId="1119964B" w14:textId="77777777" w:rsidR="00233E30" w:rsidRPr="00233E30" w:rsidRDefault="00233E30" w:rsidP="00233E30">
      <w:pPr>
        <w:spacing w:line="240" w:lineRule="auto"/>
        <w:rPr>
          <w:rFonts w:eastAsia="Times New Roman" w:cs="Arial"/>
          <w:i/>
          <w:iCs/>
          <w:color w:val="000000"/>
          <w:lang w:eastAsia="bg-BG"/>
        </w:rPr>
      </w:pPr>
    </w:p>
    <w:p w14:paraId="496654F7" w14:textId="4EF7BCFA"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Спортисти</w:t>
      </w:r>
    </w:p>
    <w:p w14:paraId="75D6629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Спортистите трябва да знаят, че този продукт съдържа активно вещество, което може да доведе до положителна допинг-проба.</w:t>
      </w:r>
    </w:p>
    <w:p w14:paraId="3D4F29DC" w14:textId="77777777" w:rsidR="00233E30" w:rsidRPr="00233E30" w:rsidRDefault="00233E30" w:rsidP="00233E30">
      <w:pPr>
        <w:rPr>
          <w:rFonts w:eastAsia="Times New Roman" w:cs="Arial"/>
          <w:i/>
          <w:iCs/>
          <w:color w:val="000000"/>
          <w:lang w:eastAsia="bg-BG"/>
        </w:rPr>
      </w:pPr>
    </w:p>
    <w:p w14:paraId="62EF7BF1" w14:textId="7B5B75B6" w:rsidR="00233E30" w:rsidRDefault="00233E30" w:rsidP="00233E30">
      <w:pPr>
        <w:rPr>
          <w:rFonts w:eastAsia="Times New Roman" w:cs="Arial"/>
          <w:color w:val="000000"/>
          <w:lang w:eastAsia="bg-BG"/>
        </w:rPr>
      </w:pPr>
      <w:r w:rsidRPr="00233E30">
        <w:rPr>
          <w:rFonts w:eastAsia="Times New Roman" w:cs="Arial"/>
          <w:i/>
          <w:iCs/>
          <w:color w:val="000000"/>
          <w:lang w:eastAsia="bg-BG"/>
        </w:rPr>
        <w:t xml:space="preserve">Хороидален излив, остра миопия и вторична закритоъгълна глаукома </w:t>
      </w:r>
      <w:r w:rsidRPr="00233E30">
        <w:rPr>
          <w:rFonts w:eastAsia="Times New Roman" w:cs="Arial"/>
          <w:color w:val="000000"/>
          <w:lang w:eastAsia="bg-BG"/>
        </w:rPr>
        <w:t xml:space="preserve">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 началото остро понижение на </w:t>
      </w:r>
      <w:r w:rsidRPr="00233E30">
        <w:rPr>
          <w:rFonts w:eastAsia="Times New Roman" w:cs="Arial"/>
          <w:color w:val="000000"/>
          <w:lang w:eastAsia="bg-BG"/>
        </w:rPr>
        <w:lastRenderedPageBreak/>
        <w:t>зрителната острота или очна болка, и обикновено се появяват в рамките на часове до седмици от началото на лечението. Нелекуваната остра закритоъгълна глаукома може да доведе до трайна загуба на зрението. Първоначалното лечение е да се спре на приема на лекарството възможно най-бързо.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7EBFC9B7" w14:textId="77777777" w:rsidR="00233E30" w:rsidRPr="00233E30" w:rsidRDefault="00233E30" w:rsidP="00233E30">
      <w:pPr>
        <w:rPr>
          <w:rFonts w:cs="Arial"/>
        </w:rPr>
      </w:pPr>
    </w:p>
    <w:p w14:paraId="619DED1E" w14:textId="1EAA6266"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98DB2B5" w14:textId="1C0D8074" w:rsidR="00233E30" w:rsidRDefault="00233E30" w:rsidP="00233E30"/>
    <w:p w14:paraId="3E8EEEBA"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u w:val="single"/>
          <w:lang w:eastAsia="bg-BG"/>
        </w:rPr>
        <w:t>Общи за периндоприл и индапамид:</w:t>
      </w:r>
    </w:p>
    <w:p w14:paraId="496AF224" w14:textId="77777777" w:rsidR="00506E64" w:rsidRPr="00506E64" w:rsidRDefault="00506E64" w:rsidP="00506E64">
      <w:pPr>
        <w:spacing w:line="240" w:lineRule="auto"/>
        <w:rPr>
          <w:rFonts w:eastAsia="Times New Roman" w:cs="Arial"/>
          <w:i/>
          <w:iCs/>
          <w:color w:val="000000"/>
          <w:lang w:eastAsia="bg-BG"/>
        </w:rPr>
      </w:pPr>
    </w:p>
    <w:p w14:paraId="0C693A5A" w14:textId="3C88066A"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не се препоръчват</w:t>
      </w:r>
    </w:p>
    <w:p w14:paraId="3BF04DEF" w14:textId="77777777" w:rsidR="00506E64" w:rsidRPr="00506E64" w:rsidRDefault="00506E64" w:rsidP="006E6807">
      <w:pPr>
        <w:pStyle w:val="ListParagraph"/>
        <w:numPr>
          <w:ilvl w:val="0"/>
          <w:numId w:val="8"/>
        </w:numPr>
        <w:spacing w:line="240" w:lineRule="auto"/>
        <w:rPr>
          <w:rFonts w:eastAsia="Times New Roman" w:cs="Arial"/>
          <w:sz w:val="24"/>
          <w:szCs w:val="24"/>
          <w:lang w:eastAsia="bg-BG"/>
        </w:rPr>
      </w:pPr>
      <w:r w:rsidRPr="00506E64">
        <w:rPr>
          <w:rFonts w:eastAsia="Times New Roman" w:cs="Arial"/>
          <w:color w:val="000000"/>
          <w:lang w:eastAsia="bg-BG"/>
        </w:rPr>
        <w:t>Литий: по време на едновременно приложение на литиеви препарати и АСЕ инхибитори се наблюдава обратимо повишение на литиевите концентрации и токсични реакции.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78750685" w14:textId="77777777" w:rsidR="00506E64" w:rsidRPr="00506E64" w:rsidRDefault="00506E64" w:rsidP="00506E64">
      <w:pPr>
        <w:spacing w:line="240" w:lineRule="auto"/>
        <w:rPr>
          <w:rFonts w:eastAsia="Times New Roman" w:cs="Arial"/>
          <w:i/>
          <w:iCs/>
          <w:color w:val="000000"/>
          <w:lang w:eastAsia="bg-BG"/>
        </w:rPr>
      </w:pPr>
    </w:p>
    <w:p w14:paraId="0CEAAF5B" w14:textId="499BC8D9"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изискващи специално внимание:</w:t>
      </w:r>
    </w:p>
    <w:p w14:paraId="2255EE42" w14:textId="77777777" w:rsidR="00506E64" w:rsidRPr="00506E64" w:rsidRDefault="00506E64" w:rsidP="006E6807">
      <w:pPr>
        <w:pStyle w:val="ListParagraph"/>
        <w:numPr>
          <w:ilvl w:val="0"/>
          <w:numId w:val="7"/>
        </w:numPr>
        <w:spacing w:line="240" w:lineRule="auto"/>
        <w:rPr>
          <w:rFonts w:eastAsia="Times New Roman" w:cs="Arial"/>
          <w:sz w:val="24"/>
          <w:szCs w:val="24"/>
          <w:lang w:eastAsia="bg-BG"/>
        </w:rPr>
      </w:pPr>
      <w:r w:rsidRPr="00506E64">
        <w:rPr>
          <w:rFonts w:eastAsia="Times New Roman" w:cs="Arial"/>
          <w:color w:val="000000"/>
          <w:lang w:eastAsia="bg-BG"/>
        </w:rPr>
        <w:t>Баклофен: Засилване на антихипертензивния ефект. Контролиране на кръвното налягане и при нужда корекция на дозата на антихипертензивното лекарство.</w:t>
      </w:r>
    </w:p>
    <w:p w14:paraId="55A2164B" w14:textId="77777777" w:rsidR="00506E64" w:rsidRPr="00506E64" w:rsidRDefault="00506E64" w:rsidP="006E6807">
      <w:pPr>
        <w:pStyle w:val="ListParagraph"/>
        <w:numPr>
          <w:ilvl w:val="0"/>
          <w:numId w:val="7"/>
        </w:numPr>
        <w:spacing w:line="240" w:lineRule="auto"/>
        <w:rPr>
          <w:rFonts w:eastAsia="Times New Roman" w:cs="Arial"/>
          <w:sz w:val="24"/>
          <w:szCs w:val="24"/>
          <w:lang w:eastAsia="bg-BG"/>
        </w:rPr>
      </w:pPr>
      <w:r w:rsidRPr="00506E64">
        <w:rPr>
          <w:rFonts w:eastAsia="Times New Roman" w:cs="Arial"/>
          <w:color w:val="000000"/>
          <w:lang w:eastAsia="bg-BG"/>
        </w:rPr>
        <w:t xml:space="preserve">Нестероидни противовъзпалителни лекарствени продукти (включително ацетилсалицилова киселина във високи дози): когато АСЕ инхибитори се прилагат едновременно с нестероидни противовъзпалителни лекарства (напр. ацетилсалицилова киселина ≥ 3 </w:t>
      </w:r>
      <w:r w:rsidRPr="00506E64">
        <w:rPr>
          <w:rFonts w:eastAsia="Times New Roman" w:cs="Arial"/>
          <w:color w:val="000000"/>
          <w:lang w:val="en-US"/>
        </w:rPr>
        <w:t>g</w:t>
      </w:r>
      <w:r w:rsidRPr="00506E64">
        <w:rPr>
          <w:rFonts w:eastAsia="Times New Roman" w:cs="Arial"/>
          <w:color w:val="000000"/>
          <w:lang w:eastAsia="bg-BG"/>
        </w:rPr>
        <w:t>/ден,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старческа възраст. Пациентите трябва да бъдат достатъчно хидратирани и трябва да се предвиди контролиране на бъбречната функция в началото на комбинираното лечение, а след това - периодично.</w:t>
      </w:r>
    </w:p>
    <w:p w14:paraId="5C692ACC" w14:textId="77777777" w:rsidR="00506E64" w:rsidRPr="00506E64" w:rsidRDefault="00506E64" w:rsidP="00506E64">
      <w:pPr>
        <w:spacing w:line="240" w:lineRule="auto"/>
        <w:rPr>
          <w:rFonts w:eastAsia="Times New Roman" w:cs="Arial"/>
          <w:i/>
          <w:iCs/>
          <w:color w:val="000000"/>
          <w:lang w:eastAsia="bg-BG"/>
        </w:rPr>
      </w:pPr>
    </w:p>
    <w:p w14:paraId="463E1D8D" w14:textId="1E3E705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изискват внимание:</w:t>
      </w:r>
    </w:p>
    <w:p w14:paraId="6F0A4FF5" w14:textId="77777777" w:rsidR="00506E64" w:rsidRPr="00506E64" w:rsidRDefault="00506E64" w:rsidP="006E6807">
      <w:pPr>
        <w:pStyle w:val="ListParagraph"/>
        <w:numPr>
          <w:ilvl w:val="0"/>
          <w:numId w:val="6"/>
        </w:numPr>
        <w:spacing w:line="240" w:lineRule="auto"/>
        <w:rPr>
          <w:rFonts w:eastAsia="Times New Roman" w:cs="Arial"/>
          <w:color w:val="000000"/>
          <w:lang w:eastAsia="bg-BG"/>
        </w:rPr>
      </w:pPr>
      <w:r w:rsidRPr="00506E64">
        <w:rPr>
          <w:rFonts w:eastAsia="Times New Roman" w:cs="Arial"/>
          <w:color w:val="000000"/>
          <w:lang w:eastAsia="bg-BG"/>
        </w:rPr>
        <w:t xml:space="preserve">Антидепресанти от имипраминовата група (трициклични), невролептици: Засилване на антихипертензивния ефект и повишен риск от ортостатична хипотония (адитивен ефект). </w:t>
      </w:r>
    </w:p>
    <w:p w14:paraId="5800900D" w14:textId="3FF682F2" w:rsidR="00506E64" w:rsidRPr="00506E64" w:rsidRDefault="00506E64" w:rsidP="006E6807">
      <w:pPr>
        <w:pStyle w:val="ListParagraph"/>
        <w:numPr>
          <w:ilvl w:val="0"/>
          <w:numId w:val="5"/>
        </w:numPr>
        <w:spacing w:line="240" w:lineRule="auto"/>
        <w:rPr>
          <w:rFonts w:eastAsia="Times New Roman" w:cs="Arial"/>
          <w:color w:val="000000"/>
          <w:lang w:eastAsia="bg-BG"/>
        </w:rPr>
      </w:pPr>
      <w:r w:rsidRPr="00506E64">
        <w:rPr>
          <w:rFonts w:eastAsia="Times New Roman" w:cs="Arial"/>
          <w:color w:val="000000"/>
          <w:lang w:eastAsia="bg-BG"/>
        </w:rPr>
        <w:t>Други антихипертензивни лекарства: употребата на други антихипертензивни лекарствени продукти с периндоприл/индапамид би могла да доведе до допълнителен</w:t>
      </w:r>
      <w:r w:rsidRPr="00506E64">
        <w:rPr>
          <w:rFonts w:eastAsia="Times New Roman" w:cs="Arial"/>
          <w:color w:val="000000"/>
          <w:u w:val="single"/>
          <w:lang w:eastAsia="bg-BG"/>
        </w:rPr>
        <w:t xml:space="preserve"> </w:t>
      </w:r>
      <w:r w:rsidRPr="00506E64">
        <w:rPr>
          <w:rFonts w:eastAsia="Times New Roman" w:cs="Arial"/>
          <w:color w:val="000000"/>
          <w:lang w:eastAsia="bg-BG"/>
        </w:rPr>
        <w:t>антихипертензивен ефект.</w:t>
      </w:r>
    </w:p>
    <w:p w14:paraId="4BCC4662" w14:textId="77777777" w:rsidR="00506E64" w:rsidRPr="00506E64" w:rsidRDefault="00506E64" w:rsidP="00506E64">
      <w:pPr>
        <w:spacing w:line="240" w:lineRule="auto"/>
        <w:rPr>
          <w:rFonts w:eastAsia="Times New Roman" w:cs="Arial"/>
          <w:i/>
          <w:iCs/>
          <w:color w:val="000000"/>
          <w:u w:val="single"/>
          <w:lang w:eastAsia="bg-BG"/>
        </w:rPr>
      </w:pPr>
    </w:p>
    <w:p w14:paraId="28A316CB" w14:textId="26D81C8E"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u w:val="single"/>
          <w:lang w:eastAsia="bg-BG"/>
        </w:rPr>
        <w:t>Свързани с периндоприл:</w:t>
      </w:r>
    </w:p>
    <w:p w14:paraId="15DEEEBD" w14:textId="77777777" w:rsidR="00506E64" w:rsidRPr="00506E64" w:rsidRDefault="00506E64" w:rsidP="00506E64">
      <w:pPr>
        <w:rPr>
          <w:rFonts w:eastAsia="Times New Roman" w:cs="Arial"/>
          <w:color w:val="000000"/>
          <w:lang w:eastAsia="bg-BG"/>
        </w:rPr>
      </w:pPr>
    </w:p>
    <w:p w14:paraId="012991D9" w14:textId="05827BAC" w:rsidR="00506E64" w:rsidRPr="00506E64" w:rsidRDefault="00506E64" w:rsidP="00506E64">
      <w:pPr>
        <w:rPr>
          <w:rFonts w:cs="Arial"/>
        </w:rPr>
      </w:pPr>
      <w:r w:rsidRPr="00506E64">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w:t>
      </w:r>
      <w:r>
        <w:rPr>
          <w:rFonts w:eastAsia="Times New Roman" w:cs="Arial"/>
          <w:color w:val="000000"/>
          <w:lang w:eastAsia="bg-BG"/>
        </w:rPr>
        <w:t xml:space="preserve">ната употреба на АСЕ инхибитория </w:t>
      </w:r>
      <w:r w:rsidRPr="00506E64">
        <w:rPr>
          <w:rFonts w:eastAsia="Times New Roman" w:cs="Arial"/>
          <w:color w:val="000000"/>
          <w:lang w:eastAsia="bg-BG"/>
        </w:rPr>
        <w:t xml:space="preserve">ангиотензин II-рецепторни блокери или алискирен се свързва с по-висока честота на </w:t>
      </w:r>
      <w:r w:rsidRPr="00506E64">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6B77DA24"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32CCF26C" w14:textId="2805396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Лекарства, предизвикващи хиперкалиемия</w:t>
      </w:r>
    </w:p>
    <w:p w14:paraId="7B7CE2BD"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Някои лекарства или терапевтични класове могат да повишат честотата на хиперкалиемия: алискирен, калиеви соли, калий-съхраняващи диуретици, АСЕ инхибитори, ангиотензин-II рецепторите антагонисти, нестероидни противовъзпалителни средства (НСПВС), хепарини, имуносупресивни средства като циклоспорин или такролимус, триметоприм. Комбинацията от тези лекарства увеличава риска от хиперкалиемия.</w:t>
      </w:r>
    </w:p>
    <w:p w14:paraId="2A6C8965"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01135946" w14:textId="6FF879FB"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са противопоказани (вж. точка 4.3):</w:t>
      </w:r>
    </w:p>
    <w:p w14:paraId="5E547DD0"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Алискирен:При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6A6B74EB"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Екстракорпорални лечения: Екстракорпорални лечения, водещи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3771574E"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Сакубитрил/валсартан: Съпътстващата употреба на АСЕ инхибитори със сакубитрил/валсартан е противопоказана, тъй като това повишава риска от ангиоедем (вж. точки 4.3 и 4.4).</w:t>
      </w:r>
    </w:p>
    <w:p w14:paraId="4304D098"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122F0F73" w14:textId="20DFC13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не се препоръчват</w:t>
      </w:r>
    </w:p>
    <w:p w14:paraId="32706686"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Алискирен: При пациентите без диабет или нарушена бъбречна функция се увеличава риска от хиперкалиемия, влошаване на бъбречната функция и сърдечносъдова заболеваемост и смъртност (вж. точка 4.4).</w:t>
      </w:r>
    </w:p>
    <w:p w14:paraId="1D1A01EA"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Комбинирано лечение с АСЕ инхибитор и ангиотензин-рецепторен блокер: 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цсързано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 ангиотензин-алдостерон - действащ агент. Двойното блокиране (напр. чрез комбиниране на АСЕ инхибитор с антагонист на ангиотензин-Н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w:t>
      </w:r>
    </w:p>
    <w:p w14:paraId="09C842AE"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Естрамустин: Повишен риск от нежелани реакции като ангионевротичен оток (ангиоедем).</w:t>
      </w:r>
    </w:p>
    <w:p w14:paraId="62B2CA6D"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 xml:space="preserve">Калий-съхраняващи диуретици (спиронолактон, триамтерен, самостоятелно или в комбинация), хранителни добавки, съдържащи калий или калий-съдържащи заместители на солта. АСЕ инхибиторите намаляват индуцираната от диуретици загуба на калий. Въпреки че серумният калий обикновено остава в рамките на нормалните граници, при някои пациенти, лекувани с периндоприл, може да </w:t>
      </w:r>
      <w:r w:rsidRPr="00506E64">
        <w:rPr>
          <w:rFonts w:eastAsia="Times New Roman" w:cs="Arial"/>
          <w:color w:val="000000"/>
          <w:lang w:eastAsia="bg-BG"/>
        </w:rPr>
        <w:lastRenderedPageBreak/>
        <w:t>възникне хиперкалиемия. Калий- съхраняващите диуретици, напр. спиронолактон, триамтерен или амилорид, калиевите добавки или калий-съдържащите заместители на готварската сол могат да доведат до значително (потенциално летално) нарастване на серумния калий. Трябва също да се</w:t>
      </w:r>
    </w:p>
    <w:p w14:paraId="000CA0CD"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внимава, когато периндоприл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w:t>
      </w:r>
    </w:p>
    <w:p w14:paraId="65E687E4" w14:textId="77777777" w:rsidR="00506E64" w:rsidRPr="00506E64" w:rsidRDefault="00506E64" w:rsidP="00506E64">
      <w:pPr>
        <w:rPr>
          <w:rFonts w:eastAsia="Times New Roman" w:cs="Arial"/>
          <w:sz w:val="24"/>
          <w:szCs w:val="24"/>
          <w:lang w:eastAsia="bg-BG"/>
        </w:rPr>
      </w:pPr>
      <w:r w:rsidRPr="00506E64">
        <w:rPr>
          <w:rFonts w:eastAsia="Times New Roman" w:cs="Arial"/>
          <w:color w:val="000000"/>
          <w:lang w:eastAsia="bg-BG"/>
        </w:rPr>
        <w:t>калий-съхраняващ диуретик подобно на амилорид. Поради това не се препоръчва  комбинирането на периндоприл с гореспоменатите лекарства. Ако едновременната употреба е показана поради документирана хипокалиемия, те трябва да се употребяват с</w:t>
      </w:r>
      <w:r>
        <w:rPr>
          <w:rFonts w:eastAsia="Times New Roman" w:cs="Arial"/>
          <w:color w:val="000000"/>
          <w:lang w:eastAsia="bg-BG"/>
        </w:rPr>
        <w:t xml:space="preserve"> </w:t>
      </w:r>
      <w:r w:rsidRPr="00506E64">
        <w:rPr>
          <w:rFonts w:eastAsia="Times New Roman" w:cs="Arial"/>
          <w:color w:val="000000"/>
          <w:lang w:eastAsia="bg-BG"/>
        </w:rPr>
        <w:t>повишено внимание и при чест контрол на серумния калий. За употреба на спиронолактон при сърдечна недостатъчност вижте точка „Комбинации, изискващи специално внимание“.</w:t>
      </w:r>
    </w:p>
    <w:p w14:paraId="57F830B6"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Ко-тримоксазол (триметоприм/сулфаметоксазол):</w:t>
      </w:r>
    </w:p>
    <w:p w14:paraId="67718BC2"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731FBF2E"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0A0B82EC" w14:textId="060B1B3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изискващи специално внимание</w:t>
      </w:r>
    </w:p>
    <w:p w14:paraId="76AA4B5B"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Противодиабетни средства (инсулин,орални хипогликемични агенти): Епидемиологичните проучвания показват, че едновременното приложение на АСЕ инхибитори и антидиабетни лекарства (инсулини, перорални хипогликемични средства) могат да засилят хипогликемизиращия ефект с риск от хипогликемия. Като че ли вероятността от възникване на това явление е по-голяма през първите седмици на комбинираното лечение и при пациенти с бъбречно увреждане. Настъпването на епизоди на хипогликемия е много рядко (подобряване на глюкозния толеранс и в резултат на това намаляване на инсулиновите нужди).</w:t>
      </w:r>
    </w:p>
    <w:p w14:paraId="7E19E807"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Калий несъхраняващи диуретици: Пациенти, които се лекуват с диуретици, и особено болни с хиповолемия и/или с недостиг на сол, може да получат прекомерно понижение на артериалното налягане след началото на лечение с АСЕ инхибитор. Възможността за поява на хипотензивни ефекти може да се намали чрез преустановяване на диуретика, увеличение на обема или приема на сол преди началото на лечението с ниски и постепенно увеличаващи се дози периндоприл.</w:t>
      </w:r>
    </w:p>
    <w:p w14:paraId="42E74C0E" w14:textId="7C1EEC1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При артериална хипертония,</w:t>
      </w:r>
      <w:r w:rsidRPr="00506E64">
        <w:rPr>
          <w:rFonts w:eastAsia="Times New Roman" w:cs="Arial"/>
          <w:color w:val="000000"/>
          <w:lang w:eastAsia="bg-BG"/>
        </w:rPr>
        <w:t xml:space="preserve"> когато предхождащата диуретична терапия може да е причинила намаляване на солта/обема, или диуретика трябва да се прекрати преди започване на АСЕ инхибитора, в който случай калий несъхраняващи диуретици могат да бъдат след това отново включени в лечението, или АСЕ инхибиторът трябва да се започне с ниска доза и постепенно да се увеличава.</w:t>
      </w:r>
    </w:p>
    <w:p w14:paraId="22679DD6" w14:textId="77777777" w:rsidR="00506E64" w:rsidRPr="00506E64" w:rsidRDefault="00506E64" w:rsidP="00506E64">
      <w:pPr>
        <w:spacing w:line="240" w:lineRule="auto"/>
        <w:rPr>
          <w:rFonts w:eastAsia="Times New Roman" w:cs="Arial"/>
          <w:i/>
          <w:iCs/>
          <w:color w:val="000000"/>
          <w:lang w:eastAsia="bg-BG"/>
        </w:rPr>
      </w:pPr>
    </w:p>
    <w:p w14:paraId="3E5D8423" w14:textId="4887F24F"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При застойна сърдечна недостатъчност, лекувана с диуретици,</w:t>
      </w:r>
      <w:r w:rsidRPr="00506E64">
        <w:rPr>
          <w:rFonts w:eastAsia="Times New Roman" w:cs="Arial"/>
          <w:color w:val="000000"/>
          <w:lang w:eastAsia="bg-BG"/>
        </w:rPr>
        <w:t xml:space="preserve"> АСЕ инхибиторът трябва да бъде започнат с много ниска доза, евентуално след намаляване на дозата на калий несъхраняващи диуретици.</w:t>
      </w:r>
    </w:p>
    <w:p w14:paraId="24A2FE65"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Във всички случаи, бъбречната функция (креатинина) трябва да бъдат наблюдавани по време на първите няколко седмици от терапията с АСЕ инхибитори.</w:t>
      </w:r>
    </w:p>
    <w:p w14:paraId="1C062DB4"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r w:rsidRPr="00506E64">
        <w:rPr>
          <w:rFonts w:eastAsia="Times New Roman" w:cs="Arial"/>
          <w:color w:val="000000"/>
          <w:lang w:eastAsia="bg-BG"/>
        </w:rPr>
        <w:t xml:space="preserve">Калий-съхраняващи диуретици (еплеренон, спиронолактон) :С еплеренон или спиронолактон в дози между 12,5 </w:t>
      </w:r>
      <w:r w:rsidRPr="00506E64">
        <w:rPr>
          <w:rFonts w:eastAsia="Times New Roman" w:cs="Arial"/>
          <w:color w:val="000000"/>
          <w:lang w:val="en-US"/>
        </w:rPr>
        <w:t xml:space="preserve">mg </w:t>
      </w:r>
      <w:r w:rsidRPr="00506E64">
        <w:rPr>
          <w:rFonts w:eastAsia="Times New Roman" w:cs="Arial"/>
          <w:color w:val="000000"/>
          <w:lang w:eastAsia="bg-BG"/>
        </w:rPr>
        <w:t xml:space="preserve">до 50 </w:t>
      </w:r>
      <w:r w:rsidRPr="00506E64">
        <w:rPr>
          <w:rFonts w:eastAsia="Times New Roman" w:cs="Arial"/>
          <w:color w:val="000000"/>
          <w:lang w:val="en-US"/>
        </w:rPr>
        <w:t xml:space="preserve">mg </w:t>
      </w:r>
      <w:r w:rsidRPr="00506E64">
        <w:rPr>
          <w:rFonts w:eastAsia="Times New Roman" w:cs="Arial"/>
          <w:color w:val="000000"/>
          <w:lang w:eastAsia="bg-BG"/>
        </w:rPr>
        <w:t xml:space="preserve">на ден и с ниски дози АСЕ-инхибитори: При лечение на клас </w:t>
      </w:r>
      <w:r w:rsidRPr="00506E64">
        <w:rPr>
          <w:rFonts w:eastAsia="Times New Roman" w:cs="Arial"/>
          <w:color w:val="000000"/>
          <w:lang w:val="en-US"/>
        </w:rPr>
        <w:t xml:space="preserve">II-IV </w:t>
      </w:r>
      <w:r w:rsidRPr="00506E64">
        <w:rPr>
          <w:rFonts w:eastAsia="Times New Roman" w:cs="Arial"/>
          <w:color w:val="000000"/>
          <w:lang w:eastAsia="bg-BG"/>
        </w:rPr>
        <w:t xml:space="preserve">сърдечна недостатъчност </w:t>
      </w:r>
      <w:r w:rsidRPr="00506E64">
        <w:rPr>
          <w:rFonts w:eastAsia="Times New Roman" w:cs="Arial"/>
          <w:color w:val="000000"/>
          <w:lang w:val="en-US"/>
        </w:rPr>
        <w:t xml:space="preserve">(NYHA) </w:t>
      </w:r>
      <w:r w:rsidRPr="00506E64">
        <w:rPr>
          <w:rFonts w:eastAsia="Times New Roman" w:cs="Arial"/>
          <w:color w:val="000000"/>
          <w:lang w:eastAsia="bg-BG"/>
        </w:rPr>
        <w:t xml:space="preserve">с фракция на изтласкване &lt;40%, предишно лекувана с АСЕ-инхибитори и бримкови диуретици, съществува риск от хиперкалиемия, потенциално смъртоносна, </w:t>
      </w:r>
      <w:r w:rsidRPr="00506E64">
        <w:rPr>
          <w:rFonts w:eastAsia="Times New Roman" w:cs="Arial"/>
          <w:color w:val="000000"/>
          <w:lang w:eastAsia="bg-BG"/>
        </w:rPr>
        <w:lastRenderedPageBreak/>
        <w:t>особено в случай на неспазване на препоръките за лечение с тази комбинация нараства.</w:t>
      </w:r>
    </w:p>
    <w:p w14:paraId="34141108"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Преди започване на комбинацията, да се провери отсъствието на хиперкалиемия и бъбречно увреждане.</w:t>
      </w:r>
    </w:p>
    <w:p w14:paraId="00DE340E"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Засилен мониторинг на калиемия и креатинемия се препоръчва през първия месец от лечението веднъж седмично в началото, и веднъж месечно след това.</w:t>
      </w:r>
    </w:p>
    <w:p w14:paraId="677FAFE3"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r w:rsidRPr="00506E64">
        <w:rPr>
          <w:rFonts w:eastAsia="Times New Roman" w:cs="Arial"/>
          <w:color w:val="000000"/>
          <w:lang w:eastAsia="bg-BG"/>
        </w:rPr>
        <w:t>Рацекадотрил: Известно е, че АСЕ инхибиторите (напр.периндоприл)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288B7727"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proofErr w:type="spellStart"/>
      <w:proofErr w:type="gramStart"/>
      <w:r w:rsidRPr="00506E64">
        <w:rPr>
          <w:rFonts w:eastAsia="Times New Roman" w:cs="Arial"/>
          <w:color w:val="000000"/>
          <w:lang w:val="en-US"/>
        </w:rPr>
        <w:t>mTOR</w:t>
      </w:r>
      <w:proofErr w:type="spellEnd"/>
      <w:proofErr w:type="gramEnd"/>
      <w:r w:rsidRPr="00506E64">
        <w:rPr>
          <w:rFonts w:eastAsia="Times New Roman" w:cs="Arial"/>
          <w:color w:val="000000"/>
          <w:lang w:val="en-US"/>
        </w:rPr>
        <w:t xml:space="preserve"> </w:t>
      </w:r>
      <w:r w:rsidRPr="00506E64">
        <w:rPr>
          <w:rFonts w:eastAsia="Times New Roman" w:cs="Arial"/>
          <w:color w:val="000000"/>
          <w:lang w:eastAsia="bg-BG"/>
        </w:rPr>
        <w:t xml:space="preserve">инхибитори (напр. сиролимус, еверолимус, темсиролимус): Пациенти със съпътстващо лечение с </w:t>
      </w:r>
      <w:proofErr w:type="spellStart"/>
      <w:r w:rsidRPr="00506E64">
        <w:rPr>
          <w:rFonts w:eastAsia="Times New Roman" w:cs="Arial"/>
          <w:color w:val="000000"/>
          <w:lang w:val="en-US"/>
        </w:rPr>
        <w:t>mTOR</w:t>
      </w:r>
      <w:proofErr w:type="spellEnd"/>
      <w:r w:rsidRPr="00506E64">
        <w:rPr>
          <w:rFonts w:eastAsia="Times New Roman" w:cs="Arial"/>
          <w:color w:val="000000"/>
          <w:lang w:val="en-US"/>
        </w:rPr>
        <w:t xml:space="preserve"> </w:t>
      </w:r>
      <w:r w:rsidRPr="00506E64">
        <w:rPr>
          <w:rFonts w:eastAsia="Times New Roman" w:cs="Arial"/>
          <w:color w:val="000000"/>
          <w:lang w:eastAsia="bg-BG"/>
        </w:rPr>
        <w:t>инхибитори може да са изложени на повишен риск от ангиоедем (вж. точка 4,4).</w:t>
      </w:r>
    </w:p>
    <w:p w14:paraId="5BCAD94A" w14:textId="77777777" w:rsidR="00506E64" w:rsidRPr="00506E64" w:rsidRDefault="00506E64" w:rsidP="00506E64">
      <w:pPr>
        <w:spacing w:line="240" w:lineRule="auto"/>
        <w:rPr>
          <w:rFonts w:eastAsia="Times New Roman" w:cs="Arial"/>
          <w:i/>
          <w:iCs/>
          <w:color w:val="000000"/>
          <w:lang w:eastAsia="bg-BG"/>
        </w:rPr>
      </w:pPr>
    </w:p>
    <w:p w14:paraId="0966D063" w14:textId="4954F86A"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изискват внимание</w:t>
      </w:r>
    </w:p>
    <w:p w14:paraId="709B846A" w14:textId="660615B2" w:rsidR="00506E64" w:rsidRDefault="00506E64" w:rsidP="006E6807">
      <w:pPr>
        <w:pStyle w:val="ListParagraph"/>
        <w:numPr>
          <w:ilvl w:val="0"/>
          <w:numId w:val="12"/>
        </w:numPr>
        <w:rPr>
          <w:rFonts w:eastAsia="Times New Roman" w:cs="Arial"/>
          <w:color w:val="000000"/>
          <w:lang w:eastAsia="bg-BG"/>
        </w:rPr>
      </w:pPr>
      <w:r w:rsidRPr="00506E64">
        <w:rPr>
          <w:rFonts w:eastAsia="Times New Roman" w:cs="Arial"/>
          <w:color w:val="000000"/>
          <w:lang w:eastAsia="bg-BG"/>
        </w:rPr>
        <w:t>Антихипертензивни средства и вазодилататори: Едновременната употреба на тези средства може да засили хипотензивните ефекти на периндоприл. Едновременната употреба с нитроглицерин и други нитрати или други вазодилататори може</w:t>
      </w:r>
      <w:r w:rsidRPr="00506E64">
        <w:rPr>
          <w:rFonts w:eastAsia="Times New Roman" w:cs="Arial"/>
          <w:i/>
          <w:iCs/>
          <w:color w:val="000000"/>
          <w:lang w:eastAsia="bg-BG"/>
        </w:rPr>
        <w:t xml:space="preserve"> </w:t>
      </w:r>
      <w:r w:rsidRPr="00506E64">
        <w:rPr>
          <w:rFonts w:eastAsia="Times New Roman" w:cs="Arial"/>
          <w:color w:val="000000"/>
          <w:lang w:eastAsia="bg-BG"/>
        </w:rPr>
        <w:t>допълнително да понижи артериалното налягане.</w:t>
      </w:r>
    </w:p>
    <w:p w14:paraId="61C348AF"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Алопуринол, цитостатични или имуносупресивни препарати, кортикостероиди (системна употреба) или прокаинамид. Едновременното приложение с АСЕ инхибитори може да доведе до засилен риск от левкопения (вж. точка 4.4).</w:t>
      </w:r>
    </w:p>
    <w:p w14:paraId="1BC8545E"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Анестетици: АСЕ инхибиторите могат да засилят хипотензивните ефекти на някои анестетици (вж. точка 4.4).</w:t>
      </w:r>
    </w:p>
    <w:p w14:paraId="14EBD369" w14:textId="72EC33DB" w:rsidR="006A7A3D"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Диуретици (тиазидни или бримкови диуретици): Предшестващото лечение с диуретици във високи дози може да доведе до дехидратация и до риск от хипотония, когато се започне лечение с периндоприл.Златни препарати: има редки съобщения за нитритоидни реакции (симптомите включват 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 инх</w:t>
      </w:r>
      <w:r w:rsidR="006A7A3D" w:rsidRPr="006A7A3D">
        <w:rPr>
          <w:rFonts w:eastAsia="Times New Roman" w:cs="Arial"/>
          <w:color w:val="000000"/>
          <w:lang w:eastAsia="bg-BG"/>
        </w:rPr>
        <w:t>ибитор, включително периндоприл.</w:t>
      </w:r>
    </w:p>
    <w:p w14:paraId="6F59581D" w14:textId="1468D624"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 Глиптини (линаглиптин, саксаглиптин, ситаглиптин, вилдаглиптин): Повишен риск от ангиоедем, поради намалена активност на дипептидилпептидаза IV </w:t>
      </w:r>
      <w:r w:rsidRPr="006A7A3D">
        <w:rPr>
          <w:rFonts w:eastAsia="Times New Roman" w:cs="Arial"/>
          <w:color w:val="000000"/>
          <w:lang w:val="en-US"/>
        </w:rPr>
        <w:t xml:space="preserve">(DPP-IV) </w:t>
      </w:r>
      <w:r w:rsidRPr="006A7A3D">
        <w:rPr>
          <w:rFonts w:eastAsia="Times New Roman" w:cs="Arial"/>
          <w:color w:val="000000"/>
          <w:lang w:eastAsia="bg-BG"/>
        </w:rPr>
        <w:t>от глиптина, при пациенти, едновременно лекувани с АСЕ-инхибитор.</w:t>
      </w:r>
    </w:p>
    <w:p w14:paraId="519632B1"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Симпатомиметици: Симпатомиметиците може да намалят антихипертензивния ефект на АСЕ инхибиторите.</w:t>
      </w:r>
    </w:p>
    <w:p w14:paraId="0A238858"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Циклоспорин; При съпътстваща употреба на АСЕ инхибитори с циклоспорин може да възникне хиперкалиемия. Препоръчва се проследяване на серумния калий.</w:t>
      </w:r>
    </w:p>
    <w:p w14:paraId="10325BD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Хепарин: При съпътстваща употреба на АСЕ инхибитори с хепарин може да възникне хиперкалиемия. Препоръчва се проследяване на серумния калий.</w:t>
      </w:r>
    </w:p>
    <w:p w14:paraId="434C0117" w14:textId="77777777" w:rsidR="00506E64" w:rsidRPr="006A7A3D" w:rsidRDefault="00506E64" w:rsidP="00506E64">
      <w:pPr>
        <w:spacing w:line="240" w:lineRule="auto"/>
        <w:rPr>
          <w:rFonts w:eastAsia="Times New Roman" w:cs="Arial"/>
          <w:i/>
          <w:iCs/>
          <w:color w:val="000000"/>
          <w:u w:val="single"/>
          <w:lang w:eastAsia="bg-BG"/>
        </w:rPr>
      </w:pPr>
    </w:p>
    <w:p w14:paraId="76FAA9C3" w14:textId="4A052AE9"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индапамид:</w:t>
      </w:r>
    </w:p>
    <w:p w14:paraId="52CA16DB" w14:textId="77777777" w:rsidR="00506E64" w:rsidRPr="006A7A3D" w:rsidRDefault="00506E64" w:rsidP="00506E64">
      <w:pPr>
        <w:spacing w:line="240" w:lineRule="auto"/>
        <w:rPr>
          <w:rFonts w:eastAsia="Times New Roman" w:cs="Arial"/>
          <w:i/>
          <w:iCs/>
          <w:color w:val="000000"/>
          <w:lang w:eastAsia="bg-BG"/>
        </w:rPr>
      </w:pPr>
    </w:p>
    <w:p w14:paraId="094F8971" w14:textId="141A5F63"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lang w:eastAsia="bg-BG"/>
        </w:rPr>
        <w:t>Комбинации, изискващи специално внимание</w:t>
      </w:r>
    </w:p>
    <w:p w14:paraId="4B58613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Лекарствени средства, предизвикващи </w:t>
      </w:r>
      <w:proofErr w:type="spellStart"/>
      <w:r w:rsidRPr="006A7A3D">
        <w:rPr>
          <w:rFonts w:eastAsia="Times New Roman" w:cs="Arial"/>
          <w:i/>
          <w:iCs/>
          <w:color w:val="000000"/>
          <w:lang w:val="en-US"/>
        </w:rPr>
        <w:t>torsades</w:t>
      </w:r>
      <w:proofErr w:type="spellEnd"/>
      <w:r w:rsidRPr="006A7A3D">
        <w:rPr>
          <w:rFonts w:eastAsia="Times New Roman" w:cs="Arial"/>
          <w:i/>
          <w:iCs/>
          <w:color w:val="000000"/>
          <w:lang w:val="en-US"/>
        </w:rPr>
        <w:t xml:space="preserve"> de pointes:</w:t>
      </w:r>
      <w:r w:rsidRPr="006A7A3D">
        <w:rPr>
          <w:rFonts w:eastAsia="Times New Roman" w:cs="Arial"/>
          <w:color w:val="000000"/>
          <w:lang w:val="en-US"/>
        </w:rPr>
        <w:t xml:space="preserve"> </w:t>
      </w:r>
      <w:r w:rsidRPr="006A7A3D">
        <w:rPr>
          <w:rFonts w:eastAsia="Times New Roman" w:cs="Arial"/>
          <w:color w:val="000000"/>
          <w:lang w:eastAsia="bg-BG"/>
        </w:rPr>
        <w:t xml:space="preserve">Поради риска от хипокалиемия, индапамид трябва да се прилага с повишено внимание, когато се комбинира с лекарствени продукти, предизвикващи </w:t>
      </w:r>
      <w:proofErr w:type="spellStart"/>
      <w:r w:rsidRPr="006A7A3D">
        <w:rPr>
          <w:rFonts w:eastAsia="Times New Roman" w:cs="Arial"/>
          <w:i/>
          <w:iCs/>
          <w:color w:val="000000"/>
          <w:lang w:val="en-US"/>
        </w:rPr>
        <w:t>torsades</w:t>
      </w:r>
      <w:proofErr w:type="spellEnd"/>
      <w:r w:rsidRPr="006A7A3D">
        <w:rPr>
          <w:rFonts w:eastAsia="Times New Roman" w:cs="Arial"/>
          <w:i/>
          <w:iCs/>
          <w:color w:val="000000"/>
          <w:lang w:val="en-US"/>
        </w:rPr>
        <w:t xml:space="preserve"> de pointes,</w:t>
      </w:r>
      <w:r w:rsidRPr="006A7A3D">
        <w:rPr>
          <w:rFonts w:eastAsia="Times New Roman" w:cs="Arial"/>
          <w:color w:val="000000"/>
          <w:lang w:val="en-US"/>
        </w:rPr>
        <w:t xml:space="preserve"> </w:t>
      </w:r>
      <w:r w:rsidRPr="006A7A3D">
        <w:rPr>
          <w:rFonts w:eastAsia="Times New Roman" w:cs="Arial"/>
          <w:color w:val="000000"/>
          <w:lang w:eastAsia="bg-BG"/>
        </w:rPr>
        <w:t xml:space="preserve">като, но не само: клас 1а антиаритмични средства (напр. хинидин, хидрохинидин, дизопирамид); клас III антиаритмични средства (напр. амиодарон, дофетилид, ибутилид, бретилиум, соталол ); някои антипсихотици от групата на фенотиазини </w:t>
      </w:r>
      <w:r w:rsidRPr="006A7A3D">
        <w:rPr>
          <w:rFonts w:eastAsia="Times New Roman" w:cs="Arial"/>
          <w:color w:val="000000"/>
          <w:lang w:eastAsia="bg-BG"/>
        </w:rPr>
        <w:lastRenderedPageBreak/>
        <w:t xml:space="preserve">(напр. хлорпромазин, циамемазин, левомепромазин, тиоридазин, трифлуоперазин), бензамиди (напр. амисулприд, сулпирид, султоприд, тиаприд), бутирофенони (напр. дроперидол, халоперидол), други нарколептици (примозид); други субстанции(напр. бепридил, цизаприд, дифеманил, </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 xml:space="preserve">еритромицин, халофантрин, мизоластин, миксифлоксацин, пентамидин, спарфлоксацин, </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 xml:space="preserve">винкамин, метадон, астемизол, терфенадин). Превенция на хипокалиемията и при нужда контрол на </w:t>
      </w:r>
      <w:r w:rsidRPr="006A7A3D">
        <w:rPr>
          <w:rFonts w:eastAsia="Times New Roman" w:cs="Arial"/>
          <w:color w:val="000000"/>
          <w:lang w:val="en-US"/>
        </w:rPr>
        <w:t xml:space="preserve">QT </w:t>
      </w:r>
      <w:r w:rsidRPr="006A7A3D">
        <w:rPr>
          <w:rFonts w:eastAsia="Times New Roman" w:cs="Arial"/>
          <w:color w:val="000000"/>
          <w:lang w:eastAsia="bg-BG"/>
        </w:rPr>
        <w:t>интервала.</w:t>
      </w:r>
    </w:p>
    <w:p w14:paraId="18970295"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Калий-понижаващи средства: амфотерицин В </w:t>
      </w:r>
      <w:r w:rsidRPr="006A7A3D">
        <w:rPr>
          <w:rFonts w:eastAsia="Times New Roman" w:cs="Arial"/>
          <w:color w:val="000000"/>
          <w:lang w:val="en-US"/>
        </w:rPr>
        <w:t>(</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744AC20D"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Дигиталисови препарати:: Хипокалиемията и/или хипомагнезиемията предразполагат към дигиталисова токсичност. Препоръчва се да се проследява плазмения калий, магнезий и ЕКГ и, ако е необходимо, лечението да бъде коригирано..</w:t>
      </w:r>
    </w:p>
    <w:p w14:paraId="73036834"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Алопуринол: Съпътстващата употреба с индапамид може да увеличи честотата на реакциите на свръхчувствителност към алопуринол.</w:t>
      </w:r>
    </w:p>
    <w:p w14:paraId="15DB03DD" w14:textId="77777777" w:rsidR="00506E64" w:rsidRPr="006A7A3D" w:rsidRDefault="00506E64" w:rsidP="00506E64">
      <w:pPr>
        <w:spacing w:line="240" w:lineRule="auto"/>
        <w:rPr>
          <w:rFonts w:eastAsia="Times New Roman" w:cs="Arial"/>
          <w:i/>
          <w:iCs/>
          <w:color w:val="000000"/>
          <w:lang w:eastAsia="bg-BG"/>
        </w:rPr>
      </w:pPr>
    </w:p>
    <w:p w14:paraId="64C179EA" w14:textId="4B5BA523"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lang w:eastAsia="bg-BG"/>
        </w:rPr>
        <w:t>Комбинации, които изискват внимание</w:t>
      </w:r>
    </w:p>
    <w:p w14:paraId="6D6EFCE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Калий-съхраняващи диуретици (амилорид, спиронолактон, триамтерен): рационалните комбинации са полезни при някои пациенти, може да настъпи</w:t>
      </w:r>
    </w:p>
    <w:p w14:paraId="55E9A753" w14:textId="77777777" w:rsidR="00506E64" w:rsidRPr="006A7A3D" w:rsidRDefault="00506E64" w:rsidP="006A7A3D">
      <w:pPr>
        <w:pStyle w:val="ListParagraph"/>
        <w:spacing w:line="240" w:lineRule="auto"/>
        <w:rPr>
          <w:rFonts w:eastAsia="Times New Roman" w:cs="Arial"/>
          <w:sz w:val="24"/>
          <w:szCs w:val="24"/>
          <w:lang w:eastAsia="bg-BG"/>
        </w:rPr>
      </w:pPr>
      <w:r w:rsidRPr="006A7A3D">
        <w:rPr>
          <w:rFonts w:eastAsia="Times New Roman" w:cs="Arial"/>
          <w:color w:val="000000"/>
          <w:lang w:eastAsia="bg-BG"/>
        </w:rPr>
        <w:t>хипокалиемия или хиперкалиемия (особено при пациенти с бъбречна недостатъчност или диабет). Плазменият калий и ЕКГ трябва да бъдат наблюдавани и, ако е необходимо да се преразгледа лечението.</w:t>
      </w:r>
    </w:p>
    <w:p w14:paraId="6F05448B" w14:textId="5EE8FEA7" w:rsidR="006A7A3D" w:rsidRPr="006A7A3D" w:rsidRDefault="00506E64" w:rsidP="006E6807">
      <w:pPr>
        <w:pStyle w:val="ListParagraph"/>
        <w:numPr>
          <w:ilvl w:val="0"/>
          <w:numId w:val="12"/>
        </w:numPr>
        <w:rPr>
          <w:rFonts w:eastAsia="Times New Roman" w:cs="Arial"/>
          <w:color w:val="000000"/>
          <w:lang w:eastAsia="bg-BG"/>
        </w:rPr>
      </w:pPr>
      <w:r w:rsidRPr="006A7A3D">
        <w:rPr>
          <w:rFonts w:eastAsia="Times New Roman" w:cs="Arial"/>
          <w:color w:val="000000"/>
          <w:lang w:eastAsia="bg-BG"/>
        </w:rPr>
        <w:t>Метформин: млечна ацидоза, дължаща се на метформин, причинена от евентуална функционална бъбречна недостатъчност във връзка с употреба на диуретици и особено</w:t>
      </w:r>
      <w:r w:rsidR="006A7A3D">
        <w:rPr>
          <w:rFonts w:eastAsia="Times New Roman" w:cs="Arial"/>
          <w:color w:val="000000"/>
          <w:lang w:eastAsia="bg-BG"/>
        </w:rPr>
        <w:t xml:space="preserve"> </w:t>
      </w:r>
      <w:r w:rsidR="006A7A3D" w:rsidRPr="006A7A3D">
        <w:rPr>
          <w:rFonts w:eastAsia="Times New Roman" w:cs="Arial"/>
          <w:color w:val="000000"/>
          <w:lang w:eastAsia="bg-BG"/>
        </w:rPr>
        <w:t xml:space="preserve">бримкови диуретици. Да не се употребява метформин, ако плазменият креатинин превишава 15 </w:t>
      </w:r>
      <w:r w:rsidR="006A7A3D" w:rsidRPr="006A7A3D">
        <w:rPr>
          <w:rFonts w:eastAsia="Times New Roman" w:cs="Arial"/>
          <w:color w:val="000000"/>
          <w:lang w:val="en-US"/>
        </w:rPr>
        <w:t xml:space="preserve">mg/l </w:t>
      </w:r>
      <w:r w:rsidR="006A7A3D" w:rsidRPr="006A7A3D">
        <w:rPr>
          <w:rFonts w:eastAsia="Times New Roman" w:cs="Arial"/>
          <w:color w:val="000000"/>
          <w:lang w:eastAsia="bg-BG"/>
        </w:rPr>
        <w:t xml:space="preserve">(135 </w:t>
      </w:r>
      <w:proofErr w:type="spellStart"/>
      <w:r w:rsidR="006A7A3D" w:rsidRPr="006A7A3D">
        <w:rPr>
          <w:rFonts w:eastAsia="Times New Roman" w:cs="Arial"/>
          <w:color w:val="000000"/>
          <w:lang w:val="en-US"/>
        </w:rPr>
        <w:t>micromol</w:t>
      </w:r>
      <w:proofErr w:type="spellEnd"/>
      <w:r w:rsidR="006A7A3D" w:rsidRPr="006A7A3D">
        <w:rPr>
          <w:rFonts w:eastAsia="Times New Roman" w:cs="Arial"/>
          <w:color w:val="000000"/>
          <w:lang w:val="en-US"/>
        </w:rPr>
        <w:t>/l</w:t>
      </w:r>
      <w:r w:rsidR="006A7A3D" w:rsidRPr="006A7A3D">
        <w:rPr>
          <w:rFonts w:eastAsia="Times New Roman" w:cs="Arial"/>
          <w:color w:val="000000"/>
          <w:lang w:eastAsia="bg-BG"/>
        </w:rPr>
        <w:t xml:space="preserve">) при мъже и 12 </w:t>
      </w:r>
      <w:r w:rsidR="006A7A3D" w:rsidRPr="006A7A3D">
        <w:rPr>
          <w:rFonts w:eastAsia="Times New Roman" w:cs="Arial"/>
          <w:color w:val="000000"/>
          <w:lang w:val="en-US"/>
        </w:rPr>
        <w:t xml:space="preserve">mg/l </w:t>
      </w:r>
      <w:r w:rsidR="006A7A3D" w:rsidRPr="006A7A3D">
        <w:rPr>
          <w:rFonts w:eastAsia="Times New Roman" w:cs="Arial"/>
          <w:color w:val="000000"/>
          <w:lang w:eastAsia="bg-BG"/>
        </w:rPr>
        <w:t xml:space="preserve">(110 </w:t>
      </w:r>
      <w:proofErr w:type="spellStart"/>
      <w:r w:rsidR="006A7A3D" w:rsidRPr="006A7A3D">
        <w:rPr>
          <w:rFonts w:eastAsia="Times New Roman" w:cs="Arial"/>
          <w:color w:val="000000"/>
          <w:lang w:val="en-US"/>
        </w:rPr>
        <w:t>micromol</w:t>
      </w:r>
      <w:proofErr w:type="spellEnd"/>
      <w:r w:rsidR="006A7A3D" w:rsidRPr="006A7A3D">
        <w:rPr>
          <w:rFonts w:eastAsia="Times New Roman" w:cs="Arial"/>
          <w:color w:val="000000"/>
          <w:lang w:val="en-US"/>
        </w:rPr>
        <w:t>/l</w:t>
      </w:r>
      <w:r w:rsidR="006A7A3D" w:rsidRPr="006A7A3D">
        <w:rPr>
          <w:rFonts w:eastAsia="Times New Roman" w:cs="Arial"/>
          <w:color w:val="000000"/>
          <w:lang w:eastAsia="bg-BG"/>
        </w:rPr>
        <w:t xml:space="preserve">) при жени. </w:t>
      </w:r>
    </w:p>
    <w:p w14:paraId="21787392" w14:textId="1EE91632"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Йод-съдържащи контрастни средства: 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Трябва да се проведе рехидратация още преди въвеждането на йод-съдържащия препарат.</w:t>
      </w:r>
    </w:p>
    <w:p w14:paraId="24F65945" w14:textId="77777777"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Калций (соли): Риск от хиперкалциемия, поради повишение на калция във връзка с понижената бъбречна екскреция на калций.</w:t>
      </w:r>
    </w:p>
    <w:p w14:paraId="19CB6C82" w14:textId="77777777"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Циклоспорин, такролимус: Риск от повишаване на серумния креатинин без промяна в циркулиращите плазмени нива на циклоспорин/такролимус, дори при отсъствие на загуба на соли и вода.</w:t>
      </w:r>
    </w:p>
    <w:p w14:paraId="420800A0" w14:textId="7274D0F3" w:rsidR="00506E64" w:rsidRPr="00E42DF2" w:rsidRDefault="006A7A3D" w:rsidP="006E6807">
      <w:pPr>
        <w:pStyle w:val="ListParagraph"/>
        <w:numPr>
          <w:ilvl w:val="0"/>
          <w:numId w:val="12"/>
        </w:numPr>
        <w:rPr>
          <w:rFonts w:cs="Arial"/>
        </w:rPr>
      </w:pPr>
      <w:r w:rsidRPr="006A7A3D">
        <w:rPr>
          <w:rFonts w:eastAsia="Times New Roman" w:cs="Arial"/>
          <w:color w:val="000000"/>
          <w:lang w:eastAsia="bg-BG"/>
        </w:rPr>
        <w:t>Кортикостероиди, тетракозактид (системен път): Намаляване на антихипертензивния ефект (задържане на соли и вода, дължащо се на кортикостероидите).</w:t>
      </w:r>
    </w:p>
    <w:p w14:paraId="0680EC19" w14:textId="77777777" w:rsidR="00E42DF2" w:rsidRPr="00E42DF2" w:rsidRDefault="00E42DF2" w:rsidP="00E42DF2">
      <w:pPr>
        <w:ind w:left="360"/>
        <w:rPr>
          <w:rFonts w:cs="Arial"/>
        </w:rPr>
      </w:pPr>
    </w:p>
    <w:p w14:paraId="394A7584" w14:textId="242117DF" w:rsidR="004F498A" w:rsidRDefault="002C50EE" w:rsidP="004A448E">
      <w:pPr>
        <w:pStyle w:val="Heading2"/>
      </w:pPr>
      <w:r>
        <w:t>4.6. Фертилитет, бременност и кърмене</w:t>
      </w:r>
    </w:p>
    <w:p w14:paraId="249D8CF9" w14:textId="4B35E075" w:rsidR="006A7A3D" w:rsidRDefault="006A7A3D" w:rsidP="006A7A3D"/>
    <w:p w14:paraId="0074ADA1"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lastRenderedPageBreak/>
        <w:t>Имайки предвид ефектите на отделните компоненти в тази комбиниран лекарствен продукт върху бременността и кърменето,</w:t>
      </w:r>
    </w:p>
    <w:p w14:paraId="1735AAA5"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през първия триместър на бременността.</w:t>
      </w:r>
    </w:p>
    <w:p w14:paraId="00E0356B"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е противопоказан през втория и третия триместьр на бременността.</w:t>
      </w:r>
    </w:p>
    <w:p w14:paraId="346DEEB3"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по време на кърмене. Затова трябва да се прецени дали да се преустанови кърменето или да се преустанови Ко-Пренеса, като се вземе предвид значението на това лечение за майката.</w:t>
      </w:r>
    </w:p>
    <w:p w14:paraId="082D1FD2" w14:textId="77777777" w:rsidR="006A7A3D" w:rsidRPr="006A7A3D" w:rsidRDefault="006A7A3D" w:rsidP="006A7A3D">
      <w:pPr>
        <w:spacing w:line="240" w:lineRule="auto"/>
        <w:rPr>
          <w:rFonts w:eastAsia="Times New Roman" w:cs="Arial"/>
          <w:i/>
          <w:iCs/>
          <w:color w:val="000000"/>
          <w:lang w:eastAsia="bg-BG"/>
        </w:rPr>
      </w:pPr>
    </w:p>
    <w:p w14:paraId="786B1A49" w14:textId="75819B3B" w:rsidR="006A7A3D" w:rsidRPr="00E42DF2" w:rsidRDefault="006A7A3D" w:rsidP="00E42DF2">
      <w:pPr>
        <w:pStyle w:val="Heading3"/>
        <w:rPr>
          <w:rFonts w:eastAsia="Times New Roman"/>
          <w:u w:val="single"/>
          <w:lang w:eastAsia="bg-BG"/>
        </w:rPr>
      </w:pPr>
      <w:r w:rsidRPr="00E42DF2">
        <w:rPr>
          <w:rFonts w:eastAsia="Times New Roman"/>
          <w:u w:val="single"/>
          <w:lang w:eastAsia="bg-BG"/>
        </w:rPr>
        <w:t>Бременност</w:t>
      </w:r>
    </w:p>
    <w:p w14:paraId="0E693777" w14:textId="77777777" w:rsidR="006A7A3D" w:rsidRPr="006A7A3D" w:rsidRDefault="006A7A3D" w:rsidP="006A7A3D">
      <w:pPr>
        <w:spacing w:line="240" w:lineRule="auto"/>
        <w:rPr>
          <w:rFonts w:eastAsia="Times New Roman" w:cs="Arial"/>
          <w:i/>
          <w:iCs/>
          <w:color w:val="000000"/>
          <w:u w:val="single"/>
          <w:lang w:eastAsia="bg-BG"/>
        </w:rPr>
      </w:pPr>
    </w:p>
    <w:p w14:paraId="3FDC5AA1" w14:textId="711A061B"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Свързано с периндоприл:</w:t>
      </w:r>
    </w:p>
    <w:p w14:paraId="0A6FE032" w14:textId="77777777" w:rsidR="006A7A3D" w:rsidRPr="006A7A3D" w:rsidRDefault="006A7A3D" w:rsidP="006A7A3D">
      <w:pPr>
        <w:spacing w:line="240" w:lineRule="auto"/>
        <w:rPr>
          <w:rFonts w:eastAsia="Times New Roman" w:cs="Arial"/>
          <w:color w:val="000000"/>
          <w:lang w:eastAsia="bg-BG"/>
        </w:rPr>
      </w:pPr>
    </w:p>
    <w:p w14:paraId="038DB2ED" w14:textId="1576D256"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Използването на АСЕ инхибитори не се препоръчва през първия триместър на бременността (вж. Точка 4.4). Използването на АСЕ инхибитор е противопоказано през 2-ри и 3-ти триместър на бременността (вж. точки 4.3 и 4.4).</w:t>
      </w:r>
    </w:p>
    <w:p w14:paraId="666395CD" w14:textId="77777777" w:rsidR="006A7A3D" w:rsidRPr="006A7A3D" w:rsidRDefault="006A7A3D" w:rsidP="006A7A3D">
      <w:pPr>
        <w:spacing w:line="240" w:lineRule="auto"/>
        <w:rPr>
          <w:rFonts w:eastAsia="Times New Roman" w:cs="Arial"/>
          <w:color w:val="000000"/>
          <w:lang w:eastAsia="bg-BG"/>
        </w:rPr>
      </w:pPr>
    </w:p>
    <w:p w14:paraId="6E15D8CE" w14:textId="462A78A8"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Епидемиологичните данни относно тератогенния риск след АСЕ инхибиторна експозиция през първото тримесечие на бременността нямат окончателен характер; слабо повишаване на риска обаче не може да бъде изключено. Освен когато продължаването на АСЕ инхибиторното лечение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w:t>
      </w:r>
    </w:p>
    <w:p w14:paraId="572B4534"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За АСЕ инхибиторната експозиция през второто и третото тримесечие се знае, че предизвиква фетотоксични ефекти при хора (отслабване на бъбречната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 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приемали АСЕ инхибитори, трябва да бъдат наблюдавани внимателно за хипотензия (вж. точки 4.3 и 4.4).</w:t>
      </w:r>
    </w:p>
    <w:p w14:paraId="4EC1850C" w14:textId="77777777" w:rsidR="006A7A3D" w:rsidRPr="006A7A3D" w:rsidRDefault="006A7A3D" w:rsidP="006A7A3D">
      <w:pPr>
        <w:spacing w:line="240" w:lineRule="auto"/>
        <w:rPr>
          <w:rFonts w:eastAsia="Times New Roman" w:cs="Arial"/>
          <w:i/>
          <w:iCs/>
          <w:color w:val="000000"/>
          <w:u w:val="single"/>
          <w:lang w:eastAsia="bg-BG"/>
        </w:rPr>
      </w:pPr>
    </w:p>
    <w:p w14:paraId="320ACB29" w14:textId="6ABF7A3E"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Свързано с индапамид:</w:t>
      </w:r>
    </w:p>
    <w:p w14:paraId="6CF0C497" w14:textId="01718269" w:rsidR="006A7A3D" w:rsidRDefault="006A7A3D" w:rsidP="006A7A3D">
      <w:pPr>
        <w:spacing w:line="240" w:lineRule="auto"/>
        <w:rPr>
          <w:rFonts w:eastAsia="Times New Roman" w:cs="Arial"/>
          <w:color w:val="000000"/>
          <w:lang w:eastAsia="bg-BG"/>
        </w:rPr>
      </w:pPr>
      <w:r w:rsidRPr="006A7A3D">
        <w:rPr>
          <w:rFonts w:eastAsia="Times New Roman" w:cs="Arial"/>
          <w:color w:val="000000"/>
          <w:lang w:eastAsia="bg-BG"/>
        </w:rPr>
        <w:t>Липсват или има ограничени данни (по-малко от 300 завършили бременности) от употребата на индапамид при бременни жени. Продължителната тиазидна експозиция през третото тримесечие на бременостга може да намали плазмения обем в майчиния организъм, както и  утероплацентарното кръвообръщение, което 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  Проучванията при животни не показват преки или косвени вредни ефекти по отношение на</w:t>
      </w:r>
      <w:r>
        <w:rPr>
          <w:rFonts w:eastAsia="Times New Roman" w:cs="Arial"/>
          <w:sz w:val="24"/>
          <w:szCs w:val="24"/>
          <w:lang w:eastAsia="bg-BG"/>
        </w:rPr>
        <w:t xml:space="preserve"> </w:t>
      </w:r>
      <w:r w:rsidRPr="006A7A3D">
        <w:rPr>
          <w:rFonts w:eastAsia="Times New Roman" w:cs="Arial"/>
          <w:color w:val="000000"/>
          <w:lang w:eastAsia="bg-BG"/>
        </w:rPr>
        <w:t>репродуктивната токсичност (вж. точка 5.3).</w:t>
      </w:r>
    </w:p>
    <w:p w14:paraId="7AA4990F" w14:textId="1790C705" w:rsidR="006A7A3D" w:rsidRDefault="006A7A3D" w:rsidP="006A7A3D">
      <w:pPr>
        <w:spacing w:line="240" w:lineRule="auto"/>
        <w:rPr>
          <w:rFonts w:eastAsia="Times New Roman" w:cs="Arial"/>
          <w:color w:val="000000"/>
          <w:lang w:eastAsia="bg-BG"/>
        </w:rPr>
      </w:pPr>
    </w:p>
    <w:p w14:paraId="13F9DD0C"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Като предпазна мярка е за предпочитане да се избягва употребата на индапамид по време на бременност.</w:t>
      </w:r>
    </w:p>
    <w:p w14:paraId="4B4E5082" w14:textId="77777777" w:rsidR="006A7A3D" w:rsidRPr="006A7A3D" w:rsidRDefault="006A7A3D" w:rsidP="006A7A3D">
      <w:pPr>
        <w:spacing w:line="240" w:lineRule="auto"/>
        <w:rPr>
          <w:rFonts w:eastAsia="Times New Roman" w:cs="Arial"/>
          <w:i/>
          <w:iCs/>
          <w:color w:val="000000"/>
          <w:lang w:eastAsia="bg-BG"/>
        </w:rPr>
      </w:pPr>
    </w:p>
    <w:p w14:paraId="73A1C5C3" w14:textId="4F0699FD" w:rsidR="006A7A3D" w:rsidRPr="00E42DF2" w:rsidRDefault="006A7A3D" w:rsidP="00E42DF2">
      <w:pPr>
        <w:pStyle w:val="Heading3"/>
        <w:rPr>
          <w:rFonts w:eastAsia="Times New Roman"/>
          <w:u w:val="single"/>
          <w:lang w:eastAsia="bg-BG"/>
        </w:rPr>
      </w:pPr>
      <w:r w:rsidRPr="00E42DF2">
        <w:rPr>
          <w:rFonts w:eastAsia="Times New Roman"/>
          <w:u w:val="single"/>
          <w:lang w:eastAsia="bg-BG"/>
        </w:rPr>
        <w:t>Кърмене</w:t>
      </w:r>
    </w:p>
    <w:p w14:paraId="202CB0B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по време на кърмене.</w:t>
      </w:r>
    </w:p>
    <w:p w14:paraId="62DC7BA6" w14:textId="77777777" w:rsidR="006A7A3D" w:rsidRPr="006A7A3D" w:rsidRDefault="006A7A3D" w:rsidP="006A7A3D">
      <w:pPr>
        <w:spacing w:line="240" w:lineRule="auto"/>
        <w:rPr>
          <w:rFonts w:eastAsia="Times New Roman" w:cs="Arial"/>
          <w:i/>
          <w:iCs/>
          <w:color w:val="000000"/>
          <w:u w:val="single"/>
          <w:lang w:eastAsia="bg-BG"/>
        </w:rPr>
      </w:pPr>
    </w:p>
    <w:p w14:paraId="6D844574" w14:textId="16735DA7"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периндоприл:</w:t>
      </w:r>
    </w:p>
    <w:p w14:paraId="06695F5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lastRenderedPageBreak/>
        <w:t>Тъй като липсва информация за употребата на периндоприл по време на кърмене, употребата му не се препоръчва като за предпочитане са алтернативни лечения с по-добър профил на безопасност по време на кърмене, особено при кърмене на новородени или недоносени бебета.</w:t>
      </w:r>
    </w:p>
    <w:p w14:paraId="3FE378DC" w14:textId="77777777" w:rsidR="006A7A3D" w:rsidRPr="006A7A3D" w:rsidRDefault="006A7A3D" w:rsidP="006A7A3D">
      <w:pPr>
        <w:spacing w:line="240" w:lineRule="auto"/>
        <w:rPr>
          <w:rFonts w:eastAsia="Times New Roman" w:cs="Arial"/>
          <w:i/>
          <w:iCs/>
          <w:color w:val="000000"/>
          <w:u w:val="single"/>
          <w:lang w:eastAsia="bg-BG"/>
        </w:rPr>
      </w:pPr>
    </w:p>
    <w:p w14:paraId="137B4B2C" w14:textId="3F80810C"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индапамид:</w:t>
      </w:r>
    </w:p>
    <w:p w14:paraId="7BFFA42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се екскретира с майчиното мляко при човека. Може да се появи свръхчувствителност към лекарства, производни на сулфонамиди, хипокалиемия и ядрен иктер. Не може да се изключи риск за новородените/кърмачетата.</w:t>
      </w:r>
    </w:p>
    <w:p w14:paraId="1949962F"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има тясно схдство с тиазидните диуретици, които по време на кърмене са свързани с намаляване или дори потискане на секрецията на мляко.</w:t>
      </w:r>
    </w:p>
    <w:p w14:paraId="3713421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не се препоръчва по време на кърмене.</w:t>
      </w:r>
    </w:p>
    <w:p w14:paraId="676B2201" w14:textId="77777777" w:rsidR="006A7A3D" w:rsidRPr="006A7A3D" w:rsidRDefault="006A7A3D" w:rsidP="006A7A3D">
      <w:pPr>
        <w:spacing w:line="240" w:lineRule="auto"/>
        <w:rPr>
          <w:rFonts w:eastAsia="Times New Roman" w:cs="Arial"/>
          <w:i/>
          <w:iCs/>
          <w:color w:val="000000"/>
          <w:lang w:eastAsia="bg-BG"/>
        </w:rPr>
      </w:pPr>
    </w:p>
    <w:p w14:paraId="78DB7552" w14:textId="0A5EE838" w:rsidR="006A7A3D" w:rsidRPr="00E42DF2" w:rsidRDefault="00E42DF2" w:rsidP="00E42DF2">
      <w:pPr>
        <w:pStyle w:val="Heading3"/>
        <w:rPr>
          <w:rFonts w:eastAsia="Times New Roman"/>
          <w:u w:val="single"/>
          <w:lang w:eastAsia="bg-BG"/>
        </w:rPr>
      </w:pPr>
      <w:r>
        <w:rPr>
          <w:rFonts w:eastAsia="Times New Roman"/>
          <w:u w:val="single"/>
          <w:lang w:eastAsia="bg-BG"/>
        </w:rPr>
        <w:t>Фертили</w:t>
      </w:r>
      <w:r w:rsidR="006A7A3D" w:rsidRPr="00E42DF2">
        <w:rPr>
          <w:rFonts w:eastAsia="Times New Roman"/>
          <w:u w:val="single"/>
          <w:lang w:eastAsia="bg-BG"/>
        </w:rPr>
        <w:t>пет</w:t>
      </w:r>
    </w:p>
    <w:p w14:paraId="0807D76B" w14:textId="77777777" w:rsidR="006A7A3D" w:rsidRPr="006A7A3D" w:rsidRDefault="006A7A3D" w:rsidP="006A7A3D">
      <w:pPr>
        <w:spacing w:line="240" w:lineRule="auto"/>
        <w:rPr>
          <w:rFonts w:eastAsia="Times New Roman" w:cs="Arial"/>
          <w:i/>
          <w:iCs/>
          <w:color w:val="000000"/>
          <w:u w:val="single"/>
          <w:lang w:eastAsia="bg-BG"/>
        </w:rPr>
      </w:pPr>
    </w:p>
    <w:p w14:paraId="1630CC7E" w14:textId="1404679E"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периндоприл и индапамид</w:t>
      </w:r>
    </w:p>
    <w:p w14:paraId="282FBF7E" w14:textId="6921C16E"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Проучванията за репродуктивна токсичност не показват ефект върху фертилитета при женски и мъжки плъхове (вж. точка 5.3). Не се очаква влияние върху фертилитета.</w:t>
      </w:r>
    </w:p>
    <w:p w14:paraId="424084B0" w14:textId="77777777" w:rsidR="006A7A3D" w:rsidRPr="006A7A3D" w:rsidRDefault="006A7A3D" w:rsidP="006A7A3D"/>
    <w:p w14:paraId="064DF1DE" w14:textId="061072FA" w:rsidR="00CF77F7" w:rsidRDefault="002C50EE" w:rsidP="004A448E">
      <w:pPr>
        <w:pStyle w:val="Heading2"/>
      </w:pPr>
      <w:r>
        <w:t>4.7. Ефекти върху способността за шофиране и работа с машини</w:t>
      </w:r>
    </w:p>
    <w:p w14:paraId="401788E8" w14:textId="61EC0CF0" w:rsidR="006A7A3D" w:rsidRDefault="006A7A3D" w:rsidP="006A7A3D"/>
    <w:p w14:paraId="7DFFF23D"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lang w:eastAsia="bg-BG"/>
        </w:rPr>
        <w:t>Свързани с периндоприл, индапамид и Ко-Пренеса:</w:t>
      </w:r>
    </w:p>
    <w:p w14:paraId="5EFD15EE"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Двете активни вещества, самостоятелно или в комбинацията не оказват 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37B9392A" w14:textId="4D496BE4" w:rsidR="006A7A3D" w:rsidRPr="006A7A3D" w:rsidRDefault="006A7A3D" w:rsidP="006A7A3D">
      <w:pPr>
        <w:rPr>
          <w:rFonts w:cs="Arial"/>
        </w:rPr>
      </w:pPr>
      <w:r w:rsidRPr="006A7A3D">
        <w:rPr>
          <w:rFonts w:eastAsia="Times New Roman" w:cs="Arial"/>
          <w:color w:val="000000"/>
          <w:lang w:eastAsia="bg-BG"/>
        </w:rPr>
        <w:t>В резултат на това може да се наруши способността за шофиране или работа с машини.</w:t>
      </w:r>
    </w:p>
    <w:p w14:paraId="503F14A8" w14:textId="77777777" w:rsidR="006A7A3D" w:rsidRPr="006A7A3D" w:rsidRDefault="006A7A3D" w:rsidP="006A7A3D"/>
    <w:p w14:paraId="37A3FD9F" w14:textId="5F4D52D6" w:rsidR="00CF77F7" w:rsidRDefault="002C50EE" w:rsidP="004A448E">
      <w:pPr>
        <w:pStyle w:val="Heading2"/>
      </w:pPr>
      <w:r>
        <w:t>4.8. Нежелани лекарствени реакции</w:t>
      </w:r>
    </w:p>
    <w:p w14:paraId="346FB80E" w14:textId="3CF4CDFF" w:rsidR="006A7A3D" w:rsidRDefault="006A7A3D" w:rsidP="006A7A3D"/>
    <w:p w14:paraId="250B82F2"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а.</w:t>
      </w:r>
      <w:r w:rsidRPr="006A7A3D">
        <w:rPr>
          <w:rFonts w:eastAsia="Times New Roman" w:cs="Arial"/>
          <w:color w:val="000000"/>
          <w:lang w:eastAsia="bg-BG"/>
        </w:rPr>
        <w:tab/>
        <w:t>Обобщен профил на безопасност</w:t>
      </w:r>
    </w:p>
    <w:p w14:paraId="48DDA6A6" w14:textId="77777777" w:rsidR="006A7A3D" w:rsidRPr="006A7A3D" w:rsidRDefault="006A7A3D" w:rsidP="006A7A3D">
      <w:pPr>
        <w:spacing w:line="240" w:lineRule="auto"/>
        <w:rPr>
          <w:rFonts w:eastAsia="Times New Roman" w:cs="Arial"/>
          <w:color w:val="000000"/>
          <w:lang w:eastAsia="bg-BG"/>
        </w:rPr>
      </w:pPr>
    </w:p>
    <w:p w14:paraId="45AB4578" w14:textId="506EE1EA"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Въвеждането на периндоприл инхибира ренин-ангиотензин-алдостероновата ос и води до тенденция към ограничаване на калиевата загуба предизвикана от индапамид.</w:t>
      </w:r>
    </w:p>
    <w:p w14:paraId="5694F85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2 </w:t>
      </w:r>
      <w:r w:rsidRPr="006A7A3D">
        <w:rPr>
          <w:rFonts w:eastAsia="Times New Roman" w:cs="Arial"/>
          <w:color w:val="000000"/>
          <w:u w:val="single"/>
          <w:lang w:val="en-US"/>
        </w:rPr>
        <w:t xml:space="preserve">mg/0,625 mg </w:t>
      </w:r>
      <w:r w:rsidRPr="006A7A3D">
        <w:rPr>
          <w:rFonts w:eastAsia="Times New Roman" w:cs="Arial"/>
          <w:color w:val="000000"/>
          <w:u w:val="single"/>
          <w:lang w:eastAsia="bg-BG"/>
        </w:rPr>
        <w:t>таблетки</w:t>
      </w:r>
    </w:p>
    <w:p w14:paraId="2C08031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Два процента от пациентите, лекувани с таблетките Ко-Пренеса 2 </w:t>
      </w:r>
      <w:r w:rsidRPr="006A7A3D">
        <w:rPr>
          <w:rFonts w:eastAsia="Times New Roman" w:cs="Arial"/>
          <w:color w:val="000000"/>
          <w:lang w:val="en-US"/>
        </w:rPr>
        <w:t xml:space="preserve">mg/0,625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4A6B48E5"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4 </w:t>
      </w:r>
      <w:r w:rsidRPr="006A7A3D">
        <w:rPr>
          <w:rFonts w:eastAsia="Times New Roman" w:cs="Arial"/>
          <w:color w:val="000000"/>
          <w:u w:val="single"/>
          <w:lang w:val="en-US"/>
        </w:rPr>
        <w:t xml:space="preserve">mg/1,25 mg </w:t>
      </w:r>
      <w:r w:rsidRPr="006A7A3D">
        <w:rPr>
          <w:rFonts w:eastAsia="Times New Roman" w:cs="Arial"/>
          <w:color w:val="000000"/>
          <w:u w:val="single"/>
          <w:lang w:eastAsia="bg-BG"/>
        </w:rPr>
        <w:t>таблетки</w:t>
      </w:r>
    </w:p>
    <w:p w14:paraId="10D8543C"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Четири процента от пациентите, лекувани с таблетките Ко-Пренеса 4 </w:t>
      </w:r>
      <w:r w:rsidRPr="006A7A3D">
        <w:rPr>
          <w:rFonts w:eastAsia="Times New Roman" w:cs="Arial"/>
          <w:color w:val="000000"/>
          <w:lang w:val="en-US"/>
        </w:rPr>
        <w:t xml:space="preserve">mg/1,25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56242982"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8 </w:t>
      </w:r>
      <w:r w:rsidRPr="006A7A3D">
        <w:rPr>
          <w:rFonts w:eastAsia="Times New Roman" w:cs="Arial"/>
          <w:color w:val="000000"/>
          <w:u w:val="single"/>
          <w:lang w:val="en-US"/>
        </w:rPr>
        <w:t xml:space="preserve">mg/2,5 mg </w:t>
      </w:r>
      <w:r w:rsidRPr="006A7A3D">
        <w:rPr>
          <w:rFonts w:eastAsia="Times New Roman" w:cs="Arial"/>
          <w:color w:val="000000"/>
          <w:u w:val="single"/>
          <w:lang w:eastAsia="bg-BG"/>
        </w:rPr>
        <w:t>таблетки</w:t>
      </w:r>
    </w:p>
    <w:p w14:paraId="4459446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Шест процента от пациентите, лекувани с таблетките Ко-Пренеса 8 </w:t>
      </w:r>
      <w:r w:rsidRPr="006A7A3D">
        <w:rPr>
          <w:rFonts w:eastAsia="Times New Roman" w:cs="Arial"/>
          <w:color w:val="000000"/>
          <w:lang w:val="en-US"/>
        </w:rPr>
        <w:t xml:space="preserve">mg/2,5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4448ED01" w14:textId="77777777" w:rsidR="006A7A3D" w:rsidRPr="006A7A3D" w:rsidRDefault="006A7A3D" w:rsidP="006A7A3D">
      <w:pPr>
        <w:spacing w:line="240" w:lineRule="auto"/>
        <w:rPr>
          <w:rFonts w:eastAsia="Times New Roman" w:cs="Arial"/>
          <w:color w:val="000000"/>
          <w:lang w:eastAsia="bg-BG"/>
        </w:rPr>
      </w:pPr>
    </w:p>
    <w:p w14:paraId="2FA21E01" w14:textId="7A4F0392"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Най-честите наблюдавани нежелани лекарствени реации са:</w:t>
      </w:r>
    </w:p>
    <w:p w14:paraId="168F9278" w14:textId="6993B529" w:rsidR="006A7A3D" w:rsidRPr="006A7A3D" w:rsidRDefault="006A7A3D" w:rsidP="006E6807">
      <w:pPr>
        <w:pStyle w:val="ListParagraph"/>
        <w:numPr>
          <w:ilvl w:val="0"/>
          <w:numId w:val="13"/>
        </w:numPr>
        <w:rPr>
          <w:rFonts w:cs="Arial"/>
        </w:rPr>
      </w:pPr>
      <w:r w:rsidRPr="006A7A3D">
        <w:rPr>
          <w:rFonts w:eastAsia="Times New Roman" w:cs="Arial"/>
          <w:color w:val="000000"/>
          <w:lang w:eastAsia="bg-BG"/>
        </w:rPr>
        <w:t>при периндоприл: замаяност, главоболие, парестезия, дисгеузия, зрителни нарушения,   вертиго, тинитус (шум в ушите), хипотония, кашлица, диспнея, коремна болка, констипация, диспепсия, диария, гадене, повръщане, пруритус (сърбеж), обрив, мускулни спазми и астения.</w:t>
      </w:r>
    </w:p>
    <w:p w14:paraId="16126170" w14:textId="77777777" w:rsidR="006A7A3D" w:rsidRPr="006A7A3D" w:rsidRDefault="006A7A3D" w:rsidP="006E6807">
      <w:pPr>
        <w:pStyle w:val="ListParagraph"/>
        <w:numPr>
          <w:ilvl w:val="0"/>
          <w:numId w:val="13"/>
        </w:numPr>
        <w:spacing w:line="240" w:lineRule="auto"/>
        <w:rPr>
          <w:rFonts w:eastAsia="Times New Roman" w:cs="Arial"/>
          <w:sz w:val="24"/>
          <w:szCs w:val="24"/>
          <w:lang w:eastAsia="bg-BG"/>
        </w:rPr>
      </w:pPr>
      <w:r w:rsidRPr="006A7A3D">
        <w:rPr>
          <w:rFonts w:eastAsia="Times New Roman" w:cs="Arial"/>
          <w:color w:val="000000"/>
          <w:lang w:eastAsia="bg-BG"/>
        </w:rPr>
        <w:lastRenderedPageBreak/>
        <w:t>с индапамид: хипокалиемия, реакции на свръхчувствителност, главно дерматологични, при лица с предразположение към алергични и астматични реакции, и макулопапулозни обриви.</w:t>
      </w:r>
    </w:p>
    <w:p w14:paraId="0B72CFA4" w14:textId="77777777" w:rsidR="006A7A3D" w:rsidRPr="006A7A3D" w:rsidRDefault="006A7A3D" w:rsidP="006A7A3D">
      <w:pPr>
        <w:spacing w:line="240" w:lineRule="auto"/>
        <w:rPr>
          <w:rFonts w:eastAsia="Times New Roman" w:cs="Arial"/>
          <w:color w:val="000000"/>
          <w:lang w:eastAsia="bg-BG"/>
        </w:rPr>
      </w:pPr>
    </w:p>
    <w:p w14:paraId="66D88A49" w14:textId="6EBAB306"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б.Табличен списък на нежеланите реакции</w:t>
      </w:r>
    </w:p>
    <w:p w14:paraId="1D754CD1" w14:textId="5FF8CCE0"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Следните нежелани реакции могат да се наблюдават по време на лечение и са подредени по следната честота:</w:t>
      </w:r>
    </w:p>
    <w:p w14:paraId="0FFA4794" w14:textId="77777777" w:rsidR="006A7A3D" w:rsidRPr="006A7A3D" w:rsidRDefault="006A7A3D" w:rsidP="006A7A3D">
      <w:pPr>
        <w:spacing w:line="240" w:lineRule="auto"/>
        <w:rPr>
          <w:rFonts w:eastAsia="Times New Roman" w:cs="Arial"/>
          <w:color w:val="000000"/>
          <w:lang w:eastAsia="bg-BG"/>
        </w:rPr>
      </w:pPr>
    </w:p>
    <w:p w14:paraId="3810A779" w14:textId="1C3DF55A"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Много чести (≥1/10)</w:t>
      </w:r>
    </w:p>
    <w:p w14:paraId="71F5939D"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Чести (≥1/100 до &lt;1/10)</w:t>
      </w:r>
    </w:p>
    <w:p w14:paraId="752CD2E3"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Нечести (≥1/1 000 до &lt;1/100)</w:t>
      </w:r>
    </w:p>
    <w:p w14:paraId="53A33B2F"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Редки (≥1/10 000 до &lt;1/1 000)</w:t>
      </w:r>
    </w:p>
    <w:p w14:paraId="3822697E"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Много редки (&lt;1/10 000)</w:t>
      </w:r>
    </w:p>
    <w:p w14:paraId="6299E6FF" w14:textId="1B35E470" w:rsidR="006A7A3D" w:rsidRPr="006A7A3D" w:rsidRDefault="006A7A3D" w:rsidP="006A7A3D">
      <w:pPr>
        <w:rPr>
          <w:rFonts w:cs="Arial"/>
        </w:rPr>
      </w:pPr>
      <w:r w:rsidRPr="006A7A3D">
        <w:rPr>
          <w:rFonts w:eastAsia="Times New Roman" w:cs="Arial"/>
          <w:color w:val="000000"/>
          <w:lang w:eastAsia="bg-BG"/>
        </w:rPr>
        <w:t>С неизвестна честота (не може да се предвиди от наличните данни)</w:t>
      </w:r>
    </w:p>
    <w:tbl>
      <w:tblPr>
        <w:tblStyle w:val="TableGrid"/>
        <w:tblW w:w="0" w:type="auto"/>
        <w:tblLook w:val="04A0" w:firstRow="1" w:lastRow="0" w:firstColumn="1" w:lastColumn="0" w:noHBand="0" w:noVBand="1"/>
      </w:tblPr>
      <w:tblGrid>
        <w:gridCol w:w="2620"/>
        <w:gridCol w:w="2460"/>
        <w:gridCol w:w="2169"/>
        <w:gridCol w:w="2101"/>
      </w:tblGrid>
      <w:tr w:rsidR="00044048" w14:paraId="687CC3CB" w14:textId="77777777" w:rsidTr="007E4A66">
        <w:tc>
          <w:tcPr>
            <w:tcW w:w="2620" w:type="dxa"/>
            <w:vMerge w:val="restart"/>
          </w:tcPr>
          <w:p w14:paraId="10F1DB5F" w14:textId="29595954" w:rsidR="00044048" w:rsidRPr="007E4A66" w:rsidRDefault="00044048" w:rsidP="00044048">
            <w:pPr>
              <w:rPr>
                <w:rFonts w:cs="Arial"/>
              </w:rPr>
            </w:pPr>
            <w:proofErr w:type="spellStart"/>
            <w:r w:rsidRPr="007E4A66">
              <w:rPr>
                <w:rFonts w:cs="Arial"/>
                <w:b/>
                <w:bCs/>
                <w:lang w:val="en-US"/>
              </w:rPr>
              <w:t>MedDRA</w:t>
            </w:r>
            <w:proofErr w:type="spellEnd"/>
            <w:r w:rsidRPr="007E4A66">
              <w:rPr>
                <w:rFonts w:cs="Arial"/>
                <w:b/>
                <w:bCs/>
                <w:lang w:val="en-US"/>
              </w:rPr>
              <w:t xml:space="preserve"> </w:t>
            </w:r>
            <w:r w:rsidRPr="007E4A66">
              <w:rPr>
                <w:rFonts w:cs="Arial"/>
                <w:b/>
                <w:bCs/>
              </w:rPr>
              <w:t>Системо- органен клас</w:t>
            </w:r>
          </w:p>
        </w:tc>
        <w:tc>
          <w:tcPr>
            <w:tcW w:w="2460" w:type="dxa"/>
            <w:vMerge w:val="restart"/>
          </w:tcPr>
          <w:p w14:paraId="29797B05" w14:textId="63C4C37B" w:rsidR="00044048" w:rsidRPr="007E4A66" w:rsidRDefault="00044048" w:rsidP="00044048">
            <w:pPr>
              <w:rPr>
                <w:rFonts w:cs="Arial"/>
              </w:rPr>
            </w:pPr>
            <w:r w:rsidRPr="007E4A66">
              <w:rPr>
                <w:rFonts w:cs="Arial"/>
                <w:b/>
                <w:bCs/>
              </w:rPr>
              <w:t>Нежелани реакции</w:t>
            </w:r>
          </w:p>
        </w:tc>
        <w:tc>
          <w:tcPr>
            <w:tcW w:w="4270" w:type="dxa"/>
            <w:gridSpan w:val="2"/>
          </w:tcPr>
          <w:p w14:paraId="74291E4F" w14:textId="77777777" w:rsidR="00044048" w:rsidRPr="007E4A66" w:rsidRDefault="00044048" w:rsidP="00044048">
            <w:pPr>
              <w:rPr>
                <w:rFonts w:cs="Arial"/>
              </w:rPr>
            </w:pPr>
          </w:p>
        </w:tc>
      </w:tr>
      <w:tr w:rsidR="00044048" w14:paraId="4AF35D9F" w14:textId="77777777" w:rsidTr="007E4A66">
        <w:tc>
          <w:tcPr>
            <w:tcW w:w="2620" w:type="dxa"/>
            <w:vMerge/>
          </w:tcPr>
          <w:p w14:paraId="15702FC5" w14:textId="77777777" w:rsidR="00044048" w:rsidRPr="007E4A66" w:rsidRDefault="00044048" w:rsidP="00044048">
            <w:pPr>
              <w:rPr>
                <w:rFonts w:cs="Arial"/>
              </w:rPr>
            </w:pPr>
          </w:p>
        </w:tc>
        <w:tc>
          <w:tcPr>
            <w:tcW w:w="2460" w:type="dxa"/>
            <w:vMerge/>
          </w:tcPr>
          <w:p w14:paraId="0BE5570F" w14:textId="77777777" w:rsidR="00044048" w:rsidRPr="007E4A66" w:rsidRDefault="00044048" w:rsidP="00044048">
            <w:pPr>
              <w:rPr>
                <w:rFonts w:cs="Arial"/>
              </w:rPr>
            </w:pPr>
          </w:p>
        </w:tc>
        <w:tc>
          <w:tcPr>
            <w:tcW w:w="4270" w:type="dxa"/>
            <w:gridSpan w:val="2"/>
          </w:tcPr>
          <w:p w14:paraId="3BA52E70" w14:textId="0040B801" w:rsidR="00044048" w:rsidRPr="007E4A66" w:rsidRDefault="00F66225" w:rsidP="00044048">
            <w:pPr>
              <w:rPr>
                <w:rFonts w:cs="Arial"/>
              </w:rPr>
            </w:pPr>
            <w:r w:rsidRPr="007E4A66">
              <w:rPr>
                <w:rFonts w:cs="Arial"/>
                <w:b/>
                <w:bCs/>
              </w:rPr>
              <w:t>Честота</w:t>
            </w:r>
          </w:p>
        </w:tc>
      </w:tr>
      <w:tr w:rsidR="00F66225" w14:paraId="11DA3D84" w14:textId="77777777" w:rsidTr="007E4A66">
        <w:tc>
          <w:tcPr>
            <w:tcW w:w="2620" w:type="dxa"/>
            <w:vMerge/>
          </w:tcPr>
          <w:p w14:paraId="755B7BEB" w14:textId="77777777" w:rsidR="00F66225" w:rsidRPr="007E4A66" w:rsidRDefault="00F66225" w:rsidP="00F66225">
            <w:pPr>
              <w:rPr>
                <w:rFonts w:cs="Arial"/>
              </w:rPr>
            </w:pPr>
          </w:p>
        </w:tc>
        <w:tc>
          <w:tcPr>
            <w:tcW w:w="2460" w:type="dxa"/>
            <w:vMerge/>
          </w:tcPr>
          <w:p w14:paraId="51ADDA6F" w14:textId="77777777" w:rsidR="00F66225" w:rsidRPr="007E4A66" w:rsidRDefault="00F66225" w:rsidP="00F66225">
            <w:pPr>
              <w:rPr>
                <w:rFonts w:cs="Arial"/>
              </w:rPr>
            </w:pPr>
          </w:p>
        </w:tc>
        <w:tc>
          <w:tcPr>
            <w:tcW w:w="2169" w:type="dxa"/>
          </w:tcPr>
          <w:p w14:paraId="15A1BC1A" w14:textId="2D8DC42A" w:rsidR="00F66225" w:rsidRPr="007E4A66" w:rsidRDefault="00F66225" w:rsidP="00F66225">
            <w:pPr>
              <w:rPr>
                <w:rFonts w:cs="Arial"/>
              </w:rPr>
            </w:pPr>
            <w:r w:rsidRPr="007E4A66">
              <w:rPr>
                <w:rFonts w:cs="Arial"/>
                <w:b/>
                <w:bCs/>
              </w:rPr>
              <w:t>Периндоприл</w:t>
            </w:r>
          </w:p>
        </w:tc>
        <w:tc>
          <w:tcPr>
            <w:tcW w:w="2101" w:type="dxa"/>
          </w:tcPr>
          <w:p w14:paraId="78B9FADF" w14:textId="32AB5607" w:rsidR="00F66225" w:rsidRPr="007E4A66" w:rsidRDefault="00F66225" w:rsidP="00F66225">
            <w:pPr>
              <w:rPr>
                <w:rFonts w:cs="Arial"/>
              </w:rPr>
            </w:pPr>
            <w:r w:rsidRPr="007E4A66">
              <w:rPr>
                <w:rFonts w:cs="Arial"/>
                <w:b/>
                <w:bCs/>
              </w:rPr>
              <w:t>Индапамид</w:t>
            </w:r>
          </w:p>
        </w:tc>
      </w:tr>
      <w:tr w:rsidR="00F66225" w14:paraId="40869B92" w14:textId="77777777" w:rsidTr="007E4A66">
        <w:tc>
          <w:tcPr>
            <w:tcW w:w="2620" w:type="dxa"/>
          </w:tcPr>
          <w:p w14:paraId="7C76B835" w14:textId="0E8C28F8" w:rsidR="00F66225" w:rsidRPr="007E4A66" w:rsidRDefault="00F66225" w:rsidP="00F66225">
            <w:pPr>
              <w:rPr>
                <w:rFonts w:cs="Arial"/>
              </w:rPr>
            </w:pPr>
            <w:r w:rsidRPr="007E4A66">
              <w:rPr>
                <w:rFonts w:cs="Arial"/>
                <w:i/>
                <w:iCs/>
              </w:rPr>
              <w:t>Инфекции и инфестации</w:t>
            </w:r>
          </w:p>
        </w:tc>
        <w:tc>
          <w:tcPr>
            <w:tcW w:w="2460" w:type="dxa"/>
          </w:tcPr>
          <w:p w14:paraId="7185BF7D" w14:textId="320C590F" w:rsidR="00F66225" w:rsidRPr="007E4A66" w:rsidRDefault="00F66225" w:rsidP="00F66225">
            <w:pPr>
              <w:rPr>
                <w:rFonts w:cs="Arial"/>
              </w:rPr>
            </w:pPr>
            <w:r w:rsidRPr="007E4A66">
              <w:rPr>
                <w:rFonts w:cs="Arial"/>
              </w:rPr>
              <w:t>Ринит</w:t>
            </w:r>
          </w:p>
        </w:tc>
        <w:tc>
          <w:tcPr>
            <w:tcW w:w="2169" w:type="dxa"/>
          </w:tcPr>
          <w:p w14:paraId="33101087" w14:textId="72100B0E" w:rsidR="00F66225" w:rsidRPr="007E4A66" w:rsidRDefault="00F66225" w:rsidP="00F66225">
            <w:pPr>
              <w:rPr>
                <w:rFonts w:cs="Arial"/>
              </w:rPr>
            </w:pPr>
            <w:r w:rsidRPr="007E4A66">
              <w:rPr>
                <w:rFonts w:cs="Arial"/>
              </w:rPr>
              <w:t>Много редки</w:t>
            </w:r>
          </w:p>
        </w:tc>
        <w:tc>
          <w:tcPr>
            <w:tcW w:w="2101" w:type="dxa"/>
          </w:tcPr>
          <w:p w14:paraId="0A56D719" w14:textId="6C8500FC" w:rsidR="00F66225" w:rsidRPr="007E4A66" w:rsidRDefault="00F66225" w:rsidP="00F66225">
            <w:pPr>
              <w:rPr>
                <w:rFonts w:cs="Arial"/>
              </w:rPr>
            </w:pPr>
            <w:r w:rsidRPr="007E4A66">
              <w:rPr>
                <w:rFonts w:cs="Arial"/>
              </w:rPr>
              <w:t>-</w:t>
            </w:r>
          </w:p>
        </w:tc>
      </w:tr>
      <w:tr w:rsidR="00F66225" w14:paraId="52C6E5E5" w14:textId="77777777" w:rsidTr="007E4A66">
        <w:tc>
          <w:tcPr>
            <w:tcW w:w="2620" w:type="dxa"/>
            <w:vMerge w:val="restart"/>
          </w:tcPr>
          <w:p w14:paraId="070B0071" w14:textId="702F18C0" w:rsidR="00F66225" w:rsidRPr="007E4A66" w:rsidRDefault="00F66225" w:rsidP="00F66225">
            <w:pPr>
              <w:rPr>
                <w:rFonts w:cs="Arial"/>
              </w:rPr>
            </w:pPr>
            <w:r w:rsidRPr="007E4A66">
              <w:rPr>
                <w:rFonts w:cs="Arial"/>
                <w:i/>
                <w:iCs/>
              </w:rPr>
              <w:t>Нарушения на кръвта и лимфната система</w:t>
            </w:r>
          </w:p>
        </w:tc>
        <w:tc>
          <w:tcPr>
            <w:tcW w:w="2460" w:type="dxa"/>
          </w:tcPr>
          <w:p w14:paraId="4C1C9EB4" w14:textId="499EF920" w:rsidR="00F66225" w:rsidRPr="007E4A66" w:rsidRDefault="00F66225" w:rsidP="00F66225">
            <w:pPr>
              <w:rPr>
                <w:rFonts w:cs="Arial"/>
              </w:rPr>
            </w:pPr>
            <w:r w:rsidRPr="007E4A66">
              <w:rPr>
                <w:rFonts w:cs="Arial"/>
              </w:rPr>
              <w:t>Еозинофилия</w:t>
            </w:r>
          </w:p>
        </w:tc>
        <w:tc>
          <w:tcPr>
            <w:tcW w:w="2169" w:type="dxa"/>
          </w:tcPr>
          <w:p w14:paraId="01014D51" w14:textId="72C82D31" w:rsidR="00F66225" w:rsidRPr="007E4A66" w:rsidRDefault="00F66225" w:rsidP="00F66225">
            <w:pPr>
              <w:rPr>
                <w:rFonts w:cs="Arial"/>
              </w:rPr>
            </w:pPr>
            <w:r w:rsidRPr="007E4A66">
              <w:rPr>
                <w:rFonts w:cs="Arial"/>
              </w:rPr>
              <w:t>Нечести*</w:t>
            </w:r>
          </w:p>
        </w:tc>
        <w:tc>
          <w:tcPr>
            <w:tcW w:w="2101" w:type="dxa"/>
          </w:tcPr>
          <w:p w14:paraId="29FFBB73" w14:textId="202991B0" w:rsidR="00F66225" w:rsidRPr="007E4A66" w:rsidRDefault="00F66225" w:rsidP="00F66225">
            <w:pPr>
              <w:rPr>
                <w:rFonts w:cs="Arial"/>
                <w:lang w:val="en-US"/>
              </w:rPr>
            </w:pPr>
            <w:r w:rsidRPr="007E4A66">
              <w:rPr>
                <w:rFonts w:cs="Arial"/>
                <w:lang w:val="en-US"/>
              </w:rPr>
              <w:t>-</w:t>
            </w:r>
          </w:p>
        </w:tc>
      </w:tr>
      <w:tr w:rsidR="00F66225" w14:paraId="2C6716AE" w14:textId="77777777" w:rsidTr="007E4A66">
        <w:tc>
          <w:tcPr>
            <w:tcW w:w="2620" w:type="dxa"/>
            <w:vMerge/>
          </w:tcPr>
          <w:p w14:paraId="336E7399" w14:textId="77777777" w:rsidR="00F66225" w:rsidRPr="007E4A66" w:rsidRDefault="00F66225" w:rsidP="00F66225">
            <w:pPr>
              <w:rPr>
                <w:rFonts w:cs="Arial"/>
              </w:rPr>
            </w:pPr>
          </w:p>
        </w:tc>
        <w:tc>
          <w:tcPr>
            <w:tcW w:w="2460" w:type="dxa"/>
          </w:tcPr>
          <w:p w14:paraId="2F5577DE" w14:textId="047AB893" w:rsidR="00F66225" w:rsidRPr="007E4A66" w:rsidRDefault="00F66225" w:rsidP="00F66225">
            <w:pPr>
              <w:rPr>
                <w:rFonts w:cs="Arial"/>
              </w:rPr>
            </w:pPr>
            <w:r w:rsidRPr="007E4A66">
              <w:rPr>
                <w:rFonts w:cs="Arial"/>
              </w:rPr>
              <w:t>Агранулоцитоза (вж. точка 4.4)</w:t>
            </w:r>
          </w:p>
        </w:tc>
        <w:tc>
          <w:tcPr>
            <w:tcW w:w="2169" w:type="dxa"/>
          </w:tcPr>
          <w:p w14:paraId="7CE45DD4" w14:textId="730797F8" w:rsidR="00F66225" w:rsidRPr="007E4A66" w:rsidRDefault="00F66225" w:rsidP="00F66225">
            <w:pPr>
              <w:rPr>
                <w:rFonts w:cs="Arial"/>
              </w:rPr>
            </w:pPr>
            <w:r w:rsidRPr="007E4A66">
              <w:rPr>
                <w:rFonts w:cs="Arial"/>
              </w:rPr>
              <w:t>Много редки</w:t>
            </w:r>
          </w:p>
        </w:tc>
        <w:tc>
          <w:tcPr>
            <w:tcW w:w="2101" w:type="dxa"/>
          </w:tcPr>
          <w:p w14:paraId="5FF09A94" w14:textId="055E0A9F" w:rsidR="00F66225" w:rsidRPr="007E4A66" w:rsidRDefault="00F66225" w:rsidP="00F66225">
            <w:pPr>
              <w:rPr>
                <w:rFonts w:cs="Arial"/>
              </w:rPr>
            </w:pPr>
            <w:r w:rsidRPr="007E4A66">
              <w:rPr>
                <w:rFonts w:cs="Arial"/>
              </w:rPr>
              <w:t>Много редки</w:t>
            </w:r>
          </w:p>
        </w:tc>
      </w:tr>
      <w:tr w:rsidR="00F66225" w14:paraId="55564533" w14:textId="77777777" w:rsidTr="007E4A66">
        <w:tc>
          <w:tcPr>
            <w:tcW w:w="2620" w:type="dxa"/>
            <w:vMerge/>
          </w:tcPr>
          <w:p w14:paraId="09DDCECE" w14:textId="77777777" w:rsidR="00F66225" w:rsidRPr="007E4A66" w:rsidRDefault="00F66225" w:rsidP="00F66225">
            <w:pPr>
              <w:rPr>
                <w:rFonts w:cs="Arial"/>
              </w:rPr>
            </w:pPr>
          </w:p>
        </w:tc>
        <w:tc>
          <w:tcPr>
            <w:tcW w:w="2460" w:type="dxa"/>
          </w:tcPr>
          <w:p w14:paraId="1D537427" w14:textId="03CA1D41" w:rsidR="00F66225" w:rsidRPr="007E4A66" w:rsidRDefault="00F66225" w:rsidP="00F66225">
            <w:pPr>
              <w:rPr>
                <w:rFonts w:cs="Arial"/>
              </w:rPr>
            </w:pPr>
            <w:r w:rsidRPr="007E4A66">
              <w:rPr>
                <w:rFonts w:cs="Arial"/>
              </w:rPr>
              <w:t>Апластична анемия</w:t>
            </w:r>
          </w:p>
        </w:tc>
        <w:tc>
          <w:tcPr>
            <w:tcW w:w="2169" w:type="dxa"/>
          </w:tcPr>
          <w:p w14:paraId="259BC24E" w14:textId="7BD0EF85" w:rsidR="00F66225" w:rsidRPr="007E4A66" w:rsidRDefault="00F66225" w:rsidP="00F66225">
            <w:pPr>
              <w:rPr>
                <w:rFonts w:cs="Arial"/>
              </w:rPr>
            </w:pPr>
            <w:r w:rsidRPr="007E4A66">
              <w:rPr>
                <w:rFonts w:cs="Arial"/>
              </w:rPr>
              <w:t>-</w:t>
            </w:r>
          </w:p>
        </w:tc>
        <w:tc>
          <w:tcPr>
            <w:tcW w:w="2101" w:type="dxa"/>
          </w:tcPr>
          <w:p w14:paraId="6379DE69" w14:textId="1981C844" w:rsidR="00F66225" w:rsidRPr="007E4A66" w:rsidRDefault="00F66225" w:rsidP="00F66225">
            <w:pPr>
              <w:rPr>
                <w:rFonts w:cs="Arial"/>
              </w:rPr>
            </w:pPr>
            <w:r w:rsidRPr="007E4A66">
              <w:rPr>
                <w:rFonts w:cs="Arial"/>
              </w:rPr>
              <w:t>Много редки</w:t>
            </w:r>
          </w:p>
        </w:tc>
      </w:tr>
      <w:tr w:rsidR="00F66225" w14:paraId="3CA8B2CB" w14:textId="77777777" w:rsidTr="007E4A66">
        <w:tc>
          <w:tcPr>
            <w:tcW w:w="2620" w:type="dxa"/>
            <w:vMerge/>
          </w:tcPr>
          <w:p w14:paraId="69A9944F" w14:textId="77777777" w:rsidR="00F66225" w:rsidRPr="007E4A66" w:rsidRDefault="00F66225" w:rsidP="00F66225">
            <w:pPr>
              <w:rPr>
                <w:rFonts w:cs="Arial"/>
              </w:rPr>
            </w:pPr>
          </w:p>
        </w:tc>
        <w:tc>
          <w:tcPr>
            <w:tcW w:w="2460" w:type="dxa"/>
          </w:tcPr>
          <w:p w14:paraId="29AB9249" w14:textId="22EC916D" w:rsidR="00F66225" w:rsidRPr="007E4A66" w:rsidRDefault="00F66225" w:rsidP="00F66225">
            <w:pPr>
              <w:rPr>
                <w:rFonts w:cs="Arial"/>
              </w:rPr>
            </w:pPr>
            <w:r w:rsidRPr="007E4A66">
              <w:rPr>
                <w:rFonts w:cs="Arial"/>
              </w:rPr>
              <w:t>Панцитопения</w:t>
            </w:r>
          </w:p>
        </w:tc>
        <w:tc>
          <w:tcPr>
            <w:tcW w:w="2169" w:type="dxa"/>
          </w:tcPr>
          <w:p w14:paraId="3617D077" w14:textId="6893C954" w:rsidR="00F66225" w:rsidRPr="007E4A66" w:rsidRDefault="00F66225" w:rsidP="00F66225">
            <w:pPr>
              <w:rPr>
                <w:rFonts w:cs="Arial"/>
              </w:rPr>
            </w:pPr>
            <w:r w:rsidRPr="007E4A66">
              <w:rPr>
                <w:rFonts w:cs="Arial"/>
              </w:rPr>
              <w:t>Много редки</w:t>
            </w:r>
          </w:p>
        </w:tc>
        <w:tc>
          <w:tcPr>
            <w:tcW w:w="2101" w:type="dxa"/>
          </w:tcPr>
          <w:p w14:paraId="4AA525D1" w14:textId="75C6E367" w:rsidR="00F66225" w:rsidRPr="007E4A66" w:rsidRDefault="00F66225" w:rsidP="00F66225">
            <w:pPr>
              <w:rPr>
                <w:rFonts w:cs="Arial"/>
                <w:lang w:val="en-US"/>
              </w:rPr>
            </w:pPr>
            <w:r w:rsidRPr="007E4A66">
              <w:rPr>
                <w:rFonts w:cs="Arial"/>
                <w:lang w:val="en-US"/>
              </w:rPr>
              <w:t>-</w:t>
            </w:r>
          </w:p>
        </w:tc>
      </w:tr>
      <w:tr w:rsidR="00F66225" w14:paraId="4F3DDD07" w14:textId="77777777" w:rsidTr="007E4A66">
        <w:tc>
          <w:tcPr>
            <w:tcW w:w="2620" w:type="dxa"/>
            <w:vMerge/>
          </w:tcPr>
          <w:p w14:paraId="2EDFF6DB" w14:textId="77777777" w:rsidR="00F66225" w:rsidRPr="007E4A66" w:rsidRDefault="00F66225" w:rsidP="00F66225">
            <w:pPr>
              <w:rPr>
                <w:rFonts w:cs="Arial"/>
              </w:rPr>
            </w:pPr>
          </w:p>
        </w:tc>
        <w:tc>
          <w:tcPr>
            <w:tcW w:w="2460" w:type="dxa"/>
          </w:tcPr>
          <w:p w14:paraId="610DF29E" w14:textId="089F8757" w:rsidR="00F66225" w:rsidRPr="007E4A66" w:rsidRDefault="00F66225" w:rsidP="00F66225">
            <w:pPr>
              <w:rPr>
                <w:rFonts w:cs="Arial"/>
              </w:rPr>
            </w:pPr>
            <w:r w:rsidRPr="007E4A66">
              <w:rPr>
                <w:rFonts w:cs="Arial"/>
              </w:rPr>
              <w:t>Левкопения</w:t>
            </w:r>
          </w:p>
        </w:tc>
        <w:tc>
          <w:tcPr>
            <w:tcW w:w="2169" w:type="dxa"/>
          </w:tcPr>
          <w:p w14:paraId="6F21870A" w14:textId="6B17D6B1" w:rsidR="00F66225" w:rsidRPr="007E4A66" w:rsidRDefault="00F66225" w:rsidP="00F66225">
            <w:pPr>
              <w:rPr>
                <w:rFonts w:cs="Arial"/>
              </w:rPr>
            </w:pPr>
            <w:r w:rsidRPr="007E4A66">
              <w:rPr>
                <w:rFonts w:cs="Arial"/>
              </w:rPr>
              <w:t>Много редки</w:t>
            </w:r>
          </w:p>
        </w:tc>
        <w:tc>
          <w:tcPr>
            <w:tcW w:w="2101" w:type="dxa"/>
          </w:tcPr>
          <w:p w14:paraId="74467D32" w14:textId="0C942616" w:rsidR="00F66225" w:rsidRPr="007E4A66" w:rsidRDefault="00F66225" w:rsidP="00F66225">
            <w:pPr>
              <w:rPr>
                <w:rFonts w:cs="Arial"/>
              </w:rPr>
            </w:pPr>
            <w:r w:rsidRPr="007E4A66">
              <w:rPr>
                <w:rFonts w:cs="Arial"/>
              </w:rPr>
              <w:t>Много редки</w:t>
            </w:r>
          </w:p>
        </w:tc>
      </w:tr>
      <w:tr w:rsidR="00F66225" w14:paraId="4EF8F54F" w14:textId="77777777" w:rsidTr="007E4A66">
        <w:tc>
          <w:tcPr>
            <w:tcW w:w="2620" w:type="dxa"/>
            <w:vMerge/>
          </w:tcPr>
          <w:p w14:paraId="135524BF" w14:textId="77777777" w:rsidR="00F66225" w:rsidRPr="007E4A66" w:rsidRDefault="00F66225" w:rsidP="00F66225">
            <w:pPr>
              <w:rPr>
                <w:rFonts w:cs="Arial"/>
              </w:rPr>
            </w:pPr>
          </w:p>
        </w:tc>
        <w:tc>
          <w:tcPr>
            <w:tcW w:w="2460" w:type="dxa"/>
          </w:tcPr>
          <w:p w14:paraId="446F66A3" w14:textId="2A85CF1E" w:rsidR="00F66225" w:rsidRPr="007E4A66" w:rsidRDefault="00F66225" w:rsidP="00F66225">
            <w:pPr>
              <w:rPr>
                <w:rFonts w:cs="Arial"/>
              </w:rPr>
            </w:pPr>
            <w:r w:rsidRPr="007E4A66">
              <w:rPr>
                <w:rFonts w:cs="Arial"/>
              </w:rPr>
              <w:t>Неутропения (вж. точка 4.4)</w:t>
            </w:r>
          </w:p>
        </w:tc>
        <w:tc>
          <w:tcPr>
            <w:tcW w:w="2169" w:type="dxa"/>
          </w:tcPr>
          <w:p w14:paraId="00C15E59" w14:textId="6A67836B" w:rsidR="00F66225" w:rsidRPr="007E4A66" w:rsidRDefault="00F66225" w:rsidP="00F66225">
            <w:pPr>
              <w:rPr>
                <w:rFonts w:cs="Arial"/>
              </w:rPr>
            </w:pPr>
            <w:r w:rsidRPr="007E4A66">
              <w:rPr>
                <w:rFonts w:cs="Arial"/>
              </w:rPr>
              <w:t>Много редки</w:t>
            </w:r>
          </w:p>
        </w:tc>
        <w:tc>
          <w:tcPr>
            <w:tcW w:w="2101" w:type="dxa"/>
          </w:tcPr>
          <w:p w14:paraId="154D3BB9" w14:textId="6A0ED7C8" w:rsidR="00F66225" w:rsidRPr="007E4A66" w:rsidRDefault="00F66225" w:rsidP="00F66225">
            <w:pPr>
              <w:rPr>
                <w:rFonts w:cs="Arial"/>
                <w:lang w:val="en-US"/>
              </w:rPr>
            </w:pPr>
            <w:r w:rsidRPr="007E4A66">
              <w:rPr>
                <w:rFonts w:cs="Arial"/>
                <w:lang w:val="en-US"/>
              </w:rPr>
              <w:t>-</w:t>
            </w:r>
          </w:p>
        </w:tc>
      </w:tr>
      <w:tr w:rsidR="00F66225" w14:paraId="6B6E370E" w14:textId="77777777" w:rsidTr="007E4A66">
        <w:tc>
          <w:tcPr>
            <w:tcW w:w="2620" w:type="dxa"/>
            <w:vMerge/>
          </w:tcPr>
          <w:p w14:paraId="3FE7B985" w14:textId="77777777" w:rsidR="00F66225" w:rsidRPr="007E4A66" w:rsidRDefault="00F66225" w:rsidP="00F66225">
            <w:pPr>
              <w:rPr>
                <w:rFonts w:cs="Arial"/>
              </w:rPr>
            </w:pPr>
          </w:p>
        </w:tc>
        <w:tc>
          <w:tcPr>
            <w:tcW w:w="2460" w:type="dxa"/>
          </w:tcPr>
          <w:p w14:paraId="37C4EEFF" w14:textId="679708BF" w:rsidR="00F66225" w:rsidRPr="007E4A66" w:rsidRDefault="00F66225" w:rsidP="00F66225">
            <w:pPr>
              <w:rPr>
                <w:rFonts w:cs="Arial"/>
              </w:rPr>
            </w:pPr>
            <w:r w:rsidRPr="007E4A66">
              <w:rPr>
                <w:rFonts w:cs="Arial"/>
              </w:rPr>
              <w:t>Хемолитична анемия</w:t>
            </w:r>
          </w:p>
        </w:tc>
        <w:tc>
          <w:tcPr>
            <w:tcW w:w="2169" w:type="dxa"/>
          </w:tcPr>
          <w:p w14:paraId="191171A6" w14:textId="28377515" w:rsidR="00F66225" w:rsidRPr="007E4A66" w:rsidRDefault="00F66225" w:rsidP="00F66225">
            <w:pPr>
              <w:rPr>
                <w:rFonts w:cs="Arial"/>
              </w:rPr>
            </w:pPr>
            <w:r w:rsidRPr="007E4A66">
              <w:rPr>
                <w:rFonts w:cs="Arial"/>
              </w:rPr>
              <w:t>Много редки</w:t>
            </w:r>
          </w:p>
        </w:tc>
        <w:tc>
          <w:tcPr>
            <w:tcW w:w="2101" w:type="dxa"/>
          </w:tcPr>
          <w:p w14:paraId="4D41ABF2" w14:textId="72937D78" w:rsidR="00F66225" w:rsidRPr="007E4A66" w:rsidRDefault="00F66225" w:rsidP="00F66225">
            <w:pPr>
              <w:rPr>
                <w:rFonts w:cs="Arial"/>
              </w:rPr>
            </w:pPr>
            <w:r w:rsidRPr="007E4A66">
              <w:rPr>
                <w:rFonts w:cs="Arial"/>
              </w:rPr>
              <w:t>Много редки</w:t>
            </w:r>
          </w:p>
        </w:tc>
      </w:tr>
      <w:tr w:rsidR="00F66225" w14:paraId="09BBFCF6" w14:textId="77777777" w:rsidTr="007E4A66">
        <w:tc>
          <w:tcPr>
            <w:tcW w:w="2620" w:type="dxa"/>
            <w:vMerge/>
          </w:tcPr>
          <w:p w14:paraId="7E43139C" w14:textId="77777777" w:rsidR="00F66225" w:rsidRPr="007E4A66" w:rsidRDefault="00F66225" w:rsidP="00F66225">
            <w:pPr>
              <w:rPr>
                <w:rFonts w:cs="Arial"/>
              </w:rPr>
            </w:pPr>
          </w:p>
        </w:tc>
        <w:tc>
          <w:tcPr>
            <w:tcW w:w="2460" w:type="dxa"/>
          </w:tcPr>
          <w:p w14:paraId="6E544DDE" w14:textId="1F415271" w:rsidR="00F66225" w:rsidRPr="007E4A66" w:rsidRDefault="00F66225" w:rsidP="00F66225">
            <w:pPr>
              <w:rPr>
                <w:rFonts w:cs="Arial"/>
              </w:rPr>
            </w:pPr>
            <w:r w:rsidRPr="007E4A66">
              <w:rPr>
                <w:rFonts w:cs="Arial"/>
              </w:rPr>
              <w:t>Тромбоцитопения (вж. точка 4.4)</w:t>
            </w:r>
          </w:p>
        </w:tc>
        <w:tc>
          <w:tcPr>
            <w:tcW w:w="2169" w:type="dxa"/>
          </w:tcPr>
          <w:p w14:paraId="333C23C7" w14:textId="2804779E" w:rsidR="00F66225" w:rsidRPr="007E4A66" w:rsidRDefault="00F66225" w:rsidP="00F66225">
            <w:pPr>
              <w:rPr>
                <w:rFonts w:cs="Arial"/>
              </w:rPr>
            </w:pPr>
            <w:r w:rsidRPr="007E4A66">
              <w:rPr>
                <w:rFonts w:cs="Arial"/>
              </w:rPr>
              <w:t>Много редки</w:t>
            </w:r>
          </w:p>
        </w:tc>
        <w:tc>
          <w:tcPr>
            <w:tcW w:w="2101" w:type="dxa"/>
          </w:tcPr>
          <w:p w14:paraId="253552F3" w14:textId="4E6DB593" w:rsidR="00F66225" w:rsidRPr="007E4A66" w:rsidRDefault="00F66225" w:rsidP="00F66225">
            <w:pPr>
              <w:rPr>
                <w:rFonts w:cs="Arial"/>
              </w:rPr>
            </w:pPr>
            <w:r w:rsidRPr="007E4A66">
              <w:rPr>
                <w:rFonts w:cs="Arial"/>
              </w:rPr>
              <w:t>Много редки</w:t>
            </w:r>
          </w:p>
        </w:tc>
      </w:tr>
      <w:tr w:rsidR="00F66225" w14:paraId="6DBD3533" w14:textId="77777777" w:rsidTr="007E4A66">
        <w:tc>
          <w:tcPr>
            <w:tcW w:w="2620" w:type="dxa"/>
            <w:vMerge/>
          </w:tcPr>
          <w:p w14:paraId="0BE42430" w14:textId="77777777" w:rsidR="00F66225" w:rsidRPr="007E4A66" w:rsidRDefault="00F66225" w:rsidP="00F66225">
            <w:pPr>
              <w:rPr>
                <w:rFonts w:cs="Arial"/>
              </w:rPr>
            </w:pPr>
          </w:p>
        </w:tc>
        <w:tc>
          <w:tcPr>
            <w:tcW w:w="2460" w:type="dxa"/>
          </w:tcPr>
          <w:p w14:paraId="4A4D0F77" w14:textId="61DBA5B0" w:rsidR="00F66225" w:rsidRPr="007E4A66" w:rsidRDefault="00F66225" w:rsidP="00F66225">
            <w:pPr>
              <w:rPr>
                <w:rFonts w:cs="Arial"/>
              </w:rPr>
            </w:pPr>
            <w:r w:rsidRPr="007E4A66">
              <w:rPr>
                <w:rFonts w:cs="Arial"/>
              </w:rPr>
              <w:t>Анемия (вж. точка 4.4) се съобщава при лечение с инхибитори на ангиотензин- конвертиращия ензим при специфични обстоятелства (пациенти с трансплантиран бъбрек, пациенти на хемодиализа)</w:t>
            </w:r>
          </w:p>
        </w:tc>
        <w:tc>
          <w:tcPr>
            <w:tcW w:w="2169" w:type="dxa"/>
          </w:tcPr>
          <w:p w14:paraId="095733C2" w14:textId="4270303F" w:rsidR="00F66225" w:rsidRPr="007E4A66" w:rsidRDefault="00F66225" w:rsidP="00F66225">
            <w:pPr>
              <w:rPr>
                <w:rFonts w:cs="Arial"/>
              </w:rPr>
            </w:pPr>
            <w:r w:rsidRPr="007E4A66">
              <w:rPr>
                <w:rFonts w:cs="Arial"/>
              </w:rPr>
              <w:t>Много редки</w:t>
            </w:r>
          </w:p>
        </w:tc>
        <w:tc>
          <w:tcPr>
            <w:tcW w:w="2101" w:type="dxa"/>
          </w:tcPr>
          <w:p w14:paraId="71693FB0" w14:textId="64F7BC86" w:rsidR="00F66225" w:rsidRPr="007E4A66" w:rsidRDefault="00F66225" w:rsidP="00F66225">
            <w:pPr>
              <w:rPr>
                <w:rFonts w:cs="Arial"/>
              </w:rPr>
            </w:pPr>
            <w:r w:rsidRPr="007E4A66">
              <w:rPr>
                <w:rFonts w:cs="Arial"/>
              </w:rPr>
              <w:t>Много редки</w:t>
            </w:r>
          </w:p>
        </w:tc>
      </w:tr>
      <w:tr w:rsidR="00F66225" w14:paraId="28FA184F" w14:textId="77777777" w:rsidTr="007E4A66">
        <w:tc>
          <w:tcPr>
            <w:tcW w:w="2620" w:type="dxa"/>
          </w:tcPr>
          <w:p w14:paraId="0EAEE5E2" w14:textId="59D5843F" w:rsidR="00F66225" w:rsidRPr="007E4A66" w:rsidRDefault="00F66225" w:rsidP="00F66225">
            <w:pPr>
              <w:rPr>
                <w:rFonts w:cs="Arial"/>
              </w:rPr>
            </w:pPr>
            <w:r w:rsidRPr="007E4A66">
              <w:rPr>
                <w:rFonts w:cs="Arial"/>
                <w:i/>
                <w:iCs/>
              </w:rPr>
              <w:t>Нарушения на имунната система</w:t>
            </w:r>
          </w:p>
        </w:tc>
        <w:tc>
          <w:tcPr>
            <w:tcW w:w="2460" w:type="dxa"/>
          </w:tcPr>
          <w:p w14:paraId="66B5C86B" w14:textId="0F084024" w:rsidR="00F66225" w:rsidRPr="007E4A66" w:rsidRDefault="00F66225" w:rsidP="00F66225">
            <w:pPr>
              <w:rPr>
                <w:rFonts w:cs="Arial"/>
              </w:rPr>
            </w:pPr>
            <w:r w:rsidRPr="007E4A66">
              <w:rPr>
                <w:rFonts w:cs="Arial"/>
              </w:rPr>
              <w:t xml:space="preserve">Свръхчувствителност (главно дерматологични, при лица с предразположение </w:t>
            </w:r>
            <w:r w:rsidRPr="007E4A66">
              <w:rPr>
                <w:rFonts w:cs="Arial"/>
              </w:rPr>
              <w:lastRenderedPageBreak/>
              <w:t>към алергични и астматични реакции)</w:t>
            </w:r>
          </w:p>
        </w:tc>
        <w:tc>
          <w:tcPr>
            <w:tcW w:w="2169" w:type="dxa"/>
          </w:tcPr>
          <w:p w14:paraId="66D6AF59" w14:textId="31D6B0F5" w:rsidR="00F66225" w:rsidRPr="007E4A66" w:rsidRDefault="00F66225" w:rsidP="00F66225">
            <w:pPr>
              <w:rPr>
                <w:rFonts w:cs="Arial"/>
                <w:lang w:val="en-US"/>
              </w:rPr>
            </w:pPr>
            <w:r w:rsidRPr="007E4A66">
              <w:rPr>
                <w:rFonts w:cs="Arial"/>
                <w:lang w:val="en-US"/>
              </w:rPr>
              <w:lastRenderedPageBreak/>
              <w:t>-</w:t>
            </w:r>
          </w:p>
        </w:tc>
        <w:tc>
          <w:tcPr>
            <w:tcW w:w="2101" w:type="dxa"/>
          </w:tcPr>
          <w:p w14:paraId="5511DA8C" w14:textId="4A91684A" w:rsidR="00F66225" w:rsidRPr="007E4A66" w:rsidRDefault="00F66225" w:rsidP="00F66225">
            <w:pPr>
              <w:rPr>
                <w:rFonts w:cs="Arial"/>
              </w:rPr>
            </w:pPr>
            <w:r w:rsidRPr="007E4A66">
              <w:rPr>
                <w:rFonts w:cs="Arial"/>
              </w:rPr>
              <w:t>Чести</w:t>
            </w:r>
          </w:p>
        </w:tc>
      </w:tr>
      <w:tr w:rsidR="00F66225" w14:paraId="604907BB" w14:textId="77777777" w:rsidTr="007E4A66">
        <w:tc>
          <w:tcPr>
            <w:tcW w:w="2620" w:type="dxa"/>
          </w:tcPr>
          <w:p w14:paraId="1D83544F" w14:textId="6F3F4085" w:rsidR="00F66225" w:rsidRPr="007E4A66" w:rsidRDefault="00F66225" w:rsidP="00F66225">
            <w:pPr>
              <w:rPr>
                <w:rFonts w:cs="Arial"/>
              </w:rPr>
            </w:pPr>
            <w:r w:rsidRPr="007E4A66">
              <w:rPr>
                <w:rFonts w:cs="Arial"/>
                <w:i/>
                <w:iCs/>
              </w:rPr>
              <w:t>Нарушения на ендокринната система</w:t>
            </w:r>
          </w:p>
        </w:tc>
        <w:tc>
          <w:tcPr>
            <w:tcW w:w="2460" w:type="dxa"/>
          </w:tcPr>
          <w:p w14:paraId="52462AB9" w14:textId="475AB619" w:rsidR="00F66225" w:rsidRPr="007E4A66" w:rsidRDefault="00F66225" w:rsidP="00F66225">
            <w:pPr>
              <w:rPr>
                <w:rFonts w:cs="Arial"/>
              </w:rPr>
            </w:pPr>
            <w:r w:rsidRPr="007E4A66">
              <w:rPr>
                <w:rFonts w:cs="Arial"/>
              </w:rPr>
              <w:t xml:space="preserve">Синдром на неадекватна секреция на антидиуретичния хормон </w:t>
            </w:r>
            <w:r w:rsidRPr="007E4A66">
              <w:rPr>
                <w:rFonts w:cs="Arial"/>
                <w:lang w:val="en-US"/>
              </w:rPr>
              <w:t>(SIADH)</w:t>
            </w:r>
          </w:p>
        </w:tc>
        <w:tc>
          <w:tcPr>
            <w:tcW w:w="2169" w:type="dxa"/>
          </w:tcPr>
          <w:p w14:paraId="68E1D4BF" w14:textId="7E08C767" w:rsidR="00F66225" w:rsidRPr="007E4A66" w:rsidRDefault="00F66225" w:rsidP="00F66225">
            <w:pPr>
              <w:rPr>
                <w:rFonts w:cs="Arial"/>
              </w:rPr>
            </w:pPr>
            <w:r w:rsidRPr="007E4A66">
              <w:rPr>
                <w:rFonts w:cs="Arial"/>
              </w:rPr>
              <w:t>Редки</w:t>
            </w:r>
          </w:p>
        </w:tc>
        <w:tc>
          <w:tcPr>
            <w:tcW w:w="2101" w:type="dxa"/>
          </w:tcPr>
          <w:p w14:paraId="3AAB7F8D" w14:textId="144F6845" w:rsidR="00F66225" w:rsidRPr="007E4A66" w:rsidRDefault="00F66225" w:rsidP="00F66225">
            <w:pPr>
              <w:rPr>
                <w:rFonts w:cs="Arial"/>
                <w:lang w:val="en-US"/>
              </w:rPr>
            </w:pPr>
            <w:r w:rsidRPr="007E4A66">
              <w:rPr>
                <w:rFonts w:cs="Arial"/>
                <w:lang w:val="en-US"/>
              </w:rPr>
              <w:t>-</w:t>
            </w:r>
          </w:p>
        </w:tc>
      </w:tr>
      <w:tr w:rsidR="00F66225" w14:paraId="593D1196" w14:textId="77777777" w:rsidTr="007E4A66">
        <w:tc>
          <w:tcPr>
            <w:tcW w:w="2620" w:type="dxa"/>
            <w:vMerge w:val="restart"/>
          </w:tcPr>
          <w:p w14:paraId="6CBA8405" w14:textId="2395A831" w:rsidR="00F66225" w:rsidRPr="007E4A66" w:rsidRDefault="00F66225" w:rsidP="00F66225">
            <w:pPr>
              <w:rPr>
                <w:rFonts w:cs="Arial"/>
              </w:rPr>
            </w:pPr>
            <w:r w:rsidRPr="007E4A66">
              <w:rPr>
                <w:rFonts w:cs="Arial"/>
                <w:i/>
                <w:iCs/>
              </w:rPr>
              <w:t>Нарушения на метаболизма и храненето</w:t>
            </w:r>
          </w:p>
        </w:tc>
        <w:tc>
          <w:tcPr>
            <w:tcW w:w="2460" w:type="dxa"/>
          </w:tcPr>
          <w:p w14:paraId="4A67B405" w14:textId="7C1B2C06" w:rsidR="00F66225" w:rsidRPr="007E4A66" w:rsidRDefault="00F66225" w:rsidP="00F66225">
            <w:pPr>
              <w:rPr>
                <w:rFonts w:cs="Arial"/>
              </w:rPr>
            </w:pPr>
            <w:r w:rsidRPr="007E4A66">
              <w:rPr>
                <w:rFonts w:cs="Arial"/>
              </w:rPr>
              <w:t>Хипогликемия (вж. точки 4.4 и 4.5)</w:t>
            </w:r>
          </w:p>
        </w:tc>
        <w:tc>
          <w:tcPr>
            <w:tcW w:w="2169" w:type="dxa"/>
          </w:tcPr>
          <w:p w14:paraId="0771F591" w14:textId="3974DBA4" w:rsidR="00F66225" w:rsidRPr="007E4A66" w:rsidRDefault="00F66225" w:rsidP="00F66225">
            <w:pPr>
              <w:rPr>
                <w:rFonts w:cs="Arial"/>
              </w:rPr>
            </w:pPr>
            <w:r w:rsidRPr="007E4A66">
              <w:rPr>
                <w:rFonts w:cs="Arial"/>
              </w:rPr>
              <w:t>Нечести*</w:t>
            </w:r>
          </w:p>
        </w:tc>
        <w:tc>
          <w:tcPr>
            <w:tcW w:w="2101" w:type="dxa"/>
          </w:tcPr>
          <w:p w14:paraId="39E675AC" w14:textId="5DAC0FB0" w:rsidR="00F66225" w:rsidRPr="007E4A66" w:rsidRDefault="00F66225" w:rsidP="00F66225">
            <w:pPr>
              <w:rPr>
                <w:rFonts w:cs="Arial"/>
                <w:lang w:val="en-US"/>
              </w:rPr>
            </w:pPr>
            <w:r w:rsidRPr="007E4A66">
              <w:rPr>
                <w:rFonts w:cs="Arial"/>
                <w:lang w:val="en-US"/>
              </w:rPr>
              <w:t>-</w:t>
            </w:r>
          </w:p>
        </w:tc>
      </w:tr>
      <w:tr w:rsidR="00F66225" w14:paraId="34F3E091" w14:textId="77777777" w:rsidTr="007E4A66">
        <w:tc>
          <w:tcPr>
            <w:tcW w:w="2620" w:type="dxa"/>
            <w:vMerge/>
          </w:tcPr>
          <w:p w14:paraId="16D899FC" w14:textId="77777777" w:rsidR="00F66225" w:rsidRPr="007E4A66" w:rsidRDefault="00F66225" w:rsidP="00F66225">
            <w:pPr>
              <w:rPr>
                <w:rFonts w:cs="Arial"/>
              </w:rPr>
            </w:pPr>
          </w:p>
        </w:tc>
        <w:tc>
          <w:tcPr>
            <w:tcW w:w="2460" w:type="dxa"/>
          </w:tcPr>
          <w:p w14:paraId="0E982102" w14:textId="531AE6FD" w:rsidR="00F66225" w:rsidRPr="007E4A66" w:rsidRDefault="00F66225" w:rsidP="00F66225">
            <w:pPr>
              <w:rPr>
                <w:rFonts w:cs="Arial"/>
              </w:rPr>
            </w:pPr>
            <w:r w:rsidRPr="007E4A66">
              <w:rPr>
                <w:rFonts w:cs="Arial"/>
              </w:rPr>
              <w:t>Хиперкалиемия, обратима при спиране на лечението (вж. точка 4.4)</w:t>
            </w:r>
          </w:p>
        </w:tc>
        <w:tc>
          <w:tcPr>
            <w:tcW w:w="2169" w:type="dxa"/>
          </w:tcPr>
          <w:p w14:paraId="7D36EFA3" w14:textId="4A1C4B88" w:rsidR="00F66225" w:rsidRPr="007E4A66" w:rsidRDefault="00F66225" w:rsidP="00F66225">
            <w:pPr>
              <w:rPr>
                <w:rFonts w:cs="Arial"/>
              </w:rPr>
            </w:pPr>
            <w:r w:rsidRPr="007E4A66">
              <w:rPr>
                <w:rFonts w:cs="Arial"/>
              </w:rPr>
              <w:t>Нечести*</w:t>
            </w:r>
          </w:p>
        </w:tc>
        <w:tc>
          <w:tcPr>
            <w:tcW w:w="2101" w:type="dxa"/>
          </w:tcPr>
          <w:p w14:paraId="3F943CF9" w14:textId="2CE2BB51" w:rsidR="00F66225" w:rsidRPr="007E4A66" w:rsidRDefault="00F66225" w:rsidP="00F66225">
            <w:pPr>
              <w:rPr>
                <w:rFonts w:cs="Arial"/>
                <w:lang w:val="en-US"/>
              </w:rPr>
            </w:pPr>
            <w:r w:rsidRPr="007E4A66">
              <w:rPr>
                <w:rFonts w:cs="Arial"/>
                <w:lang w:val="en-US"/>
              </w:rPr>
              <w:t>-</w:t>
            </w:r>
          </w:p>
        </w:tc>
      </w:tr>
      <w:tr w:rsidR="00F66225" w14:paraId="3BE6FE7F" w14:textId="77777777" w:rsidTr="007E4A66">
        <w:tc>
          <w:tcPr>
            <w:tcW w:w="2620" w:type="dxa"/>
            <w:vMerge/>
          </w:tcPr>
          <w:p w14:paraId="0AFAF8CA" w14:textId="77777777" w:rsidR="00F66225" w:rsidRPr="007E4A66" w:rsidRDefault="00F66225" w:rsidP="00F66225">
            <w:pPr>
              <w:rPr>
                <w:rFonts w:cs="Arial"/>
              </w:rPr>
            </w:pPr>
          </w:p>
        </w:tc>
        <w:tc>
          <w:tcPr>
            <w:tcW w:w="2460" w:type="dxa"/>
          </w:tcPr>
          <w:p w14:paraId="59271641" w14:textId="3A8A6F28" w:rsidR="00F66225" w:rsidRPr="007E4A66" w:rsidRDefault="00F66225" w:rsidP="00F66225">
            <w:pPr>
              <w:rPr>
                <w:rFonts w:cs="Arial"/>
              </w:rPr>
            </w:pPr>
            <w:r w:rsidRPr="007E4A66">
              <w:rPr>
                <w:rFonts w:cs="Arial"/>
              </w:rPr>
              <w:t>Хипонатриемия (вж. точка 4.4)</w:t>
            </w:r>
          </w:p>
        </w:tc>
        <w:tc>
          <w:tcPr>
            <w:tcW w:w="2169" w:type="dxa"/>
          </w:tcPr>
          <w:p w14:paraId="4B8D9048" w14:textId="6BD727B2" w:rsidR="00F66225" w:rsidRPr="007E4A66" w:rsidRDefault="00F66225" w:rsidP="00F66225">
            <w:pPr>
              <w:rPr>
                <w:rFonts w:cs="Arial"/>
              </w:rPr>
            </w:pPr>
            <w:r w:rsidRPr="007E4A66">
              <w:rPr>
                <w:rFonts w:cs="Arial"/>
              </w:rPr>
              <w:t>Нечести*</w:t>
            </w:r>
          </w:p>
        </w:tc>
        <w:tc>
          <w:tcPr>
            <w:tcW w:w="2101" w:type="dxa"/>
          </w:tcPr>
          <w:p w14:paraId="10E4FDBD" w14:textId="381AD385" w:rsidR="00F66225" w:rsidRPr="007E4A66" w:rsidRDefault="00F66225" w:rsidP="00F66225">
            <w:pPr>
              <w:rPr>
                <w:rFonts w:cs="Arial"/>
              </w:rPr>
            </w:pPr>
            <w:r w:rsidRPr="007E4A66">
              <w:rPr>
                <w:rFonts w:cs="Arial"/>
              </w:rPr>
              <w:t>Нечести</w:t>
            </w:r>
          </w:p>
        </w:tc>
      </w:tr>
      <w:tr w:rsidR="00F66225" w14:paraId="5072A03A" w14:textId="77777777" w:rsidTr="007E4A66">
        <w:tc>
          <w:tcPr>
            <w:tcW w:w="2620" w:type="dxa"/>
            <w:vMerge/>
          </w:tcPr>
          <w:p w14:paraId="27BE28E0" w14:textId="77777777" w:rsidR="00F66225" w:rsidRPr="007E4A66" w:rsidRDefault="00F66225" w:rsidP="00F66225">
            <w:pPr>
              <w:rPr>
                <w:rFonts w:cs="Arial"/>
              </w:rPr>
            </w:pPr>
          </w:p>
        </w:tc>
        <w:tc>
          <w:tcPr>
            <w:tcW w:w="2460" w:type="dxa"/>
          </w:tcPr>
          <w:p w14:paraId="4532F1F1" w14:textId="783178E5" w:rsidR="00F66225" w:rsidRPr="007E4A66" w:rsidRDefault="00F66225" w:rsidP="00F66225">
            <w:pPr>
              <w:rPr>
                <w:rFonts w:cs="Arial"/>
              </w:rPr>
            </w:pPr>
            <w:r w:rsidRPr="007E4A66">
              <w:rPr>
                <w:rFonts w:cs="Arial"/>
              </w:rPr>
              <w:t>Хиперкалциемия</w:t>
            </w:r>
          </w:p>
        </w:tc>
        <w:tc>
          <w:tcPr>
            <w:tcW w:w="2169" w:type="dxa"/>
          </w:tcPr>
          <w:p w14:paraId="4E7878DA" w14:textId="1CF7D265" w:rsidR="00F66225" w:rsidRPr="007E4A66" w:rsidRDefault="00F66225" w:rsidP="00F66225">
            <w:pPr>
              <w:rPr>
                <w:rFonts w:cs="Arial"/>
              </w:rPr>
            </w:pPr>
            <w:r w:rsidRPr="007E4A66">
              <w:rPr>
                <w:rFonts w:cs="Arial"/>
              </w:rPr>
              <w:t>Редки</w:t>
            </w:r>
          </w:p>
        </w:tc>
        <w:tc>
          <w:tcPr>
            <w:tcW w:w="2101" w:type="dxa"/>
          </w:tcPr>
          <w:p w14:paraId="7EC115EA" w14:textId="6A4F2110" w:rsidR="00F66225" w:rsidRPr="007E4A66" w:rsidRDefault="00F66225" w:rsidP="00F66225">
            <w:pPr>
              <w:rPr>
                <w:rFonts w:cs="Arial"/>
              </w:rPr>
            </w:pPr>
            <w:r w:rsidRPr="007E4A66">
              <w:rPr>
                <w:rFonts w:cs="Arial"/>
              </w:rPr>
              <w:t>Редки</w:t>
            </w:r>
          </w:p>
        </w:tc>
      </w:tr>
      <w:tr w:rsidR="00F66225" w14:paraId="0FE0B6D3" w14:textId="77777777" w:rsidTr="007E4A66">
        <w:tc>
          <w:tcPr>
            <w:tcW w:w="2620" w:type="dxa"/>
            <w:vMerge/>
          </w:tcPr>
          <w:p w14:paraId="5879B267" w14:textId="77777777" w:rsidR="00F66225" w:rsidRPr="007E4A66" w:rsidRDefault="00F66225" w:rsidP="00F66225">
            <w:pPr>
              <w:rPr>
                <w:rFonts w:cs="Arial"/>
              </w:rPr>
            </w:pPr>
          </w:p>
        </w:tc>
        <w:tc>
          <w:tcPr>
            <w:tcW w:w="2460" w:type="dxa"/>
          </w:tcPr>
          <w:p w14:paraId="4FBDF162" w14:textId="78B461BD" w:rsidR="00F66225" w:rsidRPr="007E4A66" w:rsidRDefault="00F66225" w:rsidP="00F66225">
            <w:pPr>
              <w:rPr>
                <w:rFonts w:cs="Arial"/>
              </w:rPr>
            </w:pPr>
            <w:r w:rsidRPr="007E4A66">
              <w:rPr>
                <w:rFonts w:cs="Arial"/>
              </w:rPr>
              <w:t>Хипонатриемия с хиповолемия, причиняващи дехидратация и ортостатична хипотония.</w:t>
            </w:r>
          </w:p>
        </w:tc>
        <w:tc>
          <w:tcPr>
            <w:tcW w:w="2169" w:type="dxa"/>
          </w:tcPr>
          <w:p w14:paraId="44E21FE2" w14:textId="3B168453" w:rsidR="00F66225" w:rsidRPr="007E4A66" w:rsidRDefault="00F66225" w:rsidP="00F66225">
            <w:pPr>
              <w:rPr>
                <w:rFonts w:cs="Arial"/>
              </w:rPr>
            </w:pPr>
            <w:r w:rsidRPr="007E4A66">
              <w:rPr>
                <w:rFonts w:cs="Arial"/>
              </w:rPr>
              <w:t>С неизвестна честота</w:t>
            </w:r>
          </w:p>
        </w:tc>
        <w:tc>
          <w:tcPr>
            <w:tcW w:w="2101" w:type="dxa"/>
          </w:tcPr>
          <w:p w14:paraId="69DF36F2" w14:textId="77777777" w:rsidR="00F66225" w:rsidRPr="007E4A66" w:rsidRDefault="00F66225" w:rsidP="00F66225">
            <w:pPr>
              <w:rPr>
                <w:rFonts w:cs="Arial"/>
              </w:rPr>
            </w:pPr>
            <w:r w:rsidRPr="007E4A66">
              <w:rPr>
                <w:rFonts w:cs="Arial"/>
              </w:rPr>
              <w:t xml:space="preserve">С неизвестна </w:t>
            </w:r>
          </w:p>
          <w:p w14:paraId="31EDEE6E" w14:textId="334BD71A" w:rsidR="00F66225" w:rsidRPr="007E4A66" w:rsidRDefault="00F66225" w:rsidP="00F66225">
            <w:pPr>
              <w:rPr>
                <w:rFonts w:cs="Arial"/>
              </w:rPr>
            </w:pPr>
            <w:r w:rsidRPr="007E4A66">
              <w:rPr>
                <w:rFonts w:cs="Arial"/>
              </w:rPr>
              <w:t>честота</w:t>
            </w:r>
          </w:p>
        </w:tc>
      </w:tr>
      <w:tr w:rsidR="00F66225" w14:paraId="089FFFFD" w14:textId="77777777" w:rsidTr="007E4A66">
        <w:tc>
          <w:tcPr>
            <w:tcW w:w="2620" w:type="dxa"/>
            <w:vMerge/>
          </w:tcPr>
          <w:p w14:paraId="3AD26D5B" w14:textId="77777777" w:rsidR="00F66225" w:rsidRPr="007E4A66" w:rsidRDefault="00F66225" w:rsidP="00F66225">
            <w:pPr>
              <w:rPr>
                <w:rFonts w:cs="Arial"/>
              </w:rPr>
            </w:pPr>
          </w:p>
        </w:tc>
        <w:tc>
          <w:tcPr>
            <w:tcW w:w="2460" w:type="dxa"/>
          </w:tcPr>
          <w:p w14:paraId="35BA1872" w14:textId="7F87DD94" w:rsidR="00F66225" w:rsidRPr="007E4A66" w:rsidRDefault="00F66225" w:rsidP="00F66225">
            <w:pPr>
              <w:rPr>
                <w:rFonts w:cs="Arial"/>
              </w:rPr>
            </w:pPr>
            <w:r w:rsidRPr="007E4A66">
              <w:rPr>
                <w:rFonts w:cs="Arial"/>
              </w:rPr>
              <w:t>Хипокалиемия (вж. точка 4.4)</w:t>
            </w:r>
          </w:p>
        </w:tc>
        <w:tc>
          <w:tcPr>
            <w:tcW w:w="2169" w:type="dxa"/>
          </w:tcPr>
          <w:p w14:paraId="3F48A5D4" w14:textId="1A4C6E81" w:rsidR="00F66225" w:rsidRPr="007E4A66" w:rsidRDefault="00F66225" w:rsidP="00F66225">
            <w:pPr>
              <w:rPr>
                <w:rFonts w:cs="Arial"/>
              </w:rPr>
            </w:pPr>
            <w:r w:rsidRPr="007E4A66">
              <w:rPr>
                <w:rFonts w:cs="Arial"/>
              </w:rPr>
              <w:t>-</w:t>
            </w:r>
          </w:p>
        </w:tc>
        <w:tc>
          <w:tcPr>
            <w:tcW w:w="2101" w:type="dxa"/>
          </w:tcPr>
          <w:p w14:paraId="610E9CBE" w14:textId="01380889" w:rsidR="00F66225" w:rsidRPr="007E4A66" w:rsidRDefault="00F66225" w:rsidP="00F66225">
            <w:pPr>
              <w:rPr>
                <w:rFonts w:cs="Arial"/>
              </w:rPr>
            </w:pPr>
            <w:r w:rsidRPr="007E4A66">
              <w:rPr>
                <w:rFonts w:cs="Arial"/>
              </w:rPr>
              <w:t>Чести</w:t>
            </w:r>
          </w:p>
        </w:tc>
      </w:tr>
      <w:tr w:rsidR="00F66225" w14:paraId="6DD91F32" w14:textId="77777777" w:rsidTr="007E4A66">
        <w:tc>
          <w:tcPr>
            <w:tcW w:w="2620" w:type="dxa"/>
            <w:vMerge/>
          </w:tcPr>
          <w:p w14:paraId="7D2C5404" w14:textId="77777777" w:rsidR="00F66225" w:rsidRPr="007E4A66" w:rsidRDefault="00F66225" w:rsidP="00F66225">
            <w:pPr>
              <w:rPr>
                <w:rFonts w:cs="Arial"/>
              </w:rPr>
            </w:pPr>
          </w:p>
        </w:tc>
        <w:tc>
          <w:tcPr>
            <w:tcW w:w="2460" w:type="dxa"/>
            <w:vAlign w:val="bottom"/>
          </w:tcPr>
          <w:p w14:paraId="28A005C1" w14:textId="68341E39" w:rsidR="00F66225" w:rsidRPr="007E4A66" w:rsidRDefault="00F66225" w:rsidP="00F66225">
            <w:pPr>
              <w:rPr>
                <w:rFonts w:cs="Arial"/>
              </w:rPr>
            </w:pPr>
            <w:r w:rsidRPr="007E4A66">
              <w:rPr>
                <w:rFonts w:cs="Arial"/>
              </w:rPr>
              <w:t>Хипохлориемия</w:t>
            </w:r>
          </w:p>
        </w:tc>
        <w:tc>
          <w:tcPr>
            <w:tcW w:w="2169" w:type="dxa"/>
          </w:tcPr>
          <w:p w14:paraId="1E0990F6" w14:textId="48A4A715" w:rsidR="00F66225" w:rsidRPr="007E4A66" w:rsidRDefault="00F66225" w:rsidP="00F66225">
            <w:pPr>
              <w:rPr>
                <w:rFonts w:cs="Arial"/>
                <w:lang w:val="en-US"/>
              </w:rPr>
            </w:pPr>
            <w:r w:rsidRPr="007E4A66">
              <w:rPr>
                <w:rFonts w:cs="Arial"/>
                <w:lang w:val="en-US"/>
              </w:rPr>
              <w:t>-</w:t>
            </w:r>
          </w:p>
        </w:tc>
        <w:tc>
          <w:tcPr>
            <w:tcW w:w="2101" w:type="dxa"/>
            <w:vAlign w:val="bottom"/>
          </w:tcPr>
          <w:p w14:paraId="700AEAA8" w14:textId="32785EC7" w:rsidR="00F66225" w:rsidRPr="007E4A66" w:rsidRDefault="00F66225" w:rsidP="00F66225">
            <w:pPr>
              <w:rPr>
                <w:rFonts w:cs="Arial"/>
              </w:rPr>
            </w:pPr>
            <w:r w:rsidRPr="007E4A66">
              <w:rPr>
                <w:rFonts w:cs="Arial"/>
              </w:rPr>
              <w:t>Редки</w:t>
            </w:r>
          </w:p>
        </w:tc>
      </w:tr>
      <w:tr w:rsidR="00F66225" w14:paraId="6955F925" w14:textId="77777777" w:rsidTr="007E4A66">
        <w:tc>
          <w:tcPr>
            <w:tcW w:w="2620" w:type="dxa"/>
            <w:vMerge/>
          </w:tcPr>
          <w:p w14:paraId="3D8EBE38" w14:textId="77777777" w:rsidR="00F66225" w:rsidRPr="007E4A66" w:rsidRDefault="00F66225" w:rsidP="00F66225">
            <w:pPr>
              <w:rPr>
                <w:rFonts w:cs="Arial"/>
              </w:rPr>
            </w:pPr>
          </w:p>
        </w:tc>
        <w:tc>
          <w:tcPr>
            <w:tcW w:w="2460" w:type="dxa"/>
            <w:vAlign w:val="bottom"/>
          </w:tcPr>
          <w:p w14:paraId="28244A54" w14:textId="4ED8CB9D" w:rsidR="00F66225" w:rsidRPr="007E4A66" w:rsidRDefault="00F66225" w:rsidP="00F66225">
            <w:pPr>
              <w:rPr>
                <w:rFonts w:cs="Arial"/>
              </w:rPr>
            </w:pPr>
            <w:r w:rsidRPr="007E4A66">
              <w:rPr>
                <w:rFonts w:cs="Arial"/>
              </w:rPr>
              <w:t>Хипомагнезиемия</w:t>
            </w:r>
          </w:p>
        </w:tc>
        <w:tc>
          <w:tcPr>
            <w:tcW w:w="2169" w:type="dxa"/>
          </w:tcPr>
          <w:p w14:paraId="13444625" w14:textId="6FAAA4C5" w:rsidR="00F66225" w:rsidRPr="007E4A66" w:rsidRDefault="00F66225" w:rsidP="00F66225">
            <w:pPr>
              <w:rPr>
                <w:rFonts w:cs="Arial"/>
                <w:lang w:val="en-US"/>
              </w:rPr>
            </w:pPr>
            <w:r w:rsidRPr="007E4A66">
              <w:rPr>
                <w:rFonts w:cs="Arial"/>
                <w:lang w:val="en-US"/>
              </w:rPr>
              <w:t>-</w:t>
            </w:r>
          </w:p>
        </w:tc>
        <w:tc>
          <w:tcPr>
            <w:tcW w:w="2101" w:type="dxa"/>
            <w:vAlign w:val="bottom"/>
          </w:tcPr>
          <w:p w14:paraId="3D43B3D0" w14:textId="6E081F46" w:rsidR="00F66225" w:rsidRPr="007E4A66" w:rsidRDefault="00F66225" w:rsidP="00F66225">
            <w:pPr>
              <w:rPr>
                <w:rFonts w:cs="Arial"/>
              </w:rPr>
            </w:pPr>
            <w:r w:rsidRPr="007E4A66">
              <w:rPr>
                <w:rFonts w:cs="Arial"/>
              </w:rPr>
              <w:t>Редки</w:t>
            </w:r>
          </w:p>
        </w:tc>
      </w:tr>
      <w:tr w:rsidR="00F66225" w14:paraId="7979E967" w14:textId="77777777" w:rsidTr="007E4A66">
        <w:tc>
          <w:tcPr>
            <w:tcW w:w="2620" w:type="dxa"/>
            <w:vMerge w:val="restart"/>
          </w:tcPr>
          <w:p w14:paraId="2243DE54" w14:textId="7EA496DA" w:rsidR="00F66225" w:rsidRPr="007E4A66" w:rsidRDefault="00F66225" w:rsidP="00F66225">
            <w:pPr>
              <w:rPr>
                <w:rFonts w:cs="Arial"/>
              </w:rPr>
            </w:pPr>
            <w:r w:rsidRPr="007E4A66">
              <w:rPr>
                <w:rFonts w:cs="Arial"/>
                <w:i/>
                <w:iCs/>
              </w:rPr>
              <w:t>Психични нарушения</w:t>
            </w:r>
          </w:p>
        </w:tc>
        <w:tc>
          <w:tcPr>
            <w:tcW w:w="2460" w:type="dxa"/>
            <w:vAlign w:val="bottom"/>
          </w:tcPr>
          <w:p w14:paraId="20B506D9" w14:textId="2CDD3F77" w:rsidR="00F66225" w:rsidRPr="007E4A66" w:rsidRDefault="00F66225" w:rsidP="00F66225">
            <w:pPr>
              <w:rPr>
                <w:rFonts w:cs="Arial"/>
              </w:rPr>
            </w:pPr>
            <w:r w:rsidRPr="007E4A66">
              <w:rPr>
                <w:rFonts w:cs="Arial"/>
              </w:rPr>
              <w:t>Промени в настроението</w:t>
            </w:r>
          </w:p>
        </w:tc>
        <w:tc>
          <w:tcPr>
            <w:tcW w:w="2169" w:type="dxa"/>
            <w:vAlign w:val="bottom"/>
          </w:tcPr>
          <w:p w14:paraId="5BD46D80" w14:textId="3ED882DC" w:rsidR="00F66225" w:rsidRPr="007E4A66" w:rsidRDefault="00F66225" w:rsidP="00F66225">
            <w:pPr>
              <w:rPr>
                <w:rFonts w:cs="Arial"/>
              </w:rPr>
            </w:pPr>
            <w:r w:rsidRPr="007E4A66">
              <w:rPr>
                <w:rFonts w:cs="Arial"/>
              </w:rPr>
              <w:t>Нечести</w:t>
            </w:r>
          </w:p>
        </w:tc>
        <w:tc>
          <w:tcPr>
            <w:tcW w:w="2101" w:type="dxa"/>
          </w:tcPr>
          <w:p w14:paraId="7F79A9F4" w14:textId="23F975DD" w:rsidR="00F66225" w:rsidRPr="007E4A66" w:rsidRDefault="00F66225" w:rsidP="00F66225">
            <w:pPr>
              <w:rPr>
                <w:rFonts w:cs="Arial"/>
                <w:lang w:val="en-US"/>
              </w:rPr>
            </w:pPr>
            <w:r w:rsidRPr="007E4A66">
              <w:rPr>
                <w:rFonts w:cs="Arial"/>
                <w:lang w:val="en-US"/>
              </w:rPr>
              <w:t>-</w:t>
            </w:r>
          </w:p>
        </w:tc>
      </w:tr>
      <w:tr w:rsidR="00F66225" w14:paraId="6C3CF313" w14:textId="77777777" w:rsidTr="007E4A66">
        <w:tc>
          <w:tcPr>
            <w:tcW w:w="2620" w:type="dxa"/>
            <w:vMerge/>
          </w:tcPr>
          <w:p w14:paraId="54FC06AF" w14:textId="77777777" w:rsidR="00F66225" w:rsidRPr="007E4A66" w:rsidRDefault="00F66225" w:rsidP="00F66225">
            <w:pPr>
              <w:rPr>
                <w:rFonts w:cs="Arial"/>
              </w:rPr>
            </w:pPr>
          </w:p>
        </w:tc>
        <w:tc>
          <w:tcPr>
            <w:tcW w:w="2460" w:type="dxa"/>
            <w:vAlign w:val="bottom"/>
          </w:tcPr>
          <w:p w14:paraId="63994190" w14:textId="13210878" w:rsidR="00F66225" w:rsidRPr="007E4A66" w:rsidRDefault="00F66225" w:rsidP="00F66225">
            <w:pPr>
              <w:rPr>
                <w:rFonts w:cs="Arial"/>
              </w:rPr>
            </w:pPr>
            <w:r w:rsidRPr="007E4A66">
              <w:rPr>
                <w:rFonts w:cs="Arial"/>
              </w:rPr>
              <w:t>Нарушения на съня</w:t>
            </w:r>
          </w:p>
        </w:tc>
        <w:tc>
          <w:tcPr>
            <w:tcW w:w="2169" w:type="dxa"/>
            <w:vAlign w:val="bottom"/>
          </w:tcPr>
          <w:p w14:paraId="097510ED" w14:textId="754E8F33" w:rsidR="00F66225" w:rsidRPr="007E4A66" w:rsidRDefault="00F66225" w:rsidP="00F66225">
            <w:pPr>
              <w:rPr>
                <w:rFonts w:cs="Arial"/>
              </w:rPr>
            </w:pPr>
            <w:r w:rsidRPr="007E4A66">
              <w:rPr>
                <w:rFonts w:cs="Arial"/>
              </w:rPr>
              <w:t>Нечести</w:t>
            </w:r>
          </w:p>
        </w:tc>
        <w:tc>
          <w:tcPr>
            <w:tcW w:w="2101" w:type="dxa"/>
          </w:tcPr>
          <w:p w14:paraId="6B16FEE1" w14:textId="342B7621" w:rsidR="00F66225" w:rsidRPr="007E4A66" w:rsidRDefault="00F66225" w:rsidP="00F66225">
            <w:pPr>
              <w:rPr>
                <w:rFonts w:cs="Arial"/>
                <w:lang w:val="en-US"/>
              </w:rPr>
            </w:pPr>
            <w:r w:rsidRPr="007E4A66">
              <w:rPr>
                <w:rFonts w:cs="Arial"/>
                <w:lang w:val="en-US"/>
              </w:rPr>
              <w:t>-</w:t>
            </w:r>
          </w:p>
        </w:tc>
      </w:tr>
      <w:tr w:rsidR="00F66225" w14:paraId="24068C84" w14:textId="77777777" w:rsidTr="007E4A66">
        <w:tc>
          <w:tcPr>
            <w:tcW w:w="2620" w:type="dxa"/>
            <w:vMerge/>
          </w:tcPr>
          <w:p w14:paraId="79460B1F" w14:textId="77777777" w:rsidR="00F66225" w:rsidRPr="007E4A66" w:rsidRDefault="00F66225" w:rsidP="00F66225">
            <w:pPr>
              <w:rPr>
                <w:rFonts w:cs="Arial"/>
              </w:rPr>
            </w:pPr>
          </w:p>
        </w:tc>
        <w:tc>
          <w:tcPr>
            <w:tcW w:w="2460" w:type="dxa"/>
          </w:tcPr>
          <w:p w14:paraId="0F25A1C5" w14:textId="61D88CCA" w:rsidR="00F66225" w:rsidRPr="007E4A66" w:rsidRDefault="00F66225" w:rsidP="00F66225">
            <w:pPr>
              <w:rPr>
                <w:rFonts w:cs="Arial"/>
              </w:rPr>
            </w:pPr>
            <w:r w:rsidRPr="007E4A66">
              <w:rPr>
                <w:rFonts w:cs="Arial"/>
              </w:rPr>
              <w:t>Депресия</w:t>
            </w:r>
          </w:p>
        </w:tc>
        <w:tc>
          <w:tcPr>
            <w:tcW w:w="2169" w:type="dxa"/>
          </w:tcPr>
          <w:p w14:paraId="31BBBFA2" w14:textId="4B9E0590" w:rsidR="00F66225" w:rsidRPr="007E4A66" w:rsidRDefault="00F66225" w:rsidP="00F66225">
            <w:pPr>
              <w:rPr>
                <w:rFonts w:cs="Arial"/>
              </w:rPr>
            </w:pPr>
            <w:r w:rsidRPr="007E4A66">
              <w:rPr>
                <w:rFonts w:cs="Arial"/>
              </w:rPr>
              <w:t>Нечести</w:t>
            </w:r>
          </w:p>
        </w:tc>
        <w:tc>
          <w:tcPr>
            <w:tcW w:w="2101" w:type="dxa"/>
            <w:vAlign w:val="bottom"/>
          </w:tcPr>
          <w:p w14:paraId="0AB3851E" w14:textId="08483989" w:rsidR="00F66225" w:rsidRPr="007E4A66" w:rsidRDefault="00F66225" w:rsidP="00F66225">
            <w:pPr>
              <w:rPr>
                <w:rFonts w:cs="Arial"/>
              </w:rPr>
            </w:pPr>
            <w:r w:rsidRPr="007E4A66">
              <w:rPr>
                <w:rFonts w:cs="Arial"/>
              </w:rPr>
              <w:t>-</w:t>
            </w:r>
          </w:p>
        </w:tc>
      </w:tr>
      <w:tr w:rsidR="00F66225" w14:paraId="2BD9F78B" w14:textId="77777777" w:rsidTr="007E4A66">
        <w:tc>
          <w:tcPr>
            <w:tcW w:w="2620" w:type="dxa"/>
            <w:vMerge/>
          </w:tcPr>
          <w:p w14:paraId="2A497BC5" w14:textId="77777777" w:rsidR="00F66225" w:rsidRPr="007E4A66" w:rsidRDefault="00F66225" w:rsidP="00F66225">
            <w:pPr>
              <w:rPr>
                <w:rFonts w:cs="Arial"/>
              </w:rPr>
            </w:pPr>
          </w:p>
        </w:tc>
        <w:tc>
          <w:tcPr>
            <w:tcW w:w="2460" w:type="dxa"/>
            <w:vAlign w:val="bottom"/>
          </w:tcPr>
          <w:p w14:paraId="601E09E8" w14:textId="55D3F68A" w:rsidR="00F66225" w:rsidRPr="007E4A66" w:rsidRDefault="00F66225" w:rsidP="00F66225">
            <w:pPr>
              <w:rPr>
                <w:rFonts w:cs="Arial"/>
              </w:rPr>
            </w:pPr>
            <w:r w:rsidRPr="007E4A66">
              <w:rPr>
                <w:rFonts w:cs="Arial"/>
              </w:rPr>
              <w:t>Състояние на обърканост</w:t>
            </w:r>
          </w:p>
        </w:tc>
        <w:tc>
          <w:tcPr>
            <w:tcW w:w="2169" w:type="dxa"/>
            <w:vAlign w:val="bottom"/>
          </w:tcPr>
          <w:p w14:paraId="7B6F0536" w14:textId="3FA5E7B2" w:rsidR="00F66225" w:rsidRPr="007E4A66" w:rsidRDefault="00F66225" w:rsidP="00F66225">
            <w:pPr>
              <w:rPr>
                <w:rFonts w:cs="Arial"/>
              </w:rPr>
            </w:pPr>
            <w:r w:rsidRPr="007E4A66">
              <w:rPr>
                <w:rFonts w:cs="Arial"/>
              </w:rPr>
              <w:t>Много редки</w:t>
            </w:r>
          </w:p>
        </w:tc>
        <w:tc>
          <w:tcPr>
            <w:tcW w:w="2101" w:type="dxa"/>
            <w:vAlign w:val="center"/>
          </w:tcPr>
          <w:p w14:paraId="6D27D316" w14:textId="5AB67027" w:rsidR="00F66225" w:rsidRPr="007E4A66" w:rsidRDefault="00F66225" w:rsidP="00F66225">
            <w:pPr>
              <w:rPr>
                <w:rFonts w:cs="Arial"/>
              </w:rPr>
            </w:pPr>
            <w:r w:rsidRPr="007E4A66">
              <w:rPr>
                <w:rFonts w:cs="Arial"/>
              </w:rPr>
              <w:t>-</w:t>
            </w:r>
          </w:p>
        </w:tc>
      </w:tr>
      <w:tr w:rsidR="00F66225" w14:paraId="7082D262" w14:textId="77777777" w:rsidTr="007E4A66">
        <w:tc>
          <w:tcPr>
            <w:tcW w:w="2620" w:type="dxa"/>
            <w:vMerge w:val="restart"/>
          </w:tcPr>
          <w:p w14:paraId="63FA4F68" w14:textId="2FE4A941" w:rsidR="00F66225" w:rsidRPr="007E4A66" w:rsidRDefault="00F66225" w:rsidP="00F66225">
            <w:pPr>
              <w:rPr>
                <w:rFonts w:cs="Arial"/>
              </w:rPr>
            </w:pPr>
            <w:r w:rsidRPr="007E4A66">
              <w:rPr>
                <w:rFonts w:cs="Arial"/>
                <w:i/>
                <w:iCs/>
              </w:rPr>
              <w:t>Нарушения на нервната система</w:t>
            </w:r>
          </w:p>
        </w:tc>
        <w:tc>
          <w:tcPr>
            <w:tcW w:w="2460" w:type="dxa"/>
          </w:tcPr>
          <w:p w14:paraId="14C546AA" w14:textId="43FE51D8" w:rsidR="00F66225" w:rsidRPr="007E4A66" w:rsidRDefault="00F66225" w:rsidP="00F66225">
            <w:pPr>
              <w:rPr>
                <w:rFonts w:cs="Arial"/>
              </w:rPr>
            </w:pPr>
            <w:r w:rsidRPr="007E4A66">
              <w:rPr>
                <w:rFonts w:cs="Arial"/>
              </w:rPr>
              <w:t>Замайване</w:t>
            </w:r>
          </w:p>
        </w:tc>
        <w:tc>
          <w:tcPr>
            <w:tcW w:w="2169" w:type="dxa"/>
          </w:tcPr>
          <w:p w14:paraId="6F34A13A" w14:textId="0E96A4A3" w:rsidR="00F66225" w:rsidRPr="007E4A66" w:rsidRDefault="00F66225" w:rsidP="00F66225">
            <w:pPr>
              <w:rPr>
                <w:rFonts w:cs="Arial"/>
              </w:rPr>
            </w:pPr>
            <w:r w:rsidRPr="007E4A66">
              <w:rPr>
                <w:rFonts w:cs="Arial"/>
              </w:rPr>
              <w:t>Чести</w:t>
            </w:r>
          </w:p>
        </w:tc>
        <w:tc>
          <w:tcPr>
            <w:tcW w:w="2101" w:type="dxa"/>
          </w:tcPr>
          <w:p w14:paraId="511A141F" w14:textId="77777777" w:rsidR="00F66225" w:rsidRPr="007E4A66" w:rsidRDefault="00F66225" w:rsidP="00F66225">
            <w:pPr>
              <w:rPr>
                <w:rFonts w:cs="Arial"/>
              </w:rPr>
            </w:pPr>
          </w:p>
        </w:tc>
      </w:tr>
      <w:tr w:rsidR="00F66225" w14:paraId="7B739D64" w14:textId="77777777" w:rsidTr="007E4A66">
        <w:tc>
          <w:tcPr>
            <w:tcW w:w="2620" w:type="dxa"/>
            <w:vMerge/>
          </w:tcPr>
          <w:p w14:paraId="65CDF3BC" w14:textId="77777777" w:rsidR="00F66225" w:rsidRPr="007E4A66" w:rsidRDefault="00F66225" w:rsidP="00F66225">
            <w:pPr>
              <w:rPr>
                <w:rFonts w:cs="Arial"/>
              </w:rPr>
            </w:pPr>
          </w:p>
        </w:tc>
        <w:tc>
          <w:tcPr>
            <w:tcW w:w="2460" w:type="dxa"/>
            <w:vAlign w:val="bottom"/>
          </w:tcPr>
          <w:p w14:paraId="290C5022" w14:textId="4436BA89" w:rsidR="00F66225" w:rsidRPr="007E4A66" w:rsidRDefault="00F66225" w:rsidP="00F66225">
            <w:pPr>
              <w:rPr>
                <w:rFonts w:cs="Arial"/>
              </w:rPr>
            </w:pPr>
            <w:r w:rsidRPr="007E4A66">
              <w:rPr>
                <w:rFonts w:cs="Arial"/>
              </w:rPr>
              <w:t>Главоболие</w:t>
            </w:r>
          </w:p>
        </w:tc>
        <w:tc>
          <w:tcPr>
            <w:tcW w:w="2169" w:type="dxa"/>
            <w:vAlign w:val="bottom"/>
          </w:tcPr>
          <w:p w14:paraId="586B0436" w14:textId="029EF1E4" w:rsidR="00F66225" w:rsidRPr="007E4A66" w:rsidRDefault="00F66225" w:rsidP="00F66225">
            <w:pPr>
              <w:rPr>
                <w:rFonts w:cs="Arial"/>
              </w:rPr>
            </w:pPr>
            <w:r w:rsidRPr="007E4A66">
              <w:rPr>
                <w:rFonts w:cs="Arial"/>
              </w:rPr>
              <w:t>Чести</w:t>
            </w:r>
          </w:p>
        </w:tc>
        <w:tc>
          <w:tcPr>
            <w:tcW w:w="2101" w:type="dxa"/>
            <w:vAlign w:val="bottom"/>
          </w:tcPr>
          <w:p w14:paraId="1C8D7FFC" w14:textId="26B25C52" w:rsidR="00F66225" w:rsidRPr="007E4A66" w:rsidRDefault="00F66225" w:rsidP="00F66225">
            <w:pPr>
              <w:rPr>
                <w:rFonts w:cs="Arial"/>
              </w:rPr>
            </w:pPr>
            <w:r w:rsidRPr="007E4A66">
              <w:rPr>
                <w:rFonts w:cs="Arial"/>
              </w:rPr>
              <w:t>Редки</w:t>
            </w:r>
          </w:p>
        </w:tc>
      </w:tr>
      <w:tr w:rsidR="00F66225" w14:paraId="7FD8078C" w14:textId="77777777" w:rsidTr="007E4A66">
        <w:tc>
          <w:tcPr>
            <w:tcW w:w="2620" w:type="dxa"/>
            <w:vMerge/>
          </w:tcPr>
          <w:p w14:paraId="1D6A0409" w14:textId="77777777" w:rsidR="00F66225" w:rsidRPr="007E4A66" w:rsidRDefault="00F66225" w:rsidP="00F66225">
            <w:pPr>
              <w:rPr>
                <w:rFonts w:cs="Arial"/>
              </w:rPr>
            </w:pPr>
          </w:p>
        </w:tc>
        <w:tc>
          <w:tcPr>
            <w:tcW w:w="2460" w:type="dxa"/>
            <w:vAlign w:val="bottom"/>
          </w:tcPr>
          <w:p w14:paraId="072986BE" w14:textId="238C7AE1" w:rsidR="00F66225" w:rsidRPr="007E4A66" w:rsidRDefault="00F66225" w:rsidP="00F66225">
            <w:pPr>
              <w:rPr>
                <w:rFonts w:cs="Arial"/>
              </w:rPr>
            </w:pPr>
            <w:r w:rsidRPr="007E4A66">
              <w:rPr>
                <w:rFonts w:cs="Arial"/>
              </w:rPr>
              <w:t>Парестезия</w:t>
            </w:r>
          </w:p>
        </w:tc>
        <w:tc>
          <w:tcPr>
            <w:tcW w:w="2169" w:type="dxa"/>
            <w:vAlign w:val="bottom"/>
          </w:tcPr>
          <w:p w14:paraId="5F22E6B6" w14:textId="5F52BFFC" w:rsidR="00F66225" w:rsidRPr="007E4A66" w:rsidRDefault="00F66225" w:rsidP="00F66225">
            <w:pPr>
              <w:rPr>
                <w:rFonts w:cs="Arial"/>
              </w:rPr>
            </w:pPr>
            <w:r w:rsidRPr="007E4A66">
              <w:rPr>
                <w:rFonts w:cs="Arial"/>
              </w:rPr>
              <w:t>Чести</w:t>
            </w:r>
          </w:p>
        </w:tc>
        <w:tc>
          <w:tcPr>
            <w:tcW w:w="2101" w:type="dxa"/>
            <w:vAlign w:val="bottom"/>
          </w:tcPr>
          <w:p w14:paraId="58F9BD17" w14:textId="049C13DF" w:rsidR="00F66225" w:rsidRPr="007E4A66" w:rsidRDefault="00F66225" w:rsidP="00F66225">
            <w:pPr>
              <w:rPr>
                <w:rFonts w:cs="Arial"/>
              </w:rPr>
            </w:pPr>
            <w:r w:rsidRPr="007E4A66">
              <w:rPr>
                <w:rFonts w:cs="Arial"/>
              </w:rPr>
              <w:t>Редки</w:t>
            </w:r>
          </w:p>
        </w:tc>
      </w:tr>
      <w:tr w:rsidR="00F66225" w14:paraId="77810492" w14:textId="77777777" w:rsidTr="007E4A66">
        <w:tc>
          <w:tcPr>
            <w:tcW w:w="2620" w:type="dxa"/>
            <w:vMerge/>
          </w:tcPr>
          <w:p w14:paraId="1DA69127" w14:textId="77777777" w:rsidR="00F66225" w:rsidRPr="007E4A66" w:rsidRDefault="00F66225" w:rsidP="00F66225">
            <w:pPr>
              <w:rPr>
                <w:rFonts w:cs="Arial"/>
              </w:rPr>
            </w:pPr>
          </w:p>
        </w:tc>
        <w:tc>
          <w:tcPr>
            <w:tcW w:w="2460" w:type="dxa"/>
            <w:vAlign w:val="bottom"/>
          </w:tcPr>
          <w:p w14:paraId="1A1B526C" w14:textId="72B30602" w:rsidR="00F66225" w:rsidRPr="007E4A66" w:rsidRDefault="00F66225" w:rsidP="00F66225">
            <w:pPr>
              <w:rPr>
                <w:rFonts w:cs="Arial"/>
              </w:rPr>
            </w:pPr>
            <w:r w:rsidRPr="007E4A66">
              <w:rPr>
                <w:rFonts w:cs="Arial"/>
              </w:rPr>
              <w:t>Дисгеузия</w:t>
            </w:r>
          </w:p>
        </w:tc>
        <w:tc>
          <w:tcPr>
            <w:tcW w:w="2169" w:type="dxa"/>
            <w:vAlign w:val="bottom"/>
          </w:tcPr>
          <w:p w14:paraId="2535B721" w14:textId="58FA7D2D" w:rsidR="00F66225" w:rsidRPr="007E4A66" w:rsidRDefault="00F66225" w:rsidP="00F66225">
            <w:pPr>
              <w:rPr>
                <w:rFonts w:cs="Arial"/>
              </w:rPr>
            </w:pPr>
            <w:r w:rsidRPr="007E4A66">
              <w:rPr>
                <w:rFonts w:cs="Arial"/>
              </w:rPr>
              <w:t>Чести</w:t>
            </w:r>
          </w:p>
        </w:tc>
        <w:tc>
          <w:tcPr>
            <w:tcW w:w="2101" w:type="dxa"/>
          </w:tcPr>
          <w:p w14:paraId="18BF21D1" w14:textId="77777777" w:rsidR="00F66225" w:rsidRPr="007E4A66" w:rsidRDefault="00F66225" w:rsidP="00F66225">
            <w:pPr>
              <w:rPr>
                <w:rFonts w:cs="Arial"/>
              </w:rPr>
            </w:pPr>
          </w:p>
        </w:tc>
      </w:tr>
      <w:tr w:rsidR="00F66225" w14:paraId="3D72B6DA" w14:textId="77777777" w:rsidTr="007E4A66">
        <w:tc>
          <w:tcPr>
            <w:tcW w:w="2620" w:type="dxa"/>
            <w:vMerge/>
          </w:tcPr>
          <w:p w14:paraId="2B995757" w14:textId="77777777" w:rsidR="00F66225" w:rsidRPr="007E4A66" w:rsidRDefault="00F66225" w:rsidP="00F66225">
            <w:pPr>
              <w:rPr>
                <w:rFonts w:cs="Arial"/>
              </w:rPr>
            </w:pPr>
          </w:p>
        </w:tc>
        <w:tc>
          <w:tcPr>
            <w:tcW w:w="2460" w:type="dxa"/>
          </w:tcPr>
          <w:p w14:paraId="34B879A6" w14:textId="1CA10A55" w:rsidR="00F66225" w:rsidRPr="007E4A66" w:rsidRDefault="00F66225" w:rsidP="00F66225">
            <w:pPr>
              <w:rPr>
                <w:rFonts w:cs="Arial"/>
              </w:rPr>
            </w:pPr>
            <w:r w:rsidRPr="007E4A66">
              <w:rPr>
                <w:rFonts w:cs="Arial"/>
              </w:rPr>
              <w:t>Сънливост</w:t>
            </w:r>
          </w:p>
        </w:tc>
        <w:tc>
          <w:tcPr>
            <w:tcW w:w="2169" w:type="dxa"/>
          </w:tcPr>
          <w:p w14:paraId="241FB55D" w14:textId="69161054" w:rsidR="00F66225" w:rsidRPr="007E4A66" w:rsidRDefault="00F66225" w:rsidP="00F66225">
            <w:pPr>
              <w:rPr>
                <w:rFonts w:cs="Arial"/>
              </w:rPr>
            </w:pPr>
            <w:r w:rsidRPr="007E4A66">
              <w:rPr>
                <w:rFonts w:cs="Arial"/>
              </w:rPr>
              <w:t>Нечести*</w:t>
            </w:r>
          </w:p>
        </w:tc>
        <w:tc>
          <w:tcPr>
            <w:tcW w:w="2101" w:type="dxa"/>
          </w:tcPr>
          <w:p w14:paraId="6F7D8560" w14:textId="77777777" w:rsidR="00F66225" w:rsidRPr="007E4A66" w:rsidRDefault="00F66225" w:rsidP="00F66225">
            <w:pPr>
              <w:rPr>
                <w:rFonts w:cs="Arial"/>
              </w:rPr>
            </w:pPr>
          </w:p>
        </w:tc>
      </w:tr>
      <w:tr w:rsidR="00F66225" w14:paraId="49BABAC9" w14:textId="77777777" w:rsidTr="007E4A66">
        <w:tc>
          <w:tcPr>
            <w:tcW w:w="2620" w:type="dxa"/>
            <w:vMerge/>
          </w:tcPr>
          <w:p w14:paraId="74DD9026" w14:textId="77777777" w:rsidR="00F66225" w:rsidRPr="007E4A66" w:rsidRDefault="00F66225" w:rsidP="00F66225">
            <w:pPr>
              <w:rPr>
                <w:rFonts w:cs="Arial"/>
              </w:rPr>
            </w:pPr>
          </w:p>
        </w:tc>
        <w:tc>
          <w:tcPr>
            <w:tcW w:w="2460" w:type="dxa"/>
          </w:tcPr>
          <w:p w14:paraId="72F00287" w14:textId="0E7D623A" w:rsidR="00F66225" w:rsidRPr="007E4A66" w:rsidRDefault="00F66225" w:rsidP="00F66225">
            <w:pPr>
              <w:rPr>
                <w:rFonts w:cs="Arial"/>
              </w:rPr>
            </w:pPr>
            <w:r w:rsidRPr="007E4A66">
              <w:rPr>
                <w:rFonts w:cs="Arial"/>
              </w:rPr>
              <w:t>Синкоп</w:t>
            </w:r>
          </w:p>
        </w:tc>
        <w:tc>
          <w:tcPr>
            <w:tcW w:w="2169" w:type="dxa"/>
          </w:tcPr>
          <w:p w14:paraId="7C9DF7A4" w14:textId="7B2DFA46" w:rsidR="00F66225" w:rsidRPr="007E4A66" w:rsidRDefault="00F66225" w:rsidP="00F66225">
            <w:pPr>
              <w:rPr>
                <w:rFonts w:cs="Arial"/>
              </w:rPr>
            </w:pPr>
            <w:r w:rsidRPr="007E4A66">
              <w:rPr>
                <w:rFonts w:cs="Arial"/>
              </w:rPr>
              <w:t>Нечести*</w:t>
            </w:r>
          </w:p>
        </w:tc>
        <w:tc>
          <w:tcPr>
            <w:tcW w:w="2101" w:type="dxa"/>
            <w:vAlign w:val="bottom"/>
          </w:tcPr>
          <w:p w14:paraId="53323F7F" w14:textId="2DE739E7" w:rsidR="00F66225" w:rsidRPr="007E4A66" w:rsidRDefault="00F66225" w:rsidP="00F66225">
            <w:pPr>
              <w:rPr>
                <w:rFonts w:cs="Arial"/>
              </w:rPr>
            </w:pPr>
            <w:r w:rsidRPr="007E4A66">
              <w:rPr>
                <w:rFonts w:cs="Arial"/>
              </w:rPr>
              <w:t>С неизвестна честота</w:t>
            </w:r>
          </w:p>
        </w:tc>
      </w:tr>
      <w:tr w:rsidR="00F66225" w14:paraId="2D845D2E" w14:textId="77777777" w:rsidTr="007E4A66">
        <w:tc>
          <w:tcPr>
            <w:tcW w:w="2620" w:type="dxa"/>
            <w:vMerge/>
          </w:tcPr>
          <w:p w14:paraId="1B9C8E15" w14:textId="77777777" w:rsidR="00F66225" w:rsidRPr="007E4A66" w:rsidRDefault="00F66225" w:rsidP="00F66225">
            <w:pPr>
              <w:rPr>
                <w:rFonts w:cs="Arial"/>
              </w:rPr>
            </w:pPr>
          </w:p>
        </w:tc>
        <w:tc>
          <w:tcPr>
            <w:tcW w:w="2460" w:type="dxa"/>
            <w:vAlign w:val="bottom"/>
          </w:tcPr>
          <w:p w14:paraId="60038608" w14:textId="1AA5311B" w:rsidR="00F66225" w:rsidRPr="007E4A66" w:rsidRDefault="00F66225" w:rsidP="00F66225">
            <w:pPr>
              <w:rPr>
                <w:rFonts w:cs="Arial"/>
              </w:rPr>
            </w:pPr>
            <w:r w:rsidRPr="007E4A66">
              <w:rPr>
                <w:rFonts w:cs="Arial"/>
              </w:rPr>
              <w:t>Инсулт, възможно и вторичен, поради прекомерна хипотония при високорискови пациенти (вж. точка 4.4)</w:t>
            </w:r>
          </w:p>
        </w:tc>
        <w:tc>
          <w:tcPr>
            <w:tcW w:w="2169" w:type="dxa"/>
          </w:tcPr>
          <w:p w14:paraId="0239C8E9" w14:textId="4E5998A6" w:rsidR="00F66225" w:rsidRPr="007E4A66" w:rsidRDefault="00F66225" w:rsidP="00F66225">
            <w:pPr>
              <w:rPr>
                <w:rFonts w:cs="Arial"/>
              </w:rPr>
            </w:pPr>
            <w:r w:rsidRPr="007E4A66">
              <w:rPr>
                <w:rFonts w:cs="Arial"/>
              </w:rPr>
              <w:t>Много редки</w:t>
            </w:r>
          </w:p>
        </w:tc>
        <w:tc>
          <w:tcPr>
            <w:tcW w:w="2101" w:type="dxa"/>
          </w:tcPr>
          <w:p w14:paraId="7DDD4A9D" w14:textId="6A2C052D" w:rsidR="00F66225" w:rsidRPr="007E4A66" w:rsidRDefault="00F66225" w:rsidP="00F66225">
            <w:pPr>
              <w:rPr>
                <w:rFonts w:cs="Arial"/>
                <w:lang w:val="en-US"/>
              </w:rPr>
            </w:pPr>
            <w:r w:rsidRPr="007E4A66">
              <w:rPr>
                <w:rFonts w:cs="Arial"/>
                <w:lang w:val="en-US"/>
              </w:rPr>
              <w:t>-</w:t>
            </w:r>
          </w:p>
        </w:tc>
      </w:tr>
      <w:tr w:rsidR="00F66225" w14:paraId="33E33831" w14:textId="77777777" w:rsidTr="007E4A66">
        <w:tc>
          <w:tcPr>
            <w:tcW w:w="2620" w:type="dxa"/>
            <w:vMerge/>
          </w:tcPr>
          <w:p w14:paraId="49F766BB" w14:textId="77777777" w:rsidR="00F66225" w:rsidRPr="007E4A66" w:rsidRDefault="00F66225" w:rsidP="00F66225">
            <w:pPr>
              <w:rPr>
                <w:rFonts w:cs="Arial"/>
              </w:rPr>
            </w:pPr>
          </w:p>
        </w:tc>
        <w:tc>
          <w:tcPr>
            <w:tcW w:w="2460" w:type="dxa"/>
            <w:vAlign w:val="bottom"/>
          </w:tcPr>
          <w:p w14:paraId="332CF68A" w14:textId="5E41E8DA" w:rsidR="00F66225" w:rsidRPr="007E4A66" w:rsidRDefault="00F66225" w:rsidP="00F66225">
            <w:pPr>
              <w:rPr>
                <w:rFonts w:cs="Arial"/>
              </w:rPr>
            </w:pPr>
            <w:r w:rsidRPr="007E4A66">
              <w:rPr>
                <w:rFonts w:cs="Arial"/>
              </w:rPr>
              <w:t>Възможност за начало на чернодорбна енцефалопатия в случай на намалени чернодробни функции (вж. точки 4.3 и 4.4)</w:t>
            </w:r>
          </w:p>
        </w:tc>
        <w:tc>
          <w:tcPr>
            <w:tcW w:w="2169" w:type="dxa"/>
          </w:tcPr>
          <w:p w14:paraId="5EFAE778" w14:textId="7FE0B27B" w:rsidR="00F66225" w:rsidRPr="007E4A66" w:rsidRDefault="00F66225" w:rsidP="00F66225">
            <w:pPr>
              <w:rPr>
                <w:rFonts w:cs="Arial"/>
                <w:lang w:val="en-US"/>
              </w:rPr>
            </w:pPr>
            <w:r w:rsidRPr="007E4A66">
              <w:rPr>
                <w:rFonts w:cs="Arial"/>
                <w:lang w:val="en-US"/>
              </w:rPr>
              <w:t>-</w:t>
            </w:r>
          </w:p>
        </w:tc>
        <w:tc>
          <w:tcPr>
            <w:tcW w:w="2101" w:type="dxa"/>
            <w:vAlign w:val="center"/>
          </w:tcPr>
          <w:p w14:paraId="5A8ED08B" w14:textId="218ED727" w:rsidR="00F66225" w:rsidRPr="007E4A66" w:rsidRDefault="00F66225" w:rsidP="00F66225">
            <w:pPr>
              <w:rPr>
                <w:rFonts w:cs="Arial"/>
              </w:rPr>
            </w:pPr>
            <w:r w:rsidRPr="007E4A66">
              <w:rPr>
                <w:rFonts w:cs="Arial"/>
              </w:rPr>
              <w:t>С неизвестна честота</w:t>
            </w:r>
          </w:p>
        </w:tc>
      </w:tr>
      <w:tr w:rsidR="00F66225" w14:paraId="4C36644B" w14:textId="77777777" w:rsidTr="007E4A66">
        <w:tc>
          <w:tcPr>
            <w:tcW w:w="2620" w:type="dxa"/>
            <w:vMerge w:val="restart"/>
          </w:tcPr>
          <w:p w14:paraId="2EEF8585" w14:textId="723DE765" w:rsidR="00F66225" w:rsidRPr="007E4A66" w:rsidRDefault="00F66225" w:rsidP="00F66225">
            <w:pPr>
              <w:rPr>
                <w:rFonts w:cs="Arial"/>
              </w:rPr>
            </w:pPr>
            <w:r w:rsidRPr="007E4A66">
              <w:rPr>
                <w:rFonts w:cs="Arial"/>
                <w:i/>
                <w:iCs/>
              </w:rPr>
              <w:t>Нарушения на очите</w:t>
            </w:r>
          </w:p>
        </w:tc>
        <w:tc>
          <w:tcPr>
            <w:tcW w:w="2460" w:type="dxa"/>
          </w:tcPr>
          <w:p w14:paraId="35E2115D" w14:textId="4AAE2E82" w:rsidR="00F66225" w:rsidRPr="007E4A66" w:rsidRDefault="00F66225" w:rsidP="00F66225">
            <w:pPr>
              <w:rPr>
                <w:rFonts w:cs="Arial"/>
              </w:rPr>
            </w:pPr>
            <w:r w:rsidRPr="007E4A66">
              <w:rPr>
                <w:rFonts w:cs="Arial"/>
              </w:rPr>
              <w:t>Зрителни нарушения</w:t>
            </w:r>
          </w:p>
        </w:tc>
        <w:tc>
          <w:tcPr>
            <w:tcW w:w="2169" w:type="dxa"/>
          </w:tcPr>
          <w:p w14:paraId="3CC0F2A7" w14:textId="173B0DEA" w:rsidR="00F66225" w:rsidRPr="007E4A66" w:rsidRDefault="00F66225" w:rsidP="00F66225">
            <w:pPr>
              <w:rPr>
                <w:rFonts w:cs="Arial"/>
              </w:rPr>
            </w:pPr>
            <w:r w:rsidRPr="007E4A66">
              <w:rPr>
                <w:rFonts w:cs="Arial"/>
              </w:rPr>
              <w:t>Чести</w:t>
            </w:r>
          </w:p>
        </w:tc>
        <w:tc>
          <w:tcPr>
            <w:tcW w:w="2101" w:type="dxa"/>
            <w:vAlign w:val="bottom"/>
          </w:tcPr>
          <w:p w14:paraId="5129D0A6" w14:textId="4F9197EF" w:rsidR="00F66225" w:rsidRPr="007E4A66" w:rsidRDefault="00F66225" w:rsidP="00F66225">
            <w:pPr>
              <w:rPr>
                <w:rFonts w:cs="Arial"/>
              </w:rPr>
            </w:pPr>
            <w:r w:rsidRPr="007E4A66">
              <w:rPr>
                <w:rFonts w:cs="Arial"/>
              </w:rPr>
              <w:t>С неизвестна честота</w:t>
            </w:r>
          </w:p>
        </w:tc>
      </w:tr>
      <w:tr w:rsidR="00F66225" w14:paraId="47A0FB9B" w14:textId="77777777" w:rsidTr="007E4A66">
        <w:tc>
          <w:tcPr>
            <w:tcW w:w="2620" w:type="dxa"/>
            <w:vMerge/>
          </w:tcPr>
          <w:p w14:paraId="5DB271FA" w14:textId="77777777" w:rsidR="00F66225" w:rsidRPr="007E4A66" w:rsidRDefault="00F66225" w:rsidP="00F66225">
            <w:pPr>
              <w:rPr>
                <w:rFonts w:cs="Arial"/>
              </w:rPr>
            </w:pPr>
          </w:p>
        </w:tc>
        <w:tc>
          <w:tcPr>
            <w:tcW w:w="2460" w:type="dxa"/>
          </w:tcPr>
          <w:p w14:paraId="21CB70C5" w14:textId="1F7E8212" w:rsidR="00F66225" w:rsidRPr="007E4A66" w:rsidRDefault="00F66225" w:rsidP="00F66225">
            <w:pPr>
              <w:rPr>
                <w:rFonts w:cs="Arial"/>
              </w:rPr>
            </w:pPr>
            <w:r w:rsidRPr="007E4A66">
              <w:rPr>
                <w:rFonts w:cs="Arial"/>
              </w:rPr>
              <w:t>Миопатия (вж. точка 4.4)</w:t>
            </w:r>
          </w:p>
        </w:tc>
        <w:tc>
          <w:tcPr>
            <w:tcW w:w="2169" w:type="dxa"/>
          </w:tcPr>
          <w:p w14:paraId="14B1ED17" w14:textId="56A001D3" w:rsidR="00F66225" w:rsidRPr="007E4A66" w:rsidRDefault="00F66225" w:rsidP="00F66225">
            <w:pPr>
              <w:rPr>
                <w:rFonts w:cs="Arial"/>
                <w:lang w:val="en-US"/>
              </w:rPr>
            </w:pPr>
            <w:r w:rsidRPr="007E4A66">
              <w:rPr>
                <w:rFonts w:cs="Arial"/>
                <w:lang w:val="en-US"/>
              </w:rPr>
              <w:t>-</w:t>
            </w:r>
          </w:p>
        </w:tc>
        <w:tc>
          <w:tcPr>
            <w:tcW w:w="2101" w:type="dxa"/>
            <w:vAlign w:val="bottom"/>
          </w:tcPr>
          <w:p w14:paraId="08E155B0" w14:textId="5350A2A3" w:rsidR="00F66225" w:rsidRPr="007E4A66" w:rsidRDefault="00F66225" w:rsidP="00F66225">
            <w:pPr>
              <w:rPr>
                <w:rFonts w:cs="Arial"/>
              </w:rPr>
            </w:pPr>
            <w:r w:rsidRPr="007E4A66">
              <w:rPr>
                <w:rFonts w:cs="Arial"/>
              </w:rPr>
              <w:t>С неизвестна честота</w:t>
            </w:r>
          </w:p>
        </w:tc>
      </w:tr>
      <w:tr w:rsidR="00F66225" w14:paraId="11412A29" w14:textId="77777777" w:rsidTr="007E4A66">
        <w:tc>
          <w:tcPr>
            <w:tcW w:w="2620" w:type="dxa"/>
            <w:vMerge/>
          </w:tcPr>
          <w:p w14:paraId="05E14BC5" w14:textId="77777777" w:rsidR="00F66225" w:rsidRPr="007E4A66" w:rsidRDefault="00F66225" w:rsidP="00F66225">
            <w:pPr>
              <w:rPr>
                <w:rFonts w:cs="Arial"/>
              </w:rPr>
            </w:pPr>
          </w:p>
        </w:tc>
        <w:tc>
          <w:tcPr>
            <w:tcW w:w="2460" w:type="dxa"/>
          </w:tcPr>
          <w:p w14:paraId="2F246B9B" w14:textId="577C2699" w:rsidR="00F66225" w:rsidRPr="007E4A66" w:rsidRDefault="00F66225" w:rsidP="00F66225">
            <w:pPr>
              <w:rPr>
                <w:rFonts w:cs="Arial"/>
              </w:rPr>
            </w:pPr>
            <w:r w:rsidRPr="007E4A66">
              <w:rPr>
                <w:rFonts w:cs="Arial"/>
              </w:rPr>
              <w:t>Замъглено зрение</w:t>
            </w:r>
          </w:p>
        </w:tc>
        <w:tc>
          <w:tcPr>
            <w:tcW w:w="2169" w:type="dxa"/>
          </w:tcPr>
          <w:p w14:paraId="2340E523" w14:textId="5372D258" w:rsidR="00F66225" w:rsidRPr="007E4A66" w:rsidRDefault="00F66225" w:rsidP="00F66225">
            <w:pPr>
              <w:rPr>
                <w:rFonts w:cs="Arial"/>
                <w:lang w:val="en-US"/>
              </w:rPr>
            </w:pPr>
            <w:r w:rsidRPr="007E4A66">
              <w:rPr>
                <w:rFonts w:cs="Arial"/>
                <w:lang w:val="en-US"/>
              </w:rPr>
              <w:t>-</w:t>
            </w:r>
          </w:p>
        </w:tc>
        <w:tc>
          <w:tcPr>
            <w:tcW w:w="2101" w:type="dxa"/>
          </w:tcPr>
          <w:p w14:paraId="0BA342AA" w14:textId="50E19E30" w:rsidR="00F66225" w:rsidRPr="007E4A66" w:rsidRDefault="00F66225" w:rsidP="00F66225">
            <w:pPr>
              <w:rPr>
                <w:rFonts w:cs="Arial"/>
              </w:rPr>
            </w:pPr>
            <w:r w:rsidRPr="007E4A66">
              <w:rPr>
                <w:rFonts w:cs="Arial"/>
              </w:rPr>
              <w:t>С неизвестна честота</w:t>
            </w:r>
          </w:p>
        </w:tc>
      </w:tr>
      <w:tr w:rsidR="00F66225" w14:paraId="1DD988E8" w14:textId="77777777" w:rsidTr="007E4A66">
        <w:tc>
          <w:tcPr>
            <w:tcW w:w="2620" w:type="dxa"/>
            <w:vMerge/>
          </w:tcPr>
          <w:p w14:paraId="0BFB156E" w14:textId="77777777" w:rsidR="00F66225" w:rsidRPr="007E4A66" w:rsidRDefault="00F66225" w:rsidP="00F66225">
            <w:pPr>
              <w:rPr>
                <w:rFonts w:cs="Arial"/>
              </w:rPr>
            </w:pPr>
          </w:p>
        </w:tc>
        <w:tc>
          <w:tcPr>
            <w:tcW w:w="2460" w:type="dxa"/>
          </w:tcPr>
          <w:p w14:paraId="3A71C8B8" w14:textId="7A7E72C6" w:rsidR="00F66225" w:rsidRPr="007E4A66" w:rsidRDefault="00F66225" w:rsidP="00F66225">
            <w:pPr>
              <w:rPr>
                <w:rFonts w:cs="Arial"/>
              </w:rPr>
            </w:pPr>
            <w:r w:rsidRPr="007E4A66">
              <w:rPr>
                <w:rFonts w:cs="Arial"/>
              </w:rPr>
              <w:t>Остра закритоъгълна глаукома</w:t>
            </w:r>
          </w:p>
        </w:tc>
        <w:tc>
          <w:tcPr>
            <w:tcW w:w="2169" w:type="dxa"/>
          </w:tcPr>
          <w:p w14:paraId="3A2E17AE" w14:textId="76FC59E0" w:rsidR="00F66225" w:rsidRPr="007E4A66" w:rsidRDefault="00F66225" w:rsidP="00F66225">
            <w:pPr>
              <w:rPr>
                <w:rFonts w:cs="Arial"/>
                <w:lang w:val="en-US"/>
              </w:rPr>
            </w:pPr>
            <w:r w:rsidRPr="007E4A66">
              <w:rPr>
                <w:rFonts w:cs="Arial"/>
                <w:lang w:val="en-US"/>
              </w:rPr>
              <w:t>-</w:t>
            </w:r>
          </w:p>
        </w:tc>
        <w:tc>
          <w:tcPr>
            <w:tcW w:w="2101" w:type="dxa"/>
          </w:tcPr>
          <w:p w14:paraId="154F4A13" w14:textId="6005FFE0" w:rsidR="00F66225" w:rsidRPr="007E4A66" w:rsidRDefault="00F66225" w:rsidP="00F66225">
            <w:pPr>
              <w:rPr>
                <w:rFonts w:cs="Arial"/>
              </w:rPr>
            </w:pPr>
            <w:r w:rsidRPr="007E4A66">
              <w:rPr>
                <w:rFonts w:cs="Arial"/>
              </w:rPr>
              <w:t>С неизвестна честота</w:t>
            </w:r>
          </w:p>
        </w:tc>
      </w:tr>
      <w:tr w:rsidR="00F66225" w14:paraId="710CE5AF" w14:textId="77777777" w:rsidTr="007E4A66">
        <w:tc>
          <w:tcPr>
            <w:tcW w:w="2620" w:type="dxa"/>
            <w:vMerge/>
          </w:tcPr>
          <w:p w14:paraId="3D65E321" w14:textId="77777777" w:rsidR="00F66225" w:rsidRPr="007E4A66" w:rsidRDefault="00F66225" w:rsidP="00F66225">
            <w:pPr>
              <w:rPr>
                <w:rFonts w:cs="Arial"/>
              </w:rPr>
            </w:pPr>
          </w:p>
        </w:tc>
        <w:tc>
          <w:tcPr>
            <w:tcW w:w="2460" w:type="dxa"/>
          </w:tcPr>
          <w:p w14:paraId="08C74155" w14:textId="61362E95" w:rsidR="00F66225" w:rsidRPr="007E4A66" w:rsidRDefault="00F66225" w:rsidP="00F66225">
            <w:pPr>
              <w:rPr>
                <w:rFonts w:cs="Arial"/>
              </w:rPr>
            </w:pPr>
            <w:r w:rsidRPr="007E4A66">
              <w:rPr>
                <w:rFonts w:cs="Arial"/>
              </w:rPr>
              <w:t>Хороидален излив</w:t>
            </w:r>
          </w:p>
        </w:tc>
        <w:tc>
          <w:tcPr>
            <w:tcW w:w="2169" w:type="dxa"/>
          </w:tcPr>
          <w:p w14:paraId="5F221346" w14:textId="4A10D365" w:rsidR="00F66225" w:rsidRPr="007E4A66" w:rsidRDefault="00F66225" w:rsidP="00F66225">
            <w:pPr>
              <w:rPr>
                <w:rFonts w:cs="Arial"/>
                <w:lang w:val="en-US"/>
              </w:rPr>
            </w:pPr>
            <w:r w:rsidRPr="007E4A66">
              <w:rPr>
                <w:rFonts w:cs="Arial"/>
                <w:lang w:val="en-US"/>
              </w:rPr>
              <w:t>-</w:t>
            </w:r>
          </w:p>
        </w:tc>
        <w:tc>
          <w:tcPr>
            <w:tcW w:w="2101" w:type="dxa"/>
            <w:vAlign w:val="bottom"/>
          </w:tcPr>
          <w:p w14:paraId="394A4384" w14:textId="76A5EDC8" w:rsidR="00F66225" w:rsidRPr="007E4A66" w:rsidRDefault="00F66225" w:rsidP="00F66225">
            <w:pPr>
              <w:rPr>
                <w:rFonts w:cs="Arial"/>
              </w:rPr>
            </w:pPr>
            <w:r w:rsidRPr="007E4A66">
              <w:rPr>
                <w:rFonts w:cs="Arial"/>
              </w:rPr>
              <w:t>С неизвестна честота</w:t>
            </w:r>
          </w:p>
        </w:tc>
      </w:tr>
      <w:tr w:rsidR="00F66225" w14:paraId="1782C7D1" w14:textId="77777777" w:rsidTr="007E4A66">
        <w:tc>
          <w:tcPr>
            <w:tcW w:w="2620" w:type="dxa"/>
            <w:vMerge w:val="restart"/>
          </w:tcPr>
          <w:p w14:paraId="16D45666" w14:textId="71D7F608" w:rsidR="00F66225" w:rsidRPr="007E4A66" w:rsidRDefault="00F66225" w:rsidP="00F66225">
            <w:pPr>
              <w:rPr>
                <w:rFonts w:cs="Arial"/>
              </w:rPr>
            </w:pPr>
            <w:r w:rsidRPr="007E4A66">
              <w:rPr>
                <w:rFonts w:cs="Arial"/>
                <w:i/>
                <w:iCs/>
              </w:rPr>
              <w:t>Нарушения на ухото и лабиринта</w:t>
            </w:r>
          </w:p>
        </w:tc>
        <w:tc>
          <w:tcPr>
            <w:tcW w:w="2460" w:type="dxa"/>
            <w:vAlign w:val="bottom"/>
          </w:tcPr>
          <w:p w14:paraId="6B034937" w14:textId="5F674602" w:rsidR="00F66225" w:rsidRPr="007E4A66" w:rsidRDefault="00F66225" w:rsidP="00F66225">
            <w:pPr>
              <w:rPr>
                <w:rFonts w:cs="Arial"/>
              </w:rPr>
            </w:pPr>
            <w:r w:rsidRPr="007E4A66">
              <w:rPr>
                <w:rFonts w:cs="Arial"/>
              </w:rPr>
              <w:t>Световъртеж</w:t>
            </w:r>
          </w:p>
        </w:tc>
        <w:tc>
          <w:tcPr>
            <w:tcW w:w="2169" w:type="dxa"/>
            <w:vAlign w:val="bottom"/>
          </w:tcPr>
          <w:p w14:paraId="781CABBA" w14:textId="17F59278" w:rsidR="00F66225" w:rsidRPr="007E4A66" w:rsidRDefault="00F66225" w:rsidP="00F66225">
            <w:pPr>
              <w:rPr>
                <w:rFonts w:cs="Arial"/>
              </w:rPr>
            </w:pPr>
            <w:r w:rsidRPr="007E4A66">
              <w:rPr>
                <w:rFonts w:cs="Arial"/>
              </w:rPr>
              <w:t>Чести</w:t>
            </w:r>
          </w:p>
        </w:tc>
        <w:tc>
          <w:tcPr>
            <w:tcW w:w="2101" w:type="dxa"/>
            <w:vAlign w:val="bottom"/>
          </w:tcPr>
          <w:p w14:paraId="7EF4FC5F" w14:textId="4300D3F8" w:rsidR="00F66225" w:rsidRPr="007E4A66" w:rsidRDefault="00F66225" w:rsidP="00F66225">
            <w:pPr>
              <w:rPr>
                <w:rFonts w:cs="Arial"/>
              </w:rPr>
            </w:pPr>
            <w:r w:rsidRPr="007E4A66">
              <w:rPr>
                <w:rFonts w:cs="Arial"/>
              </w:rPr>
              <w:t>Редки</w:t>
            </w:r>
          </w:p>
        </w:tc>
      </w:tr>
      <w:tr w:rsidR="00F66225" w14:paraId="320DF5EB" w14:textId="77777777" w:rsidTr="007E4A66">
        <w:tc>
          <w:tcPr>
            <w:tcW w:w="2620" w:type="dxa"/>
            <w:vMerge/>
          </w:tcPr>
          <w:p w14:paraId="0F3867C8" w14:textId="77777777" w:rsidR="00F66225" w:rsidRPr="007E4A66" w:rsidRDefault="00F66225" w:rsidP="00F66225">
            <w:pPr>
              <w:rPr>
                <w:rFonts w:cs="Arial"/>
              </w:rPr>
            </w:pPr>
          </w:p>
        </w:tc>
        <w:tc>
          <w:tcPr>
            <w:tcW w:w="2460" w:type="dxa"/>
            <w:vAlign w:val="bottom"/>
          </w:tcPr>
          <w:p w14:paraId="01F228BF" w14:textId="11D0AAC9" w:rsidR="00F66225" w:rsidRPr="007E4A66" w:rsidRDefault="00F66225" w:rsidP="00F66225">
            <w:pPr>
              <w:rPr>
                <w:rFonts w:cs="Arial"/>
              </w:rPr>
            </w:pPr>
            <w:r w:rsidRPr="007E4A66">
              <w:rPr>
                <w:rFonts w:cs="Arial"/>
              </w:rPr>
              <w:t>Тинитус</w:t>
            </w:r>
          </w:p>
        </w:tc>
        <w:tc>
          <w:tcPr>
            <w:tcW w:w="2169" w:type="dxa"/>
            <w:vAlign w:val="bottom"/>
          </w:tcPr>
          <w:p w14:paraId="4211C6A2" w14:textId="0D34A4C2" w:rsidR="00F66225" w:rsidRPr="007E4A66" w:rsidRDefault="00F66225" w:rsidP="00F66225">
            <w:pPr>
              <w:rPr>
                <w:rFonts w:cs="Arial"/>
              </w:rPr>
            </w:pPr>
            <w:r w:rsidRPr="007E4A66">
              <w:rPr>
                <w:rFonts w:cs="Arial"/>
              </w:rPr>
              <w:t>Чести</w:t>
            </w:r>
          </w:p>
        </w:tc>
        <w:tc>
          <w:tcPr>
            <w:tcW w:w="2101" w:type="dxa"/>
          </w:tcPr>
          <w:p w14:paraId="3EFE04E1" w14:textId="37A161BF" w:rsidR="00F66225" w:rsidRPr="007E4A66" w:rsidRDefault="00F66225" w:rsidP="00F66225">
            <w:pPr>
              <w:rPr>
                <w:rFonts w:cs="Arial"/>
                <w:lang w:val="en-US"/>
              </w:rPr>
            </w:pPr>
            <w:r w:rsidRPr="007E4A66">
              <w:rPr>
                <w:rFonts w:cs="Arial"/>
                <w:lang w:val="en-US"/>
              </w:rPr>
              <w:t>-</w:t>
            </w:r>
          </w:p>
        </w:tc>
      </w:tr>
      <w:tr w:rsidR="00F66225" w14:paraId="438B4694" w14:textId="77777777" w:rsidTr="007E4A66">
        <w:tc>
          <w:tcPr>
            <w:tcW w:w="2620" w:type="dxa"/>
            <w:vMerge w:val="restart"/>
          </w:tcPr>
          <w:p w14:paraId="5CA00B77" w14:textId="050693CF" w:rsidR="00F66225" w:rsidRPr="007E4A66" w:rsidRDefault="00F66225" w:rsidP="00F66225">
            <w:pPr>
              <w:rPr>
                <w:rFonts w:cs="Arial"/>
              </w:rPr>
            </w:pPr>
            <w:r w:rsidRPr="007E4A66">
              <w:rPr>
                <w:rFonts w:cs="Arial"/>
                <w:i/>
                <w:iCs/>
              </w:rPr>
              <w:t>Сърдечни нарушения</w:t>
            </w:r>
          </w:p>
        </w:tc>
        <w:tc>
          <w:tcPr>
            <w:tcW w:w="2460" w:type="dxa"/>
          </w:tcPr>
          <w:p w14:paraId="02E4BEEF" w14:textId="10658024" w:rsidR="00F66225" w:rsidRPr="007E4A66" w:rsidRDefault="00F66225" w:rsidP="00F66225">
            <w:pPr>
              <w:rPr>
                <w:rFonts w:cs="Arial"/>
              </w:rPr>
            </w:pPr>
            <w:r w:rsidRPr="007E4A66">
              <w:rPr>
                <w:rFonts w:cs="Arial"/>
              </w:rPr>
              <w:t>Палпитации</w:t>
            </w:r>
          </w:p>
        </w:tc>
        <w:tc>
          <w:tcPr>
            <w:tcW w:w="2169" w:type="dxa"/>
          </w:tcPr>
          <w:p w14:paraId="1C7D7D1D" w14:textId="20F1AECF" w:rsidR="00F66225" w:rsidRPr="007E4A66" w:rsidRDefault="00F66225" w:rsidP="00F66225">
            <w:pPr>
              <w:rPr>
                <w:rFonts w:cs="Arial"/>
              </w:rPr>
            </w:pPr>
            <w:r w:rsidRPr="007E4A66">
              <w:rPr>
                <w:rFonts w:cs="Arial"/>
              </w:rPr>
              <w:t>Нечести*</w:t>
            </w:r>
          </w:p>
        </w:tc>
        <w:tc>
          <w:tcPr>
            <w:tcW w:w="2101" w:type="dxa"/>
          </w:tcPr>
          <w:p w14:paraId="15359469" w14:textId="2E20AB95" w:rsidR="00F66225" w:rsidRPr="007E4A66" w:rsidRDefault="00F66225" w:rsidP="00F66225">
            <w:pPr>
              <w:rPr>
                <w:rFonts w:cs="Arial"/>
                <w:lang w:val="en-US"/>
              </w:rPr>
            </w:pPr>
            <w:r w:rsidRPr="007E4A66">
              <w:rPr>
                <w:rFonts w:cs="Arial"/>
                <w:lang w:val="en-US"/>
              </w:rPr>
              <w:t>-</w:t>
            </w:r>
          </w:p>
        </w:tc>
      </w:tr>
      <w:tr w:rsidR="00F66225" w14:paraId="2145A289" w14:textId="77777777" w:rsidTr="007E4A66">
        <w:tc>
          <w:tcPr>
            <w:tcW w:w="2620" w:type="dxa"/>
            <w:vMerge/>
          </w:tcPr>
          <w:p w14:paraId="511F6BB7" w14:textId="77777777" w:rsidR="00F66225" w:rsidRPr="007E4A66" w:rsidRDefault="00F66225" w:rsidP="00F66225">
            <w:pPr>
              <w:rPr>
                <w:rFonts w:cs="Arial"/>
              </w:rPr>
            </w:pPr>
          </w:p>
        </w:tc>
        <w:tc>
          <w:tcPr>
            <w:tcW w:w="2460" w:type="dxa"/>
            <w:vAlign w:val="bottom"/>
          </w:tcPr>
          <w:p w14:paraId="3D741E0D" w14:textId="72CC0AD8" w:rsidR="00F66225" w:rsidRPr="007E4A66" w:rsidRDefault="00F66225" w:rsidP="00F66225">
            <w:pPr>
              <w:rPr>
                <w:rFonts w:cs="Arial"/>
              </w:rPr>
            </w:pPr>
            <w:r w:rsidRPr="007E4A66">
              <w:rPr>
                <w:rFonts w:cs="Arial"/>
              </w:rPr>
              <w:t>Тахикардия</w:t>
            </w:r>
          </w:p>
        </w:tc>
        <w:tc>
          <w:tcPr>
            <w:tcW w:w="2169" w:type="dxa"/>
            <w:vAlign w:val="bottom"/>
          </w:tcPr>
          <w:p w14:paraId="2AB1B902" w14:textId="18C903E5" w:rsidR="00F66225" w:rsidRPr="007E4A66" w:rsidRDefault="00F66225" w:rsidP="00F66225">
            <w:pPr>
              <w:rPr>
                <w:rFonts w:cs="Arial"/>
              </w:rPr>
            </w:pPr>
            <w:r w:rsidRPr="007E4A66">
              <w:rPr>
                <w:rFonts w:cs="Arial"/>
              </w:rPr>
              <w:t>Нечести*</w:t>
            </w:r>
          </w:p>
        </w:tc>
        <w:tc>
          <w:tcPr>
            <w:tcW w:w="2101" w:type="dxa"/>
          </w:tcPr>
          <w:p w14:paraId="7F1344DC" w14:textId="366336DD" w:rsidR="00F66225" w:rsidRPr="007E4A66" w:rsidRDefault="00F66225" w:rsidP="00F66225">
            <w:pPr>
              <w:rPr>
                <w:rFonts w:cs="Arial"/>
                <w:lang w:val="en-US"/>
              </w:rPr>
            </w:pPr>
            <w:r w:rsidRPr="007E4A66">
              <w:rPr>
                <w:rFonts w:cs="Arial"/>
                <w:lang w:val="en-US"/>
              </w:rPr>
              <w:t>-</w:t>
            </w:r>
          </w:p>
        </w:tc>
      </w:tr>
      <w:tr w:rsidR="00F66225" w14:paraId="468331F9" w14:textId="77777777" w:rsidTr="007E4A66">
        <w:tc>
          <w:tcPr>
            <w:tcW w:w="2620" w:type="dxa"/>
            <w:vMerge/>
          </w:tcPr>
          <w:p w14:paraId="077929EE" w14:textId="77777777" w:rsidR="00F66225" w:rsidRPr="007E4A66" w:rsidRDefault="00F66225" w:rsidP="00F66225">
            <w:pPr>
              <w:rPr>
                <w:rFonts w:cs="Arial"/>
              </w:rPr>
            </w:pPr>
          </w:p>
        </w:tc>
        <w:tc>
          <w:tcPr>
            <w:tcW w:w="2460" w:type="dxa"/>
            <w:vAlign w:val="bottom"/>
          </w:tcPr>
          <w:p w14:paraId="4E4A3FDD" w14:textId="72A732BE" w:rsidR="00F66225" w:rsidRPr="007E4A66" w:rsidRDefault="00F66225" w:rsidP="00F66225">
            <w:pPr>
              <w:rPr>
                <w:rFonts w:cs="Arial"/>
              </w:rPr>
            </w:pPr>
            <w:r w:rsidRPr="007E4A66">
              <w:rPr>
                <w:rFonts w:cs="Arial"/>
              </w:rPr>
              <w:t>Стенокардия (вж, точка 4.4)</w:t>
            </w:r>
          </w:p>
        </w:tc>
        <w:tc>
          <w:tcPr>
            <w:tcW w:w="2169" w:type="dxa"/>
            <w:vAlign w:val="bottom"/>
          </w:tcPr>
          <w:p w14:paraId="1180E82A" w14:textId="135298F7" w:rsidR="00F66225" w:rsidRPr="007E4A66" w:rsidRDefault="00F66225" w:rsidP="00F66225">
            <w:pPr>
              <w:rPr>
                <w:rFonts w:cs="Arial"/>
              </w:rPr>
            </w:pPr>
            <w:r w:rsidRPr="007E4A66">
              <w:rPr>
                <w:rFonts w:cs="Arial"/>
              </w:rPr>
              <w:t>Много редки</w:t>
            </w:r>
          </w:p>
        </w:tc>
        <w:tc>
          <w:tcPr>
            <w:tcW w:w="2101" w:type="dxa"/>
            <w:vAlign w:val="center"/>
          </w:tcPr>
          <w:p w14:paraId="195755CC" w14:textId="62C2EB9C" w:rsidR="00F66225" w:rsidRPr="007E4A66" w:rsidRDefault="00F66225" w:rsidP="00F66225">
            <w:pPr>
              <w:rPr>
                <w:rFonts w:cs="Arial"/>
              </w:rPr>
            </w:pPr>
            <w:r w:rsidRPr="007E4A66">
              <w:rPr>
                <w:rFonts w:cs="Arial"/>
              </w:rPr>
              <w:t>-</w:t>
            </w:r>
          </w:p>
        </w:tc>
      </w:tr>
      <w:tr w:rsidR="00F66225" w14:paraId="41C88FBA" w14:textId="77777777" w:rsidTr="007E4A66">
        <w:tc>
          <w:tcPr>
            <w:tcW w:w="2620" w:type="dxa"/>
            <w:vMerge/>
          </w:tcPr>
          <w:p w14:paraId="32210682" w14:textId="77777777" w:rsidR="00F66225" w:rsidRPr="007E4A66" w:rsidRDefault="00F66225" w:rsidP="00F66225">
            <w:pPr>
              <w:rPr>
                <w:rFonts w:cs="Arial"/>
              </w:rPr>
            </w:pPr>
          </w:p>
        </w:tc>
        <w:tc>
          <w:tcPr>
            <w:tcW w:w="2460" w:type="dxa"/>
            <w:vAlign w:val="bottom"/>
          </w:tcPr>
          <w:p w14:paraId="38037607" w14:textId="6AD59C22" w:rsidR="00F66225" w:rsidRPr="007E4A66" w:rsidRDefault="00F66225" w:rsidP="00F66225">
            <w:pPr>
              <w:rPr>
                <w:rFonts w:cs="Arial"/>
              </w:rPr>
            </w:pPr>
            <w:r w:rsidRPr="007E4A66">
              <w:rPr>
                <w:rFonts w:cs="Arial"/>
              </w:rPr>
              <w:t>Аритмия (включително брадикардия, камерна тахикардия и предсърдно мъждене)</w:t>
            </w:r>
          </w:p>
        </w:tc>
        <w:tc>
          <w:tcPr>
            <w:tcW w:w="2169" w:type="dxa"/>
          </w:tcPr>
          <w:p w14:paraId="77D3CB59" w14:textId="1FD3A3BD" w:rsidR="00F66225" w:rsidRPr="007E4A66" w:rsidRDefault="00F66225" w:rsidP="00F66225">
            <w:pPr>
              <w:rPr>
                <w:rFonts w:cs="Arial"/>
              </w:rPr>
            </w:pPr>
            <w:r w:rsidRPr="007E4A66">
              <w:rPr>
                <w:rFonts w:cs="Arial"/>
              </w:rPr>
              <w:t>Много редки</w:t>
            </w:r>
          </w:p>
        </w:tc>
        <w:tc>
          <w:tcPr>
            <w:tcW w:w="2101" w:type="dxa"/>
            <w:vAlign w:val="center"/>
          </w:tcPr>
          <w:p w14:paraId="132D0940" w14:textId="153D45FB" w:rsidR="00F66225" w:rsidRPr="007E4A66" w:rsidRDefault="00F66225" w:rsidP="00F66225">
            <w:pPr>
              <w:rPr>
                <w:rFonts w:cs="Arial"/>
              </w:rPr>
            </w:pPr>
            <w:r w:rsidRPr="007E4A66">
              <w:rPr>
                <w:rFonts w:cs="Arial"/>
              </w:rPr>
              <w:t>Много редки</w:t>
            </w:r>
          </w:p>
        </w:tc>
      </w:tr>
      <w:tr w:rsidR="00F66225" w14:paraId="78019C46" w14:textId="77777777" w:rsidTr="007E4A66">
        <w:tc>
          <w:tcPr>
            <w:tcW w:w="2620" w:type="dxa"/>
            <w:vMerge/>
          </w:tcPr>
          <w:p w14:paraId="463EA43E" w14:textId="77777777" w:rsidR="00F66225" w:rsidRPr="007E4A66" w:rsidRDefault="00F66225" w:rsidP="00F66225">
            <w:pPr>
              <w:rPr>
                <w:rFonts w:cs="Arial"/>
              </w:rPr>
            </w:pPr>
          </w:p>
        </w:tc>
        <w:tc>
          <w:tcPr>
            <w:tcW w:w="2460" w:type="dxa"/>
            <w:vAlign w:val="bottom"/>
          </w:tcPr>
          <w:p w14:paraId="6C2FB7E9" w14:textId="6AB26A20" w:rsidR="00F66225" w:rsidRPr="007E4A66" w:rsidRDefault="00F66225" w:rsidP="00F66225">
            <w:pPr>
              <w:rPr>
                <w:rFonts w:cs="Arial"/>
              </w:rPr>
            </w:pPr>
            <w:r w:rsidRPr="007E4A66">
              <w:rPr>
                <w:rFonts w:cs="Arial"/>
              </w:rPr>
              <w:t>Миокарден инфаркт, възможно и вторичен поради прекомерна хипотония при високорискови пациенти (вж. точка 4.4)</w:t>
            </w:r>
          </w:p>
        </w:tc>
        <w:tc>
          <w:tcPr>
            <w:tcW w:w="2169" w:type="dxa"/>
          </w:tcPr>
          <w:p w14:paraId="7DAF5A3B" w14:textId="599E3374" w:rsidR="00F66225" w:rsidRPr="007E4A66" w:rsidRDefault="00F66225" w:rsidP="00F66225">
            <w:pPr>
              <w:rPr>
                <w:rFonts w:cs="Arial"/>
              </w:rPr>
            </w:pPr>
            <w:r w:rsidRPr="007E4A66">
              <w:rPr>
                <w:rFonts w:cs="Arial"/>
              </w:rPr>
              <w:t>Много редки</w:t>
            </w:r>
          </w:p>
        </w:tc>
        <w:tc>
          <w:tcPr>
            <w:tcW w:w="2101" w:type="dxa"/>
          </w:tcPr>
          <w:p w14:paraId="4B257B8D" w14:textId="438DB334" w:rsidR="00F66225" w:rsidRPr="007E4A66" w:rsidRDefault="00F66225" w:rsidP="00F66225">
            <w:pPr>
              <w:rPr>
                <w:rFonts w:cs="Arial"/>
                <w:lang w:val="en-US"/>
              </w:rPr>
            </w:pPr>
            <w:r w:rsidRPr="007E4A66">
              <w:rPr>
                <w:rFonts w:cs="Arial"/>
                <w:lang w:val="en-US"/>
              </w:rPr>
              <w:t>-</w:t>
            </w:r>
          </w:p>
        </w:tc>
      </w:tr>
      <w:tr w:rsidR="00F66225" w14:paraId="42091954" w14:textId="77777777" w:rsidTr="007E4A66">
        <w:tc>
          <w:tcPr>
            <w:tcW w:w="2620" w:type="dxa"/>
            <w:vMerge/>
          </w:tcPr>
          <w:p w14:paraId="70D51147" w14:textId="77777777" w:rsidR="00F66225" w:rsidRPr="007E4A66" w:rsidRDefault="00F66225" w:rsidP="00F66225">
            <w:pPr>
              <w:rPr>
                <w:rFonts w:cs="Arial"/>
              </w:rPr>
            </w:pPr>
          </w:p>
        </w:tc>
        <w:tc>
          <w:tcPr>
            <w:tcW w:w="2460" w:type="dxa"/>
            <w:vAlign w:val="bottom"/>
          </w:tcPr>
          <w:p w14:paraId="3904C7B4" w14:textId="2528BD36" w:rsidR="00F66225" w:rsidRPr="007E4A66" w:rsidRDefault="00F66225" w:rsidP="00F66225">
            <w:pPr>
              <w:rPr>
                <w:rFonts w:cs="Arial"/>
              </w:rPr>
            </w:pPr>
            <w:r w:rsidRPr="007E4A66">
              <w:rPr>
                <w:rFonts w:cs="Arial"/>
                <w:lang w:val="en-US"/>
              </w:rPr>
              <w:t xml:space="preserve">Torsade de pointes </w:t>
            </w:r>
            <w:r w:rsidRPr="007E4A66">
              <w:rPr>
                <w:rFonts w:cs="Arial"/>
              </w:rPr>
              <w:t>(потенциално фатално) (вж. точки 4.4 и 4.5)</w:t>
            </w:r>
          </w:p>
        </w:tc>
        <w:tc>
          <w:tcPr>
            <w:tcW w:w="2169" w:type="dxa"/>
          </w:tcPr>
          <w:p w14:paraId="076E286C" w14:textId="26EF92D1" w:rsidR="00F66225" w:rsidRPr="007E4A66" w:rsidRDefault="00F66225" w:rsidP="00F66225">
            <w:pPr>
              <w:rPr>
                <w:rFonts w:cs="Arial"/>
              </w:rPr>
            </w:pPr>
            <w:r w:rsidRPr="007E4A66">
              <w:rPr>
                <w:rFonts w:cs="Arial"/>
              </w:rPr>
              <w:t>-</w:t>
            </w:r>
          </w:p>
        </w:tc>
        <w:tc>
          <w:tcPr>
            <w:tcW w:w="2101" w:type="dxa"/>
            <w:vAlign w:val="bottom"/>
          </w:tcPr>
          <w:p w14:paraId="4FE0195E" w14:textId="77777777" w:rsidR="00F66225" w:rsidRPr="007E4A66" w:rsidRDefault="00F66225" w:rsidP="00F66225">
            <w:pPr>
              <w:rPr>
                <w:rFonts w:cs="Arial"/>
              </w:rPr>
            </w:pPr>
            <w:r w:rsidRPr="007E4A66">
              <w:rPr>
                <w:rFonts w:cs="Arial"/>
              </w:rPr>
              <w:t>С неизвестна</w:t>
            </w:r>
          </w:p>
          <w:p w14:paraId="28117D85" w14:textId="633A02E3" w:rsidR="00F66225" w:rsidRPr="007E4A66" w:rsidRDefault="00F66225" w:rsidP="00F66225">
            <w:pPr>
              <w:rPr>
                <w:rFonts w:cs="Arial"/>
              </w:rPr>
            </w:pPr>
            <w:r w:rsidRPr="007E4A66">
              <w:rPr>
                <w:rFonts w:cs="Arial"/>
              </w:rPr>
              <w:t>честота</w:t>
            </w:r>
          </w:p>
        </w:tc>
      </w:tr>
      <w:tr w:rsidR="00F66225" w14:paraId="506A048C" w14:textId="77777777" w:rsidTr="007E4A66">
        <w:tc>
          <w:tcPr>
            <w:tcW w:w="2620" w:type="dxa"/>
            <w:vMerge w:val="restart"/>
          </w:tcPr>
          <w:p w14:paraId="2EFE7972" w14:textId="77777777" w:rsidR="00F66225" w:rsidRPr="00F66225" w:rsidRDefault="00F66225" w:rsidP="00F66225">
            <w:pPr>
              <w:spacing w:line="240" w:lineRule="auto"/>
              <w:rPr>
                <w:rFonts w:eastAsia="Times New Roman" w:cs="Arial"/>
                <w:lang w:eastAsia="bg-BG"/>
              </w:rPr>
            </w:pPr>
            <w:r w:rsidRPr="00F66225">
              <w:rPr>
                <w:rFonts w:eastAsia="Times New Roman" w:cs="Arial"/>
                <w:i/>
                <w:iCs/>
                <w:color w:val="000000"/>
                <w:lang w:eastAsia="bg-BG"/>
              </w:rPr>
              <w:t>Съдови нарушения</w:t>
            </w:r>
          </w:p>
          <w:p w14:paraId="721D8653" w14:textId="77777777" w:rsidR="00F66225" w:rsidRPr="007E4A66" w:rsidRDefault="00F66225" w:rsidP="00F66225">
            <w:pPr>
              <w:rPr>
                <w:rFonts w:cs="Arial"/>
              </w:rPr>
            </w:pPr>
          </w:p>
        </w:tc>
        <w:tc>
          <w:tcPr>
            <w:tcW w:w="2460" w:type="dxa"/>
          </w:tcPr>
          <w:p w14:paraId="71B7240C" w14:textId="38587B1F" w:rsidR="00F66225" w:rsidRPr="007E4A66" w:rsidRDefault="00F66225" w:rsidP="00F66225">
            <w:pPr>
              <w:rPr>
                <w:rFonts w:cs="Arial"/>
              </w:rPr>
            </w:pPr>
            <w:r w:rsidRPr="007E4A66">
              <w:rPr>
                <w:rFonts w:cs="Arial"/>
              </w:rPr>
              <w:t>Хипотония (и свързани с хипотонията ефекти) (вж. точка 4.4)</w:t>
            </w:r>
          </w:p>
        </w:tc>
        <w:tc>
          <w:tcPr>
            <w:tcW w:w="2169" w:type="dxa"/>
          </w:tcPr>
          <w:p w14:paraId="19EED0FB" w14:textId="35782064" w:rsidR="00F66225" w:rsidRPr="007E4A66" w:rsidRDefault="00F66225" w:rsidP="00F66225">
            <w:pPr>
              <w:rPr>
                <w:rFonts w:cs="Arial"/>
              </w:rPr>
            </w:pPr>
            <w:r w:rsidRPr="007E4A66">
              <w:rPr>
                <w:rFonts w:cs="Arial"/>
              </w:rPr>
              <w:t>Чести</w:t>
            </w:r>
          </w:p>
        </w:tc>
        <w:tc>
          <w:tcPr>
            <w:tcW w:w="2101" w:type="dxa"/>
          </w:tcPr>
          <w:p w14:paraId="79D3E0F5" w14:textId="5C7F64C8" w:rsidR="00F66225" w:rsidRPr="007E4A66" w:rsidRDefault="00F66225" w:rsidP="00F66225">
            <w:pPr>
              <w:rPr>
                <w:rFonts w:cs="Arial"/>
              </w:rPr>
            </w:pPr>
            <w:r w:rsidRPr="007E4A66">
              <w:rPr>
                <w:rFonts w:cs="Arial"/>
                <w:iCs/>
              </w:rPr>
              <w:t>Много редки</w:t>
            </w:r>
          </w:p>
        </w:tc>
      </w:tr>
      <w:tr w:rsidR="00F66225" w14:paraId="156EF81C" w14:textId="77777777" w:rsidTr="007E4A66">
        <w:tc>
          <w:tcPr>
            <w:tcW w:w="2620" w:type="dxa"/>
            <w:vMerge/>
          </w:tcPr>
          <w:p w14:paraId="0E3D5E48" w14:textId="77777777" w:rsidR="00F66225" w:rsidRPr="007E4A66" w:rsidRDefault="00F66225" w:rsidP="00F66225">
            <w:pPr>
              <w:rPr>
                <w:rFonts w:cs="Arial"/>
              </w:rPr>
            </w:pPr>
          </w:p>
        </w:tc>
        <w:tc>
          <w:tcPr>
            <w:tcW w:w="2460" w:type="dxa"/>
          </w:tcPr>
          <w:p w14:paraId="6356A774" w14:textId="772E2655" w:rsidR="00F66225" w:rsidRPr="007E4A66" w:rsidRDefault="00F66225" w:rsidP="00F66225">
            <w:pPr>
              <w:rPr>
                <w:rFonts w:cs="Arial"/>
              </w:rPr>
            </w:pPr>
            <w:r w:rsidRPr="007E4A66">
              <w:rPr>
                <w:rFonts w:cs="Arial"/>
              </w:rPr>
              <w:t>Васкулит</w:t>
            </w:r>
          </w:p>
        </w:tc>
        <w:tc>
          <w:tcPr>
            <w:tcW w:w="2169" w:type="dxa"/>
          </w:tcPr>
          <w:p w14:paraId="0E62E8EE" w14:textId="516F9800" w:rsidR="00F66225" w:rsidRPr="007E4A66" w:rsidRDefault="00F66225" w:rsidP="00F66225">
            <w:pPr>
              <w:rPr>
                <w:rFonts w:cs="Arial"/>
                <w:lang w:val="en-US"/>
              </w:rPr>
            </w:pPr>
            <w:r w:rsidRPr="007E4A66">
              <w:rPr>
                <w:rFonts w:cs="Arial"/>
              </w:rPr>
              <w:t>Нечести</w:t>
            </w:r>
            <w:r w:rsidRPr="007E4A66">
              <w:rPr>
                <w:rFonts w:cs="Arial"/>
                <w:lang w:val="en-US"/>
              </w:rPr>
              <w:t>*</w:t>
            </w:r>
          </w:p>
        </w:tc>
        <w:tc>
          <w:tcPr>
            <w:tcW w:w="2101" w:type="dxa"/>
          </w:tcPr>
          <w:p w14:paraId="038EB97F" w14:textId="412F5F80" w:rsidR="00F66225" w:rsidRPr="007E4A66" w:rsidRDefault="00F66225" w:rsidP="00F66225">
            <w:pPr>
              <w:rPr>
                <w:rFonts w:cs="Arial"/>
                <w:lang w:val="en-US"/>
              </w:rPr>
            </w:pPr>
            <w:r w:rsidRPr="007E4A66">
              <w:rPr>
                <w:rFonts w:cs="Arial"/>
                <w:lang w:val="en-US"/>
              </w:rPr>
              <w:t>-</w:t>
            </w:r>
          </w:p>
        </w:tc>
      </w:tr>
      <w:tr w:rsidR="00F66225" w14:paraId="5D6C24FF" w14:textId="77777777" w:rsidTr="007E4A66">
        <w:tc>
          <w:tcPr>
            <w:tcW w:w="2620" w:type="dxa"/>
            <w:vMerge/>
          </w:tcPr>
          <w:p w14:paraId="5D30FBC6" w14:textId="77777777" w:rsidR="00F66225" w:rsidRPr="007E4A66" w:rsidRDefault="00F66225" w:rsidP="00F66225">
            <w:pPr>
              <w:rPr>
                <w:rFonts w:cs="Arial"/>
              </w:rPr>
            </w:pPr>
          </w:p>
        </w:tc>
        <w:tc>
          <w:tcPr>
            <w:tcW w:w="2460" w:type="dxa"/>
            <w:vAlign w:val="bottom"/>
          </w:tcPr>
          <w:p w14:paraId="3B37BE36" w14:textId="7DB6EB4D" w:rsidR="00F66225" w:rsidRPr="007E4A66" w:rsidRDefault="00F66225" w:rsidP="00F66225">
            <w:pPr>
              <w:rPr>
                <w:rFonts w:cs="Arial"/>
              </w:rPr>
            </w:pPr>
            <w:r w:rsidRPr="007E4A66">
              <w:rPr>
                <w:rFonts w:cs="Arial"/>
              </w:rPr>
              <w:t>Зачервяване</w:t>
            </w:r>
          </w:p>
        </w:tc>
        <w:tc>
          <w:tcPr>
            <w:tcW w:w="2169" w:type="dxa"/>
            <w:vAlign w:val="bottom"/>
          </w:tcPr>
          <w:p w14:paraId="6488EAF1" w14:textId="6D6DD83D" w:rsidR="00F66225" w:rsidRPr="007E4A66" w:rsidRDefault="00F66225" w:rsidP="00F66225">
            <w:pPr>
              <w:rPr>
                <w:rFonts w:cs="Arial"/>
              </w:rPr>
            </w:pPr>
            <w:r w:rsidRPr="007E4A66">
              <w:rPr>
                <w:rFonts w:cs="Arial"/>
              </w:rPr>
              <w:t>Редки</w:t>
            </w:r>
          </w:p>
        </w:tc>
        <w:tc>
          <w:tcPr>
            <w:tcW w:w="2101" w:type="dxa"/>
            <w:vAlign w:val="bottom"/>
          </w:tcPr>
          <w:p w14:paraId="73AA0AC5" w14:textId="2A0D9253" w:rsidR="00F66225" w:rsidRPr="007E4A66" w:rsidRDefault="00F66225" w:rsidP="00F66225">
            <w:pPr>
              <w:rPr>
                <w:rFonts w:cs="Arial"/>
              </w:rPr>
            </w:pPr>
            <w:r w:rsidRPr="007E4A66">
              <w:rPr>
                <w:rFonts w:cs="Arial"/>
              </w:rPr>
              <w:t>-</w:t>
            </w:r>
          </w:p>
        </w:tc>
      </w:tr>
      <w:tr w:rsidR="00F66225" w14:paraId="6B117595" w14:textId="77777777" w:rsidTr="007E4A66">
        <w:tc>
          <w:tcPr>
            <w:tcW w:w="2620" w:type="dxa"/>
            <w:vMerge/>
          </w:tcPr>
          <w:p w14:paraId="18D4272D" w14:textId="77777777" w:rsidR="00F66225" w:rsidRPr="007E4A66" w:rsidRDefault="00F66225" w:rsidP="00F66225">
            <w:pPr>
              <w:rPr>
                <w:rFonts w:cs="Arial"/>
              </w:rPr>
            </w:pPr>
          </w:p>
        </w:tc>
        <w:tc>
          <w:tcPr>
            <w:tcW w:w="2460" w:type="dxa"/>
          </w:tcPr>
          <w:p w14:paraId="1DEFA957" w14:textId="65B33EDC" w:rsidR="00F66225" w:rsidRPr="007E4A66" w:rsidRDefault="00F66225" w:rsidP="00F66225">
            <w:pPr>
              <w:rPr>
                <w:rFonts w:cs="Arial"/>
              </w:rPr>
            </w:pPr>
            <w:r w:rsidRPr="007E4A66">
              <w:rPr>
                <w:rFonts w:cs="Arial"/>
              </w:rPr>
              <w:t xml:space="preserve">Феномен на </w:t>
            </w:r>
            <w:r w:rsidRPr="007E4A66">
              <w:rPr>
                <w:rFonts w:cs="Arial"/>
                <w:lang w:val="en-US"/>
              </w:rPr>
              <w:t>Raynaud</w:t>
            </w:r>
          </w:p>
        </w:tc>
        <w:tc>
          <w:tcPr>
            <w:tcW w:w="2169" w:type="dxa"/>
          </w:tcPr>
          <w:p w14:paraId="0E4026BB" w14:textId="287F6D6B" w:rsidR="00F66225" w:rsidRPr="007E4A66" w:rsidRDefault="00F66225" w:rsidP="00F66225">
            <w:pPr>
              <w:rPr>
                <w:rFonts w:cs="Arial"/>
              </w:rPr>
            </w:pPr>
            <w:r w:rsidRPr="007E4A66">
              <w:rPr>
                <w:rFonts w:cs="Arial"/>
              </w:rPr>
              <w:t>С неизвестна честота</w:t>
            </w:r>
          </w:p>
        </w:tc>
        <w:tc>
          <w:tcPr>
            <w:tcW w:w="2101" w:type="dxa"/>
            <w:vAlign w:val="center"/>
          </w:tcPr>
          <w:p w14:paraId="4E1A8948" w14:textId="3B956023" w:rsidR="00F66225" w:rsidRPr="007E4A66" w:rsidRDefault="00F66225" w:rsidP="00F66225">
            <w:pPr>
              <w:rPr>
                <w:rFonts w:cs="Arial"/>
              </w:rPr>
            </w:pPr>
            <w:r w:rsidRPr="007E4A66">
              <w:rPr>
                <w:rFonts w:cs="Arial"/>
              </w:rPr>
              <w:t>-</w:t>
            </w:r>
          </w:p>
        </w:tc>
      </w:tr>
      <w:tr w:rsidR="007E4A66" w14:paraId="6BA1B581" w14:textId="77777777" w:rsidTr="007E4A66">
        <w:tc>
          <w:tcPr>
            <w:tcW w:w="2620" w:type="dxa"/>
            <w:vMerge w:val="restart"/>
          </w:tcPr>
          <w:p w14:paraId="09A811EE" w14:textId="77777777" w:rsidR="007E4A66" w:rsidRPr="007E4A66" w:rsidRDefault="007E4A66" w:rsidP="007E4A66">
            <w:pPr>
              <w:rPr>
                <w:rFonts w:cs="Arial"/>
              </w:rPr>
            </w:pPr>
            <w:r w:rsidRPr="007E4A66">
              <w:rPr>
                <w:rFonts w:cs="Arial"/>
                <w:i/>
                <w:iCs/>
              </w:rPr>
              <w:t>Респираторни, гръдни и медиастинални</w:t>
            </w:r>
          </w:p>
          <w:p w14:paraId="17D8BA96" w14:textId="0FC49222" w:rsidR="007E4A66" w:rsidRPr="007E4A66" w:rsidRDefault="007E4A66" w:rsidP="007E4A66">
            <w:pPr>
              <w:rPr>
                <w:rFonts w:cs="Arial"/>
              </w:rPr>
            </w:pPr>
            <w:r w:rsidRPr="007E4A66">
              <w:rPr>
                <w:rFonts w:cs="Arial"/>
                <w:i/>
                <w:iCs/>
              </w:rPr>
              <w:t>нарушения</w:t>
            </w:r>
          </w:p>
        </w:tc>
        <w:tc>
          <w:tcPr>
            <w:tcW w:w="2460" w:type="dxa"/>
          </w:tcPr>
          <w:p w14:paraId="707ABDDE" w14:textId="0326DE73" w:rsidR="007E4A66" w:rsidRPr="007E4A66" w:rsidRDefault="007E4A66" w:rsidP="007E4A66">
            <w:pPr>
              <w:rPr>
                <w:rFonts w:cs="Arial"/>
              </w:rPr>
            </w:pPr>
            <w:r w:rsidRPr="007E4A66">
              <w:rPr>
                <w:rFonts w:cs="Arial"/>
              </w:rPr>
              <w:t>Кашлица (вж. точка 4.4)</w:t>
            </w:r>
          </w:p>
        </w:tc>
        <w:tc>
          <w:tcPr>
            <w:tcW w:w="2169" w:type="dxa"/>
          </w:tcPr>
          <w:p w14:paraId="2FD2E263" w14:textId="053088D2" w:rsidR="007E4A66" w:rsidRPr="007E4A66" w:rsidRDefault="007E4A66" w:rsidP="007E4A66">
            <w:pPr>
              <w:rPr>
                <w:rFonts w:cs="Arial"/>
              </w:rPr>
            </w:pPr>
            <w:r w:rsidRPr="007E4A66">
              <w:rPr>
                <w:rFonts w:cs="Arial"/>
              </w:rPr>
              <w:t>Чести</w:t>
            </w:r>
          </w:p>
        </w:tc>
        <w:tc>
          <w:tcPr>
            <w:tcW w:w="2101" w:type="dxa"/>
            <w:vAlign w:val="bottom"/>
          </w:tcPr>
          <w:p w14:paraId="4843C9CE" w14:textId="31FD85C2" w:rsidR="007E4A66" w:rsidRPr="007E4A66" w:rsidRDefault="007E4A66" w:rsidP="007E4A66">
            <w:pPr>
              <w:rPr>
                <w:rFonts w:cs="Arial"/>
              </w:rPr>
            </w:pPr>
            <w:r w:rsidRPr="007E4A66">
              <w:rPr>
                <w:rFonts w:cs="Arial"/>
              </w:rPr>
              <w:t>-</w:t>
            </w:r>
          </w:p>
        </w:tc>
      </w:tr>
      <w:tr w:rsidR="007E4A66" w14:paraId="51BB6D91" w14:textId="77777777" w:rsidTr="007E4A66">
        <w:tc>
          <w:tcPr>
            <w:tcW w:w="2620" w:type="dxa"/>
            <w:vMerge/>
          </w:tcPr>
          <w:p w14:paraId="35BD159E" w14:textId="77777777" w:rsidR="007E4A66" w:rsidRPr="007E4A66" w:rsidRDefault="007E4A66" w:rsidP="007E4A66">
            <w:pPr>
              <w:rPr>
                <w:rFonts w:cs="Arial"/>
              </w:rPr>
            </w:pPr>
          </w:p>
        </w:tc>
        <w:tc>
          <w:tcPr>
            <w:tcW w:w="2460" w:type="dxa"/>
            <w:vAlign w:val="bottom"/>
          </w:tcPr>
          <w:p w14:paraId="31F31CB3" w14:textId="6601270D" w:rsidR="007E4A66" w:rsidRPr="007E4A66" w:rsidRDefault="007E4A66" w:rsidP="007E4A66">
            <w:pPr>
              <w:rPr>
                <w:rFonts w:cs="Arial"/>
              </w:rPr>
            </w:pPr>
            <w:r w:rsidRPr="007E4A66">
              <w:rPr>
                <w:rFonts w:cs="Arial"/>
              </w:rPr>
              <w:t>Диспнея</w:t>
            </w:r>
          </w:p>
        </w:tc>
        <w:tc>
          <w:tcPr>
            <w:tcW w:w="2169" w:type="dxa"/>
            <w:vAlign w:val="bottom"/>
          </w:tcPr>
          <w:p w14:paraId="56A0D1BF" w14:textId="55440888" w:rsidR="007E4A66" w:rsidRPr="007E4A66" w:rsidRDefault="007E4A66" w:rsidP="007E4A66">
            <w:pPr>
              <w:rPr>
                <w:rFonts w:cs="Arial"/>
              </w:rPr>
            </w:pPr>
            <w:r w:rsidRPr="007E4A66">
              <w:rPr>
                <w:rFonts w:cs="Arial"/>
              </w:rPr>
              <w:t>Чести</w:t>
            </w:r>
          </w:p>
        </w:tc>
        <w:tc>
          <w:tcPr>
            <w:tcW w:w="2101" w:type="dxa"/>
          </w:tcPr>
          <w:p w14:paraId="729B7A9A" w14:textId="2E0833A8" w:rsidR="007E4A66" w:rsidRPr="007E4A66" w:rsidRDefault="007E4A66" w:rsidP="007E4A66">
            <w:pPr>
              <w:rPr>
                <w:rFonts w:cs="Arial"/>
              </w:rPr>
            </w:pPr>
            <w:r w:rsidRPr="007E4A66">
              <w:rPr>
                <w:rFonts w:cs="Arial"/>
              </w:rPr>
              <w:t>-</w:t>
            </w:r>
          </w:p>
        </w:tc>
      </w:tr>
      <w:tr w:rsidR="007E4A66" w14:paraId="4781DC9B" w14:textId="77777777" w:rsidTr="007E4A66">
        <w:tc>
          <w:tcPr>
            <w:tcW w:w="2620" w:type="dxa"/>
            <w:vMerge/>
          </w:tcPr>
          <w:p w14:paraId="1E6724D3" w14:textId="77777777" w:rsidR="007E4A66" w:rsidRPr="007E4A66" w:rsidRDefault="007E4A66" w:rsidP="007E4A66">
            <w:pPr>
              <w:rPr>
                <w:rFonts w:cs="Arial"/>
              </w:rPr>
            </w:pPr>
          </w:p>
        </w:tc>
        <w:tc>
          <w:tcPr>
            <w:tcW w:w="2460" w:type="dxa"/>
            <w:vAlign w:val="bottom"/>
          </w:tcPr>
          <w:p w14:paraId="75FC81A0" w14:textId="0BB27D3D" w:rsidR="007E4A66" w:rsidRPr="007E4A66" w:rsidRDefault="007E4A66" w:rsidP="007E4A66">
            <w:pPr>
              <w:rPr>
                <w:rFonts w:cs="Arial"/>
              </w:rPr>
            </w:pPr>
            <w:r w:rsidRPr="007E4A66">
              <w:rPr>
                <w:rFonts w:cs="Arial"/>
              </w:rPr>
              <w:t>Бронхоспазъм</w:t>
            </w:r>
          </w:p>
        </w:tc>
        <w:tc>
          <w:tcPr>
            <w:tcW w:w="2169" w:type="dxa"/>
            <w:vAlign w:val="bottom"/>
          </w:tcPr>
          <w:p w14:paraId="7305C232" w14:textId="597B5265" w:rsidR="007E4A66" w:rsidRPr="007E4A66" w:rsidRDefault="007E4A66" w:rsidP="007E4A66">
            <w:pPr>
              <w:rPr>
                <w:rFonts w:cs="Arial"/>
              </w:rPr>
            </w:pPr>
            <w:r w:rsidRPr="007E4A66">
              <w:rPr>
                <w:rFonts w:cs="Arial"/>
              </w:rPr>
              <w:t>Нечести</w:t>
            </w:r>
          </w:p>
        </w:tc>
        <w:tc>
          <w:tcPr>
            <w:tcW w:w="2101" w:type="dxa"/>
          </w:tcPr>
          <w:p w14:paraId="3EF7E7BC" w14:textId="6B14C03C" w:rsidR="007E4A66" w:rsidRPr="007E4A66" w:rsidRDefault="007E4A66" w:rsidP="007E4A66">
            <w:pPr>
              <w:rPr>
                <w:rFonts w:cs="Arial"/>
              </w:rPr>
            </w:pPr>
            <w:r w:rsidRPr="007E4A66">
              <w:rPr>
                <w:rFonts w:cs="Arial"/>
              </w:rPr>
              <w:t>-</w:t>
            </w:r>
          </w:p>
        </w:tc>
      </w:tr>
      <w:tr w:rsidR="007E4A66" w14:paraId="491A09C9" w14:textId="77777777" w:rsidTr="007E4A66">
        <w:tc>
          <w:tcPr>
            <w:tcW w:w="2620" w:type="dxa"/>
            <w:vMerge/>
          </w:tcPr>
          <w:p w14:paraId="5BF900D2" w14:textId="77777777" w:rsidR="007E4A66" w:rsidRPr="007E4A66" w:rsidRDefault="007E4A66" w:rsidP="007E4A66">
            <w:pPr>
              <w:rPr>
                <w:rFonts w:cs="Arial"/>
              </w:rPr>
            </w:pPr>
          </w:p>
        </w:tc>
        <w:tc>
          <w:tcPr>
            <w:tcW w:w="2460" w:type="dxa"/>
            <w:vAlign w:val="bottom"/>
          </w:tcPr>
          <w:p w14:paraId="7AA1624F" w14:textId="161FABF2" w:rsidR="007E4A66" w:rsidRPr="007E4A66" w:rsidRDefault="007E4A66" w:rsidP="007E4A66">
            <w:pPr>
              <w:rPr>
                <w:rFonts w:cs="Arial"/>
              </w:rPr>
            </w:pPr>
            <w:r w:rsidRPr="007E4A66">
              <w:rPr>
                <w:rFonts w:cs="Arial"/>
              </w:rPr>
              <w:t>Еозинофилна пневмония</w:t>
            </w:r>
          </w:p>
        </w:tc>
        <w:tc>
          <w:tcPr>
            <w:tcW w:w="2169" w:type="dxa"/>
            <w:vAlign w:val="bottom"/>
          </w:tcPr>
          <w:p w14:paraId="1C4571BA" w14:textId="581416FD" w:rsidR="007E4A66" w:rsidRPr="007E4A66" w:rsidRDefault="007E4A66" w:rsidP="007E4A66">
            <w:pPr>
              <w:rPr>
                <w:rFonts w:cs="Arial"/>
              </w:rPr>
            </w:pPr>
            <w:r w:rsidRPr="007E4A66">
              <w:rPr>
                <w:rFonts w:cs="Arial"/>
              </w:rPr>
              <w:t>Много редки</w:t>
            </w:r>
          </w:p>
        </w:tc>
        <w:tc>
          <w:tcPr>
            <w:tcW w:w="2101" w:type="dxa"/>
          </w:tcPr>
          <w:p w14:paraId="2F28BE52" w14:textId="15C2CAF8" w:rsidR="007E4A66" w:rsidRPr="007E4A66" w:rsidRDefault="007E4A66" w:rsidP="007E4A66">
            <w:pPr>
              <w:rPr>
                <w:rFonts w:cs="Arial"/>
              </w:rPr>
            </w:pPr>
            <w:r w:rsidRPr="007E4A66">
              <w:rPr>
                <w:rFonts w:cs="Arial"/>
              </w:rPr>
              <w:t>-</w:t>
            </w:r>
          </w:p>
        </w:tc>
      </w:tr>
      <w:tr w:rsidR="007E4A66" w14:paraId="3BCFA7D2" w14:textId="77777777" w:rsidTr="007E4A66">
        <w:tc>
          <w:tcPr>
            <w:tcW w:w="2620" w:type="dxa"/>
            <w:vMerge w:val="restart"/>
          </w:tcPr>
          <w:p w14:paraId="06F62E21" w14:textId="4F46B98E" w:rsidR="007E4A66" w:rsidRPr="007E4A66" w:rsidRDefault="007E4A66" w:rsidP="007E4A66">
            <w:pPr>
              <w:rPr>
                <w:rFonts w:cs="Arial"/>
              </w:rPr>
            </w:pPr>
            <w:r w:rsidRPr="007E4A66">
              <w:rPr>
                <w:rFonts w:cs="Arial"/>
                <w:i/>
                <w:iCs/>
              </w:rPr>
              <w:t>Стомашно-чревни нарушения</w:t>
            </w:r>
          </w:p>
        </w:tc>
        <w:tc>
          <w:tcPr>
            <w:tcW w:w="2460" w:type="dxa"/>
            <w:vAlign w:val="bottom"/>
          </w:tcPr>
          <w:p w14:paraId="2D544DC1" w14:textId="50B37996" w:rsidR="007E4A66" w:rsidRPr="007E4A66" w:rsidRDefault="007E4A66" w:rsidP="007E4A66">
            <w:pPr>
              <w:rPr>
                <w:rFonts w:cs="Arial"/>
              </w:rPr>
            </w:pPr>
            <w:r w:rsidRPr="007E4A66">
              <w:rPr>
                <w:rFonts w:cs="Arial"/>
              </w:rPr>
              <w:t>Коремни болки</w:t>
            </w:r>
          </w:p>
        </w:tc>
        <w:tc>
          <w:tcPr>
            <w:tcW w:w="2169" w:type="dxa"/>
            <w:vAlign w:val="bottom"/>
          </w:tcPr>
          <w:p w14:paraId="1637AD92" w14:textId="104C4A4F" w:rsidR="007E4A66" w:rsidRPr="007E4A66" w:rsidRDefault="007E4A66" w:rsidP="007E4A66">
            <w:pPr>
              <w:rPr>
                <w:rFonts w:cs="Arial"/>
              </w:rPr>
            </w:pPr>
            <w:r w:rsidRPr="007E4A66">
              <w:rPr>
                <w:rFonts w:cs="Arial"/>
              </w:rPr>
              <w:t>Чести</w:t>
            </w:r>
          </w:p>
        </w:tc>
        <w:tc>
          <w:tcPr>
            <w:tcW w:w="2101" w:type="dxa"/>
          </w:tcPr>
          <w:p w14:paraId="710A8650" w14:textId="59CB71DE" w:rsidR="007E4A66" w:rsidRPr="007E4A66" w:rsidRDefault="007E4A66" w:rsidP="007E4A66">
            <w:pPr>
              <w:rPr>
                <w:rFonts w:cs="Arial"/>
              </w:rPr>
            </w:pPr>
            <w:r w:rsidRPr="007E4A66">
              <w:rPr>
                <w:rFonts w:cs="Arial"/>
              </w:rPr>
              <w:t>-</w:t>
            </w:r>
          </w:p>
        </w:tc>
      </w:tr>
      <w:tr w:rsidR="007E4A66" w14:paraId="6EDC44C7" w14:textId="77777777" w:rsidTr="007E4A66">
        <w:tc>
          <w:tcPr>
            <w:tcW w:w="2620" w:type="dxa"/>
            <w:vMerge/>
          </w:tcPr>
          <w:p w14:paraId="2865E767" w14:textId="77777777" w:rsidR="007E4A66" w:rsidRPr="007E4A66" w:rsidRDefault="007E4A66" w:rsidP="007E4A66">
            <w:pPr>
              <w:rPr>
                <w:rFonts w:cs="Arial"/>
              </w:rPr>
            </w:pPr>
          </w:p>
        </w:tc>
        <w:tc>
          <w:tcPr>
            <w:tcW w:w="2460" w:type="dxa"/>
            <w:vAlign w:val="bottom"/>
          </w:tcPr>
          <w:p w14:paraId="686B122A" w14:textId="6CDC4230" w:rsidR="007E4A66" w:rsidRPr="007E4A66" w:rsidRDefault="007E4A66" w:rsidP="007E4A66">
            <w:pPr>
              <w:rPr>
                <w:rFonts w:cs="Arial"/>
              </w:rPr>
            </w:pPr>
            <w:r w:rsidRPr="007E4A66">
              <w:rPr>
                <w:rFonts w:cs="Arial"/>
              </w:rPr>
              <w:t>Констипация (запек)</w:t>
            </w:r>
          </w:p>
        </w:tc>
        <w:tc>
          <w:tcPr>
            <w:tcW w:w="2169" w:type="dxa"/>
            <w:vAlign w:val="bottom"/>
          </w:tcPr>
          <w:p w14:paraId="6EA4B47D" w14:textId="58E424E5" w:rsidR="007E4A66" w:rsidRPr="007E4A66" w:rsidRDefault="007E4A66" w:rsidP="007E4A66">
            <w:pPr>
              <w:rPr>
                <w:rFonts w:cs="Arial"/>
              </w:rPr>
            </w:pPr>
            <w:r w:rsidRPr="007E4A66">
              <w:rPr>
                <w:rFonts w:cs="Arial"/>
              </w:rPr>
              <w:t>Чести</w:t>
            </w:r>
          </w:p>
        </w:tc>
        <w:tc>
          <w:tcPr>
            <w:tcW w:w="2101" w:type="dxa"/>
            <w:vAlign w:val="bottom"/>
          </w:tcPr>
          <w:p w14:paraId="3FAD1A71" w14:textId="43684FF7" w:rsidR="007E4A66" w:rsidRPr="007E4A66" w:rsidRDefault="007E4A66" w:rsidP="007E4A66">
            <w:pPr>
              <w:rPr>
                <w:rFonts w:cs="Arial"/>
              </w:rPr>
            </w:pPr>
            <w:r w:rsidRPr="007E4A66">
              <w:rPr>
                <w:rFonts w:cs="Arial"/>
              </w:rPr>
              <w:t>Редки</w:t>
            </w:r>
          </w:p>
        </w:tc>
      </w:tr>
      <w:tr w:rsidR="007E4A66" w14:paraId="00C90A38" w14:textId="77777777" w:rsidTr="007E4A66">
        <w:tc>
          <w:tcPr>
            <w:tcW w:w="2620" w:type="dxa"/>
            <w:vMerge/>
          </w:tcPr>
          <w:p w14:paraId="13477D6F" w14:textId="77777777" w:rsidR="007E4A66" w:rsidRPr="007E4A66" w:rsidRDefault="007E4A66" w:rsidP="007E4A66">
            <w:pPr>
              <w:rPr>
                <w:rFonts w:cs="Arial"/>
              </w:rPr>
            </w:pPr>
          </w:p>
        </w:tc>
        <w:tc>
          <w:tcPr>
            <w:tcW w:w="2460" w:type="dxa"/>
          </w:tcPr>
          <w:p w14:paraId="38A3B79C" w14:textId="13D08A5A" w:rsidR="007E4A66" w:rsidRPr="007E4A66" w:rsidRDefault="007E4A66" w:rsidP="007E4A66">
            <w:pPr>
              <w:rPr>
                <w:rFonts w:cs="Arial"/>
              </w:rPr>
            </w:pPr>
            <w:r w:rsidRPr="007E4A66">
              <w:rPr>
                <w:rFonts w:cs="Arial"/>
              </w:rPr>
              <w:t>Диария</w:t>
            </w:r>
          </w:p>
        </w:tc>
        <w:tc>
          <w:tcPr>
            <w:tcW w:w="2169" w:type="dxa"/>
          </w:tcPr>
          <w:p w14:paraId="7BC79C8E" w14:textId="42586D72" w:rsidR="007E4A66" w:rsidRPr="007E4A66" w:rsidRDefault="007E4A66" w:rsidP="007E4A66">
            <w:pPr>
              <w:rPr>
                <w:rFonts w:cs="Arial"/>
              </w:rPr>
            </w:pPr>
            <w:r w:rsidRPr="007E4A66">
              <w:rPr>
                <w:rFonts w:cs="Arial"/>
              </w:rPr>
              <w:t>Чести</w:t>
            </w:r>
          </w:p>
        </w:tc>
        <w:tc>
          <w:tcPr>
            <w:tcW w:w="2101" w:type="dxa"/>
            <w:vAlign w:val="bottom"/>
          </w:tcPr>
          <w:p w14:paraId="33CDFF54" w14:textId="556B8495" w:rsidR="007E4A66" w:rsidRPr="007E4A66" w:rsidRDefault="007E4A66" w:rsidP="007E4A66">
            <w:pPr>
              <w:rPr>
                <w:rFonts w:cs="Arial"/>
              </w:rPr>
            </w:pPr>
            <w:r w:rsidRPr="007E4A66">
              <w:rPr>
                <w:rFonts w:cs="Arial"/>
              </w:rPr>
              <w:t>-</w:t>
            </w:r>
          </w:p>
        </w:tc>
      </w:tr>
      <w:tr w:rsidR="007E4A66" w14:paraId="6BED1AEF" w14:textId="77777777" w:rsidTr="007E4A66">
        <w:tc>
          <w:tcPr>
            <w:tcW w:w="2620" w:type="dxa"/>
            <w:vMerge/>
          </w:tcPr>
          <w:p w14:paraId="3B99AB82" w14:textId="77777777" w:rsidR="007E4A66" w:rsidRPr="007E4A66" w:rsidRDefault="007E4A66" w:rsidP="007E4A66">
            <w:pPr>
              <w:rPr>
                <w:rFonts w:cs="Arial"/>
              </w:rPr>
            </w:pPr>
          </w:p>
        </w:tc>
        <w:tc>
          <w:tcPr>
            <w:tcW w:w="2460" w:type="dxa"/>
            <w:vAlign w:val="center"/>
          </w:tcPr>
          <w:p w14:paraId="115577AB" w14:textId="18CA1DA0" w:rsidR="007E4A66" w:rsidRPr="007E4A66" w:rsidRDefault="007E4A66" w:rsidP="007E4A66">
            <w:pPr>
              <w:rPr>
                <w:rFonts w:cs="Arial"/>
              </w:rPr>
            </w:pPr>
            <w:r w:rsidRPr="007E4A66">
              <w:rPr>
                <w:rFonts w:cs="Arial"/>
              </w:rPr>
              <w:t>Диспепсия</w:t>
            </w:r>
          </w:p>
        </w:tc>
        <w:tc>
          <w:tcPr>
            <w:tcW w:w="2169" w:type="dxa"/>
            <w:vAlign w:val="center"/>
          </w:tcPr>
          <w:p w14:paraId="16DC871B" w14:textId="1CDF4045" w:rsidR="007E4A66" w:rsidRPr="007E4A66" w:rsidRDefault="007E4A66" w:rsidP="007E4A66">
            <w:pPr>
              <w:rPr>
                <w:rFonts w:cs="Arial"/>
              </w:rPr>
            </w:pPr>
            <w:r w:rsidRPr="007E4A66">
              <w:rPr>
                <w:rFonts w:cs="Arial"/>
              </w:rPr>
              <w:t>Чести</w:t>
            </w:r>
          </w:p>
        </w:tc>
        <w:tc>
          <w:tcPr>
            <w:tcW w:w="2101" w:type="dxa"/>
            <w:vAlign w:val="center"/>
          </w:tcPr>
          <w:p w14:paraId="2537E230" w14:textId="3BB152EF" w:rsidR="007E4A66" w:rsidRPr="007E4A66" w:rsidRDefault="007E4A66" w:rsidP="007E4A66">
            <w:pPr>
              <w:rPr>
                <w:rFonts w:cs="Arial"/>
              </w:rPr>
            </w:pPr>
            <w:r w:rsidRPr="007E4A66">
              <w:rPr>
                <w:rFonts w:cs="Arial"/>
              </w:rPr>
              <w:t>-</w:t>
            </w:r>
          </w:p>
        </w:tc>
      </w:tr>
      <w:tr w:rsidR="007E4A66" w14:paraId="48DC02F1" w14:textId="77777777" w:rsidTr="007E4A66">
        <w:tc>
          <w:tcPr>
            <w:tcW w:w="2620" w:type="dxa"/>
            <w:vMerge/>
          </w:tcPr>
          <w:p w14:paraId="022F3851" w14:textId="77777777" w:rsidR="007E4A66" w:rsidRPr="007E4A66" w:rsidRDefault="007E4A66" w:rsidP="007E4A66">
            <w:pPr>
              <w:rPr>
                <w:rFonts w:cs="Arial"/>
              </w:rPr>
            </w:pPr>
          </w:p>
        </w:tc>
        <w:tc>
          <w:tcPr>
            <w:tcW w:w="2460" w:type="dxa"/>
            <w:vAlign w:val="bottom"/>
          </w:tcPr>
          <w:p w14:paraId="689027B5" w14:textId="1CC779B0" w:rsidR="007E4A66" w:rsidRPr="007E4A66" w:rsidRDefault="007E4A66" w:rsidP="007E4A66">
            <w:pPr>
              <w:rPr>
                <w:rFonts w:cs="Arial"/>
              </w:rPr>
            </w:pPr>
            <w:r w:rsidRPr="007E4A66">
              <w:rPr>
                <w:rFonts w:cs="Arial"/>
              </w:rPr>
              <w:t>Гадене</w:t>
            </w:r>
          </w:p>
        </w:tc>
        <w:tc>
          <w:tcPr>
            <w:tcW w:w="2169" w:type="dxa"/>
            <w:vAlign w:val="bottom"/>
          </w:tcPr>
          <w:p w14:paraId="7D503201" w14:textId="2B9406C4" w:rsidR="007E4A66" w:rsidRPr="007E4A66" w:rsidRDefault="007E4A66" w:rsidP="007E4A66">
            <w:pPr>
              <w:rPr>
                <w:rFonts w:cs="Arial"/>
              </w:rPr>
            </w:pPr>
            <w:r w:rsidRPr="007E4A66">
              <w:rPr>
                <w:rFonts w:cs="Arial"/>
              </w:rPr>
              <w:t>Чести</w:t>
            </w:r>
          </w:p>
        </w:tc>
        <w:tc>
          <w:tcPr>
            <w:tcW w:w="2101" w:type="dxa"/>
            <w:vAlign w:val="bottom"/>
          </w:tcPr>
          <w:p w14:paraId="089B4CBF" w14:textId="68D45F06" w:rsidR="007E4A66" w:rsidRPr="007E4A66" w:rsidRDefault="007E4A66" w:rsidP="007E4A66">
            <w:pPr>
              <w:rPr>
                <w:rFonts w:cs="Arial"/>
              </w:rPr>
            </w:pPr>
            <w:r w:rsidRPr="007E4A66">
              <w:rPr>
                <w:rFonts w:cs="Arial"/>
              </w:rPr>
              <w:t>Редки</w:t>
            </w:r>
          </w:p>
        </w:tc>
      </w:tr>
      <w:tr w:rsidR="007E4A66" w14:paraId="16A66E88" w14:textId="77777777" w:rsidTr="007E4A66">
        <w:tc>
          <w:tcPr>
            <w:tcW w:w="2620" w:type="dxa"/>
            <w:vMerge/>
          </w:tcPr>
          <w:p w14:paraId="3B69C34C" w14:textId="77777777" w:rsidR="007E4A66" w:rsidRPr="007E4A66" w:rsidRDefault="007E4A66" w:rsidP="007E4A66">
            <w:pPr>
              <w:rPr>
                <w:rFonts w:cs="Arial"/>
              </w:rPr>
            </w:pPr>
          </w:p>
        </w:tc>
        <w:tc>
          <w:tcPr>
            <w:tcW w:w="2460" w:type="dxa"/>
            <w:vAlign w:val="bottom"/>
          </w:tcPr>
          <w:p w14:paraId="63761C17" w14:textId="364E5082" w:rsidR="007E4A66" w:rsidRPr="007E4A66" w:rsidRDefault="007E4A66" w:rsidP="007E4A66">
            <w:pPr>
              <w:rPr>
                <w:rFonts w:cs="Arial"/>
              </w:rPr>
            </w:pPr>
            <w:r w:rsidRPr="007E4A66">
              <w:rPr>
                <w:rFonts w:cs="Arial"/>
              </w:rPr>
              <w:t>Анорексия</w:t>
            </w:r>
          </w:p>
        </w:tc>
        <w:tc>
          <w:tcPr>
            <w:tcW w:w="2169" w:type="dxa"/>
            <w:vAlign w:val="bottom"/>
          </w:tcPr>
          <w:p w14:paraId="45208442" w14:textId="75735135" w:rsidR="007E4A66" w:rsidRPr="007E4A66" w:rsidRDefault="007E4A66" w:rsidP="007E4A66">
            <w:pPr>
              <w:rPr>
                <w:rFonts w:cs="Arial"/>
              </w:rPr>
            </w:pPr>
            <w:r w:rsidRPr="007E4A66">
              <w:rPr>
                <w:rFonts w:cs="Arial"/>
              </w:rPr>
              <w:t>Чести</w:t>
            </w:r>
          </w:p>
        </w:tc>
        <w:tc>
          <w:tcPr>
            <w:tcW w:w="2101" w:type="dxa"/>
            <w:vAlign w:val="bottom"/>
          </w:tcPr>
          <w:p w14:paraId="0B7EB305" w14:textId="63FF511E" w:rsidR="007E4A66" w:rsidRPr="007E4A66" w:rsidRDefault="007E4A66" w:rsidP="007E4A66">
            <w:pPr>
              <w:rPr>
                <w:rFonts w:cs="Arial"/>
              </w:rPr>
            </w:pPr>
            <w:r w:rsidRPr="007E4A66">
              <w:rPr>
                <w:rFonts w:cs="Arial"/>
              </w:rPr>
              <w:t>Чести</w:t>
            </w:r>
          </w:p>
        </w:tc>
      </w:tr>
      <w:tr w:rsidR="007E4A66" w14:paraId="5A8D3820" w14:textId="77777777" w:rsidTr="007E4A66">
        <w:tc>
          <w:tcPr>
            <w:tcW w:w="2620" w:type="dxa"/>
            <w:vMerge/>
          </w:tcPr>
          <w:p w14:paraId="09EB153A" w14:textId="77777777" w:rsidR="007E4A66" w:rsidRPr="007E4A66" w:rsidRDefault="007E4A66" w:rsidP="007E4A66">
            <w:pPr>
              <w:rPr>
                <w:rFonts w:cs="Arial"/>
              </w:rPr>
            </w:pPr>
          </w:p>
        </w:tc>
        <w:tc>
          <w:tcPr>
            <w:tcW w:w="2460" w:type="dxa"/>
            <w:vAlign w:val="bottom"/>
          </w:tcPr>
          <w:p w14:paraId="1A99FFEE" w14:textId="63BDDDFD" w:rsidR="007E4A66" w:rsidRPr="007E4A66" w:rsidRDefault="007E4A66" w:rsidP="007E4A66">
            <w:pPr>
              <w:rPr>
                <w:rFonts w:cs="Arial"/>
              </w:rPr>
            </w:pPr>
            <w:r w:rsidRPr="007E4A66">
              <w:rPr>
                <w:rFonts w:cs="Arial"/>
              </w:rPr>
              <w:t>Повръщане</w:t>
            </w:r>
          </w:p>
        </w:tc>
        <w:tc>
          <w:tcPr>
            <w:tcW w:w="2169" w:type="dxa"/>
            <w:vAlign w:val="bottom"/>
          </w:tcPr>
          <w:p w14:paraId="20FC073C" w14:textId="05FA2568" w:rsidR="007E4A66" w:rsidRPr="007E4A66" w:rsidRDefault="007E4A66" w:rsidP="007E4A66">
            <w:pPr>
              <w:rPr>
                <w:rFonts w:cs="Arial"/>
              </w:rPr>
            </w:pPr>
            <w:r w:rsidRPr="007E4A66">
              <w:rPr>
                <w:rFonts w:cs="Arial"/>
              </w:rPr>
              <w:t>Чести</w:t>
            </w:r>
          </w:p>
        </w:tc>
        <w:tc>
          <w:tcPr>
            <w:tcW w:w="2101" w:type="dxa"/>
            <w:vAlign w:val="bottom"/>
          </w:tcPr>
          <w:p w14:paraId="7FAE3DFE" w14:textId="6879BFE0" w:rsidR="007E4A66" w:rsidRPr="007E4A66" w:rsidRDefault="007E4A66" w:rsidP="007E4A66">
            <w:pPr>
              <w:rPr>
                <w:rFonts w:cs="Arial"/>
              </w:rPr>
            </w:pPr>
            <w:r w:rsidRPr="007E4A66">
              <w:rPr>
                <w:rFonts w:cs="Arial"/>
              </w:rPr>
              <w:t>Нечести</w:t>
            </w:r>
          </w:p>
        </w:tc>
      </w:tr>
      <w:tr w:rsidR="007E4A66" w14:paraId="62ABE600" w14:textId="77777777" w:rsidTr="007E4A66">
        <w:tc>
          <w:tcPr>
            <w:tcW w:w="2620" w:type="dxa"/>
            <w:vMerge/>
          </w:tcPr>
          <w:p w14:paraId="76AF1164" w14:textId="77777777" w:rsidR="007E4A66" w:rsidRPr="007E4A66" w:rsidRDefault="007E4A66" w:rsidP="007E4A66">
            <w:pPr>
              <w:rPr>
                <w:rFonts w:cs="Arial"/>
              </w:rPr>
            </w:pPr>
          </w:p>
        </w:tc>
        <w:tc>
          <w:tcPr>
            <w:tcW w:w="2460" w:type="dxa"/>
            <w:vAlign w:val="bottom"/>
          </w:tcPr>
          <w:p w14:paraId="353B2D81" w14:textId="21C2DDF3" w:rsidR="007E4A66" w:rsidRPr="007E4A66" w:rsidRDefault="007E4A66" w:rsidP="007E4A66">
            <w:pPr>
              <w:rPr>
                <w:rFonts w:cs="Arial"/>
              </w:rPr>
            </w:pPr>
            <w:r w:rsidRPr="007E4A66">
              <w:rPr>
                <w:rFonts w:cs="Arial"/>
              </w:rPr>
              <w:t>Сухота в устата</w:t>
            </w:r>
          </w:p>
        </w:tc>
        <w:tc>
          <w:tcPr>
            <w:tcW w:w="2169" w:type="dxa"/>
            <w:vAlign w:val="bottom"/>
          </w:tcPr>
          <w:p w14:paraId="3A4D7139" w14:textId="4BC98A7E" w:rsidR="007E4A66" w:rsidRPr="007E4A66" w:rsidRDefault="007E4A66" w:rsidP="007E4A66">
            <w:pPr>
              <w:rPr>
                <w:rFonts w:cs="Arial"/>
              </w:rPr>
            </w:pPr>
            <w:r w:rsidRPr="007E4A66">
              <w:rPr>
                <w:rFonts w:cs="Arial"/>
              </w:rPr>
              <w:t>Чести</w:t>
            </w:r>
          </w:p>
        </w:tc>
        <w:tc>
          <w:tcPr>
            <w:tcW w:w="2101" w:type="dxa"/>
            <w:vAlign w:val="bottom"/>
          </w:tcPr>
          <w:p w14:paraId="47FD7CDC" w14:textId="0DD2EE1A" w:rsidR="007E4A66" w:rsidRPr="007E4A66" w:rsidRDefault="007E4A66" w:rsidP="007E4A66">
            <w:pPr>
              <w:rPr>
                <w:rFonts w:cs="Arial"/>
              </w:rPr>
            </w:pPr>
            <w:r w:rsidRPr="007E4A66">
              <w:rPr>
                <w:rFonts w:cs="Arial"/>
              </w:rPr>
              <w:t>Чести</w:t>
            </w:r>
          </w:p>
        </w:tc>
      </w:tr>
      <w:tr w:rsidR="007E4A66" w14:paraId="3514A022" w14:textId="77777777" w:rsidTr="007E4A66">
        <w:tc>
          <w:tcPr>
            <w:tcW w:w="2620" w:type="dxa"/>
            <w:vMerge/>
          </w:tcPr>
          <w:p w14:paraId="77A38548" w14:textId="77777777" w:rsidR="007E4A66" w:rsidRPr="007E4A66" w:rsidRDefault="007E4A66" w:rsidP="007E4A66">
            <w:pPr>
              <w:rPr>
                <w:rFonts w:cs="Arial"/>
              </w:rPr>
            </w:pPr>
          </w:p>
        </w:tc>
        <w:tc>
          <w:tcPr>
            <w:tcW w:w="2460" w:type="dxa"/>
            <w:vAlign w:val="bottom"/>
          </w:tcPr>
          <w:p w14:paraId="573D21F3" w14:textId="70050541" w:rsidR="007E4A66" w:rsidRPr="007E4A66" w:rsidRDefault="007E4A66" w:rsidP="007E4A66">
            <w:pPr>
              <w:rPr>
                <w:rFonts w:cs="Arial"/>
              </w:rPr>
            </w:pPr>
            <w:r w:rsidRPr="007E4A66">
              <w:rPr>
                <w:rFonts w:cs="Arial"/>
              </w:rPr>
              <w:t>Панкреатит</w:t>
            </w:r>
          </w:p>
        </w:tc>
        <w:tc>
          <w:tcPr>
            <w:tcW w:w="2169" w:type="dxa"/>
            <w:vAlign w:val="bottom"/>
          </w:tcPr>
          <w:p w14:paraId="5F4C5EC9" w14:textId="0BA77618" w:rsidR="007E4A66" w:rsidRPr="007E4A66" w:rsidRDefault="007E4A66" w:rsidP="007E4A66">
            <w:pPr>
              <w:rPr>
                <w:rFonts w:cs="Arial"/>
              </w:rPr>
            </w:pPr>
            <w:r w:rsidRPr="007E4A66">
              <w:rPr>
                <w:rFonts w:cs="Arial"/>
              </w:rPr>
              <w:t>Много редки</w:t>
            </w:r>
          </w:p>
        </w:tc>
        <w:tc>
          <w:tcPr>
            <w:tcW w:w="2101" w:type="dxa"/>
            <w:vAlign w:val="bottom"/>
          </w:tcPr>
          <w:p w14:paraId="0FDD3A5C" w14:textId="326A245A" w:rsidR="007E4A66" w:rsidRPr="007E4A66" w:rsidRDefault="007E4A66" w:rsidP="007E4A66">
            <w:pPr>
              <w:rPr>
                <w:rFonts w:cs="Arial"/>
              </w:rPr>
            </w:pPr>
            <w:r w:rsidRPr="007E4A66">
              <w:rPr>
                <w:rFonts w:cs="Arial"/>
              </w:rPr>
              <w:t>Много редки</w:t>
            </w:r>
          </w:p>
        </w:tc>
      </w:tr>
      <w:tr w:rsidR="007E4A66" w14:paraId="1ACFAE75" w14:textId="77777777" w:rsidTr="007E4A66">
        <w:tc>
          <w:tcPr>
            <w:tcW w:w="2620" w:type="dxa"/>
            <w:vMerge w:val="restart"/>
          </w:tcPr>
          <w:p w14:paraId="7350017B" w14:textId="67495B85" w:rsidR="007E4A66" w:rsidRPr="007E4A66" w:rsidRDefault="007E4A66" w:rsidP="007E4A66">
            <w:pPr>
              <w:rPr>
                <w:rFonts w:cs="Arial"/>
              </w:rPr>
            </w:pPr>
            <w:r w:rsidRPr="007E4A66">
              <w:rPr>
                <w:rFonts w:cs="Arial"/>
                <w:i/>
                <w:iCs/>
              </w:rPr>
              <w:t>Хепато-билиарни нарушения</w:t>
            </w:r>
          </w:p>
        </w:tc>
        <w:tc>
          <w:tcPr>
            <w:tcW w:w="2460" w:type="dxa"/>
          </w:tcPr>
          <w:p w14:paraId="5F55B050" w14:textId="2D015BED" w:rsidR="007E4A66" w:rsidRPr="007E4A66" w:rsidRDefault="007E4A66" w:rsidP="007E4A66">
            <w:pPr>
              <w:rPr>
                <w:rFonts w:cs="Arial"/>
              </w:rPr>
            </w:pPr>
            <w:r w:rsidRPr="007E4A66">
              <w:rPr>
                <w:rFonts w:cs="Arial"/>
              </w:rPr>
              <w:t>Хепатит (вж. точка 4.4)</w:t>
            </w:r>
          </w:p>
        </w:tc>
        <w:tc>
          <w:tcPr>
            <w:tcW w:w="2169" w:type="dxa"/>
          </w:tcPr>
          <w:p w14:paraId="7559C4CD" w14:textId="283054A9" w:rsidR="007E4A66" w:rsidRPr="007E4A66" w:rsidRDefault="007E4A66" w:rsidP="007E4A66">
            <w:pPr>
              <w:rPr>
                <w:rFonts w:cs="Arial"/>
              </w:rPr>
            </w:pPr>
            <w:r w:rsidRPr="007E4A66">
              <w:rPr>
                <w:rFonts w:cs="Arial"/>
              </w:rPr>
              <w:t>Много редки</w:t>
            </w:r>
          </w:p>
        </w:tc>
        <w:tc>
          <w:tcPr>
            <w:tcW w:w="2101" w:type="dxa"/>
          </w:tcPr>
          <w:p w14:paraId="0FDFE137" w14:textId="612CAEC2" w:rsidR="007E4A66" w:rsidRPr="007E4A66" w:rsidRDefault="007E4A66" w:rsidP="007E4A66">
            <w:pPr>
              <w:rPr>
                <w:rFonts w:cs="Arial"/>
              </w:rPr>
            </w:pPr>
            <w:r w:rsidRPr="007E4A66">
              <w:rPr>
                <w:rFonts w:cs="Arial"/>
              </w:rPr>
              <w:t>С неизвестна честота</w:t>
            </w:r>
          </w:p>
        </w:tc>
      </w:tr>
      <w:tr w:rsidR="007E4A66" w14:paraId="7C446351" w14:textId="77777777" w:rsidTr="007E4A66">
        <w:tc>
          <w:tcPr>
            <w:tcW w:w="2620" w:type="dxa"/>
            <w:vMerge/>
          </w:tcPr>
          <w:p w14:paraId="2C64902D" w14:textId="77777777" w:rsidR="007E4A66" w:rsidRPr="007E4A66" w:rsidRDefault="007E4A66" w:rsidP="007E4A66">
            <w:pPr>
              <w:rPr>
                <w:rFonts w:cs="Arial"/>
              </w:rPr>
            </w:pPr>
          </w:p>
        </w:tc>
        <w:tc>
          <w:tcPr>
            <w:tcW w:w="2460" w:type="dxa"/>
            <w:vAlign w:val="bottom"/>
          </w:tcPr>
          <w:p w14:paraId="28FBE7BD" w14:textId="0A3940BD" w:rsidR="007E4A66" w:rsidRPr="007E4A66" w:rsidRDefault="007E4A66" w:rsidP="007E4A66">
            <w:pPr>
              <w:rPr>
                <w:rFonts w:cs="Arial"/>
              </w:rPr>
            </w:pPr>
            <w:r w:rsidRPr="007E4A66">
              <w:rPr>
                <w:rFonts w:cs="Arial"/>
              </w:rPr>
              <w:t>Нарушена чернодробна функция</w:t>
            </w:r>
          </w:p>
        </w:tc>
        <w:tc>
          <w:tcPr>
            <w:tcW w:w="2169" w:type="dxa"/>
          </w:tcPr>
          <w:p w14:paraId="62F60BE2" w14:textId="51755A97" w:rsidR="007E4A66" w:rsidRPr="007E4A66" w:rsidRDefault="007E4A66" w:rsidP="007E4A66">
            <w:pPr>
              <w:rPr>
                <w:rFonts w:cs="Arial"/>
              </w:rPr>
            </w:pPr>
            <w:r w:rsidRPr="007E4A66">
              <w:rPr>
                <w:rFonts w:cs="Arial"/>
              </w:rPr>
              <w:t>-</w:t>
            </w:r>
          </w:p>
        </w:tc>
        <w:tc>
          <w:tcPr>
            <w:tcW w:w="2101" w:type="dxa"/>
            <w:vAlign w:val="bottom"/>
          </w:tcPr>
          <w:p w14:paraId="1432CF38" w14:textId="1E213B15" w:rsidR="007E4A66" w:rsidRPr="007E4A66" w:rsidRDefault="007E4A66" w:rsidP="007E4A66">
            <w:pPr>
              <w:rPr>
                <w:rFonts w:cs="Arial"/>
              </w:rPr>
            </w:pPr>
            <w:r w:rsidRPr="007E4A66">
              <w:rPr>
                <w:rFonts w:cs="Arial"/>
              </w:rPr>
              <w:t>Много редки</w:t>
            </w:r>
          </w:p>
        </w:tc>
      </w:tr>
      <w:tr w:rsidR="007E4A66" w14:paraId="3A2F3807" w14:textId="77777777" w:rsidTr="007E4A66">
        <w:tc>
          <w:tcPr>
            <w:tcW w:w="2620" w:type="dxa"/>
            <w:vMerge w:val="restart"/>
          </w:tcPr>
          <w:p w14:paraId="66A321AB" w14:textId="46B0DA27" w:rsidR="007E4A66" w:rsidRPr="007E4A66" w:rsidRDefault="007E4A66" w:rsidP="007E4A66">
            <w:pPr>
              <w:rPr>
                <w:rFonts w:cs="Arial"/>
              </w:rPr>
            </w:pPr>
            <w:r w:rsidRPr="007E4A66">
              <w:rPr>
                <w:rFonts w:cs="Arial"/>
                <w:i/>
                <w:iCs/>
              </w:rPr>
              <w:t>Нарушения на кожата и подкожната тъкан</w:t>
            </w:r>
          </w:p>
        </w:tc>
        <w:tc>
          <w:tcPr>
            <w:tcW w:w="2460" w:type="dxa"/>
            <w:vAlign w:val="bottom"/>
          </w:tcPr>
          <w:p w14:paraId="1B4F9815" w14:textId="0150FAAA" w:rsidR="007E4A66" w:rsidRPr="007E4A66" w:rsidRDefault="007E4A66" w:rsidP="007E4A66">
            <w:pPr>
              <w:rPr>
                <w:rFonts w:cs="Arial"/>
              </w:rPr>
            </w:pPr>
            <w:r w:rsidRPr="007E4A66">
              <w:rPr>
                <w:rFonts w:cs="Arial"/>
              </w:rPr>
              <w:t>Пруритус (сърбеж)</w:t>
            </w:r>
          </w:p>
        </w:tc>
        <w:tc>
          <w:tcPr>
            <w:tcW w:w="2169" w:type="dxa"/>
            <w:vAlign w:val="bottom"/>
          </w:tcPr>
          <w:p w14:paraId="578A13E0" w14:textId="1AACF173" w:rsidR="007E4A66" w:rsidRPr="007E4A66" w:rsidRDefault="007E4A66" w:rsidP="007E4A66">
            <w:pPr>
              <w:rPr>
                <w:rFonts w:cs="Arial"/>
              </w:rPr>
            </w:pPr>
            <w:r w:rsidRPr="007E4A66">
              <w:rPr>
                <w:rFonts w:cs="Arial"/>
              </w:rPr>
              <w:t>Чести</w:t>
            </w:r>
          </w:p>
        </w:tc>
        <w:tc>
          <w:tcPr>
            <w:tcW w:w="2101" w:type="dxa"/>
          </w:tcPr>
          <w:p w14:paraId="672965B1" w14:textId="77B78A43" w:rsidR="007E4A66" w:rsidRPr="007E4A66" w:rsidRDefault="007E4A66" w:rsidP="007E4A66">
            <w:pPr>
              <w:rPr>
                <w:rFonts w:cs="Arial"/>
              </w:rPr>
            </w:pPr>
            <w:r w:rsidRPr="007E4A66">
              <w:rPr>
                <w:rFonts w:cs="Arial"/>
              </w:rPr>
              <w:t>-</w:t>
            </w:r>
          </w:p>
        </w:tc>
      </w:tr>
      <w:tr w:rsidR="007E4A66" w14:paraId="5D4EE7C6" w14:textId="77777777" w:rsidTr="007E4A66">
        <w:tc>
          <w:tcPr>
            <w:tcW w:w="2620" w:type="dxa"/>
            <w:vMerge/>
          </w:tcPr>
          <w:p w14:paraId="408540A1" w14:textId="77777777" w:rsidR="007E4A66" w:rsidRPr="007E4A66" w:rsidRDefault="007E4A66" w:rsidP="007E4A66">
            <w:pPr>
              <w:rPr>
                <w:rFonts w:cs="Arial"/>
              </w:rPr>
            </w:pPr>
          </w:p>
        </w:tc>
        <w:tc>
          <w:tcPr>
            <w:tcW w:w="2460" w:type="dxa"/>
            <w:vAlign w:val="bottom"/>
          </w:tcPr>
          <w:p w14:paraId="530D4365" w14:textId="57402E9A" w:rsidR="007E4A66" w:rsidRPr="007E4A66" w:rsidRDefault="007E4A66" w:rsidP="007E4A66">
            <w:pPr>
              <w:rPr>
                <w:rFonts w:cs="Arial"/>
              </w:rPr>
            </w:pPr>
            <w:r w:rsidRPr="007E4A66">
              <w:rPr>
                <w:rFonts w:cs="Arial"/>
              </w:rPr>
              <w:t>Обрив</w:t>
            </w:r>
          </w:p>
        </w:tc>
        <w:tc>
          <w:tcPr>
            <w:tcW w:w="2169" w:type="dxa"/>
            <w:vAlign w:val="bottom"/>
          </w:tcPr>
          <w:p w14:paraId="3EDF4A8A" w14:textId="5448AEB9" w:rsidR="007E4A66" w:rsidRPr="007E4A66" w:rsidRDefault="007E4A66" w:rsidP="007E4A66">
            <w:pPr>
              <w:rPr>
                <w:rFonts w:cs="Arial"/>
              </w:rPr>
            </w:pPr>
            <w:r w:rsidRPr="007E4A66">
              <w:rPr>
                <w:rFonts w:cs="Arial"/>
              </w:rPr>
              <w:t>Чести</w:t>
            </w:r>
          </w:p>
        </w:tc>
        <w:tc>
          <w:tcPr>
            <w:tcW w:w="2101" w:type="dxa"/>
          </w:tcPr>
          <w:p w14:paraId="173B699A" w14:textId="0363D4D0" w:rsidR="007E4A66" w:rsidRPr="007E4A66" w:rsidRDefault="007E4A66" w:rsidP="007E4A66">
            <w:pPr>
              <w:rPr>
                <w:rFonts w:cs="Arial"/>
              </w:rPr>
            </w:pPr>
            <w:r w:rsidRPr="007E4A66">
              <w:rPr>
                <w:rFonts w:cs="Arial"/>
              </w:rPr>
              <w:t>-</w:t>
            </w:r>
          </w:p>
        </w:tc>
      </w:tr>
      <w:tr w:rsidR="007E4A66" w14:paraId="49AFF0DD" w14:textId="77777777" w:rsidTr="007E4A66">
        <w:tc>
          <w:tcPr>
            <w:tcW w:w="2620" w:type="dxa"/>
            <w:vMerge/>
          </w:tcPr>
          <w:p w14:paraId="371E84ED" w14:textId="77777777" w:rsidR="007E4A66" w:rsidRPr="007E4A66" w:rsidRDefault="007E4A66" w:rsidP="007E4A66">
            <w:pPr>
              <w:rPr>
                <w:rFonts w:cs="Arial"/>
              </w:rPr>
            </w:pPr>
          </w:p>
        </w:tc>
        <w:tc>
          <w:tcPr>
            <w:tcW w:w="2460" w:type="dxa"/>
            <w:vAlign w:val="bottom"/>
          </w:tcPr>
          <w:p w14:paraId="28DE4474" w14:textId="27E7EEBB" w:rsidR="007E4A66" w:rsidRPr="007E4A66" w:rsidRDefault="007E4A66" w:rsidP="007E4A66">
            <w:pPr>
              <w:rPr>
                <w:rFonts w:cs="Arial"/>
              </w:rPr>
            </w:pPr>
            <w:r w:rsidRPr="007E4A66">
              <w:rPr>
                <w:rFonts w:cs="Arial"/>
              </w:rPr>
              <w:t>Макулопапуларни обриви</w:t>
            </w:r>
          </w:p>
        </w:tc>
        <w:tc>
          <w:tcPr>
            <w:tcW w:w="2169" w:type="dxa"/>
          </w:tcPr>
          <w:p w14:paraId="71F4CD23" w14:textId="07BE3422" w:rsidR="007E4A66" w:rsidRPr="007E4A66" w:rsidRDefault="007E4A66" w:rsidP="007E4A66">
            <w:pPr>
              <w:rPr>
                <w:rFonts w:cs="Arial"/>
              </w:rPr>
            </w:pPr>
            <w:r w:rsidRPr="007E4A66">
              <w:rPr>
                <w:rFonts w:cs="Arial"/>
              </w:rPr>
              <w:t>-</w:t>
            </w:r>
          </w:p>
        </w:tc>
        <w:tc>
          <w:tcPr>
            <w:tcW w:w="2101" w:type="dxa"/>
            <w:vAlign w:val="bottom"/>
          </w:tcPr>
          <w:p w14:paraId="576E9DFE" w14:textId="26E2B8AC" w:rsidR="007E4A66" w:rsidRPr="007E4A66" w:rsidRDefault="007E4A66" w:rsidP="007E4A66">
            <w:pPr>
              <w:rPr>
                <w:rFonts w:cs="Arial"/>
              </w:rPr>
            </w:pPr>
            <w:r w:rsidRPr="007E4A66">
              <w:rPr>
                <w:rFonts w:cs="Arial"/>
              </w:rPr>
              <w:t>Чести</w:t>
            </w:r>
          </w:p>
        </w:tc>
      </w:tr>
      <w:tr w:rsidR="007E4A66" w14:paraId="58C9E58C" w14:textId="77777777" w:rsidTr="007E4A66">
        <w:tc>
          <w:tcPr>
            <w:tcW w:w="2620" w:type="dxa"/>
            <w:vMerge/>
          </w:tcPr>
          <w:p w14:paraId="7DB83515" w14:textId="77777777" w:rsidR="007E4A66" w:rsidRPr="007E4A66" w:rsidRDefault="007E4A66" w:rsidP="007E4A66">
            <w:pPr>
              <w:rPr>
                <w:rFonts w:cs="Arial"/>
              </w:rPr>
            </w:pPr>
          </w:p>
        </w:tc>
        <w:tc>
          <w:tcPr>
            <w:tcW w:w="2460" w:type="dxa"/>
            <w:vAlign w:val="bottom"/>
          </w:tcPr>
          <w:p w14:paraId="1ED96EED" w14:textId="62D35A6D" w:rsidR="007E4A66" w:rsidRPr="007E4A66" w:rsidRDefault="007E4A66" w:rsidP="007E4A66">
            <w:pPr>
              <w:rPr>
                <w:rFonts w:cs="Arial"/>
              </w:rPr>
            </w:pPr>
            <w:r w:rsidRPr="007E4A66">
              <w:rPr>
                <w:rFonts w:cs="Arial"/>
              </w:rPr>
              <w:t>Уртикария (вж. точка 4.4)</w:t>
            </w:r>
          </w:p>
        </w:tc>
        <w:tc>
          <w:tcPr>
            <w:tcW w:w="2169" w:type="dxa"/>
            <w:vAlign w:val="bottom"/>
          </w:tcPr>
          <w:p w14:paraId="16813D29" w14:textId="6140ED6C" w:rsidR="007E4A66" w:rsidRPr="007E4A66" w:rsidRDefault="007E4A66" w:rsidP="007E4A66">
            <w:pPr>
              <w:rPr>
                <w:rFonts w:cs="Arial"/>
              </w:rPr>
            </w:pPr>
            <w:r w:rsidRPr="007E4A66">
              <w:rPr>
                <w:rFonts w:cs="Arial"/>
              </w:rPr>
              <w:t>Нечести</w:t>
            </w:r>
          </w:p>
        </w:tc>
        <w:tc>
          <w:tcPr>
            <w:tcW w:w="2101" w:type="dxa"/>
            <w:vAlign w:val="bottom"/>
          </w:tcPr>
          <w:p w14:paraId="7714172C" w14:textId="12E142AC" w:rsidR="007E4A66" w:rsidRPr="007E4A66" w:rsidRDefault="007E4A66" w:rsidP="007E4A66">
            <w:pPr>
              <w:rPr>
                <w:rFonts w:cs="Arial"/>
              </w:rPr>
            </w:pPr>
            <w:r w:rsidRPr="007E4A66">
              <w:rPr>
                <w:rFonts w:cs="Arial"/>
              </w:rPr>
              <w:t>Много редки</w:t>
            </w:r>
          </w:p>
        </w:tc>
      </w:tr>
      <w:tr w:rsidR="007E4A66" w14:paraId="67769ED6" w14:textId="77777777" w:rsidTr="007E4A66">
        <w:tc>
          <w:tcPr>
            <w:tcW w:w="2620" w:type="dxa"/>
            <w:vMerge/>
          </w:tcPr>
          <w:p w14:paraId="547821B8" w14:textId="77777777" w:rsidR="007E4A66" w:rsidRPr="007E4A66" w:rsidRDefault="007E4A66" w:rsidP="007E4A66">
            <w:pPr>
              <w:rPr>
                <w:rFonts w:cs="Arial"/>
              </w:rPr>
            </w:pPr>
          </w:p>
        </w:tc>
        <w:tc>
          <w:tcPr>
            <w:tcW w:w="2460" w:type="dxa"/>
            <w:vAlign w:val="bottom"/>
          </w:tcPr>
          <w:p w14:paraId="1FB28555" w14:textId="66C76C51" w:rsidR="007E4A66" w:rsidRPr="007E4A66" w:rsidRDefault="007E4A66" w:rsidP="007E4A66">
            <w:pPr>
              <w:rPr>
                <w:rFonts w:cs="Arial"/>
              </w:rPr>
            </w:pPr>
            <w:r w:rsidRPr="007E4A66">
              <w:rPr>
                <w:rFonts w:cs="Arial"/>
              </w:rPr>
              <w:t>Ангиоедем (вж. точка 4.4)</w:t>
            </w:r>
          </w:p>
        </w:tc>
        <w:tc>
          <w:tcPr>
            <w:tcW w:w="2169" w:type="dxa"/>
            <w:vAlign w:val="bottom"/>
          </w:tcPr>
          <w:p w14:paraId="1EB1E087" w14:textId="0B93433C" w:rsidR="007E4A66" w:rsidRPr="007E4A66" w:rsidRDefault="007E4A66" w:rsidP="007E4A66">
            <w:pPr>
              <w:rPr>
                <w:rFonts w:cs="Arial"/>
              </w:rPr>
            </w:pPr>
            <w:r w:rsidRPr="007E4A66">
              <w:rPr>
                <w:rFonts w:cs="Arial"/>
              </w:rPr>
              <w:t>Нечести</w:t>
            </w:r>
          </w:p>
        </w:tc>
        <w:tc>
          <w:tcPr>
            <w:tcW w:w="2101" w:type="dxa"/>
            <w:vAlign w:val="bottom"/>
          </w:tcPr>
          <w:p w14:paraId="28FF5BEF" w14:textId="2B87062D" w:rsidR="007E4A66" w:rsidRPr="007E4A66" w:rsidRDefault="007E4A66" w:rsidP="007E4A66">
            <w:pPr>
              <w:rPr>
                <w:rFonts w:cs="Arial"/>
              </w:rPr>
            </w:pPr>
            <w:r w:rsidRPr="007E4A66">
              <w:rPr>
                <w:rFonts w:cs="Arial"/>
              </w:rPr>
              <w:t>Много редки</w:t>
            </w:r>
          </w:p>
        </w:tc>
      </w:tr>
      <w:tr w:rsidR="007E4A66" w14:paraId="73291EF4" w14:textId="77777777" w:rsidTr="007E4A66">
        <w:tc>
          <w:tcPr>
            <w:tcW w:w="2620" w:type="dxa"/>
            <w:vMerge/>
          </w:tcPr>
          <w:p w14:paraId="4CB86EBA" w14:textId="77777777" w:rsidR="007E4A66" w:rsidRPr="007E4A66" w:rsidRDefault="007E4A66" w:rsidP="007E4A66">
            <w:pPr>
              <w:rPr>
                <w:rFonts w:cs="Arial"/>
              </w:rPr>
            </w:pPr>
          </w:p>
        </w:tc>
        <w:tc>
          <w:tcPr>
            <w:tcW w:w="2460" w:type="dxa"/>
            <w:vAlign w:val="bottom"/>
          </w:tcPr>
          <w:p w14:paraId="5A7CC07E" w14:textId="7604BAB8" w:rsidR="007E4A66" w:rsidRPr="007E4A66" w:rsidRDefault="007E4A66" w:rsidP="007E4A66">
            <w:pPr>
              <w:rPr>
                <w:rFonts w:cs="Arial"/>
              </w:rPr>
            </w:pPr>
            <w:r w:rsidRPr="007E4A66">
              <w:rPr>
                <w:rFonts w:cs="Arial"/>
              </w:rPr>
              <w:t>Пурпура</w:t>
            </w:r>
            <w:r w:rsidRPr="007E4A66">
              <w:rPr>
                <w:rFonts w:cs="Arial"/>
              </w:rPr>
              <w:tab/>
            </w:r>
            <w:r w:rsidRPr="007E4A66">
              <w:rPr>
                <w:rFonts w:cs="Arial"/>
              </w:rPr>
              <w:tab/>
            </w:r>
          </w:p>
        </w:tc>
        <w:tc>
          <w:tcPr>
            <w:tcW w:w="2169" w:type="dxa"/>
            <w:vAlign w:val="center"/>
          </w:tcPr>
          <w:p w14:paraId="7EF18354" w14:textId="2E7C24E6" w:rsidR="007E4A66" w:rsidRPr="007E4A66" w:rsidRDefault="007E4A66" w:rsidP="007E4A66">
            <w:pPr>
              <w:rPr>
                <w:rFonts w:cs="Arial"/>
              </w:rPr>
            </w:pPr>
            <w:r w:rsidRPr="007E4A66">
              <w:rPr>
                <w:rFonts w:cs="Arial"/>
              </w:rPr>
              <w:t>-</w:t>
            </w:r>
          </w:p>
        </w:tc>
        <w:tc>
          <w:tcPr>
            <w:tcW w:w="2101" w:type="dxa"/>
          </w:tcPr>
          <w:p w14:paraId="12481A64" w14:textId="6BA04F5D" w:rsidR="007E4A66" w:rsidRPr="007E4A66" w:rsidRDefault="007E4A66" w:rsidP="007E4A66">
            <w:pPr>
              <w:rPr>
                <w:rFonts w:cs="Arial"/>
              </w:rPr>
            </w:pPr>
            <w:r w:rsidRPr="007E4A66">
              <w:rPr>
                <w:rFonts w:cs="Arial"/>
              </w:rPr>
              <w:t>Нечести</w:t>
            </w:r>
          </w:p>
        </w:tc>
      </w:tr>
      <w:tr w:rsidR="007E4A66" w14:paraId="381F5A03" w14:textId="77777777" w:rsidTr="007E4A66">
        <w:tc>
          <w:tcPr>
            <w:tcW w:w="2620" w:type="dxa"/>
            <w:vMerge/>
          </w:tcPr>
          <w:p w14:paraId="0B95726D" w14:textId="77777777" w:rsidR="007E4A66" w:rsidRPr="007E4A66" w:rsidRDefault="007E4A66" w:rsidP="007E4A66">
            <w:pPr>
              <w:rPr>
                <w:rFonts w:cs="Arial"/>
              </w:rPr>
            </w:pPr>
          </w:p>
        </w:tc>
        <w:tc>
          <w:tcPr>
            <w:tcW w:w="2460" w:type="dxa"/>
          </w:tcPr>
          <w:p w14:paraId="7F5375C4" w14:textId="21378E00" w:rsidR="007E4A66" w:rsidRPr="007E4A66" w:rsidRDefault="007E4A66" w:rsidP="007E4A66">
            <w:pPr>
              <w:rPr>
                <w:rFonts w:cs="Arial"/>
              </w:rPr>
            </w:pPr>
            <w:r w:rsidRPr="007E4A66">
              <w:rPr>
                <w:rFonts w:cs="Arial"/>
              </w:rPr>
              <w:t>Хиперхидроза</w:t>
            </w:r>
          </w:p>
        </w:tc>
        <w:tc>
          <w:tcPr>
            <w:tcW w:w="2169" w:type="dxa"/>
          </w:tcPr>
          <w:p w14:paraId="3FD9ECEB" w14:textId="6B4F47C0" w:rsidR="007E4A66" w:rsidRPr="007E4A66" w:rsidRDefault="007E4A66" w:rsidP="007E4A66">
            <w:pPr>
              <w:rPr>
                <w:rFonts w:cs="Arial"/>
              </w:rPr>
            </w:pPr>
            <w:r w:rsidRPr="007E4A66">
              <w:rPr>
                <w:rFonts w:cs="Arial"/>
              </w:rPr>
              <w:t>Нечести</w:t>
            </w:r>
          </w:p>
        </w:tc>
        <w:tc>
          <w:tcPr>
            <w:tcW w:w="2101" w:type="dxa"/>
            <w:vAlign w:val="center"/>
          </w:tcPr>
          <w:p w14:paraId="2662D202" w14:textId="5B8081F7" w:rsidR="007E4A66" w:rsidRPr="007E4A66" w:rsidRDefault="007E4A66" w:rsidP="007E4A66">
            <w:pPr>
              <w:rPr>
                <w:rFonts w:cs="Arial"/>
              </w:rPr>
            </w:pPr>
            <w:r w:rsidRPr="007E4A66">
              <w:rPr>
                <w:rFonts w:cs="Arial"/>
              </w:rPr>
              <w:t>-</w:t>
            </w:r>
          </w:p>
        </w:tc>
      </w:tr>
      <w:tr w:rsidR="007E4A66" w14:paraId="1C72FC68" w14:textId="77777777" w:rsidTr="007E4A66">
        <w:tc>
          <w:tcPr>
            <w:tcW w:w="2620" w:type="dxa"/>
            <w:vMerge/>
          </w:tcPr>
          <w:p w14:paraId="25CD0347" w14:textId="77777777" w:rsidR="007E4A66" w:rsidRPr="007E4A66" w:rsidRDefault="007E4A66" w:rsidP="007E4A66">
            <w:pPr>
              <w:rPr>
                <w:rFonts w:cs="Arial"/>
              </w:rPr>
            </w:pPr>
          </w:p>
        </w:tc>
        <w:tc>
          <w:tcPr>
            <w:tcW w:w="2460" w:type="dxa"/>
          </w:tcPr>
          <w:p w14:paraId="45037AA2" w14:textId="6C06CC40" w:rsidR="007E4A66" w:rsidRPr="007E4A66" w:rsidRDefault="007E4A66" w:rsidP="007E4A66">
            <w:pPr>
              <w:rPr>
                <w:rFonts w:cs="Arial"/>
              </w:rPr>
            </w:pPr>
            <w:r w:rsidRPr="007E4A66">
              <w:rPr>
                <w:rFonts w:cs="Arial"/>
              </w:rPr>
              <w:t>Реакция на фоточувствителност</w:t>
            </w:r>
          </w:p>
        </w:tc>
        <w:tc>
          <w:tcPr>
            <w:tcW w:w="2169" w:type="dxa"/>
          </w:tcPr>
          <w:p w14:paraId="31846967" w14:textId="5BD6A630" w:rsidR="007E4A66" w:rsidRPr="007E4A66" w:rsidRDefault="007E4A66" w:rsidP="007E4A66">
            <w:pPr>
              <w:rPr>
                <w:rFonts w:cs="Arial"/>
              </w:rPr>
            </w:pPr>
            <w:r w:rsidRPr="007E4A66">
              <w:rPr>
                <w:rFonts w:cs="Arial"/>
              </w:rPr>
              <w:t>Нечести*</w:t>
            </w:r>
          </w:p>
        </w:tc>
        <w:tc>
          <w:tcPr>
            <w:tcW w:w="2101" w:type="dxa"/>
          </w:tcPr>
          <w:p w14:paraId="3FCC5202" w14:textId="54B271DA" w:rsidR="007E4A66" w:rsidRPr="007E4A66" w:rsidRDefault="007E4A66" w:rsidP="007E4A66">
            <w:pPr>
              <w:rPr>
                <w:rFonts w:cs="Arial"/>
              </w:rPr>
            </w:pPr>
            <w:r w:rsidRPr="007E4A66">
              <w:rPr>
                <w:rFonts w:cs="Arial"/>
              </w:rPr>
              <w:t>С неизвестна честота</w:t>
            </w:r>
          </w:p>
        </w:tc>
      </w:tr>
      <w:tr w:rsidR="007E4A66" w14:paraId="228CEAC2" w14:textId="77777777" w:rsidTr="007E4A66">
        <w:tc>
          <w:tcPr>
            <w:tcW w:w="2620" w:type="dxa"/>
            <w:vMerge/>
          </w:tcPr>
          <w:p w14:paraId="0249E7EB" w14:textId="77777777" w:rsidR="007E4A66" w:rsidRPr="007E4A66" w:rsidRDefault="007E4A66" w:rsidP="007E4A66">
            <w:pPr>
              <w:rPr>
                <w:rFonts w:cs="Arial"/>
              </w:rPr>
            </w:pPr>
          </w:p>
        </w:tc>
        <w:tc>
          <w:tcPr>
            <w:tcW w:w="2460" w:type="dxa"/>
          </w:tcPr>
          <w:p w14:paraId="6852D672" w14:textId="5CC6A00B" w:rsidR="007E4A66" w:rsidRPr="007E4A66" w:rsidRDefault="007E4A66" w:rsidP="007E4A66">
            <w:pPr>
              <w:rPr>
                <w:rFonts w:cs="Arial"/>
              </w:rPr>
            </w:pPr>
            <w:r w:rsidRPr="007E4A66">
              <w:rPr>
                <w:rFonts w:cs="Arial"/>
              </w:rPr>
              <w:t>Пемфигоид</w:t>
            </w:r>
          </w:p>
        </w:tc>
        <w:tc>
          <w:tcPr>
            <w:tcW w:w="2169" w:type="dxa"/>
          </w:tcPr>
          <w:p w14:paraId="4CF9B679" w14:textId="4AF6BCC2" w:rsidR="007E4A66" w:rsidRPr="007E4A66" w:rsidRDefault="007E4A66" w:rsidP="007E4A66">
            <w:pPr>
              <w:rPr>
                <w:rFonts w:cs="Arial"/>
              </w:rPr>
            </w:pPr>
            <w:r w:rsidRPr="007E4A66">
              <w:rPr>
                <w:rFonts w:cs="Arial"/>
              </w:rPr>
              <w:t>Нечести*</w:t>
            </w:r>
          </w:p>
        </w:tc>
        <w:tc>
          <w:tcPr>
            <w:tcW w:w="2101" w:type="dxa"/>
            <w:vAlign w:val="bottom"/>
          </w:tcPr>
          <w:p w14:paraId="22DA0F62" w14:textId="76B4347E" w:rsidR="007E4A66" w:rsidRPr="007E4A66" w:rsidRDefault="007E4A66" w:rsidP="007E4A66">
            <w:pPr>
              <w:rPr>
                <w:rFonts w:cs="Arial"/>
              </w:rPr>
            </w:pPr>
            <w:r w:rsidRPr="007E4A66">
              <w:rPr>
                <w:rFonts w:cs="Arial"/>
                <w:i/>
                <w:iCs/>
              </w:rPr>
              <w:t>-</w:t>
            </w:r>
          </w:p>
        </w:tc>
      </w:tr>
      <w:tr w:rsidR="007E4A66" w14:paraId="6ACCF7C5" w14:textId="77777777" w:rsidTr="007E4A66">
        <w:tc>
          <w:tcPr>
            <w:tcW w:w="2620" w:type="dxa"/>
            <w:vMerge/>
          </w:tcPr>
          <w:p w14:paraId="1316EB3F" w14:textId="77777777" w:rsidR="007E4A66" w:rsidRPr="007E4A66" w:rsidRDefault="007E4A66" w:rsidP="007E4A66">
            <w:pPr>
              <w:rPr>
                <w:rFonts w:cs="Arial"/>
              </w:rPr>
            </w:pPr>
          </w:p>
        </w:tc>
        <w:tc>
          <w:tcPr>
            <w:tcW w:w="2460" w:type="dxa"/>
            <w:vAlign w:val="bottom"/>
          </w:tcPr>
          <w:p w14:paraId="714B9066" w14:textId="7A4EB3B1" w:rsidR="007E4A66" w:rsidRPr="007E4A66" w:rsidRDefault="007E4A66" w:rsidP="007E4A66">
            <w:pPr>
              <w:rPr>
                <w:rFonts w:cs="Arial"/>
              </w:rPr>
            </w:pPr>
            <w:r w:rsidRPr="007E4A66">
              <w:rPr>
                <w:rFonts w:cs="Arial"/>
              </w:rPr>
              <w:t>Влошаване на псориазис</w:t>
            </w:r>
          </w:p>
        </w:tc>
        <w:tc>
          <w:tcPr>
            <w:tcW w:w="2169" w:type="dxa"/>
            <w:vAlign w:val="bottom"/>
          </w:tcPr>
          <w:p w14:paraId="7AEF81F3" w14:textId="38507920" w:rsidR="007E4A66" w:rsidRPr="007E4A66" w:rsidRDefault="007E4A66" w:rsidP="007E4A66">
            <w:pPr>
              <w:rPr>
                <w:rFonts w:cs="Arial"/>
              </w:rPr>
            </w:pPr>
            <w:r w:rsidRPr="007E4A66">
              <w:rPr>
                <w:rFonts w:cs="Arial"/>
              </w:rPr>
              <w:t>Редки*</w:t>
            </w:r>
          </w:p>
        </w:tc>
        <w:tc>
          <w:tcPr>
            <w:tcW w:w="2101" w:type="dxa"/>
          </w:tcPr>
          <w:p w14:paraId="515952DE" w14:textId="024382CA" w:rsidR="007E4A66" w:rsidRPr="007E4A66" w:rsidRDefault="007E4A66" w:rsidP="007E4A66">
            <w:pPr>
              <w:rPr>
                <w:rFonts w:cs="Arial"/>
              </w:rPr>
            </w:pPr>
            <w:r w:rsidRPr="007E4A66">
              <w:rPr>
                <w:rFonts w:cs="Arial"/>
              </w:rPr>
              <w:t>-</w:t>
            </w:r>
          </w:p>
        </w:tc>
      </w:tr>
      <w:tr w:rsidR="007E4A66" w14:paraId="31D6EE0C" w14:textId="77777777" w:rsidTr="007E4A66">
        <w:tc>
          <w:tcPr>
            <w:tcW w:w="2620" w:type="dxa"/>
            <w:vMerge/>
          </w:tcPr>
          <w:p w14:paraId="544A3AB3" w14:textId="77777777" w:rsidR="007E4A66" w:rsidRPr="007E4A66" w:rsidRDefault="007E4A66" w:rsidP="007E4A66">
            <w:pPr>
              <w:rPr>
                <w:rFonts w:cs="Arial"/>
              </w:rPr>
            </w:pPr>
          </w:p>
        </w:tc>
        <w:tc>
          <w:tcPr>
            <w:tcW w:w="2460" w:type="dxa"/>
            <w:vAlign w:val="bottom"/>
          </w:tcPr>
          <w:p w14:paraId="3EBAC1DD" w14:textId="72FD41C4" w:rsidR="007E4A66" w:rsidRPr="007E4A66" w:rsidRDefault="007E4A66" w:rsidP="007E4A66">
            <w:pPr>
              <w:rPr>
                <w:rFonts w:cs="Arial"/>
              </w:rPr>
            </w:pPr>
            <w:r w:rsidRPr="007E4A66">
              <w:rPr>
                <w:rFonts w:cs="Arial"/>
              </w:rPr>
              <w:t>Еритема мултиформе</w:t>
            </w:r>
          </w:p>
        </w:tc>
        <w:tc>
          <w:tcPr>
            <w:tcW w:w="2169" w:type="dxa"/>
            <w:vAlign w:val="bottom"/>
          </w:tcPr>
          <w:p w14:paraId="1DAC1726" w14:textId="78D0F9DB" w:rsidR="007E4A66" w:rsidRPr="007E4A66" w:rsidRDefault="007E4A66" w:rsidP="007E4A66">
            <w:pPr>
              <w:rPr>
                <w:rFonts w:cs="Arial"/>
              </w:rPr>
            </w:pPr>
            <w:r w:rsidRPr="007E4A66">
              <w:rPr>
                <w:rFonts w:cs="Arial"/>
              </w:rPr>
              <w:t>Много редки</w:t>
            </w:r>
          </w:p>
        </w:tc>
        <w:tc>
          <w:tcPr>
            <w:tcW w:w="2101" w:type="dxa"/>
            <w:vAlign w:val="center"/>
          </w:tcPr>
          <w:p w14:paraId="6E00DACD" w14:textId="040E4EDB" w:rsidR="007E4A66" w:rsidRPr="007E4A66" w:rsidRDefault="007E4A66" w:rsidP="007E4A66">
            <w:pPr>
              <w:rPr>
                <w:rFonts w:cs="Arial"/>
              </w:rPr>
            </w:pPr>
            <w:r w:rsidRPr="007E4A66">
              <w:rPr>
                <w:rFonts w:cs="Arial"/>
              </w:rPr>
              <w:t>-</w:t>
            </w:r>
          </w:p>
        </w:tc>
      </w:tr>
      <w:tr w:rsidR="007E4A66" w14:paraId="7E3CE5D2" w14:textId="77777777" w:rsidTr="007E4A66">
        <w:tc>
          <w:tcPr>
            <w:tcW w:w="2620" w:type="dxa"/>
            <w:vMerge/>
          </w:tcPr>
          <w:p w14:paraId="1D771AB4" w14:textId="77777777" w:rsidR="007E4A66" w:rsidRPr="007E4A66" w:rsidRDefault="007E4A66" w:rsidP="007E4A66">
            <w:pPr>
              <w:rPr>
                <w:rFonts w:cs="Arial"/>
              </w:rPr>
            </w:pPr>
          </w:p>
        </w:tc>
        <w:tc>
          <w:tcPr>
            <w:tcW w:w="2460" w:type="dxa"/>
            <w:vAlign w:val="bottom"/>
          </w:tcPr>
          <w:p w14:paraId="7D4824C8" w14:textId="33F3EA9F" w:rsidR="007E4A66" w:rsidRPr="007E4A66" w:rsidRDefault="007E4A66" w:rsidP="007E4A66">
            <w:pPr>
              <w:rPr>
                <w:rFonts w:cs="Arial"/>
              </w:rPr>
            </w:pPr>
            <w:r w:rsidRPr="007E4A66">
              <w:rPr>
                <w:rFonts w:cs="Arial"/>
              </w:rPr>
              <w:t>Токсична епидермална некролиза</w:t>
            </w:r>
          </w:p>
        </w:tc>
        <w:tc>
          <w:tcPr>
            <w:tcW w:w="2169" w:type="dxa"/>
          </w:tcPr>
          <w:p w14:paraId="53B8121A" w14:textId="2F7C9F0B" w:rsidR="007E4A66" w:rsidRPr="007E4A66" w:rsidRDefault="007E4A66" w:rsidP="007E4A66">
            <w:pPr>
              <w:rPr>
                <w:rFonts w:cs="Arial"/>
              </w:rPr>
            </w:pPr>
            <w:r w:rsidRPr="007E4A66">
              <w:rPr>
                <w:rFonts w:cs="Arial"/>
              </w:rPr>
              <w:t>-</w:t>
            </w:r>
          </w:p>
        </w:tc>
        <w:tc>
          <w:tcPr>
            <w:tcW w:w="2101" w:type="dxa"/>
            <w:vAlign w:val="bottom"/>
          </w:tcPr>
          <w:p w14:paraId="579B5C9D" w14:textId="5AEE3532" w:rsidR="007E4A66" w:rsidRPr="007E4A66" w:rsidRDefault="007E4A66" w:rsidP="007E4A66">
            <w:pPr>
              <w:rPr>
                <w:rFonts w:cs="Arial"/>
              </w:rPr>
            </w:pPr>
            <w:r w:rsidRPr="007E4A66">
              <w:rPr>
                <w:rFonts w:cs="Arial"/>
              </w:rPr>
              <w:t>Много редки</w:t>
            </w:r>
          </w:p>
        </w:tc>
      </w:tr>
      <w:tr w:rsidR="007E4A66" w14:paraId="346486AF" w14:textId="77777777" w:rsidTr="007E4A66">
        <w:tc>
          <w:tcPr>
            <w:tcW w:w="2620" w:type="dxa"/>
            <w:vMerge/>
          </w:tcPr>
          <w:p w14:paraId="0149B3FC" w14:textId="77777777" w:rsidR="007E4A66" w:rsidRPr="007E4A66" w:rsidRDefault="007E4A66" w:rsidP="007E4A66">
            <w:pPr>
              <w:rPr>
                <w:rFonts w:cs="Arial"/>
              </w:rPr>
            </w:pPr>
          </w:p>
        </w:tc>
        <w:tc>
          <w:tcPr>
            <w:tcW w:w="2460" w:type="dxa"/>
            <w:vAlign w:val="bottom"/>
          </w:tcPr>
          <w:p w14:paraId="038A866B" w14:textId="7F7BB4F3" w:rsidR="007E4A66" w:rsidRPr="007E4A66" w:rsidRDefault="007E4A66" w:rsidP="007E4A66">
            <w:pPr>
              <w:rPr>
                <w:rFonts w:cs="Arial"/>
              </w:rPr>
            </w:pPr>
            <w:r w:rsidRPr="007E4A66">
              <w:rPr>
                <w:rFonts w:cs="Arial"/>
              </w:rPr>
              <w:t xml:space="preserve">Синдром на </w:t>
            </w:r>
            <w:r w:rsidRPr="007E4A66">
              <w:rPr>
                <w:rFonts w:cs="Arial"/>
                <w:lang w:val="en-US"/>
              </w:rPr>
              <w:t>Stevens Johnson</w:t>
            </w:r>
          </w:p>
        </w:tc>
        <w:tc>
          <w:tcPr>
            <w:tcW w:w="2169" w:type="dxa"/>
          </w:tcPr>
          <w:p w14:paraId="74536F5E" w14:textId="47D9BCCC" w:rsidR="007E4A66" w:rsidRPr="007E4A66" w:rsidRDefault="007E4A66" w:rsidP="007E4A66">
            <w:pPr>
              <w:rPr>
                <w:rFonts w:cs="Arial"/>
              </w:rPr>
            </w:pPr>
            <w:r w:rsidRPr="007E4A66">
              <w:rPr>
                <w:rFonts w:cs="Arial"/>
              </w:rPr>
              <w:t>-</w:t>
            </w:r>
          </w:p>
        </w:tc>
        <w:tc>
          <w:tcPr>
            <w:tcW w:w="2101" w:type="dxa"/>
            <w:vAlign w:val="bottom"/>
          </w:tcPr>
          <w:p w14:paraId="3FE44CD6" w14:textId="072CB4F4" w:rsidR="007E4A66" w:rsidRPr="007E4A66" w:rsidRDefault="007E4A66" w:rsidP="007E4A66">
            <w:pPr>
              <w:rPr>
                <w:rFonts w:cs="Arial"/>
              </w:rPr>
            </w:pPr>
            <w:r w:rsidRPr="007E4A66">
              <w:rPr>
                <w:rFonts w:cs="Arial"/>
              </w:rPr>
              <w:t>Много редки</w:t>
            </w:r>
          </w:p>
        </w:tc>
      </w:tr>
      <w:tr w:rsidR="007E4A66" w14:paraId="4979C325" w14:textId="77777777" w:rsidTr="007E4A66">
        <w:tc>
          <w:tcPr>
            <w:tcW w:w="2620" w:type="dxa"/>
            <w:vMerge w:val="restart"/>
          </w:tcPr>
          <w:p w14:paraId="0F8FB25B" w14:textId="09ADECED" w:rsidR="007E4A66" w:rsidRPr="007E4A66" w:rsidRDefault="007E4A66" w:rsidP="007E4A66">
            <w:pPr>
              <w:rPr>
                <w:rFonts w:cs="Arial"/>
              </w:rPr>
            </w:pPr>
            <w:r w:rsidRPr="007E4A66">
              <w:rPr>
                <w:rFonts w:cs="Arial"/>
                <w:i/>
                <w:iCs/>
              </w:rPr>
              <w:t xml:space="preserve">Нарушения на мускулно- скелетната </w:t>
            </w:r>
            <w:r w:rsidRPr="007E4A66">
              <w:rPr>
                <w:rFonts w:cs="Arial"/>
                <w:i/>
                <w:iCs/>
              </w:rPr>
              <w:lastRenderedPageBreak/>
              <w:t>система и съединителната тъкан</w:t>
            </w:r>
          </w:p>
        </w:tc>
        <w:tc>
          <w:tcPr>
            <w:tcW w:w="2460" w:type="dxa"/>
          </w:tcPr>
          <w:p w14:paraId="16BA0B2D" w14:textId="648C6062" w:rsidR="007E4A66" w:rsidRPr="007E4A66" w:rsidRDefault="007E4A66" w:rsidP="007E4A66">
            <w:pPr>
              <w:rPr>
                <w:rFonts w:cs="Arial"/>
              </w:rPr>
            </w:pPr>
            <w:r w:rsidRPr="007E4A66">
              <w:rPr>
                <w:rFonts w:cs="Arial"/>
              </w:rPr>
              <w:lastRenderedPageBreak/>
              <w:t>Мускулни спазми</w:t>
            </w:r>
          </w:p>
        </w:tc>
        <w:tc>
          <w:tcPr>
            <w:tcW w:w="2169" w:type="dxa"/>
          </w:tcPr>
          <w:p w14:paraId="7A4B8713" w14:textId="785A7FB1" w:rsidR="007E4A66" w:rsidRPr="007E4A66" w:rsidRDefault="007E4A66" w:rsidP="007E4A66">
            <w:pPr>
              <w:rPr>
                <w:rFonts w:cs="Arial"/>
              </w:rPr>
            </w:pPr>
            <w:r w:rsidRPr="007E4A66">
              <w:rPr>
                <w:rFonts w:cs="Arial"/>
              </w:rPr>
              <w:t>Чести</w:t>
            </w:r>
          </w:p>
        </w:tc>
        <w:tc>
          <w:tcPr>
            <w:tcW w:w="2101" w:type="dxa"/>
            <w:vAlign w:val="bottom"/>
          </w:tcPr>
          <w:p w14:paraId="3E89D9EA" w14:textId="42E19F50" w:rsidR="007E4A66" w:rsidRPr="007E4A66" w:rsidRDefault="007E4A66" w:rsidP="007E4A66">
            <w:pPr>
              <w:rPr>
                <w:rFonts w:cs="Arial"/>
              </w:rPr>
            </w:pPr>
            <w:r w:rsidRPr="007E4A66">
              <w:rPr>
                <w:rFonts w:cs="Arial"/>
              </w:rPr>
              <w:t>С неизвестна честота</w:t>
            </w:r>
          </w:p>
        </w:tc>
      </w:tr>
      <w:tr w:rsidR="007E4A66" w14:paraId="3C076CC8" w14:textId="77777777" w:rsidTr="007E4A66">
        <w:tc>
          <w:tcPr>
            <w:tcW w:w="2620" w:type="dxa"/>
            <w:vMerge/>
          </w:tcPr>
          <w:p w14:paraId="5F4033D0" w14:textId="77777777" w:rsidR="007E4A66" w:rsidRPr="007E4A66" w:rsidRDefault="007E4A66" w:rsidP="007E4A66">
            <w:pPr>
              <w:rPr>
                <w:rFonts w:cs="Arial"/>
              </w:rPr>
            </w:pPr>
          </w:p>
        </w:tc>
        <w:tc>
          <w:tcPr>
            <w:tcW w:w="2460" w:type="dxa"/>
            <w:vAlign w:val="bottom"/>
          </w:tcPr>
          <w:p w14:paraId="3D109671" w14:textId="64A99D32" w:rsidR="007E4A66" w:rsidRPr="007E4A66" w:rsidRDefault="007E4A66" w:rsidP="007E4A66">
            <w:pPr>
              <w:rPr>
                <w:rFonts w:cs="Arial"/>
              </w:rPr>
            </w:pPr>
            <w:r w:rsidRPr="007E4A66">
              <w:rPr>
                <w:rFonts w:cs="Arial"/>
              </w:rPr>
              <w:t>Възможно влошаване на предварително съществуващ остър дисеминиран лупус еритематодес</w:t>
            </w:r>
          </w:p>
        </w:tc>
        <w:tc>
          <w:tcPr>
            <w:tcW w:w="2169" w:type="dxa"/>
          </w:tcPr>
          <w:p w14:paraId="40684BC3" w14:textId="5A007EE6" w:rsidR="007E4A66" w:rsidRPr="007E4A66" w:rsidRDefault="007E4A66" w:rsidP="007E4A66">
            <w:pPr>
              <w:rPr>
                <w:rFonts w:cs="Arial"/>
              </w:rPr>
            </w:pPr>
            <w:r w:rsidRPr="007E4A66">
              <w:rPr>
                <w:rFonts w:cs="Arial"/>
              </w:rPr>
              <w:t>Нечести</w:t>
            </w:r>
          </w:p>
        </w:tc>
        <w:tc>
          <w:tcPr>
            <w:tcW w:w="2101" w:type="dxa"/>
            <w:vAlign w:val="center"/>
          </w:tcPr>
          <w:p w14:paraId="7C2F4217" w14:textId="6011216F" w:rsidR="007E4A66" w:rsidRPr="007E4A66" w:rsidRDefault="007E4A66" w:rsidP="007E4A66">
            <w:pPr>
              <w:rPr>
                <w:rFonts w:cs="Arial"/>
              </w:rPr>
            </w:pPr>
            <w:r w:rsidRPr="007E4A66">
              <w:rPr>
                <w:rFonts w:cs="Arial"/>
              </w:rPr>
              <w:t>Нечести</w:t>
            </w:r>
          </w:p>
        </w:tc>
      </w:tr>
      <w:tr w:rsidR="007E4A66" w14:paraId="629AF0D9" w14:textId="77777777" w:rsidTr="007E4A66">
        <w:tc>
          <w:tcPr>
            <w:tcW w:w="2620" w:type="dxa"/>
            <w:vMerge/>
          </w:tcPr>
          <w:p w14:paraId="03E51B63" w14:textId="77777777" w:rsidR="007E4A66" w:rsidRPr="007E4A66" w:rsidRDefault="007E4A66" w:rsidP="007E4A66">
            <w:pPr>
              <w:rPr>
                <w:rFonts w:cs="Arial"/>
              </w:rPr>
            </w:pPr>
          </w:p>
        </w:tc>
        <w:tc>
          <w:tcPr>
            <w:tcW w:w="2460" w:type="dxa"/>
            <w:vAlign w:val="bottom"/>
          </w:tcPr>
          <w:p w14:paraId="07585991" w14:textId="0C3C7E09" w:rsidR="007E4A66" w:rsidRPr="007E4A66" w:rsidRDefault="007E4A66" w:rsidP="007E4A66">
            <w:pPr>
              <w:rPr>
                <w:rFonts w:cs="Arial"/>
              </w:rPr>
            </w:pPr>
            <w:r w:rsidRPr="007E4A66">
              <w:rPr>
                <w:rFonts w:cs="Arial"/>
              </w:rPr>
              <w:t>Артралгия</w:t>
            </w:r>
          </w:p>
        </w:tc>
        <w:tc>
          <w:tcPr>
            <w:tcW w:w="2169" w:type="dxa"/>
            <w:vAlign w:val="bottom"/>
          </w:tcPr>
          <w:p w14:paraId="6370D6C8" w14:textId="07BBE987" w:rsidR="007E4A66" w:rsidRPr="007E4A66" w:rsidRDefault="007E4A66" w:rsidP="007E4A66">
            <w:pPr>
              <w:rPr>
                <w:rFonts w:cs="Arial"/>
              </w:rPr>
            </w:pPr>
            <w:r w:rsidRPr="007E4A66">
              <w:rPr>
                <w:rFonts w:cs="Arial"/>
              </w:rPr>
              <w:t>Нечести*</w:t>
            </w:r>
          </w:p>
        </w:tc>
        <w:tc>
          <w:tcPr>
            <w:tcW w:w="2101" w:type="dxa"/>
          </w:tcPr>
          <w:p w14:paraId="7AEC9EF4" w14:textId="4EFA93BE" w:rsidR="007E4A66" w:rsidRPr="007E4A66" w:rsidRDefault="007E4A66" w:rsidP="007E4A66">
            <w:pPr>
              <w:rPr>
                <w:rFonts w:cs="Arial"/>
              </w:rPr>
            </w:pPr>
            <w:r w:rsidRPr="007E4A66">
              <w:rPr>
                <w:rFonts w:cs="Arial"/>
              </w:rPr>
              <w:t>-</w:t>
            </w:r>
          </w:p>
        </w:tc>
      </w:tr>
      <w:tr w:rsidR="007E4A66" w14:paraId="5621DD9C" w14:textId="77777777" w:rsidTr="007E4A66">
        <w:tc>
          <w:tcPr>
            <w:tcW w:w="2620" w:type="dxa"/>
            <w:vMerge/>
          </w:tcPr>
          <w:p w14:paraId="6D16988F" w14:textId="77777777" w:rsidR="007E4A66" w:rsidRPr="007E4A66" w:rsidRDefault="007E4A66" w:rsidP="007E4A66">
            <w:pPr>
              <w:rPr>
                <w:rFonts w:cs="Arial"/>
              </w:rPr>
            </w:pPr>
          </w:p>
        </w:tc>
        <w:tc>
          <w:tcPr>
            <w:tcW w:w="2460" w:type="dxa"/>
          </w:tcPr>
          <w:p w14:paraId="16E79D17" w14:textId="7E02C699" w:rsidR="007E4A66" w:rsidRPr="007E4A66" w:rsidRDefault="007E4A66" w:rsidP="007E4A66">
            <w:pPr>
              <w:rPr>
                <w:rFonts w:cs="Arial"/>
              </w:rPr>
            </w:pPr>
            <w:r w:rsidRPr="007E4A66">
              <w:rPr>
                <w:rFonts w:cs="Arial"/>
              </w:rPr>
              <w:t>Миалгия</w:t>
            </w:r>
          </w:p>
        </w:tc>
        <w:tc>
          <w:tcPr>
            <w:tcW w:w="2169" w:type="dxa"/>
          </w:tcPr>
          <w:p w14:paraId="4E8227A3" w14:textId="4B89CEF9" w:rsidR="007E4A66" w:rsidRPr="007E4A66" w:rsidRDefault="007E4A66" w:rsidP="007E4A66">
            <w:pPr>
              <w:rPr>
                <w:rFonts w:cs="Arial"/>
              </w:rPr>
            </w:pPr>
            <w:r w:rsidRPr="007E4A66">
              <w:rPr>
                <w:rFonts w:cs="Arial"/>
              </w:rPr>
              <w:t>Нечести*</w:t>
            </w:r>
          </w:p>
        </w:tc>
        <w:tc>
          <w:tcPr>
            <w:tcW w:w="2101" w:type="dxa"/>
            <w:vAlign w:val="center"/>
          </w:tcPr>
          <w:p w14:paraId="72377F77" w14:textId="00D5F5CF" w:rsidR="007E4A66" w:rsidRPr="007E4A66" w:rsidRDefault="007E4A66" w:rsidP="007E4A66">
            <w:pPr>
              <w:rPr>
                <w:rFonts w:cs="Arial"/>
              </w:rPr>
            </w:pPr>
            <w:r w:rsidRPr="007E4A66">
              <w:rPr>
                <w:rFonts w:cs="Arial"/>
              </w:rPr>
              <w:t>-</w:t>
            </w:r>
          </w:p>
        </w:tc>
      </w:tr>
      <w:tr w:rsidR="007E4A66" w14:paraId="5F51BEA1" w14:textId="77777777" w:rsidTr="007E4A66">
        <w:tc>
          <w:tcPr>
            <w:tcW w:w="2620" w:type="dxa"/>
            <w:vMerge/>
          </w:tcPr>
          <w:p w14:paraId="6C3F7A5E" w14:textId="77777777" w:rsidR="007E4A66" w:rsidRPr="007E4A66" w:rsidRDefault="007E4A66" w:rsidP="007E4A66">
            <w:pPr>
              <w:rPr>
                <w:rFonts w:cs="Arial"/>
              </w:rPr>
            </w:pPr>
          </w:p>
        </w:tc>
        <w:tc>
          <w:tcPr>
            <w:tcW w:w="2460" w:type="dxa"/>
          </w:tcPr>
          <w:p w14:paraId="5A465A0A" w14:textId="2B43C763" w:rsidR="007E4A66" w:rsidRPr="007E4A66" w:rsidRDefault="007E4A66" w:rsidP="007E4A66">
            <w:pPr>
              <w:rPr>
                <w:rFonts w:cs="Arial"/>
              </w:rPr>
            </w:pPr>
            <w:r w:rsidRPr="007E4A66">
              <w:rPr>
                <w:rFonts w:cs="Arial"/>
              </w:rPr>
              <w:t>Мускулна слабост</w:t>
            </w:r>
          </w:p>
        </w:tc>
        <w:tc>
          <w:tcPr>
            <w:tcW w:w="2169" w:type="dxa"/>
          </w:tcPr>
          <w:p w14:paraId="57F90F11" w14:textId="6244FBDA" w:rsidR="007E4A66" w:rsidRPr="007E4A66" w:rsidRDefault="007E4A66" w:rsidP="007E4A66">
            <w:pPr>
              <w:rPr>
                <w:rFonts w:cs="Arial"/>
              </w:rPr>
            </w:pPr>
            <w:r w:rsidRPr="007E4A66">
              <w:rPr>
                <w:rFonts w:cs="Arial"/>
              </w:rPr>
              <w:t>-</w:t>
            </w:r>
          </w:p>
        </w:tc>
        <w:tc>
          <w:tcPr>
            <w:tcW w:w="2101" w:type="dxa"/>
          </w:tcPr>
          <w:p w14:paraId="08C3EC6D" w14:textId="0B7ECC34" w:rsidR="007E4A66" w:rsidRPr="007E4A66" w:rsidRDefault="007E4A66" w:rsidP="007E4A66">
            <w:pPr>
              <w:rPr>
                <w:rFonts w:cs="Arial"/>
              </w:rPr>
            </w:pPr>
            <w:r w:rsidRPr="007E4A66">
              <w:rPr>
                <w:rFonts w:cs="Arial"/>
              </w:rPr>
              <w:t>С неизвестна честота</w:t>
            </w:r>
          </w:p>
        </w:tc>
      </w:tr>
      <w:tr w:rsidR="007E4A66" w14:paraId="1C58E1A5" w14:textId="77777777" w:rsidTr="007E4A66">
        <w:tc>
          <w:tcPr>
            <w:tcW w:w="2620" w:type="dxa"/>
            <w:vMerge/>
          </w:tcPr>
          <w:p w14:paraId="5E0B06B2" w14:textId="77777777" w:rsidR="007E4A66" w:rsidRPr="007E4A66" w:rsidRDefault="007E4A66" w:rsidP="007E4A66">
            <w:pPr>
              <w:rPr>
                <w:rFonts w:cs="Arial"/>
              </w:rPr>
            </w:pPr>
          </w:p>
        </w:tc>
        <w:tc>
          <w:tcPr>
            <w:tcW w:w="2460" w:type="dxa"/>
          </w:tcPr>
          <w:p w14:paraId="680CBD31" w14:textId="1A6C9533" w:rsidR="007E4A66" w:rsidRPr="007E4A66" w:rsidRDefault="007E4A66" w:rsidP="007E4A66">
            <w:pPr>
              <w:rPr>
                <w:rFonts w:cs="Arial"/>
              </w:rPr>
            </w:pPr>
            <w:r w:rsidRPr="007E4A66">
              <w:rPr>
                <w:rFonts w:cs="Arial"/>
              </w:rPr>
              <w:t>Рабдомиолиза</w:t>
            </w:r>
          </w:p>
        </w:tc>
        <w:tc>
          <w:tcPr>
            <w:tcW w:w="2169" w:type="dxa"/>
          </w:tcPr>
          <w:p w14:paraId="4BC2FB88" w14:textId="52A482BE" w:rsidR="007E4A66" w:rsidRPr="007E4A66" w:rsidRDefault="007E4A66" w:rsidP="007E4A66">
            <w:pPr>
              <w:rPr>
                <w:rFonts w:cs="Arial"/>
              </w:rPr>
            </w:pPr>
            <w:r w:rsidRPr="007E4A66">
              <w:rPr>
                <w:rFonts w:cs="Arial"/>
              </w:rPr>
              <w:t>-</w:t>
            </w:r>
          </w:p>
        </w:tc>
        <w:tc>
          <w:tcPr>
            <w:tcW w:w="2101" w:type="dxa"/>
          </w:tcPr>
          <w:p w14:paraId="12387E7B" w14:textId="0C389C3A" w:rsidR="007E4A66" w:rsidRPr="007E4A66" w:rsidRDefault="007E4A66" w:rsidP="007E4A66">
            <w:pPr>
              <w:rPr>
                <w:rFonts w:cs="Arial"/>
              </w:rPr>
            </w:pPr>
            <w:r w:rsidRPr="007E4A66">
              <w:rPr>
                <w:rFonts w:cs="Arial"/>
              </w:rPr>
              <w:t>С неизв</w:t>
            </w:r>
            <w:r w:rsidRPr="007E4A66">
              <w:rPr>
                <w:rFonts w:cs="Arial"/>
                <w:u w:val="single"/>
              </w:rPr>
              <w:t>естна</w:t>
            </w:r>
          </w:p>
        </w:tc>
      </w:tr>
      <w:tr w:rsidR="007E4A66" w14:paraId="0046421B" w14:textId="77777777" w:rsidTr="007E4A66">
        <w:tc>
          <w:tcPr>
            <w:tcW w:w="2620" w:type="dxa"/>
            <w:vMerge w:val="restart"/>
          </w:tcPr>
          <w:p w14:paraId="18D529D2" w14:textId="621F38C0" w:rsidR="007E4A66" w:rsidRPr="007E4A66" w:rsidRDefault="007E4A66" w:rsidP="007E4A66">
            <w:pPr>
              <w:rPr>
                <w:rFonts w:cs="Arial"/>
              </w:rPr>
            </w:pPr>
            <w:r w:rsidRPr="007E4A66">
              <w:rPr>
                <w:rFonts w:cs="Arial"/>
                <w:i/>
                <w:iCs/>
              </w:rPr>
              <w:t>Нарушения на бъбреците и пикочните пътища</w:t>
            </w:r>
          </w:p>
        </w:tc>
        <w:tc>
          <w:tcPr>
            <w:tcW w:w="2460" w:type="dxa"/>
            <w:vAlign w:val="bottom"/>
          </w:tcPr>
          <w:p w14:paraId="44B21D94" w14:textId="62D10406" w:rsidR="007E4A66" w:rsidRPr="007E4A66" w:rsidRDefault="007E4A66" w:rsidP="007E4A66">
            <w:pPr>
              <w:rPr>
                <w:rFonts w:cs="Arial"/>
              </w:rPr>
            </w:pPr>
            <w:r w:rsidRPr="007E4A66">
              <w:rPr>
                <w:rFonts w:cs="Arial"/>
              </w:rPr>
              <w:t>Бъбречна недостатъчност</w:t>
            </w:r>
          </w:p>
        </w:tc>
        <w:tc>
          <w:tcPr>
            <w:tcW w:w="2169" w:type="dxa"/>
            <w:vAlign w:val="bottom"/>
          </w:tcPr>
          <w:p w14:paraId="00258AC4" w14:textId="07945810" w:rsidR="007E4A66" w:rsidRPr="007E4A66" w:rsidRDefault="007E4A66" w:rsidP="007E4A66">
            <w:pPr>
              <w:rPr>
                <w:rFonts w:cs="Arial"/>
              </w:rPr>
            </w:pPr>
            <w:r w:rsidRPr="007E4A66">
              <w:rPr>
                <w:rFonts w:cs="Arial"/>
              </w:rPr>
              <w:t>Нечести</w:t>
            </w:r>
          </w:p>
        </w:tc>
        <w:tc>
          <w:tcPr>
            <w:tcW w:w="2101" w:type="dxa"/>
          </w:tcPr>
          <w:p w14:paraId="3B492612" w14:textId="0D19E4D5" w:rsidR="007E4A66" w:rsidRPr="007E4A66" w:rsidRDefault="007E4A66" w:rsidP="007E4A66">
            <w:pPr>
              <w:rPr>
                <w:rFonts w:cs="Arial"/>
                <w:lang w:val="en-US"/>
              </w:rPr>
            </w:pPr>
            <w:r w:rsidRPr="007E4A66">
              <w:rPr>
                <w:rFonts w:cs="Arial"/>
                <w:lang w:val="en-US"/>
              </w:rPr>
              <w:t>-</w:t>
            </w:r>
          </w:p>
        </w:tc>
      </w:tr>
      <w:tr w:rsidR="007E4A66" w14:paraId="63CF20F9" w14:textId="77777777" w:rsidTr="007E4A66">
        <w:tc>
          <w:tcPr>
            <w:tcW w:w="2620" w:type="dxa"/>
            <w:vMerge/>
          </w:tcPr>
          <w:p w14:paraId="2262C533" w14:textId="77777777" w:rsidR="007E4A66" w:rsidRPr="007E4A66" w:rsidRDefault="007E4A66" w:rsidP="007E4A66">
            <w:pPr>
              <w:rPr>
                <w:rFonts w:cs="Arial"/>
              </w:rPr>
            </w:pPr>
          </w:p>
        </w:tc>
        <w:tc>
          <w:tcPr>
            <w:tcW w:w="2460" w:type="dxa"/>
          </w:tcPr>
          <w:p w14:paraId="423402A1" w14:textId="61031748" w:rsidR="007E4A66" w:rsidRPr="007E4A66" w:rsidRDefault="007E4A66" w:rsidP="007E4A66">
            <w:pPr>
              <w:rPr>
                <w:rFonts w:cs="Arial"/>
              </w:rPr>
            </w:pPr>
            <w:r w:rsidRPr="007E4A66">
              <w:rPr>
                <w:rFonts w:cs="Arial"/>
              </w:rPr>
              <w:t>Анурия/олигоурия</w:t>
            </w:r>
          </w:p>
        </w:tc>
        <w:tc>
          <w:tcPr>
            <w:tcW w:w="2169" w:type="dxa"/>
          </w:tcPr>
          <w:p w14:paraId="6055BF31" w14:textId="4EA10B35" w:rsidR="007E4A66" w:rsidRPr="007E4A66" w:rsidRDefault="007E4A66" w:rsidP="007E4A66">
            <w:pPr>
              <w:rPr>
                <w:rFonts w:cs="Arial"/>
              </w:rPr>
            </w:pPr>
            <w:r w:rsidRPr="007E4A66">
              <w:rPr>
                <w:rFonts w:cs="Arial"/>
              </w:rPr>
              <w:t>Редки</w:t>
            </w:r>
          </w:p>
        </w:tc>
        <w:tc>
          <w:tcPr>
            <w:tcW w:w="2101" w:type="dxa"/>
          </w:tcPr>
          <w:p w14:paraId="5494996F" w14:textId="18263708" w:rsidR="007E4A66" w:rsidRPr="007E4A66" w:rsidRDefault="007E4A66" w:rsidP="007E4A66">
            <w:pPr>
              <w:rPr>
                <w:rFonts w:cs="Arial"/>
                <w:lang w:val="en-US"/>
              </w:rPr>
            </w:pPr>
            <w:r w:rsidRPr="007E4A66">
              <w:rPr>
                <w:rFonts w:cs="Arial"/>
                <w:lang w:val="en-US"/>
              </w:rPr>
              <w:t>-</w:t>
            </w:r>
          </w:p>
        </w:tc>
      </w:tr>
      <w:tr w:rsidR="007E4A66" w14:paraId="557ED625" w14:textId="77777777" w:rsidTr="007E4A66">
        <w:tc>
          <w:tcPr>
            <w:tcW w:w="2620" w:type="dxa"/>
            <w:vMerge/>
          </w:tcPr>
          <w:p w14:paraId="1C30CEA5" w14:textId="77777777" w:rsidR="007E4A66" w:rsidRPr="007E4A66" w:rsidRDefault="007E4A66" w:rsidP="007E4A66">
            <w:pPr>
              <w:rPr>
                <w:rFonts w:cs="Arial"/>
              </w:rPr>
            </w:pPr>
          </w:p>
        </w:tc>
        <w:tc>
          <w:tcPr>
            <w:tcW w:w="2460" w:type="dxa"/>
            <w:vAlign w:val="bottom"/>
          </w:tcPr>
          <w:p w14:paraId="17744FC8" w14:textId="1337D93B" w:rsidR="007E4A66" w:rsidRPr="007E4A66" w:rsidRDefault="007E4A66" w:rsidP="007E4A66">
            <w:pPr>
              <w:rPr>
                <w:rFonts w:cs="Arial"/>
              </w:rPr>
            </w:pPr>
            <w:r w:rsidRPr="007E4A66">
              <w:rPr>
                <w:rFonts w:cs="Arial"/>
              </w:rPr>
              <w:t>Остра бъбречна недостатъчност</w:t>
            </w:r>
          </w:p>
        </w:tc>
        <w:tc>
          <w:tcPr>
            <w:tcW w:w="2169" w:type="dxa"/>
            <w:vAlign w:val="bottom"/>
          </w:tcPr>
          <w:p w14:paraId="64257C34" w14:textId="60957244" w:rsidR="007E4A66" w:rsidRPr="007E4A66" w:rsidRDefault="007E4A66" w:rsidP="007E4A66">
            <w:pPr>
              <w:rPr>
                <w:rFonts w:cs="Arial"/>
              </w:rPr>
            </w:pPr>
            <w:r w:rsidRPr="007E4A66">
              <w:rPr>
                <w:rFonts w:cs="Arial"/>
              </w:rPr>
              <w:t>Редки</w:t>
            </w:r>
          </w:p>
        </w:tc>
        <w:tc>
          <w:tcPr>
            <w:tcW w:w="2101" w:type="dxa"/>
          </w:tcPr>
          <w:p w14:paraId="0D1ABAD9" w14:textId="604D7FA1" w:rsidR="007E4A66" w:rsidRPr="007E4A66" w:rsidRDefault="007E4A66" w:rsidP="007E4A66">
            <w:pPr>
              <w:rPr>
                <w:rFonts w:cs="Arial"/>
              </w:rPr>
            </w:pPr>
            <w:r w:rsidRPr="007E4A66">
              <w:rPr>
                <w:rFonts w:cs="Arial"/>
              </w:rPr>
              <w:t>Много редки</w:t>
            </w:r>
          </w:p>
        </w:tc>
      </w:tr>
      <w:tr w:rsidR="007E4A66" w14:paraId="4E64F940" w14:textId="77777777" w:rsidTr="007E4A66">
        <w:tc>
          <w:tcPr>
            <w:tcW w:w="2620" w:type="dxa"/>
            <w:vMerge w:val="restart"/>
          </w:tcPr>
          <w:p w14:paraId="7DEA35EF" w14:textId="31CA0F15" w:rsidR="007E4A66" w:rsidRPr="007E4A66" w:rsidRDefault="007E4A66" w:rsidP="007E4A66">
            <w:pPr>
              <w:rPr>
                <w:rFonts w:cs="Arial"/>
              </w:rPr>
            </w:pPr>
            <w:r w:rsidRPr="007E4A66">
              <w:rPr>
                <w:rFonts w:cs="Arial"/>
                <w:i/>
                <w:iCs/>
              </w:rPr>
              <w:t>Нарушения на</w:t>
            </w:r>
            <w:r w:rsidRPr="007E4A66">
              <w:rPr>
                <w:rFonts w:cs="Arial"/>
                <w:i/>
                <w:iCs/>
                <w:lang w:val="en-US"/>
              </w:rPr>
              <w:t xml:space="preserve"> </w:t>
            </w:r>
            <w:r w:rsidRPr="007E4A66">
              <w:rPr>
                <w:rFonts w:cs="Arial"/>
                <w:i/>
                <w:iCs/>
              </w:rPr>
              <w:t>възпроизводителната система и гърдата</w:t>
            </w:r>
          </w:p>
        </w:tc>
        <w:tc>
          <w:tcPr>
            <w:tcW w:w="2460" w:type="dxa"/>
          </w:tcPr>
          <w:p w14:paraId="1D2412A1" w14:textId="72C0A895" w:rsidR="007E4A66" w:rsidRPr="007E4A66" w:rsidRDefault="007E4A66" w:rsidP="007E4A66">
            <w:pPr>
              <w:rPr>
                <w:rFonts w:cs="Arial"/>
              </w:rPr>
            </w:pPr>
            <w:r w:rsidRPr="007E4A66">
              <w:rPr>
                <w:rFonts w:cs="Arial"/>
              </w:rPr>
              <w:t>Импотентност</w:t>
            </w:r>
          </w:p>
        </w:tc>
        <w:tc>
          <w:tcPr>
            <w:tcW w:w="2169" w:type="dxa"/>
          </w:tcPr>
          <w:p w14:paraId="0BEB6742" w14:textId="64104CBF" w:rsidR="007E4A66" w:rsidRPr="007E4A66" w:rsidRDefault="007E4A66" w:rsidP="007E4A66">
            <w:pPr>
              <w:rPr>
                <w:rFonts w:cs="Arial"/>
              </w:rPr>
            </w:pPr>
            <w:r w:rsidRPr="007E4A66">
              <w:rPr>
                <w:rFonts w:cs="Arial"/>
              </w:rPr>
              <w:t>Нечести</w:t>
            </w:r>
          </w:p>
        </w:tc>
        <w:tc>
          <w:tcPr>
            <w:tcW w:w="2101" w:type="dxa"/>
          </w:tcPr>
          <w:p w14:paraId="60E50E5D" w14:textId="605D1586" w:rsidR="007E4A66" w:rsidRPr="007E4A66" w:rsidRDefault="007E4A66" w:rsidP="007E4A66">
            <w:pPr>
              <w:rPr>
                <w:rFonts w:cs="Arial"/>
                <w:lang w:val="en-US"/>
              </w:rPr>
            </w:pPr>
            <w:r w:rsidRPr="007E4A66">
              <w:rPr>
                <w:rFonts w:cs="Arial"/>
              </w:rPr>
              <w:t>Нечести</w:t>
            </w:r>
          </w:p>
        </w:tc>
      </w:tr>
      <w:tr w:rsidR="007E4A66" w14:paraId="5C55DE22" w14:textId="77777777" w:rsidTr="007E4A66">
        <w:tc>
          <w:tcPr>
            <w:tcW w:w="2620" w:type="dxa"/>
            <w:vMerge/>
          </w:tcPr>
          <w:p w14:paraId="12BAE292" w14:textId="77777777" w:rsidR="007E4A66" w:rsidRPr="007E4A66" w:rsidRDefault="007E4A66" w:rsidP="007E4A66">
            <w:pPr>
              <w:rPr>
                <w:rFonts w:cs="Arial"/>
              </w:rPr>
            </w:pPr>
          </w:p>
        </w:tc>
        <w:tc>
          <w:tcPr>
            <w:tcW w:w="2460" w:type="dxa"/>
          </w:tcPr>
          <w:p w14:paraId="2692B81C" w14:textId="0D720FE0" w:rsidR="007E4A66" w:rsidRPr="007E4A66" w:rsidRDefault="007E4A66" w:rsidP="007E4A66">
            <w:pPr>
              <w:rPr>
                <w:rFonts w:cs="Arial"/>
              </w:rPr>
            </w:pPr>
            <w:r w:rsidRPr="007E4A66">
              <w:rPr>
                <w:rFonts w:cs="Arial"/>
              </w:rPr>
              <w:t>Еректилна дисфункция</w:t>
            </w:r>
          </w:p>
        </w:tc>
        <w:tc>
          <w:tcPr>
            <w:tcW w:w="2169" w:type="dxa"/>
          </w:tcPr>
          <w:p w14:paraId="65ADBF12" w14:textId="6BD7C928" w:rsidR="007E4A66" w:rsidRPr="007E4A66" w:rsidRDefault="007E4A66" w:rsidP="007E4A66">
            <w:pPr>
              <w:rPr>
                <w:rFonts w:cs="Arial"/>
              </w:rPr>
            </w:pPr>
            <w:r w:rsidRPr="007E4A66">
              <w:rPr>
                <w:rFonts w:cs="Arial"/>
              </w:rPr>
              <w:t>Нечести</w:t>
            </w:r>
          </w:p>
        </w:tc>
        <w:tc>
          <w:tcPr>
            <w:tcW w:w="2101" w:type="dxa"/>
          </w:tcPr>
          <w:p w14:paraId="5587F885" w14:textId="504CF9FE" w:rsidR="007E4A66" w:rsidRPr="007E4A66" w:rsidRDefault="007E4A66" w:rsidP="007E4A66">
            <w:pPr>
              <w:rPr>
                <w:rFonts w:cs="Arial"/>
              </w:rPr>
            </w:pPr>
            <w:r w:rsidRPr="007E4A66">
              <w:rPr>
                <w:rFonts w:cs="Arial"/>
              </w:rPr>
              <w:t>Нечести</w:t>
            </w:r>
          </w:p>
        </w:tc>
      </w:tr>
      <w:tr w:rsidR="007E4A66" w14:paraId="49E0CB90" w14:textId="77777777" w:rsidTr="007E4A66">
        <w:tc>
          <w:tcPr>
            <w:tcW w:w="2620" w:type="dxa"/>
            <w:vMerge w:val="restart"/>
          </w:tcPr>
          <w:p w14:paraId="653793B1" w14:textId="069871A5" w:rsidR="007E4A66" w:rsidRPr="007E4A66" w:rsidRDefault="007E4A66" w:rsidP="007E4A66">
            <w:pPr>
              <w:rPr>
                <w:rFonts w:cs="Arial"/>
              </w:rPr>
            </w:pPr>
            <w:r w:rsidRPr="007E4A66">
              <w:rPr>
                <w:rFonts w:cs="Arial"/>
                <w:i/>
                <w:iCs/>
              </w:rPr>
              <w:t>Общи нарушения и ефекти на мястото на приложение</w:t>
            </w:r>
          </w:p>
        </w:tc>
        <w:tc>
          <w:tcPr>
            <w:tcW w:w="2460" w:type="dxa"/>
          </w:tcPr>
          <w:p w14:paraId="2029E93C" w14:textId="214C794C" w:rsidR="007E4A66" w:rsidRPr="007E4A66" w:rsidRDefault="007E4A66" w:rsidP="007E4A66">
            <w:pPr>
              <w:rPr>
                <w:rFonts w:cs="Arial"/>
              </w:rPr>
            </w:pPr>
            <w:r w:rsidRPr="007E4A66">
              <w:rPr>
                <w:rFonts w:cs="Arial"/>
              </w:rPr>
              <w:t>Астения</w:t>
            </w:r>
          </w:p>
        </w:tc>
        <w:tc>
          <w:tcPr>
            <w:tcW w:w="2169" w:type="dxa"/>
          </w:tcPr>
          <w:p w14:paraId="02E566E9" w14:textId="0DD60E7C" w:rsidR="007E4A66" w:rsidRPr="007E4A66" w:rsidRDefault="007E4A66" w:rsidP="007E4A66">
            <w:pPr>
              <w:rPr>
                <w:rFonts w:cs="Arial"/>
              </w:rPr>
            </w:pPr>
            <w:r w:rsidRPr="007E4A66">
              <w:rPr>
                <w:rFonts w:cs="Arial"/>
              </w:rPr>
              <w:t>Чести</w:t>
            </w:r>
          </w:p>
        </w:tc>
        <w:tc>
          <w:tcPr>
            <w:tcW w:w="2101" w:type="dxa"/>
          </w:tcPr>
          <w:p w14:paraId="35A9B064" w14:textId="21D15067" w:rsidR="007E4A66" w:rsidRPr="007E4A66" w:rsidRDefault="007E4A66" w:rsidP="007E4A66">
            <w:pPr>
              <w:rPr>
                <w:rFonts w:cs="Arial"/>
                <w:lang w:val="en-US"/>
              </w:rPr>
            </w:pPr>
            <w:r w:rsidRPr="007E4A66">
              <w:rPr>
                <w:rFonts w:cs="Arial"/>
                <w:lang w:val="en-US"/>
              </w:rPr>
              <w:t>-</w:t>
            </w:r>
          </w:p>
        </w:tc>
      </w:tr>
      <w:tr w:rsidR="007E4A66" w14:paraId="3FDA2D5D" w14:textId="77777777" w:rsidTr="007E4A66">
        <w:tc>
          <w:tcPr>
            <w:tcW w:w="2620" w:type="dxa"/>
            <w:vMerge/>
          </w:tcPr>
          <w:p w14:paraId="4FEE3EFC" w14:textId="77777777" w:rsidR="007E4A66" w:rsidRPr="007E4A66" w:rsidRDefault="007E4A66" w:rsidP="007E4A66">
            <w:pPr>
              <w:rPr>
                <w:rFonts w:cs="Arial"/>
              </w:rPr>
            </w:pPr>
          </w:p>
        </w:tc>
        <w:tc>
          <w:tcPr>
            <w:tcW w:w="2460" w:type="dxa"/>
          </w:tcPr>
          <w:p w14:paraId="01F32410" w14:textId="67F67586" w:rsidR="007E4A66" w:rsidRPr="007E4A66" w:rsidRDefault="007E4A66" w:rsidP="007E4A66">
            <w:pPr>
              <w:rPr>
                <w:rFonts w:cs="Arial"/>
              </w:rPr>
            </w:pPr>
            <w:r w:rsidRPr="007E4A66">
              <w:rPr>
                <w:rFonts w:cs="Arial"/>
              </w:rPr>
              <w:t>Болки в гръдния кош</w:t>
            </w:r>
          </w:p>
        </w:tc>
        <w:tc>
          <w:tcPr>
            <w:tcW w:w="2169" w:type="dxa"/>
          </w:tcPr>
          <w:p w14:paraId="67BB3D78" w14:textId="750784A5" w:rsidR="007E4A66" w:rsidRPr="007E4A66" w:rsidRDefault="007E4A66" w:rsidP="007E4A66">
            <w:pPr>
              <w:rPr>
                <w:rFonts w:cs="Arial"/>
              </w:rPr>
            </w:pPr>
            <w:r w:rsidRPr="007E4A66">
              <w:rPr>
                <w:rFonts w:cs="Arial"/>
              </w:rPr>
              <w:t>Нечести*</w:t>
            </w:r>
          </w:p>
        </w:tc>
        <w:tc>
          <w:tcPr>
            <w:tcW w:w="2101" w:type="dxa"/>
          </w:tcPr>
          <w:p w14:paraId="153225A0" w14:textId="24CD0EEA" w:rsidR="007E4A66" w:rsidRPr="007E4A66" w:rsidRDefault="007E4A66" w:rsidP="007E4A66">
            <w:pPr>
              <w:rPr>
                <w:rFonts w:cs="Arial"/>
                <w:lang w:val="en-US"/>
              </w:rPr>
            </w:pPr>
            <w:r w:rsidRPr="007E4A66">
              <w:rPr>
                <w:rFonts w:cs="Arial"/>
                <w:lang w:val="en-US"/>
              </w:rPr>
              <w:t>-</w:t>
            </w:r>
          </w:p>
        </w:tc>
      </w:tr>
      <w:tr w:rsidR="007E4A66" w14:paraId="4620DE25" w14:textId="77777777" w:rsidTr="007E4A66">
        <w:tc>
          <w:tcPr>
            <w:tcW w:w="2620" w:type="dxa"/>
            <w:vMerge/>
          </w:tcPr>
          <w:p w14:paraId="300B1224" w14:textId="77777777" w:rsidR="007E4A66" w:rsidRPr="007E4A66" w:rsidRDefault="007E4A66" w:rsidP="007E4A66">
            <w:pPr>
              <w:rPr>
                <w:rFonts w:cs="Arial"/>
              </w:rPr>
            </w:pPr>
          </w:p>
        </w:tc>
        <w:tc>
          <w:tcPr>
            <w:tcW w:w="2460" w:type="dxa"/>
          </w:tcPr>
          <w:p w14:paraId="33C3C240" w14:textId="3C78AE85" w:rsidR="007E4A66" w:rsidRPr="007E4A66" w:rsidRDefault="007E4A66" w:rsidP="007E4A66">
            <w:pPr>
              <w:rPr>
                <w:rFonts w:cs="Arial"/>
              </w:rPr>
            </w:pPr>
            <w:r w:rsidRPr="007E4A66">
              <w:rPr>
                <w:rFonts w:cs="Arial"/>
              </w:rPr>
              <w:t>Общо неразположение</w:t>
            </w:r>
          </w:p>
        </w:tc>
        <w:tc>
          <w:tcPr>
            <w:tcW w:w="2169" w:type="dxa"/>
          </w:tcPr>
          <w:p w14:paraId="77FFDC8D" w14:textId="7CCBF277" w:rsidR="007E4A66" w:rsidRPr="007E4A66" w:rsidRDefault="007E4A66" w:rsidP="007E4A66">
            <w:pPr>
              <w:rPr>
                <w:rFonts w:cs="Arial"/>
              </w:rPr>
            </w:pPr>
            <w:r w:rsidRPr="007E4A66">
              <w:rPr>
                <w:rFonts w:cs="Arial"/>
              </w:rPr>
              <w:t>Нечести*</w:t>
            </w:r>
          </w:p>
        </w:tc>
        <w:tc>
          <w:tcPr>
            <w:tcW w:w="2101" w:type="dxa"/>
          </w:tcPr>
          <w:p w14:paraId="2DBCFC1E" w14:textId="3721AA61" w:rsidR="007E4A66" w:rsidRPr="007E4A66" w:rsidRDefault="007E4A66" w:rsidP="007E4A66">
            <w:pPr>
              <w:rPr>
                <w:rFonts w:cs="Arial"/>
              </w:rPr>
            </w:pPr>
            <w:r w:rsidRPr="007E4A66">
              <w:rPr>
                <w:rFonts w:cs="Arial"/>
              </w:rPr>
              <w:t>-</w:t>
            </w:r>
          </w:p>
        </w:tc>
      </w:tr>
      <w:tr w:rsidR="007E4A66" w14:paraId="725FEE19" w14:textId="77777777" w:rsidTr="007E4A66">
        <w:tc>
          <w:tcPr>
            <w:tcW w:w="2620" w:type="dxa"/>
            <w:vMerge/>
          </w:tcPr>
          <w:p w14:paraId="75F703B6" w14:textId="77777777" w:rsidR="007E4A66" w:rsidRPr="007E4A66" w:rsidRDefault="007E4A66" w:rsidP="007E4A66">
            <w:pPr>
              <w:rPr>
                <w:rFonts w:cs="Arial"/>
              </w:rPr>
            </w:pPr>
          </w:p>
        </w:tc>
        <w:tc>
          <w:tcPr>
            <w:tcW w:w="2460" w:type="dxa"/>
          </w:tcPr>
          <w:p w14:paraId="205647E4" w14:textId="21921B7D" w:rsidR="007E4A66" w:rsidRPr="007E4A66" w:rsidRDefault="007E4A66" w:rsidP="007E4A66">
            <w:pPr>
              <w:rPr>
                <w:rFonts w:cs="Arial"/>
              </w:rPr>
            </w:pPr>
            <w:r w:rsidRPr="007E4A66">
              <w:rPr>
                <w:rFonts w:cs="Arial"/>
              </w:rPr>
              <w:t>Периферен оток</w:t>
            </w:r>
          </w:p>
        </w:tc>
        <w:tc>
          <w:tcPr>
            <w:tcW w:w="2169" w:type="dxa"/>
          </w:tcPr>
          <w:p w14:paraId="2910C986" w14:textId="7D35527D" w:rsidR="007E4A66" w:rsidRPr="007E4A66" w:rsidRDefault="007E4A66" w:rsidP="007E4A66">
            <w:pPr>
              <w:rPr>
                <w:rFonts w:cs="Arial"/>
              </w:rPr>
            </w:pPr>
            <w:r w:rsidRPr="007E4A66">
              <w:rPr>
                <w:rFonts w:cs="Arial"/>
              </w:rPr>
              <w:t>Нечести*</w:t>
            </w:r>
          </w:p>
        </w:tc>
        <w:tc>
          <w:tcPr>
            <w:tcW w:w="2101" w:type="dxa"/>
          </w:tcPr>
          <w:p w14:paraId="040FEF67" w14:textId="7606544F" w:rsidR="007E4A66" w:rsidRPr="007E4A66" w:rsidRDefault="007E4A66" w:rsidP="007E4A66">
            <w:pPr>
              <w:rPr>
                <w:rFonts w:cs="Arial"/>
                <w:lang w:val="en-US"/>
              </w:rPr>
            </w:pPr>
            <w:r w:rsidRPr="007E4A66">
              <w:rPr>
                <w:rFonts w:cs="Arial"/>
                <w:lang w:val="en-US"/>
              </w:rPr>
              <w:t>-</w:t>
            </w:r>
          </w:p>
        </w:tc>
      </w:tr>
      <w:tr w:rsidR="007E4A66" w14:paraId="1C7A3826" w14:textId="77777777" w:rsidTr="007E4A66">
        <w:tc>
          <w:tcPr>
            <w:tcW w:w="2620" w:type="dxa"/>
            <w:vMerge/>
          </w:tcPr>
          <w:p w14:paraId="653E3150" w14:textId="77777777" w:rsidR="007E4A66" w:rsidRPr="007E4A66" w:rsidRDefault="007E4A66" w:rsidP="007E4A66">
            <w:pPr>
              <w:rPr>
                <w:rFonts w:cs="Arial"/>
              </w:rPr>
            </w:pPr>
          </w:p>
        </w:tc>
        <w:tc>
          <w:tcPr>
            <w:tcW w:w="2460" w:type="dxa"/>
          </w:tcPr>
          <w:p w14:paraId="1DF6AA33" w14:textId="01AA7B94" w:rsidR="007E4A66" w:rsidRPr="007E4A66" w:rsidRDefault="007E4A66" w:rsidP="007E4A66">
            <w:pPr>
              <w:rPr>
                <w:rFonts w:cs="Arial"/>
              </w:rPr>
            </w:pPr>
            <w:r w:rsidRPr="007E4A66">
              <w:rPr>
                <w:rFonts w:cs="Arial"/>
              </w:rPr>
              <w:t>Фебрилитет</w:t>
            </w:r>
          </w:p>
        </w:tc>
        <w:tc>
          <w:tcPr>
            <w:tcW w:w="2169" w:type="dxa"/>
          </w:tcPr>
          <w:p w14:paraId="1AEC1BBB" w14:textId="04537B1E" w:rsidR="007E4A66" w:rsidRPr="007E4A66" w:rsidRDefault="007E4A66" w:rsidP="007E4A66">
            <w:pPr>
              <w:rPr>
                <w:rFonts w:cs="Arial"/>
              </w:rPr>
            </w:pPr>
            <w:r w:rsidRPr="007E4A66">
              <w:rPr>
                <w:rFonts w:cs="Arial"/>
              </w:rPr>
              <w:t>Нечести*</w:t>
            </w:r>
          </w:p>
        </w:tc>
        <w:tc>
          <w:tcPr>
            <w:tcW w:w="2101" w:type="dxa"/>
          </w:tcPr>
          <w:p w14:paraId="6EF0870F" w14:textId="6BDD532E" w:rsidR="007E4A66" w:rsidRPr="007E4A66" w:rsidRDefault="007E4A66" w:rsidP="007E4A66">
            <w:pPr>
              <w:rPr>
                <w:rFonts w:cs="Arial"/>
                <w:lang w:val="en-US"/>
              </w:rPr>
            </w:pPr>
            <w:r w:rsidRPr="007E4A66">
              <w:rPr>
                <w:rFonts w:cs="Arial"/>
                <w:lang w:val="en-US"/>
              </w:rPr>
              <w:t>-</w:t>
            </w:r>
          </w:p>
        </w:tc>
      </w:tr>
      <w:tr w:rsidR="007E4A66" w14:paraId="533D27B8" w14:textId="77777777" w:rsidTr="007E4A66">
        <w:tc>
          <w:tcPr>
            <w:tcW w:w="2620" w:type="dxa"/>
            <w:vMerge/>
          </w:tcPr>
          <w:p w14:paraId="17C8BA49" w14:textId="77777777" w:rsidR="007E4A66" w:rsidRPr="007E4A66" w:rsidRDefault="007E4A66" w:rsidP="007E4A66">
            <w:pPr>
              <w:rPr>
                <w:rFonts w:cs="Arial"/>
              </w:rPr>
            </w:pPr>
          </w:p>
        </w:tc>
        <w:tc>
          <w:tcPr>
            <w:tcW w:w="2460" w:type="dxa"/>
          </w:tcPr>
          <w:p w14:paraId="0A9F4A01" w14:textId="11A6D0AC" w:rsidR="007E4A66" w:rsidRPr="007E4A66" w:rsidRDefault="007E4A66" w:rsidP="007E4A66">
            <w:pPr>
              <w:rPr>
                <w:rFonts w:cs="Arial"/>
              </w:rPr>
            </w:pPr>
            <w:r w:rsidRPr="007E4A66">
              <w:rPr>
                <w:rFonts w:cs="Arial"/>
              </w:rPr>
              <w:t>Умора</w:t>
            </w:r>
          </w:p>
        </w:tc>
        <w:tc>
          <w:tcPr>
            <w:tcW w:w="2169" w:type="dxa"/>
          </w:tcPr>
          <w:p w14:paraId="1BE6C6C8" w14:textId="60FB3FF4" w:rsidR="007E4A66" w:rsidRPr="007E4A66" w:rsidRDefault="007E4A66" w:rsidP="007E4A66">
            <w:pPr>
              <w:rPr>
                <w:rFonts w:cs="Arial"/>
                <w:lang w:val="en-US"/>
              </w:rPr>
            </w:pPr>
            <w:r w:rsidRPr="007E4A66">
              <w:rPr>
                <w:rFonts w:cs="Arial"/>
                <w:lang w:val="en-US"/>
              </w:rPr>
              <w:t>-</w:t>
            </w:r>
          </w:p>
        </w:tc>
        <w:tc>
          <w:tcPr>
            <w:tcW w:w="2101" w:type="dxa"/>
          </w:tcPr>
          <w:p w14:paraId="7F64A5E4" w14:textId="47A00561" w:rsidR="007E4A66" w:rsidRPr="007E4A66" w:rsidRDefault="007E4A66" w:rsidP="007E4A66">
            <w:pPr>
              <w:rPr>
                <w:rFonts w:cs="Arial"/>
              </w:rPr>
            </w:pPr>
            <w:r w:rsidRPr="007E4A66">
              <w:rPr>
                <w:rFonts w:cs="Arial"/>
              </w:rPr>
              <w:t>Редки</w:t>
            </w:r>
          </w:p>
        </w:tc>
      </w:tr>
      <w:tr w:rsidR="007E4A66" w14:paraId="647338F7" w14:textId="77777777" w:rsidTr="007E4A66">
        <w:tc>
          <w:tcPr>
            <w:tcW w:w="2620" w:type="dxa"/>
            <w:vMerge w:val="restart"/>
          </w:tcPr>
          <w:p w14:paraId="6C299C7A" w14:textId="4D49FCFE" w:rsidR="007E4A66" w:rsidRPr="007E4A66" w:rsidRDefault="007E4A66" w:rsidP="007E4A66">
            <w:pPr>
              <w:rPr>
                <w:rFonts w:cs="Arial"/>
              </w:rPr>
            </w:pPr>
            <w:r w:rsidRPr="007E4A66">
              <w:rPr>
                <w:rFonts w:cs="Arial"/>
                <w:i/>
                <w:iCs/>
              </w:rPr>
              <w:t>Изследвания</w:t>
            </w:r>
          </w:p>
        </w:tc>
        <w:tc>
          <w:tcPr>
            <w:tcW w:w="2460" w:type="dxa"/>
          </w:tcPr>
          <w:p w14:paraId="1364DDF9" w14:textId="2A7B6BA0" w:rsidR="007E4A66" w:rsidRPr="007E4A66" w:rsidRDefault="007E4A66" w:rsidP="007E4A66">
            <w:pPr>
              <w:rPr>
                <w:rFonts w:cs="Arial"/>
              </w:rPr>
            </w:pPr>
            <w:r w:rsidRPr="007E4A66">
              <w:rPr>
                <w:rFonts w:cs="Arial"/>
              </w:rPr>
              <w:t>Повишена урея в кръвта</w:t>
            </w:r>
          </w:p>
        </w:tc>
        <w:tc>
          <w:tcPr>
            <w:tcW w:w="2169" w:type="dxa"/>
          </w:tcPr>
          <w:p w14:paraId="1FA4516E" w14:textId="5BDC9A50" w:rsidR="007E4A66" w:rsidRPr="007E4A66" w:rsidRDefault="007E4A66" w:rsidP="007E4A66">
            <w:pPr>
              <w:rPr>
                <w:rFonts w:cs="Arial"/>
              </w:rPr>
            </w:pPr>
            <w:r w:rsidRPr="007E4A66">
              <w:rPr>
                <w:rFonts w:cs="Arial"/>
              </w:rPr>
              <w:t>Нечести*</w:t>
            </w:r>
          </w:p>
        </w:tc>
        <w:tc>
          <w:tcPr>
            <w:tcW w:w="2101" w:type="dxa"/>
          </w:tcPr>
          <w:p w14:paraId="7DD4B6BC" w14:textId="3918C9F4" w:rsidR="007E4A66" w:rsidRPr="007E4A66" w:rsidRDefault="007E4A66" w:rsidP="007E4A66">
            <w:pPr>
              <w:rPr>
                <w:rFonts w:cs="Arial"/>
              </w:rPr>
            </w:pPr>
            <w:r w:rsidRPr="007E4A66">
              <w:rPr>
                <w:rFonts w:cs="Arial"/>
              </w:rPr>
              <w:t>-</w:t>
            </w:r>
          </w:p>
        </w:tc>
      </w:tr>
      <w:tr w:rsidR="007E4A66" w14:paraId="02F59CC5" w14:textId="77777777" w:rsidTr="007E4A66">
        <w:tc>
          <w:tcPr>
            <w:tcW w:w="2620" w:type="dxa"/>
            <w:vMerge/>
          </w:tcPr>
          <w:p w14:paraId="335D4083" w14:textId="77777777" w:rsidR="007E4A66" w:rsidRPr="007E4A66" w:rsidRDefault="007E4A66" w:rsidP="007E4A66">
            <w:pPr>
              <w:rPr>
                <w:rFonts w:cs="Arial"/>
              </w:rPr>
            </w:pPr>
          </w:p>
        </w:tc>
        <w:tc>
          <w:tcPr>
            <w:tcW w:w="2460" w:type="dxa"/>
          </w:tcPr>
          <w:p w14:paraId="1B80A0D5" w14:textId="070855C8" w:rsidR="007E4A66" w:rsidRPr="007E4A66" w:rsidRDefault="007E4A66" w:rsidP="007E4A66">
            <w:pPr>
              <w:rPr>
                <w:rFonts w:cs="Arial"/>
              </w:rPr>
            </w:pPr>
            <w:r w:rsidRPr="007E4A66">
              <w:rPr>
                <w:rFonts w:cs="Arial"/>
              </w:rPr>
              <w:t>Повишен креатинин в кръвта</w:t>
            </w:r>
          </w:p>
        </w:tc>
        <w:tc>
          <w:tcPr>
            <w:tcW w:w="2169" w:type="dxa"/>
          </w:tcPr>
          <w:p w14:paraId="30A6CA8B" w14:textId="65CF9FB6" w:rsidR="007E4A66" w:rsidRPr="007E4A66" w:rsidRDefault="007E4A66" w:rsidP="007E4A66">
            <w:pPr>
              <w:rPr>
                <w:rFonts w:cs="Arial"/>
              </w:rPr>
            </w:pPr>
            <w:r w:rsidRPr="007E4A66">
              <w:rPr>
                <w:rFonts w:cs="Arial"/>
              </w:rPr>
              <w:t>Нечести*</w:t>
            </w:r>
          </w:p>
        </w:tc>
        <w:tc>
          <w:tcPr>
            <w:tcW w:w="2101" w:type="dxa"/>
          </w:tcPr>
          <w:p w14:paraId="09B5150F" w14:textId="692F02F3" w:rsidR="007E4A66" w:rsidRPr="007E4A66" w:rsidRDefault="007E4A66" w:rsidP="007E4A66">
            <w:pPr>
              <w:rPr>
                <w:rFonts w:cs="Arial"/>
              </w:rPr>
            </w:pPr>
            <w:r w:rsidRPr="007E4A66">
              <w:rPr>
                <w:rFonts w:cs="Arial"/>
              </w:rPr>
              <w:t>-</w:t>
            </w:r>
          </w:p>
        </w:tc>
      </w:tr>
      <w:tr w:rsidR="007E4A66" w14:paraId="4901C6CF" w14:textId="77777777" w:rsidTr="007E4A66">
        <w:tc>
          <w:tcPr>
            <w:tcW w:w="2620" w:type="dxa"/>
            <w:vMerge/>
          </w:tcPr>
          <w:p w14:paraId="238BED83" w14:textId="77777777" w:rsidR="007E4A66" w:rsidRPr="007E4A66" w:rsidRDefault="007E4A66" w:rsidP="007E4A66">
            <w:pPr>
              <w:rPr>
                <w:rFonts w:cs="Arial"/>
              </w:rPr>
            </w:pPr>
          </w:p>
        </w:tc>
        <w:tc>
          <w:tcPr>
            <w:tcW w:w="2460" w:type="dxa"/>
          </w:tcPr>
          <w:p w14:paraId="4A237A0E" w14:textId="4B910B74" w:rsidR="007E4A66" w:rsidRPr="007E4A66" w:rsidRDefault="007E4A66" w:rsidP="007E4A66">
            <w:pPr>
              <w:rPr>
                <w:rFonts w:cs="Arial"/>
              </w:rPr>
            </w:pPr>
            <w:r w:rsidRPr="007E4A66">
              <w:rPr>
                <w:rFonts w:cs="Arial"/>
              </w:rPr>
              <w:t>Повишен билирубин в кръвта</w:t>
            </w:r>
          </w:p>
        </w:tc>
        <w:tc>
          <w:tcPr>
            <w:tcW w:w="2169" w:type="dxa"/>
          </w:tcPr>
          <w:p w14:paraId="4E0E5628" w14:textId="16713F8E" w:rsidR="007E4A66" w:rsidRPr="007E4A66" w:rsidRDefault="007E4A66" w:rsidP="007E4A66">
            <w:pPr>
              <w:rPr>
                <w:rFonts w:cs="Arial"/>
              </w:rPr>
            </w:pPr>
            <w:r w:rsidRPr="007E4A66">
              <w:rPr>
                <w:rFonts w:cs="Arial"/>
              </w:rPr>
              <w:t>Редки</w:t>
            </w:r>
          </w:p>
        </w:tc>
        <w:tc>
          <w:tcPr>
            <w:tcW w:w="2101" w:type="dxa"/>
          </w:tcPr>
          <w:p w14:paraId="170C2C07" w14:textId="119FD8F8" w:rsidR="007E4A66" w:rsidRPr="007E4A66" w:rsidRDefault="007E4A66" w:rsidP="007E4A66">
            <w:pPr>
              <w:rPr>
                <w:rFonts w:cs="Arial"/>
              </w:rPr>
            </w:pPr>
            <w:r w:rsidRPr="007E4A66">
              <w:rPr>
                <w:rFonts w:cs="Arial"/>
              </w:rPr>
              <w:t>-</w:t>
            </w:r>
          </w:p>
        </w:tc>
      </w:tr>
      <w:tr w:rsidR="007E4A66" w14:paraId="03F6542A" w14:textId="77777777" w:rsidTr="007E4A66">
        <w:tc>
          <w:tcPr>
            <w:tcW w:w="2620" w:type="dxa"/>
            <w:vMerge/>
          </w:tcPr>
          <w:p w14:paraId="6434CADD" w14:textId="77777777" w:rsidR="007E4A66" w:rsidRPr="007E4A66" w:rsidRDefault="007E4A66" w:rsidP="007E4A66">
            <w:pPr>
              <w:rPr>
                <w:rFonts w:cs="Arial"/>
              </w:rPr>
            </w:pPr>
          </w:p>
        </w:tc>
        <w:tc>
          <w:tcPr>
            <w:tcW w:w="2460" w:type="dxa"/>
          </w:tcPr>
          <w:p w14:paraId="58576E0E" w14:textId="3C536647" w:rsidR="007E4A66" w:rsidRPr="007E4A66" w:rsidRDefault="007E4A66" w:rsidP="007E4A66">
            <w:pPr>
              <w:rPr>
                <w:rFonts w:cs="Arial"/>
              </w:rPr>
            </w:pPr>
            <w:r w:rsidRPr="007E4A66">
              <w:rPr>
                <w:rFonts w:cs="Arial"/>
              </w:rPr>
              <w:t>Повишени чернодробни ензими</w:t>
            </w:r>
          </w:p>
        </w:tc>
        <w:tc>
          <w:tcPr>
            <w:tcW w:w="2169" w:type="dxa"/>
          </w:tcPr>
          <w:p w14:paraId="2D25ECE6" w14:textId="668796DF" w:rsidR="007E4A66" w:rsidRPr="007E4A66" w:rsidRDefault="007E4A66" w:rsidP="007E4A66">
            <w:pPr>
              <w:rPr>
                <w:rFonts w:cs="Arial"/>
              </w:rPr>
            </w:pPr>
            <w:r w:rsidRPr="007E4A66">
              <w:rPr>
                <w:rFonts w:cs="Arial"/>
              </w:rPr>
              <w:t>Редки</w:t>
            </w:r>
          </w:p>
        </w:tc>
        <w:tc>
          <w:tcPr>
            <w:tcW w:w="2101" w:type="dxa"/>
          </w:tcPr>
          <w:p w14:paraId="22FDF6EB" w14:textId="7AB3C41F" w:rsidR="007E4A66" w:rsidRPr="007E4A66" w:rsidRDefault="007E4A66" w:rsidP="007E4A66">
            <w:pPr>
              <w:rPr>
                <w:rFonts w:cs="Arial"/>
              </w:rPr>
            </w:pPr>
            <w:r w:rsidRPr="007E4A66">
              <w:rPr>
                <w:rFonts w:cs="Arial"/>
              </w:rPr>
              <w:t>С неизвестна честота</w:t>
            </w:r>
          </w:p>
        </w:tc>
      </w:tr>
      <w:tr w:rsidR="007E4A66" w14:paraId="36AC38EC" w14:textId="77777777" w:rsidTr="007E4A66">
        <w:tc>
          <w:tcPr>
            <w:tcW w:w="2620" w:type="dxa"/>
            <w:vMerge/>
          </w:tcPr>
          <w:p w14:paraId="1C078AFA" w14:textId="77777777" w:rsidR="007E4A66" w:rsidRPr="007E4A66" w:rsidRDefault="007E4A66" w:rsidP="007E4A66">
            <w:pPr>
              <w:rPr>
                <w:rFonts w:cs="Arial"/>
              </w:rPr>
            </w:pPr>
          </w:p>
        </w:tc>
        <w:tc>
          <w:tcPr>
            <w:tcW w:w="2460" w:type="dxa"/>
          </w:tcPr>
          <w:p w14:paraId="686B69BE" w14:textId="5D77D4AB" w:rsidR="007E4A66" w:rsidRPr="007E4A66" w:rsidRDefault="007E4A66" w:rsidP="007E4A66">
            <w:pPr>
              <w:rPr>
                <w:rFonts w:cs="Arial"/>
              </w:rPr>
            </w:pPr>
            <w:r w:rsidRPr="007E4A66">
              <w:rPr>
                <w:rFonts w:cs="Arial"/>
              </w:rPr>
              <w:t>Понижен хемоглобин и понижен хематокрит (вж. точка 4.4)</w:t>
            </w:r>
          </w:p>
        </w:tc>
        <w:tc>
          <w:tcPr>
            <w:tcW w:w="2169" w:type="dxa"/>
          </w:tcPr>
          <w:p w14:paraId="7BC47E74" w14:textId="59268441" w:rsidR="007E4A66" w:rsidRPr="007E4A66" w:rsidRDefault="007E4A66" w:rsidP="007E4A66">
            <w:pPr>
              <w:rPr>
                <w:rFonts w:cs="Arial"/>
              </w:rPr>
            </w:pPr>
            <w:r w:rsidRPr="007E4A66">
              <w:rPr>
                <w:rFonts w:cs="Arial"/>
              </w:rPr>
              <w:t>Много редки</w:t>
            </w:r>
          </w:p>
        </w:tc>
        <w:tc>
          <w:tcPr>
            <w:tcW w:w="2101" w:type="dxa"/>
          </w:tcPr>
          <w:p w14:paraId="3C341F94" w14:textId="7EA517C3" w:rsidR="007E4A66" w:rsidRPr="007E4A66" w:rsidRDefault="007E4A66" w:rsidP="007E4A66">
            <w:pPr>
              <w:rPr>
                <w:rFonts w:cs="Arial"/>
                <w:lang w:val="en-US"/>
              </w:rPr>
            </w:pPr>
            <w:r w:rsidRPr="007E4A66">
              <w:rPr>
                <w:rFonts w:cs="Arial"/>
                <w:lang w:val="en-US"/>
              </w:rPr>
              <w:t>-</w:t>
            </w:r>
          </w:p>
        </w:tc>
      </w:tr>
      <w:tr w:rsidR="007E4A66" w14:paraId="53BB2C94" w14:textId="77777777" w:rsidTr="007E4A66">
        <w:tc>
          <w:tcPr>
            <w:tcW w:w="2620" w:type="dxa"/>
            <w:vMerge/>
          </w:tcPr>
          <w:p w14:paraId="08108C81" w14:textId="77777777" w:rsidR="007E4A66" w:rsidRPr="007E4A66" w:rsidRDefault="007E4A66" w:rsidP="007E4A66">
            <w:pPr>
              <w:rPr>
                <w:rFonts w:cs="Arial"/>
              </w:rPr>
            </w:pPr>
          </w:p>
        </w:tc>
        <w:tc>
          <w:tcPr>
            <w:tcW w:w="2460" w:type="dxa"/>
          </w:tcPr>
          <w:p w14:paraId="7DEAF160" w14:textId="35AC8D2D" w:rsidR="007E4A66" w:rsidRPr="007E4A66" w:rsidRDefault="007E4A66" w:rsidP="007E4A66">
            <w:pPr>
              <w:rPr>
                <w:rFonts w:cs="Arial"/>
              </w:rPr>
            </w:pPr>
            <w:r w:rsidRPr="007E4A66">
              <w:rPr>
                <w:rFonts w:cs="Arial"/>
              </w:rPr>
              <w:t>Повишена глюкоза в кръвта</w:t>
            </w:r>
          </w:p>
        </w:tc>
        <w:tc>
          <w:tcPr>
            <w:tcW w:w="2169" w:type="dxa"/>
          </w:tcPr>
          <w:p w14:paraId="393AD8C6" w14:textId="6B2B7E9C" w:rsidR="007E4A66" w:rsidRPr="007E4A66" w:rsidRDefault="007E4A66" w:rsidP="007E4A66">
            <w:pPr>
              <w:rPr>
                <w:rFonts w:cs="Arial"/>
                <w:lang w:val="en-US"/>
              </w:rPr>
            </w:pPr>
            <w:r w:rsidRPr="007E4A66">
              <w:rPr>
                <w:rFonts w:cs="Arial"/>
                <w:lang w:val="en-US"/>
              </w:rPr>
              <w:t>-</w:t>
            </w:r>
          </w:p>
        </w:tc>
        <w:tc>
          <w:tcPr>
            <w:tcW w:w="2101" w:type="dxa"/>
          </w:tcPr>
          <w:p w14:paraId="219B0929" w14:textId="37B0CFD7" w:rsidR="007E4A66" w:rsidRPr="007E4A66" w:rsidRDefault="007E4A66" w:rsidP="007E4A66">
            <w:pPr>
              <w:rPr>
                <w:rFonts w:cs="Arial"/>
              </w:rPr>
            </w:pPr>
            <w:r w:rsidRPr="007E4A66">
              <w:rPr>
                <w:rFonts w:cs="Arial"/>
              </w:rPr>
              <w:t>С неизвестна честота</w:t>
            </w:r>
          </w:p>
        </w:tc>
      </w:tr>
      <w:tr w:rsidR="007E4A66" w14:paraId="49D3D7E8" w14:textId="77777777" w:rsidTr="007E4A66">
        <w:tc>
          <w:tcPr>
            <w:tcW w:w="2620" w:type="dxa"/>
            <w:vMerge/>
          </w:tcPr>
          <w:p w14:paraId="4EAA1CEE" w14:textId="77777777" w:rsidR="007E4A66" w:rsidRPr="007E4A66" w:rsidRDefault="007E4A66" w:rsidP="007E4A66">
            <w:pPr>
              <w:rPr>
                <w:rFonts w:cs="Arial"/>
              </w:rPr>
            </w:pPr>
          </w:p>
        </w:tc>
        <w:tc>
          <w:tcPr>
            <w:tcW w:w="2460" w:type="dxa"/>
          </w:tcPr>
          <w:p w14:paraId="6F24B744" w14:textId="15223271" w:rsidR="007E4A66" w:rsidRPr="007E4A66" w:rsidRDefault="007E4A66" w:rsidP="007E4A66">
            <w:pPr>
              <w:rPr>
                <w:rFonts w:cs="Arial"/>
              </w:rPr>
            </w:pPr>
            <w:r w:rsidRPr="007E4A66">
              <w:rPr>
                <w:rFonts w:cs="Arial"/>
              </w:rPr>
              <w:t>Повишена пикочна киселина в кръвта</w:t>
            </w:r>
          </w:p>
        </w:tc>
        <w:tc>
          <w:tcPr>
            <w:tcW w:w="2169" w:type="dxa"/>
          </w:tcPr>
          <w:p w14:paraId="6E979F9D" w14:textId="0C8BD308" w:rsidR="007E4A66" w:rsidRPr="007E4A66" w:rsidRDefault="007E4A66" w:rsidP="007E4A66">
            <w:pPr>
              <w:rPr>
                <w:rFonts w:cs="Arial"/>
                <w:lang w:val="en-US"/>
              </w:rPr>
            </w:pPr>
            <w:r w:rsidRPr="007E4A66">
              <w:rPr>
                <w:rFonts w:cs="Arial"/>
                <w:lang w:val="en-US"/>
              </w:rPr>
              <w:t>-</w:t>
            </w:r>
          </w:p>
        </w:tc>
        <w:tc>
          <w:tcPr>
            <w:tcW w:w="2101" w:type="dxa"/>
          </w:tcPr>
          <w:p w14:paraId="49D34A3D" w14:textId="5BF5C987" w:rsidR="007E4A66" w:rsidRPr="007E4A66" w:rsidRDefault="007E4A66" w:rsidP="007E4A66">
            <w:pPr>
              <w:rPr>
                <w:rFonts w:cs="Arial"/>
              </w:rPr>
            </w:pPr>
            <w:r w:rsidRPr="007E4A66">
              <w:rPr>
                <w:rFonts w:cs="Arial"/>
              </w:rPr>
              <w:t>С неизвестна честота</w:t>
            </w:r>
          </w:p>
        </w:tc>
      </w:tr>
      <w:tr w:rsidR="007E4A66" w14:paraId="03DE1B1D" w14:textId="77777777" w:rsidTr="007E4A66">
        <w:tc>
          <w:tcPr>
            <w:tcW w:w="2620" w:type="dxa"/>
            <w:vMerge/>
          </w:tcPr>
          <w:p w14:paraId="5F0EBFA3" w14:textId="77777777" w:rsidR="007E4A66" w:rsidRPr="007E4A66" w:rsidRDefault="007E4A66" w:rsidP="007E4A66">
            <w:pPr>
              <w:rPr>
                <w:rFonts w:cs="Arial"/>
              </w:rPr>
            </w:pPr>
          </w:p>
        </w:tc>
        <w:tc>
          <w:tcPr>
            <w:tcW w:w="2460" w:type="dxa"/>
          </w:tcPr>
          <w:p w14:paraId="53DAC0AE" w14:textId="7F412DE2" w:rsidR="007E4A66" w:rsidRPr="007E4A66" w:rsidRDefault="007E4A66" w:rsidP="007E4A66">
            <w:pPr>
              <w:rPr>
                <w:rFonts w:cs="Arial"/>
              </w:rPr>
            </w:pPr>
            <w:r w:rsidRPr="007E4A66">
              <w:rPr>
                <w:rFonts w:cs="Arial"/>
              </w:rPr>
              <w:t xml:space="preserve">Удължен </w:t>
            </w:r>
            <w:r w:rsidRPr="007E4A66">
              <w:rPr>
                <w:rFonts w:cs="Arial"/>
                <w:lang w:val="en-US"/>
              </w:rPr>
              <w:t xml:space="preserve">QT </w:t>
            </w:r>
            <w:r w:rsidRPr="007E4A66">
              <w:rPr>
                <w:rFonts w:cs="Arial"/>
              </w:rPr>
              <w:t>интервал при електрокардиограма (вж. точки 4.4 и 4.5)</w:t>
            </w:r>
          </w:p>
        </w:tc>
        <w:tc>
          <w:tcPr>
            <w:tcW w:w="2169" w:type="dxa"/>
          </w:tcPr>
          <w:p w14:paraId="0A1EC5B4" w14:textId="028A423F" w:rsidR="007E4A66" w:rsidRPr="007E4A66" w:rsidRDefault="007E4A66" w:rsidP="007E4A66">
            <w:pPr>
              <w:rPr>
                <w:rFonts w:cs="Arial"/>
              </w:rPr>
            </w:pPr>
            <w:r w:rsidRPr="007E4A66">
              <w:rPr>
                <w:rFonts w:cs="Arial"/>
              </w:rPr>
              <w:t>-</w:t>
            </w:r>
          </w:p>
        </w:tc>
        <w:tc>
          <w:tcPr>
            <w:tcW w:w="2101" w:type="dxa"/>
          </w:tcPr>
          <w:p w14:paraId="599352D8" w14:textId="0D1C2A34" w:rsidR="007E4A66" w:rsidRPr="007E4A66" w:rsidRDefault="007E4A66" w:rsidP="007E4A66">
            <w:pPr>
              <w:rPr>
                <w:rFonts w:cs="Arial"/>
              </w:rPr>
            </w:pPr>
            <w:r w:rsidRPr="007E4A66">
              <w:rPr>
                <w:rFonts w:cs="Arial"/>
              </w:rPr>
              <w:t>С неизвестна честота</w:t>
            </w:r>
          </w:p>
        </w:tc>
      </w:tr>
      <w:tr w:rsidR="007E4A66" w14:paraId="38809E2D" w14:textId="77777777" w:rsidTr="007E4A66">
        <w:tc>
          <w:tcPr>
            <w:tcW w:w="2620" w:type="dxa"/>
          </w:tcPr>
          <w:p w14:paraId="7AC2D790" w14:textId="68E3A141" w:rsidR="007E4A66" w:rsidRPr="007E4A66" w:rsidRDefault="007E4A66" w:rsidP="007E4A66">
            <w:pPr>
              <w:rPr>
                <w:rFonts w:cs="Arial"/>
              </w:rPr>
            </w:pPr>
            <w:r w:rsidRPr="007E4A66">
              <w:rPr>
                <w:rFonts w:cs="Arial"/>
                <w:i/>
                <w:iCs/>
              </w:rPr>
              <w:lastRenderedPageBreak/>
              <w:t>Наранявания, отравяния и усложнения, възникнали в резултат на интервенции</w:t>
            </w:r>
          </w:p>
        </w:tc>
        <w:tc>
          <w:tcPr>
            <w:tcW w:w="2460" w:type="dxa"/>
          </w:tcPr>
          <w:p w14:paraId="1FD499B7" w14:textId="7FAE2BAD" w:rsidR="007E4A66" w:rsidRPr="007E4A66" w:rsidRDefault="007E4A66" w:rsidP="007E4A66">
            <w:pPr>
              <w:rPr>
                <w:rFonts w:cs="Arial"/>
              </w:rPr>
            </w:pPr>
            <w:r w:rsidRPr="007E4A66">
              <w:rPr>
                <w:rFonts w:cs="Arial"/>
              </w:rPr>
              <w:t>Падане</w:t>
            </w:r>
          </w:p>
        </w:tc>
        <w:tc>
          <w:tcPr>
            <w:tcW w:w="2169" w:type="dxa"/>
          </w:tcPr>
          <w:p w14:paraId="3A19B242" w14:textId="57CE8FB8" w:rsidR="007E4A66" w:rsidRPr="007E4A66" w:rsidRDefault="007E4A66" w:rsidP="007E4A66">
            <w:pPr>
              <w:rPr>
                <w:rFonts w:cs="Arial"/>
              </w:rPr>
            </w:pPr>
            <w:r w:rsidRPr="007E4A66">
              <w:rPr>
                <w:rFonts w:cs="Arial"/>
              </w:rPr>
              <w:t>Нечести*</w:t>
            </w:r>
          </w:p>
        </w:tc>
        <w:tc>
          <w:tcPr>
            <w:tcW w:w="2101" w:type="dxa"/>
          </w:tcPr>
          <w:p w14:paraId="06D87156" w14:textId="2A6C7A0F" w:rsidR="007E4A66" w:rsidRPr="007E4A66" w:rsidRDefault="007E4A66" w:rsidP="007E4A66">
            <w:pPr>
              <w:rPr>
                <w:rFonts w:cs="Arial"/>
                <w:lang w:val="en-US"/>
              </w:rPr>
            </w:pPr>
            <w:r w:rsidRPr="007E4A66">
              <w:rPr>
                <w:rFonts w:cs="Arial"/>
                <w:lang w:val="en-US"/>
              </w:rPr>
              <w:t>-</w:t>
            </w:r>
          </w:p>
        </w:tc>
      </w:tr>
    </w:tbl>
    <w:p w14:paraId="59407E18"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Честотата е изчислена по данни от клинични проучвания за нежелани реакции, откривани чрез спонтанни съобщения.</w:t>
      </w:r>
    </w:p>
    <w:p w14:paraId="5BE813BF" w14:textId="77777777" w:rsidR="007E4A66" w:rsidRPr="007E4A66" w:rsidRDefault="007E4A66" w:rsidP="007E4A66">
      <w:pPr>
        <w:spacing w:line="240" w:lineRule="auto"/>
        <w:rPr>
          <w:rFonts w:eastAsia="Times New Roman" w:cs="Arial"/>
          <w:b/>
          <w:bCs/>
          <w:color w:val="000000"/>
          <w:u w:val="single"/>
          <w:lang w:eastAsia="bg-BG"/>
        </w:rPr>
      </w:pPr>
      <w:bookmarkStart w:id="1" w:name="bookmark0"/>
    </w:p>
    <w:p w14:paraId="1A325662" w14:textId="7EE2BFE1" w:rsidR="007E4A66" w:rsidRPr="007E4A66" w:rsidRDefault="007E4A66" w:rsidP="007E4A66">
      <w:pPr>
        <w:spacing w:line="240" w:lineRule="auto"/>
        <w:rPr>
          <w:rFonts w:eastAsia="Times New Roman" w:cs="Arial"/>
          <w:lang w:eastAsia="bg-BG"/>
        </w:rPr>
      </w:pPr>
      <w:r w:rsidRPr="007E4A66">
        <w:rPr>
          <w:rFonts w:eastAsia="Times New Roman" w:cs="Arial"/>
          <w:b/>
          <w:bCs/>
          <w:color w:val="000000"/>
          <w:u w:val="single"/>
          <w:lang w:eastAsia="bg-BG"/>
        </w:rPr>
        <w:t>Допълнителна информация, свързана с индапамид</w:t>
      </w:r>
      <w:bookmarkEnd w:id="1"/>
    </w:p>
    <w:p w14:paraId="4F5FCB77" w14:textId="77777777" w:rsidR="007E4A66" w:rsidRPr="007E4A66" w:rsidRDefault="007E4A66" w:rsidP="007E4A66">
      <w:pPr>
        <w:spacing w:line="240" w:lineRule="auto"/>
        <w:rPr>
          <w:rFonts w:eastAsia="Times New Roman" w:cs="Arial"/>
          <w:i/>
          <w:iCs/>
          <w:color w:val="000000"/>
          <w:lang w:eastAsia="bg-BG"/>
        </w:rPr>
      </w:pPr>
    </w:p>
    <w:p w14:paraId="1828A427" w14:textId="714A6DB6" w:rsidR="007E4A66" w:rsidRPr="007E4A66" w:rsidRDefault="007E4A66" w:rsidP="007E4A66">
      <w:pPr>
        <w:spacing w:line="240" w:lineRule="auto"/>
        <w:rPr>
          <w:rFonts w:eastAsia="Times New Roman" w:cs="Arial"/>
          <w:lang w:eastAsia="bg-BG"/>
        </w:rPr>
      </w:pPr>
      <w:r w:rsidRPr="007E4A66">
        <w:rPr>
          <w:rFonts w:eastAsia="Times New Roman" w:cs="Arial"/>
          <w:i/>
          <w:iCs/>
          <w:color w:val="000000"/>
          <w:lang w:eastAsia="bg-BG"/>
        </w:rPr>
        <w:t>Описание на избраните нежелани реакции</w:t>
      </w:r>
    </w:p>
    <w:p w14:paraId="014A90FA" w14:textId="77777777" w:rsidR="007E4A66" w:rsidRPr="007E4A66" w:rsidRDefault="007E4A66" w:rsidP="007E4A66">
      <w:pPr>
        <w:spacing w:line="240" w:lineRule="auto"/>
        <w:rPr>
          <w:rFonts w:eastAsia="Times New Roman" w:cs="Arial"/>
          <w:color w:val="000000"/>
          <w:lang w:eastAsia="bg-BG"/>
        </w:rPr>
      </w:pPr>
    </w:p>
    <w:p w14:paraId="6A2E28A2" w14:textId="290D60E2"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По време на проучванията фаза II и III, сравняващи индапамид 1,5 </w:t>
      </w:r>
      <w:r w:rsidRPr="007E4A66">
        <w:rPr>
          <w:rFonts w:eastAsia="Times New Roman" w:cs="Arial"/>
          <w:color w:val="000000"/>
          <w:lang w:val="en-US"/>
        </w:rPr>
        <w:t xml:space="preserve">mg </w:t>
      </w:r>
      <w:r w:rsidRPr="007E4A66">
        <w:rPr>
          <w:rFonts w:eastAsia="Times New Roman" w:cs="Arial"/>
          <w:color w:val="000000"/>
          <w:lang w:eastAsia="bg-BG"/>
        </w:rPr>
        <w:t xml:space="preserve">с 2,5 </w:t>
      </w:r>
      <w:r w:rsidRPr="007E4A66">
        <w:rPr>
          <w:rFonts w:eastAsia="Times New Roman" w:cs="Arial"/>
          <w:color w:val="000000"/>
          <w:lang w:val="en-US"/>
        </w:rPr>
        <w:t xml:space="preserve">mg, </w:t>
      </w:r>
      <w:r w:rsidRPr="007E4A66">
        <w:rPr>
          <w:rFonts w:eastAsia="Times New Roman" w:cs="Arial"/>
          <w:color w:val="000000"/>
          <w:lang w:eastAsia="bg-BG"/>
        </w:rPr>
        <w:t>анализите на плазмения калий са показали дозозависим ефект от индапамид:</w:t>
      </w:r>
    </w:p>
    <w:p w14:paraId="07D9BF19"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Индапамид 1,5 </w:t>
      </w:r>
      <w:r w:rsidRPr="007E4A66">
        <w:rPr>
          <w:rFonts w:eastAsia="Times New Roman" w:cs="Arial"/>
          <w:color w:val="000000"/>
          <w:lang w:val="en-US"/>
        </w:rPr>
        <w:t xml:space="preserve">mg: </w:t>
      </w:r>
      <w:r w:rsidRPr="007E4A66">
        <w:rPr>
          <w:rFonts w:eastAsia="Times New Roman" w:cs="Arial"/>
          <w:color w:val="000000"/>
          <w:lang w:eastAsia="bg-BG"/>
        </w:rPr>
        <w:t xml:space="preserve">плазмен калий &lt;3,4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е наблюдаван при 10% от пациентите и &lt;3,2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при 4% от пациентите след 4 до 6 седмици лечение. След 12 седмично лечение, средното понижение на плазмения калий е било 0,23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/l.</w:t>
      </w:r>
    </w:p>
    <w:p w14:paraId="4784D94E"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Индапамид 2,5 </w:t>
      </w:r>
      <w:r w:rsidRPr="007E4A66">
        <w:rPr>
          <w:rFonts w:eastAsia="Times New Roman" w:cs="Arial"/>
          <w:color w:val="000000"/>
          <w:lang w:val="en-US"/>
        </w:rPr>
        <w:t xml:space="preserve">mg: </w:t>
      </w:r>
      <w:r w:rsidRPr="007E4A66">
        <w:rPr>
          <w:rFonts w:eastAsia="Times New Roman" w:cs="Arial"/>
          <w:color w:val="000000"/>
          <w:lang w:eastAsia="bg-BG"/>
        </w:rPr>
        <w:t xml:space="preserve">плазмен калий &lt;3,4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е наблюдаван при 25% от пациентите и &lt;3,2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при 10% от пациентите след 4 до 6 седмици лечение. След 12 седмично лечение, средното понижение на плазмения калий е било 0,41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/1.</w:t>
      </w:r>
    </w:p>
    <w:p w14:paraId="6DCD4E43" w14:textId="77777777" w:rsidR="007E4A66" w:rsidRPr="007E4A66" w:rsidRDefault="007E4A66" w:rsidP="007E4A66">
      <w:pPr>
        <w:spacing w:line="240" w:lineRule="auto"/>
        <w:rPr>
          <w:rFonts w:eastAsia="Times New Roman" w:cs="Arial"/>
          <w:color w:val="000000"/>
          <w:u w:val="single"/>
          <w:lang w:eastAsia="bg-BG"/>
        </w:rPr>
      </w:pPr>
    </w:p>
    <w:p w14:paraId="4E915A27" w14:textId="24A87640" w:rsidR="007E4A66" w:rsidRPr="007E4A66" w:rsidRDefault="007E4A66" w:rsidP="007E4A66">
      <w:pPr>
        <w:spacing w:line="240" w:lineRule="auto"/>
        <w:rPr>
          <w:rFonts w:eastAsia="Times New Roman" w:cs="Arial"/>
          <w:lang w:eastAsia="bg-BG"/>
        </w:rPr>
      </w:pPr>
      <w:r w:rsidRPr="007E4A66">
        <w:rPr>
          <w:rFonts w:eastAsia="Times New Roman" w:cs="Arial"/>
          <w:color w:val="000000"/>
          <w:u w:val="single"/>
          <w:lang w:eastAsia="bg-BG"/>
        </w:rPr>
        <w:t>Съобщаване на подозирани нежелани реакции</w:t>
      </w:r>
    </w:p>
    <w:p w14:paraId="393C7BAF"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w:t>
      </w:r>
    </w:p>
    <w:p w14:paraId="6061C988"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ул. .Дамян Груев” №8</w:t>
      </w:r>
    </w:p>
    <w:p w14:paraId="227D41E5"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1303 София</w:t>
      </w:r>
    </w:p>
    <w:p w14:paraId="3A55BFB7"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тел.:+35 928903417</w:t>
      </w:r>
    </w:p>
    <w:p w14:paraId="2A0E328B" w14:textId="06A89AF0" w:rsidR="006A7A3D" w:rsidRPr="007E4A66" w:rsidRDefault="007E4A66" w:rsidP="007E4A66">
      <w:pPr>
        <w:rPr>
          <w:rFonts w:cs="Arial"/>
        </w:rPr>
      </w:pPr>
      <w:r w:rsidRPr="007E4A66">
        <w:rPr>
          <w:rFonts w:eastAsia="Times New Roman" w:cs="Arial"/>
          <w:color w:val="000000"/>
          <w:lang w:eastAsia="bg-BG"/>
        </w:rPr>
        <w:t xml:space="preserve">уебсайт: </w:t>
      </w:r>
      <w:hyperlink r:id="rId6" w:history="1">
        <w:r w:rsidRPr="007E4A66">
          <w:rPr>
            <w:rFonts w:eastAsia="Times New Roman" w:cs="Arial"/>
            <w:color w:val="000000"/>
            <w:lang w:val="en-US"/>
          </w:rPr>
          <w:t>www.bda.bg</w:t>
        </w:r>
      </w:hyperlink>
    </w:p>
    <w:p w14:paraId="0DCBCE79" w14:textId="77777777" w:rsidR="00044048" w:rsidRPr="006A7A3D" w:rsidRDefault="00044048" w:rsidP="006A7A3D"/>
    <w:p w14:paraId="0A023CE0" w14:textId="782EC893" w:rsidR="00CF77F7" w:rsidRDefault="002C50EE" w:rsidP="004A448E">
      <w:pPr>
        <w:pStyle w:val="Heading2"/>
      </w:pPr>
      <w:r>
        <w:t>4.9. Предозиране</w:t>
      </w:r>
    </w:p>
    <w:p w14:paraId="35D19CF3" w14:textId="457EDF55" w:rsidR="007E4A66" w:rsidRDefault="007E4A66" w:rsidP="007E4A66"/>
    <w:p w14:paraId="767E5185" w14:textId="77777777" w:rsidR="007E4A66" w:rsidRPr="007E4A66" w:rsidRDefault="007E4A66" w:rsidP="007E4A66">
      <w:pPr>
        <w:pStyle w:val="Heading3"/>
        <w:rPr>
          <w:rFonts w:eastAsia="Times New Roman"/>
          <w:u w:val="single"/>
          <w:lang w:eastAsia="bg-BG"/>
        </w:rPr>
      </w:pPr>
      <w:r w:rsidRPr="007E4A66">
        <w:rPr>
          <w:rFonts w:eastAsia="Times New Roman"/>
          <w:u w:val="single"/>
          <w:lang w:eastAsia="bg-BG"/>
        </w:rPr>
        <w:t>Симптоми</w:t>
      </w:r>
    </w:p>
    <w:p w14:paraId="670A5B84" w14:textId="77777777" w:rsidR="007E4A66" w:rsidRPr="007E4A66" w:rsidRDefault="007E4A66" w:rsidP="007E4A66">
      <w:pPr>
        <w:spacing w:line="240" w:lineRule="auto"/>
        <w:rPr>
          <w:rFonts w:eastAsia="Times New Roman" w:cs="Arial"/>
          <w:sz w:val="24"/>
          <w:szCs w:val="24"/>
          <w:lang w:eastAsia="bg-BG"/>
        </w:rPr>
      </w:pPr>
      <w:r w:rsidRPr="007E4A66">
        <w:rPr>
          <w:rFonts w:eastAsia="Times New Roman" w:cs="Arial"/>
          <w:color w:val="000000"/>
          <w:lang w:eastAsia="bg-BG"/>
        </w:rPr>
        <w:t>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обърканост, олигурия, която може да прогресира до анурия (поради хиповолемия). Могат да настъпят нарушения на водно-електролитния баланс (хипонатриемия, хипокалиемия).</w:t>
      </w:r>
    </w:p>
    <w:p w14:paraId="1907D97C" w14:textId="77777777" w:rsidR="007E4A66" w:rsidRPr="007E4A66" w:rsidRDefault="007E4A66" w:rsidP="007E4A66">
      <w:pPr>
        <w:spacing w:line="240" w:lineRule="auto"/>
        <w:rPr>
          <w:rFonts w:eastAsia="Times New Roman" w:cs="Arial"/>
          <w:color w:val="000000"/>
          <w:u w:val="single"/>
          <w:lang w:eastAsia="bg-BG"/>
        </w:rPr>
      </w:pPr>
    </w:p>
    <w:p w14:paraId="1365CF11" w14:textId="09C65718" w:rsidR="007E4A66" w:rsidRPr="007E4A66" w:rsidRDefault="007E4A66" w:rsidP="007E4A66">
      <w:pPr>
        <w:pStyle w:val="Heading3"/>
        <w:rPr>
          <w:rFonts w:eastAsia="Times New Roman"/>
          <w:u w:val="single"/>
          <w:lang w:eastAsia="bg-BG"/>
        </w:rPr>
      </w:pPr>
      <w:r w:rsidRPr="007E4A66">
        <w:rPr>
          <w:rFonts w:eastAsia="Times New Roman"/>
          <w:u w:val="single"/>
          <w:lang w:eastAsia="bg-BG"/>
        </w:rPr>
        <w:t>Лечение</w:t>
      </w:r>
    </w:p>
    <w:p w14:paraId="2F4A9D8A" w14:textId="43C5792C" w:rsidR="007E4A66" w:rsidRPr="007E4A66" w:rsidRDefault="007E4A66" w:rsidP="007E4A66">
      <w:pPr>
        <w:rPr>
          <w:rFonts w:cs="Arial"/>
        </w:rPr>
      </w:pPr>
      <w:r w:rsidRPr="007E4A66">
        <w:rPr>
          <w:rFonts w:eastAsia="Times New Roman" w:cs="Arial"/>
          <w:color w:val="000000"/>
          <w:lang w:eastAsia="bg-BG"/>
        </w:rPr>
        <w:t xml:space="preserve">Началните мерки, които трябва да се вземат, включват бързо елиминиране на погълнатия продукт(и) посредством стомашна промивка и/или прилагане на активен въглен, след което възстановяване на водно-електролитния баланс до нормално състояние в специализирано лечебно заведение. При настъпване на значителна хипотония, пациентът трябва да бъде поставен легнал по гръб с ниско положение на главата. Ако е необходимо, може да се направи </w:t>
      </w:r>
      <w:proofErr w:type="spellStart"/>
      <w:r w:rsidRPr="007E4A66">
        <w:rPr>
          <w:rFonts w:eastAsia="Times New Roman" w:cs="Arial"/>
          <w:color w:val="000000"/>
          <w:lang w:val="en-US"/>
        </w:rPr>
        <w:t>i.v.</w:t>
      </w:r>
      <w:proofErr w:type="spellEnd"/>
      <w:r w:rsidRPr="007E4A66">
        <w:rPr>
          <w:rFonts w:eastAsia="Times New Roman" w:cs="Arial"/>
          <w:color w:val="000000"/>
          <w:lang w:val="en-US"/>
        </w:rPr>
        <w:t xml:space="preserve"> </w:t>
      </w:r>
      <w:r w:rsidRPr="007E4A66">
        <w:rPr>
          <w:rFonts w:eastAsia="Times New Roman" w:cs="Arial"/>
          <w:color w:val="000000"/>
          <w:lang w:eastAsia="bg-BG"/>
        </w:rPr>
        <w:t xml:space="preserve">инфузия на изотоничен разтвор на </w:t>
      </w:r>
      <w:r w:rsidRPr="007E4A66">
        <w:rPr>
          <w:rFonts w:eastAsia="Times New Roman" w:cs="Arial"/>
          <w:color w:val="000000"/>
          <w:lang w:eastAsia="bg-BG"/>
        </w:rPr>
        <w:lastRenderedPageBreak/>
        <w:t>натриев хлорид или да се приложи друг метод на обемно заместване. Периндоприлат, активната форма на периндоприл, е диализируем (вж. точка 5.2).</w:t>
      </w:r>
    </w:p>
    <w:p w14:paraId="4B332EC4" w14:textId="77777777" w:rsidR="007E4A66" w:rsidRPr="007E4A66" w:rsidRDefault="007E4A66" w:rsidP="007E4A66"/>
    <w:p w14:paraId="02081B24" w14:textId="0A9C7A79" w:rsidR="00395555" w:rsidRDefault="002C50EE" w:rsidP="008A6AF2">
      <w:pPr>
        <w:pStyle w:val="Heading1"/>
      </w:pPr>
      <w:r>
        <w:t>5. ФАРМАКОЛОГИЧНИ СВОЙСТВА</w:t>
      </w:r>
    </w:p>
    <w:p w14:paraId="30133811" w14:textId="77777777" w:rsidR="007E4A66" w:rsidRPr="007E4A66" w:rsidRDefault="007E4A66" w:rsidP="007E4A66"/>
    <w:p w14:paraId="32B6DE66" w14:textId="6C5AC249" w:rsidR="00CF77F7" w:rsidRDefault="002C50EE" w:rsidP="004A448E">
      <w:pPr>
        <w:pStyle w:val="Heading2"/>
      </w:pPr>
      <w:r>
        <w:t>5.1. Фармакодинамични свойства</w:t>
      </w:r>
    </w:p>
    <w:p w14:paraId="70DC49C0" w14:textId="4E0645DB" w:rsidR="007E4A66" w:rsidRDefault="007E4A66" w:rsidP="007E4A66"/>
    <w:p w14:paraId="349D9EC6" w14:textId="77777777" w:rsidR="007E4A66" w:rsidRDefault="007E4A66" w:rsidP="007E4A66">
      <w:r>
        <w:rPr>
          <w:u w:val="single"/>
        </w:rPr>
        <w:t>Фармакотерапевтична група</w:t>
      </w:r>
      <w:r>
        <w:t xml:space="preserve">: АСЕ ИНХИБИТОРИ, КОМБИНИРАНИ, периндоприл и диуретици, </w:t>
      </w:r>
      <w:r>
        <w:rPr>
          <w:u w:val="single"/>
        </w:rPr>
        <w:t>АТС код</w:t>
      </w:r>
      <w:r>
        <w:t>: С09ВА04.</w:t>
      </w:r>
    </w:p>
    <w:p w14:paraId="572B443A" w14:textId="77777777" w:rsidR="007E4A66" w:rsidRDefault="007E4A66" w:rsidP="007E4A66"/>
    <w:p w14:paraId="1DE0E09B" w14:textId="7DFFBE0F" w:rsidR="007E4A66" w:rsidRDefault="007E4A66" w:rsidP="007E4A66">
      <w:r>
        <w:t>Ко-Пренеса е комбинация от терт-бутиламинов периндоприл, инхибитор на ангиотензин- конвертиращия ензим, и индапамид, хлорсулфамоилов диуретик. Фармакологичните му свойства произтичат от тези на всеки компонент поотделно и допълнително от тези, дължащи се на адитивния синергизъм в резултат на комбинирането на двата продукта.</w:t>
      </w:r>
    </w:p>
    <w:p w14:paraId="6112752D" w14:textId="77777777" w:rsidR="007E4A66" w:rsidRDefault="007E4A66" w:rsidP="007E4A66">
      <w:pPr>
        <w:rPr>
          <w:i/>
          <w:iCs/>
          <w:u w:val="single"/>
        </w:rPr>
      </w:pPr>
    </w:p>
    <w:p w14:paraId="57156982" w14:textId="50E0F48C" w:rsidR="007E4A66" w:rsidRDefault="007E4A66" w:rsidP="007E4A66">
      <w:r>
        <w:rPr>
          <w:i/>
          <w:iCs/>
          <w:u w:val="single"/>
        </w:rPr>
        <w:t>Механизъм на действие</w:t>
      </w:r>
    </w:p>
    <w:p w14:paraId="7E11078D" w14:textId="77777777" w:rsidR="007E4A66" w:rsidRDefault="007E4A66" w:rsidP="007E4A66">
      <w:pPr>
        <w:rPr>
          <w:i/>
          <w:iCs/>
        </w:rPr>
      </w:pPr>
    </w:p>
    <w:p w14:paraId="6B7D79D7" w14:textId="1C2622C8" w:rsidR="007E4A66" w:rsidRDefault="007E4A66" w:rsidP="007E4A66">
      <w:r>
        <w:rPr>
          <w:i/>
          <w:iCs/>
        </w:rPr>
        <w:t>Свързан с Ко-Пренеса:</w:t>
      </w:r>
    </w:p>
    <w:p w14:paraId="47B8103C" w14:textId="77777777" w:rsidR="007E4A66" w:rsidRDefault="007E4A66" w:rsidP="007E4A66">
      <w:r>
        <w:t>Ко-Пренеса води до адитивен синергизъм на антихипертензивните ефекти на двата компонента.</w:t>
      </w:r>
    </w:p>
    <w:p w14:paraId="4F515391" w14:textId="77777777" w:rsidR="007E4A66" w:rsidRDefault="007E4A66" w:rsidP="007E4A66">
      <w:pPr>
        <w:rPr>
          <w:i/>
          <w:iCs/>
        </w:rPr>
      </w:pPr>
    </w:p>
    <w:p w14:paraId="7B53B39F" w14:textId="6E5BB590" w:rsidR="007E4A66" w:rsidRDefault="007E4A66" w:rsidP="007E4A66">
      <w:r>
        <w:rPr>
          <w:i/>
          <w:iCs/>
        </w:rPr>
        <w:t>Свързани с периндоприл:</w:t>
      </w:r>
    </w:p>
    <w:p w14:paraId="551ED532" w14:textId="77777777" w:rsidR="007E4A66" w:rsidRDefault="007E4A66" w:rsidP="007E4A66">
      <w:r>
        <w:t>Периндоприл е инхибитор на ангиотензин-конвертиращия ензим (АСЕ 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надбъбречните жлези и стимулира разграждането на брадикинин, вазодилататорно вещество, до неактивни хептапептиди.</w:t>
      </w:r>
    </w:p>
    <w:p w14:paraId="1AE5B183" w14:textId="77777777" w:rsidR="007E4A66" w:rsidRDefault="007E4A66" w:rsidP="007E4A66">
      <w:r>
        <w:t>Това води до:</w:t>
      </w:r>
    </w:p>
    <w:p w14:paraId="080ADAD1" w14:textId="77777777" w:rsidR="006E6807" w:rsidRDefault="007E4A66" w:rsidP="006E6807">
      <w:pPr>
        <w:pStyle w:val="ListParagraph"/>
        <w:numPr>
          <w:ilvl w:val="0"/>
          <w:numId w:val="15"/>
        </w:numPr>
      </w:pPr>
      <w:r>
        <w:t xml:space="preserve">намаляване на алдостероновата секреция, </w:t>
      </w:r>
    </w:p>
    <w:p w14:paraId="7BF62018" w14:textId="77777777" w:rsidR="006E6807" w:rsidRDefault="007E4A66" w:rsidP="006E6807">
      <w:pPr>
        <w:pStyle w:val="ListParagraph"/>
        <w:numPr>
          <w:ilvl w:val="0"/>
          <w:numId w:val="15"/>
        </w:numPr>
      </w:pPr>
      <w:r>
        <w:t xml:space="preserve">увеличаване на плазмената ренинова активност, тъй като алдостерон не може да осъществява отрицателна обратна връзка, </w:t>
      </w:r>
    </w:p>
    <w:p w14:paraId="78D7B9F7" w14:textId="23793515" w:rsidR="007E4A66" w:rsidRDefault="007E4A66" w:rsidP="006E6807">
      <w:pPr>
        <w:pStyle w:val="ListParagraph"/>
        <w:numPr>
          <w:ilvl w:val="0"/>
          <w:numId w:val="15"/>
        </w:numPr>
      </w:pPr>
      <w: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4499AC13" w14:textId="77777777" w:rsidR="007E4A66" w:rsidRDefault="007E4A66" w:rsidP="007E4A66"/>
    <w:p w14:paraId="07062E99" w14:textId="31E54BCC" w:rsidR="007E4A66" w:rsidRDefault="007E4A66" w:rsidP="007E4A66">
      <w:r>
        <w:t>Антихипертензивното действие на периндоприл се проявява и при пациенти с ниска или нормална ренинова концентрация.</w:t>
      </w:r>
    </w:p>
    <w:p w14:paraId="13364C6C" w14:textId="77777777" w:rsidR="007E4A66" w:rsidRDefault="007E4A66" w:rsidP="007E4A66">
      <w:r>
        <w:t>Периндоприл оказва своето действие чрез активния си метаболит периндоприлат. Другите метаболити са неактивни.</w:t>
      </w:r>
    </w:p>
    <w:p w14:paraId="661E6106" w14:textId="77777777" w:rsidR="007E4A66" w:rsidRDefault="007E4A66" w:rsidP="007E4A66"/>
    <w:p w14:paraId="251E7E7D" w14:textId="566B1C02" w:rsidR="007E4A66" w:rsidRDefault="007E4A66" w:rsidP="007E4A66">
      <w:r>
        <w:t>Периндоприл намалява работата на сърцето:</w:t>
      </w:r>
    </w:p>
    <w:p w14:paraId="61B2CD2E" w14:textId="4666661E" w:rsidR="007E4A66" w:rsidRDefault="007E4A66" w:rsidP="006E6807">
      <w:pPr>
        <w:pStyle w:val="ListParagraph"/>
        <w:numPr>
          <w:ilvl w:val="0"/>
          <w:numId w:val="14"/>
        </w:numPr>
      </w:pPr>
      <w:r>
        <w:t>чрез съдоразширяващ ефект върху вените, вероятно предизвикан от промени в</w:t>
      </w:r>
      <w:r>
        <w:rPr>
          <w:lang w:val="en-US"/>
        </w:rPr>
        <w:t xml:space="preserve"> </w:t>
      </w:r>
      <w:r>
        <w:t>метаболизма на простагландините: понижаване на преднатоварването,</w:t>
      </w:r>
    </w:p>
    <w:p w14:paraId="0BEA797D" w14:textId="77777777" w:rsidR="006E6807" w:rsidRPr="006E6807" w:rsidRDefault="006E6807" w:rsidP="006E6807">
      <w:pPr>
        <w:pStyle w:val="ListParagraph"/>
        <w:numPr>
          <w:ilvl w:val="0"/>
          <w:numId w:val="14"/>
        </w:numPr>
        <w:spacing w:line="240" w:lineRule="auto"/>
        <w:rPr>
          <w:rFonts w:eastAsia="Times New Roman" w:cs="Arial"/>
          <w:sz w:val="24"/>
          <w:szCs w:val="24"/>
          <w:lang w:eastAsia="bg-BG"/>
        </w:rPr>
      </w:pPr>
      <w:r w:rsidRPr="006E6807">
        <w:rPr>
          <w:rFonts w:eastAsia="Times New Roman" w:cs="Arial"/>
          <w:color w:val="000000"/>
          <w:lang w:eastAsia="bg-BG"/>
        </w:rPr>
        <w:lastRenderedPageBreak/>
        <w:t>чрез намаляване на общото периферно съпротивление: понижаване на следнатоварването.</w:t>
      </w:r>
    </w:p>
    <w:p w14:paraId="76246115" w14:textId="77777777" w:rsidR="006E6807" w:rsidRDefault="006E6807" w:rsidP="006E6807">
      <w:pPr>
        <w:spacing w:line="240" w:lineRule="auto"/>
        <w:rPr>
          <w:rFonts w:ascii="Times New Roman" w:eastAsia="Times New Roman" w:hAnsi="Times New Roman" w:cs="Times New Roman"/>
          <w:color w:val="000000"/>
          <w:lang w:eastAsia="bg-BG"/>
        </w:rPr>
      </w:pPr>
    </w:p>
    <w:p w14:paraId="36FBC840" w14:textId="77777777" w:rsidR="006E6807" w:rsidRPr="006E6807" w:rsidRDefault="006E6807" w:rsidP="006E6807">
      <w:pPr>
        <w:spacing w:line="240" w:lineRule="auto"/>
        <w:rPr>
          <w:rFonts w:eastAsia="Times New Roman" w:cs="Arial"/>
          <w:color w:val="000000"/>
          <w:lang w:eastAsia="bg-BG"/>
        </w:rPr>
      </w:pPr>
      <w:r w:rsidRPr="006E6807">
        <w:rPr>
          <w:rFonts w:eastAsia="Times New Roman" w:cs="Arial"/>
          <w:color w:val="000000"/>
          <w:lang w:eastAsia="bg-BG"/>
        </w:rPr>
        <w:t xml:space="preserve">Проучвания, проведени при пациенти със сърдечна недостатъчност показаха: </w:t>
      </w:r>
    </w:p>
    <w:p w14:paraId="6DA21AB5" w14:textId="77777777"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понижаване на наляганията на пълнене на лявата и дясната камера, </w:t>
      </w:r>
    </w:p>
    <w:p w14:paraId="51A6B46E" w14:textId="77777777"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понижаване на общото периферно съдово съпротивление, </w:t>
      </w:r>
    </w:p>
    <w:p w14:paraId="1D1B20BD" w14:textId="34C3ABE8"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нарастване на сърдечния дебит и подобряване на сърдечния индекс, </w:t>
      </w:r>
    </w:p>
    <w:p w14:paraId="3D436323" w14:textId="659B97CB"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нарастване на регионалния мускулен кръвоток. Подобряват се и показателните на работната проба.</w:t>
      </w:r>
    </w:p>
    <w:p w14:paraId="5D3F0E6E"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Физическите тестове също показват подобрени резултати.</w:t>
      </w:r>
    </w:p>
    <w:p w14:paraId="4AFE2939" w14:textId="77777777" w:rsidR="006E6807" w:rsidRPr="006E6807" w:rsidRDefault="006E6807" w:rsidP="006E6807">
      <w:pPr>
        <w:spacing w:line="240" w:lineRule="auto"/>
        <w:rPr>
          <w:rFonts w:eastAsia="Times New Roman" w:cs="Arial"/>
          <w:i/>
          <w:iCs/>
          <w:color w:val="000000"/>
          <w:u w:val="single"/>
          <w:lang w:eastAsia="bg-BG"/>
        </w:rPr>
      </w:pPr>
    </w:p>
    <w:p w14:paraId="57196E32" w14:textId="04910875"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Свързани с индапамид:</w:t>
      </w:r>
    </w:p>
    <w:p w14:paraId="05A56503"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кортикалния дилуционен сегмент.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3E75104B" w14:textId="77777777" w:rsidR="006E6807" w:rsidRPr="006E6807" w:rsidRDefault="006E6807" w:rsidP="006E6807">
      <w:pPr>
        <w:spacing w:line="240" w:lineRule="auto"/>
        <w:rPr>
          <w:rFonts w:eastAsia="Times New Roman" w:cs="Arial"/>
          <w:i/>
          <w:iCs/>
          <w:color w:val="000000"/>
          <w:u w:val="single"/>
          <w:lang w:eastAsia="bg-BG"/>
        </w:rPr>
      </w:pPr>
    </w:p>
    <w:p w14:paraId="3520C655" w14:textId="13805CCE"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Фармакодинамични ефекти</w:t>
      </w:r>
    </w:p>
    <w:p w14:paraId="45658518"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Свързани с Ко-Пренеса:</w:t>
      </w:r>
    </w:p>
    <w:p w14:paraId="62AFB7DE"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При пациенти с хипертония, независимо от възрастта им, Ко-Пренеса 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постига за по-малко от един месец без прояви на тахифилаксия; спирането на лечението не води до ребаунд ефект.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3BBDB3D6" w14:textId="77777777" w:rsidR="006E6807" w:rsidRPr="006E6807" w:rsidRDefault="006E6807" w:rsidP="006E6807">
      <w:pPr>
        <w:spacing w:line="240" w:lineRule="auto"/>
        <w:rPr>
          <w:rFonts w:eastAsia="Times New Roman" w:cs="Arial"/>
          <w:color w:val="000000"/>
          <w:u w:val="single"/>
          <w:lang w:eastAsia="bg-BG"/>
        </w:rPr>
      </w:pPr>
    </w:p>
    <w:p w14:paraId="0A2DAACD" w14:textId="5D19A43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u w:val="single"/>
          <w:lang w:eastAsia="bg-BG"/>
        </w:rPr>
        <w:t xml:space="preserve">Само за таблетките Ко-Пренеса 2 </w:t>
      </w:r>
      <w:r w:rsidRPr="006E6807">
        <w:rPr>
          <w:rFonts w:eastAsia="Times New Roman" w:cs="Arial"/>
          <w:color w:val="000000"/>
          <w:u w:val="single"/>
          <w:lang w:val="en-US"/>
        </w:rPr>
        <w:t>mg/0,625 mg</w:t>
      </w:r>
    </w:p>
    <w:p w14:paraId="14FE2436"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Ефектът на ниско-дозовата комбинация Ко-Пренеса 2 </w:t>
      </w:r>
      <w:r w:rsidRPr="006E6807">
        <w:rPr>
          <w:rFonts w:eastAsia="Times New Roman" w:cs="Arial"/>
          <w:color w:val="000000"/>
          <w:lang w:val="en-US"/>
        </w:rPr>
        <w:t xml:space="preserve">mg/0,625 mg </w:t>
      </w:r>
      <w:r w:rsidRPr="006E6807">
        <w:rPr>
          <w:rFonts w:eastAsia="Times New Roman" w:cs="Arial"/>
          <w:color w:val="000000"/>
          <w:lang w:eastAsia="bg-BG"/>
        </w:rPr>
        <w:t>върху сърдечносъдовата заболеваемост и смъртност не са проучвани.</w:t>
      </w:r>
    </w:p>
    <w:p w14:paraId="6AB5D783" w14:textId="77777777" w:rsidR="006E6807" w:rsidRPr="006E6807" w:rsidRDefault="006E6807" w:rsidP="006E6807">
      <w:pPr>
        <w:spacing w:line="240" w:lineRule="auto"/>
        <w:rPr>
          <w:rFonts w:eastAsia="Times New Roman" w:cs="Arial"/>
          <w:color w:val="000000"/>
          <w:lang w:val="en-US"/>
        </w:rPr>
      </w:pPr>
    </w:p>
    <w:p w14:paraId="74BFE5C2" w14:textId="16E50321"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val="en-US"/>
        </w:rPr>
        <w:t xml:space="preserve">PICXEL </w:t>
      </w:r>
      <w:r w:rsidRPr="006E6807">
        <w:rPr>
          <w:rFonts w:eastAsia="Times New Roman" w:cs="Arial"/>
          <w:color w:val="000000"/>
          <w:lang w:eastAsia="bg-BG"/>
        </w:rPr>
        <w:t>е мултицентрово, рандомизирано, двойно сляпо активно контролирано ехокардиографско проучване оценяващо ефекта от комбинацията периндоприл/индапамид при лявокамерна хипертрофия (ЛКХ) спрямо монотерапия с еналаприл.</w:t>
      </w:r>
    </w:p>
    <w:p w14:paraId="00DE41E3"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При </w:t>
      </w:r>
      <w:r w:rsidRPr="006E6807">
        <w:rPr>
          <w:rFonts w:eastAsia="Times New Roman" w:cs="Arial"/>
          <w:color w:val="000000"/>
          <w:lang w:val="en-US"/>
        </w:rPr>
        <w:t xml:space="preserve">PICXEL, </w:t>
      </w:r>
      <w:r w:rsidRPr="006E6807">
        <w:rPr>
          <w:rFonts w:eastAsia="Times New Roman" w:cs="Arial"/>
          <w:color w:val="000000"/>
          <w:lang w:eastAsia="bg-BG"/>
        </w:rPr>
        <w:t xml:space="preserve">хипертоници с ЛКХ (дефинирана като лявокамерен мас-индекс (ЛКХИ) &gt; 120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при мъже и &gt;100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при жени) са били рандомизирани или с периндоприл 2</w:t>
      </w:r>
      <w:r w:rsidRPr="006E6807">
        <w:rPr>
          <w:rFonts w:eastAsia="Times New Roman" w:cs="Arial"/>
          <w:color w:val="000000"/>
          <w:lang w:val="en-US"/>
        </w:rPr>
        <w:t>mg</w:t>
      </w:r>
      <w:r w:rsidRPr="006E6807">
        <w:rPr>
          <w:rFonts w:eastAsia="Times New Roman" w:cs="Arial"/>
          <w:color w:val="000000"/>
          <w:lang w:eastAsia="bg-BG"/>
        </w:rPr>
        <w:t xml:space="preserve">/индапамид 0,625 </w:t>
      </w:r>
      <w:r w:rsidRPr="006E6807">
        <w:rPr>
          <w:rFonts w:eastAsia="Times New Roman" w:cs="Arial"/>
          <w:color w:val="000000"/>
          <w:lang w:val="en-US"/>
        </w:rPr>
        <w:t xml:space="preserve">mg </w:t>
      </w:r>
      <w:r w:rsidRPr="006E6807">
        <w:rPr>
          <w:rFonts w:eastAsia="Times New Roman" w:cs="Arial"/>
          <w:color w:val="000000"/>
          <w:lang w:eastAsia="bg-BG"/>
        </w:rPr>
        <w:t xml:space="preserve">или с еналаприл 10 </w:t>
      </w:r>
      <w:r w:rsidRPr="006E6807">
        <w:rPr>
          <w:rFonts w:eastAsia="Times New Roman" w:cs="Arial"/>
          <w:color w:val="000000"/>
          <w:lang w:val="en-US"/>
        </w:rPr>
        <w:t xml:space="preserve">mg </w:t>
      </w:r>
      <w:r w:rsidRPr="006E6807">
        <w:rPr>
          <w:rFonts w:eastAsia="Times New Roman" w:cs="Arial"/>
          <w:color w:val="000000"/>
          <w:lang w:eastAsia="bg-BG"/>
        </w:rPr>
        <w:t xml:space="preserve">веднъж дневно за период на лечение от една година. Дозата е била адаптирана в зависимост от контрола на кръвното налягане, до 8 </w:t>
      </w:r>
      <w:r w:rsidRPr="006E6807">
        <w:rPr>
          <w:rFonts w:eastAsia="Times New Roman" w:cs="Arial"/>
          <w:color w:val="000000"/>
          <w:lang w:val="en-US"/>
        </w:rPr>
        <w:t xml:space="preserve">mg </w:t>
      </w:r>
      <w:r w:rsidRPr="006E6807">
        <w:rPr>
          <w:rFonts w:eastAsia="Times New Roman" w:cs="Arial"/>
          <w:color w:val="000000"/>
          <w:lang w:eastAsia="bg-BG"/>
        </w:rPr>
        <w:t xml:space="preserve">периндоприл и индапамид 2,5 </w:t>
      </w:r>
      <w:r w:rsidRPr="006E6807">
        <w:rPr>
          <w:rFonts w:eastAsia="Times New Roman" w:cs="Arial"/>
          <w:color w:val="000000"/>
          <w:lang w:val="en-US"/>
        </w:rPr>
        <w:t xml:space="preserve">mg </w:t>
      </w:r>
      <w:r w:rsidRPr="006E6807">
        <w:rPr>
          <w:rFonts w:eastAsia="Times New Roman" w:cs="Arial"/>
          <w:color w:val="000000"/>
          <w:lang w:eastAsia="bg-BG"/>
        </w:rPr>
        <w:t xml:space="preserve">или еналаприл 40 </w:t>
      </w:r>
      <w:r w:rsidRPr="006E6807">
        <w:rPr>
          <w:rFonts w:eastAsia="Times New Roman" w:cs="Arial"/>
          <w:color w:val="000000"/>
          <w:lang w:val="en-US"/>
        </w:rPr>
        <w:t xml:space="preserve">mg </w:t>
      </w:r>
      <w:r w:rsidRPr="006E6807">
        <w:rPr>
          <w:rFonts w:eastAsia="Times New Roman" w:cs="Arial"/>
          <w:color w:val="000000"/>
          <w:lang w:eastAsia="bg-BG"/>
        </w:rPr>
        <w:t>веднъж дневно. Само 34% от пациентите са останали на лечение с периндоприл 2</w:t>
      </w:r>
      <w:r w:rsidRPr="006E6807">
        <w:rPr>
          <w:rFonts w:eastAsia="Times New Roman" w:cs="Arial"/>
          <w:color w:val="000000"/>
          <w:lang w:val="en-US"/>
        </w:rPr>
        <w:t>mg/</w:t>
      </w:r>
      <w:r w:rsidRPr="006E6807">
        <w:rPr>
          <w:rFonts w:eastAsia="Times New Roman" w:cs="Arial"/>
          <w:color w:val="000000"/>
          <w:lang w:eastAsia="bg-BG"/>
        </w:rPr>
        <w:t xml:space="preserve">индапамид 0,625 </w:t>
      </w:r>
      <w:r w:rsidRPr="006E6807">
        <w:rPr>
          <w:rFonts w:eastAsia="Times New Roman" w:cs="Arial"/>
          <w:color w:val="000000"/>
          <w:lang w:val="en-US"/>
        </w:rPr>
        <w:t xml:space="preserve">mg </w:t>
      </w:r>
      <w:r w:rsidRPr="006E6807">
        <w:rPr>
          <w:rFonts w:eastAsia="Times New Roman" w:cs="Arial"/>
          <w:color w:val="000000"/>
          <w:lang w:eastAsia="bg-BG"/>
        </w:rPr>
        <w:t xml:space="preserve">(срещу 20% с еналаприл 10 </w:t>
      </w:r>
      <w:r w:rsidRPr="006E6807">
        <w:rPr>
          <w:rFonts w:eastAsia="Times New Roman" w:cs="Arial"/>
          <w:color w:val="000000"/>
          <w:lang w:val="en-US"/>
        </w:rPr>
        <w:t>mg).</w:t>
      </w:r>
    </w:p>
    <w:p w14:paraId="69923F0F"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В края на лечението ЛКХИ е намалял значително повече в групата на лекуваните с периндоприл/индапамид (-10.1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спрямо групата, лекувана с еналаприл (-1,1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при цялата популация от рандомизирани пациенти. Промяната в междугруповата разлика на ЛКХИ е -8,3 (95% </w:t>
      </w:r>
      <w:r w:rsidRPr="006E6807">
        <w:rPr>
          <w:rFonts w:eastAsia="Times New Roman" w:cs="Arial"/>
          <w:color w:val="000000"/>
          <w:lang w:val="en-US"/>
        </w:rPr>
        <w:t xml:space="preserve">CI </w:t>
      </w:r>
      <w:r w:rsidRPr="006E6807">
        <w:rPr>
          <w:rFonts w:eastAsia="Times New Roman" w:cs="Arial"/>
          <w:color w:val="000000"/>
          <w:lang w:eastAsia="bg-BG"/>
        </w:rPr>
        <w:t>(-11,5,-5,0), р &lt; 0,0001).</w:t>
      </w:r>
    </w:p>
    <w:p w14:paraId="2A8A18FD"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По-добър ефект в ЛКХИ е достигнат с по-високи дози периндоприл/индапамид от тези, одобрени за този лекарствен продукт.</w:t>
      </w:r>
    </w:p>
    <w:p w14:paraId="0EED6E7D"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u w:val="single"/>
          <w:lang w:eastAsia="bg-BG"/>
        </w:rPr>
        <w:lastRenderedPageBreak/>
        <w:t xml:space="preserve">Ко-Пренеса 8 </w:t>
      </w:r>
      <w:r w:rsidRPr="006E6807">
        <w:rPr>
          <w:rFonts w:eastAsia="Times New Roman" w:cs="Arial"/>
          <w:color w:val="000000"/>
          <w:u w:val="single"/>
          <w:lang w:val="en-US"/>
        </w:rPr>
        <w:t xml:space="preserve">mg/2,5 mg </w:t>
      </w:r>
      <w:r w:rsidRPr="006E6807">
        <w:rPr>
          <w:rFonts w:eastAsia="Times New Roman" w:cs="Arial"/>
          <w:color w:val="000000"/>
          <w:u w:val="single"/>
          <w:lang w:eastAsia="bg-BG"/>
        </w:rPr>
        <w:t>таблетки</w:t>
      </w:r>
    </w:p>
    <w:p w14:paraId="45B47D50"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По-добър ефект в ЛКХИ е достигнат с периндоприл 8 </w:t>
      </w:r>
      <w:r w:rsidRPr="006E6807">
        <w:rPr>
          <w:rFonts w:eastAsia="Times New Roman" w:cs="Arial"/>
          <w:color w:val="000000"/>
          <w:lang w:val="en-US"/>
        </w:rPr>
        <w:t>mg</w:t>
      </w:r>
      <w:r w:rsidRPr="006E6807">
        <w:rPr>
          <w:rFonts w:eastAsia="Times New Roman" w:cs="Arial"/>
          <w:color w:val="000000"/>
          <w:lang w:eastAsia="bg-BG"/>
        </w:rPr>
        <w:t xml:space="preserve">/индапамид 2,5 </w:t>
      </w:r>
      <w:r w:rsidRPr="006E6807">
        <w:rPr>
          <w:rFonts w:eastAsia="Times New Roman" w:cs="Arial"/>
          <w:color w:val="000000"/>
          <w:lang w:val="en-US"/>
        </w:rPr>
        <w:t>mg.</w:t>
      </w:r>
    </w:p>
    <w:p w14:paraId="28B6C10F" w14:textId="77777777" w:rsidR="006E6807" w:rsidRPr="006E6807" w:rsidRDefault="006E6807" w:rsidP="006E6807">
      <w:pPr>
        <w:spacing w:line="240" w:lineRule="auto"/>
        <w:rPr>
          <w:rFonts w:eastAsia="Times New Roman" w:cs="Arial"/>
          <w:color w:val="000000"/>
          <w:lang w:eastAsia="bg-BG"/>
        </w:rPr>
      </w:pPr>
    </w:p>
    <w:p w14:paraId="0BF86E79" w14:textId="4F707E1A" w:rsidR="007E4A66" w:rsidRPr="00E42DF2" w:rsidRDefault="006E6807" w:rsidP="00E42DF2">
      <w:pPr>
        <w:spacing w:line="240" w:lineRule="auto"/>
        <w:rPr>
          <w:rFonts w:eastAsia="Times New Roman" w:cs="Arial"/>
          <w:sz w:val="24"/>
          <w:szCs w:val="24"/>
          <w:lang w:eastAsia="bg-BG"/>
        </w:rPr>
      </w:pPr>
      <w:r w:rsidRPr="006E6807">
        <w:rPr>
          <w:rFonts w:eastAsia="Times New Roman" w:cs="Arial"/>
          <w:color w:val="000000"/>
          <w:lang w:eastAsia="bg-BG"/>
        </w:rPr>
        <w:t>По отношение на кръвното налягане, оценените средни междугрупови разлики</w:t>
      </w:r>
      <w:r w:rsidRPr="006E6807">
        <w:rPr>
          <w:rFonts w:eastAsia="Times New Roman" w:cs="Arial"/>
          <w:color w:val="000000"/>
          <w:lang w:val="en-US"/>
        </w:rPr>
        <w:t xml:space="preserve"> </w:t>
      </w:r>
      <w:r w:rsidRPr="006E6807">
        <w:rPr>
          <w:rFonts w:eastAsia="Times New Roman" w:cs="Arial"/>
          <w:color w:val="000000"/>
          <w:lang w:eastAsia="bg-BG"/>
        </w:rPr>
        <w:t xml:space="preserve">в рандомизираната популация са -5,8 </w:t>
      </w:r>
      <w:r w:rsidRPr="006E6807">
        <w:rPr>
          <w:rFonts w:eastAsia="Times New Roman" w:cs="Arial"/>
          <w:color w:val="000000"/>
          <w:lang w:val="en-US"/>
        </w:rPr>
        <w:t xml:space="preserve">mmHg </w:t>
      </w:r>
      <w:r w:rsidRPr="006E6807">
        <w:rPr>
          <w:rFonts w:eastAsia="Times New Roman" w:cs="Arial"/>
          <w:color w:val="000000"/>
          <w:lang w:eastAsia="bg-BG"/>
        </w:rPr>
        <w:t xml:space="preserve">(95% </w:t>
      </w:r>
      <w:r w:rsidRPr="006E6807">
        <w:rPr>
          <w:rFonts w:eastAsia="Times New Roman" w:cs="Arial"/>
          <w:color w:val="000000"/>
          <w:lang w:val="en-US"/>
        </w:rPr>
        <w:t xml:space="preserve">CI </w:t>
      </w:r>
      <w:r w:rsidRPr="006E6807">
        <w:rPr>
          <w:rFonts w:eastAsia="Times New Roman" w:cs="Arial"/>
          <w:color w:val="000000"/>
          <w:lang w:eastAsia="bg-BG"/>
        </w:rPr>
        <w:t xml:space="preserve">(-7,9, -3,7), р &lt; 0,0001) съответно за систолното кръвно налягане и -2,3 </w:t>
      </w:r>
      <w:r w:rsidRPr="006E6807">
        <w:rPr>
          <w:rFonts w:eastAsia="Times New Roman" w:cs="Arial"/>
          <w:color w:val="000000"/>
          <w:lang w:val="en-US"/>
        </w:rPr>
        <w:t xml:space="preserve">mmHg </w:t>
      </w:r>
      <w:r w:rsidRPr="006E6807">
        <w:rPr>
          <w:rFonts w:eastAsia="Times New Roman" w:cs="Arial"/>
          <w:color w:val="000000"/>
          <w:lang w:eastAsia="bg-BG"/>
        </w:rPr>
        <w:t xml:space="preserve">(95% </w:t>
      </w:r>
      <w:r w:rsidRPr="006E6807">
        <w:rPr>
          <w:rFonts w:eastAsia="Times New Roman" w:cs="Arial"/>
          <w:color w:val="000000"/>
          <w:lang w:val="en-US"/>
        </w:rPr>
        <w:t xml:space="preserve">CI </w:t>
      </w:r>
      <w:r w:rsidRPr="006E6807">
        <w:rPr>
          <w:rFonts w:eastAsia="Times New Roman" w:cs="Arial"/>
          <w:color w:val="000000"/>
          <w:lang w:eastAsia="bg-BG"/>
        </w:rPr>
        <w:t>(-3,6,-0,9), р = 0,0004) за диастолното, в полза</w:t>
      </w:r>
      <w:r w:rsidR="00E42DF2">
        <w:rPr>
          <w:rFonts w:eastAsia="Times New Roman" w:cs="Arial"/>
          <w:sz w:val="24"/>
          <w:szCs w:val="24"/>
          <w:lang w:val="en-US" w:eastAsia="bg-BG"/>
        </w:rPr>
        <w:t xml:space="preserve"> </w:t>
      </w:r>
      <w:r w:rsidRPr="006E6807">
        <w:rPr>
          <w:rFonts w:eastAsia="Times New Roman" w:cs="Arial"/>
          <w:color w:val="000000"/>
          <w:lang w:eastAsia="bg-BG"/>
        </w:rPr>
        <w:t>на групата периндоприл/индапамид.</w:t>
      </w:r>
    </w:p>
    <w:p w14:paraId="32680E12" w14:textId="5CF0A393" w:rsidR="006E6807" w:rsidRDefault="006E6807" w:rsidP="006E6807">
      <w:pPr>
        <w:rPr>
          <w:rFonts w:eastAsia="Times New Roman" w:cs="Arial"/>
          <w:color w:val="000000"/>
          <w:lang w:eastAsia="bg-BG"/>
        </w:rPr>
      </w:pPr>
    </w:p>
    <w:p w14:paraId="2B58E7F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периндоприл:</w:t>
      </w:r>
    </w:p>
    <w:p w14:paraId="0CC8843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038416E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Антихипертензивното действие след прием на единична доза достига максимума си след 4 до 6 часа и продължава над 24 часа.</w:t>
      </w:r>
    </w:p>
    <w:p w14:paraId="7D6E8FB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Наблюдава се висока степен на остатъчно блокиране на ангиотензин-конвертиращия ензим 24 часа след приема, приблизително 80%.</w:t>
      </w:r>
    </w:p>
    <w:p w14:paraId="158CB22F"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519C5FD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Спирането на лечението не води до ребаунд ефект на хипертонията.</w:t>
      </w:r>
    </w:p>
    <w:p w14:paraId="771649E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2D1DC14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Когато е необходимо, добавянето на тиазиден диуретик води до адитивен синергизъм.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3C18CDE7" w14:textId="77777777" w:rsidR="00E42DF2" w:rsidRPr="00E42DF2" w:rsidRDefault="00E42DF2" w:rsidP="00E42DF2">
      <w:pPr>
        <w:spacing w:line="240" w:lineRule="auto"/>
        <w:rPr>
          <w:rFonts w:eastAsia="Times New Roman" w:cs="Arial"/>
          <w:i/>
          <w:iCs/>
          <w:color w:val="000000"/>
          <w:lang w:eastAsia="bg-BG"/>
        </w:rPr>
      </w:pPr>
    </w:p>
    <w:p w14:paraId="698C16E8" w14:textId="76E7F7C2"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 xml:space="preserve">Двойно блокиране на систематаренин-ангиотензин-алдостерон </w:t>
      </w:r>
      <w:r w:rsidRPr="00E42DF2">
        <w:rPr>
          <w:rFonts w:eastAsia="Times New Roman" w:cs="Arial"/>
          <w:i/>
          <w:iCs/>
          <w:color w:val="000000"/>
          <w:lang w:val="en-US"/>
        </w:rPr>
        <w:t xml:space="preserve">(RAAS) </w:t>
      </w:r>
      <w:r w:rsidRPr="00E42DF2">
        <w:rPr>
          <w:rFonts w:eastAsia="Times New Roman" w:cs="Arial"/>
          <w:i/>
          <w:iCs/>
          <w:color w:val="000000"/>
          <w:lang w:eastAsia="bg-BG"/>
        </w:rPr>
        <w:t>- данни от клинични проучвания</w:t>
      </w:r>
    </w:p>
    <w:p w14:paraId="3E57AD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Две големи рандомизирани контролирани проучвания - </w:t>
      </w:r>
      <w:r w:rsidRPr="00E42DF2">
        <w:rPr>
          <w:rFonts w:eastAsia="Times New Roman" w:cs="Arial"/>
          <w:color w:val="000000"/>
          <w:lang w:val="en-US"/>
        </w:rPr>
        <w:t>ONTARGET (</w:t>
      </w:r>
      <w:proofErr w:type="spellStart"/>
      <w:r w:rsidRPr="00E42DF2">
        <w:rPr>
          <w:rFonts w:eastAsia="Times New Roman" w:cs="Arial"/>
          <w:color w:val="000000"/>
          <w:lang w:val="en-US"/>
        </w:rPr>
        <w:t>ONgoing</w:t>
      </w:r>
      <w:proofErr w:type="spellEnd"/>
      <w:r w:rsidRPr="00E42DF2">
        <w:rPr>
          <w:rFonts w:eastAsia="Times New Roman" w:cs="Arial"/>
          <w:color w:val="000000"/>
          <w:lang w:val="en-US"/>
        </w:rPr>
        <w:t xml:space="preserve"> </w:t>
      </w:r>
      <w:proofErr w:type="spellStart"/>
      <w:r w:rsidRPr="00E42DF2">
        <w:rPr>
          <w:rFonts w:eastAsia="Times New Roman" w:cs="Arial"/>
          <w:color w:val="000000"/>
          <w:lang w:val="en-US"/>
        </w:rPr>
        <w:t>Telmisartan</w:t>
      </w:r>
      <w:proofErr w:type="spellEnd"/>
      <w:r w:rsidRPr="00E42DF2">
        <w:rPr>
          <w:rFonts w:eastAsia="Times New Roman" w:cs="Arial"/>
          <w:color w:val="000000"/>
          <w:lang w:val="en-US"/>
        </w:rPr>
        <w:t xml:space="preserve"> Alone and in combination with Ramipril Global Endpoint Trial - </w:t>
      </w:r>
      <w:r w:rsidRPr="00E42DF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E42DF2">
        <w:rPr>
          <w:rFonts w:eastAsia="Times New Roman" w:cs="Arial"/>
          <w:color w:val="000000"/>
          <w:lang w:val="en-US"/>
        </w:rPr>
        <w:t xml:space="preserve">VA NEPHRON-D </w:t>
      </w:r>
      <w:r w:rsidRPr="00E42DF2">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44B6644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val="en-US"/>
        </w:rPr>
        <w:t xml:space="preserve">ONTARGET </w:t>
      </w:r>
      <w:r w:rsidRPr="00E42DF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E42DF2">
        <w:rPr>
          <w:rFonts w:eastAsia="Times New Roman" w:cs="Arial"/>
          <w:color w:val="000000"/>
          <w:lang w:val="en-US"/>
        </w:rPr>
        <w:t xml:space="preserve">VA NEPHRON-D </w:t>
      </w:r>
      <w:r w:rsidRPr="00E42DF2">
        <w:rPr>
          <w:rFonts w:eastAsia="Times New Roman" w:cs="Arial"/>
          <w:color w:val="000000"/>
          <w:lang w:eastAsia="bg-BG"/>
        </w:rPr>
        <w:t>е проучване при пациенти със захарен диабет тип 2 и диабетна нефропатия.</w:t>
      </w:r>
    </w:p>
    <w:p w14:paraId="24320C4E"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2F0EC043"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63F29F7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val="en-US"/>
        </w:rPr>
        <w:t xml:space="preserve">ALTITUDE </w:t>
      </w:r>
      <w:r w:rsidRPr="00E42DF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w:t>
      </w:r>
      <w:r w:rsidRPr="00E42DF2">
        <w:rPr>
          <w:rFonts w:eastAsia="Times New Roman" w:cs="Arial"/>
          <w:color w:val="000000"/>
          <w:lang w:eastAsia="bg-BG"/>
        </w:rPr>
        <w:lastRenderedPageBreak/>
        <w:t>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44DC76A" w14:textId="77777777" w:rsidR="00E42DF2" w:rsidRPr="00E42DF2" w:rsidRDefault="00E42DF2" w:rsidP="00E42DF2">
      <w:pPr>
        <w:spacing w:line="240" w:lineRule="auto"/>
        <w:rPr>
          <w:rFonts w:eastAsia="Times New Roman" w:cs="Arial"/>
          <w:i/>
          <w:iCs/>
          <w:color w:val="000000"/>
          <w:u w:val="single"/>
          <w:lang w:eastAsia="bg-BG"/>
        </w:rPr>
      </w:pPr>
    </w:p>
    <w:p w14:paraId="6DDC3287" w14:textId="66361844"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индапамид:</w:t>
      </w:r>
    </w:p>
    <w:p w14:paraId="338B5B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Монотерапията с индапамид оказва антихипертензивен ефект с 24-часова продължителност Този ефект се проявява в дози, оказващи минимално диуретично действие.</w:t>
      </w:r>
      <w:r w:rsidRPr="00E42DF2">
        <w:rPr>
          <w:rFonts w:eastAsia="Times New Roman" w:cs="Arial"/>
          <w:color w:val="000000"/>
          <w:lang w:eastAsia="bg-BG"/>
        </w:rPr>
        <w:tab/>
      </w:r>
    </w:p>
    <w:p w14:paraId="0450A3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Антихипертензивното действие е пропорционално на подобрението на артериалния комплайанс и на понижението на общото и артериоларното периферно съдово съпротивление.</w:t>
      </w:r>
    </w:p>
    <w:p w14:paraId="16C032D8" w14:textId="24AB99C0" w:rsidR="006E6807" w:rsidRPr="00E42DF2" w:rsidRDefault="00E42DF2" w:rsidP="00E42DF2">
      <w:pPr>
        <w:rPr>
          <w:rFonts w:eastAsia="Times New Roman" w:cs="Arial"/>
          <w:color w:val="000000"/>
          <w:lang w:eastAsia="bg-BG"/>
        </w:rPr>
      </w:pPr>
      <w:r w:rsidRPr="00E42DF2">
        <w:rPr>
          <w:rFonts w:eastAsia="Times New Roman" w:cs="Arial"/>
          <w:color w:val="000000"/>
          <w:lang w:eastAsia="bg-BG"/>
        </w:rPr>
        <w:t>Индапамид намалява левокамерната хипертрофия.</w:t>
      </w:r>
    </w:p>
    <w:p w14:paraId="3C7432BD" w14:textId="7834F463" w:rsidR="006E6807" w:rsidRDefault="006E6807" w:rsidP="006E6807">
      <w:pPr>
        <w:rPr>
          <w:rFonts w:cs="Arial"/>
        </w:rPr>
      </w:pPr>
    </w:p>
    <w:p w14:paraId="45178630"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3283C830"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Допълнително, в краткосрочни, средносрочни и дългосрочни изпитвания при хипертоници се установява, че индапамид:</w:t>
      </w:r>
    </w:p>
    <w:p w14:paraId="3C46A069" w14:textId="77777777" w:rsidR="00E42DF2" w:rsidRPr="00E42DF2" w:rsidRDefault="00E42DF2" w:rsidP="00E42DF2">
      <w:pPr>
        <w:pStyle w:val="ListParagraph"/>
        <w:numPr>
          <w:ilvl w:val="0"/>
          <w:numId w:val="19"/>
        </w:numPr>
        <w:spacing w:line="240" w:lineRule="auto"/>
        <w:rPr>
          <w:rFonts w:eastAsia="Times New Roman" w:cs="Arial"/>
          <w:sz w:val="24"/>
          <w:szCs w:val="24"/>
          <w:lang w:eastAsia="bg-BG"/>
        </w:rPr>
      </w:pPr>
      <w:r w:rsidRPr="00E42DF2">
        <w:rPr>
          <w:rFonts w:eastAsia="Times New Roman" w:cs="Arial"/>
          <w:color w:val="000000"/>
          <w:lang w:eastAsia="bg-BG"/>
        </w:rPr>
        <w:t xml:space="preserve">не оказва влияние върху метаболизма на липидите; триглицеридите, </w:t>
      </w:r>
      <w:r w:rsidRPr="00E42DF2">
        <w:rPr>
          <w:rFonts w:eastAsia="Times New Roman" w:cs="Arial"/>
          <w:color w:val="000000"/>
          <w:lang w:val="en-US"/>
        </w:rPr>
        <w:t>LDL</w:t>
      </w:r>
      <w:r w:rsidRPr="00E42DF2">
        <w:rPr>
          <w:rFonts w:eastAsia="Times New Roman" w:cs="Arial"/>
          <w:color w:val="000000"/>
          <w:lang w:eastAsia="bg-BG"/>
        </w:rPr>
        <w:t xml:space="preserve">-холестерола и </w:t>
      </w:r>
      <w:r w:rsidRPr="00E42DF2">
        <w:rPr>
          <w:rFonts w:eastAsia="Times New Roman" w:cs="Arial"/>
          <w:color w:val="000000"/>
          <w:lang w:val="en-US"/>
        </w:rPr>
        <w:t>HDL</w:t>
      </w:r>
      <w:r w:rsidRPr="00E42DF2">
        <w:rPr>
          <w:rFonts w:eastAsia="Times New Roman" w:cs="Arial"/>
          <w:color w:val="000000"/>
          <w:lang w:eastAsia="bg-BG"/>
        </w:rPr>
        <w:t xml:space="preserve">-холестерола, </w:t>
      </w:r>
    </w:p>
    <w:p w14:paraId="04A3B0BC" w14:textId="6A1ED7B8" w:rsidR="00E42DF2" w:rsidRPr="00E42DF2" w:rsidRDefault="00E42DF2" w:rsidP="00E42DF2">
      <w:pPr>
        <w:pStyle w:val="ListParagraph"/>
        <w:numPr>
          <w:ilvl w:val="0"/>
          <w:numId w:val="19"/>
        </w:numPr>
        <w:spacing w:line="240" w:lineRule="auto"/>
        <w:rPr>
          <w:rFonts w:eastAsia="Times New Roman" w:cs="Arial"/>
          <w:sz w:val="24"/>
          <w:szCs w:val="24"/>
          <w:lang w:eastAsia="bg-BG"/>
        </w:rPr>
      </w:pPr>
      <w:r w:rsidRPr="00E42DF2">
        <w:rPr>
          <w:rFonts w:eastAsia="Times New Roman" w:cs="Arial"/>
          <w:color w:val="000000"/>
          <w:lang w:eastAsia="bg-BG"/>
        </w:rPr>
        <w:t>не оказва влияние върху метаболизма на въглехидратите, даже и при хипертоници с диабет.</w:t>
      </w:r>
    </w:p>
    <w:p w14:paraId="1A1EA21F" w14:textId="77777777" w:rsidR="00E42DF2" w:rsidRPr="00E42DF2" w:rsidRDefault="00E42DF2" w:rsidP="00E42DF2">
      <w:pPr>
        <w:spacing w:line="240" w:lineRule="auto"/>
        <w:rPr>
          <w:rFonts w:eastAsia="Times New Roman" w:cs="Arial"/>
          <w:i/>
          <w:iCs/>
          <w:color w:val="000000"/>
          <w:lang w:eastAsia="bg-BG"/>
        </w:rPr>
      </w:pPr>
    </w:p>
    <w:p w14:paraId="16BFC0DD" w14:textId="78D18D1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Педиатрична популация</w:t>
      </w:r>
    </w:p>
    <w:p w14:paraId="22906258" w14:textId="5556AA56" w:rsidR="00E42DF2" w:rsidRPr="00E42DF2" w:rsidRDefault="00E42DF2" w:rsidP="00E42DF2">
      <w:pPr>
        <w:rPr>
          <w:rFonts w:cs="Arial"/>
        </w:rPr>
      </w:pPr>
      <w:r w:rsidRPr="00E42DF2">
        <w:rPr>
          <w:rFonts w:eastAsia="Times New Roman" w:cs="Arial"/>
          <w:color w:val="000000"/>
          <w:lang w:eastAsia="bg-BG"/>
        </w:rPr>
        <w:t>Няма данни за периндоприл в комбинация с индапамид при деца.</w:t>
      </w:r>
    </w:p>
    <w:p w14:paraId="25168E47" w14:textId="77777777" w:rsidR="00E42DF2" w:rsidRPr="006E6807" w:rsidRDefault="00E42DF2" w:rsidP="006E6807">
      <w:pPr>
        <w:rPr>
          <w:rFonts w:cs="Arial"/>
        </w:rPr>
      </w:pPr>
    </w:p>
    <w:p w14:paraId="35F84B81" w14:textId="36F0EFA0" w:rsidR="00CF77F7" w:rsidRDefault="002C50EE" w:rsidP="004A448E">
      <w:pPr>
        <w:pStyle w:val="Heading2"/>
      </w:pPr>
      <w:r>
        <w:t>5.2. Фармакокинетични свойства</w:t>
      </w:r>
    </w:p>
    <w:p w14:paraId="5425A790" w14:textId="439A225E" w:rsidR="00E42DF2" w:rsidRDefault="00E42DF2" w:rsidP="00E42DF2"/>
    <w:p w14:paraId="32AF563D"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Ко-Пренеса:</w:t>
      </w:r>
    </w:p>
    <w:p w14:paraId="68DD929F" w14:textId="77777777" w:rsidR="00E42DF2" w:rsidRPr="00E42DF2" w:rsidRDefault="00E42DF2" w:rsidP="00E42DF2">
      <w:pPr>
        <w:spacing w:line="240" w:lineRule="auto"/>
        <w:rPr>
          <w:rFonts w:eastAsia="Times New Roman" w:cs="Arial"/>
          <w:color w:val="000000"/>
          <w:lang w:eastAsia="bg-BG"/>
        </w:rPr>
      </w:pPr>
    </w:p>
    <w:p w14:paraId="0B8C3AF4" w14:textId="03E44FFF"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Едновременното прилагане на периндоприл и индапамид не променя техните фармакокинетични свойства в сравнение със самостоятелното им приложение.</w:t>
      </w:r>
    </w:p>
    <w:p w14:paraId="6F3CA073" w14:textId="77777777" w:rsidR="00E42DF2" w:rsidRPr="00E42DF2" w:rsidRDefault="00E42DF2" w:rsidP="00E42DF2">
      <w:pPr>
        <w:spacing w:line="240" w:lineRule="auto"/>
        <w:rPr>
          <w:rFonts w:eastAsia="Times New Roman" w:cs="Arial"/>
          <w:i/>
          <w:iCs/>
          <w:color w:val="000000"/>
          <w:u w:val="single"/>
          <w:lang w:eastAsia="bg-BG"/>
        </w:rPr>
      </w:pPr>
    </w:p>
    <w:p w14:paraId="1DBE5F7C" w14:textId="7F7CBBC6"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периндоприл:</w:t>
      </w:r>
    </w:p>
    <w:p w14:paraId="528CD2B8" w14:textId="77777777" w:rsidR="00E42DF2" w:rsidRPr="00E42DF2" w:rsidRDefault="00E42DF2" w:rsidP="00E42DF2">
      <w:pPr>
        <w:spacing w:line="240" w:lineRule="auto"/>
        <w:rPr>
          <w:rFonts w:eastAsia="Times New Roman" w:cs="Arial"/>
          <w:color w:val="000000"/>
          <w:u w:val="single"/>
          <w:lang w:eastAsia="bg-BG"/>
        </w:rPr>
      </w:pPr>
    </w:p>
    <w:p w14:paraId="2B61DE68" w14:textId="74EA10A0" w:rsidR="00E42DF2" w:rsidRPr="00E42DF2" w:rsidRDefault="00E42DF2" w:rsidP="00E42DF2">
      <w:pPr>
        <w:pStyle w:val="Heading3"/>
        <w:rPr>
          <w:rFonts w:eastAsia="Times New Roman"/>
          <w:u w:val="single"/>
          <w:lang w:eastAsia="bg-BG"/>
        </w:rPr>
      </w:pPr>
      <w:r w:rsidRPr="00E42DF2">
        <w:rPr>
          <w:rFonts w:eastAsia="Times New Roman"/>
          <w:u w:val="single"/>
          <w:lang w:eastAsia="bg-BG"/>
        </w:rPr>
        <w:t>Абсорбция и бионаличност</w:t>
      </w:r>
    </w:p>
    <w:p w14:paraId="649E04C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След перорален прием, периндоприл се резорбира бързо и пикови концентрации се достигат в рамките на 1 час. Плазменият полуживот на периндоприл е равен на 1 час.</w:t>
      </w:r>
    </w:p>
    <w:p w14:paraId="1D29838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Тъй като приемането на храна понижава превръщането в периндоприлат, а оттам и бионаличността, терт-бутиламиновият периндоприл трябва да се приема пероралнно като еднократна дневна доза сутрин преди хранене.</w:t>
      </w:r>
    </w:p>
    <w:p w14:paraId="79C0CF9F" w14:textId="77777777" w:rsidR="00E42DF2" w:rsidRPr="00E42DF2" w:rsidRDefault="00E42DF2" w:rsidP="00E42DF2">
      <w:pPr>
        <w:spacing w:line="240" w:lineRule="auto"/>
        <w:rPr>
          <w:rFonts w:eastAsia="Times New Roman" w:cs="Arial"/>
          <w:color w:val="000000"/>
          <w:u w:val="single"/>
          <w:lang w:eastAsia="bg-BG"/>
        </w:rPr>
      </w:pPr>
    </w:p>
    <w:p w14:paraId="5CA7D850" w14:textId="5F0FBC89" w:rsidR="00E42DF2" w:rsidRPr="00E42DF2" w:rsidRDefault="00E42DF2" w:rsidP="00E42DF2">
      <w:pPr>
        <w:pStyle w:val="Heading3"/>
        <w:rPr>
          <w:rFonts w:eastAsia="Times New Roman"/>
          <w:u w:val="single"/>
          <w:lang w:eastAsia="bg-BG"/>
        </w:rPr>
      </w:pPr>
      <w:r w:rsidRPr="00E42DF2">
        <w:rPr>
          <w:rFonts w:eastAsia="Times New Roman"/>
          <w:u w:val="single"/>
          <w:lang w:eastAsia="bg-BG"/>
        </w:rPr>
        <w:t>Разпределение</w:t>
      </w:r>
    </w:p>
    <w:p w14:paraId="2E226216"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Обемът на разпределение е приблизително 0,2 </w:t>
      </w:r>
      <w:r w:rsidRPr="00E42DF2">
        <w:rPr>
          <w:rFonts w:eastAsia="Times New Roman" w:cs="Arial"/>
          <w:color w:val="000000"/>
          <w:lang w:val="en-US"/>
        </w:rPr>
        <w:t xml:space="preserve">l/kg </w:t>
      </w:r>
      <w:r w:rsidRPr="00E42DF2">
        <w:rPr>
          <w:rFonts w:eastAsia="Times New Roman" w:cs="Arial"/>
          <w:color w:val="00000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5E257BEB" w14:textId="77777777" w:rsidR="00E42DF2" w:rsidRPr="00E42DF2" w:rsidRDefault="00E42DF2" w:rsidP="00E42DF2">
      <w:pPr>
        <w:spacing w:line="240" w:lineRule="auto"/>
        <w:rPr>
          <w:rFonts w:eastAsia="Times New Roman" w:cs="Arial"/>
          <w:color w:val="000000"/>
          <w:u w:val="single"/>
          <w:lang w:eastAsia="bg-BG"/>
        </w:rPr>
      </w:pPr>
    </w:p>
    <w:p w14:paraId="7819A47B" w14:textId="27E6D927" w:rsidR="00E42DF2" w:rsidRPr="00E42DF2" w:rsidRDefault="00E42DF2" w:rsidP="00E42DF2">
      <w:pPr>
        <w:pStyle w:val="Heading3"/>
        <w:rPr>
          <w:rFonts w:eastAsia="Times New Roman"/>
          <w:u w:val="single"/>
          <w:lang w:eastAsia="bg-BG"/>
        </w:rPr>
      </w:pPr>
      <w:r w:rsidRPr="00E42DF2">
        <w:rPr>
          <w:rFonts w:eastAsia="Times New Roman"/>
          <w:u w:val="single"/>
          <w:lang w:eastAsia="bg-BG"/>
        </w:rPr>
        <w:lastRenderedPageBreak/>
        <w:t>Биотрансформация</w:t>
      </w:r>
    </w:p>
    <w:p w14:paraId="0AC7EF4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е лекарствен предшественик.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77F5B327" w14:textId="77777777" w:rsidR="00E42DF2" w:rsidRPr="00E42DF2" w:rsidRDefault="00E42DF2" w:rsidP="00E42DF2">
      <w:pPr>
        <w:spacing w:line="240" w:lineRule="auto"/>
        <w:rPr>
          <w:rFonts w:eastAsia="Times New Roman" w:cs="Arial"/>
          <w:color w:val="000000"/>
          <w:u w:val="single"/>
          <w:lang w:eastAsia="bg-BG"/>
        </w:rPr>
      </w:pPr>
    </w:p>
    <w:p w14:paraId="33327219" w14:textId="43E65FCA" w:rsidR="00E42DF2" w:rsidRPr="00E42DF2" w:rsidRDefault="00E42DF2" w:rsidP="00E42DF2">
      <w:pPr>
        <w:pStyle w:val="Heading3"/>
        <w:rPr>
          <w:rFonts w:eastAsia="Times New Roman"/>
          <w:u w:val="single"/>
          <w:lang w:eastAsia="bg-BG"/>
        </w:rPr>
      </w:pPr>
      <w:r w:rsidRPr="00E42DF2">
        <w:rPr>
          <w:rFonts w:eastAsia="Times New Roman"/>
          <w:u w:val="single"/>
          <w:lang w:eastAsia="bg-BG"/>
        </w:rPr>
        <w:t>Линейност/нелинейност</w:t>
      </w:r>
    </w:p>
    <w:p w14:paraId="314FE89F"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Демонстрирана е линейна зависимост между приетата доза периндоприл и плазмената експозиция.</w:t>
      </w:r>
    </w:p>
    <w:p w14:paraId="68454148" w14:textId="77777777" w:rsidR="00E42DF2" w:rsidRPr="00E42DF2" w:rsidRDefault="00E42DF2" w:rsidP="00E42DF2">
      <w:pPr>
        <w:spacing w:line="240" w:lineRule="auto"/>
        <w:rPr>
          <w:rFonts w:eastAsia="Times New Roman" w:cs="Arial"/>
          <w:color w:val="000000"/>
          <w:u w:val="single"/>
          <w:lang w:eastAsia="bg-BG"/>
        </w:rPr>
      </w:pPr>
    </w:p>
    <w:p w14:paraId="619BF6CC" w14:textId="12C9F193" w:rsidR="00E42DF2" w:rsidRPr="00E42DF2" w:rsidRDefault="00E42DF2" w:rsidP="00E42DF2">
      <w:pPr>
        <w:pStyle w:val="Heading3"/>
        <w:rPr>
          <w:rFonts w:eastAsia="Times New Roman"/>
          <w:u w:val="single"/>
          <w:lang w:eastAsia="bg-BG"/>
        </w:rPr>
      </w:pPr>
      <w:r w:rsidRPr="00E42DF2">
        <w:rPr>
          <w:rFonts w:eastAsia="Times New Roman"/>
          <w:u w:val="single"/>
          <w:lang w:eastAsia="bg-BG"/>
        </w:rPr>
        <w:t>Елиминиране</w:t>
      </w:r>
    </w:p>
    <w:p w14:paraId="3757E48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41E7B30A"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Елиминирането на периндоприлат се понижава при пациенти в старческа възраст и при пациенти със сърдечна или бъбречна недостатъчност. При бъбречна недостатъчност е желателна корекция на дозата, в зависимост от степента на нарушението (креатининовия клирънс).</w:t>
      </w:r>
    </w:p>
    <w:p w14:paraId="70CC5AD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Диализният клирънс на периндоприлат е равен на 70 </w:t>
      </w:r>
      <w:r w:rsidRPr="00E42DF2">
        <w:rPr>
          <w:rFonts w:eastAsia="Times New Roman" w:cs="Arial"/>
          <w:color w:val="000000"/>
          <w:lang w:val="en-US"/>
        </w:rPr>
        <w:t>ml/min.</w:t>
      </w:r>
    </w:p>
    <w:p w14:paraId="6DEC06B3" w14:textId="77777777" w:rsidR="00E42DF2" w:rsidRPr="00E42DF2" w:rsidRDefault="00E42DF2" w:rsidP="00E42DF2">
      <w:pPr>
        <w:rPr>
          <w:rFonts w:eastAsia="Times New Roman" w:cs="Arial"/>
          <w:color w:val="000000"/>
          <w:u w:val="single"/>
          <w:lang w:eastAsia="bg-BG"/>
        </w:rPr>
      </w:pPr>
    </w:p>
    <w:p w14:paraId="0B254EF0" w14:textId="522B9B27" w:rsidR="00E42DF2" w:rsidRPr="00E42DF2" w:rsidRDefault="00E42DF2" w:rsidP="00E42DF2">
      <w:pPr>
        <w:pStyle w:val="Heading3"/>
        <w:rPr>
          <w:u w:val="single"/>
        </w:rPr>
      </w:pPr>
      <w:r w:rsidRPr="00E42DF2">
        <w:rPr>
          <w:rFonts w:eastAsia="Times New Roman"/>
          <w:u w:val="single"/>
          <w:lang w:eastAsia="bg-BG"/>
        </w:rPr>
        <w:t>Специални популации</w:t>
      </w:r>
    </w:p>
    <w:p w14:paraId="7B47B3BA" w14:textId="77777777" w:rsidR="00E42DF2" w:rsidRDefault="00E42DF2" w:rsidP="00E42DF2">
      <w:pPr>
        <w:spacing w:line="240" w:lineRule="auto"/>
        <w:rPr>
          <w:rFonts w:ascii="Times New Roman" w:eastAsia="Times New Roman" w:hAnsi="Times New Roman" w:cs="Times New Roman"/>
          <w:i/>
          <w:iCs/>
          <w:color w:val="000000"/>
          <w:lang w:eastAsia="bg-BG"/>
        </w:rPr>
      </w:pPr>
    </w:p>
    <w:p w14:paraId="0D30371D" w14:textId="1756E2CE"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Старческа възраст</w:t>
      </w:r>
    </w:p>
    <w:p w14:paraId="0DBF17F3" w14:textId="10E0B39A"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Елиминирането на периндоприлат е намалено при пациенти в старческа възраст и също при пациенти със сърдечна или бъбречна недостатъчност.</w:t>
      </w:r>
    </w:p>
    <w:p w14:paraId="515C283E" w14:textId="77777777" w:rsidR="00E42DF2" w:rsidRPr="00E42DF2" w:rsidRDefault="00E42DF2" w:rsidP="00E42DF2">
      <w:pPr>
        <w:spacing w:line="240" w:lineRule="auto"/>
        <w:rPr>
          <w:rFonts w:eastAsia="Times New Roman" w:cs="Arial"/>
          <w:i/>
          <w:iCs/>
          <w:color w:val="000000"/>
          <w:lang w:eastAsia="bg-BG"/>
        </w:rPr>
      </w:pPr>
    </w:p>
    <w:p w14:paraId="77067288" w14:textId="63E488AC"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Бъбречно увреждане</w:t>
      </w:r>
    </w:p>
    <w:p w14:paraId="4D64C08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Адаптиране на дозата при бъбречна недостатъчност е желателна в зависимост от степента на увреждането (креатининовия клирънс).</w:t>
      </w:r>
    </w:p>
    <w:p w14:paraId="503CDAF0" w14:textId="77777777" w:rsidR="00E42DF2" w:rsidRPr="00E42DF2" w:rsidRDefault="00E42DF2" w:rsidP="00E42DF2">
      <w:pPr>
        <w:spacing w:line="240" w:lineRule="auto"/>
        <w:rPr>
          <w:rFonts w:eastAsia="Times New Roman" w:cs="Arial"/>
          <w:i/>
          <w:iCs/>
          <w:color w:val="000000"/>
          <w:lang w:eastAsia="bg-BG"/>
        </w:rPr>
      </w:pPr>
    </w:p>
    <w:p w14:paraId="2D3A848F" w14:textId="08C6DDEF"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Пациенти на диализа</w:t>
      </w:r>
    </w:p>
    <w:p w14:paraId="38FC3E6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Диализният клирънс на периндоприлат е равен на 70 </w:t>
      </w:r>
      <w:r w:rsidRPr="00E42DF2">
        <w:rPr>
          <w:rFonts w:eastAsia="Times New Roman" w:cs="Arial"/>
          <w:color w:val="000000"/>
          <w:lang w:val="en-US"/>
        </w:rPr>
        <w:t>ml/min.</w:t>
      </w:r>
    </w:p>
    <w:p w14:paraId="4CA5DF6E" w14:textId="77777777" w:rsidR="00E42DF2" w:rsidRPr="00E42DF2" w:rsidRDefault="00E42DF2" w:rsidP="00E42DF2">
      <w:pPr>
        <w:spacing w:line="240" w:lineRule="auto"/>
        <w:rPr>
          <w:rFonts w:eastAsia="Times New Roman" w:cs="Arial"/>
          <w:i/>
          <w:iCs/>
          <w:color w:val="000000"/>
          <w:lang w:eastAsia="bg-BG"/>
        </w:rPr>
      </w:pPr>
    </w:p>
    <w:p w14:paraId="3FF32187" w14:textId="49A7FD1B"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Цироза</w:t>
      </w:r>
    </w:p>
    <w:p w14:paraId="6D5A1AA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Кинетиката на периндоприл е променена при пациенти с цироза: чернодробният клирънс на майчината молекула е намален наполовина. Въпреки това, количеството на образувания периндоприлат не намалява и следователно не се налага съобразяване на дозировката (вж. точки 4.2 и 4.4).</w:t>
      </w:r>
    </w:p>
    <w:p w14:paraId="570B02B8" w14:textId="77777777" w:rsidR="00E42DF2" w:rsidRPr="00E42DF2" w:rsidRDefault="00E42DF2" w:rsidP="00E42DF2">
      <w:pPr>
        <w:spacing w:line="240" w:lineRule="auto"/>
        <w:rPr>
          <w:rFonts w:eastAsia="Times New Roman" w:cs="Arial"/>
          <w:i/>
          <w:iCs/>
          <w:color w:val="000000"/>
          <w:u w:val="single"/>
          <w:lang w:eastAsia="bg-BG"/>
        </w:rPr>
      </w:pPr>
    </w:p>
    <w:p w14:paraId="34BD2DA5" w14:textId="12796B03"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индапамид:</w:t>
      </w:r>
    </w:p>
    <w:p w14:paraId="6E5340E0" w14:textId="77777777" w:rsidR="00E42DF2" w:rsidRPr="00E42DF2" w:rsidRDefault="00E42DF2" w:rsidP="00E42DF2">
      <w:pPr>
        <w:spacing w:line="240" w:lineRule="auto"/>
        <w:rPr>
          <w:rFonts w:eastAsia="Times New Roman" w:cs="Arial"/>
          <w:color w:val="000000"/>
          <w:u w:val="single"/>
          <w:lang w:eastAsia="bg-BG"/>
        </w:rPr>
      </w:pPr>
    </w:p>
    <w:p w14:paraId="588CD69A" w14:textId="5C742243" w:rsidR="00E42DF2" w:rsidRPr="00E42DF2" w:rsidRDefault="00E42DF2" w:rsidP="00E42DF2">
      <w:pPr>
        <w:pStyle w:val="Heading3"/>
        <w:rPr>
          <w:rFonts w:eastAsia="Times New Roman"/>
          <w:u w:val="single"/>
          <w:lang w:eastAsia="bg-BG"/>
        </w:rPr>
      </w:pPr>
      <w:r w:rsidRPr="00E42DF2">
        <w:rPr>
          <w:rFonts w:eastAsia="Times New Roman"/>
          <w:u w:val="single"/>
          <w:lang w:eastAsia="bg-BG"/>
        </w:rPr>
        <w:t>Абсорбция</w:t>
      </w:r>
    </w:p>
    <w:p w14:paraId="2E11AC9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Индапамид се абсорбира бързо и напълно в храносмилателния тракт.</w:t>
      </w:r>
    </w:p>
    <w:p w14:paraId="7717AE4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Пиковата плазмена концентрация се достига при хора приблизително един час след перорален прием на продукта.</w:t>
      </w:r>
    </w:p>
    <w:p w14:paraId="1D33B647" w14:textId="77777777" w:rsidR="00E42DF2" w:rsidRPr="00E42DF2" w:rsidRDefault="00E42DF2" w:rsidP="00E42DF2">
      <w:pPr>
        <w:spacing w:line="240" w:lineRule="auto"/>
        <w:rPr>
          <w:rFonts w:eastAsia="Times New Roman" w:cs="Arial"/>
          <w:color w:val="000000"/>
          <w:u w:val="single"/>
          <w:lang w:eastAsia="bg-BG"/>
        </w:rPr>
      </w:pPr>
    </w:p>
    <w:p w14:paraId="62855F7C" w14:textId="625620C3" w:rsidR="00E42DF2" w:rsidRPr="00E42DF2" w:rsidRDefault="00E42DF2" w:rsidP="00E42DF2">
      <w:pPr>
        <w:pStyle w:val="Heading3"/>
        <w:rPr>
          <w:rFonts w:eastAsia="Times New Roman"/>
          <w:u w:val="single"/>
          <w:lang w:eastAsia="bg-BG"/>
        </w:rPr>
      </w:pPr>
      <w:r w:rsidRPr="00E42DF2">
        <w:rPr>
          <w:rFonts w:eastAsia="Times New Roman"/>
          <w:u w:val="single"/>
          <w:lang w:eastAsia="bg-BG"/>
        </w:rPr>
        <w:t>Разпределение</w:t>
      </w:r>
    </w:p>
    <w:p w14:paraId="31AD10C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Свързването с плазмените протеини е 79 %.</w:t>
      </w:r>
    </w:p>
    <w:p w14:paraId="657F5E6B" w14:textId="77777777" w:rsidR="00E42DF2" w:rsidRPr="00E42DF2" w:rsidRDefault="00E42DF2" w:rsidP="00E42DF2">
      <w:pPr>
        <w:spacing w:line="240" w:lineRule="auto"/>
        <w:rPr>
          <w:rFonts w:eastAsia="Times New Roman" w:cs="Arial"/>
          <w:color w:val="000000"/>
          <w:u w:val="single"/>
          <w:lang w:eastAsia="bg-BG"/>
        </w:rPr>
      </w:pPr>
    </w:p>
    <w:p w14:paraId="5768ADDA" w14:textId="2E93570D" w:rsidR="00E42DF2" w:rsidRPr="00E42DF2" w:rsidRDefault="00E42DF2" w:rsidP="00E42DF2">
      <w:pPr>
        <w:pStyle w:val="Heading3"/>
        <w:rPr>
          <w:rFonts w:eastAsia="Times New Roman"/>
          <w:u w:val="single"/>
          <w:lang w:eastAsia="bg-BG"/>
        </w:rPr>
      </w:pPr>
      <w:r w:rsidRPr="00E42DF2">
        <w:rPr>
          <w:rFonts w:eastAsia="Times New Roman"/>
          <w:u w:val="single"/>
          <w:lang w:eastAsia="bg-BG"/>
        </w:rPr>
        <w:t>Елиминиране</w:t>
      </w:r>
    </w:p>
    <w:p w14:paraId="65E27A0E"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Времето на полуживот е между 14 и 24 часа (средно 18 часа). Многократният прием не води до кумулация. Елиминацията е главно с урината (70% от приетата доза) и изпражненията (22%) под формата на неактивни метаболити.</w:t>
      </w:r>
    </w:p>
    <w:p w14:paraId="36513935" w14:textId="77777777" w:rsidR="00E42DF2" w:rsidRPr="00E42DF2" w:rsidRDefault="00E42DF2" w:rsidP="00E42DF2">
      <w:pPr>
        <w:spacing w:line="240" w:lineRule="auto"/>
        <w:rPr>
          <w:rFonts w:eastAsia="Times New Roman" w:cs="Arial"/>
          <w:color w:val="000000"/>
          <w:u w:val="single"/>
          <w:lang w:eastAsia="bg-BG"/>
        </w:rPr>
      </w:pPr>
    </w:p>
    <w:p w14:paraId="3C716093" w14:textId="0AECB7BB" w:rsidR="00E42DF2" w:rsidRPr="00E42DF2" w:rsidRDefault="00E42DF2" w:rsidP="00E42DF2">
      <w:pPr>
        <w:pStyle w:val="Heading3"/>
        <w:rPr>
          <w:rFonts w:eastAsia="Times New Roman"/>
          <w:u w:val="single"/>
          <w:lang w:eastAsia="bg-BG"/>
        </w:rPr>
      </w:pPr>
      <w:bookmarkStart w:id="2" w:name="_GoBack"/>
      <w:r w:rsidRPr="00E42DF2">
        <w:rPr>
          <w:rFonts w:eastAsia="Times New Roman"/>
          <w:u w:val="single"/>
          <w:lang w:eastAsia="bg-BG"/>
        </w:rPr>
        <w:t>Специални популации</w:t>
      </w:r>
    </w:p>
    <w:bookmarkEnd w:id="2"/>
    <w:p w14:paraId="2839B152" w14:textId="77777777" w:rsidR="00E42DF2" w:rsidRPr="00E42DF2" w:rsidRDefault="00E42DF2" w:rsidP="00E42DF2">
      <w:pPr>
        <w:spacing w:line="240" w:lineRule="auto"/>
        <w:rPr>
          <w:rFonts w:eastAsia="Times New Roman" w:cs="Arial"/>
          <w:i/>
          <w:iCs/>
          <w:color w:val="000000"/>
          <w:lang w:eastAsia="bg-BG"/>
        </w:rPr>
      </w:pPr>
    </w:p>
    <w:p w14:paraId="6492BA0C" w14:textId="650C698A"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Бъбречно увреждане</w:t>
      </w:r>
    </w:p>
    <w:p w14:paraId="30A5BA4E" w14:textId="485456A1" w:rsidR="00E42DF2" w:rsidRPr="00E42DF2" w:rsidRDefault="00E42DF2" w:rsidP="00E42DF2">
      <w:pPr>
        <w:rPr>
          <w:rFonts w:eastAsia="Times New Roman" w:cs="Arial"/>
          <w:color w:val="000000"/>
          <w:lang w:eastAsia="bg-BG"/>
        </w:rPr>
      </w:pPr>
      <w:r w:rsidRPr="00E42DF2">
        <w:rPr>
          <w:rFonts w:eastAsia="Times New Roman" w:cs="Arial"/>
          <w:color w:val="000000"/>
          <w:lang w:eastAsia="bg-BG"/>
        </w:rPr>
        <w:t>Фармакокинетичните свойства не се променят при пациенти с бъбречна недостатъчност.</w:t>
      </w:r>
    </w:p>
    <w:p w14:paraId="20138063" w14:textId="4B3AF5D5" w:rsidR="00E42DF2" w:rsidRPr="00E42DF2" w:rsidRDefault="00E42DF2" w:rsidP="00E42DF2"/>
    <w:p w14:paraId="648E39DA" w14:textId="2FF5C253" w:rsidR="00CF77F7" w:rsidRDefault="002C50EE" w:rsidP="004A448E">
      <w:pPr>
        <w:pStyle w:val="Heading2"/>
      </w:pPr>
      <w:r>
        <w:t>5.3. Предклинични данни за безопасност</w:t>
      </w:r>
    </w:p>
    <w:p w14:paraId="022CAABF" w14:textId="069F0488" w:rsidR="00E42DF2" w:rsidRDefault="00E42DF2" w:rsidP="00E42DF2"/>
    <w:p w14:paraId="75F682EB"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Ко-Пренеса показва малко по-висока токсичност от тази на компонентите си. При плъхове не се наблюдава засилване на бъбречните прояви. Комбинацията, обаче, предизвиква гастро- интестинална токсичност при кучета, а токсичните ефекти върху майката са повишени при плъхове (в сравнение с периндоприл).</w:t>
      </w:r>
    </w:p>
    <w:p w14:paraId="1D7D9028" w14:textId="0D096B95" w:rsidR="00E42DF2" w:rsidRPr="00E42DF2" w:rsidRDefault="00E42DF2" w:rsidP="00E42DF2">
      <w:pPr>
        <w:rPr>
          <w:rFonts w:cs="Arial"/>
        </w:rPr>
      </w:pPr>
      <w:r w:rsidRPr="00E42DF2">
        <w:rPr>
          <w:rFonts w:eastAsia="Times New Roman" w:cs="Arial"/>
          <w:color w:val="000000"/>
          <w:lang w:eastAsia="bg-BG"/>
        </w:rPr>
        <w:t>Въпреки това, тези нежелани реакции се наблюдават при дози, много по-различни от използваните терапевтични дози, което показва ясно очертан диапазон на безопасност. Предклиничните изпитвания, проведени поотделно с периндоприл и индапамид, не са показали генетична токсичност, карциногенност. Проучванията за репродуктивна токсичност не показват ембриотоксичност или тератогенен потенциал , а фертилитетът не се нарушава.</w:t>
      </w:r>
    </w:p>
    <w:p w14:paraId="02321C0A" w14:textId="77777777" w:rsidR="00E42DF2" w:rsidRPr="00E42DF2" w:rsidRDefault="00E42DF2" w:rsidP="00E42DF2"/>
    <w:p w14:paraId="6A7820AB" w14:textId="4A17FCF3" w:rsidR="008A6AF2" w:rsidRDefault="002C50EE" w:rsidP="00395555">
      <w:pPr>
        <w:pStyle w:val="Heading1"/>
      </w:pPr>
      <w:r>
        <w:t>7. ПРИТЕЖАТЕЛ НА РАЗРЕШЕНИЕТО ЗА УПОТРЕБА</w:t>
      </w:r>
    </w:p>
    <w:p w14:paraId="154FC627" w14:textId="307191C6" w:rsidR="00E42DF2" w:rsidRDefault="00E42DF2" w:rsidP="00E42DF2"/>
    <w:p w14:paraId="0FF216F9" w14:textId="500E34D3" w:rsidR="00E42DF2" w:rsidRDefault="00E42DF2" w:rsidP="00E42DF2">
      <w:r>
        <w:t xml:space="preserve">KRKA, d.d., Novo mesto, </w:t>
      </w:r>
      <w:r>
        <w:rPr>
          <w:lang w:eastAsia="bg-BG"/>
        </w:rPr>
        <w:t>Šmarješka cesta</w:t>
      </w:r>
      <w:r>
        <w:t xml:space="preserve"> 6, 8501 Novo mesto, </w:t>
      </w:r>
      <w:r>
        <w:rPr>
          <w:lang w:eastAsia="bg-BG"/>
        </w:rPr>
        <w:t>Словения</w:t>
      </w:r>
    </w:p>
    <w:p w14:paraId="1469651E" w14:textId="77777777" w:rsidR="00E42DF2" w:rsidRPr="00E42DF2" w:rsidRDefault="00E42DF2" w:rsidP="00E42DF2"/>
    <w:p w14:paraId="7BA1BA64" w14:textId="4C0D5CA4" w:rsidR="00CF77F7" w:rsidRDefault="002C50EE" w:rsidP="004A448E">
      <w:pPr>
        <w:pStyle w:val="Heading1"/>
      </w:pPr>
      <w:r>
        <w:t>8. НОМЕР НА РАЗРЕШЕНИЕТО ЗА УПОТРЕБА</w:t>
      </w:r>
    </w:p>
    <w:p w14:paraId="37A7DF30" w14:textId="3E2A0596" w:rsidR="00E42DF2" w:rsidRDefault="00E42DF2" w:rsidP="00E42DF2"/>
    <w:p w14:paraId="26565839" w14:textId="77777777" w:rsidR="00E42DF2" w:rsidRPr="00E42DF2" w:rsidRDefault="00E42DF2" w:rsidP="00E42DF2">
      <w:pPr>
        <w:spacing w:line="240" w:lineRule="auto"/>
        <w:rPr>
          <w:rFonts w:eastAsia="Times New Roman" w:cs="Arial"/>
          <w:sz w:val="24"/>
          <w:szCs w:val="24"/>
          <w:lang w:val="en-US" w:eastAsia="bg-BG"/>
        </w:rPr>
      </w:pPr>
      <w:r w:rsidRPr="00E42DF2">
        <w:rPr>
          <w:rFonts w:eastAsia="Times New Roman" w:cs="Arial"/>
          <w:color w:val="000000"/>
          <w:lang w:eastAsia="bg-BG"/>
        </w:rPr>
        <w:t xml:space="preserve">Ко-Пренеса 2 </w:t>
      </w:r>
      <w:r w:rsidRPr="00E42DF2">
        <w:rPr>
          <w:rFonts w:eastAsia="Times New Roman" w:cs="Arial"/>
          <w:color w:val="000000"/>
          <w:lang w:val="en-US"/>
        </w:rPr>
        <w:t xml:space="preserve">mg/0,625 mg -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 20100296</w:t>
      </w:r>
    </w:p>
    <w:p w14:paraId="59835C18" w14:textId="77777777" w:rsidR="00E42DF2" w:rsidRPr="00E42DF2" w:rsidRDefault="00E42DF2" w:rsidP="00E42DF2">
      <w:pPr>
        <w:spacing w:line="240" w:lineRule="auto"/>
        <w:rPr>
          <w:rFonts w:eastAsia="Times New Roman" w:cs="Arial"/>
          <w:sz w:val="24"/>
          <w:szCs w:val="24"/>
          <w:lang w:val="en-US" w:eastAsia="bg-BG"/>
        </w:rPr>
      </w:pPr>
      <w:r w:rsidRPr="00E42DF2">
        <w:rPr>
          <w:rFonts w:eastAsia="Times New Roman" w:cs="Arial"/>
          <w:color w:val="000000"/>
          <w:lang w:eastAsia="bg-BG"/>
        </w:rPr>
        <w:t xml:space="preserve">Ко-Пренеса </w:t>
      </w:r>
      <w:r w:rsidRPr="00E42DF2">
        <w:rPr>
          <w:rFonts w:eastAsia="Times New Roman" w:cs="Arial"/>
          <w:color w:val="000000"/>
          <w:lang w:val="en-US"/>
        </w:rPr>
        <w:t xml:space="preserve">4 mg/1,25 mg -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№20100297</w:t>
      </w:r>
    </w:p>
    <w:p w14:paraId="6D251A77" w14:textId="1F70F94F" w:rsidR="00E42DF2" w:rsidRPr="00E42DF2" w:rsidRDefault="00E42DF2" w:rsidP="00E42DF2">
      <w:pPr>
        <w:rPr>
          <w:rFonts w:cs="Arial"/>
        </w:rPr>
      </w:pPr>
      <w:r w:rsidRPr="00E42DF2">
        <w:rPr>
          <w:rFonts w:eastAsia="Times New Roman" w:cs="Arial"/>
          <w:color w:val="000000"/>
          <w:lang w:eastAsia="bg-BG"/>
        </w:rPr>
        <w:t xml:space="preserve">Ко-Пренеса </w:t>
      </w:r>
      <w:r w:rsidRPr="00E42DF2">
        <w:rPr>
          <w:rFonts w:eastAsia="Times New Roman" w:cs="Arial"/>
          <w:color w:val="000000"/>
          <w:lang w:val="en-US"/>
        </w:rPr>
        <w:t>8 mg/2,5 mg -</w:t>
      </w:r>
      <w:r w:rsidRPr="00E42DF2">
        <w:rPr>
          <w:rFonts w:eastAsia="Times New Roman" w:cs="Arial"/>
          <w:color w:val="000000"/>
          <w:lang w:eastAsia="bg-BG"/>
        </w:rPr>
        <w:t xml:space="preserve">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№20100298</w:t>
      </w:r>
    </w:p>
    <w:p w14:paraId="0217A38C" w14:textId="77777777" w:rsidR="00E42DF2" w:rsidRPr="00E42DF2" w:rsidRDefault="00E42DF2" w:rsidP="00E42DF2"/>
    <w:p w14:paraId="2CCB5832" w14:textId="5E8A24C7" w:rsidR="007C605B" w:rsidRDefault="002C50EE" w:rsidP="007C605B">
      <w:pPr>
        <w:pStyle w:val="Heading1"/>
      </w:pPr>
      <w:r>
        <w:t>9. ДАТА НА ПЪРВО РАЗРЕШАВАНЕ/ПОДНОВЯВАНЕ НА РАЗРЕШЕНИЕТО ЗА УПОТРЕБА</w:t>
      </w:r>
    </w:p>
    <w:p w14:paraId="74B1E13F" w14:textId="671B30DC" w:rsidR="00E42DF2" w:rsidRDefault="00E42DF2" w:rsidP="00E42DF2"/>
    <w:p w14:paraId="2CE9FED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Дата на първа регистрация: 30.04.2010 год.</w:t>
      </w:r>
    </w:p>
    <w:p w14:paraId="192E553F" w14:textId="27E1D100" w:rsidR="00E42DF2" w:rsidRPr="00E42DF2" w:rsidRDefault="00E42DF2" w:rsidP="00E42DF2">
      <w:pPr>
        <w:rPr>
          <w:rFonts w:cs="Arial"/>
        </w:rPr>
      </w:pPr>
      <w:r w:rsidRPr="00E42DF2">
        <w:rPr>
          <w:rFonts w:eastAsia="Times New Roman" w:cs="Arial"/>
          <w:color w:val="000000"/>
          <w:lang w:eastAsia="bg-BG"/>
        </w:rPr>
        <w:t>Дата на последно подновяване: 05.01.2016 год.</w:t>
      </w:r>
    </w:p>
    <w:p w14:paraId="20B3B18E" w14:textId="77777777" w:rsidR="00E42DF2" w:rsidRPr="00E42DF2" w:rsidRDefault="00E42DF2" w:rsidP="00E42DF2"/>
    <w:p w14:paraId="0E9D0119" w14:textId="0245C6D7" w:rsidR="002C50EE" w:rsidRDefault="002C50EE" w:rsidP="002C50EE">
      <w:pPr>
        <w:pStyle w:val="Heading1"/>
      </w:pPr>
      <w:r>
        <w:t>10. ДАТА НА АКТУАЛИЗИРАНЕ НА ТЕКСТА</w:t>
      </w:r>
    </w:p>
    <w:bookmarkEnd w:id="0"/>
    <w:p w14:paraId="43FB38A2" w14:textId="12E3C626" w:rsidR="007C605B" w:rsidRDefault="007C605B" w:rsidP="00CF77F7"/>
    <w:p w14:paraId="77F354A7" w14:textId="77777777" w:rsidR="00E42DF2" w:rsidRPr="00E42DF2" w:rsidRDefault="00E42DF2" w:rsidP="00E42DF2">
      <w:pPr>
        <w:spacing w:line="240" w:lineRule="auto"/>
        <w:rPr>
          <w:rFonts w:eastAsia="Times New Roman" w:cs="Arial"/>
          <w:lang w:eastAsia="bg-BG"/>
        </w:rPr>
      </w:pPr>
      <w:r w:rsidRPr="00E42DF2">
        <w:rPr>
          <w:rFonts w:eastAsia="Times New Roman" w:cs="Arial"/>
          <w:color w:val="000000"/>
          <w:lang w:eastAsia="bg-BG"/>
        </w:rPr>
        <w:lastRenderedPageBreak/>
        <w:t>13 Януари 2022</w:t>
      </w:r>
    </w:p>
    <w:p w14:paraId="318575F5" w14:textId="77777777" w:rsidR="00E42DF2" w:rsidRPr="00E42DF2" w:rsidRDefault="00E42DF2" w:rsidP="00E42DF2">
      <w:pPr>
        <w:rPr>
          <w:rFonts w:eastAsia="Times New Roman" w:cs="Arial"/>
          <w:color w:val="000000"/>
          <w:lang w:eastAsia="bg-BG"/>
        </w:rPr>
      </w:pPr>
    </w:p>
    <w:p w14:paraId="473551B5" w14:textId="1A9A6E48" w:rsidR="00E42DF2" w:rsidRPr="00E42DF2" w:rsidRDefault="00E42DF2" w:rsidP="00E42DF2">
      <w:pPr>
        <w:rPr>
          <w:rFonts w:cs="Arial"/>
        </w:rPr>
      </w:pPr>
      <w:r w:rsidRPr="00E42DF2">
        <w:rPr>
          <w:rFonts w:eastAsia="Times New Roman" w:cs="Arial"/>
          <w:color w:val="000000"/>
          <w:lang w:eastAsia="bg-BG"/>
        </w:rPr>
        <w:t xml:space="preserve">Подробна информация за този лекарствен продукт е предоставена на уебсайта на Изпълнителна Агенция по Лекарствата (ИАЛ) </w:t>
      </w:r>
      <w:hyperlink r:id="rId7" w:history="1">
        <w:r w:rsidRPr="00E42DF2">
          <w:rPr>
            <w:rFonts w:eastAsia="Times New Roman" w:cs="Arial"/>
            <w:color w:val="000000"/>
            <w:lang w:val="en-US"/>
          </w:rPr>
          <w:t>http://www.bda.bg</w:t>
        </w:r>
      </w:hyperlink>
      <w:r w:rsidRPr="00E42DF2">
        <w:rPr>
          <w:rFonts w:eastAsia="Times New Roman" w:cs="Arial"/>
          <w:color w:val="000000"/>
          <w:lang w:val="en-US"/>
        </w:rPr>
        <w:t>.</w:t>
      </w:r>
    </w:p>
    <w:sectPr w:rsidR="00E42DF2" w:rsidRPr="00E4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AC"/>
    <w:multiLevelType w:val="hybridMultilevel"/>
    <w:tmpl w:val="9AF054B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1F6447"/>
    <w:multiLevelType w:val="hybridMultilevel"/>
    <w:tmpl w:val="6CDEEA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1673092"/>
    <w:multiLevelType w:val="hybridMultilevel"/>
    <w:tmpl w:val="4C76C08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43D009D"/>
    <w:multiLevelType w:val="hybridMultilevel"/>
    <w:tmpl w:val="70C257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8E87D9B"/>
    <w:multiLevelType w:val="hybridMultilevel"/>
    <w:tmpl w:val="07A0C3E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5D395E"/>
    <w:multiLevelType w:val="hybridMultilevel"/>
    <w:tmpl w:val="FCF29274"/>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0335395"/>
    <w:multiLevelType w:val="hybridMultilevel"/>
    <w:tmpl w:val="7C20563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C1063CE"/>
    <w:multiLevelType w:val="hybridMultilevel"/>
    <w:tmpl w:val="27D46A8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EE049E5"/>
    <w:multiLevelType w:val="hybridMultilevel"/>
    <w:tmpl w:val="8FFE67B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6487B7B"/>
    <w:multiLevelType w:val="hybridMultilevel"/>
    <w:tmpl w:val="BCAC8E5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042903"/>
    <w:multiLevelType w:val="hybridMultilevel"/>
    <w:tmpl w:val="01C4F7E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9B23B43"/>
    <w:multiLevelType w:val="hybridMultilevel"/>
    <w:tmpl w:val="872E825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3EE68BF"/>
    <w:multiLevelType w:val="hybridMultilevel"/>
    <w:tmpl w:val="061E17B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1B342D1"/>
    <w:multiLevelType w:val="hybridMultilevel"/>
    <w:tmpl w:val="A95258A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43D0A7B"/>
    <w:multiLevelType w:val="hybridMultilevel"/>
    <w:tmpl w:val="68CE367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4C752B3"/>
    <w:multiLevelType w:val="hybridMultilevel"/>
    <w:tmpl w:val="AA805A3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78325E0"/>
    <w:multiLevelType w:val="hybridMultilevel"/>
    <w:tmpl w:val="9574280C"/>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79A91920"/>
    <w:multiLevelType w:val="hybridMultilevel"/>
    <w:tmpl w:val="509A7E7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6261BF"/>
    <w:multiLevelType w:val="hybridMultilevel"/>
    <w:tmpl w:val="6FB260BE"/>
    <w:lvl w:ilvl="0" w:tplc="E20A4DDC">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18"/>
  </w:num>
  <w:num w:numId="2">
    <w:abstractNumId w:val="0"/>
  </w:num>
  <w:num w:numId="3">
    <w:abstractNumId w:val="8"/>
  </w:num>
  <w:num w:numId="4">
    <w:abstractNumId w:val="7"/>
  </w:num>
  <w:num w:numId="5">
    <w:abstractNumId w:val="17"/>
  </w:num>
  <w:num w:numId="6">
    <w:abstractNumId w:val="11"/>
  </w:num>
  <w:num w:numId="7">
    <w:abstractNumId w:val="10"/>
  </w:num>
  <w:num w:numId="8">
    <w:abstractNumId w:val="15"/>
  </w:num>
  <w:num w:numId="9">
    <w:abstractNumId w:val="2"/>
  </w:num>
  <w:num w:numId="10">
    <w:abstractNumId w:val="12"/>
  </w:num>
  <w:num w:numId="11">
    <w:abstractNumId w:val="13"/>
  </w:num>
  <w:num w:numId="12">
    <w:abstractNumId w:val="9"/>
  </w:num>
  <w:num w:numId="13">
    <w:abstractNumId w:val="6"/>
  </w:num>
  <w:num w:numId="14">
    <w:abstractNumId w:val="16"/>
  </w:num>
  <w:num w:numId="15">
    <w:abstractNumId w:val="1"/>
  </w:num>
  <w:num w:numId="16">
    <w:abstractNumId w:val="14"/>
  </w:num>
  <w:num w:numId="17">
    <w:abstractNumId w:val="3"/>
  </w:num>
  <w:num w:numId="18">
    <w:abstractNumId w:val="5"/>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44048"/>
    <w:rsid w:val="000846BB"/>
    <w:rsid w:val="00185A46"/>
    <w:rsid w:val="001915B6"/>
    <w:rsid w:val="001D1B23"/>
    <w:rsid w:val="00233E30"/>
    <w:rsid w:val="002B3C38"/>
    <w:rsid w:val="002B4DBB"/>
    <w:rsid w:val="002C50EE"/>
    <w:rsid w:val="00340A0A"/>
    <w:rsid w:val="003765DC"/>
    <w:rsid w:val="00395555"/>
    <w:rsid w:val="003E3126"/>
    <w:rsid w:val="00426E5F"/>
    <w:rsid w:val="004A448E"/>
    <w:rsid w:val="004D4D6B"/>
    <w:rsid w:val="004F1CE7"/>
    <w:rsid w:val="004F498A"/>
    <w:rsid w:val="00506E64"/>
    <w:rsid w:val="00517A5B"/>
    <w:rsid w:val="00593A00"/>
    <w:rsid w:val="005A66D9"/>
    <w:rsid w:val="00605BCA"/>
    <w:rsid w:val="006158A1"/>
    <w:rsid w:val="00617B1F"/>
    <w:rsid w:val="0065702C"/>
    <w:rsid w:val="00672487"/>
    <w:rsid w:val="00672600"/>
    <w:rsid w:val="00681D4A"/>
    <w:rsid w:val="00685882"/>
    <w:rsid w:val="006A7A3D"/>
    <w:rsid w:val="006E6807"/>
    <w:rsid w:val="0075649D"/>
    <w:rsid w:val="007C605B"/>
    <w:rsid w:val="007E4A66"/>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56072"/>
    <w:rsid w:val="00D86297"/>
    <w:rsid w:val="00DD466D"/>
    <w:rsid w:val="00E01ED1"/>
    <w:rsid w:val="00E42DF2"/>
    <w:rsid w:val="00EB6364"/>
    <w:rsid w:val="00F37B64"/>
    <w:rsid w:val="00F66225"/>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d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B872-72BC-488B-B6B1-D33E350C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10784</Words>
  <Characters>61470</Characters>
  <Application>Microsoft Office Word</Application>
  <DocSecurity>0</DocSecurity>
  <Lines>512</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2022-07-04T17:13:00Z</dcterms:created>
  <dcterms:modified xsi:type="dcterms:W3CDTF">2022-07-04T17:13:00Z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