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210DF620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2FA7FFF2" w14:textId="77777777" w:rsidR="00BA64F1" w:rsidRPr="00BA64F1" w:rsidRDefault="00BA64F1" w:rsidP="00BA64F1"/>
    <w:p w14:paraId="3320F4BE" w14:textId="5B12A3FB" w:rsidR="00C40420" w:rsidRDefault="00DD466D" w:rsidP="004A448E">
      <w:pPr>
        <w:pStyle w:val="Heading1"/>
      </w:pPr>
      <w:r>
        <w:t>1.ИМЕ НА ЛЕКАРСТВЕНИЯ ПРОДУКТ</w:t>
      </w:r>
    </w:p>
    <w:p w14:paraId="7529AF71" w14:textId="5B3C8B65" w:rsidR="00BA64F1" w:rsidRDefault="00BA64F1" w:rsidP="00BA64F1"/>
    <w:p w14:paraId="0A912FFD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 xml:space="preserve">Конкор 5 </w:t>
      </w:r>
      <w:r w:rsidRPr="00BA64F1">
        <w:rPr>
          <w:rFonts w:eastAsia="Times New Roman" w:cs="Arial"/>
          <w:color w:val="000000"/>
          <w:lang w:val="en-US"/>
        </w:rPr>
        <w:t xml:space="preserve">mg </w:t>
      </w:r>
      <w:r w:rsidRPr="00BA64F1">
        <w:rPr>
          <w:rFonts w:eastAsia="Times New Roman" w:cs="Arial"/>
          <w:color w:val="000000"/>
          <w:lang w:eastAsia="bg-BG"/>
        </w:rPr>
        <w:t>филмирани таблетки</w:t>
      </w:r>
    </w:p>
    <w:p w14:paraId="7EEAC271" w14:textId="21CA437D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>
        <w:rPr>
          <w:rFonts w:eastAsia="Times New Roman" w:cs="Arial"/>
          <w:color w:val="000000"/>
          <w:lang w:eastAsia="bg-BG"/>
        </w:rPr>
        <w:t>Соncor</w:t>
      </w:r>
      <w:r w:rsidRPr="00BA64F1">
        <w:rPr>
          <w:rFonts w:eastAsia="Times New Roman" w:cs="Arial"/>
          <w:color w:val="000000"/>
          <w:lang w:eastAsia="bg-BG"/>
        </w:rPr>
        <w:t xml:space="preserve"> 5 </w:t>
      </w:r>
      <w:r w:rsidRPr="00BA64F1">
        <w:rPr>
          <w:rFonts w:eastAsia="Times New Roman" w:cs="Arial"/>
          <w:color w:val="000000"/>
          <w:lang w:val="en-US"/>
        </w:rPr>
        <w:t xml:space="preserve">mg </w:t>
      </w:r>
      <w:r>
        <w:rPr>
          <w:rFonts w:eastAsia="Times New Roman" w:cs="Arial"/>
          <w:color w:val="000000"/>
          <w:lang w:val="en-US"/>
        </w:rPr>
        <w:t>film</w:t>
      </w:r>
      <w:r w:rsidRPr="00BA64F1">
        <w:rPr>
          <w:rFonts w:eastAsia="Times New Roman" w:cs="Arial"/>
          <w:color w:val="000000"/>
          <w:lang w:val="en-US"/>
        </w:rPr>
        <w:t>-coated tablets</w:t>
      </w:r>
    </w:p>
    <w:p w14:paraId="0F325879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 xml:space="preserve">Конкор </w:t>
      </w:r>
      <w:r w:rsidRPr="00BA64F1">
        <w:rPr>
          <w:rFonts w:eastAsia="Times New Roman" w:cs="Arial"/>
          <w:color w:val="000000"/>
          <w:lang w:val="en-US"/>
        </w:rPr>
        <w:t xml:space="preserve">10 mg </w:t>
      </w:r>
      <w:r w:rsidRPr="00BA64F1">
        <w:rPr>
          <w:rFonts w:eastAsia="Times New Roman" w:cs="Arial"/>
          <w:color w:val="000000"/>
          <w:lang w:eastAsia="bg-BG"/>
        </w:rPr>
        <w:t>филмирани таблетки</w:t>
      </w:r>
    </w:p>
    <w:p w14:paraId="3CBC7995" w14:textId="65C650CD" w:rsidR="00BA64F1" w:rsidRPr="00BA64F1" w:rsidRDefault="00BA64F1" w:rsidP="00BA64F1">
      <w:pPr>
        <w:rPr>
          <w:rFonts w:cs="Arial"/>
        </w:rPr>
      </w:pPr>
      <w:r>
        <w:rPr>
          <w:rFonts w:eastAsia="Times New Roman" w:cs="Arial"/>
          <w:color w:val="000000"/>
          <w:lang w:eastAsia="bg-BG"/>
        </w:rPr>
        <w:t>Сoncor</w:t>
      </w:r>
      <w:r w:rsidRPr="00BA64F1">
        <w:rPr>
          <w:rFonts w:eastAsia="Times New Roman" w:cs="Arial"/>
          <w:color w:val="000000"/>
          <w:lang w:eastAsia="bg-BG"/>
        </w:rPr>
        <w:t xml:space="preserve"> 10 </w:t>
      </w:r>
      <w:r w:rsidRPr="00BA64F1">
        <w:rPr>
          <w:rFonts w:eastAsia="Times New Roman" w:cs="Arial"/>
          <w:color w:val="000000"/>
          <w:lang w:val="en-US"/>
        </w:rPr>
        <w:t>mg film-coated tablets</w:t>
      </w:r>
    </w:p>
    <w:p w14:paraId="4C56317F" w14:textId="77777777" w:rsidR="00BA64F1" w:rsidRPr="00BA64F1" w:rsidRDefault="00BA64F1" w:rsidP="00BA64F1"/>
    <w:p w14:paraId="6920A680" w14:textId="6805414F" w:rsidR="00C40420" w:rsidRDefault="00DD466D" w:rsidP="004A448E">
      <w:pPr>
        <w:pStyle w:val="Heading1"/>
      </w:pPr>
      <w:r>
        <w:t>2. КАЧЕСТВЕН И КОЛИЧЕСТВЕН СЪСТАВ</w:t>
      </w:r>
    </w:p>
    <w:p w14:paraId="2CA76E82" w14:textId="2E473FE7" w:rsidR="00BA64F1" w:rsidRDefault="00BA64F1" w:rsidP="00BA64F1"/>
    <w:p w14:paraId="55D974B9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 xml:space="preserve">Конкор 5 </w:t>
      </w:r>
      <w:r w:rsidRPr="00BA64F1">
        <w:rPr>
          <w:rFonts w:eastAsia="Times New Roman" w:cs="Arial"/>
          <w:color w:val="000000"/>
          <w:lang w:val="en-US"/>
        </w:rPr>
        <w:t xml:space="preserve">mg: </w:t>
      </w:r>
      <w:r w:rsidRPr="00BA64F1">
        <w:rPr>
          <w:rFonts w:eastAsia="Times New Roman" w:cs="Arial"/>
          <w:color w:val="000000"/>
          <w:lang w:eastAsia="bg-BG"/>
        </w:rPr>
        <w:t xml:space="preserve">Всяка таблетка съдържа 5 </w:t>
      </w:r>
      <w:r w:rsidRPr="00BA64F1">
        <w:rPr>
          <w:rFonts w:eastAsia="Times New Roman" w:cs="Arial"/>
          <w:color w:val="000000"/>
          <w:lang w:val="en-US"/>
        </w:rPr>
        <w:t xml:space="preserve">mg </w:t>
      </w:r>
      <w:r w:rsidRPr="00BA64F1">
        <w:rPr>
          <w:rFonts w:eastAsia="Times New Roman" w:cs="Arial"/>
          <w:color w:val="000000"/>
          <w:lang w:eastAsia="bg-BG"/>
        </w:rPr>
        <w:t xml:space="preserve">бизопрололов фумарат </w:t>
      </w:r>
      <w:r w:rsidRPr="00BA64F1">
        <w:rPr>
          <w:rFonts w:eastAsia="Times New Roman" w:cs="Arial"/>
          <w:color w:val="000000"/>
          <w:lang w:val="en-US"/>
        </w:rPr>
        <w:t>(</w:t>
      </w:r>
      <w:proofErr w:type="spellStart"/>
      <w:r w:rsidRPr="00BA64F1">
        <w:rPr>
          <w:rFonts w:eastAsia="Times New Roman" w:cs="Arial"/>
          <w:color w:val="000000"/>
          <w:lang w:val="en-US"/>
        </w:rPr>
        <w:t>bisoprolol</w:t>
      </w:r>
      <w:proofErr w:type="spellEnd"/>
      <w:r w:rsidRPr="00BA64F1">
        <w:rPr>
          <w:rFonts w:eastAsia="Times New Roman" w:cs="Arial"/>
          <w:color w:val="000000"/>
          <w:lang w:val="en-US"/>
        </w:rPr>
        <w:t xml:space="preserve"> fumarate)</w:t>
      </w:r>
    </w:p>
    <w:p w14:paraId="125FCDC1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 xml:space="preserve">Конкор 10 </w:t>
      </w:r>
      <w:r w:rsidRPr="00BA64F1">
        <w:rPr>
          <w:rFonts w:eastAsia="Times New Roman" w:cs="Arial"/>
          <w:color w:val="000000"/>
          <w:lang w:val="en-US"/>
        </w:rPr>
        <w:t xml:space="preserve">mg: </w:t>
      </w:r>
      <w:r w:rsidRPr="00BA64F1">
        <w:rPr>
          <w:rFonts w:eastAsia="Times New Roman" w:cs="Arial"/>
          <w:color w:val="000000"/>
          <w:lang w:eastAsia="bg-BG"/>
        </w:rPr>
        <w:t xml:space="preserve">Всяка таблетка съдържа 10 </w:t>
      </w:r>
      <w:r w:rsidRPr="00BA64F1">
        <w:rPr>
          <w:rFonts w:eastAsia="Times New Roman" w:cs="Arial"/>
          <w:color w:val="000000"/>
          <w:lang w:val="en-US"/>
        </w:rPr>
        <w:t xml:space="preserve">mg </w:t>
      </w:r>
      <w:r w:rsidRPr="00BA64F1">
        <w:rPr>
          <w:rFonts w:eastAsia="Times New Roman" w:cs="Arial"/>
          <w:color w:val="000000"/>
          <w:lang w:eastAsia="bg-BG"/>
        </w:rPr>
        <w:t xml:space="preserve">бизопрололов фумарат </w:t>
      </w:r>
      <w:r w:rsidRPr="00BA64F1">
        <w:rPr>
          <w:rFonts w:eastAsia="Times New Roman" w:cs="Arial"/>
          <w:color w:val="000000"/>
          <w:lang w:val="en-US"/>
        </w:rPr>
        <w:t>(</w:t>
      </w:r>
      <w:proofErr w:type="spellStart"/>
      <w:r w:rsidRPr="00BA64F1">
        <w:rPr>
          <w:rFonts w:eastAsia="Times New Roman" w:cs="Arial"/>
          <w:color w:val="000000"/>
          <w:lang w:val="en-US"/>
        </w:rPr>
        <w:t>bisoprolol</w:t>
      </w:r>
      <w:proofErr w:type="spellEnd"/>
      <w:r w:rsidRPr="00BA64F1">
        <w:rPr>
          <w:rFonts w:eastAsia="Times New Roman" w:cs="Arial"/>
          <w:color w:val="000000"/>
          <w:lang w:val="en-US"/>
        </w:rPr>
        <w:t xml:space="preserve"> fumarate)</w:t>
      </w:r>
    </w:p>
    <w:p w14:paraId="4F441C46" w14:textId="77777777" w:rsidR="00BA64F1" w:rsidRPr="00BA64F1" w:rsidRDefault="00BA64F1" w:rsidP="00BA64F1">
      <w:pPr>
        <w:rPr>
          <w:rFonts w:eastAsia="Times New Roman" w:cs="Arial"/>
          <w:color w:val="000000"/>
          <w:lang w:eastAsia="bg-BG"/>
        </w:rPr>
      </w:pPr>
    </w:p>
    <w:p w14:paraId="7E6B501D" w14:textId="4780823A" w:rsidR="00BA64F1" w:rsidRPr="00BA64F1" w:rsidRDefault="00BA64F1" w:rsidP="00BA64F1">
      <w:pPr>
        <w:rPr>
          <w:rFonts w:cs="Arial"/>
        </w:rPr>
      </w:pPr>
      <w:r w:rsidRPr="00BA64F1">
        <w:rPr>
          <w:rFonts w:eastAsia="Times New Roman" w:cs="Arial"/>
          <w:color w:val="000000"/>
          <w:lang w:eastAsia="bg-BG"/>
        </w:rPr>
        <w:t>За пълния списък на помощните вещества, вижте т.</w:t>
      </w:r>
      <w:r>
        <w:rPr>
          <w:rFonts w:eastAsia="Times New Roman" w:cs="Arial"/>
          <w:color w:val="000000"/>
          <w:lang w:val="en-US" w:eastAsia="bg-BG"/>
        </w:rPr>
        <w:t xml:space="preserve"> </w:t>
      </w:r>
      <w:r w:rsidRPr="00BA64F1">
        <w:rPr>
          <w:rFonts w:eastAsia="Times New Roman" w:cs="Arial"/>
          <w:color w:val="000000"/>
          <w:lang w:eastAsia="bg-BG"/>
        </w:rPr>
        <w:t>6.1.</w:t>
      </w:r>
    </w:p>
    <w:p w14:paraId="2FCF4CB9" w14:textId="77777777" w:rsidR="00BA64F1" w:rsidRPr="00BA64F1" w:rsidRDefault="00BA64F1" w:rsidP="00BA64F1"/>
    <w:p w14:paraId="614984C4" w14:textId="678BDDA3" w:rsidR="008A6AF2" w:rsidRDefault="00DD466D" w:rsidP="002C50EE">
      <w:pPr>
        <w:pStyle w:val="Heading1"/>
      </w:pPr>
      <w:r>
        <w:t>3. ЛЕКАРСТВЕНА ФОРМА</w:t>
      </w:r>
    </w:p>
    <w:p w14:paraId="7BC29E23" w14:textId="7439A271" w:rsidR="00BA64F1" w:rsidRDefault="00BA64F1" w:rsidP="00BA64F1"/>
    <w:p w14:paraId="28EACE63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Филмирана таблетка</w:t>
      </w:r>
    </w:p>
    <w:p w14:paraId="52FC625D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Външен вид:</w:t>
      </w:r>
    </w:p>
    <w:p w14:paraId="37565EAE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 xml:space="preserve">Конкор 5 </w:t>
      </w:r>
      <w:r w:rsidRPr="00BA64F1">
        <w:rPr>
          <w:rFonts w:eastAsia="Times New Roman" w:cs="Arial"/>
          <w:color w:val="000000"/>
          <w:lang w:val="en-US"/>
        </w:rPr>
        <w:t xml:space="preserve">mg </w:t>
      </w:r>
      <w:r w:rsidRPr="00BA64F1">
        <w:rPr>
          <w:rFonts w:eastAsia="Times New Roman" w:cs="Arial"/>
          <w:color w:val="000000"/>
          <w:lang w:eastAsia="bg-BG"/>
        </w:rPr>
        <w:t>са жълтеникаво-бели, с форма на сърце и делителна черта;</w:t>
      </w:r>
    </w:p>
    <w:p w14:paraId="6219C175" w14:textId="077B0B56" w:rsidR="00BA64F1" w:rsidRPr="00BA64F1" w:rsidRDefault="00BA64F1" w:rsidP="00BA64F1">
      <w:pPr>
        <w:rPr>
          <w:rFonts w:cs="Arial"/>
        </w:rPr>
      </w:pPr>
      <w:r w:rsidRPr="00BA64F1">
        <w:rPr>
          <w:rFonts w:eastAsia="Times New Roman" w:cs="Arial"/>
          <w:color w:val="000000"/>
          <w:lang w:eastAsia="bg-BG"/>
        </w:rPr>
        <w:t xml:space="preserve">Конкор 10 </w:t>
      </w:r>
      <w:r w:rsidRPr="00BA64F1">
        <w:rPr>
          <w:rFonts w:eastAsia="Times New Roman" w:cs="Arial"/>
          <w:color w:val="000000"/>
          <w:lang w:val="en-US"/>
        </w:rPr>
        <w:t xml:space="preserve">mg </w:t>
      </w:r>
      <w:r w:rsidRPr="00BA64F1">
        <w:rPr>
          <w:rFonts w:eastAsia="Times New Roman" w:cs="Arial"/>
          <w:color w:val="000000"/>
          <w:lang w:eastAsia="bg-BG"/>
        </w:rPr>
        <w:t>са бледо-оранжеви до светло-оранжеви, с форма на сърце и делителна черта.</w:t>
      </w:r>
    </w:p>
    <w:p w14:paraId="058F6928" w14:textId="77777777" w:rsidR="00BA64F1" w:rsidRPr="00BA64F1" w:rsidRDefault="00BA64F1" w:rsidP="00BA64F1"/>
    <w:p w14:paraId="490FC2C4" w14:textId="4AFB38AD" w:rsidR="002C50EE" w:rsidRDefault="002C50EE" w:rsidP="002C50EE">
      <w:pPr>
        <w:pStyle w:val="Heading1"/>
      </w:pPr>
      <w:r>
        <w:t>4. КЛИНИЧНИ ДАННИ</w:t>
      </w:r>
    </w:p>
    <w:p w14:paraId="22BA249C" w14:textId="77777777" w:rsidR="00BA64F1" w:rsidRPr="00BA64F1" w:rsidRDefault="00BA64F1" w:rsidP="00BA64F1"/>
    <w:p w14:paraId="0C8E6903" w14:textId="5A1B2D64" w:rsidR="008134C8" w:rsidRDefault="002C50EE" w:rsidP="004A448E">
      <w:pPr>
        <w:pStyle w:val="Heading2"/>
      </w:pPr>
      <w:r>
        <w:t>4.1. Терапевтични показания</w:t>
      </w:r>
    </w:p>
    <w:p w14:paraId="5FA9426C" w14:textId="7B66150E" w:rsidR="00BA64F1" w:rsidRDefault="00BA64F1" w:rsidP="00BA64F1"/>
    <w:p w14:paraId="0B90546C" w14:textId="77777777" w:rsidR="00BA64F1" w:rsidRPr="00BA64F1" w:rsidRDefault="00BA64F1" w:rsidP="00BA64F1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Лечение на хипертония</w:t>
      </w:r>
    </w:p>
    <w:p w14:paraId="1642A28A" w14:textId="3B036344" w:rsidR="00BA64F1" w:rsidRPr="00BA64F1" w:rsidRDefault="00BA64F1" w:rsidP="00BA64F1">
      <w:pPr>
        <w:pStyle w:val="ListParagraph"/>
        <w:numPr>
          <w:ilvl w:val="0"/>
          <w:numId w:val="35"/>
        </w:numPr>
        <w:rPr>
          <w:rFonts w:cs="Arial"/>
        </w:rPr>
      </w:pPr>
      <w:r w:rsidRPr="00BA64F1">
        <w:rPr>
          <w:rFonts w:eastAsia="Times New Roman" w:cs="Arial"/>
          <w:color w:val="000000"/>
          <w:lang w:eastAsia="bg-BG"/>
        </w:rPr>
        <w:t xml:space="preserve">Лечение на исхемична болест на сърцето </w:t>
      </w:r>
      <w:r w:rsidRPr="00BA64F1">
        <w:rPr>
          <w:rFonts w:eastAsia="Times New Roman" w:cs="Arial"/>
          <w:color w:val="000000"/>
          <w:lang w:val="en-US"/>
        </w:rPr>
        <w:t>(angina pectoris).</w:t>
      </w:r>
    </w:p>
    <w:p w14:paraId="75CC1360" w14:textId="77777777" w:rsidR="00BA64F1" w:rsidRPr="00BA64F1" w:rsidRDefault="00BA64F1" w:rsidP="00BA64F1"/>
    <w:p w14:paraId="30BE2C7B" w14:textId="554DD0E3" w:rsidR="008134C8" w:rsidRDefault="002C50EE" w:rsidP="004A448E">
      <w:pPr>
        <w:pStyle w:val="Heading2"/>
      </w:pPr>
      <w:r>
        <w:t>4.2. Дозировка и начин на приложение</w:t>
      </w:r>
    </w:p>
    <w:p w14:paraId="255382C3" w14:textId="0FCC34B5" w:rsidR="00BA64F1" w:rsidRDefault="00BA64F1" w:rsidP="00BA64F1"/>
    <w:p w14:paraId="45CB9A90" w14:textId="77777777" w:rsidR="00BA64F1" w:rsidRPr="006820B8" w:rsidRDefault="00BA64F1" w:rsidP="006820B8">
      <w:pPr>
        <w:pStyle w:val="Heading3"/>
        <w:rPr>
          <w:rFonts w:eastAsia="Times New Roman"/>
          <w:u w:val="single"/>
          <w:lang w:eastAsia="bg-BG"/>
        </w:rPr>
      </w:pPr>
      <w:r w:rsidRPr="006820B8">
        <w:rPr>
          <w:rFonts w:eastAsia="Times New Roman"/>
          <w:u w:val="single"/>
          <w:lang w:eastAsia="bg-BG"/>
        </w:rPr>
        <w:t>Дозировка</w:t>
      </w:r>
    </w:p>
    <w:p w14:paraId="2EF57236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Възрастни:</w:t>
      </w:r>
    </w:p>
    <w:p w14:paraId="192B4AAD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 xml:space="preserve">За двете показания дозата е 5 </w:t>
      </w:r>
      <w:r w:rsidRPr="00BA64F1">
        <w:rPr>
          <w:rFonts w:eastAsia="Times New Roman" w:cs="Arial"/>
          <w:color w:val="000000"/>
          <w:lang w:val="en-US"/>
        </w:rPr>
        <w:t xml:space="preserve">mg </w:t>
      </w:r>
      <w:r w:rsidRPr="00BA64F1">
        <w:rPr>
          <w:rFonts w:eastAsia="Times New Roman" w:cs="Arial"/>
          <w:color w:val="000000"/>
          <w:lang w:eastAsia="bg-BG"/>
        </w:rPr>
        <w:t xml:space="preserve">бизопрололов фумарат веднъж дневно. Ако е необходимо, дозата може да се увеличи на 10 </w:t>
      </w:r>
      <w:r w:rsidRPr="00BA64F1">
        <w:rPr>
          <w:rFonts w:eastAsia="Times New Roman" w:cs="Arial"/>
          <w:color w:val="000000"/>
          <w:lang w:val="en-US"/>
        </w:rPr>
        <w:t xml:space="preserve">mg </w:t>
      </w:r>
      <w:r w:rsidRPr="00BA64F1">
        <w:rPr>
          <w:rFonts w:eastAsia="Times New Roman" w:cs="Arial"/>
          <w:color w:val="000000"/>
          <w:lang w:eastAsia="bg-BG"/>
        </w:rPr>
        <w:t>бизопрололов фумарат веднъж дневно.</w:t>
      </w:r>
    </w:p>
    <w:p w14:paraId="2CDC8625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 xml:space="preserve">Максималната препоръчителна доза е 20 </w:t>
      </w:r>
      <w:r w:rsidRPr="00BA64F1">
        <w:rPr>
          <w:rFonts w:eastAsia="Times New Roman" w:cs="Arial"/>
          <w:color w:val="000000"/>
          <w:lang w:val="en-US"/>
        </w:rPr>
        <w:t xml:space="preserve">mg </w:t>
      </w:r>
      <w:r w:rsidRPr="00BA64F1">
        <w:rPr>
          <w:rFonts w:eastAsia="Times New Roman" w:cs="Arial"/>
          <w:color w:val="000000"/>
          <w:lang w:eastAsia="bg-BG"/>
        </w:rPr>
        <w:t>веднъж дневно.</w:t>
      </w:r>
    </w:p>
    <w:p w14:paraId="2313153B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Дозата трябва да се адаптира индивидуално, според честотата на пулса и терапевтичния успех.</w:t>
      </w:r>
    </w:p>
    <w:p w14:paraId="0807AA31" w14:textId="77777777" w:rsidR="00BA64F1" w:rsidRPr="00BA64F1" w:rsidRDefault="00BA64F1" w:rsidP="00BA64F1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E223F78" w14:textId="6FA42AB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i/>
          <w:iCs/>
          <w:color w:val="000000"/>
          <w:lang w:eastAsia="bg-BG"/>
        </w:rPr>
        <w:lastRenderedPageBreak/>
        <w:t>Продължителност на терапията</w:t>
      </w:r>
    </w:p>
    <w:p w14:paraId="72E9998F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По принцип лечението с бизопролол продължително.</w:t>
      </w:r>
    </w:p>
    <w:p w14:paraId="06B50148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Лечението с бизопролол не трябва да се спира внезапно, тъй като това може да доведе до преходно влошаване на състоянието. Особено при пациенти с исхемична болест на сърцето, лечението не трябва да се прекратява внезапно. Препоръчва се постепенно намаляване на дозата.</w:t>
      </w:r>
    </w:p>
    <w:p w14:paraId="36E6F5B5" w14:textId="77777777" w:rsidR="00BA64F1" w:rsidRPr="00BA64F1" w:rsidRDefault="00BA64F1" w:rsidP="00BA64F1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8FEE438" w14:textId="2918C915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i/>
          <w:iCs/>
          <w:color w:val="000000"/>
          <w:lang w:eastAsia="bg-BG"/>
        </w:rPr>
        <w:t>Пациенти с бъбречна или чернодробна недостатъчност</w:t>
      </w:r>
    </w:p>
    <w:p w14:paraId="158639F9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 xml:space="preserve">При пациенти е леки до умерени нарушения на бъбречната или чернодробна функция, по принцип не се изисква адаптиране на дозата. При пациенти с тежка бъбречна недостатъчност (креатининов клирънс &lt; 20 </w:t>
      </w:r>
      <w:r w:rsidRPr="00BA64F1">
        <w:rPr>
          <w:rFonts w:eastAsia="Times New Roman" w:cs="Arial"/>
          <w:color w:val="000000"/>
          <w:lang w:val="en-US"/>
        </w:rPr>
        <w:t xml:space="preserve">ml/min) </w:t>
      </w:r>
      <w:r w:rsidRPr="00BA64F1">
        <w:rPr>
          <w:rFonts w:eastAsia="Times New Roman" w:cs="Arial"/>
          <w:color w:val="000000"/>
          <w:lang w:eastAsia="bg-BG"/>
        </w:rPr>
        <w:t xml:space="preserve">и при пациенти с тежки нарушения на чернодробната функция, се препоръчва дневната доза от 10 </w:t>
      </w:r>
      <w:r w:rsidRPr="00BA64F1">
        <w:rPr>
          <w:rFonts w:eastAsia="Times New Roman" w:cs="Arial"/>
          <w:color w:val="000000"/>
          <w:lang w:val="en-US"/>
        </w:rPr>
        <w:t xml:space="preserve">mg </w:t>
      </w:r>
      <w:r w:rsidRPr="00BA64F1">
        <w:rPr>
          <w:rFonts w:eastAsia="Times New Roman" w:cs="Arial"/>
          <w:color w:val="000000"/>
          <w:lang w:eastAsia="bg-BG"/>
        </w:rPr>
        <w:t>бизопрололов фумарат да не се надвишава.</w:t>
      </w:r>
    </w:p>
    <w:p w14:paraId="280EAA45" w14:textId="77641989" w:rsidR="00BA64F1" w:rsidRDefault="00BA64F1" w:rsidP="00BA64F1">
      <w:pPr>
        <w:rPr>
          <w:rFonts w:eastAsia="Times New Roman" w:cs="Arial"/>
          <w:color w:val="000000"/>
          <w:lang w:val="en-US" w:eastAsia="bg-BG"/>
        </w:rPr>
      </w:pPr>
      <w:r w:rsidRPr="00BA64F1">
        <w:rPr>
          <w:rFonts w:eastAsia="Times New Roman" w:cs="Arial"/>
          <w:color w:val="000000"/>
          <w:lang w:eastAsia="bg-BG"/>
        </w:rPr>
        <w:t>Опитът от приложението на бизопролол при пациенти на бъбречна диализа е ограничен: въпреки това няма доказателство, че дозовия режим трябва да се промени</w:t>
      </w:r>
      <w:r>
        <w:rPr>
          <w:rFonts w:eastAsia="Times New Roman" w:cs="Arial"/>
          <w:color w:val="000000"/>
          <w:lang w:val="en-US" w:eastAsia="bg-BG"/>
        </w:rPr>
        <w:t xml:space="preserve"> </w:t>
      </w:r>
    </w:p>
    <w:p w14:paraId="56348166" w14:textId="3754FDCC" w:rsidR="00BA64F1" w:rsidRDefault="00BA64F1" w:rsidP="00BA64F1">
      <w:pPr>
        <w:rPr>
          <w:rFonts w:eastAsia="Times New Roman" w:cs="Arial"/>
          <w:color w:val="000000"/>
          <w:lang w:val="en-US" w:eastAsia="bg-BG"/>
        </w:rPr>
      </w:pPr>
    </w:p>
    <w:p w14:paraId="6B4EE4D9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i/>
          <w:iCs/>
          <w:color w:val="000000"/>
          <w:lang w:eastAsia="bg-BG"/>
        </w:rPr>
        <w:t>Пациенти в старческа възраст</w:t>
      </w:r>
    </w:p>
    <w:p w14:paraId="4CAE3837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Не се изисква адаптиране на дозата.</w:t>
      </w:r>
    </w:p>
    <w:p w14:paraId="71C38960" w14:textId="77777777" w:rsidR="00BA64F1" w:rsidRPr="00BA64F1" w:rsidRDefault="00BA64F1" w:rsidP="00BA64F1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2AF78A9" w14:textId="58EF5CAF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i/>
          <w:iCs/>
          <w:color w:val="000000"/>
          <w:lang w:eastAsia="bg-BG"/>
        </w:rPr>
        <w:t>Педиатрична популация</w:t>
      </w:r>
    </w:p>
    <w:p w14:paraId="30B4CDB4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Липсва опит при деца, затова не се препоръчва употребата на бизопролол при педиатрични пациенти.</w:t>
      </w:r>
    </w:p>
    <w:p w14:paraId="6A0FDCA2" w14:textId="77777777" w:rsidR="00BA64F1" w:rsidRPr="00BA64F1" w:rsidRDefault="00BA64F1" w:rsidP="00BA64F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34431DB" w14:textId="757A25FA" w:rsidR="00BA64F1" w:rsidRPr="006820B8" w:rsidRDefault="00BA64F1" w:rsidP="006820B8">
      <w:pPr>
        <w:pStyle w:val="Heading3"/>
        <w:rPr>
          <w:rFonts w:eastAsia="Times New Roman"/>
          <w:u w:val="single"/>
          <w:lang w:eastAsia="bg-BG"/>
        </w:rPr>
      </w:pPr>
      <w:r w:rsidRPr="006820B8">
        <w:rPr>
          <w:rFonts w:eastAsia="Times New Roman"/>
          <w:u w:val="single"/>
          <w:lang w:eastAsia="bg-BG"/>
        </w:rPr>
        <w:t>Начин на приложение</w:t>
      </w:r>
    </w:p>
    <w:p w14:paraId="1B4C2814" w14:textId="77777777" w:rsidR="00BA64F1" w:rsidRPr="00BA64F1" w:rsidRDefault="00BA64F1" w:rsidP="00BA64F1">
      <w:pPr>
        <w:rPr>
          <w:rFonts w:eastAsia="Times New Roman" w:cs="Arial"/>
          <w:color w:val="000000"/>
          <w:lang w:eastAsia="bg-BG"/>
        </w:rPr>
      </w:pPr>
    </w:p>
    <w:p w14:paraId="5299497C" w14:textId="7D901395" w:rsidR="00BA64F1" w:rsidRPr="00BA64F1" w:rsidRDefault="00BA64F1" w:rsidP="00BA64F1">
      <w:pPr>
        <w:rPr>
          <w:rFonts w:cs="Arial"/>
          <w:lang w:val="en-US"/>
        </w:rPr>
      </w:pPr>
      <w:r w:rsidRPr="00BA64F1">
        <w:rPr>
          <w:rFonts w:eastAsia="Times New Roman" w:cs="Arial"/>
          <w:color w:val="000000"/>
          <w:lang w:eastAsia="bg-BG"/>
        </w:rPr>
        <w:t>Конкор таблетки да се приемат сутрин, със или без храна. Може да се поглъщат с малко течност, без да се сдъвкват.</w:t>
      </w:r>
    </w:p>
    <w:p w14:paraId="7D186A1C" w14:textId="77777777" w:rsidR="00BA64F1" w:rsidRPr="00BA64F1" w:rsidRDefault="00BA64F1" w:rsidP="00BA64F1"/>
    <w:p w14:paraId="28C984E8" w14:textId="65DFD27A" w:rsidR="008134C8" w:rsidRDefault="002C50EE" w:rsidP="004A448E">
      <w:pPr>
        <w:pStyle w:val="Heading2"/>
      </w:pPr>
      <w:r>
        <w:t>4.3. Противопоказания</w:t>
      </w:r>
    </w:p>
    <w:p w14:paraId="569A81AA" w14:textId="006D4475" w:rsidR="00BA64F1" w:rsidRDefault="00BA64F1" w:rsidP="00BA64F1"/>
    <w:p w14:paraId="3A6339CA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Бизопролол е противопоказан при пациенти с :</w:t>
      </w:r>
    </w:p>
    <w:p w14:paraId="0BACDE44" w14:textId="6F79C91B" w:rsidR="00BA64F1" w:rsidRPr="00BA64F1" w:rsidRDefault="00BA64F1" w:rsidP="00BA64F1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 xml:space="preserve">Остра сърдечна недостатъчност или по време на епизоди на декомпенсация на сърдечна недостатъчност, изискващи </w:t>
      </w:r>
      <w:proofErr w:type="spellStart"/>
      <w:r w:rsidRPr="00BA64F1">
        <w:rPr>
          <w:rFonts w:eastAsia="Times New Roman" w:cs="Arial"/>
          <w:color w:val="000000"/>
          <w:lang w:val="en-US"/>
        </w:rPr>
        <w:t>i.v.</w:t>
      </w:r>
      <w:proofErr w:type="spellEnd"/>
      <w:r w:rsidRPr="00BA64F1">
        <w:rPr>
          <w:rFonts w:eastAsia="Times New Roman" w:cs="Arial"/>
          <w:color w:val="000000"/>
          <w:lang w:val="en-US"/>
        </w:rPr>
        <w:t xml:space="preserve"> </w:t>
      </w:r>
      <w:r w:rsidRPr="00BA64F1">
        <w:rPr>
          <w:rFonts w:eastAsia="Times New Roman" w:cs="Arial"/>
          <w:color w:val="000000"/>
          <w:lang w:eastAsia="bg-BG"/>
        </w:rPr>
        <w:t>инотропна терапия;</w:t>
      </w:r>
    </w:p>
    <w:p w14:paraId="01D78F0E" w14:textId="13D58C4E" w:rsidR="00BA64F1" w:rsidRPr="00BA64F1" w:rsidRDefault="00BA64F1" w:rsidP="00BA64F1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Кардиогенен шок;</w:t>
      </w:r>
    </w:p>
    <w:p w14:paraId="4597AFFA" w14:textId="215BF0FE" w:rsidR="00BA64F1" w:rsidRPr="00BA64F1" w:rsidRDefault="00BA64F1" w:rsidP="00BA64F1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val="en-US"/>
        </w:rPr>
        <w:t xml:space="preserve">AV </w:t>
      </w:r>
      <w:r w:rsidRPr="00BA64F1">
        <w:rPr>
          <w:rFonts w:eastAsia="Times New Roman" w:cs="Arial"/>
          <w:color w:val="000000"/>
          <w:lang w:eastAsia="bg-BG"/>
        </w:rPr>
        <w:t>блок от втора или трета степен (без пейсмейкър);</w:t>
      </w:r>
    </w:p>
    <w:p w14:paraId="6746E3E2" w14:textId="133D5A52" w:rsidR="00BA64F1" w:rsidRPr="00BA64F1" w:rsidRDefault="00BA64F1" w:rsidP="00BA64F1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Синдром на болния синусов възел;</w:t>
      </w:r>
    </w:p>
    <w:p w14:paraId="25A152AF" w14:textId="534F6ACC" w:rsidR="00BA64F1" w:rsidRPr="00BA64F1" w:rsidRDefault="00BA64F1" w:rsidP="00BA64F1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Синоатриален блок;</w:t>
      </w:r>
    </w:p>
    <w:p w14:paraId="38EDC789" w14:textId="031FE80A" w:rsidR="00BA64F1" w:rsidRPr="00BA64F1" w:rsidRDefault="00BA64F1" w:rsidP="00BA64F1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Симптоматична брадикардия;</w:t>
      </w:r>
    </w:p>
    <w:p w14:paraId="150CA2F2" w14:textId="1034A76B" w:rsidR="00BA64F1" w:rsidRPr="00BA64F1" w:rsidRDefault="00BA64F1" w:rsidP="00BA64F1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Симптоматична хипотония;</w:t>
      </w:r>
    </w:p>
    <w:p w14:paraId="20D3DF07" w14:textId="4BD14305" w:rsidR="00BA64F1" w:rsidRPr="00BA64F1" w:rsidRDefault="00BA64F1" w:rsidP="00BA64F1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Тежка бронхиална астма</w:t>
      </w:r>
    </w:p>
    <w:p w14:paraId="7B1FE376" w14:textId="6EAC305C" w:rsidR="00BA64F1" w:rsidRPr="00BA64F1" w:rsidRDefault="00BA64F1" w:rsidP="00BA64F1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Тежка форма на периферно артериално оклузивно заболяване</w:t>
      </w:r>
    </w:p>
    <w:p w14:paraId="1166107E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или синдром на Рейно;</w:t>
      </w:r>
    </w:p>
    <w:p w14:paraId="13937789" w14:textId="1F003E4C" w:rsidR="00BA64F1" w:rsidRPr="00BA64F1" w:rsidRDefault="00BA64F1" w:rsidP="00BA64F1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Нелекуван феохромцитом (виж т.4.4);</w:t>
      </w:r>
    </w:p>
    <w:p w14:paraId="1B5D7A5E" w14:textId="790F4A9E" w:rsidR="00BA64F1" w:rsidRPr="00BA64F1" w:rsidRDefault="00BA64F1" w:rsidP="00BA64F1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Метаболитна ацидоза.</w:t>
      </w:r>
    </w:p>
    <w:p w14:paraId="7AE7ECFB" w14:textId="77A4A752" w:rsidR="00BA64F1" w:rsidRPr="00BA64F1" w:rsidRDefault="00BA64F1" w:rsidP="00BA64F1">
      <w:pPr>
        <w:rPr>
          <w:rFonts w:cs="Arial"/>
        </w:rPr>
      </w:pPr>
      <w:r w:rsidRPr="00BA64F1">
        <w:rPr>
          <w:rFonts w:eastAsia="Times New Roman" w:cs="Arial"/>
          <w:color w:val="000000"/>
          <w:lang w:eastAsia="bg-BG"/>
        </w:rPr>
        <w:t>Конкор е противопоказан при пациенти със свръхчуствителност към бизопролол или към някое от помощните вещества, посочени в т.</w:t>
      </w:r>
      <w:r w:rsidRPr="00BA64F1">
        <w:rPr>
          <w:rFonts w:eastAsia="Times New Roman" w:cs="Arial"/>
          <w:color w:val="000000"/>
          <w:lang w:val="en-US" w:eastAsia="bg-BG"/>
        </w:rPr>
        <w:t xml:space="preserve"> </w:t>
      </w:r>
      <w:r w:rsidRPr="00BA64F1">
        <w:rPr>
          <w:rFonts w:eastAsia="Times New Roman" w:cs="Arial"/>
          <w:color w:val="000000"/>
          <w:lang w:eastAsia="bg-BG"/>
        </w:rPr>
        <w:t>6.1.</w:t>
      </w:r>
    </w:p>
    <w:p w14:paraId="4A60C7DC" w14:textId="77777777" w:rsidR="00BA64F1" w:rsidRPr="00BA64F1" w:rsidRDefault="00BA64F1" w:rsidP="00BA64F1"/>
    <w:p w14:paraId="212F509C" w14:textId="25964190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105DF0DB" w14:textId="7EEDB63B" w:rsidR="00BA64F1" w:rsidRDefault="00BA64F1" w:rsidP="00BA64F1"/>
    <w:p w14:paraId="126A5103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lastRenderedPageBreak/>
        <w:t>Освен ако не е изрично показано, лечението с бизопролол не трябва да се преустановява внезапно, особено при пациенти с исхемична болест на сърцето, тъй като това може да доведе до преходно влошаване на сърдечното заболяване (виж т.4.2).</w:t>
      </w:r>
    </w:p>
    <w:p w14:paraId="13B2A9BF" w14:textId="77777777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 xml:space="preserve">Бизопролол трябва да се прилага с внимание при пациенти с хипертония или </w:t>
      </w:r>
      <w:r w:rsidRPr="00BA64F1">
        <w:rPr>
          <w:rFonts w:eastAsia="Times New Roman" w:cs="Arial"/>
          <w:color w:val="000000"/>
          <w:lang w:val="en-US"/>
        </w:rPr>
        <w:t xml:space="preserve">angina pectoris </w:t>
      </w:r>
      <w:r w:rsidRPr="00BA64F1">
        <w:rPr>
          <w:rFonts w:eastAsia="Times New Roman" w:cs="Arial"/>
          <w:color w:val="000000"/>
          <w:lang w:eastAsia="bg-BG"/>
        </w:rPr>
        <w:t>при съпътстваща сърдечна недостатъчност.</w:t>
      </w:r>
    </w:p>
    <w:p w14:paraId="08FAEEFB" w14:textId="77777777" w:rsidR="00BA64F1" w:rsidRPr="00BA64F1" w:rsidRDefault="00BA64F1" w:rsidP="00BA64F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826CD11" w14:textId="4D06626E" w:rsidR="00BA64F1" w:rsidRPr="00BA64F1" w:rsidRDefault="00BA64F1" w:rsidP="00BA64F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BA64F1">
        <w:rPr>
          <w:rFonts w:eastAsia="Times New Roman" w:cs="Arial"/>
          <w:color w:val="000000"/>
          <w:lang w:eastAsia="bg-BG"/>
        </w:rPr>
        <w:t>Бизопролол трябва да се прилага с внимание при:</w:t>
      </w:r>
    </w:p>
    <w:p w14:paraId="033FF23B" w14:textId="77777777" w:rsidR="00597376" w:rsidRPr="00597376" w:rsidRDefault="00BA64F1" w:rsidP="0059737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захарен диабет, показващ големи флуктуации на нивата на кръвната захар. Симптомите на хипогликемия (напр. тахикардия, сърцебиене или изпотяване) може да се маскират; </w:t>
      </w:r>
    </w:p>
    <w:p w14:paraId="1395E65C" w14:textId="1501DB1F" w:rsidR="00BA64F1" w:rsidRPr="00597376" w:rsidRDefault="00BA64F1" w:rsidP="0059737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строга диета;</w:t>
      </w:r>
    </w:p>
    <w:p w14:paraId="78B32173" w14:textId="7DFB5DAE" w:rsidR="00BA64F1" w:rsidRPr="00597376" w:rsidRDefault="00BA64F1" w:rsidP="0059737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по време на десенсибилизираща терапия. Подобно на останалите β-блокери, бизопролол може да повиши както чувствителността към алергени, така и тежестта на анафилактичните реакции. Лечението с епинефрин не винаги дава очаквания терапевтичен ефект;</w:t>
      </w:r>
    </w:p>
    <w:p w14:paraId="0B17244E" w14:textId="77777777" w:rsidR="00BA64F1" w:rsidRPr="00597376" w:rsidRDefault="00BA64F1" w:rsidP="0059737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val="en-US"/>
        </w:rPr>
        <w:t xml:space="preserve">AV </w:t>
      </w:r>
      <w:r w:rsidRPr="00597376">
        <w:rPr>
          <w:rFonts w:eastAsia="Times New Roman" w:cs="Arial"/>
          <w:color w:val="000000"/>
          <w:lang w:eastAsia="bg-BG"/>
        </w:rPr>
        <w:t>блок от първа степен;</w:t>
      </w:r>
    </w:p>
    <w:p w14:paraId="11D86AA1" w14:textId="77777777" w:rsidR="00BA64F1" w:rsidRPr="00597376" w:rsidRDefault="00BA64F1" w:rsidP="0059737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Ангина на </w:t>
      </w:r>
      <w:proofErr w:type="spellStart"/>
      <w:r w:rsidRPr="00597376">
        <w:rPr>
          <w:rFonts w:eastAsia="Times New Roman" w:cs="Arial"/>
          <w:color w:val="000000"/>
          <w:lang w:val="en-US"/>
        </w:rPr>
        <w:t>Prinzmetal</w:t>
      </w:r>
      <w:proofErr w:type="spellEnd"/>
      <w:r w:rsidRPr="00597376">
        <w:rPr>
          <w:rFonts w:eastAsia="Times New Roman" w:cs="Arial"/>
          <w:color w:val="000000"/>
          <w:lang w:val="en-US"/>
        </w:rPr>
        <w:t xml:space="preserve">: </w:t>
      </w:r>
      <w:r w:rsidRPr="00597376">
        <w:rPr>
          <w:rFonts w:eastAsia="Times New Roman" w:cs="Arial"/>
          <w:color w:val="000000"/>
          <w:lang w:eastAsia="bg-BG"/>
        </w:rPr>
        <w:t xml:space="preserve">Наблюдавани са случаи на коронарен вазоспазъм. Въпреки високата си бета1- селективност, при пациентите с ангина на </w:t>
      </w:r>
      <w:proofErr w:type="spellStart"/>
      <w:r w:rsidRPr="00597376">
        <w:rPr>
          <w:rFonts w:eastAsia="Times New Roman" w:cs="Arial"/>
          <w:color w:val="000000"/>
          <w:lang w:val="en-US"/>
        </w:rPr>
        <w:t>Prinzmetal</w:t>
      </w:r>
      <w:proofErr w:type="spellEnd"/>
      <w:r w:rsidRPr="00597376">
        <w:rPr>
          <w:rFonts w:eastAsia="Times New Roman" w:cs="Arial"/>
          <w:color w:val="000000"/>
          <w:lang w:val="en-US"/>
        </w:rPr>
        <w:t xml:space="preserve">, </w:t>
      </w:r>
      <w:r w:rsidRPr="00597376">
        <w:rPr>
          <w:rFonts w:eastAsia="Times New Roman" w:cs="Arial"/>
          <w:color w:val="000000"/>
          <w:lang w:eastAsia="bg-BG"/>
        </w:rPr>
        <w:t>приемащи бизопролол, не могат да бъдат изключени пристъпи на стенокардия.;</w:t>
      </w:r>
    </w:p>
    <w:p w14:paraId="0074E9E0" w14:textId="367F4EFF" w:rsidR="00BA64F1" w:rsidRPr="00597376" w:rsidRDefault="00BA64F1" w:rsidP="00597376">
      <w:pPr>
        <w:pStyle w:val="ListParagraph"/>
        <w:numPr>
          <w:ilvl w:val="0"/>
          <w:numId w:val="37"/>
        </w:numPr>
        <w:rPr>
          <w:rFonts w:cs="Arial"/>
        </w:rPr>
      </w:pPr>
      <w:r w:rsidRPr="00597376">
        <w:rPr>
          <w:rFonts w:eastAsia="Times New Roman" w:cs="Arial"/>
          <w:color w:val="000000"/>
          <w:lang w:eastAsia="bg-BG"/>
        </w:rPr>
        <w:t>Периферно артериално оклузивно заболяване. Може да се наблюдава засилване на</w:t>
      </w:r>
      <w:r w:rsidRPr="00597376">
        <w:rPr>
          <w:rFonts w:eastAsia="Times New Roman" w:cs="Arial"/>
          <w:b/>
          <w:bCs/>
          <w:color w:val="000000"/>
          <w:sz w:val="24"/>
          <w:szCs w:val="24"/>
          <w:lang w:eastAsia="bg-BG"/>
        </w:rPr>
        <w:t xml:space="preserve"> </w:t>
      </w:r>
      <w:r w:rsidRPr="00597376">
        <w:rPr>
          <w:rFonts w:eastAsia="Times New Roman" w:cs="Arial"/>
          <w:color w:val="000000"/>
          <w:lang w:eastAsia="bg-BG"/>
        </w:rPr>
        <w:t>оплакванията, особено в началото на терапията.</w:t>
      </w:r>
    </w:p>
    <w:p w14:paraId="12368D48" w14:textId="77777777" w:rsidR="00597376" w:rsidRPr="00597376" w:rsidRDefault="00597376" w:rsidP="00597376">
      <w:pPr>
        <w:pStyle w:val="ListParagraph"/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Пациенти с псориазис или анамнеза за псориазис трябва да приемат β-блокери (напр. бизопролол), само след внимателно балансиране на ползите срещу рисковете.</w:t>
      </w:r>
    </w:p>
    <w:p w14:paraId="51D6B702" w14:textId="77777777" w:rsidR="00597376" w:rsidRPr="00597376" w:rsidRDefault="00597376" w:rsidP="00597376">
      <w:pPr>
        <w:pStyle w:val="ListParagraph"/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На фона на лечението с бизопролол, симптомите на тиреотоксикоза може да се маскират.</w:t>
      </w:r>
    </w:p>
    <w:p w14:paraId="353795E1" w14:textId="77777777" w:rsidR="00597376" w:rsidRPr="00597376" w:rsidRDefault="00597376" w:rsidP="00597376">
      <w:pPr>
        <w:pStyle w:val="ListParagraph"/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При пациенти с феохромоцитом бизопролол се прилага само след алфа-рецепторна блокада.</w:t>
      </w:r>
    </w:p>
    <w:p w14:paraId="41FC751A" w14:textId="77777777" w:rsidR="00597376" w:rsidRDefault="00597376" w:rsidP="00597376">
      <w:pPr>
        <w:pStyle w:val="ListParagraph"/>
        <w:spacing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307D9D86" w14:textId="26B67D95" w:rsidR="00597376" w:rsidRPr="00597376" w:rsidRDefault="00597376" w:rsidP="00597376">
      <w:pPr>
        <w:pStyle w:val="ListParagraph"/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При пациенти, подложени на обща анестезия, анестезиологът трябва да бъде уведомен за β-блокадата. Ако е необходимо преустановяване на лечението с β-блокер преди хирургична операция, то трябва да стане постепенно и да приключи 48 часа преди анестезията.</w:t>
      </w:r>
    </w:p>
    <w:p w14:paraId="5E10EDC7" w14:textId="77777777" w:rsidR="00597376" w:rsidRPr="00597376" w:rsidRDefault="00597376" w:rsidP="00597376">
      <w:pPr>
        <w:pStyle w:val="ListParagraph"/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Въпреки че кардиоселективните (бета 1) бета-блокери могат да имат по-слаб ефект върху белодробната функция отколкото неселективните бета-блокери, както всички бета-блокери използването им също трябва да се избягва при пациенти с обструктивни заболявания на дихателните пътища, освен ако не съществуват убедителни клинични причини за употребата им. Ако такива причини съществуват, Конкор може да се използва с повишено внимание.</w:t>
      </w:r>
    </w:p>
    <w:p w14:paraId="6AC3AF4F" w14:textId="77777777" w:rsidR="00597376" w:rsidRPr="00597376" w:rsidRDefault="00597376" w:rsidP="00597376">
      <w:pPr>
        <w:pStyle w:val="ListParagraph"/>
        <w:rPr>
          <w:rFonts w:eastAsia="Times New Roman" w:cs="Arial"/>
          <w:color w:val="000000"/>
          <w:lang w:eastAsia="bg-BG"/>
        </w:rPr>
      </w:pPr>
    </w:p>
    <w:p w14:paraId="5D768FC3" w14:textId="7AE01F2A" w:rsidR="00BA64F1" w:rsidRDefault="00597376" w:rsidP="00597376">
      <w:pPr>
        <w:pStyle w:val="ListParagraph"/>
        <w:rPr>
          <w:rFonts w:eastAsia="Times New Roman" w:cs="Arial"/>
          <w:color w:val="000000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Препоръчва се едновременно приложение на бронходилатираща терапия при бронхиална астма или друго хронично обструктивно белодробно заболяване, което може да причини симптоми. Понякога, при пациенти с астма може да се появи повишение на резистентността на дихателните пътища, затова може да се наложи увеличаване дозата на β</w:t>
      </w:r>
      <w:r w:rsidRPr="00597376">
        <w:rPr>
          <w:rFonts w:eastAsia="Times New Roman" w:cs="Arial"/>
          <w:color w:val="000000"/>
          <w:vertAlign w:val="subscript"/>
          <w:lang w:eastAsia="bg-BG"/>
        </w:rPr>
        <w:t>2</w:t>
      </w:r>
      <w:r w:rsidRPr="00597376">
        <w:rPr>
          <w:rFonts w:eastAsia="Times New Roman" w:cs="Arial"/>
          <w:color w:val="000000"/>
          <w:lang w:eastAsia="bg-BG"/>
        </w:rPr>
        <w:t>-стимулантите.</w:t>
      </w:r>
    </w:p>
    <w:p w14:paraId="03188001" w14:textId="77777777" w:rsidR="00597376" w:rsidRPr="00597376" w:rsidRDefault="00597376" w:rsidP="00597376">
      <w:pPr>
        <w:pStyle w:val="ListParagraph"/>
        <w:rPr>
          <w:rFonts w:cs="Arial"/>
        </w:rPr>
      </w:pPr>
    </w:p>
    <w:p w14:paraId="619DED1E" w14:textId="469FD7C2" w:rsidR="004F498A" w:rsidRDefault="002C50EE" w:rsidP="004A448E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7D250AE9" w14:textId="112079E5" w:rsidR="00597376" w:rsidRDefault="00597376" w:rsidP="00597376"/>
    <w:p w14:paraId="59714D18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lastRenderedPageBreak/>
        <w:t>Непрепоръчителни комбинации</w:t>
      </w:r>
    </w:p>
    <w:p w14:paraId="6AA76F9A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Калциеви антагонисти от групата на верапамил и в по-малка степен от групата на дилтиазем: негативно влияние на контрактилността и атрио-вентрикуларната проводимост. Интравенозното приложение на верапамил при пациенти, лекувани с β-блокери, може да доведе до тежка хипотония и атриовентрикуларен блок.</w:t>
      </w:r>
    </w:p>
    <w:p w14:paraId="347157A3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Антихипертензивни лекарствени средства с централно действие (напр. клонидин, метилдопа, моксонодин, рилменидин):</w:t>
      </w:r>
    </w:p>
    <w:p w14:paraId="7B3BE93E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Едновременната употреба с антихипертензивни лекарствени средства с централно действие може да доведе до намаляване на съдречната честота и капацитет, а оттам - до вазодилатация. Внезапното преустановяване на лечението може да увеличи риска от „ребаунд хипертония“.</w:t>
      </w:r>
    </w:p>
    <w:p w14:paraId="574D6C21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46FF858" w14:textId="6C4968FC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Комбинации, които трябва да се използват с внимание</w:t>
      </w:r>
    </w:p>
    <w:p w14:paraId="16971586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Калциеви антагонисти от дихидропиридинов тип (напр. нифедипин): Едновременната употреба може да увеличи риска от хипотония, както и не е изключен и по-голям риск от допълнително влошаване на вентрикуларната функция при пациенти със сърдечна недостатъчност.</w:t>
      </w:r>
    </w:p>
    <w:p w14:paraId="0806F0F0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D216915" w14:textId="4D992AAC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Клас I антиаритмични лекарствени продукти (напр. дизопирамид, лидокаин, фенитоин; флекаинид, пропафенон): ефектът върху времето на атрио-вентрикуларната проводимост може да се потенцира и да се повиши негативния инотропен ефект.</w:t>
      </w:r>
    </w:p>
    <w:p w14:paraId="5E1458A2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5C91555" w14:textId="503A0D12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Клас III антиаритмични лекарствени продукти (напр. амиодарон): ефектът върху времето на атрио-вентрикуларната проводимост може да се потенцира.</w:t>
      </w:r>
    </w:p>
    <w:p w14:paraId="4E443B64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Парасимпатикомиметични лекарствени продукти: Едновременната употреба </w:t>
      </w:r>
      <w:r w:rsidRPr="00597376">
        <w:rPr>
          <w:rFonts w:eastAsia="Times New Roman" w:cs="Arial"/>
          <w:color w:val="000000"/>
          <w:u w:val="single"/>
          <w:lang w:eastAsia="bg-BG"/>
        </w:rPr>
        <w:t>може</w:t>
      </w:r>
      <w:r w:rsidRPr="00597376">
        <w:rPr>
          <w:rFonts w:eastAsia="Times New Roman" w:cs="Arial"/>
          <w:color w:val="000000"/>
          <w:lang w:eastAsia="bg-BG"/>
        </w:rPr>
        <w:t xml:space="preserve"> да увеличи времето на атрио-вентрикуларната проводимост, както и риска от брадикардия</w:t>
      </w:r>
      <w:r w:rsidRPr="00597376">
        <w:rPr>
          <w:rFonts w:eastAsia="Times New Roman" w:cs="Arial"/>
          <w:color w:val="000000"/>
          <w:lang w:val="en-US"/>
        </w:rPr>
        <w:t xml:space="preserve"> </w:t>
      </w:r>
    </w:p>
    <w:p w14:paraId="25F0F360" w14:textId="2AA7392E" w:rsidR="00597376" w:rsidRPr="00597376" w:rsidRDefault="00597376" w:rsidP="00597376">
      <w:pPr>
        <w:rPr>
          <w:rFonts w:cs="Arial"/>
        </w:rPr>
      </w:pPr>
      <w:r w:rsidRPr="00597376">
        <w:rPr>
          <w:rFonts w:eastAsia="Times New Roman" w:cs="Arial"/>
          <w:color w:val="000000"/>
          <w:lang w:eastAsia="bg-BG"/>
        </w:rPr>
        <w:t>β-блокери с локално приложение (напр. капки за очи за лечение на глаукома)</w:t>
      </w:r>
      <w:r w:rsidRPr="00597376">
        <w:rPr>
          <w:rFonts w:eastAsia="Times New Roman" w:cs="Arial"/>
          <w:color w:val="000000"/>
          <w:lang w:val="en-US"/>
        </w:rPr>
        <w:t xml:space="preserve"> </w:t>
      </w:r>
      <w:r w:rsidRPr="00597376">
        <w:rPr>
          <w:rFonts w:eastAsia="Times New Roman" w:cs="Arial"/>
          <w:color w:val="000000"/>
          <w:lang w:eastAsia="bg-BG"/>
        </w:rPr>
        <w:t>могат засилят ефекта на бизопролол.</w:t>
      </w:r>
    </w:p>
    <w:p w14:paraId="76D61451" w14:textId="50AA96C3" w:rsidR="00597376" w:rsidRDefault="00597376" w:rsidP="00597376"/>
    <w:p w14:paraId="6A88126D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Инсулин и перорални антидиабетни лекарствени продукти: засилване ефекта на намаляване на кръвната захар; блокирането на β-адренорецепторите може да маскира симптомите на хипогликемия.</w:t>
      </w:r>
    </w:p>
    <w:p w14:paraId="0137C1C2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Анестетици: Намаляване на рефлекторната тахикардия и повишаване на риска от хипотония (повече информация за обща анестезия виж т.4.4).</w:t>
      </w:r>
    </w:p>
    <w:p w14:paraId="5310E101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Дигиталисови гликозиди: Особено при увеличаване на времето на атрио-вентрикуларната проводимост, с което се забавя сърдечния ритъм.</w:t>
      </w:r>
    </w:p>
    <w:p w14:paraId="4994BFAD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Нестероидни противовъзпалителни средства </w:t>
      </w:r>
      <w:r w:rsidRPr="00597376">
        <w:rPr>
          <w:rFonts w:eastAsia="Times New Roman" w:cs="Arial"/>
          <w:color w:val="000000"/>
          <w:lang w:val="en-US"/>
        </w:rPr>
        <w:t xml:space="preserve">(NSAID): </w:t>
      </w:r>
      <w:r w:rsidRPr="00597376">
        <w:rPr>
          <w:rFonts w:eastAsia="Times New Roman" w:cs="Arial"/>
          <w:color w:val="000000"/>
          <w:lang w:eastAsia="bg-BG"/>
        </w:rPr>
        <w:t>може да намалят хипотоничния ефект на бизопролол.</w:t>
      </w:r>
    </w:p>
    <w:p w14:paraId="6A8A2CC2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β-симпатомиметици (напр. изопреналин, добутамин): Комбинацията с бизопролол може да намали действието и на двете средства.</w:t>
      </w:r>
    </w:p>
    <w:p w14:paraId="51E3F14E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Симпатомиметици, активиращи както β- така и α-адренорецептори:</w:t>
      </w:r>
    </w:p>
    <w:p w14:paraId="30AD2D94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Комбинацията с бизопролол може да доведе до увеличаване на кръвното налягане. Смята се, че такова взаимодействие се получава по-скоро с неселективни β-блокери.</w:t>
      </w:r>
    </w:p>
    <w:p w14:paraId="7EBA6459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Едновременната употреба с антихипертензивни лекарствени средства, както и с други продукти, които имат потенциал за намаляване на кръвното налягане (трициклични антидепресанти, барбитурати, фенотиазини) може да увеличи риска от хипотония.</w:t>
      </w:r>
    </w:p>
    <w:p w14:paraId="47A59AB1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FA8A583" w14:textId="73F2E0C3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Комбинации, които трябва да се обмислят:</w:t>
      </w:r>
    </w:p>
    <w:p w14:paraId="3B66866A" w14:textId="13E2841C" w:rsidR="00597376" w:rsidRPr="00597376" w:rsidRDefault="00597376" w:rsidP="00597376">
      <w:pPr>
        <w:rPr>
          <w:rFonts w:cs="Arial"/>
        </w:rPr>
      </w:pPr>
      <w:r w:rsidRPr="00597376">
        <w:rPr>
          <w:rFonts w:eastAsia="Times New Roman" w:cs="Arial"/>
          <w:color w:val="000000"/>
          <w:lang w:eastAsia="bg-BG"/>
        </w:rPr>
        <w:t>Мефлокин: повишен риск от брадикардия.</w:t>
      </w:r>
    </w:p>
    <w:p w14:paraId="394A7584" w14:textId="5DF34FA6" w:rsidR="004F498A" w:rsidRDefault="002C50EE" w:rsidP="004A448E">
      <w:pPr>
        <w:pStyle w:val="Heading2"/>
      </w:pPr>
      <w:r>
        <w:lastRenderedPageBreak/>
        <w:t>4.6. Фертилитет, бременност и кърмене</w:t>
      </w:r>
    </w:p>
    <w:p w14:paraId="5A43705E" w14:textId="683AA78E" w:rsidR="00597376" w:rsidRDefault="00597376" w:rsidP="00597376"/>
    <w:p w14:paraId="33A743CA" w14:textId="77777777" w:rsidR="00597376" w:rsidRPr="00597376" w:rsidRDefault="00597376" w:rsidP="00597376">
      <w:pPr>
        <w:pStyle w:val="Heading3"/>
        <w:rPr>
          <w:rFonts w:eastAsia="Times New Roman"/>
          <w:u w:val="single"/>
          <w:lang w:eastAsia="bg-BG"/>
        </w:rPr>
      </w:pPr>
      <w:r w:rsidRPr="00597376">
        <w:rPr>
          <w:rFonts w:eastAsia="Times New Roman"/>
          <w:u w:val="single"/>
          <w:lang w:eastAsia="bg-BG"/>
        </w:rPr>
        <w:t>Бременност:</w:t>
      </w:r>
    </w:p>
    <w:p w14:paraId="32E06BCF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Бизопролол има фармакологични действия, които могат да предизвикат увреждащи ефекти върху бременността и/или върху плода/новороденото. По принцип, β-адренорецепторните блокери намаляват плацентната перфузия, която може да се свърже със забавяне на растежа, вътрематочна смърт, аборт и преждевременно раждане. Нежеланите лекарствени реакции (напр. хипогликемия и брадикардия) могат да се появят при плода и новороденото. Ако е необходимо лечение с β-адренорецепторни блокери, за предпочитане са β</w:t>
      </w:r>
      <w:r w:rsidRPr="00597376">
        <w:rPr>
          <w:rFonts w:eastAsia="Times New Roman" w:cs="Arial"/>
          <w:color w:val="000000"/>
          <w:vertAlign w:val="subscript"/>
          <w:lang w:eastAsia="bg-BG"/>
        </w:rPr>
        <w:t>1</w:t>
      </w:r>
      <w:r w:rsidRPr="00597376">
        <w:rPr>
          <w:rFonts w:eastAsia="Times New Roman" w:cs="Arial"/>
          <w:color w:val="000000"/>
          <w:lang w:eastAsia="bg-BG"/>
        </w:rPr>
        <w:t>-селективни адренорецепторни блокери.</w:t>
      </w:r>
    </w:p>
    <w:p w14:paraId="6694AC5A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Конкор не трябва да се използва по време на бременност, освен ако не е изрично показано. Ако лечението с бизопролол се счита за необходимо, трябва да се наблюдава маточноплацентния кръвоток и растежа на плода. В случай на увреждащи ефекти върху бременността или плода, трябва да се обмисли алтернативно лечение. Новородените трябва да се наблюдават стриктно. Симптоми на хипогликемия и брадикардия, по принцип, се очакват през първите три дни.</w:t>
      </w:r>
    </w:p>
    <w:p w14:paraId="70A4F5D3" w14:textId="1DF647E5" w:rsidR="00597376" w:rsidRPr="00597376" w:rsidRDefault="00597376" w:rsidP="00597376">
      <w:pPr>
        <w:pStyle w:val="Heading3"/>
        <w:rPr>
          <w:rFonts w:eastAsia="Times New Roman"/>
          <w:u w:val="single"/>
          <w:lang w:eastAsia="bg-BG"/>
        </w:rPr>
      </w:pPr>
      <w:r w:rsidRPr="00597376">
        <w:rPr>
          <w:rFonts w:eastAsia="Times New Roman"/>
          <w:u w:val="single"/>
          <w:lang w:eastAsia="bg-BG"/>
        </w:rPr>
        <w:t>Кърмене:</w:t>
      </w:r>
    </w:p>
    <w:p w14:paraId="2D3AD186" w14:textId="03778688" w:rsidR="00597376" w:rsidRPr="00597376" w:rsidRDefault="00597376" w:rsidP="00597376">
      <w:pPr>
        <w:rPr>
          <w:rFonts w:cs="Arial"/>
        </w:rPr>
      </w:pPr>
      <w:r w:rsidRPr="00597376">
        <w:rPr>
          <w:rFonts w:eastAsia="Times New Roman" w:cs="Arial"/>
          <w:color w:val="000000"/>
          <w:lang w:eastAsia="bg-BG"/>
        </w:rPr>
        <w:t>Няма данни дали бизопролол се екскретира в кърмата, както и за въздействието на бизопролол върху бебета.Затова кърменето не е препоръчително по време на приложението на Конкор.</w:t>
      </w:r>
    </w:p>
    <w:p w14:paraId="32F2A806" w14:textId="77777777" w:rsidR="00597376" w:rsidRPr="00597376" w:rsidRDefault="00597376" w:rsidP="00597376"/>
    <w:p w14:paraId="064DF1DE" w14:textId="0C30E314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4A84234C" w14:textId="4A4AFAD1" w:rsidR="00597376" w:rsidRDefault="00597376" w:rsidP="00597376"/>
    <w:p w14:paraId="39850675" w14:textId="7B6432B1" w:rsidR="00597376" w:rsidRDefault="00597376" w:rsidP="00597376">
      <w:r>
        <w:t>При проучване с пациенти с исхемична болест на сърцето бизопролол не влошава способността за шофиране. Въпреки това, поради индивидуалните разлики в реакциите към лекарствения продукт, способността за шофиране на превозно средство и работа с машини може да се влоши. Това трябва да се има предвид, особено при започване на терапията и при промяна на лечението, както и при употреба на алкохол.</w:t>
      </w:r>
    </w:p>
    <w:p w14:paraId="4FBD7B15" w14:textId="77777777" w:rsidR="00597376" w:rsidRPr="00597376" w:rsidRDefault="00597376" w:rsidP="00597376"/>
    <w:p w14:paraId="37A3FD9F" w14:textId="4DF9A1BE" w:rsidR="00CF77F7" w:rsidRDefault="002C50EE" w:rsidP="004A448E">
      <w:pPr>
        <w:pStyle w:val="Heading2"/>
      </w:pPr>
      <w:r>
        <w:t>4.8. Нежелани лекарствени реакции</w:t>
      </w:r>
    </w:p>
    <w:p w14:paraId="7CBED029" w14:textId="3F44A271" w:rsidR="00597376" w:rsidRDefault="00597376" w:rsidP="00597376"/>
    <w:p w14:paraId="7CF285AE" w14:textId="332D128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>
        <w:rPr>
          <w:rFonts w:eastAsia="Times New Roman" w:cs="Arial"/>
          <w:color w:val="000000"/>
          <w:lang w:eastAsia="bg-BG"/>
        </w:rPr>
        <w:t>По-дол</w:t>
      </w:r>
      <w:r w:rsidRPr="00597376">
        <w:rPr>
          <w:rFonts w:eastAsia="Times New Roman" w:cs="Arial"/>
          <w:color w:val="000000"/>
          <w:lang w:eastAsia="bg-BG"/>
        </w:rPr>
        <w:t>у са използвани следните определения, които се отнасят до честотата:</w:t>
      </w:r>
    </w:p>
    <w:p w14:paraId="4718921B" w14:textId="26D76642" w:rsidR="00597376" w:rsidRDefault="00597376" w:rsidP="00597376">
      <w:pPr>
        <w:rPr>
          <w:rFonts w:eastAsia="Times New Roman" w:cs="Arial"/>
          <w:color w:val="000000"/>
          <w:lang w:val="en-US"/>
        </w:rPr>
      </w:pPr>
      <w:r w:rsidRPr="00597376">
        <w:rPr>
          <w:rFonts w:eastAsia="Times New Roman" w:cs="Arial"/>
          <w:color w:val="000000"/>
          <w:lang w:eastAsia="bg-BG"/>
        </w:rPr>
        <w:t xml:space="preserve">Чести (≥ 1 % до &lt; 10%), нечести (≥0,1% до &lt;1%), редки (≥0,01% до </w:t>
      </w:r>
      <w:r w:rsidRPr="00597376">
        <w:rPr>
          <w:rFonts w:eastAsia="Times New Roman" w:cs="Arial"/>
          <w:color w:val="000000"/>
          <w:lang w:val="en-US"/>
        </w:rPr>
        <w:t>&lt;0,1%</w:t>
      </w:r>
      <w:r>
        <w:rPr>
          <w:rFonts w:eastAsia="Times New Roman" w:cs="Arial"/>
          <w:color w:val="000000"/>
          <w:lang w:val="en-US"/>
        </w:rPr>
        <w:t>)</w:t>
      </w:r>
    </w:p>
    <w:p w14:paraId="1508574F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много редки (&lt;0,01 %)., с неизвестна честота (не може да се оцени от наличните данни) </w:t>
      </w:r>
    </w:p>
    <w:p w14:paraId="2EF5C1DA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1C20FE6" w14:textId="7C0A373B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Изследвания</w:t>
      </w:r>
    </w:p>
    <w:p w14:paraId="1CE8BBB4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Редки:</w:t>
      </w:r>
      <w:r w:rsidRPr="00597376">
        <w:rPr>
          <w:rFonts w:eastAsia="Times New Roman" w:cs="Arial"/>
          <w:color w:val="000000"/>
          <w:lang w:eastAsia="bg-BG"/>
        </w:rPr>
        <w:tab/>
        <w:t>увеличени триглицериди, увеличени стойности на чернодробните</w:t>
      </w:r>
    </w:p>
    <w:p w14:paraId="2775B75E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ензими </w:t>
      </w:r>
      <w:r w:rsidRPr="00597376">
        <w:rPr>
          <w:rFonts w:eastAsia="Times New Roman" w:cs="Arial"/>
          <w:color w:val="000000"/>
          <w:lang w:val="en-US"/>
        </w:rPr>
        <w:t>(ALAT, ASAT)</w:t>
      </w:r>
    </w:p>
    <w:p w14:paraId="0A5C7E38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A0855DB" w14:textId="251AA5EF" w:rsidR="00597376" w:rsidRPr="00597376" w:rsidRDefault="00597376" w:rsidP="00597376">
      <w:pPr>
        <w:spacing w:line="240" w:lineRule="auto"/>
        <w:rPr>
          <w:rFonts w:eastAsia="Times New Roman" w:cs="Arial"/>
          <w:u w:val="single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Нарушения на сърдечната дейност:</w:t>
      </w:r>
    </w:p>
    <w:p w14:paraId="5CD2A20D" w14:textId="15FE1375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>
        <w:rPr>
          <w:rFonts w:eastAsia="Times New Roman" w:cs="Arial"/>
          <w:color w:val="000000"/>
          <w:lang w:eastAsia="bg-BG"/>
        </w:rPr>
        <w:t xml:space="preserve">Нечести: </w:t>
      </w:r>
      <w:r w:rsidRPr="00597376">
        <w:rPr>
          <w:rFonts w:eastAsia="Times New Roman" w:cs="Arial"/>
          <w:color w:val="000000"/>
          <w:lang w:eastAsia="bg-BG"/>
        </w:rPr>
        <w:t xml:space="preserve">нарушения в </w:t>
      </w:r>
      <w:r w:rsidRPr="00597376">
        <w:rPr>
          <w:rFonts w:eastAsia="Times New Roman" w:cs="Arial"/>
          <w:color w:val="000000"/>
          <w:lang w:val="en-US"/>
        </w:rPr>
        <w:t>AV</w:t>
      </w:r>
      <w:r w:rsidRPr="00597376">
        <w:rPr>
          <w:rFonts w:eastAsia="Times New Roman" w:cs="Arial"/>
          <w:color w:val="000000"/>
          <w:lang w:eastAsia="bg-BG"/>
        </w:rPr>
        <w:t>-проводимостта, влошаване на съществуваща сърдечна</w:t>
      </w:r>
    </w:p>
    <w:p w14:paraId="179FB15B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недостатъчност, брадикардия.</w:t>
      </w:r>
    </w:p>
    <w:p w14:paraId="0334B853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463A15C" w14:textId="1962ED42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Нарушения на нервната система:</w:t>
      </w:r>
    </w:p>
    <w:p w14:paraId="5D323431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Чести:</w:t>
      </w:r>
      <w:r w:rsidRPr="00597376">
        <w:rPr>
          <w:rFonts w:eastAsia="Times New Roman" w:cs="Arial"/>
          <w:color w:val="000000"/>
          <w:lang w:eastAsia="bg-BG"/>
        </w:rPr>
        <w:tab/>
        <w:t>замайване*, главоболие*</w:t>
      </w:r>
    </w:p>
    <w:p w14:paraId="6A09199C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Редки:</w:t>
      </w:r>
      <w:r w:rsidRPr="00597376">
        <w:rPr>
          <w:rFonts w:eastAsia="Times New Roman" w:cs="Arial"/>
          <w:color w:val="000000"/>
          <w:lang w:eastAsia="bg-BG"/>
        </w:rPr>
        <w:tab/>
        <w:t>припадъци</w:t>
      </w:r>
    </w:p>
    <w:p w14:paraId="65E62A79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A285F64" w14:textId="188FF63C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Зрителни нарушения:</w:t>
      </w:r>
    </w:p>
    <w:p w14:paraId="79E08AD7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lastRenderedPageBreak/>
        <w:t>Редки:</w:t>
      </w:r>
      <w:r w:rsidRPr="00597376">
        <w:rPr>
          <w:rFonts w:eastAsia="Times New Roman" w:cs="Arial"/>
          <w:color w:val="000000"/>
          <w:lang w:eastAsia="bg-BG"/>
        </w:rPr>
        <w:tab/>
        <w:t>намалено сълзотечение (да се има предвид при пациенти, използващи</w:t>
      </w:r>
    </w:p>
    <w:p w14:paraId="363B62B3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лещи)</w:t>
      </w:r>
    </w:p>
    <w:p w14:paraId="1F464BF7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Много редки:</w:t>
      </w:r>
      <w:r w:rsidRPr="00597376">
        <w:rPr>
          <w:rFonts w:eastAsia="Times New Roman" w:cs="Arial"/>
          <w:color w:val="000000"/>
          <w:lang w:eastAsia="bg-BG"/>
        </w:rPr>
        <w:tab/>
        <w:t>конюнктивит</w:t>
      </w:r>
    </w:p>
    <w:p w14:paraId="5541D771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6DCFB86" w14:textId="49F84A29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Нарушения на лабиринта на вътрешното ухо и на слуха:</w:t>
      </w:r>
    </w:p>
    <w:p w14:paraId="46AA37BE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Редки:</w:t>
      </w:r>
      <w:r w:rsidRPr="00597376">
        <w:rPr>
          <w:rFonts w:eastAsia="Times New Roman" w:cs="Arial"/>
          <w:color w:val="000000"/>
          <w:lang w:eastAsia="bg-BG"/>
        </w:rPr>
        <w:tab/>
        <w:t>нарушения на слуха</w:t>
      </w:r>
    </w:p>
    <w:p w14:paraId="57A1820A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B295BBA" w14:textId="59F2EE01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Дихателни, гръдни и медиастинални нарушения</w:t>
      </w:r>
    </w:p>
    <w:p w14:paraId="4CB0B108" w14:textId="29DB4F70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>
        <w:rPr>
          <w:rFonts w:eastAsia="Times New Roman" w:cs="Arial"/>
          <w:color w:val="000000"/>
          <w:lang w:eastAsia="bg-BG"/>
        </w:rPr>
        <w:t xml:space="preserve">Нечести: </w:t>
      </w:r>
      <w:r w:rsidRPr="00597376">
        <w:rPr>
          <w:rFonts w:eastAsia="Times New Roman" w:cs="Arial"/>
          <w:color w:val="000000"/>
          <w:lang w:eastAsia="bg-BG"/>
        </w:rPr>
        <w:t>бронхоспазъм при пациенти с бронхиална астма или анамнеза за</w:t>
      </w:r>
    </w:p>
    <w:p w14:paraId="31845E2B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обструктивно заболяване на дихателните пътища</w:t>
      </w:r>
    </w:p>
    <w:p w14:paraId="3E1D5E6E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Редки:</w:t>
      </w:r>
      <w:r w:rsidRPr="00597376">
        <w:rPr>
          <w:rFonts w:eastAsia="Times New Roman" w:cs="Arial"/>
          <w:color w:val="000000"/>
          <w:lang w:eastAsia="bg-BG"/>
        </w:rPr>
        <w:tab/>
        <w:t>алергичен ринит</w:t>
      </w:r>
    </w:p>
    <w:p w14:paraId="1C201A6E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7BC6E64" w14:textId="6A06A620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Стомашно-чревни нарушения:</w:t>
      </w:r>
    </w:p>
    <w:p w14:paraId="62E3B04B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Чести:</w:t>
      </w:r>
      <w:r w:rsidRPr="00597376">
        <w:rPr>
          <w:rFonts w:eastAsia="Times New Roman" w:cs="Arial"/>
          <w:color w:val="000000"/>
          <w:lang w:eastAsia="bg-BG"/>
        </w:rPr>
        <w:tab/>
        <w:t>Стомашно-чревни оплаквания като гадене,</w:t>
      </w:r>
    </w:p>
    <w:p w14:paraId="53EF0F67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повръщане, диария, констипация</w:t>
      </w:r>
    </w:p>
    <w:p w14:paraId="7979A773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52EBA50" w14:textId="16A2AAA8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Нарушения на кожата и подкожните тъкани</w:t>
      </w:r>
    </w:p>
    <w:p w14:paraId="3CAE4503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Редки:</w:t>
      </w:r>
      <w:r w:rsidRPr="00597376">
        <w:rPr>
          <w:rFonts w:eastAsia="Times New Roman" w:cs="Arial"/>
          <w:color w:val="000000"/>
          <w:lang w:eastAsia="bg-BG"/>
        </w:rPr>
        <w:tab/>
        <w:t>Реакции на свръхчуствителност като пруритус, зачервяване, обрив и</w:t>
      </w:r>
    </w:p>
    <w:p w14:paraId="049A558A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ангиоедем</w:t>
      </w:r>
    </w:p>
    <w:p w14:paraId="2FD0539E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Много редки: алопеция. β-блокерите може да провокират или да влошат псориазис или да индуцират псориазис-подобен обрив</w:t>
      </w:r>
    </w:p>
    <w:p w14:paraId="3A746BBB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624AEFC" w14:textId="4B19DE5D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Нарушения на съединителната тъкан и мускуло-скелетни нарушения:</w:t>
      </w:r>
    </w:p>
    <w:p w14:paraId="2859EA8A" w14:textId="7B78EE98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lang w:eastAsia="bg-BG"/>
        </w:rPr>
      </w:pPr>
      <w:r>
        <w:rPr>
          <w:rFonts w:eastAsia="Times New Roman" w:cs="Arial"/>
          <w:color w:val="000000"/>
          <w:lang w:eastAsia="bg-BG"/>
        </w:rPr>
        <w:t xml:space="preserve">Нечести: </w:t>
      </w:r>
      <w:r w:rsidRPr="00597376">
        <w:rPr>
          <w:rFonts w:eastAsia="Times New Roman" w:cs="Arial"/>
          <w:color w:val="000000"/>
          <w:lang w:eastAsia="bg-BG"/>
        </w:rPr>
        <w:t>мускулна слабост, мускулни спазми</w:t>
      </w:r>
    </w:p>
    <w:p w14:paraId="33BBCF2F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C8786AD" w14:textId="1F55A586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Съдови нарушения</w:t>
      </w:r>
    </w:p>
    <w:p w14:paraId="16466CD2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Чести:</w:t>
      </w:r>
      <w:r w:rsidRPr="00597376">
        <w:rPr>
          <w:rFonts w:eastAsia="Times New Roman" w:cs="Arial"/>
          <w:color w:val="000000"/>
          <w:lang w:eastAsia="bg-BG"/>
        </w:rPr>
        <w:tab/>
        <w:t>усещане за студ или изтръпване на крайниците</w:t>
      </w:r>
    </w:p>
    <w:p w14:paraId="26C98331" w14:textId="0E8C353C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>
        <w:rPr>
          <w:rFonts w:eastAsia="Times New Roman" w:cs="Arial"/>
          <w:color w:val="000000"/>
          <w:lang w:eastAsia="bg-BG"/>
        </w:rPr>
        <w:t>Нечести:</w:t>
      </w:r>
      <w:r w:rsidRPr="00597376">
        <w:rPr>
          <w:rFonts w:eastAsia="Times New Roman" w:cs="Arial"/>
          <w:color w:val="000000"/>
          <w:lang w:eastAsia="bg-BG"/>
        </w:rPr>
        <w:t>хипотония</w:t>
      </w:r>
    </w:p>
    <w:p w14:paraId="1DA11123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BBAAC8B" w14:textId="47081F2E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Общи нарушения</w:t>
      </w:r>
    </w:p>
    <w:p w14:paraId="637A1DBF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Чести:</w:t>
      </w:r>
      <w:r w:rsidRPr="00597376">
        <w:rPr>
          <w:rFonts w:eastAsia="Times New Roman" w:cs="Arial"/>
          <w:color w:val="000000"/>
          <w:lang w:eastAsia="bg-BG"/>
        </w:rPr>
        <w:tab/>
        <w:t>умора*</w:t>
      </w:r>
    </w:p>
    <w:p w14:paraId="5ED40CA4" w14:textId="244FDAC9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>
        <w:rPr>
          <w:rFonts w:eastAsia="Times New Roman" w:cs="Arial"/>
          <w:color w:val="000000"/>
          <w:lang w:eastAsia="bg-BG"/>
        </w:rPr>
        <w:t>Нечести:</w:t>
      </w:r>
      <w:r w:rsidRPr="00597376">
        <w:rPr>
          <w:rFonts w:eastAsia="Times New Roman" w:cs="Arial"/>
          <w:color w:val="000000"/>
          <w:lang w:eastAsia="bg-BG"/>
        </w:rPr>
        <w:t>астения</w:t>
      </w:r>
    </w:p>
    <w:p w14:paraId="79CCE6D6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7F5CAC5" w14:textId="471B34FF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Нарушения на чернодробната и жлъчна функция:</w:t>
      </w:r>
    </w:p>
    <w:p w14:paraId="7B709D36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Редки:</w:t>
      </w:r>
      <w:r w:rsidRPr="00597376">
        <w:rPr>
          <w:rFonts w:eastAsia="Times New Roman" w:cs="Arial"/>
          <w:color w:val="000000"/>
          <w:lang w:eastAsia="bg-BG"/>
        </w:rPr>
        <w:tab/>
        <w:t>хепатит</w:t>
      </w:r>
    </w:p>
    <w:p w14:paraId="2B354A90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A4C22EB" w14:textId="44C09588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Нарушения на репродуктивната система и гърдите</w:t>
      </w:r>
    </w:p>
    <w:p w14:paraId="45E4666A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Редки:</w:t>
      </w:r>
      <w:r w:rsidRPr="00597376">
        <w:rPr>
          <w:rFonts w:eastAsia="Times New Roman" w:cs="Arial"/>
          <w:color w:val="000000"/>
          <w:lang w:eastAsia="bg-BG"/>
        </w:rPr>
        <w:tab/>
        <w:t>еректилна дисфункция</w:t>
      </w:r>
    </w:p>
    <w:p w14:paraId="6639D090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</w:p>
    <w:p w14:paraId="307ABC29" w14:textId="53031F45" w:rsidR="00597376" w:rsidRPr="00597376" w:rsidRDefault="00597376" w:rsidP="00597376">
      <w:pPr>
        <w:rPr>
          <w:rFonts w:cs="Arial"/>
        </w:rPr>
      </w:pPr>
      <w:r w:rsidRPr="00597376">
        <w:rPr>
          <w:rFonts w:eastAsia="Times New Roman" w:cs="Arial"/>
          <w:color w:val="000000"/>
          <w:u w:val="single"/>
          <w:lang w:eastAsia="bg-BG"/>
        </w:rPr>
        <w:t>Психиатрични нарушения</w:t>
      </w:r>
    </w:p>
    <w:p w14:paraId="02925A86" w14:textId="6CCC8380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>
        <w:rPr>
          <w:rFonts w:eastAsia="Times New Roman" w:cs="Arial"/>
          <w:color w:val="000000"/>
          <w:lang w:eastAsia="bg-BG"/>
        </w:rPr>
        <w:t xml:space="preserve">Нечести: </w:t>
      </w:r>
      <w:r w:rsidRPr="00597376">
        <w:rPr>
          <w:rFonts w:eastAsia="Times New Roman" w:cs="Arial"/>
          <w:color w:val="000000"/>
          <w:lang w:eastAsia="bg-BG"/>
        </w:rPr>
        <w:t>нарушения на съня, депресия</w:t>
      </w:r>
    </w:p>
    <w:p w14:paraId="43A7888B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Редки:</w:t>
      </w:r>
      <w:r w:rsidRPr="00597376">
        <w:rPr>
          <w:rFonts w:eastAsia="Times New Roman" w:cs="Arial"/>
          <w:color w:val="000000"/>
          <w:lang w:eastAsia="bg-BG"/>
        </w:rPr>
        <w:tab/>
        <w:t>Кошмари, халюцинации</w:t>
      </w:r>
    </w:p>
    <w:p w14:paraId="41391C65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D2E0961" w14:textId="55CD54C0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*Тези симптоми се появяват особено в началото на лечението. Те са по принцип леки и често изчезват до 1-2 седмици.</w:t>
      </w:r>
    </w:p>
    <w:p w14:paraId="613943ED" w14:textId="77777777" w:rsidR="00597376" w:rsidRPr="00597376" w:rsidRDefault="00597376" w:rsidP="00597376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3A2A804B" w14:textId="470335F1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i/>
          <w:iCs/>
          <w:color w:val="000000"/>
          <w:u w:val="single"/>
          <w:lang w:eastAsia="bg-BG"/>
        </w:rPr>
        <w:t>Съобщаване</w:t>
      </w:r>
      <w:r w:rsidRPr="00597376">
        <w:rPr>
          <w:rFonts w:eastAsia="Times New Roman" w:cs="Arial"/>
          <w:color w:val="000000"/>
          <w:u w:val="single"/>
          <w:lang w:eastAsia="bg-BG"/>
        </w:rPr>
        <w:t xml:space="preserve"> на подозирани нежелани реакции</w:t>
      </w:r>
    </w:p>
    <w:p w14:paraId="475B5A8D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B887D9D" w14:textId="6CEFD215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</w:t>
      </w:r>
      <w:r w:rsidRPr="00597376">
        <w:rPr>
          <w:rFonts w:eastAsia="Times New Roman" w:cs="Arial"/>
          <w:color w:val="000000"/>
          <w:lang w:eastAsia="bg-BG"/>
        </w:rPr>
        <w:lastRenderedPageBreak/>
        <w:t>съотношението полза/риск за лекарствения продукт. От медицинските специалисти се изисква да съобщават всяка подозирана нежелана реакция чрез</w:t>
      </w:r>
    </w:p>
    <w:p w14:paraId="21000309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E47A4A3" w14:textId="16ADB4DB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Изпълнителна агенция по лекарствата</w:t>
      </w:r>
    </w:p>
    <w:p w14:paraId="6D83C852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ул., Дамян Груев” № 8</w:t>
      </w:r>
    </w:p>
    <w:p w14:paraId="73A8DA16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1303 София</w:t>
      </w:r>
    </w:p>
    <w:p w14:paraId="2FC37834" w14:textId="77777777" w:rsidR="00597376" w:rsidRPr="00597376" w:rsidRDefault="00597376" w:rsidP="00597376">
      <w:pPr>
        <w:spacing w:line="240" w:lineRule="auto"/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Тел.:+359 2 8903 417</w:t>
      </w:r>
    </w:p>
    <w:p w14:paraId="56EE1E61" w14:textId="18814311" w:rsidR="00597376" w:rsidRPr="00597376" w:rsidRDefault="00597376" w:rsidP="00597376">
      <w:pPr>
        <w:rPr>
          <w:rFonts w:eastAsia="Times New Roman" w:cs="Arial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уебсайт: </w:t>
      </w:r>
      <w:hyperlink r:id="rId5" w:history="1">
        <w:r w:rsidRPr="00597376">
          <w:rPr>
            <w:rFonts w:eastAsia="Times New Roman" w:cs="Arial"/>
            <w:color w:val="000000"/>
            <w:u w:val="single"/>
            <w:lang w:val="en-US"/>
          </w:rPr>
          <w:t>www.bda.bg</w:t>
        </w:r>
      </w:hyperlink>
    </w:p>
    <w:p w14:paraId="31F6B200" w14:textId="77777777" w:rsidR="00597376" w:rsidRPr="00597376" w:rsidRDefault="00597376" w:rsidP="00597376"/>
    <w:p w14:paraId="0A023CE0" w14:textId="7CDDA4A8" w:rsidR="00CF77F7" w:rsidRDefault="002C50EE" w:rsidP="004A448E">
      <w:pPr>
        <w:pStyle w:val="Heading2"/>
      </w:pPr>
      <w:r>
        <w:t>4.9. Предозиране</w:t>
      </w:r>
    </w:p>
    <w:p w14:paraId="5E02B53E" w14:textId="28F0013D" w:rsidR="00597376" w:rsidRDefault="00597376" w:rsidP="00597376"/>
    <w:p w14:paraId="686205D3" w14:textId="77777777" w:rsidR="00597376" w:rsidRPr="006820B8" w:rsidRDefault="00597376" w:rsidP="006820B8">
      <w:pPr>
        <w:pStyle w:val="Heading3"/>
        <w:rPr>
          <w:rFonts w:eastAsia="Times New Roman"/>
          <w:u w:val="single"/>
          <w:lang w:eastAsia="bg-BG"/>
        </w:rPr>
      </w:pPr>
      <w:r w:rsidRPr="006820B8">
        <w:rPr>
          <w:rFonts w:eastAsia="Times New Roman"/>
          <w:u w:val="single"/>
          <w:lang w:eastAsia="bg-BG"/>
        </w:rPr>
        <w:t>Симптоми</w:t>
      </w:r>
    </w:p>
    <w:p w14:paraId="13866F7C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Най-честите признаци, очаквани при предозиране с </w:t>
      </w:r>
      <w:r w:rsidRPr="00597376">
        <w:rPr>
          <w:rFonts w:eastAsia="Times New Roman" w:cs="Arial"/>
          <w:color w:val="000000"/>
          <w:lang w:val="en-US"/>
        </w:rPr>
        <w:t>p</w:t>
      </w:r>
      <w:r w:rsidRPr="00597376">
        <w:rPr>
          <w:rFonts w:eastAsia="Times New Roman" w:cs="Arial"/>
          <w:color w:val="000000"/>
          <w:lang w:eastAsia="bg-BG"/>
        </w:rPr>
        <w:t>-блокери са брадикардия, хипотония, бронхоспазъм, остра сърдечна недостатъчност и хипогликемия.</w:t>
      </w:r>
    </w:p>
    <w:p w14:paraId="792126A6" w14:textId="678AF1DD" w:rsidR="00597376" w:rsidRDefault="00597376" w:rsidP="00597376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Има обширна интериндивидуална вариабилност в чуствителността към единична висока доза бизопролол и пациенти със сърдечна н</w:t>
      </w:r>
      <w:r>
        <w:rPr>
          <w:rFonts w:eastAsia="Times New Roman" w:cs="Arial"/>
          <w:color w:val="000000"/>
          <w:lang w:eastAsia="bg-BG"/>
        </w:rPr>
        <w:t xml:space="preserve">едостатъчност вероятно са много </w:t>
      </w:r>
      <w:r w:rsidRPr="00597376">
        <w:rPr>
          <w:rFonts w:eastAsia="Times New Roman" w:cs="Arial"/>
          <w:color w:val="000000"/>
          <w:lang w:eastAsia="bg-BG"/>
        </w:rPr>
        <w:t xml:space="preserve">чувствителни. </w:t>
      </w:r>
    </w:p>
    <w:p w14:paraId="276FADE2" w14:textId="78E15FB2" w:rsidR="00597376" w:rsidRPr="006820B8" w:rsidRDefault="00597376" w:rsidP="006820B8">
      <w:pPr>
        <w:pStyle w:val="Heading3"/>
        <w:rPr>
          <w:rFonts w:eastAsia="Times New Roman"/>
          <w:u w:val="single"/>
          <w:lang w:eastAsia="bg-BG"/>
        </w:rPr>
      </w:pPr>
      <w:r w:rsidRPr="006820B8">
        <w:rPr>
          <w:rFonts w:eastAsia="Times New Roman"/>
          <w:u w:val="single"/>
          <w:lang w:eastAsia="bg-BG"/>
        </w:rPr>
        <w:t>Лечение</w:t>
      </w:r>
    </w:p>
    <w:p w14:paraId="026E75AC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По принцип, ако настъпи предозиране, терапията с бизопролол трябва да се спре и да се проведе спомагателно и симптоматично лечение.</w:t>
      </w:r>
    </w:p>
    <w:p w14:paraId="1A6C425A" w14:textId="62A4EE4C" w:rsidR="00597376" w:rsidRPr="00597376" w:rsidRDefault="00597376" w:rsidP="00597376">
      <w:pPr>
        <w:rPr>
          <w:rFonts w:cs="Arial"/>
        </w:rPr>
      </w:pPr>
      <w:r w:rsidRPr="00597376">
        <w:rPr>
          <w:rFonts w:eastAsia="Times New Roman" w:cs="Arial"/>
          <w:color w:val="000000"/>
          <w:lang w:eastAsia="bg-BG"/>
        </w:rPr>
        <w:t>Ограничени данни предполагат, че бизопролол се отстранява трудно чрез диализа.</w:t>
      </w:r>
    </w:p>
    <w:p w14:paraId="4098E9D9" w14:textId="77777777" w:rsidR="00597376" w:rsidRPr="00597376" w:rsidRDefault="00597376" w:rsidP="00597376"/>
    <w:p w14:paraId="02081B24" w14:textId="586DA472" w:rsidR="00395555" w:rsidRDefault="002C50EE" w:rsidP="008A6AF2">
      <w:pPr>
        <w:pStyle w:val="Heading1"/>
      </w:pPr>
      <w:r>
        <w:t>5. ФАРМАКОЛОГИЧНИ СВОЙСТВА</w:t>
      </w:r>
    </w:p>
    <w:p w14:paraId="014A8F3F" w14:textId="77777777" w:rsidR="00597376" w:rsidRPr="00597376" w:rsidRDefault="00597376" w:rsidP="00597376"/>
    <w:p w14:paraId="32B6DE66" w14:textId="24661198" w:rsidR="00CF77F7" w:rsidRDefault="002C50EE" w:rsidP="004A448E">
      <w:pPr>
        <w:pStyle w:val="Heading2"/>
      </w:pPr>
      <w:r>
        <w:t>5.1. Фармакодинамични свойства</w:t>
      </w:r>
    </w:p>
    <w:p w14:paraId="7ABDC66A" w14:textId="5D71BFD0" w:rsidR="00597376" w:rsidRDefault="00597376" w:rsidP="00597376"/>
    <w:p w14:paraId="6A269F02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Фармакотерапевтична група: селективен р-блокер,</w:t>
      </w:r>
    </w:p>
    <w:p w14:paraId="66AEF2DB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АТС код: С07АВ07</w:t>
      </w:r>
    </w:p>
    <w:p w14:paraId="60A7A14F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Механизъм на действие</w:t>
      </w:r>
    </w:p>
    <w:p w14:paraId="19E4472B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Бизопролол </w:t>
      </w:r>
      <w:r w:rsidRPr="00597376">
        <w:rPr>
          <w:rFonts w:eastAsia="Times New Roman" w:cs="Arial"/>
          <w:color w:val="000000"/>
          <w:lang w:val="en-US"/>
        </w:rPr>
        <w:t xml:space="preserve"> </w:t>
      </w:r>
      <w:r w:rsidRPr="00597376">
        <w:rPr>
          <w:rFonts w:eastAsia="Times New Roman" w:cs="Arial"/>
          <w:color w:val="000000"/>
          <w:lang w:eastAsia="bg-BG"/>
        </w:rPr>
        <w:t>β</w:t>
      </w:r>
      <w:r w:rsidRPr="00597376">
        <w:rPr>
          <w:rFonts w:eastAsia="Times New Roman" w:cs="Arial"/>
          <w:color w:val="000000"/>
          <w:vertAlign w:val="subscript"/>
          <w:lang w:eastAsia="bg-BG"/>
        </w:rPr>
        <w:t>1</w:t>
      </w:r>
      <w:r w:rsidRPr="00597376">
        <w:rPr>
          <w:rFonts w:eastAsia="Times New Roman" w:cs="Arial"/>
          <w:color w:val="000000"/>
          <w:lang w:eastAsia="bg-BG"/>
        </w:rPr>
        <w:t>-селективен адренорецепторен блокиращ агент, лишен от вътрешна стимулираща симпатикомиметична активност и без съответна стабилизираща мембранна активност. Продуктът има много слаб афинитет към β</w:t>
      </w:r>
      <w:r w:rsidRPr="00597376">
        <w:rPr>
          <w:rFonts w:eastAsia="Times New Roman" w:cs="Arial"/>
          <w:color w:val="000000"/>
          <w:vertAlign w:val="subscript"/>
          <w:lang w:eastAsia="bg-BG"/>
        </w:rPr>
        <w:t>2</w:t>
      </w:r>
      <w:r w:rsidRPr="00597376">
        <w:rPr>
          <w:rFonts w:eastAsia="Times New Roman" w:cs="Arial"/>
          <w:color w:val="000000"/>
          <w:lang w:eastAsia="bg-BG"/>
        </w:rPr>
        <w:t>-рецепторите на гладките мускули на бронхите и съдовете, както и на β</w:t>
      </w:r>
      <w:r w:rsidRPr="00597376">
        <w:rPr>
          <w:rFonts w:eastAsia="Times New Roman" w:cs="Arial"/>
          <w:color w:val="000000"/>
          <w:vertAlign w:val="subscript"/>
          <w:lang w:eastAsia="bg-BG"/>
        </w:rPr>
        <w:t>2</w:t>
      </w:r>
      <w:r w:rsidRPr="00597376">
        <w:rPr>
          <w:rFonts w:eastAsia="Times New Roman" w:cs="Arial"/>
          <w:color w:val="000000"/>
          <w:lang w:eastAsia="bg-BG"/>
        </w:rPr>
        <w:t>-рецепторите, свързани с метаболитната регулация. Затова, по принцип, не се очаква бизопролол да влияе на дихателната резистентност и β</w:t>
      </w:r>
      <w:r w:rsidRPr="00597376">
        <w:rPr>
          <w:rFonts w:eastAsia="Times New Roman" w:cs="Arial"/>
          <w:color w:val="000000"/>
          <w:vertAlign w:val="subscript"/>
          <w:lang w:eastAsia="bg-BG"/>
        </w:rPr>
        <w:t>2</w:t>
      </w:r>
      <w:r w:rsidRPr="00597376">
        <w:rPr>
          <w:rFonts w:eastAsia="Times New Roman" w:cs="Arial"/>
          <w:color w:val="000000"/>
          <w:lang w:eastAsia="bg-BG"/>
        </w:rPr>
        <w:t>- медиираните метаболитни ефекти.</w:t>
      </w:r>
    </w:p>
    <w:p w14:paraId="658AEC93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β</w:t>
      </w:r>
      <w:r w:rsidRPr="00597376">
        <w:rPr>
          <w:rFonts w:eastAsia="Times New Roman" w:cs="Arial"/>
          <w:color w:val="000000"/>
          <w:vertAlign w:val="subscript"/>
          <w:lang w:eastAsia="bg-BG"/>
        </w:rPr>
        <w:t>1</w:t>
      </w:r>
      <w:r w:rsidRPr="00597376">
        <w:rPr>
          <w:rFonts w:eastAsia="Times New Roman" w:cs="Arial"/>
          <w:color w:val="000000"/>
          <w:lang w:eastAsia="bg-BG"/>
        </w:rPr>
        <w:t>-селективността на бизопролол е извън терапевтичните дозови граници.</w:t>
      </w:r>
    </w:p>
    <w:p w14:paraId="1DA2A6D6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Бизопролол няма изразен негативен инотропен ефект.</w:t>
      </w:r>
    </w:p>
    <w:p w14:paraId="03E714A5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Бизопролол достига максималния си антихипертензивен ефект 3-4 часа след перорален прием. Елиминационният му полуживот в плазмата от 10-12 часа осигурява на бизопролол 24-ва ефикасност, след еднодозов дневен прием.</w:t>
      </w:r>
    </w:p>
    <w:p w14:paraId="1D74D7C5" w14:textId="1FF228CE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Максималният антихипертензивен ефект на бизопролол по принцип</w:t>
      </w:r>
      <w:r w:rsidRPr="00597376">
        <w:rPr>
          <w:rFonts w:eastAsia="Times New Roman" w:cs="Arial"/>
          <w:color w:val="000000"/>
          <w:lang w:val="en-US"/>
        </w:rPr>
        <w:t xml:space="preserve"> </w:t>
      </w:r>
      <w:r w:rsidRPr="00597376">
        <w:rPr>
          <w:rFonts w:eastAsia="Times New Roman" w:cs="Arial"/>
          <w:color w:val="000000"/>
          <w:lang w:eastAsia="bg-BG"/>
        </w:rPr>
        <w:t>се достига след 2</w:t>
      </w:r>
      <w:r w:rsidRPr="00597376">
        <w:rPr>
          <w:rFonts w:eastAsia="Times New Roman" w:cs="Arial"/>
          <w:sz w:val="24"/>
          <w:szCs w:val="24"/>
          <w:lang w:val="en-US" w:eastAsia="bg-BG"/>
        </w:rPr>
        <w:t xml:space="preserve"> </w:t>
      </w:r>
      <w:r w:rsidRPr="00597376">
        <w:rPr>
          <w:rFonts w:eastAsia="Times New Roman" w:cs="Arial"/>
          <w:color w:val="000000"/>
          <w:lang w:eastAsia="bg-BG"/>
        </w:rPr>
        <w:t>седмици.</w:t>
      </w:r>
    </w:p>
    <w:p w14:paraId="5F601253" w14:textId="77777777" w:rsidR="00597376" w:rsidRPr="00597376" w:rsidRDefault="00597376" w:rsidP="00597376">
      <w:pPr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Интензивното приложение при пациенти с коронарна болест на сърцето, без хронични сърдечна недостатъчност, бизопролол намалява сърдечната честота и ударния обем и по</w:t>
      </w:r>
      <w:r>
        <w:rPr>
          <w:rFonts w:eastAsia="Times New Roman" w:cs="Arial"/>
          <w:color w:val="000000"/>
          <w:lang w:val="en-US" w:eastAsia="bg-BG"/>
        </w:rPr>
        <w:t xml:space="preserve"> </w:t>
      </w:r>
      <w:r w:rsidRPr="00597376">
        <w:rPr>
          <w:rFonts w:eastAsia="Times New Roman" w:cs="Arial"/>
          <w:color w:val="000000"/>
          <w:lang w:eastAsia="bg-BG"/>
        </w:rPr>
        <w:t xml:space="preserve">такъв начин понижава сърдечния дебит и кислородното потребление. При хронично приложение, първоначално повишената периферна резистентност намалява. Между </w:t>
      </w:r>
      <w:r w:rsidRPr="00597376">
        <w:rPr>
          <w:rFonts w:eastAsia="Times New Roman" w:cs="Arial"/>
          <w:color w:val="000000"/>
          <w:lang w:eastAsia="bg-BG"/>
        </w:rPr>
        <w:lastRenderedPageBreak/>
        <w:t>другите, подтискането на активността на плазмения ренин, се дискутира като механизъм на действие, лежащ в основата на антихипертензивния ефект на β-блокерите.</w:t>
      </w:r>
    </w:p>
    <w:p w14:paraId="6FD874FD" w14:textId="03ABE3E1" w:rsidR="00597376" w:rsidRPr="00597376" w:rsidRDefault="00597376" w:rsidP="00597376">
      <w:pPr>
        <w:rPr>
          <w:rFonts w:cs="Arial"/>
          <w:lang w:val="en-US"/>
        </w:rPr>
      </w:pPr>
      <w:r w:rsidRPr="00597376">
        <w:rPr>
          <w:rFonts w:eastAsia="Times New Roman" w:cs="Arial"/>
          <w:color w:val="000000"/>
          <w:lang w:eastAsia="bg-BG"/>
        </w:rPr>
        <w:t xml:space="preserve">Чрез блокадата на сърдечните β-рецептори бизопролол подтиска отговора към симпатоадренергичната активност. Това предизвиква намаление на сърдечната честота и контрактилитет и поради това води до намаление на миокардната консумация на кислород, което е желан ефект при </w:t>
      </w:r>
      <w:r w:rsidRPr="00597376">
        <w:rPr>
          <w:rFonts w:eastAsia="Times New Roman" w:cs="Arial"/>
          <w:color w:val="000000"/>
          <w:lang w:val="en-US"/>
        </w:rPr>
        <w:t xml:space="preserve">angina pectoris </w:t>
      </w:r>
      <w:r w:rsidRPr="00597376">
        <w:rPr>
          <w:rFonts w:eastAsia="Times New Roman" w:cs="Arial"/>
          <w:color w:val="000000"/>
          <w:lang w:eastAsia="bg-BG"/>
        </w:rPr>
        <w:t>с налична исхемична болест на сърцето.</w:t>
      </w:r>
    </w:p>
    <w:p w14:paraId="31E10E87" w14:textId="77777777" w:rsidR="00597376" w:rsidRPr="00597376" w:rsidRDefault="00597376" w:rsidP="00597376"/>
    <w:p w14:paraId="35F84B81" w14:textId="03B33AA0" w:rsidR="00CF77F7" w:rsidRDefault="002C50EE" w:rsidP="004A448E">
      <w:pPr>
        <w:pStyle w:val="Heading2"/>
      </w:pPr>
      <w:r>
        <w:t>5.2. Фармакокинетични свойства</w:t>
      </w:r>
    </w:p>
    <w:p w14:paraId="0DDCCD2B" w14:textId="6AB79135" w:rsidR="00597376" w:rsidRDefault="00597376" w:rsidP="00597376"/>
    <w:p w14:paraId="4FD69F2B" w14:textId="77777777" w:rsidR="00597376" w:rsidRPr="00597376" w:rsidRDefault="00597376" w:rsidP="00597376">
      <w:pPr>
        <w:pStyle w:val="Heading3"/>
        <w:rPr>
          <w:rFonts w:eastAsia="Times New Roman"/>
          <w:u w:val="single"/>
          <w:lang w:eastAsia="bg-BG"/>
        </w:rPr>
      </w:pPr>
      <w:r w:rsidRPr="00597376">
        <w:rPr>
          <w:rFonts w:eastAsia="Times New Roman"/>
          <w:u w:val="single"/>
          <w:lang w:eastAsia="bg-BG"/>
        </w:rPr>
        <w:t>Абсорбция</w:t>
      </w:r>
    </w:p>
    <w:p w14:paraId="77A50637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Бизопролол се абсорбира почти напълно (&gt;90%) от гастроинтестиналния тракт и поради много малкия ефект на </w:t>
      </w:r>
      <w:r w:rsidRPr="00597376">
        <w:rPr>
          <w:rFonts w:eastAsia="Times New Roman" w:cs="Arial"/>
          <w:color w:val="000000"/>
          <w:lang w:val="en-US"/>
        </w:rPr>
        <w:t xml:space="preserve">first pass </w:t>
      </w:r>
      <w:r w:rsidRPr="00597376">
        <w:rPr>
          <w:rFonts w:eastAsia="Times New Roman" w:cs="Arial"/>
          <w:color w:val="000000"/>
          <w:lang w:eastAsia="bg-BG"/>
        </w:rPr>
        <w:t>през черния дроб - приблизително 10%, има абсолютна бионаличност от около 90% след перорално приложение.</w:t>
      </w:r>
    </w:p>
    <w:p w14:paraId="3412DC6E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0EC64C5" w14:textId="6F6C9812" w:rsidR="00597376" w:rsidRPr="00597376" w:rsidRDefault="00597376" w:rsidP="00597376">
      <w:pPr>
        <w:pStyle w:val="Heading3"/>
        <w:rPr>
          <w:rFonts w:eastAsia="Times New Roman"/>
          <w:u w:val="single"/>
          <w:lang w:eastAsia="bg-BG"/>
        </w:rPr>
      </w:pPr>
      <w:r w:rsidRPr="00597376">
        <w:rPr>
          <w:rFonts w:eastAsia="Times New Roman"/>
          <w:u w:val="single"/>
          <w:lang w:eastAsia="bg-BG"/>
        </w:rPr>
        <w:t>Разпредел</w:t>
      </w:r>
      <w:bookmarkStart w:id="1" w:name="_GoBack"/>
      <w:bookmarkEnd w:id="1"/>
      <w:r w:rsidRPr="00597376">
        <w:rPr>
          <w:rFonts w:eastAsia="Times New Roman"/>
          <w:u w:val="single"/>
          <w:lang w:eastAsia="bg-BG"/>
        </w:rPr>
        <w:t>ение</w:t>
      </w:r>
    </w:p>
    <w:p w14:paraId="57E2858C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Обемът на разпределение е 3.5 </w:t>
      </w:r>
      <w:r w:rsidRPr="00597376">
        <w:rPr>
          <w:rFonts w:eastAsia="Times New Roman" w:cs="Arial"/>
          <w:color w:val="000000"/>
          <w:lang w:val="en-US"/>
        </w:rPr>
        <w:t xml:space="preserve">l/kg. </w:t>
      </w:r>
      <w:r w:rsidRPr="00597376">
        <w:rPr>
          <w:rFonts w:eastAsia="Times New Roman" w:cs="Arial"/>
          <w:color w:val="000000"/>
          <w:lang w:eastAsia="bg-BG"/>
        </w:rPr>
        <w:t>Свързването на бизопролол с плазмените протеини е около 30%.</w:t>
      </w:r>
    </w:p>
    <w:p w14:paraId="433620F0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82A3D9A" w14:textId="529F4565" w:rsidR="00597376" w:rsidRPr="00597376" w:rsidRDefault="00597376" w:rsidP="00597376">
      <w:pPr>
        <w:pStyle w:val="Heading3"/>
        <w:rPr>
          <w:rFonts w:eastAsia="Times New Roman"/>
          <w:u w:val="single"/>
          <w:lang w:eastAsia="bg-BG"/>
        </w:rPr>
      </w:pPr>
      <w:r w:rsidRPr="00597376">
        <w:rPr>
          <w:rFonts w:eastAsia="Times New Roman"/>
          <w:u w:val="single"/>
          <w:lang w:eastAsia="bg-BG"/>
        </w:rPr>
        <w:t>Метаболизъм и елиминиране</w:t>
      </w:r>
    </w:p>
    <w:p w14:paraId="778A0C71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Бизопролол се елиминира от организма чрез два еквивалентни пътя на клирънс: 50% се трансформират в неактивни метаболити в черния дроб с екскреция на метаболитите през бъбреците. Останалите 50% се екскретират непроменени през бъбреците. Затова по принцип бизопролол не изисква адаптиране на дозата при пациенти с чернодробни и бъбречни функционални нарушения с лека до умерена тежест.</w:t>
      </w:r>
    </w:p>
    <w:p w14:paraId="060C408B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 xml:space="preserve">Общият клирънс на продукта е приблизително 15 </w:t>
      </w:r>
      <w:r w:rsidRPr="00597376">
        <w:rPr>
          <w:rFonts w:eastAsia="Times New Roman" w:cs="Arial"/>
          <w:color w:val="000000"/>
          <w:lang w:val="en-US"/>
        </w:rPr>
        <w:t>l/kg.</w:t>
      </w:r>
    </w:p>
    <w:p w14:paraId="1F14C0C8" w14:textId="77777777" w:rsidR="00597376" w:rsidRPr="00597376" w:rsidRDefault="00597376" w:rsidP="00597376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597376">
        <w:rPr>
          <w:rFonts w:eastAsia="Times New Roman" w:cs="Arial"/>
          <w:color w:val="000000"/>
          <w:lang w:eastAsia="bg-BG"/>
        </w:rPr>
        <w:t>Плазменият елиминационен полуживот е 10-12 часа.</w:t>
      </w:r>
    </w:p>
    <w:p w14:paraId="54F7B656" w14:textId="77777777" w:rsidR="00597376" w:rsidRPr="00597376" w:rsidRDefault="00597376" w:rsidP="0059737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A34798A" w14:textId="0E9A6A96" w:rsidR="00597376" w:rsidRPr="00597376" w:rsidRDefault="00597376" w:rsidP="00597376">
      <w:pPr>
        <w:pStyle w:val="Heading3"/>
        <w:rPr>
          <w:rFonts w:eastAsia="Times New Roman"/>
          <w:u w:val="single"/>
          <w:lang w:eastAsia="bg-BG"/>
        </w:rPr>
      </w:pPr>
      <w:r w:rsidRPr="00597376">
        <w:rPr>
          <w:rFonts w:eastAsia="Times New Roman"/>
          <w:u w:val="single"/>
          <w:lang w:eastAsia="bg-BG"/>
        </w:rPr>
        <w:t>Линейност</w:t>
      </w:r>
    </w:p>
    <w:p w14:paraId="1F4A8D00" w14:textId="4A27AEE0" w:rsidR="00597376" w:rsidRPr="00597376" w:rsidRDefault="00597376" w:rsidP="00597376">
      <w:pPr>
        <w:rPr>
          <w:rFonts w:cs="Arial"/>
        </w:rPr>
      </w:pPr>
      <w:r w:rsidRPr="00597376">
        <w:rPr>
          <w:rFonts w:eastAsia="Times New Roman" w:cs="Arial"/>
          <w:color w:val="000000"/>
          <w:lang w:eastAsia="bg-BG"/>
        </w:rPr>
        <w:t>Бизопролол има линейна, възрастово-независима кинетика.</w:t>
      </w:r>
    </w:p>
    <w:p w14:paraId="229BF737" w14:textId="77777777" w:rsidR="00597376" w:rsidRPr="00597376" w:rsidRDefault="00597376" w:rsidP="00597376"/>
    <w:p w14:paraId="648E39DA" w14:textId="61C38F36" w:rsidR="00CF77F7" w:rsidRDefault="002C50EE" w:rsidP="004A448E">
      <w:pPr>
        <w:pStyle w:val="Heading2"/>
      </w:pPr>
      <w:r>
        <w:t>5.3. Предклинични данни за безопасност</w:t>
      </w:r>
    </w:p>
    <w:p w14:paraId="2659FC36" w14:textId="652D652D" w:rsidR="006820B8" w:rsidRDefault="006820B8" w:rsidP="006820B8"/>
    <w:p w14:paraId="01B80AA4" w14:textId="77777777" w:rsidR="006820B8" w:rsidRPr="006820B8" w:rsidRDefault="006820B8" w:rsidP="006820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6820B8">
        <w:rPr>
          <w:rFonts w:eastAsia="Times New Roman" w:cs="Arial"/>
          <w:color w:val="000000"/>
          <w:lang w:eastAsia="bg-BG"/>
        </w:rPr>
        <w:t>Предклиничните данни не показват особена опасност за хора въз основа на конвенционални проучвания на единична и многократна дозова токсичност, генотоксичност/мутагенност или карциногенност.</w:t>
      </w:r>
    </w:p>
    <w:p w14:paraId="2BF6149D" w14:textId="77777777" w:rsidR="006820B8" w:rsidRPr="006820B8" w:rsidRDefault="006820B8" w:rsidP="006820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C7CD49A" w14:textId="684B4DD7" w:rsidR="006820B8" w:rsidRPr="006820B8" w:rsidRDefault="006820B8" w:rsidP="006820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6820B8">
        <w:rPr>
          <w:rFonts w:eastAsia="Times New Roman" w:cs="Arial"/>
          <w:color w:val="000000"/>
          <w:u w:val="single"/>
          <w:lang w:eastAsia="bg-BG"/>
        </w:rPr>
        <w:t>Репродукция</w:t>
      </w:r>
    </w:p>
    <w:p w14:paraId="2BF4D311" w14:textId="77777777" w:rsidR="006820B8" w:rsidRPr="006820B8" w:rsidRDefault="006820B8" w:rsidP="006820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6820B8">
        <w:rPr>
          <w:rFonts w:eastAsia="Times New Roman" w:cs="Arial"/>
          <w:color w:val="000000"/>
          <w:lang w:eastAsia="bg-BG"/>
        </w:rPr>
        <w:t>В репродуктивните токсикологични изследвания бизопролол няма влияние върху фертилитета или върху общата репродуктивна способност.</w:t>
      </w:r>
    </w:p>
    <w:p w14:paraId="198F6D14" w14:textId="6A5209B5" w:rsidR="006820B8" w:rsidRPr="006820B8" w:rsidRDefault="006820B8" w:rsidP="006820B8">
      <w:pPr>
        <w:rPr>
          <w:rFonts w:cs="Arial"/>
        </w:rPr>
      </w:pPr>
      <w:r w:rsidRPr="006820B8">
        <w:rPr>
          <w:rFonts w:eastAsia="Times New Roman" w:cs="Arial"/>
          <w:color w:val="000000"/>
          <w:lang w:eastAsia="bg-BG"/>
        </w:rPr>
        <w:t>Подобно на други бета-блокери, бизопролол във високи дози води до токсичност както при майката (намалява приемането на храна и телесното тегло), така и на ембриона/плода (увеличаване случаите на резорбция, намаляване теглото на плода, забавяне на физическото му развитие), но няма тератогенен ефект.</w:t>
      </w:r>
    </w:p>
    <w:p w14:paraId="10ED9531" w14:textId="77777777" w:rsidR="006820B8" w:rsidRPr="006820B8" w:rsidRDefault="006820B8" w:rsidP="006820B8"/>
    <w:p w14:paraId="6A7820AB" w14:textId="7172EC7B" w:rsidR="008A6AF2" w:rsidRDefault="002C50EE" w:rsidP="00395555">
      <w:pPr>
        <w:pStyle w:val="Heading1"/>
      </w:pPr>
      <w:r>
        <w:lastRenderedPageBreak/>
        <w:t>7. ПРИТЕЖАТЕЛ НА РАЗРЕШЕНИЕТО ЗА УПОТРЕБА</w:t>
      </w:r>
    </w:p>
    <w:p w14:paraId="60E722F1" w14:textId="1E3465EC" w:rsidR="006820B8" w:rsidRDefault="006820B8" w:rsidP="006820B8"/>
    <w:p w14:paraId="300F9B19" w14:textId="77777777" w:rsidR="006820B8" w:rsidRPr="006820B8" w:rsidRDefault="006820B8" w:rsidP="006820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6820B8">
        <w:rPr>
          <w:rFonts w:eastAsia="Times New Roman" w:cs="Arial"/>
          <w:color w:val="000000"/>
          <w:lang w:eastAsia="bg-BG"/>
        </w:rPr>
        <w:t>Мерк България ЕАД</w:t>
      </w:r>
    </w:p>
    <w:p w14:paraId="61BDD809" w14:textId="77777777" w:rsidR="006820B8" w:rsidRPr="006820B8" w:rsidRDefault="006820B8" w:rsidP="006820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6820B8">
        <w:rPr>
          <w:rFonts w:eastAsia="Times New Roman" w:cs="Arial"/>
          <w:color w:val="000000"/>
          <w:lang w:eastAsia="bg-BG"/>
        </w:rPr>
        <w:t>Бул. „Ситняково” № 48</w:t>
      </w:r>
    </w:p>
    <w:p w14:paraId="4B15B5D3" w14:textId="77777777" w:rsidR="006820B8" w:rsidRPr="006820B8" w:rsidRDefault="006820B8" w:rsidP="006820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6820B8">
        <w:rPr>
          <w:rFonts w:eastAsia="Times New Roman" w:cs="Arial"/>
          <w:color w:val="000000"/>
          <w:lang w:eastAsia="bg-BG"/>
        </w:rPr>
        <w:t>Сердика Офиси, ет. 6</w:t>
      </w:r>
    </w:p>
    <w:p w14:paraId="1AED305A" w14:textId="77777777" w:rsidR="006820B8" w:rsidRPr="006820B8" w:rsidRDefault="006820B8" w:rsidP="006820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6820B8">
        <w:rPr>
          <w:rFonts w:eastAsia="Times New Roman" w:cs="Arial"/>
          <w:color w:val="000000"/>
          <w:lang w:eastAsia="bg-BG"/>
        </w:rPr>
        <w:t>София 1505</w:t>
      </w:r>
    </w:p>
    <w:p w14:paraId="5B36D790" w14:textId="1864B83A" w:rsidR="006820B8" w:rsidRPr="006820B8" w:rsidRDefault="006820B8" w:rsidP="006820B8">
      <w:pPr>
        <w:rPr>
          <w:rFonts w:cs="Arial"/>
        </w:rPr>
      </w:pPr>
      <w:r w:rsidRPr="006820B8">
        <w:rPr>
          <w:rFonts w:eastAsia="Times New Roman" w:cs="Arial"/>
          <w:color w:val="000000"/>
          <w:lang w:eastAsia="bg-BG"/>
        </w:rPr>
        <w:t>България</w:t>
      </w:r>
    </w:p>
    <w:p w14:paraId="19E2CA1D" w14:textId="77777777" w:rsidR="006820B8" w:rsidRPr="006820B8" w:rsidRDefault="006820B8" w:rsidP="006820B8"/>
    <w:p w14:paraId="7BA1BA64" w14:textId="6AFC4024" w:rsidR="00CF77F7" w:rsidRDefault="002C50EE" w:rsidP="004A448E">
      <w:pPr>
        <w:pStyle w:val="Heading1"/>
      </w:pPr>
      <w:r>
        <w:t>8. НОМЕР НА РАЗРЕШЕНИЕТО ЗА УПОТРЕБА</w:t>
      </w:r>
    </w:p>
    <w:p w14:paraId="6A359252" w14:textId="243B4DB3" w:rsidR="006820B8" w:rsidRDefault="006820B8" w:rsidP="006820B8"/>
    <w:p w14:paraId="5CD3DC37" w14:textId="396486D9" w:rsidR="006820B8" w:rsidRPr="006820B8" w:rsidRDefault="006820B8" w:rsidP="006820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6820B8">
        <w:rPr>
          <w:rFonts w:eastAsia="Times New Roman" w:cs="Arial"/>
          <w:color w:val="000000"/>
          <w:lang w:eastAsia="bg-BG"/>
        </w:rPr>
        <w:t xml:space="preserve">Конкор 5 </w:t>
      </w:r>
      <w:r w:rsidRPr="006820B8">
        <w:rPr>
          <w:rFonts w:eastAsia="Times New Roman" w:cs="Arial"/>
          <w:color w:val="000000"/>
          <w:lang w:val="en-US"/>
        </w:rPr>
        <w:t xml:space="preserve">mg </w:t>
      </w:r>
      <w:r w:rsidRPr="006820B8">
        <w:rPr>
          <w:rFonts w:eastAsia="Times New Roman" w:cs="Arial"/>
          <w:color w:val="000000"/>
          <w:lang w:eastAsia="bg-BG"/>
        </w:rPr>
        <w:t xml:space="preserve">филмирани таблетки - </w:t>
      </w:r>
      <w:proofErr w:type="spellStart"/>
      <w:r>
        <w:rPr>
          <w:rFonts w:eastAsia="Times New Roman" w:cs="Arial"/>
          <w:color w:val="000000"/>
          <w:lang w:val="en-US"/>
        </w:rPr>
        <w:t>Peг</w:t>
      </w:r>
      <w:proofErr w:type="spellEnd"/>
      <w:r w:rsidRPr="006820B8">
        <w:rPr>
          <w:rFonts w:eastAsia="Times New Roman" w:cs="Arial"/>
          <w:color w:val="000000"/>
          <w:lang w:val="en-US"/>
        </w:rPr>
        <w:t xml:space="preserve">. </w:t>
      </w:r>
      <w:r w:rsidRPr="006820B8">
        <w:rPr>
          <w:rFonts w:eastAsia="Times New Roman" w:cs="Arial"/>
          <w:color w:val="000000"/>
          <w:lang w:eastAsia="bg-BG"/>
        </w:rPr>
        <w:t>№ 20030463</w:t>
      </w:r>
    </w:p>
    <w:p w14:paraId="122093D0" w14:textId="750FCD70" w:rsidR="006820B8" w:rsidRPr="006820B8" w:rsidRDefault="006820B8" w:rsidP="006820B8">
      <w:pPr>
        <w:rPr>
          <w:rFonts w:cs="Arial"/>
        </w:rPr>
      </w:pPr>
      <w:r w:rsidRPr="006820B8">
        <w:rPr>
          <w:rFonts w:eastAsia="Times New Roman" w:cs="Arial"/>
          <w:color w:val="000000"/>
          <w:lang w:eastAsia="bg-BG"/>
        </w:rPr>
        <w:t xml:space="preserve">Конкор 10 </w:t>
      </w:r>
      <w:r w:rsidRPr="006820B8">
        <w:rPr>
          <w:rFonts w:eastAsia="Times New Roman" w:cs="Arial"/>
          <w:color w:val="000000"/>
          <w:lang w:val="en-US"/>
        </w:rPr>
        <w:t xml:space="preserve">mg </w:t>
      </w:r>
      <w:r w:rsidRPr="006820B8">
        <w:rPr>
          <w:rFonts w:eastAsia="Times New Roman" w:cs="Arial"/>
          <w:color w:val="000000"/>
          <w:lang w:eastAsia="bg-BG"/>
        </w:rPr>
        <w:t xml:space="preserve">филмирани таблетки - </w:t>
      </w:r>
      <w:proofErr w:type="spellStart"/>
      <w:r>
        <w:rPr>
          <w:rFonts w:eastAsia="Times New Roman" w:cs="Arial"/>
          <w:color w:val="000000"/>
          <w:lang w:val="en-US"/>
        </w:rPr>
        <w:t>Peг</w:t>
      </w:r>
      <w:proofErr w:type="spellEnd"/>
      <w:r w:rsidRPr="006820B8">
        <w:rPr>
          <w:rFonts w:eastAsia="Times New Roman" w:cs="Arial"/>
          <w:color w:val="000000"/>
          <w:lang w:val="en-US"/>
        </w:rPr>
        <w:t xml:space="preserve">. </w:t>
      </w:r>
      <w:r w:rsidRPr="006820B8">
        <w:rPr>
          <w:rFonts w:eastAsia="Times New Roman" w:cs="Arial"/>
          <w:color w:val="000000"/>
          <w:lang w:eastAsia="bg-BG"/>
        </w:rPr>
        <w:t>№ 20030464</w:t>
      </w:r>
    </w:p>
    <w:p w14:paraId="7243FE87" w14:textId="77777777" w:rsidR="006820B8" w:rsidRPr="006820B8" w:rsidRDefault="006820B8" w:rsidP="006820B8"/>
    <w:p w14:paraId="2CCB5832" w14:textId="045691B4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082065DC" w14:textId="5DF056A0" w:rsidR="006820B8" w:rsidRDefault="006820B8" w:rsidP="006820B8"/>
    <w:p w14:paraId="3DC834C3" w14:textId="77777777" w:rsidR="006820B8" w:rsidRPr="006820B8" w:rsidRDefault="006820B8" w:rsidP="006820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6820B8">
        <w:rPr>
          <w:rFonts w:eastAsia="Times New Roman" w:cs="Arial"/>
          <w:color w:val="000000"/>
          <w:lang w:eastAsia="bg-BG"/>
        </w:rPr>
        <w:t>Дата на пърро разрешаване за употреба: 27.06.2003 г.</w:t>
      </w:r>
    </w:p>
    <w:p w14:paraId="683830AF" w14:textId="449D00A5" w:rsidR="006820B8" w:rsidRPr="006820B8" w:rsidRDefault="006820B8" w:rsidP="006820B8">
      <w:pPr>
        <w:rPr>
          <w:rFonts w:cs="Arial"/>
        </w:rPr>
      </w:pPr>
      <w:r w:rsidRPr="006820B8">
        <w:rPr>
          <w:rFonts w:eastAsia="Times New Roman" w:cs="Arial"/>
          <w:color w:val="000000"/>
          <w:lang w:eastAsia="bg-BG"/>
        </w:rPr>
        <w:t>Дата на последно подновяване на РУ: 24.11.2008 г.</w:t>
      </w:r>
    </w:p>
    <w:p w14:paraId="662C99FA" w14:textId="77777777" w:rsidR="006820B8" w:rsidRPr="006820B8" w:rsidRDefault="006820B8" w:rsidP="006820B8"/>
    <w:p w14:paraId="0E9D0119" w14:textId="3A0998D4" w:rsidR="002C50EE" w:rsidRDefault="002C50EE" w:rsidP="002C50EE">
      <w:pPr>
        <w:pStyle w:val="Heading1"/>
      </w:pPr>
      <w:r>
        <w:t>10. ДАТА НА АКТУАЛИЗИРАНЕ НА ТЕКСТА</w:t>
      </w:r>
    </w:p>
    <w:p w14:paraId="1D38DEA6" w14:textId="29C253C8" w:rsidR="006820B8" w:rsidRDefault="006820B8" w:rsidP="006820B8"/>
    <w:p w14:paraId="1F14F274" w14:textId="3ABFE53B" w:rsidR="006820B8" w:rsidRPr="006820B8" w:rsidRDefault="006820B8" w:rsidP="006820B8">
      <w:pPr>
        <w:rPr>
          <w:rFonts w:cs="Arial"/>
        </w:rPr>
      </w:pPr>
      <w:r w:rsidRPr="006820B8">
        <w:rPr>
          <w:rFonts w:cs="Arial"/>
        </w:rPr>
        <w:t>ноември 2020г.</w:t>
      </w:r>
    </w:p>
    <w:p w14:paraId="5C6552DD" w14:textId="77777777" w:rsidR="006820B8" w:rsidRPr="006820B8" w:rsidRDefault="006820B8" w:rsidP="006820B8"/>
    <w:bookmarkEnd w:id="0"/>
    <w:p w14:paraId="43FB38A2" w14:textId="5500C507" w:rsidR="007C605B" w:rsidRPr="003E3126" w:rsidRDefault="007C605B" w:rsidP="00CF77F7"/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30D77"/>
    <w:multiLevelType w:val="hybridMultilevel"/>
    <w:tmpl w:val="06288F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1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245A89"/>
    <w:multiLevelType w:val="hybridMultilevel"/>
    <w:tmpl w:val="72C8EB42"/>
    <w:lvl w:ilvl="0" w:tplc="89EC8C9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C30E98"/>
    <w:multiLevelType w:val="hybridMultilevel"/>
    <w:tmpl w:val="4DA28D7A"/>
    <w:lvl w:ilvl="0" w:tplc="E20A4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8"/>
  </w:num>
  <w:num w:numId="2">
    <w:abstractNumId w:val="0"/>
  </w:num>
  <w:num w:numId="3">
    <w:abstractNumId w:val="13"/>
  </w:num>
  <w:num w:numId="4">
    <w:abstractNumId w:val="3"/>
  </w:num>
  <w:num w:numId="5">
    <w:abstractNumId w:val="1"/>
  </w:num>
  <w:num w:numId="6">
    <w:abstractNumId w:val="17"/>
  </w:num>
  <w:num w:numId="7">
    <w:abstractNumId w:val="11"/>
  </w:num>
  <w:num w:numId="8">
    <w:abstractNumId w:val="16"/>
  </w:num>
  <w:num w:numId="9">
    <w:abstractNumId w:val="2"/>
  </w:num>
  <w:num w:numId="10">
    <w:abstractNumId w:val="4"/>
  </w:num>
  <w:num w:numId="11">
    <w:abstractNumId w:val="31"/>
  </w:num>
  <w:num w:numId="12">
    <w:abstractNumId w:val="15"/>
  </w:num>
  <w:num w:numId="13">
    <w:abstractNumId w:val="20"/>
  </w:num>
  <w:num w:numId="14">
    <w:abstractNumId w:val="12"/>
  </w:num>
  <w:num w:numId="15">
    <w:abstractNumId w:val="30"/>
  </w:num>
  <w:num w:numId="16">
    <w:abstractNumId w:val="10"/>
  </w:num>
  <w:num w:numId="17">
    <w:abstractNumId w:val="25"/>
  </w:num>
  <w:num w:numId="18">
    <w:abstractNumId w:val="8"/>
  </w:num>
  <w:num w:numId="19">
    <w:abstractNumId w:val="27"/>
  </w:num>
  <w:num w:numId="20">
    <w:abstractNumId w:val="24"/>
  </w:num>
  <w:num w:numId="21">
    <w:abstractNumId w:val="18"/>
  </w:num>
  <w:num w:numId="22">
    <w:abstractNumId w:val="26"/>
  </w:num>
  <w:num w:numId="23">
    <w:abstractNumId w:val="19"/>
  </w:num>
  <w:num w:numId="24">
    <w:abstractNumId w:val="9"/>
  </w:num>
  <w:num w:numId="25">
    <w:abstractNumId w:val="23"/>
  </w:num>
  <w:num w:numId="26">
    <w:abstractNumId w:val="22"/>
  </w:num>
  <w:num w:numId="27">
    <w:abstractNumId w:val="33"/>
  </w:num>
  <w:num w:numId="28">
    <w:abstractNumId w:val="7"/>
  </w:num>
  <w:num w:numId="29">
    <w:abstractNumId w:val="21"/>
  </w:num>
  <w:num w:numId="30">
    <w:abstractNumId w:val="36"/>
  </w:num>
  <w:num w:numId="31">
    <w:abstractNumId w:val="5"/>
  </w:num>
  <w:num w:numId="32">
    <w:abstractNumId w:val="35"/>
  </w:num>
  <w:num w:numId="33">
    <w:abstractNumId w:val="29"/>
  </w:num>
  <w:num w:numId="34">
    <w:abstractNumId w:val="34"/>
  </w:num>
  <w:num w:numId="35">
    <w:abstractNumId w:val="6"/>
  </w:num>
  <w:num w:numId="36">
    <w:abstractNumId w:val="14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93A00"/>
    <w:rsid w:val="00597376"/>
    <w:rsid w:val="005A66D9"/>
    <w:rsid w:val="00605BCA"/>
    <w:rsid w:val="006158A1"/>
    <w:rsid w:val="00617B1F"/>
    <w:rsid w:val="00672487"/>
    <w:rsid w:val="00672600"/>
    <w:rsid w:val="00681D4A"/>
    <w:rsid w:val="006820B8"/>
    <w:rsid w:val="00685882"/>
    <w:rsid w:val="0075649D"/>
    <w:rsid w:val="007C605B"/>
    <w:rsid w:val="008134C8"/>
    <w:rsid w:val="00814073"/>
    <w:rsid w:val="00826F0D"/>
    <w:rsid w:val="00893B92"/>
    <w:rsid w:val="008A6AF2"/>
    <w:rsid w:val="008C70A2"/>
    <w:rsid w:val="009773E4"/>
    <w:rsid w:val="009B171C"/>
    <w:rsid w:val="009F1313"/>
    <w:rsid w:val="00A20351"/>
    <w:rsid w:val="00A65A81"/>
    <w:rsid w:val="00AA23EC"/>
    <w:rsid w:val="00AC63CE"/>
    <w:rsid w:val="00AE2107"/>
    <w:rsid w:val="00B275A8"/>
    <w:rsid w:val="00BA64F1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2567</Words>
  <Characters>14638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Потребител на Windows</cp:lastModifiedBy>
  <cp:revision>2</cp:revision>
  <dcterms:created xsi:type="dcterms:W3CDTF">2022-07-02T20:12:00Z</dcterms:created>
  <dcterms:modified xsi:type="dcterms:W3CDTF">2022-07-02T20:12:00Z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