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0A9EBC20" w14:textId="4B296193" w:rsidR="009F77A4" w:rsidRDefault="00DD466D" w:rsidP="00387A66">
      <w:pPr>
        <w:pStyle w:val="Heading1"/>
      </w:pPr>
      <w:r>
        <w:t>1.ИМЕ НА ЛЕКАРСТВЕНИЯ ПРОДУКТ</w:t>
      </w:r>
    </w:p>
    <w:p w14:paraId="0D9120A4" w14:textId="139DFE0F" w:rsidR="003F5AB8" w:rsidRDefault="003F5AB8" w:rsidP="003F5AB8"/>
    <w:p w14:paraId="7990661E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 xml:space="preserve">Конкор 5 </w:t>
      </w:r>
      <w:r w:rsidRPr="003F5AB8">
        <w:rPr>
          <w:lang w:val="en-US"/>
        </w:rPr>
        <w:t xml:space="preserve">mg </w:t>
      </w:r>
      <w:r w:rsidRPr="003F5AB8">
        <w:rPr>
          <w:lang w:eastAsia="bg-BG"/>
        </w:rPr>
        <w:t>филмирани таблетки</w:t>
      </w:r>
    </w:p>
    <w:p w14:paraId="33AA9917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 xml:space="preserve">Сопсог 5 </w:t>
      </w:r>
      <w:r w:rsidRPr="003F5AB8">
        <w:rPr>
          <w:lang w:val="en-US"/>
        </w:rPr>
        <w:t>mg film-coated tablets</w:t>
      </w:r>
    </w:p>
    <w:p w14:paraId="32BFDB80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 xml:space="preserve">Конкор </w:t>
      </w:r>
      <w:r w:rsidRPr="003F5AB8">
        <w:rPr>
          <w:lang w:val="en-US"/>
        </w:rPr>
        <w:t xml:space="preserve">10 mg </w:t>
      </w:r>
      <w:r w:rsidRPr="003F5AB8">
        <w:rPr>
          <w:lang w:eastAsia="bg-BG"/>
        </w:rPr>
        <w:t>филмирани таблетки</w:t>
      </w:r>
    </w:p>
    <w:p w14:paraId="055496AB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 xml:space="preserve">Сопсог 10 </w:t>
      </w:r>
      <w:r w:rsidRPr="003F5AB8">
        <w:rPr>
          <w:lang w:val="en-US"/>
        </w:rPr>
        <w:t>mg film-coated tablets</w:t>
      </w:r>
    </w:p>
    <w:p w14:paraId="2F284E0E" w14:textId="77777777" w:rsidR="003F5AB8" w:rsidRPr="003F5AB8" w:rsidRDefault="003F5AB8" w:rsidP="003F5AB8"/>
    <w:p w14:paraId="0DF202EC" w14:textId="564C4589" w:rsidR="00F53FB7" w:rsidRDefault="00DD466D" w:rsidP="00A93499">
      <w:pPr>
        <w:pStyle w:val="Heading1"/>
      </w:pPr>
      <w:r>
        <w:t>2. КАЧЕСТВЕН И КОЛИЧЕСТВЕН СЪСТАВ</w:t>
      </w:r>
    </w:p>
    <w:p w14:paraId="47147874" w14:textId="775DDDB8" w:rsidR="003F5AB8" w:rsidRDefault="003F5AB8" w:rsidP="003F5AB8"/>
    <w:p w14:paraId="4E0E3DA2" w14:textId="77777777" w:rsidR="003F5AB8" w:rsidRDefault="003F5AB8" w:rsidP="003F5AB8">
      <w:pPr>
        <w:rPr>
          <w:lang w:val="en-US"/>
        </w:rPr>
      </w:pPr>
      <w:r w:rsidRPr="003F5AB8">
        <w:rPr>
          <w:lang w:eastAsia="bg-BG"/>
        </w:rPr>
        <w:t xml:space="preserve">Конкор 5 </w:t>
      </w:r>
      <w:r w:rsidRPr="003F5AB8">
        <w:rPr>
          <w:lang w:val="en-US"/>
        </w:rPr>
        <w:t xml:space="preserve">mg: </w:t>
      </w:r>
      <w:r w:rsidRPr="003F5AB8">
        <w:rPr>
          <w:lang w:eastAsia="bg-BG"/>
        </w:rPr>
        <w:t xml:space="preserve">Всяка таблетка съдържа 5 </w:t>
      </w:r>
      <w:r w:rsidRPr="003F5AB8">
        <w:rPr>
          <w:lang w:val="en-US"/>
        </w:rPr>
        <w:t xml:space="preserve">mg </w:t>
      </w:r>
      <w:r w:rsidRPr="003F5AB8">
        <w:rPr>
          <w:lang w:eastAsia="bg-BG"/>
        </w:rPr>
        <w:t xml:space="preserve">бизопрололов фумарат </w:t>
      </w:r>
      <w:r w:rsidRPr="003F5AB8">
        <w:rPr>
          <w:lang w:val="en-US"/>
        </w:rPr>
        <w:t xml:space="preserve">(bisoprolol fumarate) </w:t>
      </w:r>
    </w:p>
    <w:p w14:paraId="670FC50A" w14:textId="3B79E335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 xml:space="preserve">Конкор 10 </w:t>
      </w:r>
      <w:r w:rsidRPr="003F5AB8">
        <w:rPr>
          <w:lang w:val="en-US"/>
        </w:rPr>
        <w:t xml:space="preserve">mg: </w:t>
      </w:r>
      <w:r w:rsidRPr="003F5AB8">
        <w:rPr>
          <w:lang w:eastAsia="bg-BG"/>
        </w:rPr>
        <w:t xml:space="preserve">Всяка таблетка съдържа 10 </w:t>
      </w:r>
      <w:r w:rsidRPr="003F5AB8">
        <w:rPr>
          <w:lang w:val="en-US"/>
        </w:rPr>
        <w:t xml:space="preserve">mg </w:t>
      </w:r>
      <w:r w:rsidRPr="003F5AB8">
        <w:rPr>
          <w:lang w:eastAsia="bg-BG"/>
        </w:rPr>
        <w:t xml:space="preserve">бизопрололов фумарат </w:t>
      </w:r>
      <w:r w:rsidRPr="003F5AB8">
        <w:rPr>
          <w:lang w:val="en-US"/>
        </w:rPr>
        <w:t>(bisoprolol fumarate)</w:t>
      </w:r>
    </w:p>
    <w:p w14:paraId="4CABB9ED" w14:textId="37064F8A" w:rsidR="00F53FB7" w:rsidRDefault="00DD466D" w:rsidP="00A93499">
      <w:pPr>
        <w:pStyle w:val="Heading1"/>
      </w:pPr>
      <w:r>
        <w:t>3. ЛЕКАРСТВЕНА ФОРМА</w:t>
      </w:r>
    </w:p>
    <w:p w14:paraId="082639DA" w14:textId="3D861612" w:rsidR="003F5AB8" w:rsidRDefault="003F5AB8" w:rsidP="003F5AB8"/>
    <w:p w14:paraId="479E5486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>Филмирана таблетка</w:t>
      </w:r>
    </w:p>
    <w:p w14:paraId="201D663C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>Външен вид:</w:t>
      </w:r>
    </w:p>
    <w:p w14:paraId="22E7BF33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 xml:space="preserve">Конкор 5 </w:t>
      </w:r>
      <w:r w:rsidRPr="003F5AB8">
        <w:rPr>
          <w:lang w:val="en-US"/>
        </w:rPr>
        <w:t xml:space="preserve">mg </w:t>
      </w:r>
      <w:r w:rsidRPr="003F5AB8">
        <w:rPr>
          <w:lang w:eastAsia="bg-BG"/>
        </w:rPr>
        <w:t>са жълтеникаво-бели, с форма на сърце и делителна черта;</w:t>
      </w:r>
    </w:p>
    <w:p w14:paraId="5C097B04" w14:textId="2F9ED23B" w:rsidR="003F5AB8" w:rsidRPr="003F5AB8" w:rsidRDefault="003F5AB8" w:rsidP="003F5AB8">
      <w:r w:rsidRPr="003F5AB8">
        <w:rPr>
          <w:lang w:eastAsia="bg-BG"/>
        </w:rPr>
        <w:t xml:space="preserve">Конкор 10 </w:t>
      </w:r>
      <w:r w:rsidRPr="003F5AB8">
        <w:rPr>
          <w:lang w:val="en-US"/>
        </w:rPr>
        <w:t xml:space="preserve">mg </w:t>
      </w:r>
      <w:r w:rsidRPr="003F5AB8">
        <w:rPr>
          <w:lang w:eastAsia="bg-BG"/>
        </w:rPr>
        <w:t>са бледо-оранжеви до светло-оранжеви, с форма на сърце и делителна черта.</w:t>
      </w:r>
    </w:p>
    <w:p w14:paraId="490FC2C4" w14:textId="6899DE43" w:rsidR="002C50EE" w:rsidRDefault="002C50EE" w:rsidP="002C50EE">
      <w:pPr>
        <w:pStyle w:val="Heading1"/>
      </w:pPr>
      <w:r>
        <w:t>4. КЛИНИЧНИ ДАННИ</w:t>
      </w:r>
    </w:p>
    <w:p w14:paraId="461901E4" w14:textId="78544E88" w:rsidR="009F77A4" w:rsidRDefault="002C50EE" w:rsidP="00387A66">
      <w:pPr>
        <w:pStyle w:val="Heading2"/>
      </w:pPr>
      <w:r>
        <w:t>4.1. Терапевтични показания</w:t>
      </w:r>
    </w:p>
    <w:p w14:paraId="5555BC1A" w14:textId="551E25A8" w:rsidR="003F5AB8" w:rsidRDefault="003F5AB8" w:rsidP="003F5AB8"/>
    <w:p w14:paraId="4B52789F" w14:textId="77777777" w:rsidR="003F5AB8" w:rsidRDefault="003F5AB8" w:rsidP="003F5AB8">
      <w:pPr>
        <w:pStyle w:val="ListParagraph"/>
        <w:numPr>
          <w:ilvl w:val="0"/>
          <w:numId w:val="40"/>
        </w:numPr>
        <w:rPr>
          <w:lang w:eastAsia="bg-BG"/>
        </w:rPr>
      </w:pPr>
      <w:r w:rsidRPr="003F5AB8">
        <w:rPr>
          <w:lang w:eastAsia="bg-BG"/>
        </w:rPr>
        <w:t>Лечение на хипертония</w:t>
      </w:r>
    </w:p>
    <w:p w14:paraId="5A3FAB6B" w14:textId="0DDF51D1" w:rsidR="003F5AB8" w:rsidRPr="003F5AB8" w:rsidRDefault="003F5AB8" w:rsidP="003F5AB8">
      <w:pPr>
        <w:pStyle w:val="ListParagraph"/>
        <w:numPr>
          <w:ilvl w:val="0"/>
          <w:numId w:val="40"/>
        </w:numPr>
        <w:rPr>
          <w:lang w:eastAsia="bg-BG"/>
        </w:rPr>
      </w:pPr>
      <w:r w:rsidRPr="003F5AB8">
        <w:rPr>
          <w:lang w:eastAsia="bg-BG"/>
        </w:rPr>
        <w:t xml:space="preserve">Лечение на исхемична болест на сърцето </w:t>
      </w:r>
      <w:r w:rsidRPr="003F5AB8">
        <w:rPr>
          <w:lang w:val="en-US"/>
        </w:rPr>
        <w:t>(angina pectoris).</w:t>
      </w:r>
    </w:p>
    <w:p w14:paraId="009793AC" w14:textId="77777777" w:rsidR="003F5AB8" w:rsidRPr="003F5AB8" w:rsidRDefault="003F5AB8" w:rsidP="003F5AB8"/>
    <w:p w14:paraId="31744E5A" w14:textId="29264EA6" w:rsidR="009F77A4" w:rsidRDefault="002C50EE" w:rsidP="00387A66">
      <w:pPr>
        <w:pStyle w:val="Heading2"/>
      </w:pPr>
      <w:r>
        <w:t>4.2. Дозировка и начин на приложение</w:t>
      </w:r>
    </w:p>
    <w:p w14:paraId="3DA405BB" w14:textId="587C9F17" w:rsidR="003F5AB8" w:rsidRDefault="003F5AB8" w:rsidP="003F5AB8"/>
    <w:p w14:paraId="5DB07A5A" w14:textId="77777777" w:rsidR="003F5AB8" w:rsidRPr="003F5AB8" w:rsidRDefault="003F5AB8" w:rsidP="003F5AB8">
      <w:pPr>
        <w:pStyle w:val="Heading3"/>
        <w:rPr>
          <w:rFonts w:eastAsia="Times New Roman"/>
          <w:u w:val="single"/>
          <w:lang w:eastAsia="bg-BG"/>
        </w:rPr>
      </w:pPr>
      <w:r w:rsidRPr="003F5AB8">
        <w:rPr>
          <w:rFonts w:eastAsia="Times New Roman"/>
          <w:u w:val="single"/>
          <w:lang w:eastAsia="bg-BG"/>
        </w:rPr>
        <w:t>Дозировка</w:t>
      </w:r>
    </w:p>
    <w:p w14:paraId="5652BB57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Възрастни:</w:t>
      </w:r>
    </w:p>
    <w:p w14:paraId="3EE9E0FB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За двете показания дозата е 5 </w:t>
      </w:r>
      <w:r w:rsidRPr="003F5AB8">
        <w:rPr>
          <w:rFonts w:eastAsia="Times New Roman" w:cs="Arial"/>
          <w:color w:val="000000"/>
          <w:lang w:val="en-US"/>
        </w:rPr>
        <w:t xml:space="preserve">mg </w:t>
      </w:r>
      <w:r w:rsidRPr="003F5AB8">
        <w:rPr>
          <w:rFonts w:eastAsia="Times New Roman" w:cs="Arial"/>
          <w:color w:val="000000"/>
          <w:lang w:eastAsia="bg-BG"/>
        </w:rPr>
        <w:t xml:space="preserve">бизопрололов фумарат веднъж дневно. Ако е необходимо, дозата може да се увеличи на 10 </w:t>
      </w:r>
      <w:r w:rsidRPr="003F5AB8">
        <w:rPr>
          <w:rFonts w:eastAsia="Times New Roman" w:cs="Arial"/>
          <w:color w:val="000000"/>
          <w:lang w:val="en-US"/>
        </w:rPr>
        <w:t xml:space="preserve">mg </w:t>
      </w:r>
      <w:r w:rsidRPr="003F5AB8">
        <w:rPr>
          <w:rFonts w:eastAsia="Times New Roman" w:cs="Arial"/>
          <w:color w:val="000000"/>
          <w:lang w:eastAsia="bg-BG"/>
        </w:rPr>
        <w:t>бизопрололов фумарат веднъж дневно.</w:t>
      </w:r>
    </w:p>
    <w:p w14:paraId="2D68D800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Максималната препоръчителна доза е 20 </w:t>
      </w:r>
      <w:r w:rsidRPr="003F5AB8">
        <w:rPr>
          <w:rFonts w:eastAsia="Times New Roman" w:cs="Arial"/>
          <w:color w:val="000000"/>
          <w:lang w:val="en-US"/>
        </w:rPr>
        <w:t xml:space="preserve">mg </w:t>
      </w:r>
      <w:r w:rsidRPr="003F5AB8">
        <w:rPr>
          <w:rFonts w:eastAsia="Times New Roman" w:cs="Arial"/>
          <w:color w:val="000000"/>
          <w:lang w:eastAsia="bg-BG"/>
        </w:rPr>
        <w:t>веднъж дневно.</w:t>
      </w:r>
    </w:p>
    <w:p w14:paraId="2A33312C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Дозата трябва да се адаптира индивидуално, според честотата на пулса и терапевтичния успех.</w:t>
      </w:r>
    </w:p>
    <w:p w14:paraId="20094BF1" w14:textId="77777777" w:rsidR="003F5AB8" w:rsidRPr="003F5AB8" w:rsidRDefault="003F5AB8" w:rsidP="003F5AB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8F22F2B" w14:textId="128C00D9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i/>
          <w:iCs/>
          <w:color w:val="000000"/>
          <w:lang w:eastAsia="bg-BG"/>
        </w:rPr>
        <w:t>Продължителност на терапията</w:t>
      </w:r>
    </w:p>
    <w:p w14:paraId="4E08315A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По принцип лечението с бизопролол продължително.</w:t>
      </w:r>
    </w:p>
    <w:p w14:paraId="2B5A3465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Лечението с бизопролол не трябва да се спира внезапно, тъй като това може да доведе до преходно влошаване на състоянието. Особено при пациенти с исхемична болест на </w:t>
      </w:r>
      <w:r w:rsidRPr="003F5AB8">
        <w:rPr>
          <w:rFonts w:eastAsia="Times New Roman" w:cs="Arial"/>
          <w:color w:val="000000"/>
          <w:lang w:eastAsia="bg-BG"/>
        </w:rPr>
        <w:lastRenderedPageBreak/>
        <w:t>сърцето, лечението не трябва да се прекратява внезапно. Препоръчва се постепенно намаляване на дозата.</w:t>
      </w:r>
    </w:p>
    <w:p w14:paraId="35A57542" w14:textId="77777777" w:rsidR="003F5AB8" w:rsidRPr="003F5AB8" w:rsidRDefault="003F5AB8" w:rsidP="003F5AB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3E98D358" w14:textId="1FB31E7D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i/>
          <w:iCs/>
          <w:color w:val="000000"/>
          <w:lang w:eastAsia="bg-BG"/>
        </w:rPr>
        <w:t>Пациенти с бъбречна или чернодробна недостатъчност</w:t>
      </w:r>
    </w:p>
    <w:p w14:paraId="07F0A9D8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При пациенти с леки до умерени нарушения на бъбречната или чернодробна функция, по принцип не се изисква адаптиране на дозата. При пациенти с тежка бъбречна недостатъчност (креатининов клирънс &lt; 20 </w:t>
      </w:r>
      <w:r w:rsidRPr="003F5AB8">
        <w:rPr>
          <w:rFonts w:eastAsia="Times New Roman" w:cs="Arial"/>
          <w:color w:val="000000"/>
          <w:lang w:val="en-US"/>
        </w:rPr>
        <w:t xml:space="preserve">ml/min) </w:t>
      </w:r>
      <w:r w:rsidRPr="003F5AB8">
        <w:rPr>
          <w:rFonts w:eastAsia="Times New Roman" w:cs="Arial"/>
          <w:color w:val="000000"/>
          <w:lang w:eastAsia="bg-BG"/>
        </w:rPr>
        <w:t xml:space="preserve">и при пациенти с тежки нарушения на чернодробната функция, се препоръчва дневната доза от 10 </w:t>
      </w:r>
      <w:r w:rsidRPr="003F5AB8">
        <w:rPr>
          <w:rFonts w:eastAsia="Times New Roman" w:cs="Arial"/>
          <w:color w:val="000000"/>
          <w:lang w:val="en-US"/>
        </w:rPr>
        <w:t xml:space="preserve">mg </w:t>
      </w:r>
      <w:r w:rsidRPr="003F5AB8">
        <w:rPr>
          <w:rFonts w:eastAsia="Times New Roman" w:cs="Arial"/>
          <w:color w:val="000000"/>
          <w:lang w:eastAsia="bg-BG"/>
        </w:rPr>
        <w:t>бизопрололов фумарат да не се надвишава.</w:t>
      </w:r>
    </w:p>
    <w:p w14:paraId="36B072E6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Опитът от приложението на бизопролол при пациенти на бъбречна диализа е ограничен; въпреки това няма доказателство, че дозовия режим трябва да се промени.</w:t>
      </w:r>
    </w:p>
    <w:p w14:paraId="3FF00C1F" w14:textId="27902245" w:rsidR="003F5AB8" w:rsidRPr="003F5AB8" w:rsidRDefault="003F5AB8" w:rsidP="003F5AB8">
      <w:pPr>
        <w:rPr>
          <w:rFonts w:cs="Arial"/>
        </w:rPr>
      </w:pPr>
    </w:p>
    <w:p w14:paraId="3227E150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i/>
          <w:iCs/>
          <w:color w:val="000000"/>
          <w:lang w:eastAsia="bg-BG"/>
        </w:rPr>
        <w:t>Пациенти а старческа възраст</w:t>
      </w:r>
    </w:p>
    <w:p w14:paraId="3EFB96D3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Не се изисква адаптиране на дозата.</w:t>
      </w:r>
    </w:p>
    <w:p w14:paraId="38285807" w14:textId="77777777" w:rsidR="003F5AB8" w:rsidRPr="003F5AB8" w:rsidRDefault="003F5AB8" w:rsidP="003F5AB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4D5F18C" w14:textId="36AA23B3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i/>
          <w:iCs/>
          <w:color w:val="000000"/>
          <w:lang w:eastAsia="bg-BG"/>
        </w:rPr>
        <w:t>Педиатрична популация</w:t>
      </w:r>
    </w:p>
    <w:p w14:paraId="2EA059FB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Липсва опит при деца, затова не се препоръчва употребата на бизопролол при педиатрични пациенти.</w:t>
      </w:r>
    </w:p>
    <w:p w14:paraId="399F7DCE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8A8CF05" w14:textId="39422558" w:rsidR="003F5AB8" w:rsidRPr="003F5AB8" w:rsidRDefault="003F5AB8" w:rsidP="003F5AB8">
      <w:pPr>
        <w:pStyle w:val="Heading3"/>
        <w:rPr>
          <w:rFonts w:eastAsia="Times New Roman"/>
          <w:u w:val="single"/>
          <w:lang w:eastAsia="bg-BG"/>
        </w:rPr>
      </w:pPr>
      <w:r w:rsidRPr="003F5AB8">
        <w:rPr>
          <w:rFonts w:eastAsia="Times New Roman"/>
          <w:u w:val="single"/>
          <w:lang w:eastAsia="bg-BG"/>
        </w:rPr>
        <w:t>Начин на приложение</w:t>
      </w:r>
    </w:p>
    <w:p w14:paraId="5F1ACEAD" w14:textId="77777777" w:rsidR="003F5AB8" w:rsidRPr="003F5AB8" w:rsidRDefault="003F5AB8" w:rsidP="003F5A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Конкор таблетки да се приемат сутрин, със или без храна. Може да се поглъщат с малко течност, без да се сдъвкват.</w:t>
      </w:r>
    </w:p>
    <w:p w14:paraId="5F7F7ADF" w14:textId="77777777" w:rsidR="003F5AB8" w:rsidRPr="003F5AB8" w:rsidRDefault="003F5AB8" w:rsidP="003F5AB8"/>
    <w:p w14:paraId="5D9E65DA" w14:textId="41C26951" w:rsidR="009F77A4" w:rsidRDefault="002C50EE" w:rsidP="00387A66">
      <w:pPr>
        <w:pStyle w:val="Heading2"/>
      </w:pPr>
      <w:r>
        <w:t>4.3. Противопоказания</w:t>
      </w:r>
    </w:p>
    <w:p w14:paraId="5A4F0F02" w14:textId="25FF9D9D" w:rsidR="003F5AB8" w:rsidRDefault="003F5AB8" w:rsidP="003F5AB8"/>
    <w:p w14:paraId="0C0759CD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Бизопролол е противопоказан при пациенти с :</w:t>
      </w:r>
    </w:p>
    <w:p w14:paraId="6C6FD357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Остра сърдечна недостатъчност или по време на епизоди на декомпенсация на сърдечна недостатъчност, изискващи </w:t>
      </w:r>
      <w:proofErr w:type="spellStart"/>
      <w:r w:rsidRPr="003F5AB8">
        <w:rPr>
          <w:rFonts w:eastAsia="Times New Roman" w:cs="Arial"/>
          <w:color w:val="000000"/>
          <w:lang w:val="en-US"/>
        </w:rPr>
        <w:t>i.v.</w:t>
      </w:r>
      <w:proofErr w:type="spellEnd"/>
      <w:r w:rsidRPr="003F5AB8">
        <w:rPr>
          <w:rFonts w:eastAsia="Times New Roman" w:cs="Arial"/>
          <w:color w:val="000000"/>
          <w:lang w:val="en-US"/>
        </w:rPr>
        <w:t xml:space="preserve"> </w:t>
      </w:r>
      <w:r w:rsidRPr="003F5AB8">
        <w:rPr>
          <w:rFonts w:eastAsia="Times New Roman" w:cs="Arial"/>
          <w:color w:val="000000"/>
          <w:lang w:eastAsia="bg-BG"/>
        </w:rPr>
        <w:t>инотропна терапия;</w:t>
      </w:r>
    </w:p>
    <w:p w14:paraId="6BA1D3D5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Кардиогенен шок;</w:t>
      </w:r>
    </w:p>
    <w:p w14:paraId="55F3A279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val="en-US"/>
        </w:rPr>
        <w:t xml:space="preserve">AV </w:t>
      </w:r>
      <w:r w:rsidRPr="003F5AB8">
        <w:rPr>
          <w:rFonts w:eastAsia="Times New Roman" w:cs="Arial"/>
          <w:color w:val="000000"/>
          <w:lang w:eastAsia="bg-BG"/>
        </w:rPr>
        <w:t>блок от втора или трета степен (без пейсмейкър);</w:t>
      </w:r>
    </w:p>
    <w:p w14:paraId="71C4C9EB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Синдром на болния синусов възел;</w:t>
      </w:r>
    </w:p>
    <w:p w14:paraId="321E03D7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Синоатриален блок;</w:t>
      </w:r>
    </w:p>
    <w:p w14:paraId="202B7B90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Симптоматична брадикардия;</w:t>
      </w:r>
    </w:p>
    <w:p w14:paraId="50F8B79E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Симптоматична хипотония;</w:t>
      </w:r>
    </w:p>
    <w:p w14:paraId="58C9ABB6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Тежка бронхиална астма</w:t>
      </w:r>
    </w:p>
    <w:p w14:paraId="091465C9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Тежка форма на периферно артериално оклузивно заболяване</w:t>
      </w:r>
      <w:r w:rsidRPr="003F5AB8">
        <w:rPr>
          <w:rFonts w:eastAsia="Times New Roman" w:cs="Arial"/>
          <w:color w:val="000000"/>
          <w:lang w:val="en-US" w:eastAsia="bg-BG"/>
        </w:rPr>
        <w:t xml:space="preserve"> </w:t>
      </w:r>
      <w:r w:rsidRPr="003F5AB8">
        <w:rPr>
          <w:rFonts w:eastAsia="Times New Roman" w:cs="Arial"/>
          <w:color w:val="000000"/>
          <w:lang w:eastAsia="bg-BG"/>
        </w:rPr>
        <w:t>или синдром на Рейно;</w:t>
      </w:r>
    </w:p>
    <w:p w14:paraId="55E77F0A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Нелекуван феохромцитом (виж т.4.4);</w:t>
      </w:r>
    </w:p>
    <w:p w14:paraId="04BF0569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Метаболитна ацидоза.</w:t>
      </w:r>
    </w:p>
    <w:p w14:paraId="579D2143" w14:textId="2166EDD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Конкор е противопоказан при пациенти със свръхчуствителност към бизопролол или към някое от помощните вещества, посочени в т.6.1.</w:t>
      </w:r>
    </w:p>
    <w:p w14:paraId="5A4E5A5D" w14:textId="77777777" w:rsidR="003F5AB8" w:rsidRPr="003F5AB8" w:rsidRDefault="003F5AB8" w:rsidP="003F5AB8"/>
    <w:p w14:paraId="1C27CE53" w14:textId="69FBDAF8" w:rsidR="009F77A4" w:rsidRDefault="002C50EE" w:rsidP="00387A66">
      <w:pPr>
        <w:pStyle w:val="Heading2"/>
      </w:pPr>
      <w:r>
        <w:t>4.4. Специални предупреждения и предпазни мерки при употреба</w:t>
      </w:r>
    </w:p>
    <w:p w14:paraId="7E0C594C" w14:textId="3ACAA674" w:rsidR="003F5AB8" w:rsidRDefault="003F5AB8" w:rsidP="003F5AB8"/>
    <w:p w14:paraId="3CC02D96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Освен ако не е изрично показано, лечението с бизопролол не трябва да се преустановява внезапно, особено при пациенти с исхемична болест на сърцето, тъй като това може да доведе до преходно влошаване на сърдечното заболяване (виж т.4.2).</w:t>
      </w:r>
    </w:p>
    <w:p w14:paraId="33A1A40B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Бизопролол трябва да се прилага с внимание при пациенти с хипертония или </w:t>
      </w:r>
      <w:r w:rsidRPr="003F5AB8">
        <w:rPr>
          <w:rFonts w:eastAsia="Times New Roman" w:cs="Arial"/>
          <w:color w:val="000000"/>
          <w:lang w:val="en-US"/>
        </w:rPr>
        <w:t xml:space="preserve">angina pectoris </w:t>
      </w:r>
      <w:r w:rsidRPr="003F5AB8">
        <w:rPr>
          <w:rFonts w:eastAsia="Times New Roman" w:cs="Arial"/>
          <w:color w:val="000000"/>
          <w:lang w:eastAsia="bg-BG"/>
        </w:rPr>
        <w:t>при съпътстваща сърдечна недостатъчност.</w:t>
      </w:r>
    </w:p>
    <w:p w14:paraId="78B3A992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B1EF796" w14:textId="0FBA49F3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Бизопролол трябва да се прилага с внимание при:</w:t>
      </w:r>
    </w:p>
    <w:p w14:paraId="040C821B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захарен диабет, показващ големи флуктуации на нивата на кръвната захар. Симптомите на хипогликемия (напр. тахикардия, сърцебиене или изпотяване) може да се маскират; </w:t>
      </w:r>
    </w:p>
    <w:p w14:paraId="593E0A25" w14:textId="3C181C90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строга диета;</w:t>
      </w:r>
    </w:p>
    <w:p w14:paraId="1E8C7649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по време на десенсибилизираща терапия. Подобно на останалите </w:t>
      </w:r>
      <w:r w:rsidRPr="003F5AB8">
        <w:rPr>
          <w:rFonts w:eastAsia="Times New Roman" w:cs="Arial"/>
          <w:color w:val="000000"/>
          <w:lang w:val="en-US"/>
        </w:rPr>
        <w:t>p</w:t>
      </w:r>
      <w:r w:rsidRPr="003F5AB8">
        <w:rPr>
          <w:rFonts w:eastAsia="Times New Roman" w:cs="Arial"/>
          <w:color w:val="000000"/>
          <w:lang w:eastAsia="bg-BG"/>
        </w:rPr>
        <w:t>-блокери, бизопролол може да повиши както чувствителността към алергени, така и тежестта на анафилактичните реакции. Лечението с епинефрин не винаги дава очаквания терапевтичен ефект;</w:t>
      </w:r>
    </w:p>
    <w:p w14:paraId="1B89F7B7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val="en-US"/>
        </w:rPr>
        <w:t xml:space="preserve">AV </w:t>
      </w:r>
      <w:r w:rsidRPr="003F5AB8">
        <w:rPr>
          <w:rFonts w:eastAsia="Times New Roman" w:cs="Arial"/>
          <w:color w:val="000000"/>
          <w:lang w:eastAsia="bg-BG"/>
        </w:rPr>
        <w:t>блок от първа степен;</w:t>
      </w:r>
    </w:p>
    <w:p w14:paraId="63F2F7BC" w14:textId="77777777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Ангина на </w:t>
      </w:r>
      <w:proofErr w:type="spellStart"/>
      <w:r w:rsidRPr="003F5AB8">
        <w:rPr>
          <w:rFonts w:eastAsia="Times New Roman" w:cs="Arial"/>
          <w:color w:val="000000"/>
          <w:lang w:val="en-US"/>
        </w:rPr>
        <w:t>Prinzmetal</w:t>
      </w:r>
      <w:proofErr w:type="spellEnd"/>
      <w:r w:rsidRPr="003F5AB8">
        <w:rPr>
          <w:rFonts w:eastAsia="Times New Roman" w:cs="Arial"/>
          <w:color w:val="000000"/>
          <w:lang w:val="en-US"/>
        </w:rPr>
        <w:t xml:space="preserve">: </w:t>
      </w:r>
      <w:r w:rsidRPr="003F5AB8">
        <w:rPr>
          <w:rFonts w:eastAsia="Times New Roman" w:cs="Arial"/>
          <w:color w:val="000000"/>
          <w:lang w:eastAsia="bg-BG"/>
        </w:rPr>
        <w:t xml:space="preserve">Наблюдавани са случаи на коронарен вазоспазъм. Въпреки високата си бета1- селективност, при пациентите с ангина на </w:t>
      </w:r>
      <w:proofErr w:type="spellStart"/>
      <w:r w:rsidRPr="003F5AB8">
        <w:rPr>
          <w:rFonts w:eastAsia="Times New Roman" w:cs="Arial"/>
          <w:color w:val="000000"/>
          <w:lang w:val="en-US"/>
        </w:rPr>
        <w:t>Prinzmetal</w:t>
      </w:r>
      <w:proofErr w:type="spellEnd"/>
      <w:r w:rsidRPr="003F5AB8">
        <w:rPr>
          <w:rFonts w:eastAsia="Times New Roman" w:cs="Arial"/>
          <w:color w:val="000000"/>
          <w:lang w:val="en-US"/>
        </w:rPr>
        <w:t xml:space="preserve">, </w:t>
      </w:r>
      <w:r w:rsidRPr="003F5AB8">
        <w:rPr>
          <w:rFonts w:eastAsia="Times New Roman" w:cs="Arial"/>
          <w:color w:val="000000"/>
          <w:lang w:eastAsia="bg-BG"/>
        </w:rPr>
        <w:t>приемащи бизопролол, не могат да бъдат изключени пристъпи на стенокардия.;</w:t>
      </w:r>
    </w:p>
    <w:p w14:paraId="3E8DF28B" w14:textId="27B849C6" w:rsidR="003F5AB8" w:rsidRPr="003F5AB8" w:rsidRDefault="003F5AB8" w:rsidP="003F5AB8">
      <w:pPr>
        <w:pStyle w:val="ListParagraph"/>
        <w:numPr>
          <w:ilvl w:val="0"/>
          <w:numId w:val="41"/>
        </w:num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Периферно артериално оклузивно заболяване. Може да се наблюдава засилване на оплакванията, особено в началото на терапията.</w:t>
      </w:r>
    </w:p>
    <w:p w14:paraId="0B609513" w14:textId="7B16DA15" w:rsidR="003F5AB8" w:rsidRPr="003F5AB8" w:rsidRDefault="003F5AB8" w:rsidP="003F5AB8">
      <w:pPr>
        <w:rPr>
          <w:rFonts w:cs="Arial"/>
        </w:rPr>
      </w:pPr>
    </w:p>
    <w:p w14:paraId="2912A5AE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Пациенти с псориазис или анамнеза за псориазис трябва да приемат </w:t>
      </w:r>
      <w:r w:rsidRPr="003F5AB8">
        <w:rPr>
          <w:rFonts w:eastAsia="Times New Roman" w:cs="Arial"/>
          <w:color w:val="000000"/>
          <w:lang w:val="en-US"/>
        </w:rPr>
        <w:t>p</w:t>
      </w:r>
      <w:r w:rsidRPr="003F5AB8">
        <w:rPr>
          <w:rFonts w:eastAsia="Times New Roman" w:cs="Arial"/>
          <w:color w:val="000000"/>
          <w:lang w:eastAsia="bg-BG"/>
        </w:rPr>
        <w:t>-блокери (напр. бизопролол), само след внимателно балансиране на ползите срещу рисковете.</w:t>
      </w:r>
    </w:p>
    <w:p w14:paraId="4B6ACA6B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На фона на лечението с бизопролол, симптомите на тиреотоксикоза може да се маскират.</w:t>
      </w:r>
    </w:p>
    <w:p w14:paraId="5AE44C47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При пациенти с феохромоцитом бизопролол се прилага само след алфа-рецепторна блокада.</w:t>
      </w:r>
    </w:p>
    <w:p w14:paraId="034F1EBB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При пациенти, подложени на обща анестезия, анестезиологът трябва да бъде уведомен за Р-блокадата. Ако е необходимо преустановяване на лечението с β-блокер преди хирургична операция, то трябва да стане постепенно и да приключи 48 часа преди анестезията.</w:t>
      </w:r>
    </w:p>
    <w:p w14:paraId="0D5AA4BC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Въпреки че кардиоселективните (бета 1) бета-блокери могат да имат по-слаб ефект върху белодробната функция отколкото неселективните бета-блокери, както всички бета-блокери използването им също трябва да се избягва при пациенти с обструктивни заболявания на дихателните пътища, освен ако не съществуват убедителни клинични причини за употребата им. Ако такива причини съществуват, Конкор може да се използва с повишено внимание.</w:t>
      </w:r>
    </w:p>
    <w:p w14:paraId="40F90447" w14:textId="77777777" w:rsidR="003F5AB8" w:rsidRPr="003F5AB8" w:rsidRDefault="003F5AB8" w:rsidP="003F5AB8">
      <w:pPr>
        <w:rPr>
          <w:rFonts w:eastAsia="Times New Roman" w:cs="Arial"/>
          <w:color w:val="000000"/>
          <w:lang w:eastAsia="bg-BG"/>
        </w:rPr>
      </w:pPr>
    </w:p>
    <w:p w14:paraId="36B96252" w14:textId="49DF1F07" w:rsidR="003F5AB8" w:rsidRDefault="003F5AB8" w:rsidP="003F5AB8">
      <w:pPr>
        <w:rPr>
          <w:rFonts w:cs="Arial"/>
        </w:rPr>
      </w:pPr>
      <w:r w:rsidRPr="003F5AB8">
        <w:rPr>
          <w:rFonts w:eastAsia="Times New Roman" w:cs="Arial"/>
          <w:color w:val="000000"/>
          <w:lang w:eastAsia="bg-BG"/>
        </w:rPr>
        <w:t>Препоръчва се едновременно приложение на бронходилатираща терапия при бронхиална астма или друго хронично обструктивно белодробно заболяване, което може да причини симптоми. Понякога, при пациенти с астма може да се появи повишение на резистентността на дихателните пътища, затова може да се наложи увеличаване дозата на</w:t>
      </w:r>
      <w:r w:rsidRPr="003F5AB8">
        <w:rPr>
          <w:rFonts w:eastAsia="Times New Roman" w:cs="Arial"/>
          <w:color w:val="000000"/>
          <w:lang w:val="en-US" w:eastAsia="bg-BG"/>
        </w:rPr>
        <w:t xml:space="preserve"> </w:t>
      </w:r>
      <w:r w:rsidRPr="003F5AB8">
        <w:rPr>
          <w:rFonts w:cs="Arial"/>
        </w:rPr>
        <w:t>β2-стимулантите.</w:t>
      </w:r>
    </w:p>
    <w:p w14:paraId="0FB627F6" w14:textId="77777777" w:rsidR="003F5AB8" w:rsidRPr="003F5AB8" w:rsidRDefault="003F5AB8" w:rsidP="003F5AB8">
      <w:pPr>
        <w:rPr>
          <w:rFonts w:cs="Arial"/>
          <w:lang w:val="en-US"/>
        </w:rPr>
      </w:pPr>
    </w:p>
    <w:p w14:paraId="1DA47448" w14:textId="7FCC8766" w:rsidR="009F77A4" w:rsidRDefault="002C50EE" w:rsidP="00387A66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</w:p>
    <w:p w14:paraId="647347BE" w14:textId="35942F3F" w:rsidR="003F5AB8" w:rsidRDefault="003F5AB8" w:rsidP="003F5AB8"/>
    <w:p w14:paraId="687928E1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Непрепоръчителни комбинации</w:t>
      </w:r>
    </w:p>
    <w:p w14:paraId="0B22378D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Калциеви антагонисти от групата на верапамил и в по-малка степен от групата на дилтиазем: негативно влияние на контрактилността и атрио-вентрикуларната проводимост. Интравенозното приложение на верапамил при пациенти, лекувани с </w:t>
      </w:r>
      <w:r w:rsidRPr="003F5AB8">
        <w:rPr>
          <w:rFonts w:eastAsia="Times New Roman" w:cs="Arial"/>
          <w:color w:val="000000"/>
          <w:lang w:val="en-US"/>
        </w:rPr>
        <w:t>p</w:t>
      </w:r>
      <w:r w:rsidRPr="003F5AB8">
        <w:rPr>
          <w:rFonts w:eastAsia="Times New Roman" w:cs="Arial"/>
          <w:color w:val="000000"/>
          <w:lang w:eastAsia="bg-BG"/>
        </w:rPr>
        <w:t>-блокери, може да доведе до тежка хипотония и атриовентрикуларен блок.</w:t>
      </w:r>
    </w:p>
    <w:p w14:paraId="3AB9E0B5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Антихипертензивни лекарствени средства с централно действие (напр. клонидин, метилдопа, моксонодин, рилменидин):</w:t>
      </w:r>
    </w:p>
    <w:p w14:paraId="07EE5A59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lastRenderedPageBreak/>
        <w:t>Едновременната употреба с антихипертензивни лекарствени средства с централно действие може да доведе до намаляване на съдречната честота и капацитет, а оттам - до вазодилатация. Внезапното преустановяване на лечението може да увеличи риска от „ребаунд хипертония“.</w:t>
      </w:r>
    </w:p>
    <w:p w14:paraId="310E0E80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E0CAC99" w14:textId="0FAE6965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Комбинации, които трябва да се използват с внимание</w:t>
      </w:r>
    </w:p>
    <w:p w14:paraId="27464020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Калциеви антагонисти от дихидропиридинов тип (напр. нифедипин): Едновременната употреба може да увеличи риска от хипотония, както и не е изключен и по-голям риск от допълнително влошаване на вентрикуларната функция при пациенти със сърдечна недостатъчност.</w:t>
      </w:r>
    </w:p>
    <w:p w14:paraId="0B49386E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D16DD99" w14:textId="034F10EE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Клас I антиаритмични лекарствени продукти (напр. дизопирамид, лидокаин, фенитоин; флекаинид, пропафенон): ефектът върху времето на атрио-вентрикуларната проводимост може да се потенцира и да се повиши негативния инотропен ефект.</w:t>
      </w:r>
    </w:p>
    <w:p w14:paraId="7DC5CDFF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140057C" w14:textId="13068FC2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Клас </w:t>
      </w:r>
      <w:r w:rsidRPr="003F5AB8">
        <w:rPr>
          <w:rFonts w:eastAsia="Times New Roman" w:cs="Arial"/>
          <w:color w:val="000000"/>
          <w:lang w:val="en-US"/>
        </w:rPr>
        <w:t>III</w:t>
      </w:r>
      <w:r w:rsidRPr="003F5AB8">
        <w:rPr>
          <w:rFonts w:eastAsia="Times New Roman" w:cs="Arial"/>
          <w:color w:val="000000"/>
          <w:lang w:eastAsia="bg-BG"/>
        </w:rPr>
        <w:t xml:space="preserve"> антиаритмични лекарствени продукти (напр. амиодарон): ефектът върху времето на атрио-вентрикуларната проводимост може да се потенцира.</w:t>
      </w:r>
    </w:p>
    <w:p w14:paraId="101F23CB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Парасимпатикомиметични лекарствени продукти: Едновременната употреба може да увеличи времето на атрио-вентрикуларната проводимост, както и риска от брадикардия</w:t>
      </w:r>
    </w:p>
    <w:p w14:paraId="15ACC9A3" w14:textId="287C9A00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β-блокери с локално приложение (напр. капки за очи за лечение на глаукома) могат да засилят ефекта на бизопролол.</w:t>
      </w:r>
    </w:p>
    <w:p w14:paraId="4F2CB283" w14:textId="00C9347E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C675F37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Инсулин и перорални антидиабетни лекарствени продукти: засилване ефекта на намаляване на кръвната захар; блокирането на </w:t>
      </w:r>
      <w:r w:rsidRPr="003F5AB8">
        <w:rPr>
          <w:rFonts w:eastAsia="Times New Roman" w:cs="Arial"/>
          <w:color w:val="000000"/>
          <w:lang w:val="en-US"/>
        </w:rPr>
        <w:t>p</w:t>
      </w:r>
      <w:r w:rsidRPr="003F5AB8">
        <w:rPr>
          <w:rFonts w:eastAsia="Times New Roman" w:cs="Arial"/>
          <w:color w:val="000000"/>
          <w:lang w:eastAsia="bg-BG"/>
        </w:rPr>
        <w:t>-адренорецепторите може да маскира симптомите на хипогликемия.</w:t>
      </w:r>
    </w:p>
    <w:p w14:paraId="24BCB9D8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Анестетици: Намаляване на рефлекторната тахикардия и повишаване на риска от хипотония (повече информация за обща анестезия виж т.4.4).</w:t>
      </w:r>
    </w:p>
    <w:p w14:paraId="77325208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Дигиталисови гликозиди: Особено при увеличаване на времето на атрио-вентрикуларната проводимост, с което се забавя сърдечния ритъм.</w:t>
      </w:r>
    </w:p>
    <w:p w14:paraId="6081F072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Нестероидни противовъзпалителни средства </w:t>
      </w:r>
      <w:r w:rsidRPr="003F5AB8">
        <w:rPr>
          <w:rFonts w:eastAsia="Times New Roman" w:cs="Arial"/>
          <w:color w:val="000000"/>
          <w:lang w:val="en-US"/>
        </w:rPr>
        <w:t xml:space="preserve">(NSAID): </w:t>
      </w:r>
      <w:r w:rsidRPr="003F5AB8">
        <w:rPr>
          <w:rFonts w:eastAsia="Times New Roman" w:cs="Arial"/>
          <w:color w:val="000000"/>
          <w:lang w:eastAsia="bg-BG"/>
        </w:rPr>
        <w:t>може да намалят хипотоничния ефект на бизопролол.</w:t>
      </w:r>
    </w:p>
    <w:p w14:paraId="73F222D9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β-симпатомиметици (напр. изопреналин, добутамин): Комбинацията с бизопролол може да намали действието и на двете средства.</w:t>
      </w:r>
    </w:p>
    <w:p w14:paraId="2B2FCC14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Симпатомиметици, активиращи както β-така и а-адренорецептори:</w:t>
      </w:r>
    </w:p>
    <w:p w14:paraId="63B4EECF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Комбинацията с бизопролол може да доведе до увеличаване на кръвното налягане. Смята се, че такова взаимодействие се получава по-скоро с неселективни β-блокери.</w:t>
      </w:r>
    </w:p>
    <w:p w14:paraId="2F3A6958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Едновременната употреба с антихипертензивни лекарствени средства, както и с други продукти, които имат потенциал за намаляване на кръвното налягане (трициклични антидепресанти, барбитурати, фенотиазини) може да увеличи риска от хипотония.</w:t>
      </w:r>
    </w:p>
    <w:p w14:paraId="20A938C4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EE82F41" w14:textId="3F5E532A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Комбинации, които трябва да се обмислят:</w:t>
      </w:r>
    </w:p>
    <w:p w14:paraId="5C69CC18" w14:textId="77777777" w:rsidR="003F5AB8" w:rsidRPr="003F5AB8" w:rsidRDefault="003F5AB8" w:rsidP="003F5A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Мефлокин: повишен риск от брадикардия.</w:t>
      </w:r>
    </w:p>
    <w:p w14:paraId="434C88E6" w14:textId="77777777" w:rsidR="003F5AB8" w:rsidRPr="003F5AB8" w:rsidRDefault="003F5AB8" w:rsidP="003F5AB8"/>
    <w:p w14:paraId="48846BBA" w14:textId="392EF9A3" w:rsidR="009F77A4" w:rsidRDefault="002C50EE" w:rsidP="00387A66">
      <w:pPr>
        <w:pStyle w:val="Heading2"/>
      </w:pPr>
      <w:r>
        <w:t>4.6. Фертилитет, бременност и кърмене</w:t>
      </w:r>
    </w:p>
    <w:p w14:paraId="5A2BB1F0" w14:textId="59562837" w:rsidR="003F5AB8" w:rsidRDefault="003F5AB8" w:rsidP="003F5AB8"/>
    <w:p w14:paraId="7585A975" w14:textId="77777777" w:rsidR="003F5AB8" w:rsidRPr="003F5AB8" w:rsidRDefault="003F5AB8" w:rsidP="003F5AB8">
      <w:pPr>
        <w:pStyle w:val="Heading3"/>
        <w:rPr>
          <w:rFonts w:eastAsia="Times New Roman"/>
          <w:u w:val="single"/>
          <w:lang w:eastAsia="bg-BG"/>
        </w:rPr>
      </w:pPr>
      <w:r w:rsidRPr="003F5AB8">
        <w:rPr>
          <w:rFonts w:eastAsia="Times New Roman"/>
          <w:u w:val="single"/>
          <w:lang w:eastAsia="bg-BG"/>
        </w:rPr>
        <w:t>Бременност:</w:t>
      </w:r>
    </w:p>
    <w:p w14:paraId="23C2DD00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Бизопролол има фармакологични действия, които могат да предизвикат увреждащи ефекти върху бременността и/или върху плода/новороденото. По принцип, р-адренорецепторните блокери намаляват плацентната перфузия, която може да се свърже със забавяне на растежа, вътрематочна смърт, аборт и преждевременно </w:t>
      </w:r>
      <w:r w:rsidRPr="003F5AB8">
        <w:rPr>
          <w:rFonts w:eastAsia="Times New Roman" w:cs="Arial"/>
          <w:color w:val="000000"/>
          <w:lang w:eastAsia="bg-BG"/>
        </w:rPr>
        <w:lastRenderedPageBreak/>
        <w:t>раждане. Нежеланите лекарствени реакции (напр. хипогликемия и брадикардия) могат да се появят при плода и новороденото. Ако е необходимо лечение с β-адренорецепторни блокери, за предпочитане са β</w:t>
      </w:r>
      <w:r w:rsidRPr="003F5AB8">
        <w:rPr>
          <w:rFonts w:eastAsia="Times New Roman" w:cs="Arial"/>
          <w:color w:val="000000"/>
          <w:vertAlign w:val="subscript"/>
          <w:lang w:eastAsia="bg-BG"/>
        </w:rPr>
        <w:t>1</w:t>
      </w:r>
      <w:r w:rsidRPr="003F5AB8">
        <w:rPr>
          <w:rFonts w:eastAsia="Times New Roman" w:cs="Arial"/>
          <w:color w:val="000000"/>
          <w:lang w:eastAsia="bg-BG"/>
        </w:rPr>
        <w:t>-селективни адренорецепторни блокери.</w:t>
      </w:r>
    </w:p>
    <w:p w14:paraId="05A50745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Конкор не трябва да се използва по време на бременност, освен ако не е изрично показано. Ако лечението с бизопролол се счита за необходимо, трябва да се наблюдава маточноплацентния кръвоток и растежа на плода. В случай на увреждащи ефекти върху бременността или плода, трябва да се обмисли алтернативно лечение. Новородените трябва да се наблюдават стриктно. Симптоми на хипогликемия и брадикардия, по принцип, се очакват през първите три дни.</w:t>
      </w:r>
    </w:p>
    <w:p w14:paraId="36BE18B4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714935F" w14:textId="0176699B" w:rsidR="003F5AB8" w:rsidRPr="003F5AB8" w:rsidRDefault="003F5AB8" w:rsidP="003F5AB8">
      <w:pPr>
        <w:pStyle w:val="Heading3"/>
        <w:rPr>
          <w:rFonts w:eastAsia="Times New Roman"/>
          <w:u w:val="single"/>
          <w:lang w:eastAsia="bg-BG"/>
        </w:rPr>
      </w:pPr>
      <w:r w:rsidRPr="003F5AB8">
        <w:rPr>
          <w:rFonts w:eastAsia="Times New Roman"/>
          <w:u w:val="single"/>
          <w:lang w:eastAsia="bg-BG"/>
        </w:rPr>
        <w:t>Кърмене:</w:t>
      </w:r>
    </w:p>
    <w:p w14:paraId="5B666AEB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Няма данни дали бизопролол се екскретира в кърмата, както и за въздействието на бизопролол върху бебета.</w:t>
      </w:r>
      <w:r w:rsidRPr="003F5AB8">
        <w:rPr>
          <w:rFonts w:eastAsia="Times New Roman" w:cs="Arial"/>
          <w:color w:val="000000"/>
          <w:lang w:val="en-US"/>
        </w:rPr>
        <w:t xml:space="preserve"> </w:t>
      </w:r>
      <w:r w:rsidRPr="003F5AB8">
        <w:rPr>
          <w:rFonts w:eastAsia="Times New Roman" w:cs="Arial"/>
          <w:color w:val="000000"/>
          <w:lang w:eastAsia="bg-BG"/>
        </w:rPr>
        <w:t>Затова кърменето не е препоръчително по време на приложението на Конкор.</w:t>
      </w:r>
    </w:p>
    <w:p w14:paraId="230307C0" w14:textId="77777777" w:rsidR="003F5AB8" w:rsidRPr="003F5AB8" w:rsidRDefault="003F5AB8" w:rsidP="003F5AB8"/>
    <w:p w14:paraId="321AAB00" w14:textId="464D11CA" w:rsidR="009F77A4" w:rsidRDefault="002C50EE" w:rsidP="00387A66">
      <w:pPr>
        <w:pStyle w:val="Heading2"/>
      </w:pPr>
      <w:r>
        <w:t>4.7. Ефекти върху способността за шофиране и работа с машини</w:t>
      </w:r>
    </w:p>
    <w:p w14:paraId="15B03F56" w14:textId="257A8EA0" w:rsidR="003F5AB8" w:rsidRDefault="003F5AB8" w:rsidP="003F5AB8"/>
    <w:p w14:paraId="69BE556E" w14:textId="75CD4176" w:rsidR="003F5AB8" w:rsidRDefault="003F5AB8" w:rsidP="003F5AB8">
      <w:r>
        <w:t>При проучване с пациенти с исхемична болест на сърцето бизопролол не влошава способността за шофиране. Въпреки това, поради индивидуалните разлики в реакциите към лекарствения продукт, способността за шофиране на превозно средство и работа с машини може да се влоши. Това трябва да се има предвид, особено при започване на терапията и при промяна на лечението, както и при употреба на алкохол.</w:t>
      </w:r>
    </w:p>
    <w:p w14:paraId="5E553AB0" w14:textId="77777777" w:rsidR="003F5AB8" w:rsidRPr="003F5AB8" w:rsidRDefault="003F5AB8" w:rsidP="003F5AB8"/>
    <w:p w14:paraId="136C86B8" w14:textId="69B554E1" w:rsidR="009F77A4" w:rsidRDefault="002C50EE" w:rsidP="00387A66">
      <w:pPr>
        <w:pStyle w:val="Heading2"/>
      </w:pPr>
      <w:r>
        <w:t>4.8. Нежелани лекарствени реакции</w:t>
      </w:r>
    </w:p>
    <w:p w14:paraId="6C863C03" w14:textId="74B93E17" w:rsidR="003F5AB8" w:rsidRDefault="003F5AB8" w:rsidP="003F5AB8"/>
    <w:p w14:paraId="325923E5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По-долу са използвани следните определения, които се отнасят до честотата;</w:t>
      </w:r>
    </w:p>
    <w:p w14:paraId="20C2DF56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Чести (≥1% до &lt;10%), нечести (≥0,1% до &lt;1%), редки (≥0,01% до &lt;0,1%),</w:t>
      </w:r>
    </w:p>
    <w:p w14:paraId="7CE8A395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много редки (&lt;0,01%)., с неизвестна честота (не може да се оцени от наличните данни) </w:t>
      </w:r>
    </w:p>
    <w:p w14:paraId="2693DFF9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E5C7B3C" w14:textId="03D89334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Изследвания</w:t>
      </w:r>
    </w:p>
    <w:p w14:paraId="3CF09655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Редки:</w:t>
      </w:r>
      <w:r w:rsidRPr="003F5AB8">
        <w:rPr>
          <w:rFonts w:eastAsia="Times New Roman" w:cs="Arial"/>
          <w:color w:val="000000"/>
          <w:lang w:eastAsia="bg-BG"/>
        </w:rPr>
        <w:tab/>
        <w:t>увеличени триглицериди, увеличени стойности на чернодробните</w:t>
      </w:r>
    </w:p>
    <w:p w14:paraId="74C421E7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ензими </w:t>
      </w:r>
      <w:r w:rsidRPr="003F5AB8">
        <w:rPr>
          <w:rFonts w:eastAsia="Times New Roman" w:cs="Arial"/>
          <w:color w:val="000000"/>
          <w:lang w:val="en-US"/>
        </w:rPr>
        <w:t>(ALAT, ASAT)</w:t>
      </w:r>
    </w:p>
    <w:p w14:paraId="439E418D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35591C2" w14:textId="12042223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Наруш</w:t>
      </w:r>
      <w:r w:rsidRPr="003F5AB8">
        <w:rPr>
          <w:rFonts w:eastAsia="Times New Roman" w:cs="Arial"/>
          <w:color w:val="000000"/>
          <w:lang w:eastAsia="bg-BG"/>
        </w:rPr>
        <w:t xml:space="preserve">ения </w:t>
      </w:r>
      <w:r w:rsidRPr="003F5AB8">
        <w:rPr>
          <w:rFonts w:eastAsia="Times New Roman" w:cs="Arial"/>
          <w:color w:val="000000"/>
          <w:u w:val="single"/>
          <w:lang w:eastAsia="bg-BG"/>
        </w:rPr>
        <w:t>на сърдечната дейност:</w:t>
      </w:r>
    </w:p>
    <w:p w14:paraId="24C57640" w14:textId="489D8946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Нечести:</w:t>
      </w:r>
      <w:r w:rsidRPr="003F5AB8">
        <w:rPr>
          <w:rFonts w:eastAsia="Times New Roman" w:cs="Arial"/>
          <w:color w:val="000000"/>
          <w:lang w:val="en-US" w:eastAsia="bg-BG"/>
        </w:rPr>
        <w:t xml:space="preserve"> </w:t>
      </w:r>
      <w:r w:rsidRPr="003F5AB8">
        <w:rPr>
          <w:rFonts w:eastAsia="Times New Roman" w:cs="Arial"/>
          <w:color w:val="000000"/>
          <w:lang w:eastAsia="bg-BG"/>
        </w:rPr>
        <w:t xml:space="preserve">нарушения в </w:t>
      </w:r>
      <w:r w:rsidRPr="003F5AB8">
        <w:rPr>
          <w:rFonts w:eastAsia="Times New Roman" w:cs="Arial"/>
          <w:color w:val="000000"/>
          <w:lang w:val="en-US"/>
        </w:rPr>
        <w:t>AV</w:t>
      </w:r>
      <w:r w:rsidRPr="003F5AB8">
        <w:rPr>
          <w:rFonts w:eastAsia="Times New Roman" w:cs="Arial"/>
          <w:color w:val="000000"/>
          <w:lang w:eastAsia="bg-BG"/>
        </w:rPr>
        <w:t>-проводимостта, влошаване на съществуваща сърдечна</w:t>
      </w:r>
    </w:p>
    <w:p w14:paraId="4656469F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недостатъчност, брадикардия.</w:t>
      </w:r>
    </w:p>
    <w:p w14:paraId="6DDECFDF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6E025A3" w14:textId="294597D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Нарушения на нервната система:</w:t>
      </w:r>
    </w:p>
    <w:p w14:paraId="1010E34A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Чести:</w:t>
      </w:r>
      <w:r w:rsidRPr="003F5AB8">
        <w:rPr>
          <w:rFonts w:eastAsia="Times New Roman" w:cs="Arial"/>
          <w:color w:val="000000"/>
          <w:lang w:eastAsia="bg-BG"/>
        </w:rPr>
        <w:tab/>
        <w:t>замайване*, главоболие*</w:t>
      </w:r>
    </w:p>
    <w:p w14:paraId="72EC5822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Редки:</w:t>
      </w:r>
      <w:r w:rsidRPr="003F5AB8">
        <w:rPr>
          <w:rFonts w:eastAsia="Times New Roman" w:cs="Arial"/>
          <w:color w:val="000000"/>
          <w:lang w:eastAsia="bg-BG"/>
        </w:rPr>
        <w:tab/>
        <w:t>припадъци</w:t>
      </w:r>
    </w:p>
    <w:p w14:paraId="0EA0C375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FFE10C7" w14:textId="17D983C4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Зрителни нарушения:</w:t>
      </w:r>
    </w:p>
    <w:p w14:paraId="00D68906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Редки:</w:t>
      </w:r>
      <w:r w:rsidRPr="003F5AB8">
        <w:rPr>
          <w:rFonts w:eastAsia="Times New Roman" w:cs="Arial"/>
          <w:color w:val="000000"/>
          <w:lang w:eastAsia="bg-BG"/>
        </w:rPr>
        <w:tab/>
        <w:t>намалено сълзотечение (да се има предвид при пациенти, използващи</w:t>
      </w:r>
    </w:p>
    <w:p w14:paraId="41535FDB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лещи)</w:t>
      </w:r>
    </w:p>
    <w:p w14:paraId="369122A3" w14:textId="48C64681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Много редки:</w:t>
      </w:r>
      <w:r w:rsidRPr="003F5AB8">
        <w:rPr>
          <w:rFonts w:eastAsia="Times New Roman" w:cs="Arial"/>
          <w:color w:val="000000"/>
          <w:lang w:val="en-US" w:eastAsia="bg-BG"/>
        </w:rPr>
        <w:t xml:space="preserve"> </w:t>
      </w:r>
      <w:r w:rsidRPr="003F5AB8">
        <w:rPr>
          <w:rFonts w:eastAsia="Times New Roman" w:cs="Arial"/>
          <w:color w:val="000000"/>
          <w:lang w:eastAsia="bg-BG"/>
        </w:rPr>
        <w:t>конюнктивит</w:t>
      </w:r>
    </w:p>
    <w:p w14:paraId="1CAF86E2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8EA907E" w14:textId="48771D65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Нарушения на лабиринта на вътрешното ухо и на слуха:</w:t>
      </w:r>
    </w:p>
    <w:p w14:paraId="59B62456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Редки:</w:t>
      </w:r>
      <w:r w:rsidRPr="003F5AB8">
        <w:rPr>
          <w:rFonts w:eastAsia="Times New Roman" w:cs="Arial"/>
          <w:color w:val="000000"/>
          <w:lang w:eastAsia="bg-BG"/>
        </w:rPr>
        <w:tab/>
        <w:t>нарушения на слуха</w:t>
      </w:r>
    </w:p>
    <w:p w14:paraId="7AA53EAF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B9CED1B" w14:textId="14D641C1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lastRenderedPageBreak/>
        <w:t>Дихателни, гръдни и медиастинални нарушения</w:t>
      </w:r>
    </w:p>
    <w:p w14:paraId="0E40F3F0" w14:textId="1C0D8ED8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Нечести:</w:t>
      </w:r>
      <w:r w:rsidRPr="003F5AB8">
        <w:rPr>
          <w:rFonts w:eastAsia="Times New Roman" w:cs="Arial"/>
          <w:color w:val="000000"/>
          <w:lang w:val="en-US" w:eastAsia="bg-BG"/>
        </w:rPr>
        <w:t xml:space="preserve"> </w:t>
      </w:r>
      <w:r w:rsidRPr="003F5AB8">
        <w:rPr>
          <w:rFonts w:eastAsia="Times New Roman" w:cs="Arial"/>
          <w:color w:val="000000"/>
          <w:lang w:eastAsia="bg-BG"/>
        </w:rPr>
        <w:t>бронхоспазъм при пациенти с бронхиална астма или анамнеза за</w:t>
      </w:r>
    </w:p>
    <w:p w14:paraId="6CDAEA78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обструктивно заболяване на дихателните пътища</w:t>
      </w:r>
    </w:p>
    <w:p w14:paraId="2561E4D9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Редки:</w:t>
      </w:r>
      <w:r w:rsidRPr="003F5AB8">
        <w:rPr>
          <w:rFonts w:eastAsia="Times New Roman" w:cs="Arial"/>
          <w:color w:val="000000"/>
          <w:lang w:eastAsia="bg-BG"/>
        </w:rPr>
        <w:tab/>
        <w:t>алергичен ринит</w:t>
      </w:r>
    </w:p>
    <w:p w14:paraId="56A92F85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79517FF" w14:textId="3062BAE8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Стомашно-чревни нарушения:</w:t>
      </w:r>
    </w:p>
    <w:p w14:paraId="6DC67032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Чести:</w:t>
      </w:r>
      <w:r w:rsidRPr="003F5AB8">
        <w:rPr>
          <w:rFonts w:eastAsia="Times New Roman" w:cs="Arial"/>
          <w:color w:val="000000"/>
          <w:lang w:eastAsia="bg-BG"/>
        </w:rPr>
        <w:tab/>
        <w:t>Стомашно-чревни оплаквания като гадене,</w:t>
      </w:r>
    </w:p>
    <w:p w14:paraId="70CB10D8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повръщане, диария, констипация</w:t>
      </w:r>
    </w:p>
    <w:p w14:paraId="591FE916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95210DA" w14:textId="3390E7F8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Нарушения на кожата и подкожните тъкани</w:t>
      </w:r>
    </w:p>
    <w:p w14:paraId="1C5D41B5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Редки:</w:t>
      </w:r>
      <w:r w:rsidRPr="003F5AB8">
        <w:rPr>
          <w:rFonts w:eastAsia="Times New Roman" w:cs="Arial"/>
          <w:color w:val="000000"/>
          <w:lang w:eastAsia="bg-BG"/>
        </w:rPr>
        <w:tab/>
        <w:t>Реакции на свръхчуствителност като пруритус, зачервяване, обрив и</w:t>
      </w:r>
    </w:p>
    <w:p w14:paraId="40AE6D4F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ангиоедем</w:t>
      </w:r>
    </w:p>
    <w:p w14:paraId="7EA43E25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Много редки: алопеция. β-блокерите може да провокират или да влошат псориазис или да индуцират псориазис-подобен обрив</w:t>
      </w:r>
    </w:p>
    <w:p w14:paraId="392A560E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DF11875" w14:textId="383DE296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Нарушения на съединителната тъкан и мускуло-скелетни нарушения:</w:t>
      </w:r>
    </w:p>
    <w:p w14:paraId="25444CFF" w14:textId="7C3B34BB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Нечести:</w:t>
      </w:r>
      <w:r w:rsidRPr="003F5AB8">
        <w:rPr>
          <w:rFonts w:eastAsia="Times New Roman" w:cs="Arial"/>
          <w:color w:val="000000"/>
          <w:lang w:val="en-US" w:eastAsia="bg-BG"/>
        </w:rPr>
        <w:t xml:space="preserve"> </w:t>
      </w:r>
      <w:r w:rsidRPr="003F5AB8">
        <w:rPr>
          <w:rFonts w:eastAsia="Times New Roman" w:cs="Arial"/>
          <w:color w:val="000000"/>
          <w:lang w:eastAsia="bg-BG"/>
        </w:rPr>
        <w:t>мускулна слабост, мускулни спазми</w:t>
      </w:r>
    </w:p>
    <w:p w14:paraId="74E6EA09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84A9C4B" w14:textId="28342E74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Съдови нарушения</w:t>
      </w:r>
    </w:p>
    <w:p w14:paraId="715AB1ED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Чести:</w:t>
      </w:r>
      <w:r w:rsidRPr="003F5AB8">
        <w:rPr>
          <w:rFonts w:eastAsia="Times New Roman" w:cs="Arial"/>
          <w:color w:val="000000"/>
          <w:lang w:eastAsia="bg-BG"/>
        </w:rPr>
        <w:tab/>
        <w:t>усещане за студ или изтръпване на крайниците</w:t>
      </w:r>
    </w:p>
    <w:p w14:paraId="3F68B248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Нечести:</w:t>
      </w:r>
      <w:r w:rsidRPr="003F5AB8">
        <w:rPr>
          <w:rFonts w:eastAsia="Times New Roman" w:cs="Arial"/>
          <w:color w:val="000000"/>
          <w:lang w:eastAsia="bg-BG"/>
        </w:rPr>
        <w:tab/>
        <w:t>хипотония</w:t>
      </w:r>
    </w:p>
    <w:p w14:paraId="67EC0189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E8C3E43" w14:textId="59AD4990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Общи нарушения</w:t>
      </w:r>
    </w:p>
    <w:p w14:paraId="553D5C77" w14:textId="637A9428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Чести:</w:t>
      </w:r>
      <w:r w:rsidRPr="003F5AB8">
        <w:rPr>
          <w:rFonts w:eastAsia="Times New Roman" w:cs="Arial"/>
          <w:color w:val="000000"/>
          <w:lang w:val="en-US" w:eastAsia="bg-BG"/>
        </w:rPr>
        <w:t xml:space="preserve"> </w:t>
      </w:r>
      <w:r w:rsidRPr="003F5AB8">
        <w:rPr>
          <w:rFonts w:eastAsia="Times New Roman" w:cs="Arial"/>
          <w:color w:val="000000"/>
          <w:lang w:eastAsia="bg-BG"/>
        </w:rPr>
        <w:t>умора*</w:t>
      </w:r>
    </w:p>
    <w:p w14:paraId="2E11300D" w14:textId="267F55DB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Нечести:</w:t>
      </w:r>
      <w:r w:rsidRPr="003F5AB8">
        <w:rPr>
          <w:rFonts w:eastAsia="Times New Roman" w:cs="Arial"/>
          <w:color w:val="000000"/>
          <w:lang w:val="en-US" w:eastAsia="bg-BG"/>
        </w:rPr>
        <w:t xml:space="preserve"> </w:t>
      </w:r>
      <w:r w:rsidRPr="003F5AB8">
        <w:rPr>
          <w:rFonts w:eastAsia="Times New Roman" w:cs="Arial"/>
          <w:color w:val="000000"/>
          <w:lang w:eastAsia="bg-BG"/>
        </w:rPr>
        <w:t>астения</w:t>
      </w:r>
    </w:p>
    <w:p w14:paraId="0282AC82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46D2EFF" w14:textId="6403D802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Нарушения на чернодробната и жлъчна функция:</w:t>
      </w:r>
    </w:p>
    <w:p w14:paraId="4BB0E964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Редки:</w:t>
      </w:r>
      <w:r w:rsidRPr="003F5AB8">
        <w:rPr>
          <w:rFonts w:eastAsia="Times New Roman" w:cs="Arial"/>
          <w:color w:val="000000"/>
          <w:lang w:eastAsia="bg-BG"/>
        </w:rPr>
        <w:tab/>
        <w:t>хепатит</w:t>
      </w:r>
    </w:p>
    <w:p w14:paraId="7FCC0962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CF68BBA" w14:textId="6A209A4A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Нарушения на репродуктивната система и гърдите</w:t>
      </w:r>
    </w:p>
    <w:p w14:paraId="795B35B5" w14:textId="439CB926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Редки:</w:t>
      </w:r>
      <w:r w:rsidRPr="003F5AB8">
        <w:rPr>
          <w:rFonts w:eastAsia="Times New Roman" w:cs="Arial"/>
          <w:color w:val="000000"/>
          <w:lang w:val="en-US" w:eastAsia="bg-BG"/>
        </w:rPr>
        <w:t xml:space="preserve"> </w:t>
      </w:r>
      <w:r w:rsidRPr="003F5AB8">
        <w:rPr>
          <w:rFonts w:eastAsia="Times New Roman" w:cs="Arial"/>
          <w:color w:val="000000"/>
          <w:lang w:eastAsia="bg-BG"/>
        </w:rPr>
        <w:t>еректилна дисфункция</w:t>
      </w:r>
    </w:p>
    <w:p w14:paraId="41B30D15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B286A79" w14:textId="5190F926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Психиатрични нарушения</w:t>
      </w:r>
    </w:p>
    <w:p w14:paraId="444A37FC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Нечести:</w:t>
      </w:r>
      <w:r w:rsidRPr="003F5AB8">
        <w:rPr>
          <w:rFonts w:eastAsia="Times New Roman" w:cs="Arial"/>
          <w:color w:val="000000"/>
          <w:lang w:eastAsia="bg-BG"/>
        </w:rPr>
        <w:tab/>
        <w:t>нарушения на съня, депресия</w:t>
      </w:r>
    </w:p>
    <w:p w14:paraId="6E5286C6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Редки:</w:t>
      </w:r>
      <w:r w:rsidRPr="003F5AB8">
        <w:rPr>
          <w:rFonts w:eastAsia="Times New Roman" w:cs="Arial"/>
          <w:color w:val="000000"/>
          <w:lang w:eastAsia="bg-BG"/>
        </w:rPr>
        <w:tab/>
        <w:t>Кошмари, халюцинации</w:t>
      </w:r>
    </w:p>
    <w:p w14:paraId="167CE65D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F095E07" w14:textId="5C7BDA91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*Тези симптоми се появяват особено в началото на лечението. Те са по принцип леки и често изчезват до 1-2 седмици.</w:t>
      </w:r>
    </w:p>
    <w:p w14:paraId="3DD2D681" w14:textId="77777777" w:rsidR="003F5AB8" w:rsidRPr="003F5AB8" w:rsidRDefault="003F5AB8" w:rsidP="003F5AB8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5569155F" w14:textId="7A0F739A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i/>
          <w:iCs/>
          <w:color w:val="000000"/>
          <w:u w:val="single"/>
          <w:lang w:eastAsia="bg-BG"/>
        </w:rPr>
        <w:t>Съобщаване</w:t>
      </w:r>
      <w:r w:rsidRPr="003F5AB8">
        <w:rPr>
          <w:rFonts w:eastAsia="Times New Roman" w:cs="Arial"/>
          <w:color w:val="000000"/>
          <w:u w:val="single"/>
          <w:lang w:eastAsia="bg-BG"/>
        </w:rPr>
        <w:t xml:space="preserve"> на подозирани нежелани реакции</w:t>
      </w:r>
    </w:p>
    <w:p w14:paraId="3B65CDD4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</w:t>
      </w:r>
    </w:p>
    <w:p w14:paraId="4B962292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Изпълнителна агенция по лекарствата</w:t>
      </w:r>
    </w:p>
    <w:p w14:paraId="59B90BBC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ул., Дамян Груев” № 8</w:t>
      </w:r>
    </w:p>
    <w:p w14:paraId="2B041D31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1303 София</w:t>
      </w:r>
    </w:p>
    <w:p w14:paraId="57E097DF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Тел.:+359 2 8903 417</w:t>
      </w:r>
    </w:p>
    <w:p w14:paraId="5E2F3341" w14:textId="77777777" w:rsidR="003F5AB8" w:rsidRPr="003F5AB8" w:rsidRDefault="003F5AB8" w:rsidP="003F5AB8">
      <w:pPr>
        <w:spacing w:line="240" w:lineRule="auto"/>
        <w:rPr>
          <w:rFonts w:eastAsia="Times New Roman" w:cs="Arial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уебсайт: </w:t>
      </w:r>
      <w:hyperlink r:id="rId5" w:history="1">
        <w:r w:rsidRPr="003F5AB8">
          <w:rPr>
            <w:rFonts w:eastAsia="Times New Roman" w:cs="Arial"/>
            <w:color w:val="000000"/>
            <w:u w:val="single"/>
            <w:lang w:val="en-US"/>
          </w:rPr>
          <w:t>www.bda.bg</w:t>
        </w:r>
      </w:hyperlink>
    </w:p>
    <w:p w14:paraId="018FF411" w14:textId="77777777" w:rsidR="003F5AB8" w:rsidRPr="003F5AB8" w:rsidRDefault="003F5AB8" w:rsidP="003F5AB8"/>
    <w:p w14:paraId="378A0F20" w14:textId="1EEA7700" w:rsidR="001D095A" w:rsidRDefault="002C50EE" w:rsidP="00340E8D">
      <w:pPr>
        <w:pStyle w:val="Heading2"/>
      </w:pPr>
      <w:r>
        <w:lastRenderedPageBreak/>
        <w:t>4.9. Предозиране</w:t>
      </w:r>
    </w:p>
    <w:p w14:paraId="23E41032" w14:textId="7F4E15CB" w:rsidR="003F5AB8" w:rsidRDefault="003F5AB8" w:rsidP="003F5AB8"/>
    <w:p w14:paraId="783C0400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>Симптоми</w:t>
      </w:r>
    </w:p>
    <w:p w14:paraId="31725B7A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>Най-честите признаци, очаквани при предозиране с β-блокери са брадикардия, хипотония, бронхоспазъм, остра сърдечна недостатъчност и хипогликемия.</w:t>
      </w:r>
    </w:p>
    <w:p w14:paraId="0B2C2B52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>Има обширна интериндивидуална вариабилност в чуствителността към единична висока доза бизопролол и пациенти със сърдечна недостатъчност вероятно са много чувствителни. Лечение</w:t>
      </w:r>
    </w:p>
    <w:p w14:paraId="38868DA8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>По принцип, ако настъпи предозиране, терапията с бизопролол трябва да се спре и да се проведе спомагателно и симптоматично лечение.</w:t>
      </w:r>
    </w:p>
    <w:p w14:paraId="1CF52799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>Ограничени данни предполагат, че бизопролол се отстранява трудно чрез диализа.</w:t>
      </w:r>
    </w:p>
    <w:p w14:paraId="71A6FF75" w14:textId="77777777" w:rsidR="003F5AB8" w:rsidRPr="003F5AB8" w:rsidRDefault="003F5AB8" w:rsidP="003F5AB8"/>
    <w:p w14:paraId="02081B24" w14:textId="36FE76F4" w:rsidR="00395555" w:rsidRPr="00395555" w:rsidRDefault="002C50EE" w:rsidP="008A6AF2">
      <w:pPr>
        <w:pStyle w:val="Heading1"/>
      </w:pPr>
      <w:r>
        <w:t>5. ФАРМАКОЛОГИЧНИ СВОЙСТВА</w:t>
      </w:r>
    </w:p>
    <w:p w14:paraId="7F6CC5E1" w14:textId="56454F09" w:rsidR="00F62E44" w:rsidRDefault="002C50EE" w:rsidP="00387A66">
      <w:pPr>
        <w:pStyle w:val="Heading2"/>
      </w:pPr>
      <w:r>
        <w:t>5.1. Фармакодинамични свойства</w:t>
      </w:r>
    </w:p>
    <w:p w14:paraId="3BF5ED4D" w14:textId="649D856D" w:rsidR="003F5AB8" w:rsidRDefault="003F5AB8" w:rsidP="003F5AB8"/>
    <w:p w14:paraId="485D6594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Фармакотерапевтична група: селективен β-блокер,</w:t>
      </w:r>
    </w:p>
    <w:p w14:paraId="420EBD66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АТС код: С07АВ07</w:t>
      </w:r>
    </w:p>
    <w:p w14:paraId="4A84DBB4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Механизъм на действие</w:t>
      </w:r>
    </w:p>
    <w:p w14:paraId="65ED6693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Бизопролол β</w:t>
      </w:r>
      <w:r w:rsidRPr="003F5AB8">
        <w:rPr>
          <w:rFonts w:eastAsia="Times New Roman" w:cs="Arial"/>
          <w:color w:val="000000"/>
          <w:vertAlign w:val="subscript"/>
          <w:lang w:eastAsia="bg-BG"/>
        </w:rPr>
        <w:t>1</w:t>
      </w:r>
      <w:r w:rsidRPr="003F5AB8">
        <w:rPr>
          <w:rFonts w:eastAsia="Times New Roman" w:cs="Arial"/>
          <w:color w:val="000000"/>
          <w:lang w:eastAsia="bg-BG"/>
        </w:rPr>
        <w:t>-селективен адренорецепторен блокиращ агент, лишен от вътрешна стимулираща симпатикомиметична активност и без съответна стабилизираща мембранна активност. Продуктът има много слаб афинитет към р2-рецепторите на гладките мускули на бронхите и съдовете, както и на р2-рецепторите, свързани с метаболитната регулация. Затова, по принцип, не се очаква бизопролол да влияе на дихателната резистентност и β</w:t>
      </w:r>
      <w:r w:rsidRPr="003F5AB8">
        <w:rPr>
          <w:rFonts w:eastAsia="Times New Roman" w:cs="Arial"/>
          <w:color w:val="000000"/>
          <w:vertAlign w:val="subscript"/>
          <w:lang w:eastAsia="bg-BG"/>
        </w:rPr>
        <w:t>2</w:t>
      </w:r>
      <w:r w:rsidRPr="003F5AB8">
        <w:rPr>
          <w:rFonts w:eastAsia="Times New Roman" w:cs="Arial"/>
          <w:color w:val="000000"/>
          <w:lang w:eastAsia="bg-BG"/>
        </w:rPr>
        <w:t>- медиираните метаболитни ефекти.</w:t>
      </w:r>
    </w:p>
    <w:p w14:paraId="5F84FB9A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β</w:t>
      </w:r>
      <w:r w:rsidRPr="003F5AB8">
        <w:rPr>
          <w:rFonts w:eastAsia="Times New Roman" w:cs="Arial"/>
          <w:color w:val="000000"/>
          <w:vertAlign w:val="subscript"/>
          <w:lang w:eastAsia="bg-BG"/>
        </w:rPr>
        <w:t>1</w:t>
      </w:r>
      <w:r w:rsidRPr="003F5AB8">
        <w:rPr>
          <w:rFonts w:eastAsia="Times New Roman" w:cs="Arial"/>
          <w:color w:val="000000"/>
          <w:lang w:eastAsia="bg-BG"/>
        </w:rPr>
        <w:t>-селективността на бизопролол е извън терапевтичните дозови граници.</w:t>
      </w:r>
    </w:p>
    <w:p w14:paraId="0BB539DC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Бизопролол няма изразен негативен инотропен ефект.</w:t>
      </w:r>
    </w:p>
    <w:p w14:paraId="42796A83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Бизопролол достига максималния си антихипертензивен ефект 3-4 часа след перорален прием. Елиминационният му полуживот в плазмата от 10-12 часа осигурява на бизопролол 24-ва ефикасност, след еднодозов дневен прием.</w:t>
      </w:r>
    </w:p>
    <w:p w14:paraId="46F80944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Максималният антихипертензивен ефект на бизопролол по принцип се достига след 2</w:t>
      </w:r>
    </w:p>
    <w:p w14:paraId="34886233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седмици.</w:t>
      </w:r>
    </w:p>
    <w:p w14:paraId="6F2C18F7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Интензивното приложение при пациенти с коронарна болест на сърцето без хронична</w:t>
      </w:r>
    </w:p>
    <w:p w14:paraId="09C69ECA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сърдечна недостатъчност, бизопролол намалява сърдечната честота и ударния обем и по</w:t>
      </w:r>
    </w:p>
    <w:p w14:paraId="40AB5146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такъв начин понижава сърдечния дебит и кислородното потребление. При хронично приложение, първоначално повишената периферна резистентност намалява. Между другите, подтискането на активността на плазмения ренин, се дискутира като механизъм на действие, лежащ в основата на антихипертензивния ефект на р-блокерите.</w:t>
      </w:r>
    </w:p>
    <w:p w14:paraId="0759CBD7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Чрез блокадата на сърдечните β-рецептори бизопролол подтиска отговора към симпатоадренергичната активност. Това предизвиква намаление на сърдечната честота и контрактилитет и поради това води до намаление на миокардната консумация на кислород, което е желан ефект при </w:t>
      </w:r>
      <w:r w:rsidRPr="003F5AB8">
        <w:rPr>
          <w:rFonts w:eastAsia="Times New Roman" w:cs="Arial"/>
          <w:color w:val="000000"/>
          <w:lang w:val="en-US"/>
        </w:rPr>
        <w:t xml:space="preserve">angina pectoris </w:t>
      </w:r>
      <w:r w:rsidRPr="003F5AB8">
        <w:rPr>
          <w:rFonts w:eastAsia="Times New Roman" w:cs="Arial"/>
          <w:color w:val="000000"/>
          <w:lang w:eastAsia="bg-BG"/>
        </w:rPr>
        <w:t>с налична исхемична болест на сърцето.</w:t>
      </w:r>
    </w:p>
    <w:p w14:paraId="0A149A5E" w14:textId="77777777" w:rsidR="003F5AB8" w:rsidRPr="003F5AB8" w:rsidRDefault="003F5AB8" w:rsidP="003F5AB8"/>
    <w:p w14:paraId="544FFDAF" w14:textId="624E0DC7" w:rsidR="00F62E44" w:rsidRDefault="002C50EE" w:rsidP="00387A66">
      <w:pPr>
        <w:pStyle w:val="Heading2"/>
      </w:pPr>
      <w:r>
        <w:t>5.2. Фармакокинетични свойства</w:t>
      </w:r>
    </w:p>
    <w:p w14:paraId="677368E0" w14:textId="518B548E" w:rsidR="003F5AB8" w:rsidRDefault="003F5AB8" w:rsidP="003F5AB8"/>
    <w:p w14:paraId="5FEA5604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Абсорбция</w:t>
      </w:r>
    </w:p>
    <w:p w14:paraId="3BF2B39E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lastRenderedPageBreak/>
        <w:t xml:space="preserve">Бизопролол се абсорбира почти напълно (&gt;90%) от гастроинтестиналния тракт и поради много малкия ефект на </w:t>
      </w:r>
      <w:r w:rsidRPr="003F5AB8">
        <w:rPr>
          <w:rFonts w:eastAsia="Times New Roman" w:cs="Arial"/>
          <w:color w:val="000000"/>
          <w:lang w:val="en-US"/>
        </w:rPr>
        <w:t xml:space="preserve">first pass </w:t>
      </w:r>
      <w:r w:rsidRPr="003F5AB8">
        <w:rPr>
          <w:rFonts w:eastAsia="Times New Roman" w:cs="Arial"/>
          <w:color w:val="000000"/>
          <w:lang w:eastAsia="bg-BG"/>
        </w:rPr>
        <w:t>през черния дроб - приблизително 10%, има абсолютна бионаличност от около 90% след перорално приложение.</w:t>
      </w:r>
    </w:p>
    <w:p w14:paraId="5DCEE0B9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8E177E8" w14:textId="7C0B6FD9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Разпределение</w:t>
      </w:r>
    </w:p>
    <w:p w14:paraId="2CC1F25F" w14:textId="32AA91BE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Обемът на разпределение е 3.5 </w:t>
      </w:r>
      <w:r w:rsidRPr="003F5AB8">
        <w:rPr>
          <w:rFonts w:eastAsia="Times New Roman" w:cs="Arial"/>
          <w:color w:val="000000"/>
          <w:lang w:val="en-US"/>
        </w:rPr>
        <w:t xml:space="preserve">l/kg. </w:t>
      </w:r>
      <w:r w:rsidRPr="003F5AB8">
        <w:rPr>
          <w:rFonts w:eastAsia="Times New Roman" w:cs="Arial"/>
          <w:color w:val="000000"/>
          <w:lang w:eastAsia="bg-BG"/>
        </w:rPr>
        <w:t>Свързването на бизопролол с плазмените протеини е около 30%.</w:t>
      </w:r>
    </w:p>
    <w:p w14:paraId="02953F50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77C005A" w14:textId="755CC241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Метаболизъм и елиминиране</w:t>
      </w:r>
    </w:p>
    <w:p w14:paraId="5B264E5E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Бизопролол се елиминира от организма чрез два еквивалентни пътя на клирънс: 50% се трансформират в неактивни метаболити в черния дроб с екскреция на метаболитите през бъбреците. Останалите 50% се екскретират непроменени през бъбреците. Затова по принцип бизопролол не изисква адаптиране на дозата при пациенти с чернодробни и бъбречни функционални нарушения с лека до умерена тежест.</w:t>
      </w:r>
    </w:p>
    <w:p w14:paraId="67994589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 xml:space="preserve">Общият клирънс на продукта е приблизително 15 </w:t>
      </w:r>
      <w:r w:rsidRPr="003F5AB8">
        <w:rPr>
          <w:rFonts w:eastAsia="Times New Roman" w:cs="Arial"/>
          <w:color w:val="000000"/>
          <w:lang w:val="en-US"/>
        </w:rPr>
        <w:t>l/kg.</w:t>
      </w:r>
    </w:p>
    <w:p w14:paraId="7E0D8D5B" w14:textId="77777777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Плазменият елиминационен полуживот е 10-12 часа.</w:t>
      </w:r>
    </w:p>
    <w:p w14:paraId="733C8F92" w14:textId="77777777" w:rsidR="003F5AB8" w:rsidRPr="003F5AB8" w:rsidRDefault="003F5AB8" w:rsidP="003F5AB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8F4CE2C" w14:textId="7EFE0CC3" w:rsidR="003F5AB8" w:rsidRPr="003F5AB8" w:rsidRDefault="003F5AB8" w:rsidP="003F5AB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u w:val="single"/>
          <w:lang w:eastAsia="bg-BG"/>
        </w:rPr>
        <w:t>Линейност</w:t>
      </w:r>
    </w:p>
    <w:p w14:paraId="12966067" w14:textId="77777777" w:rsidR="003F5AB8" w:rsidRPr="003F5AB8" w:rsidRDefault="003F5AB8" w:rsidP="003F5A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5AB8">
        <w:rPr>
          <w:rFonts w:eastAsia="Times New Roman" w:cs="Arial"/>
          <w:color w:val="000000"/>
          <w:lang w:eastAsia="bg-BG"/>
        </w:rPr>
        <w:t>Бизопролол има линейна, възрастово-независима кинетика.</w:t>
      </w:r>
    </w:p>
    <w:p w14:paraId="6937BD1A" w14:textId="77777777" w:rsidR="003F5AB8" w:rsidRPr="003F5AB8" w:rsidRDefault="003F5AB8" w:rsidP="003F5AB8"/>
    <w:p w14:paraId="6925FEB0" w14:textId="2526E719" w:rsidR="00F62E44" w:rsidRDefault="002C50EE" w:rsidP="00387A66">
      <w:pPr>
        <w:pStyle w:val="Heading2"/>
      </w:pPr>
      <w:r>
        <w:t>5.3. Предклинични данни за безопасност</w:t>
      </w:r>
    </w:p>
    <w:p w14:paraId="607C6B7E" w14:textId="2034B092" w:rsidR="003F5AB8" w:rsidRDefault="003F5AB8" w:rsidP="003F5AB8"/>
    <w:p w14:paraId="34733EB4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>Предклиничните данни не показват особена опасност за хора въз основа на конвенционални проучвания на единична и многократна дозова токсичност, генотоксичност/мутагенност или карциногенност.</w:t>
      </w:r>
    </w:p>
    <w:p w14:paraId="369045CC" w14:textId="77777777" w:rsidR="003F5AB8" w:rsidRDefault="003F5AB8" w:rsidP="003F5AB8">
      <w:pPr>
        <w:rPr>
          <w:u w:val="single"/>
          <w:lang w:eastAsia="bg-BG"/>
        </w:rPr>
      </w:pPr>
    </w:p>
    <w:p w14:paraId="44393CFB" w14:textId="4FE8F1C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u w:val="single"/>
          <w:lang w:eastAsia="bg-BG"/>
        </w:rPr>
        <w:t>Репродукция</w:t>
      </w:r>
    </w:p>
    <w:p w14:paraId="62E54EDC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>В репродуктивните токсикологични изследвания бизопролол няма влияние върху фертилитета или върху общата репродуктивна способност.</w:t>
      </w:r>
    </w:p>
    <w:p w14:paraId="120F3A6C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>Подобно на други бета-блокери, бизопролол във високи дози води до токсичност както при майката (намалява приемането на храна и телесното тегло), така и на ембриона/плода (увеличаване случаите на резорбция, намаляване теглото на плода, забавяне на физическото му развитие), но няма тератогенен ефект.</w:t>
      </w:r>
    </w:p>
    <w:p w14:paraId="206684D1" w14:textId="77777777" w:rsidR="003F5AB8" w:rsidRPr="003F5AB8" w:rsidRDefault="003F5AB8" w:rsidP="003F5AB8"/>
    <w:p w14:paraId="357049A8" w14:textId="2FAF564F" w:rsidR="00BB22B4" w:rsidRDefault="002C50EE" w:rsidP="00471F10">
      <w:pPr>
        <w:pStyle w:val="Heading1"/>
      </w:pPr>
      <w:r>
        <w:t>7. ПРИТЕЖАТЕЛ НА РАЗРЕШЕНИЕТО ЗА УПОТРЕБА</w:t>
      </w:r>
    </w:p>
    <w:p w14:paraId="748EE10C" w14:textId="285C8D16" w:rsidR="003F5AB8" w:rsidRDefault="003F5AB8" w:rsidP="003F5AB8"/>
    <w:p w14:paraId="746E8A58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>Мерк България ЕАД</w:t>
      </w:r>
    </w:p>
    <w:p w14:paraId="4FBE5983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>Бул. „Ситняково” № 48</w:t>
      </w:r>
    </w:p>
    <w:p w14:paraId="547CE70E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>Сердика Офиси, ет. 6</w:t>
      </w:r>
    </w:p>
    <w:p w14:paraId="56B8F693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>София 1505</w:t>
      </w:r>
    </w:p>
    <w:p w14:paraId="019D450F" w14:textId="10D85439" w:rsidR="003F5AB8" w:rsidRPr="003F5AB8" w:rsidRDefault="003F5AB8" w:rsidP="003F5AB8">
      <w:r w:rsidRPr="003F5AB8">
        <w:rPr>
          <w:lang w:eastAsia="bg-BG"/>
        </w:rPr>
        <w:t>България</w:t>
      </w:r>
    </w:p>
    <w:p w14:paraId="0A53321D" w14:textId="74FBD4FB" w:rsidR="00EE6C97" w:rsidRDefault="00936AD0" w:rsidP="00A93499">
      <w:pPr>
        <w:pStyle w:val="Heading1"/>
      </w:pPr>
      <w:r>
        <w:t>8.</w:t>
      </w:r>
      <w:r w:rsidR="002C50EE">
        <w:t>НОМЕР НА РАЗРЕШЕНИЕТО ЗА УПОТРЕБА</w:t>
      </w:r>
    </w:p>
    <w:p w14:paraId="7C2688F5" w14:textId="516DE9FD" w:rsidR="00F62E44" w:rsidRDefault="00F62E44" w:rsidP="00F62E44"/>
    <w:p w14:paraId="6591B7C2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 xml:space="preserve">Конкор 5 </w:t>
      </w:r>
      <w:r w:rsidRPr="003F5AB8">
        <w:rPr>
          <w:lang w:val="en-US"/>
        </w:rPr>
        <w:t xml:space="preserve">mg </w:t>
      </w:r>
      <w:r w:rsidRPr="003F5AB8">
        <w:rPr>
          <w:lang w:eastAsia="bg-BG"/>
        </w:rPr>
        <w:t xml:space="preserve">филмирани таблетки - </w:t>
      </w:r>
      <w:r w:rsidRPr="003F5AB8">
        <w:rPr>
          <w:lang w:val="en-US"/>
        </w:rPr>
        <w:t xml:space="preserve">Per. </w:t>
      </w:r>
      <w:r w:rsidRPr="003F5AB8">
        <w:rPr>
          <w:lang w:eastAsia="bg-BG"/>
        </w:rPr>
        <w:t>№ 20030463</w:t>
      </w:r>
    </w:p>
    <w:p w14:paraId="00B66229" w14:textId="5C11E59E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 xml:space="preserve">Конкор 10 </w:t>
      </w:r>
      <w:r w:rsidRPr="003F5AB8">
        <w:rPr>
          <w:lang w:val="en-US"/>
        </w:rPr>
        <w:t xml:space="preserve">mg </w:t>
      </w:r>
      <w:r w:rsidRPr="003F5AB8">
        <w:rPr>
          <w:lang w:eastAsia="bg-BG"/>
        </w:rPr>
        <w:t xml:space="preserve">филмирани таблетки - </w:t>
      </w:r>
      <w:r w:rsidRPr="003F5AB8">
        <w:rPr>
          <w:lang w:val="en-US"/>
        </w:rPr>
        <w:t xml:space="preserve">Per. </w:t>
      </w:r>
      <w:r w:rsidRPr="003F5AB8">
        <w:rPr>
          <w:lang w:eastAsia="bg-BG"/>
        </w:rPr>
        <w:t>№ 20030464</w:t>
      </w:r>
    </w:p>
    <w:p w14:paraId="00481C21" w14:textId="50D51DE2" w:rsidR="00F62E44" w:rsidRDefault="002C50EE" w:rsidP="00387A66">
      <w:pPr>
        <w:pStyle w:val="Heading1"/>
      </w:pPr>
      <w:r>
        <w:lastRenderedPageBreak/>
        <w:t>9. ДАТА НА ПЪРВО РАЗРЕШАВАНЕ/ПОДНОВЯВАНЕ НА РАЗРЕШЕНИЕТО ЗА УПОТРЕБА</w:t>
      </w:r>
    </w:p>
    <w:p w14:paraId="1AE83FF8" w14:textId="5AEAD0E7" w:rsidR="003F5AB8" w:rsidRDefault="003F5AB8" w:rsidP="003F5AB8"/>
    <w:p w14:paraId="28F79DD9" w14:textId="77777777" w:rsidR="003F5AB8" w:rsidRPr="003F5AB8" w:rsidRDefault="003F5AB8" w:rsidP="003F5AB8">
      <w:pPr>
        <w:rPr>
          <w:sz w:val="24"/>
          <w:szCs w:val="24"/>
          <w:lang w:eastAsia="bg-BG"/>
        </w:rPr>
      </w:pPr>
      <w:r w:rsidRPr="003F5AB8">
        <w:rPr>
          <w:lang w:eastAsia="bg-BG"/>
        </w:rPr>
        <w:t>Дата на първо разрешаване за употреба: 27.06.2003 г.</w:t>
      </w:r>
    </w:p>
    <w:p w14:paraId="7D5D1684" w14:textId="3E6F52FE" w:rsidR="003F5AB8" w:rsidRPr="003F5AB8" w:rsidRDefault="003F5AB8" w:rsidP="003F5AB8">
      <w:r w:rsidRPr="003F5AB8">
        <w:rPr>
          <w:lang w:eastAsia="bg-BG"/>
        </w:rPr>
        <w:t>Дата на последно подновяване на РУ: 24.11.2008 г.</w:t>
      </w:r>
    </w:p>
    <w:p w14:paraId="43FB38A2" w14:textId="0C18A683" w:rsidR="007C605B" w:rsidRDefault="002C50EE" w:rsidP="005726E3">
      <w:pPr>
        <w:pStyle w:val="Heading1"/>
      </w:pPr>
      <w:r>
        <w:t>10. ДАТА НА АКТУАЛИЗИРАНЕ НА ТЕКСТА</w:t>
      </w:r>
      <w:bookmarkEnd w:id="0"/>
    </w:p>
    <w:p w14:paraId="472617BD" w14:textId="75B96A22" w:rsidR="00BB22B4" w:rsidRPr="00BB22B4" w:rsidRDefault="003F5AB8" w:rsidP="003F5AB8">
      <w:r>
        <w:t>ноември 2020г.</w:t>
      </w:r>
    </w:p>
    <w:sectPr w:rsidR="00BB22B4" w:rsidRPr="00BB22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74D0D9E"/>
    <w:multiLevelType w:val="hybridMultilevel"/>
    <w:tmpl w:val="4E6C1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C16F5"/>
    <w:multiLevelType w:val="hybridMultilevel"/>
    <w:tmpl w:val="E5EAD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2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9304D31"/>
    <w:multiLevelType w:val="hybridMultilevel"/>
    <w:tmpl w:val="558E93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4460E"/>
    <w:multiLevelType w:val="hybridMultilevel"/>
    <w:tmpl w:val="AE9E96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6D37A7"/>
    <w:multiLevelType w:val="hybridMultilevel"/>
    <w:tmpl w:val="46CC86F0"/>
    <w:lvl w:ilvl="0" w:tplc="D1263D3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0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5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E06251"/>
    <w:multiLevelType w:val="hybridMultilevel"/>
    <w:tmpl w:val="1090AE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0" w15:restartNumberingAfterBreak="0">
    <w:nsid w:val="7FB76593"/>
    <w:multiLevelType w:val="hybridMultilevel"/>
    <w:tmpl w:val="CF1293EC"/>
    <w:lvl w:ilvl="0" w:tplc="25521A5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118384">
    <w:abstractNumId w:val="31"/>
  </w:num>
  <w:num w:numId="2" w16cid:durableId="1612932146">
    <w:abstractNumId w:val="0"/>
  </w:num>
  <w:num w:numId="3" w16cid:durableId="1810323821">
    <w:abstractNumId w:val="15"/>
  </w:num>
  <w:num w:numId="4" w16cid:durableId="2135319613">
    <w:abstractNumId w:val="3"/>
  </w:num>
  <w:num w:numId="5" w16cid:durableId="740105516">
    <w:abstractNumId w:val="1"/>
  </w:num>
  <w:num w:numId="6" w16cid:durableId="1668363208">
    <w:abstractNumId w:val="20"/>
  </w:num>
  <w:num w:numId="7" w16cid:durableId="1241988161">
    <w:abstractNumId w:val="12"/>
  </w:num>
  <w:num w:numId="8" w16cid:durableId="2102022361">
    <w:abstractNumId w:val="19"/>
  </w:num>
  <w:num w:numId="9" w16cid:durableId="1154613663">
    <w:abstractNumId w:val="2"/>
  </w:num>
  <w:num w:numId="10" w16cid:durableId="1733848127">
    <w:abstractNumId w:val="4"/>
  </w:num>
  <w:num w:numId="11" w16cid:durableId="1861704680">
    <w:abstractNumId w:val="34"/>
  </w:num>
  <w:num w:numId="12" w16cid:durableId="1434934028">
    <w:abstractNumId w:val="17"/>
  </w:num>
  <w:num w:numId="13" w16cid:durableId="479157895">
    <w:abstractNumId w:val="23"/>
  </w:num>
  <w:num w:numId="14" w16cid:durableId="1670476636">
    <w:abstractNumId w:val="14"/>
  </w:num>
  <w:num w:numId="15" w16cid:durableId="1000155783">
    <w:abstractNumId w:val="33"/>
  </w:num>
  <w:num w:numId="16" w16cid:durableId="2056420707">
    <w:abstractNumId w:val="11"/>
  </w:num>
  <w:num w:numId="17" w16cid:durableId="1787119182">
    <w:abstractNumId w:val="28"/>
  </w:num>
  <w:num w:numId="18" w16cid:durableId="722945139">
    <w:abstractNumId w:val="8"/>
  </w:num>
  <w:num w:numId="19" w16cid:durableId="1678728408">
    <w:abstractNumId w:val="30"/>
  </w:num>
  <w:num w:numId="20" w16cid:durableId="1970816657">
    <w:abstractNumId w:val="27"/>
  </w:num>
  <w:num w:numId="21" w16cid:durableId="1531146514">
    <w:abstractNumId w:val="21"/>
  </w:num>
  <w:num w:numId="22" w16cid:durableId="1276465">
    <w:abstractNumId w:val="29"/>
  </w:num>
  <w:num w:numId="23" w16cid:durableId="1624310558">
    <w:abstractNumId w:val="22"/>
  </w:num>
  <w:num w:numId="24" w16cid:durableId="1692877547">
    <w:abstractNumId w:val="9"/>
  </w:num>
  <w:num w:numId="25" w16cid:durableId="50930855">
    <w:abstractNumId w:val="26"/>
  </w:num>
  <w:num w:numId="26" w16cid:durableId="176701536">
    <w:abstractNumId w:val="25"/>
  </w:num>
  <w:num w:numId="27" w16cid:durableId="2050564750">
    <w:abstractNumId w:val="35"/>
  </w:num>
  <w:num w:numId="28" w16cid:durableId="1820733422">
    <w:abstractNumId w:val="6"/>
  </w:num>
  <w:num w:numId="29" w16cid:durableId="973678124">
    <w:abstractNumId w:val="24"/>
  </w:num>
  <w:num w:numId="30" w16cid:durableId="154884452">
    <w:abstractNumId w:val="39"/>
  </w:num>
  <w:num w:numId="31" w16cid:durableId="1053964910">
    <w:abstractNumId w:val="5"/>
  </w:num>
  <w:num w:numId="32" w16cid:durableId="2073575793">
    <w:abstractNumId w:val="37"/>
  </w:num>
  <w:num w:numId="33" w16cid:durableId="1566643170">
    <w:abstractNumId w:val="32"/>
  </w:num>
  <w:num w:numId="34" w16cid:durableId="2060787732">
    <w:abstractNumId w:val="36"/>
  </w:num>
  <w:num w:numId="35" w16cid:durableId="34161354">
    <w:abstractNumId w:val="7"/>
  </w:num>
  <w:num w:numId="36" w16cid:durableId="1976908676">
    <w:abstractNumId w:val="10"/>
  </w:num>
  <w:num w:numId="37" w16cid:durableId="758528303">
    <w:abstractNumId w:val="18"/>
  </w:num>
  <w:num w:numId="38" w16cid:durableId="178396561">
    <w:abstractNumId w:val="38"/>
  </w:num>
  <w:num w:numId="39" w16cid:durableId="934825996">
    <w:abstractNumId w:val="13"/>
  </w:num>
  <w:num w:numId="40" w16cid:durableId="2074305376">
    <w:abstractNumId w:val="16"/>
  </w:num>
  <w:num w:numId="41" w16cid:durableId="20383407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A00"/>
    <w:rsid w:val="00185A46"/>
    <w:rsid w:val="001915B6"/>
    <w:rsid w:val="001A6EBD"/>
    <w:rsid w:val="001D095A"/>
    <w:rsid w:val="001D1B23"/>
    <w:rsid w:val="002B3C38"/>
    <w:rsid w:val="002B4DBB"/>
    <w:rsid w:val="002C50EE"/>
    <w:rsid w:val="00340A0A"/>
    <w:rsid w:val="00340E8D"/>
    <w:rsid w:val="003765DC"/>
    <w:rsid w:val="00387A66"/>
    <w:rsid w:val="00395555"/>
    <w:rsid w:val="003E3126"/>
    <w:rsid w:val="003F5AB8"/>
    <w:rsid w:val="00426E5F"/>
    <w:rsid w:val="00471F10"/>
    <w:rsid w:val="004A448E"/>
    <w:rsid w:val="004D4D6B"/>
    <w:rsid w:val="004F1CE7"/>
    <w:rsid w:val="004F498A"/>
    <w:rsid w:val="00517A5B"/>
    <w:rsid w:val="005726E3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122AD"/>
    <w:rsid w:val="0075649D"/>
    <w:rsid w:val="007C605B"/>
    <w:rsid w:val="008134C8"/>
    <w:rsid w:val="00814073"/>
    <w:rsid w:val="00826F0D"/>
    <w:rsid w:val="00875EEC"/>
    <w:rsid w:val="00893B92"/>
    <w:rsid w:val="008A6AF2"/>
    <w:rsid w:val="008C70A2"/>
    <w:rsid w:val="008F7F23"/>
    <w:rsid w:val="00936AD0"/>
    <w:rsid w:val="00954129"/>
    <w:rsid w:val="009773E4"/>
    <w:rsid w:val="009B171C"/>
    <w:rsid w:val="009F1313"/>
    <w:rsid w:val="009F77A4"/>
    <w:rsid w:val="00A20351"/>
    <w:rsid w:val="00A428B7"/>
    <w:rsid w:val="00A65A81"/>
    <w:rsid w:val="00A71DCF"/>
    <w:rsid w:val="00A93499"/>
    <w:rsid w:val="00AA23EC"/>
    <w:rsid w:val="00AC63CE"/>
    <w:rsid w:val="00AE2107"/>
    <w:rsid w:val="00B275A8"/>
    <w:rsid w:val="00B6672E"/>
    <w:rsid w:val="00BA5B74"/>
    <w:rsid w:val="00BB22B4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B32D3"/>
    <w:rsid w:val="00DD466D"/>
    <w:rsid w:val="00E9184E"/>
    <w:rsid w:val="00EB6364"/>
    <w:rsid w:val="00EE6C97"/>
    <w:rsid w:val="00F37B64"/>
    <w:rsid w:val="00F53FB7"/>
    <w:rsid w:val="00F62E4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2557</Words>
  <Characters>14577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2023-03-04T22:30:00Z</dcterms:created>
  <dcterms:modified xsi:type="dcterms:W3CDTF">2023-03-04T22:30:00Z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