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7A328C" w14:textId="16329281" w:rsidR="002C50EE" w:rsidRDefault="002C50EE" w:rsidP="002C50EE">
      <w:pPr>
        <w:pStyle w:val="Heading1"/>
        <w:jc w:val="center"/>
      </w:pPr>
      <w:bookmarkStart w:id="0" w:name="_Hlk63124480"/>
      <w:r>
        <w:t>КРАТКА ХАРАКТЕРИСТИКА НА ПРОДУКТА</w:t>
      </w:r>
    </w:p>
    <w:p w14:paraId="3B239815" w14:textId="034ACDE1" w:rsidR="00AA23EC" w:rsidRDefault="00DD466D" w:rsidP="00DD466D">
      <w:pPr>
        <w:pStyle w:val="Heading1"/>
      </w:pPr>
      <w:r>
        <w:t>1.ИМЕ НА ЛЕКАРСТВЕНИЯ ПРОДУКТ</w:t>
      </w:r>
    </w:p>
    <w:p w14:paraId="67C8EEDA" w14:textId="2280114B" w:rsidR="00A55E10" w:rsidRDefault="00A55E10" w:rsidP="00A55E10"/>
    <w:p w14:paraId="4D55FCC9" w14:textId="77777777" w:rsidR="00A55E10" w:rsidRPr="00A55E10" w:rsidRDefault="00A55E10" w:rsidP="00A55E10">
      <w:pPr>
        <w:rPr>
          <w:sz w:val="24"/>
          <w:szCs w:val="24"/>
          <w:lang w:val="en-US"/>
        </w:rPr>
      </w:pPr>
      <w:r w:rsidRPr="00A55E10">
        <w:rPr>
          <w:lang w:eastAsia="bg-BG"/>
        </w:rPr>
        <w:t xml:space="preserve">Конкор КОР 2.5 </w:t>
      </w:r>
      <w:r w:rsidRPr="00A55E10">
        <w:rPr>
          <w:lang w:val="en-US"/>
        </w:rPr>
        <w:t xml:space="preserve">mg </w:t>
      </w:r>
      <w:r w:rsidRPr="00A55E10">
        <w:rPr>
          <w:lang w:eastAsia="bg-BG"/>
        </w:rPr>
        <w:t>филмирани таблетки</w:t>
      </w:r>
    </w:p>
    <w:p w14:paraId="76CF9B7C" w14:textId="77777777" w:rsidR="00A55E10" w:rsidRPr="00A55E10" w:rsidRDefault="00A55E10" w:rsidP="00A55E10">
      <w:pPr>
        <w:rPr>
          <w:sz w:val="24"/>
          <w:szCs w:val="24"/>
          <w:lang w:val="en-US"/>
        </w:rPr>
      </w:pPr>
      <w:proofErr w:type="spellStart"/>
      <w:r w:rsidRPr="00A55E10">
        <w:rPr>
          <w:lang w:val="en-US"/>
        </w:rPr>
        <w:t>Concor</w:t>
      </w:r>
      <w:proofErr w:type="spellEnd"/>
      <w:r w:rsidRPr="00A55E10">
        <w:rPr>
          <w:lang w:val="en-US"/>
        </w:rPr>
        <w:t xml:space="preserve"> COR </w:t>
      </w:r>
      <w:r w:rsidRPr="00A55E10">
        <w:rPr>
          <w:lang w:eastAsia="bg-BG"/>
        </w:rPr>
        <w:t xml:space="preserve">2.5 </w:t>
      </w:r>
      <w:r w:rsidRPr="00A55E10">
        <w:rPr>
          <w:lang w:val="en-US"/>
        </w:rPr>
        <w:t>mg film-coated tablets</w:t>
      </w:r>
    </w:p>
    <w:p w14:paraId="19725BBF" w14:textId="77777777" w:rsidR="00A55E10" w:rsidRDefault="00A55E10" w:rsidP="00A55E10">
      <w:pPr>
        <w:rPr>
          <w:lang w:eastAsia="bg-BG"/>
        </w:rPr>
      </w:pPr>
    </w:p>
    <w:p w14:paraId="158CD68A" w14:textId="7D615121" w:rsidR="00A55E10" w:rsidRPr="00A55E10" w:rsidRDefault="00A55E10" w:rsidP="00A55E10">
      <w:pPr>
        <w:rPr>
          <w:sz w:val="24"/>
          <w:szCs w:val="24"/>
          <w:lang w:val="en-US"/>
        </w:rPr>
      </w:pPr>
      <w:r w:rsidRPr="00A55E10">
        <w:rPr>
          <w:lang w:eastAsia="bg-BG"/>
        </w:rPr>
        <w:t xml:space="preserve">Конкор КОР 5 </w:t>
      </w:r>
      <w:r w:rsidRPr="00A55E10">
        <w:rPr>
          <w:lang w:val="en-US"/>
        </w:rPr>
        <w:t xml:space="preserve">mg </w:t>
      </w:r>
      <w:r w:rsidRPr="00A55E10">
        <w:rPr>
          <w:lang w:eastAsia="bg-BG"/>
        </w:rPr>
        <w:t>филмирани таблетки</w:t>
      </w:r>
    </w:p>
    <w:p w14:paraId="570F3496" w14:textId="77777777" w:rsidR="00A55E10" w:rsidRPr="00A55E10" w:rsidRDefault="00A55E10" w:rsidP="00A55E10">
      <w:pPr>
        <w:rPr>
          <w:sz w:val="24"/>
          <w:szCs w:val="24"/>
          <w:lang w:val="en-US"/>
        </w:rPr>
      </w:pPr>
      <w:proofErr w:type="spellStart"/>
      <w:r w:rsidRPr="00A55E10">
        <w:rPr>
          <w:lang w:val="en-US"/>
        </w:rPr>
        <w:t>Concor</w:t>
      </w:r>
      <w:proofErr w:type="spellEnd"/>
      <w:r w:rsidRPr="00A55E10">
        <w:rPr>
          <w:lang w:val="en-US"/>
        </w:rPr>
        <w:t xml:space="preserve"> COR </w:t>
      </w:r>
      <w:r w:rsidRPr="00A55E10">
        <w:rPr>
          <w:lang w:eastAsia="bg-BG"/>
        </w:rPr>
        <w:t xml:space="preserve">5 </w:t>
      </w:r>
      <w:r w:rsidRPr="00A55E10">
        <w:rPr>
          <w:lang w:val="en-US"/>
        </w:rPr>
        <w:t>mg film-coated tablets</w:t>
      </w:r>
    </w:p>
    <w:p w14:paraId="26242A89" w14:textId="77777777" w:rsidR="00A55E10" w:rsidRPr="00A55E10" w:rsidRDefault="00A55E10" w:rsidP="00A55E10"/>
    <w:p w14:paraId="0A368469" w14:textId="5336727F" w:rsidR="00C0049F" w:rsidRDefault="00DD466D" w:rsidP="009F1313">
      <w:pPr>
        <w:pStyle w:val="Heading1"/>
      </w:pPr>
      <w:r>
        <w:t>2. КАЧЕСТВЕН И КОЛИЧЕСТВЕН СЪСТАВ</w:t>
      </w:r>
    </w:p>
    <w:p w14:paraId="6AD3503F" w14:textId="47BA601F" w:rsidR="00A55E10" w:rsidRDefault="00A55E10" w:rsidP="00A55E10"/>
    <w:p w14:paraId="531520FC" w14:textId="77777777" w:rsidR="00A55E10" w:rsidRPr="00A55E10" w:rsidRDefault="00A55E10" w:rsidP="00A55E10">
      <w:pPr>
        <w:rPr>
          <w:sz w:val="24"/>
          <w:szCs w:val="24"/>
        </w:rPr>
      </w:pPr>
      <w:r w:rsidRPr="00A55E10">
        <w:rPr>
          <w:lang w:eastAsia="bg-BG"/>
        </w:rPr>
        <w:t xml:space="preserve">Конкор КОР 2.5 </w:t>
      </w:r>
      <w:r w:rsidRPr="00A55E10">
        <w:rPr>
          <w:lang w:val="en-US"/>
        </w:rPr>
        <w:t>mg (</w:t>
      </w:r>
      <w:proofErr w:type="spellStart"/>
      <w:r w:rsidRPr="00A55E10">
        <w:rPr>
          <w:lang w:val="en-US"/>
        </w:rPr>
        <w:t>Concor</w:t>
      </w:r>
      <w:proofErr w:type="spellEnd"/>
      <w:r w:rsidRPr="00A55E10">
        <w:rPr>
          <w:lang w:val="en-US"/>
        </w:rPr>
        <w:t xml:space="preserve"> COR </w:t>
      </w:r>
      <w:r w:rsidRPr="00A55E10">
        <w:rPr>
          <w:lang w:eastAsia="bg-BG"/>
        </w:rPr>
        <w:t xml:space="preserve">2.5 </w:t>
      </w:r>
      <w:r w:rsidRPr="00A55E10">
        <w:rPr>
          <w:lang w:val="en-US"/>
        </w:rPr>
        <w:t>mg):</w:t>
      </w:r>
    </w:p>
    <w:p w14:paraId="6C9F5177" w14:textId="77777777" w:rsidR="00A55E10" w:rsidRPr="00A55E10" w:rsidRDefault="00A55E10" w:rsidP="00A55E10">
      <w:pPr>
        <w:rPr>
          <w:sz w:val="24"/>
          <w:szCs w:val="24"/>
        </w:rPr>
      </w:pPr>
      <w:r w:rsidRPr="00A55E10">
        <w:rPr>
          <w:lang w:eastAsia="bg-BG"/>
        </w:rPr>
        <w:t xml:space="preserve">Всяка таблетка съдържа 2.5 </w:t>
      </w:r>
      <w:r w:rsidRPr="00A55E10">
        <w:rPr>
          <w:lang w:val="en-US"/>
        </w:rPr>
        <w:t xml:space="preserve">mg </w:t>
      </w:r>
      <w:r w:rsidRPr="00A55E10">
        <w:rPr>
          <w:lang w:eastAsia="bg-BG"/>
        </w:rPr>
        <w:t xml:space="preserve">бизопрололов фумарат </w:t>
      </w:r>
      <w:r w:rsidRPr="00A55E10">
        <w:rPr>
          <w:lang w:val="en-US"/>
        </w:rPr>
        <w:t>(</w:t>
      </w:r>
      <w:proofErr w:type="spellStart"/>
      <w:r w:rsidRPr="00A55E10">
        <w:rPr>
          <w:lang w:val="en-US"/>
        </w:rPr>
        <w:t>bisoprolol</w:t>
      </w:r>
      <w:proofErr w:type="spellEnd"/>
      <w:r w:rsidRPr="00A55E10">
        <w:rPr>
          <w:lang w:val="en-US"/>
        </w:rPr>
        <w:t xml:space="preserve"> fumarate)</w:t>
      </w:r>
    </w:p>
    <w:p w14:paraId="52D68C32" w14:textId="77777777" w:rsidR="00A55E10" w:rsidRDefault="00A55E10" w:rsidP="00A55E10">
      <w:pPr>
        <w:rPr>
          <w:lang w:eastAsia="bg-BG"/>
        </w:rPr>
      </w:pPr>
    </w:p>
    <w:p w14:paraId="37052DFA" w14:textId="0DC17C9F" w:rsidR="00A55E10" w:rsidRPr="00A55E10" w:rsidRDefault="00A55E10" w:rsidP="00A55E10">
      <w:pPr>
        <w:rPr>
          <w:sz w:val="24"/>
          <w:szCs w:val="24"/>
        </w:rPr>
      </w:pPr>
      <w:r w:rsidRPr="00A55E10">
        <w:rPr>
          <w:lang w:eastAsia="bg-BG"/>
        </w:rPr>
        <w:t xml:space="preserve">Конкор КОР 5 </w:t>
      </w:r>
      <w:r w:rsidRPr="00A55E10">
        <w:rPr>
          <w:lang w:val="en-US"/>
        </w:rPr>
        <w:t>mg (</w:t>
      </w:r>
      <w:proofErr w:type="spellStart"/>
      <w:r w:rsidRPr="00A55E10">
        <w:rPr>
          <w:lang w:val="en-US"/>
        </w:rPr>
        <w:t>Concor</w:t>
      </w:r>
      <w:proofErr w:type="spellEnd"/>
      <w:r w:rsidRPr="00A55E10">
        <w:rPr>
          <w:lang w:val="en-US"/>
        </w:rPr>
        <w:t xml:space="preserve"> COR </w:t>
      </w:r>
      <w:r w:rsidRPr="00A55E10">
        <w:rPr>
          <w:lang w:eastAsia="bg-BG"/>
        </w:rPr>
        <w:t xml:space="preserve">5 </w:t>
      </w:r>
      <w:r w:rsidRPr="00A55E10">
        <w:rPr>
          <w:lang w:val="en-US"/>
        </w:rPr>
        <w:t>mg):</w:t>
      </w:r>
    </w:p>
    <w:p w14:paraId="5CC1B173" w14:textId="77777777" w:rsidR="00A55E10" w:rsidRPr="00A55E10" w:rsidRDefault="00A55E10" w:rsidP="00A55E10">
      <w:pPr>
        <w:rPr>
          <w:sz w:val="24"/>
          <w:szCs w:val="24"/>
        </w:rPr>
      </w:pPr>
      <w:r w:rsidRPr="00A55E10">
        <w:rPr>
          <w:lang w:eastAsia="bg-BG"/>
        </w:rPr>
        <w:t xml:space="preserve">Всяка таблетка съдържа 5 </w:t>
      </w:r>
      <w:r w:rsidRPr="00A55E10">
        <w:rPr>
          <w:lang w:val="en-US"/>
        </w:rPr>
        <w:t xml:space="preserve">mg </w:t>
      </w:r>
      <w:r w:rsidRPr="00A55E10">
        <w:rPr>
          <w:lang w:eastAsia="bg-BG"/>
        </w:rPr>
        <w:t xml:space="preserve">бизопрололов фумарат </w:t>
      </w:r>
      <w:r w:rsidRPr="00A55E10">
        <w:rPr>
          <w:lang w:val="en-US"/>
        </w:rPr>
        <w:t>(</w:t>
      </w:r>
      <w:proofErr w:type="spellStart"/>
      <w:r w:rsidRPr="00A55E10">
        <w:rPr>
          <w:lang w:val="en-US"/>
        </w:rPr>
        <w:t>bisoprolol</w:t>
      </w:r>
      <w:proofErr w:type="spellEnd"/>
      <w:r w:rsidRPr="00A55E10">
        <w:rPr>
          <w:lang w:val="en-US"/>
        </w:rPr>
        <w:t xml:space="preserve"> fumarate)</w:t>
      </w:r>
    </w:p>
    <w:p w14:paraId="54065A01" w14:textId="77777777" w:rsidR="00A55E10" w:rsidRPr="00A55E10" w:rsidRDefault="00A55E10" w:rsidP="00A55E10"/>
    <w:p w14:paraId="614984C4" w14:textId="0BCD28FE" w:rsidR="008A6AF2" w:rsidRDefault="00DD466D" w:rsidP="002C50EE">
      <w:pPr>
        <w:pStyle w:val="Heading1"/>
      </w:pPr>
      <w:r>
        <w:t>3. ЛЕКАРСТВЕНА ФОРМА</w:t>
      </w:r>
    </w:p>
    <w:p w14:paraId="58AA4F0B" w14:textId="18A750BC" w:rsidR="00A55E10" w:rsidRDefault="00A55E10" w:rsidP="00A55E10"/>
    <w:p w14:paraId="0EFE4F13" w14:textId="77777777" w:rsidR="00A55E10" w:rsidRPr="00A55E10" w:rsidRDefault="00A55E10" w:rsidP="00A55E10">
      <w:pPr>
        <w:rPr>
          <w:sz w:val="24"/>
          <w:szCs w:val="24"/>
        </w:rPr>
      </w:pPr>
      <w:r w:rsidRPr="00A55E10">
        <w:rPr>
          <w:lang w:eastAsia="bg-BG"/>
        </w:rPr>
        <w:t>Филмирани таблетки</w:t>
      </w:r>
    </w:p>
    <w:p w14:paraId="4D2C558E" w14:textId="77777777" w:rsidR="00A55E10" w:rsidRPr="00A55E10" w:rsidRDefault="00A55E10" w:rsidP="00A55E10">
      <w:pPr>
        <w:rPr>
          <w:sz w:val="24"/>
          <w:szCs w:val="24"/>
        </w:rPr>
      </w:pPr>
      <w:r w:rsidRPr="00A55E10">
        <w:rPr>
          <w:lang w:eastAsia="bg-BG"/>
        </w:rPr>
        <w:t xml:space="preserve">Конкор КОР 2.5 </w:t>
      </w:r>
      <w:r w:rsidRPr="00A55E10">
        <w:rPr>
          <w:lang w:val="en-US"/>
        </w:rPr>
        <w:t>mg (</w:t>
      </w:r>
      <w:proofErr w:type="spellStart"/>
      <w:r w:rsidRPr="00A55E10">
        <w:rPr>
          <w:lang w:val="en-US"/>
        </w:rPr>
        <w:t>Concor</w:t>
      </w:r>
      <w:proofErr w:type="spellEnd"/>
      <w:r w:rsidRPr="00A55E10">
        <w:rPr>
          <w:lang w:val="en-US"/>
        </w:rPr>
        <w:t xml:space="preserve"> COR </w:t>
      </w:r>
      <w:r w:rsidRPr="00A55E10">
        <w:rPr>
          <w:lang w:eastAsia="bg-BG"/>
        </w:rPr>
        <w:t xml:space="preserve">2,5 </w:t>
      </w:r>
      <w:r w:rsidRPr="00A55E10">
        <w:rPr>
          <w:lang w:val="en-US"/>
        </w:rPr>
        <w:t xml:space="preserve">mg): </w:t>
      </w:r>
      <w:r w:rsidRPr="00A55E10">
        <w:rPr>
          <w:lang w:eastAsia="bg-BG"/>
        </w:rPr>
        <w:t>бели филмирани таблетки, с форма на сърце и делителна черга</w:t>
      </w:r>
    </w:p>
    <w:p w14:paraId="38DB17A1" w14:textId="77777777" w:rsidR="00A55E10" w:rsidRPr="00A55E10" w:rsidRDefault="00A55E10" w:rsidP="00A55E10">
      <w:pPr>
        <w:rPr>
          <w:sz w:val="24"/>
          <w:szCs w:val="24"/>
        </w:rPr>
      </w:pPr>
      <w:r w:rsidRPr="00A55E10">
        <w:rPr>
          <w:lang w:eastAsia="bg-BG"/>
        </w:rPr>
        <w:t xml:space="preserve">Конкор КОР 5 </w:t>
      </w:r>
      <w:r w:rsidRPr="00A55E10">
        <w:rPr>
          <w:lang w:val="en-US"/>
        </w:rPr>
        <w:t>mg (</w:t>
      </w:r>
      <w:proofErr w:type="spellStart"/>
      <w:r w:rsidRPr="00A55E10">
        <w:rPr>
          <w:lang w:val="en-US"/>
        </w:rPr>
        <w:t>Concor</w:t>
      </w:r>
      <w:proofErr w:type="spellEnd"/>
      <w:r w:rsidRPr="00A55E10">
        <w:rPr>
          <w:lang w:val="en-US"/>
        </w:rPr>
        <w:t xml:space="preserve"> COR </w:t>
      </w:r>
      <w:r w:rsidRPr="00A55E10">
        <w:rPr>
          <w:lang w:eastAsia="bg-BG"/>
        </w:rPr>
        <w:t xml:space="preserve">5 </w:t>
      </w:r>
      <w:r w:rsidRPr="00A55E10">
        <w:rPr>
          <w:lang w:val="en-US"/>
        </w:rPr>
        <w:t xml:space="preserve">mg): </w:t>
      </w:r>
      <w:r w:rsidRPr="00A55E10">
        <w:rPr>
          <w:lang w:eastAsia="bg-BG"/>
        </w:rPr>
        <w:t>жълтеникаво бели филмирани таблетки, с форма на сърце и делителна черта</w:t>
      </w:r>
    </w:p>
    <w:p w14:paraId="65D0F9D0" w14:textId="77777777" w:rsidR="00A55E10" w:rsidRPr="00A55E10" w:rsidRDefault="00A55E10" w:rsidP="00A55E10"/>
    <w:p w14:paraId="490FC2C4" w14:textId="32682B15" w:rsidR="002C50EE" w:rsidRDefault="002C50EE" w:rsidP="002C50EE">
      <w:pPr>
        <w:pStyle w:val="Heading1"/>
      </w:pPr>
      <w:r>
        <w:t>4. КЛИНИЧНИ ДАННИ</w:t>
      </w:r>
    </w:p>
    <w:p w14:paraId="754A29C8" w14:textId="34304510" w:rsidR="00C0049F" w:rsidRDefault="002C50EE" w:rsidP="009F1313">
      <w:pPr>
        <w:pStyle w:val="Heading2"/>
      </w:pPr>
      <w:r>
        <w:t>4.1. Терапевтични показания</w:t>
      </w:r>
    </w:p>
    <w:p w14:paraId="1A864943" w14:textId="48265CAC" w:rsidR="00395555" w:rsidRDefault="00395555" w:rsidP="00395555"/>
    <w:p w14:paraId="761CD6C7" w14:textId="77777777" w:rsidR="00A55E10" w:rsidRPr="00A55E10" w:rsidRDefault="00A55E10" w:rsidP="00A55E10">
      <w:pPr>
        <w:rPr>
          <w:sz w:val="24"/>
          <w:szCs w:val="24"/>
        </w:rPr>
      </w:pPr>
      <w:r w:rsidRPr="00A55E10">
        <w:rPr>
          <w:lang w:eastAsia="bg-BG"/>
        </w:rPr>
        <w:t>За лечение на стабилна хронична сърдечна недостатъчност с намалена систолична вентрикуларна функция</w:t>
      </w:r>
    </w:p>
    <w:p w14:paraId="4B687B5D" w14:textId="77777777" w:rsidR="00A55E10" w:rsidRPr="00A55E10" w:rsidRDefault="00A55E10" w:rsidP="00A55E10">
      <w:pPr>
        <w:rPr>
          <w:sz w:val="24"/>
          <w:szCs w:val="24"/>
        </w:rPr>
      </w:pPr>
      <w:r w:rsidRPr="00A55E10">
        <w:rPr>
          <w:lang w:eastAsia="bg-BG"/>
        </w:rPr>
        <w:t>(за допълнителна информация виж т. 5.1).</w:t>
      </w:r>
    </w:p>
    <w:p w14:paraId="02BDFC85" w14:textId="77777777" w:rsidR="00A55E10" w:rsidRPr="00395555" w:rsidRDefault="00A55E10" w:rsidP="00395555"/>
    <w:p w14:paraId="7C0CA5EB" w14:textId="02518E5C" w:rsidR="00C0049F" w:rsidRDefault="002C50EE" w:rsidP="009F1313">
      <w:pPr>
        <w:pStyle w:val="Heading2"/>
      </w:pPr>
      <w:r>
        <w:t>4.2. Дозировка и начин на приложение</w:t>
      </w:r>
    </w:p>
    <w:p w14:paraId="0DCEFE4C" w14:textId="58FE56CB" w:rsidR="00A55E10" w:rsidRDefault="00A55E10" w:rsidP="00A55E10"/>
    <w:p w14:paraId="37C877DA" w14:textId="77777777" w:rsidR="00A55E10" w:rsidRPr="00A55E10" w:rsidRDefault="00A55E10" w:rsidP="00A55E10">
      <w:pPr>
        <w:rPr>
          <w:sz w:val="24"/>
          <w:szCs w:val="24"/>
        </w:rPr>
      </w:pPr>
      <w:r w:rsidRPr="00A55E10">
        <w:rPr>
          <w:lang w:eastAsia="bg-BG"/>
        </w:rPr>
        <w:t>Когато се започва лечение с бизопролол, пациентите трябва да са стабилизирани (без прояви на остра недостатъчност).</w:t>
      </w:r>
    </w:p>
    <w:p w14:paraId="78FDECC0" w14:textId="77777777" w:rsidR="00A55E10" w:rsidRDefault="00A55E10" w:rsidP="00A55E10">
      <w:pPr>
        <w:rPr>
          <w:lang w:eastAsia="bg-BG"/>
        </w:rPr>
      </w:pPr>
    </w:p>
    <w:p w14:paraId="20AAB9BE" w14:textId="570BC128" w:rsidR="00A55E10" w:rsidRPr="00A55E10" w:rsidRDefault="00A55E10" w:rsidP="00A55E10">
      <w:pPr>
        <w:rPr>
          <w:sz w:val="24"/>
          <w:szCs w:val="24"/>
        </w:rPr>
      </w:pPr>
      <w:r w:rsidRPr="00A55E10">
        <w:rPr>
          <w:lang w:eastAsia="bg-BG"/>
        </w:rPr>
        <w:t>Препоръчва се лекуващият лекар да има съответния опит в лечението на хронична сърдечна недостатъчност.</w:t>
      </w:r>
    </w:p>
    <w:p w14:paraId="36D9A7EB" w14:textId="77777777" w:rsidR="00A55E10" w:rsidRDefault="00A55E10" w:rsidP="00A55E10">
      <w:pPr>
        <w:rPr>
          <w:lang w:eastAsia="bg-BG"/>
        </w:rPr>
      </w:pPr>
    </w:p>
    <w:p w14:paraId="50A475CE" w14:textId="0E283082" w:rsidR="00A55E10" w:rsidRPr="00A55E10" w:rsidRDefault="00A55E10" w:rsidP="00A55E10">
      <w:pPr>
        <w:rPr>
          <w:sz w:val="24"/>
          <w:szCs w:val="24"/>
        </w:rPr>
      </w:pPr>
      <w:r w:rsidRPr="00A55E10">
        <w:rPr>
          <w:lang w:eastAsia="bg-BG"/>
        </w:rPr>
        <w:lastRenderedPageBreak/>
        <w:t>Титрационна фаза</w:t>
      </w:r>
    </w:p>
    <w:p w14:paraId="6A670B44" w14:textId="77777777" w:rsidR="00A55E10" w:rsidRDefault="00A55E10" w:rsidP="00A55E10">
      <w:pPr>
        <w:rPr>
          <w:lang w:eastAsia="bg-BG"/>
        </w:rPr>
      </w:pPr>
    </w:p>
    <w:p w14:paraId="50483A20" w14:textId="7BD6617E" w:rsidR="00A55E10" w:rsidRPr="00A55E10" w:rsidRDefault="00A55E10" w:rsidP="00A55E10">
      <w:pPr>
        <w:rPr>
          <w:sz w:val="24"/>
          <w:szCs w:val="24"/>
        </w:rPr>
      </w:pPr>
      <w:r w:rsidRPr="00A55E10">
        <w:rPr>
          <w:lang w:eastAsia="bg-BG"/>
        </w:rPr>
        <w:t>Лечението на стабилна хронична сърдечна недостатъчност с бизопролол изисква титрационна фаза.</w:t>
      </w:r>
    </w:p>
    <w:p w14:paraId="7DEAB2BD" w14:textId="77777777" w:rsidR="00A55E10" w:rsidRPr="00A55E10" w:rsidRDefault="00A55E10" w:rsidP="00A55E10">
      <w:pPr>
        <w:rPr>
          <w:sz w:val="24"/>
          <w:szCs w:val="24"/>
        </w:rPr>
      </w:pPr>
      <w:r w:rsidRPr="00A55E10">
        <w:rPr>
          <w:lang w:eastAsia="bg-BG"/>
        </w:rPr>
        <w:t xml:space="preserve">Препоръчителната начална доза е 1,25 </w:t>
      </w:r>
      <w:r w:rsidRPr="00A55E10">
        <w:rPr>
          <w:lang w:val="en-US"/>
        </w:rPr>
        <w:t xml:space="preserve">mg </w:t>
      </w:r>
      <w:r w:rsidRPr="00A55E10">
        <w:rPr>
          <w:lang w:eastAsia="bg-BG"/>
        </w:rPr>
        <w:t xml:space="preserve">веднъж дневно. В зависимост от индивидуалната поносимост, дозата се увеличава на 2,5 </w:t>
      </w:r>
      <w:r w:rsidRPr="00A55E10">
        <w:rPr>
          <w:lang w:val="en-US"/>
        </w:rPr>
        <w:t xml:space="preserve">mg, </w:t>
      </w:r>
      <w:r w:rsidRPr="00A55E10">
        <w:rPr>
          <w:lang w:eastAsia="bg-BG"/>
        </w:rPr>
        <w:t>3,75</w:t>
      </w:r>
      <w:r w:rsidRPr="00A55E10">
        <w:rPr>
          <w:lang w:val="en-US"/>
        </w:rPr>
        <w:t xml:space="preserve">mg, 5mg, 7,5mg </w:t>
      </w:r>
      <w:r w:rsidRPr="00A55E10">
        <w:rPr>
          <w:lang w:eastAsia="bg-BG"/>
        </w:rPr>
        <w:t>и 10</w:t>
      </w:r>
      <w:r w:rsidRPr="00A55E10">
        <w:rPr>
          <w:lang w:val="en-US"/>
        </w:rPr>
        <w:t>mg</w:t>
      </w:r>
    </w:p>
    <w:p w14:paraId="2FD80A0D" w14:textId="77777777" w:rsidR="00A55E10" w:rsidRPr="00A55E10" w:rsidRDefault="00A55E10" w:rsidP="00A55E10">
      <w:pPr>
        <w:rPr>
          <w:sz w:val="24"/>
          <w:szCs w:val="24"/>
        </w:rPr>
      </w:pPr>
      <w:r w:rsidRPr="00A55E10">
        <w:rPr>
          <w:lang w:eastAsia="bg-BG"/>
        </w:rPr>
        <w:t>веднъж дневно през интервал от две седмици или по-дълго. Ако увеличенеата доза не се понася добре, лечението може да се продължи с по-ниската доза.</w:t>
      </w:r>
    </w:p>
    <w:p w14:paraId="0E066546" w14:textId="77777777" w:rsidR="00A55E10" w:rsidRPr="00A55E10" w:rsidRDefault="00A55E10" w:rsidP="00A55E10">
      <w:pPr>
        <w:rPr>
          <w:sz w:val="24"/>
          <w:szCs w:val="24"/>
        </w:rPr>
      </w:pPr>
    </w:p>
    <w:p w14:paraId="30548888" w14:textId="40707E0E" w:rsidR="00A55E10" w:rsidRDefault="00A55E10" w:rsidP="00A55E10">
      <w:pPr>
        <w:rPr>
          <w:lang w:eastAsia="bg-BG"/>
        </w:rPr>
      </w:pPr>
      <w:r w:rsidRPr="00A55E10">
        <w:rPr>
          <w:lang w:eastAsia="bg-BG"/>
        </w:rPr>
        <w:t xml:space="preserve">Максималната препоръчителна доза е 10 </w:t>
      </w:r>
      <w:r w:rsidRPr="00A55E10">
        <w:rPr>
          <w:lang w:val="en-US"/>
        </w:rPr>
        <w:t xml:space="preserve">mg </w:t>
      </w:r>
      <w:r w:rsidRPr="00A55E10">
        <w:rPr>
          <w:lang w:eastAsia="bg-BG"/>
        </w:rPr>
        <w:t>веднъж дневно.</w:t>
      </w:r>
    </w:p>
    <w:p w14:paraId="36A0C61D" w14:textId="50DD1702" w:rsidR="00A55E10" w:rsidRDefault="00A55E10" w:rsidP="00A55E10">
      <w:pPr>
        <w:rPr>
          <w:lang w:eastAsia="bg-BG"/>
        </w:rPr>
      </w:pPr>
    </w:p>
    <w:p w14:paraId="2D2D9929" w14:textId="77777777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>По време на титрационната фаза се препоръчва проследяване на жизнените показатели (сърдечен ритъм, кръвно налягане), както и за поява на симптоми на влошаване на сърдечната недостатъчност.</w:t>
      </w:r>
    </w:p>
    <w:p w14:paraId="40FA19E8" w14:textId="77777777" w:rsidR="00A55E10" w:rsidRPr="00A55E10" w:rsidRDefault="00A55E10" w:rsidP="00A55E10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9597935" w14:textId="0A3C28E9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>Промяна на лечението</w:t>
      </w:r>
    </w:p>
    <w:p w14:paraId="088BD2C1" w14:textId="77777777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>Ако максимално препоръчаната доза не се понася добре, лечението може да продължи с постепенно намаляваща доза. В случай на преходно влошаване на сърдечната недостатъчност, на хипотония или брадикардия, се препоръчва преразглеждане дозирането на съпътстващото лечение. Може да е необходимо временно намаляване дозата на бизопролол или преустановяване на неговия прием.</w:t>
      </w:r>
    </w:p>
    <w:p w14:paraId="7720EA2F" w14:textId="77777777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>След стабилизиране на състоянието на пациента, може да се пристъпи към подновяване на лечението и/или повишаване дозата на бизопролол.</w:t>
      </w:r>
    </w:p>
    <w:p w14:paraId="44C5167E" w14:textId="77777777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>Ако е необходимо преустановяване на лечението, препоръчва се постепенно намаляване на дозата, тъй като внезапното спиране на терапията може да доведе до рязко влошаване на състоянието на пациента.</w:t>
      </w:r>
    </w:p>
    <w:p w14:paraId="55A085DC" w14:textId="77777777" w:rsidR="00A55E10" w:rsidRPr="00A55E10" w:rsidRDefault="00A55E10" w:rsidP="00A55E10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57FCBEB5" w14:textId="7359C326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>По принцип лечението с бизопролол е продължителна терапия.</w:t>
      </w:r>
    </w:p>
    <w:p w14:paraId="1A4F681C" w14:textId="77777777" w:rsidR="00A55E10" w:rsidRPr="00A55E10" w:rsidRDefault="00A55E10" w:rsidP="00A55E10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162D04EA" w14:textId="3A278CC0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>Приложение</w:t>
      </w:r>
    </w:p>
    <w:p w14:paraId="5D0C4107" w14:textId="77777777" w:rsidR="00A55E10" w:rsidRPr="00A55E10" w:rsidRDefault="00A55E10" w:rsidP="00A55E10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582252B5" w14:textId="0B086B62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>Бизопролол таблетки трябва да се вземат сутрин и може да се приемат с храна. Могат да се преглъщат с малко течност, но не трябва да се сдъвкват.</w:t>
      </w:r>
    </w:p>
    <w:p w14:paraId="37CBD175" w14:textId="77777777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>Специални популации</w:t>
      </w:r>
    </w:p>
    <w:p w14:paraId="0D40D3C2" w14:textId="77777777" w:rsidR="00A55E10" w:rsidRPr="00A55E10" w:rsidRDefault="00A55E10" w:rsidP="00A55E10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212F37F8" w14:textId="45920118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i/>
          <w:iCs/>
          <w:color w:val="000000"/>
          <w:lang w:eastAsia="bg-BG"/>
        </w:rPr>
        <w:t>Пациенти с бъбречни или чернодробни заболявания</w:t>
      </w:r>
    </w:p>
    <w:p w14:paraId="617AF83C" w14:textId="77777777" w:rsidR="00A55E10" w:rsidRPr="00A55E10" w:rsidRDefault="00A55E10" w:rsidP="00A55E10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2B82DCFE" w14:textId="676D26EB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>Няма информация за фармакокинетиката на бизопролол при пациенти с хронична сърдечна недостатъчност и нарушена бъбречна или чернодробна функция. Повишаването на дозата в тези случаи изисква допълнително внимание.</w:t>
      </w:r>
    </w:p>
    <w:p w14:paraId="4EDBF5AF" w14:textId="77777777" w:rsidR="00A55E10" w:rsidRPr="00A55E10" w:rsidRDefault="00A55E10" w:rsidP="00A55E10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5664C314" w14:textId="476A2A0C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i/>
          <w:iCs/>
          <w:color w:val="000000"/>
          <w:lang w:eastAsia="bg-BG"/>
        </w:rPr>
        <w:t>Пациенти в старческа възраст</w:t>
      </w:r>
    </w:p>
    <w:p w14:paraId="729CC90E" w14:textId="77777777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>Не се изисква адаптиране на дозата.</w:t>
      </w:r>
    </w:p>
    <w:p w14:paraId="63798181" w14:textId="77777777" w:rsidR="00A55E10" w:rsidRPr="00A55E10" w:rsidRDefault="00A55E10" w:rsidP="00A55E10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03DA026B" w14:textId="3159F785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i/>
          <w:iCs/>
          <w:color w:val="000000"/>
          <w:lang w:eastAsia="bg-BG"/>
        </w:rPr>
        <w:t>Деца</w:t>
      </w:r>
    </w:p>
    <w:p w14:paraId="5D9B7EBD" w14:textId="77777777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>Няма педиатричен опит с бизопролол, затова неговата употреба при деца не се препоръчва.</w:t>
      </w:r>
    </w:p>
    <w:p w14:paraId="4CC884B6" w14:textId="77777777" w:rsidR="00A55E10" w:rsidRPr="00A55E10" w:rsidRDefault="00A55E10" w:rsidP="00A55E10"/>
    <w:p w14:paraId="62B13D0B" w14:textId="1BBDC47C" w:rsidR="00395555" w:rsidRDefault="002C50EE" w:rsidP="008A6AF2">
      <w:pPr>
        <w:pStyle w:val="Heading2"/>
      </w:pPr>
      <w:r>
        <w:lastRenderedPageBreak/>
        <w:t>4.3. Противопоказания</w:t>
      </w:r>
    </w:p>
    <w:p w14:paraId="5A2794DF" w14:textId="3B872852" w:rsidR="00A55E10" w:rsidRDefault="00A55E10" w:rsidP="00A55E10"/>
    <w:p w14:paraId="2CE8528A" w14:textId="77777777" w:rsidR="00A55E10" w:rsidRPr="00A55E10" w:rsidRDefault="00A55E10" w:rsidP="00A55E10">
      <w:pPr>
        <w:rPr>
          <w:sz w:val="24"/>
          <w:szCs w:val="24"/>
        </w:rPr>
      </w:pPr>
      <w:r w:rsidRPr="00A55E10">
        <w:rPr>
          <w:lang w:eastAsia="bg-BG"/>
        </w:rPr>
        <w:t>Бизопролол е противопоказан при пациенти с хронична сърдечна недостатъчност в случай на:</w:t>
      </w:r>
    </w:p>
    <w:p w14:paraId="67B3375F" w14:textId="32B327C4" w:rsidR="00A55E10" w:rsidRPr="00A55E10" w:rsidRDefault="00A55E10" w:rsidP="00A55E10">
      <w:pPr>
        <w:pStyle w:val="ListParagraph"/>
        <w:numPr>
          <w:ilvl w:val="0"/>
          <w:numId w:val="32"/>
        </w:numPr>
        <w:rPr>
          <w:sz w:val="24"/>
          <w:szCs w:val="24"/>
        </w:rPr>
      </w:pPr>
      <w:r w:rsidRPr="00A55E10">
        <w:rPr>
          <w:lang w:eastAsia="bg-BG"/>
        </w:rPr>
        <w:t xml:space="preserve">остра сърдечна недостатъчност или по време на епизоди на декомпенсация на сърдечна недостатъчност, изскващи </w:t>
      </w:r>
      <w:proofErr w:type="spellStart"/>
      <w:r w:rsidRPr="00A55E10">
        <w:rPr>
          <w:lang w:val="en-US"/>
        </w:rPr>
        <w:t>i.v.</w:t>
      </w:r>
      <w:proofErr w:type="spellEnd"/>
      <w:r w:rsidRPr="00A55E10">
        <w:rPr>
          <w:lang w:val="en-US"/>
        </w:rPr>
        <w:t xml:space="preserve"> </w:t>
      </w:r>
      <w:r w:rsidRPr="00A55E10">
        <w:rPr>
          <w:lang w:eastAsia="bg-BG"/>
        </w:rPr>
        <w:t>инотропна терапия;</w:t>
      </w:r>
    </w:p>
    <w:p w14:paraId="61601D0A" w14:textId="77777777" w:rsidR="00A55E10" w:rsidRPr="00A55E10" w:rsidRDefault="00A55E10" w:rsidP="00A55E10">
      <w:pPr>
        <w:pStyle w:val="ListParagraph"/>
        <w:numPr>
          <w:ilvl w:val="0"/>
          <w:numId w:val="32"/>
        </w:numPr>
        <w:rPr>
          <w:sz w:val="24"/>
          <w:szCs w:val="24"/>
        </w:rPr>
      </w:pPr>
      <w:r w:rsidRPr="00A55E10">
        <w:rPr>
          <w:lang w:eastAsia="bg-BG"/>
        </w:rPr>
        <w:t>кардиогенен шок;</w:t>
      </w:r>
    </w:p>
    <w:p w14:paraId="3F46E731" w14:textId="77777777" w:rsidR="00A55E10" w:rsidRPr="00A55E10" w:rsidRDefault="00A55E10" w:rsidP="00A55E10">
      <w:pPr>
        <w:pStyle w:val="ListParagraph"/>
        <w:numPr>
          <w:ilvl w:val="0"/>
          <w:numId w:val="32"/>
        </w:numPr>
        <w:rPr>
          <w:sz w:val="24"/>
          <w:szCs w:val="24"/>
        </w:rPr>
      </w:pPr>
      <w:r w:rsidRPr="00A55E10">
        <w:rPr>
          <w:lang w:eastAsia="bg-BG"/>
        </w:rPr>
        <w:t xml:space="preserve">втора или трета степен </w:t>
      </w:r>
      <w:r w:rsidRPr="00A55E10">
        <w:rPr>
          <w:lang w:val="en-US"/>
        </w:rPr>
        <w:t xml:space="preserve">AV </w:t>
      </w:r>
      <w:r w:rsidRPr="00A55E10">
        <w:rPr>
          <w:lang w:eastAsia="bg-BG"/>
        </w:rPr>
        <w:t>блок (без пейсмейкър);</w:t>
      </w:r>
    </w:p>
    <w:p w14:paraId="1E20257C" w14:textId="77777777" w:rsidR="00A55E10" w:rsidRPr="00A55E10" w:rsidRDefault="00A55E10" w:rsidP="00A55E10">
      <w:pPr>
        <w:pStyle w:val="ListParagraph"/>
        <w:numPr>
          <w:ilvl w:val="0"/>
          <w:numId w:val="32"/>
        </w:numPr>
        <w:rPr>
          <w:sz w:val="24"/>
          <w:szCs w:val="24"/>
        </w:rPr>
      </w:pPr>
      <w:r w:rsidRPr="00A55E10">
        <w:rPr>
          <w:lang w:eastAsia="bg-BG"/>
        </w:rPr>
        <w:t>синдром на болния синусов възел;</w:t>
      </w:r>
    </w:p>
    <w:p w14:paraId="524AC1FD" w14:textId="77777777" w:rsidR="00A55E10" w:rsidRPr="00A55E10" w:rsidRDefault="00A55E10" w:rsidP="00A55E10">
      <w:pPr>
        <w:pStyle w:val="ListParagraph"/>
        <w:numPr>
          <w:ilvl w:val="0"/>
          <w:numId w:val="32"/>
        </w:numPr>
        <w:rPr>
          <w:sz w:val="24"/>
          <w:szCs w:val="24"/>
        </w:rPr>
      </w:pPr>
      <w:r w:rsidRPr="00A55E10">
        <w:rPr>
          <w:lang w:eastAsia="bg-BG"/>
        </w:rPr>
        <w:t>синоатриален блок;</w:t>
      </w:r>
    </w:p>
    <w:p w14:paraId="1900ECBE" w14:textId="77777777" w:rsidR="00A55E10" w:rsidRPr="00A55E10" w:rsidRDefault="00A55E10" w:rsidP="00A55E10">
      <w:pPr>
        <w:pStyle w:val="ListParagraph"/>
        <w:numPr>
          <w:ilvl w:val="0"/>
          <w:numId w:val="32"/>
        </w:numPr>
        <w:rPr>
          <w:sz w:val="24"/>
          <w:szCs w:val="24"/>
        </w:rPr>
      </w:pPr>
      <w:r w:rsidRPr="00A55E10">
        <w:rPr>
          <w:lang w:eastAsia="bg-BG"/>
        </w:rPr>
        <w:t>симптоматична брадикардия;</w:t>
      </w:r>
    </w:p>
    <w:p w14:paraId="5386E2BB" w14:textId="77777777" w:rsidR="00A55E10" w:rsidRPr="00A55E10" w:rsidRDefault="00A55E10" w:rsidP="00A55E10">
      <w:pPr>
        <w:pStyle w:val="ListParagraph"/>
        <w:numPr>
          <w:ilvl w:val="0"/>
          <w:numId w:val="32"/>
        </w:numPr>
        <w:rPr>
          <w:sz w:val="24"/>
          <w:szCs w:val="24"/>
        </w:rPr>
      </w:pPr>
      <w:r w:rsidRPr="00A55E10">
        <w:rPr>
          <w:lang w:eastAsia="bg-BG"/>
        </w:rPr>
        <w:t>симптоматична хипотензия;</w:t>
      </w:r>
    </w:p>
    <w:p w14:paraId="78B4F220" w14:textId="77777777" w:rsidR="00A55E10" w:rsidRPr="00A55E10" w:rsidRDefault="00A55E10" w:rsidP="00A55E10">
      <w:pPr>
        <w:pStyle w:val="ListParagraph"/>
        <w:numPr>
          <w:ilvl w:val="0"/>
          <w:numId w:val="32"/>
        </w:numPr>
        <w:rPr>
          <w:sz w:val="24"/>
          <w:szCs w:val="24"/>
        </w:rPr>
      </w:pPr>
      <w:r w:rsidRPr="00A55E10">
        <w:rPr>
          <w:lang w:eastAsia="bg-BG"/>
        </w:rPr>
        <w:t>тежка бронхиална астма;</w:t>
      </w:r>
    </w:p>
    <w:p w14:paraId="50B9BFCB" w14:textId="77777777" w:rsidR="00A55E10" w:rsidRPr="00A55E10" w:rsidRDefault="00A55E10" w:rsidP="00A55E10">
      <w:pPr>
        <w:pStyle w:val="ListParagraph"/>
        <w:numPr>
          <w:ilvl w:val="0"/>
          <w:numId w:val="32"/>
        </w:numPr>
        <w:rPr>
          <w:sz w:val="24"/>
          <w:szCs w:val="24"/>
        </w:rPr>
      </w:pPr>
      <w:r w:rsidRPr="00A55E10">
        <w:rPr>
          <w:lang w:eastAsia="bg-BG"/>
        </w:rPr>
        <w:t>остри форми на периферно артериално оклузивно заболяване или синдром на Рейно:</w:t>
      </w:r>
    </w:p>
    <w:p w14:paraId="00FFA67E" w14:textId="77777777" w:rsidR="00A55E10" w:rsidRPr="00A55E10" w:rsidRDefault="00A55E10" w:rsidP="00A55E10">
      <w:pPr>
        <w:pStyle w:val="ListParagraph"/>
        <w:numPr>
          <w:ilvl w:val="0"/>
          <w:numId w:val="32"/>
        </w:numPr>
        <w:rPr>
          <w:sz w:val="24"/>
          <w:szCs w:val="24"/>
        </w:rPr>
      </w:pPr>
      <w:r w:rsidRPr="00A55E10">
        <w:rPr>
          <w:lang w:eastAsia="bg-BG"/>
        </w:rPr>
        <w:t>нелекуван феохромоцитом (вж. т.4.4);</w:t>
      </w:r>
    </w:p>
    <w:p w14:paraId="6AA2D7C8" w14:textId="77777777" w:rsidR="00A55E10" w:rsidRPr="00A55E10" w:rsidRDefault="00A55E10" w:rsidP="00A55E10">
      <w:pPr>
        <w:pStyle w:val="ListParagraph"/>
        <w:numPr>
          <w:ilvl w:val="0"/>
          <w:numId w:val="32"/>
        </w:numPr>
        <w:rPr>
          <w:sz w:val="24"/>
          <w:szCs w:val="24"/>
        </w:rPr>
      </w:pPr>
      <w:r w:rsidRPr="00A55E10">
        <w:rPr>
          <w:lang w:eastAsia="bg-BG"/>
        </w:rPr>
        <w:t>метаболитна ацидоза;</w:t>
      </w:r>
    </w:p>
    <w:p w14:paraId="043D13B7" w14:textId="77777777" w:rsidR="00A55E10" w:rsidRPr="00A55E10" w:rsidRDefault="00A55E10" w:rsidP="00A55E10">
      <w:pPr>
        <w:pStyle w:val="ListParagraph"/>
        <w:numPr>
          <w:ilvl w:val="0"/>
          <w:numId w:val="32"/>
        </w:numPr>
        <w:rPr>
          <w:sz w:val="24"/>
          <w:szCs w:val="24"/>
        </w:rPr>
      </w:pPr>
      <w:r w:rsidRPr="00A55E10">
        <w:rPr>
          <w:lang w:eastAsia="bg-BG"/>
        </w:rPr>
        <w:t>свръхчуствителност към бизопролол или някое от помощните вещества</w:t>
      </w:r>
    </w:p>
    <w:p w14:paraId="4B22AE8D" w14:textId="77777777" w:rsidR="00A55E10" w:rsidRPr="00A55E10" w:rsidRDefault="00A55E10" w:rsidP="00A55E10"/>
    <w:p w14:paraId="5A4AC413" w14:textId="44658F7B" w:rsidR="00395555" w:rsidRDefault="002C50EE" w:rsidP="008A6AF2">
      <w:pPr>
        <w:pStyle w:val="Heading2"/>
      </w:pPr>
      <w:r>
        <w:t>4.4. Специални предупреждения и предпазни мерки при употреба</w:t>
      </w:r>
    </w:p>
    <w:p w14:paraId="073E4C16" w14:textId="7BF998C4" w:rsidR="00A55E10" w:rsidRDefault="00A55E10" w:rsidP="00A55E10"/>
    <w:p w14:paraId="4DBDFA12" w14:textId="77777777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>Лечението на стабилна хронична сърдечна недостатъчност трябва да започне със специална титрационна фаза.</w:t>
      </w:r>
    </w:p>
    <w:p w14:paraId="0C2F620E" w14:textId="77777777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>По специално при пациенти с исхемична болест на сърцето, преустановяването на терапията с бизопролол не трябва да става внезапно, освен ако не е изрично показано, защото това може да доведе до влошаване на състоянието на сърцето.</w:t>
      </w:r>
    </w:p>
    <w:p w14:paraId="21BAACBC" w14:textId="77777777" w:rsidR="00A55E10" w:rsidRPr="00A55E10" w:rsidRDefault="00A55E10" w:rsidP="00A55E10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10D15A94" w14:textId="717B495F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>Бизопролол трябва да се прилага с внимание при:</w:t>
      </w:r>
    </w:p>
    <w:p w14:paraId="4A8C88AD" w14:textId="35AD58FD" w:rsidR="00A55E10" w:rsidRPr="00A55E10" w:rsidRDefault="00A55E10" w:rsidP="00A55E10">
      <w:pPr>
        <w:pStyle w:val="ListParagraph"/>
        <w:numPr>
          <w:ilvl w:val="0"/>
          <w:numId w:val="32"/>
        </w:num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>захарен диабет, показващ големи вариации на нивата на кръвната захар; симптомите на хипогликемия може да се маскират;</w:t>
      </w:r>
    </w:p>
    <w:p w14:paraId="0C64356F" w14:textId="2BFB0C28" w:rsidR="00A55E10" w:rsidRPr="00A55E10" w:rsidRDefault="00A55E10" w:rsidP="00A55E10">
      <w:pPr>
        <w:pStyle w:val="ListParagraph"/>
        <w:numPr>
          <w:ilvl w:val="0"/>
          <w:numId w:val="32"/>
        </w:num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>стриктно постене;</w:t>
      </w:r>
    </w:p>
    <w:p w14:paraId="7B629BF7" w14:textId="77777777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>по време на десенсибилизираща терапия. Както при други бета блокери, бизопролол може да увеличи чувствителността към алергени и тежестта на анафилактичните реакции. Лечението с епинефрин не винаги може да доведе до очаквания терапевтичен ефект;</w:t>
      </w:r>
    </w:p>
    <w:p w14:paraId="11065F39" w14:textId="205D7A0A" w:rsidR="00A55E10" w:rsidRPr="00A55E10" w:rsidRDefault="00A55E10" w:rsidP="00A55E10">
      <w:pPr>
        <w:pStyle w:val="ListParagraph"/>
        <w:numPr>
          <w:ilvl w:val="0"/>
          <w:numId w:val="32"/>
        </w:num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 xml:space="preserve">първа степен </w:t>
      </w:r>
      <w:r w:rsidRPr="00A55E10">
        <w:rPr>
          <w:rFonts w:eastAsia="Times New Roman" w:cs="Arial"/>
          <w:color w:val="000000"/>
          <w:lang w:val="en-US"/>
        </w:rPr>
        <w:t xml:space="preserve">AV </w:t>
      </w:r>
      <w:r w:rsidRPr="00A55E10">
        <w:rPr>
          <w:rFonts w:eastAsia="Times New Roman" w:cs="Arial"/>
          <w:color w:val="000000"/>
          <w:lang w:eastAsia="bg-BG"/>
        </w:rPr>
        <w:t>блок;</w:t>
      </w:r>
    </w:p>
    <w:p w14:paraId="3C7FD75D" w14:textId="001FCE87" w:rsidR="00A55E10" w:rsidRPr="00A55E10" w:rsidRDefault="00A55E10" w:rsidP="00A55E10">
      <w:pPr>
        <w:pStyle w:val="ListParagraph"/>
        <w:numPr>
          <w:ilvl w:val="0"/>
          <w:numId w:val="32"/>
        </w:num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 xml:space="preserve">Ангина на </w:t>
      </w:r>
      <w:proofErr w:type="spellStart"/>
      <w:r w:rsidRPr="00A55E10">
        <w:rPr>
          <w:rFonts w:eastAsia="Times New Roman" w:cs="Arial"/>
          <w:color w:val="000000"/>
          <w:lang w:val="en-US"/>
        </w:rPr>
        <w:t>Prinzmetal</w:t>
      </w:r>
      <w:proofErr w:type="spellEnd"/>
      <w:r w:rsidRPr="00A55E10">
        <w:rPr>
          <w:rFonts w:eastAsia="Times New Roman" w:cs="Arial"/>
          <w:color w:val="000000"/>
          <w:lang w:val="en-US"/>
        </w:rPr>
        <w:t xml:space="preserve">: </w:t>
      </w:r>
      <w:r w:rsidRPr="00A55E10">
        <w:rPr>
          <w:rFonts w:eastAsia="Times New Roman" w:cs="Arial"/>
          <w:color w:val="000000"/>
          <w:lang w:eastAsia="bg-BG"/>
        </w:rPr>
        <w:t xml:space="preserve">Наблюдавани са случаи на коронарен вазоспазъм. Въпреки високата си бета1- селективност, при пациентите с ангина на </w:t>
      </w:r>
      <w:proofErr w:type="spellStart"/>
      <w:r w:rsidRPr="00A55E10">
        <w:rPr>
          <w:rFonts w:eastAsia="Times New Roman" w:cs="Arial"/>
          <w:color w:val="000000"/>
          <w:lang w:val="en-US"/>
        </w:rPr>
        <w:t>Prinzmetal</w:t>
      </w:r>
      <w:proofErr w:type="spellEnd"/>
      <w:r w:rsidRPr="00A55E10">
        <w:rPr>
          <w:rFonts w:eastAsia="Times New Roman" w:cs="Arial"/>
          <w:color w:val="000000"/>
          <w:lang w:val="en-US"/>
        </w:rPr>
        <w:t xml:space="preserve">, </w:t>
      </w:r>
      <w:r w:rsidRPr="00A55E10">
        <w:rPr>
          <w:rFonts w:eastAsia="Times New Roman" w:cs="Arial"/>
          <w:color w:val="000000"/>
          <w:lang w:eastAsia="bg-BG"/>
        </w:rPr>
        <w:t>приемащи бизопролол, не могат да бъдат изключени пристъпи на стенокардия..</w:t>
      </w:r>
    </w:p>
    <w:p w14:paraId="0F75D378" w14:textId="1A8E2B2B" w:rsidR="00A55E10" w:rsidRPr="00A55E10" w:rsidRDefault="00A55E10" w:rsidP="00A55E10">
      <w:pPr>
        <w:pStyle w:val="ListParagraph"/>
        <w:numPr>
          <w:ilvl w:val="0"/>
          <w:numId w:val="32"/>
        </w:num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>периферно артериално оклузивно заболяване (може да се случи засилване на оплакванията, особено в началото на терапията);</w:t>
      </w:r>
    </w:p>
    <w:p w14:paraId="363E5D6A" w14:textId="5862267E" w:rsidR="00A55E10" w:rsidRPr="00A55E10" w:rsidRDefault="00A55E10" w:rsidP="00A55E10">
      <w:pPr>
        <w:pStyle w:val="ListParagraph"/>
        <w:numPr>
          <w:ilvl w:val="0"/>
          <w:numId w:val="32"/>
        </w:num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>обща анестезия.</w:t>
      </w:r>
    </w:p>
    <w:p w14:paraId="1192758A" w14:textId="77777777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>При пациенти подложени на обща анестезия, бета-блокадата намалява случаите на аритмия и миокардна исхемия по време на индукция и интубиране, както и в постоперативния период. Засега се препоръчва поддържащата бета-блокада да бъде продължена периоперативно.</w:t>
      </w:r>
    </w:p>
    <w:p w14:paraId="3AB3F44B" w14:textId="77777777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 xml:space="preserve">Анестезиологът трябва да бъде добре запознат с бета-блокадата, поради възможни взаимодействия с други лекарствени средства, водещи до брадиаритмии, намаляване на рефлекторната тахикардия и понижената рефлекторна способност за компенсация на </w:t>
      </w:r>
      <w:r w:rsidRPr="00A55E10">
        <w:rPr>
          <w:rFonts w:eastAsia="Times New Roman" w:cs="Arial"/>
          <w:color w:val="000000"/>
          <w:lang w:eastAsia="bg-BG"/>
        </w:rPr>
        <w:lastRenderedPageBreak/>
        <w:t>кръвозагубата. Ако е необходимо преустановяване на бета-блокиращата терапия преди хирургичната интервенция, това трябва да стане постепенно и да приключи 48 часа преди анестезията.</w:t>
      </w:r>
    </w:p>
    <w:p w14:paraId="24AFADD3" w14:textId="77777777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>Въпреки че кардиоселективните (бета 1) бета-блокери могат да имат по-слаб ефект върху белодробната функция отколкото неселективните бета-блокери, както всички бета-блокери използването им също трябва да се избягва при пациенти с обструктивни заболявания на дихателните пътища, освен ако не съществуват убедителни клинични причини за употребата им. Ако такива причини съществуват, Конкор КОР може да се използва с повишено внимание.</w:t>
      </w:r>
    </w:p>
    <w:p w14:paraId="035F137D" w14:textId="77777777" w:rsidR="00A55E10" w:rsidRPr="00A55E10" w:rsidRDefault="00A55E10" w:rsidP="00A55E10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02AC438F" w14:textId="03F905C5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 xml:space="preserve">При бронхиална астма или други хронични обструктивни белодробни заболявания, които могат да предизвикат симптоми, се препоръчва едновременно приложение на бронходилатираща терапия. Понякога, при пациенти с астма, може да се появи повишение на резистентността на дихателните пътища, което може да наложи увеличаване дозата на </w:t>
      </w:r>
      <w:r w:rsidRPr="00A55E10">
        <w:rPr>
          <w:rFonts w:eastAsia="Times New Roman" w:cs="Arial"/>
          <w:color w:val="000000"/>
          <w:lang w:val="en-US"/>
        </w:rPr>
        <w:t>β</w:t>
      </w:r>
      <w:r w:rsidRPr="00A55E10">
        <w:rPr>
          <w:rFonts w:eastAsia="Times New Roman" w:cs="Arial"/>
          <w:color w:val="000000"/>
          <w:lang w:eastAsia="bg-BG"/>
        </w:rPr>
        <w:t>2- стимулаторите.</w:t>
      </w:r>
    </w:p>
    <w:p w14:paraId="05BECE32" w14:textId="77777777" w:rsidR="00A55E10" w:rsidRPr="00A55E10" w:rsidRDefault="00A55E10" w:rsidP="00A55E10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25A87880" w14:textId="371D9A8C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>Няма терапевтичен опит за лечение на сърдечна недостатъчност с бизопролол при пациенти със следните заболявания и състояния:</w:t>
      </w:r>
    </w:p>
    <w:p w14:paraId="4B239F24" w14:textId="77777777" w:rsidR="00A55E10" w:rsidRPr="00A55E10" w:rsidRDefault="00A55E10" w:rsidP="00A55E10">
      <w:pPr>
        <w:pStyle w:val="ListParagraph"/>
        <w:numPr>
          <w:ilvl w:val="0"/>
          <w:numId w:val="33"/>
        </w:num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>инсулинозависим захарен диабет (тип I);</w:t>
      </w:r>
    </w:p>
    <w:p w14:paraId="309D145A" w14:textId="77777777" w:rsidR="00A55E10" w:rsidRPr="00A55E10" w:rsidRDefault="00A55E10" w:rsidP="00A55E10">
      <w:pPr>
        <w:pStyle w:val="ListParagraph"/>
        <w:numPr>
          <w:ilvl w:val="0"/>
          <w:numId w:val="33"/>
        </w:num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>с тежки нарушения на бъбречната функция;</w:t>
      </w:r>
    </w:p>
    <w:p w14:paraId="1522863B" w14:textId="77777777" w:rsidR="00A55E10" w:rsidRPr="00A55E10" w:rsidRDefault="00A55E10" w:rsidP="00A55E10">
      <w:pPr>
        <w:pStyle w:val="ListParagraph"/>
        <w:numPr>
          <w:ilvl w:val="0"/>
          <w:numId w:val="33"/>
        </w:num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>с тежки нарушения на чернодробната функция;</w:t>
      </w:r>
    </w:p>
    <w:p w14:paraId="68844E7D" w14:textId="77777777" w:rsidR="00A55E10" w:rsidRPr="00A55E10" w:rsidRDefault="00A55E10" w:rsidP="00A55E10">
      <w:pPr>
        <w:pStyle w:val="ListParagraph"/>
        <w:numPr>
          <w:ilvl w:val="0"/>
          <w:numId w:val="33"/>
        </w:num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>рестриктивна кардиомиопатия;</w:t>
      </w:r>
    </w:p>
    <w:p w14:paraId="36C3EF12" w14:textId="77777777" w:rsidR="00A55E10" w:rsidRPr="00A55E10" w:rsidRDefault="00A55E10" w:rsidP="00A55E10">
      <w:pPr>
        <w:pStyle w:val="ListParagraph"/>
        <w:numPr>
          <w:ilvl w:val="0"/>
          <w:numId w:val="33"/>
        </w:num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>вродено сърдечно заболяване;</w:t>
      </w:r>
    </w:p>
    <w:p w14:paraId="15B76154" w14:textId="77777777" w:rsidR="00A55E10" w:rsidRPr="00A55E10" w:rsidRDefault="00A55E10" w:rsidP="00A55E10">
      <w:pPr>
        <w:pStyle w:val="ListParagraph"/>
        <w:numPr>
          <w:ilvl w:val="0"/>
          <w:numId w:val="33"/>
        </w:num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>хемодинамично значимо органично заболяване на сърдечните клапи: инфаркт на миокарда през последните 3 месеца.</w:t>
      </w:r>
    </w:p>
    <w:p w14:paraId="3166A0EC" w14:textId="7EACAF63" w:rsidR="00A55E10" w:rsidRDefault="00A55E10" w:rsidP="00A55E10"/>
    <w:p w14:paraId="6862E6AB" w14:textId="77777777" w:rsidR="00A55E10" w:rsidRPr="00A55E10" w:rsidRDefault="00A55E10" w:rsidP="00A55E10">
      <w:pPr>
        <w:rPr>
          <w:sz w:val="24"/>
          <w:szCs w:val="24"/>
        </w:rPr>
      </w:pPr>
      <w:r w:rsidRPr="00A55E10">
        <w:rPr>
          <w:lang w:eastAsia="bg-BG"/>
        </w:rPr>
        <w:t>Комбинацията на бизопролол с калциеви антагонисти от групата на верапамил или дилтиазем, с антиаритмиични лекарствени средства клас I и с антихипертензивни препарати с централно действие, по принцип не се препоръчва, за подробности виж т. 4.5.</w:t>
      </w:r>
    </w:p>
    <w:p w14:paraId="380693F0" w14:textId="77777777" w:rsidR="00A55E10" w:rsidRDefault="00A55E10" w:rsidP="00A55E10">
      <w:pPr>
        <w:rPr>
          <w:lang w:eastAsia="bg-BG"/>
        </w:rPr>
      </w:pPr>
    </w:p>
    <w:p w14:paraId="35380C15" w14:textId="6A221182" w:rsidR="00A55E10" w:rsidRPr="00A55E10" w:rsidRDefault="00A55E10" w:rsidP="00A55E10">
      <w:pPr>
        <w:rPr>
          <w:sz w:val="24"/>
          <w:szCs w:val="24"/>
        </w:rPr>
      </w:pPr>
      <w:r w:rsidRPr="00A55E10">
        <w:rPr>
          <w:lang w:eastAsia="bg-BG"/>
        </w:rPr>
        <w:t xml:space="preserve">Пациенти с псориазис или анамнеза за псориазис трябва да приемат </w:t>
      </w:r>
      <w:r w:rsidRPr="00A55E10">
        <w:rPr>
          <w:lang w:val="en-US"/>
        </w:rPr>
        <w:t>p</w:t>
      </w:r>
      <w:r w:rsidRPr="00A55E10">
        <w:rPr>
          <w:lang w:eastAsia="bg-BG"/>
        </w:rPr>
        <w:t>-блокери (напр. бизопролол), само след внимателна преценка на ползата и риска.</w:t>
      </w:r>
    </w:p>
    <w:p w14:paraId="1A16720D" w14:textId="77777777" w:rsidR="00A55E10" w:rsidRDefault="00A55E10" w:rsidP="00A55E10">
      <w:pPr>
        <w:rPr>
          <w:lang w:eastAsia="bg-BG"/>
        </w:rPr>
      </w:pPr>
    </w:p>
    <w:p w14:paraId="423452ED" w14:textId="3262F9D0" w:rsidR="00A55E10" w:rsidRPr="00A55E10" w:rsidRDefault="00A55E10" w:rsidP="00A55E10">
      <w:pPr>
        <w:rPr>
          <w:sz w:val="24"/>
          <w:szCs w:val="24"/>
        </w:rPr>
      </w:pPr>
      <w:r w:rsidRPr="00A55E10">
        <w:rPr>
          <w:lang w:eastAsia="bg-BG"/>
        </w:rPr>
        <w:t>При пациенти с феохромоцитом бизопролол се прилага само след алфа-рецепторна блокада.</w:t>
      </w:r>
    </w:p>
    <w:p w14:paraId="2BF6B3F8" w14:textId="77777777" w:rsidR="00A55E10" w:rsidRDefault="00A55E10" w:rsidP="00A55E10">
      <w:pPr>
        <w:rPr>
          <w:lang w:eastAsia="bg-BG"/>
        </w:rPr>
      </w:pPr>
    </w:p>
    <w:p w14:paraId="6C5E2B02" w14:textId="11094708" w:rsidR="00A55E10" w:rsidRPr="00A55E10" w:rsidRDefault="00A55E10" w:rsidP="00A55E10">
      <w:pPr>
        <w:rPr>
          <w:sz w:val="24"/>
          <w:szCs w:val="24"/>
        </w:rPr>
      </w:pPr>
      <w:r w:rsidRPr="00A55E10">
        <w:rPr>
          <w:lang w:eastAsia="bg-BG"/>
        </w:rPr>
        <w:t>По време на лечение с бизопролол може да се маскират симптомите на тиреотоксикоза.</w:t>
      </w:r>
    </w:p>
    <w:p w14:paraId="12097CE6" w14:textId="77777777" w:rsidR="00A55E10" w:rsidRDefault="00A55E10" w:rsidP="00A55E10">
      <w:pPr>
        <w:rPr>
          <w:lang w:eastAsia="bg-BG"/>
        </w:rPr>
      </w:pPr>
    </w:p>
    <w:p w14:paraId="0167DCAB" w14:textId="0889302A" w:rsidR="00A55E10" w:rsidRDefault="00A55E10" w:rsidP="00A55E10">
      <w:pPr>
        <w:rPr>
          <w:lang w:eastAsia="bg-BG"/>
        </w:rPr>
      </w:pPr>
      <w:r w:rsidRPr="00A55E10">
        <w:rPr>
          <w:lang w:eastAsia="bg-BG"/>
        </w:rPr>
        <w:t xml:space="preserve">При стартиране и преустановяване на терапия с бизопролол е необходимо редовно наблюдение. За </w:t>
      </w:r>
    </w:p>
    <w:p w14:paraId="73A4CE8E" w14:textId="74EE9F72" w:rsidR="00A55E10" w:rsidRPr="00A55E10" w:rsidRDefault="00A55E10" w:rsidP="00A55E10">
      <w:pPr>
        <w:rPr>
          <w:sz w:val="24"/>
          <w:szCs w:val="24"/>
        </w:rPr>
      </w:pPr>
      <w:r w:rsidRPr="00A55E10">
        <w:rPr>
          <w:lang w:eastAsia="bg-BG"/>
        </w:rPr>
        <w:t>дозировка и начин на приложение виж т. 4.2.</w:t>
      </w:r>
    </w:p>
    <w:p w14:paraId="6F504186" w14:textId="77777777" w:rsidR="00A55E10" w:rsidRDefault="00A55E10" w:rsidP="00A55E10">
      <w:pPr>
        <w:rPr>
          <w:lang w:eastAsia="bg-BG"/>
        </w:rPr>
      </w:pPr>
    </w:p>
    <w:p w14:paraId="14950DE8" w14:textId="35433B8C" w:rsidR="00A55E10" w:rsidRPr="00A55E10" w:rsidRDefault="00A55E10" w:rsidP="00A55E10">
      <w:pPr>
        <w:rPr>
          <w:sz w:val="24"/>
          <w:szCs w:val="24"/>
        </w:rPr>
      </w:pPr>
      <w:r w:rsidRPr="00A55E10">
        <w:rPr>
          <w:lang w:eastAsia="bg-BG"/>
        </w:rPr>
        <w:t>Прекратяването на терапията с бизопролол не трябва да се прави внезапно, освен ако не е ясно показано. За допълнителна информация, вижте т.4.2.</w:t>
      </w:r>
    </w:p>
    <w:p w14:paraId="41D1718F" w14:textId="77777777" w:rsidR="00A55E10" w:rsidRPr="00A55E10" w:rsidRDefault="00A55E10" w:rsidP="00A55E10"/>
    <w:p w14:paraId="1244F76A" w14:textId="6F6628F7" w:rsidR="00395555" w:rsidRDefault="002C50EE" w:rsidP="008A6AF2">
      <w:pPr>
        <w:pStyle w:val="Heading2"/>
      </w:pPr>
      <w:r>
        <w:t>4.5. Взаимодействие с други лекарствени продукти и други форми на взаимодействие</w:t>
      </w:r>
    </w:p>
    <w:p w14:paraId="3D3E7036" w14:textId="1F63916D" w:rsidR="00A55E10" w:rsidRDefault="00A55E10" w:rsidP="00A55E10"/>
    <w:p w14:paraId="2A270862" w14:textId="77777777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i/>
          <w:iCs/>
          <w:color w:val="000000"/>
          <w:lang w:eastAsia="bg-BG"/>
        </w:rPr>
        <w:lastRenderedPageBreak/>
        <w:t>Непрепоръ чителни комбинации</w:t>
      </w:r>
    </w:p>
    <w:p w14:paraId="367965C1" w14:textId="77777777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 xml:space="preserve">Калциеви антагонисти като верапамил и в по-малка степен дилтиазем: негативно влияние на контрактилността и атрио-вентрикуларната проводимост. Интравенозното приложение на верапамил при пациенти с лечение с </w:t>
      </w:r>
      <w:r w:rsidRPr="00A55E10">
        <w:rPr>
          <w:rFonts w:eastAsia="Times New Roman" w:cs="Arial"/>
          <w:color w:val="000000"/>
          <w:lang w:val="en-US"/>
        </w:rPr>
        <w:t>β</w:t>
      </w:r>
      <w:r w:rsidRPr="00A55E10">
        <w:rPr>
          <w:rFonts w:eastAsia="Times New Roman" w:cs="Arial"/>
          <w:color w:val="000000"/>
          <w:lang w:eastAsia="bg-BG"/>
        </w:rPr>
        <w:t>-блокери, може да доведе до тежка хипотензия и атриовентрикуларен блок.</w:t>
      </w:r>
    </w:p>
    <w:p w14:paraId="6A4161E5" w14:textId="77777777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>Клас I антиаритмици (напр. хинидин, дизопирамид, лидокаин, фенитоин, флекаинид, пропафенон): възможно е засилване на ефекта върху времето на атрио-вентрикуларната проводимост и увеличаване на негативния инотропен ефект.</w:t>
      </w:r>
    </w:p>
    <w:p w14:paraId="695584A7" w14:textId="77777777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 xml:space="preserve">Централно действащи антихипертензивни лекарствени средства като клонидин и др. (напр. метилдопа, моксонодин, рилменидин): едновременната употреба на централно действащи антихипертензивни лекарствени средства могат да влошат сърдечната недостатъчност чрез намаляване на централния симпатиков тонус (намаляване на сърдечната честота и дебит, вазодилатация). Внезапно спиране, особено ако е преди преустановяване на бета-блокера, може да увеличи риска от хипертония с </w:t>
      </w:r>
      <w:r w:rsidRPr="00A55E10">
        <w:rPr>
          <w:rFonts w:eastAsia="Times New Roman" w:cs="Arial"/>
          <w:color w:val="000000"/>
          <w:lang w:val="en-US"/>
        </w:rPr>
        <w:t xml:space="preserve">rebound </w:t>
      </w:r>
      <w:r w:rsidRPr="00A55E10">
        <w:rPr>
          <w:rFonts w:eastAsia="Times New Roman" w:cs="Arial"/>
          <w:color w:val="000000"/>
          <w:lang w:eastAsia="bg-BG"/>
        </w:rPr>
        <w:t>ефект.</w:t>
      </w:r>
    </w:p>
    <w:p w14:paraId="7A56323E" w14:textId="77777777" w:rsidR="00A55E10" w:rsidRPr="00A55E10" w:rsidRDefault="00A55E10" w:rsidP="00A55E10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10CEDB2E" w14:textId="1AEFBDEF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i/>
          <w:iCs/>
          <w:color w:val="000000"/>
          <w:lang w:eastAsia="bg-BG"/>
        </w:rPr>
        <w:t>Комбинации, които трябва да се използват с внимание</w:t>
      </w:r>
    </w:p>
    <w:p w14:paraId="6ABB2563" w14:textId="77777777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>Калциеви антагонисти, от дихидропиридинов тип, като фелодипин и амлодипин: Едновременната употреба може да повиши риска от хипотензия, възможно е и увеличаване на риска от допълнително влошаване систолната функция на сърцето при пациенти със сърдечна недостатъчност.</w:t>
      </w:r>
    </w:p>
    <w:p w14:paraId="28963137" w14:textId="77777777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>Клас III антиаритмични лекарствени продукти (напр. амиодарон): може да се засили ефекта върху времето на атрио-вентрикуларната проводимост.</w:t>
      </w:r>
    </w:p>
    <w:p w14:paraId="24EAD430" w14:textId="77777777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 xml:space="preserve">Локални </w:t>
      </w:r>
      <w:r w:rsidRPr="00A55E10">
        <w:rPr>
          <w:rFonts w:eastAsia="Times New Roman" w:cs="Arial"/>
          <w:color w:val="000000"/>
          <w:lang w:val="en-US"/>
        </w:rPr>
        <w:t>p</w:t>
      </w:r>
      <w:r w:rsidRPr="00A55E10">
        <w:rPr>
          <w:rFonts w:eastAsia="Times New Roman" w:cs="Arial"/>
          <w:color w:val="000000"/>
          <w:lang w:eastAsia="bg-BG"/>
        </w:rPr>
        <w:t>-блокери (напр. капки за очи за лечение на глаукома), могат да засилят системния ефект на бизопролол.</w:t>
      </w:r>
    </w:p>
    <w:p w14:paraId="5FDAFAAB" w14:textId="77777777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>Парасимпатикомиметици: Едновременната употреба може да увеличи времето на атрио- вентрикуларната проводимост, както и риска от брадикардия.</w:t>
      </w:r>
    </w:p>
    <w:p w14:paraId="6ECF6C07" w14:textId="77777777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 xml:space="preserve">Инсулин и орални антидиабетни лекарствени средства: Засилване ефекта на намаляване на кръвната захар. Блокадата на </w:t>
      </w:r>
      <w:r w:rsidRPr="00A55E10">
        <w:rPr>
          <w:rFonts w:eastAsia="Times New Roman" w:cs="Arial"/>
          <w:color w:val="000000"/>
          <w:lang w:val="en-US"/>
        </w:rPr>
        <w:t>β</w:t>
      </w:r>
      <w:r w:rsidRPr="00A55E10">
        <w:rPr>
          <w:rFonts w:eastAsia="Times New Roman" w:cs="Arial"/>
          <w:color w:val="000000"/>
          <w:lang w:eastAsia="bg-BG"/>
        </w:rPr>
        <w:t>-адренорецепторите може да маскира симптомите на хипогликемия.</w:t>
      </w:r>
    </w:p>
    <w:p w14:paraId="267036B1" w14:textId="77777777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 xml:space="preserve">Анестетици: Намаляване на рефлекторната тахикардия и повишаване на риска </w:t>
      </w:r>
      <w:r w:rsidRPr="00A55E10">
        <w:rPr>
          <w:rFonts w:eastAsia="Times New Roman" w:cs="Arial"/>
          <w:color w:val="000000"/>
          <w:u w:val="single"/>
          <w:lang w:eastAsia="bg-BG"/>
        </w:rPr>
        <w:t>от</w:t>
      </w:r>
      <w:r w:rsidRPr="00A55E10">
        <w:rPr>
          <w:rFonts w:eastAsia="Times New Roman" w:cs="Arial"/>
          <w:color w:val="000000"/>
          <w:lang w:eastAsia="bg-BG"/>
        </w:rPr>
        <w:t xml:space="preserve"> хипотензия (за допълнителна информация относно обща анестезия виж и т.4.4).</w:t>
      </w:r>
    </w:p>
    <w:p w14:paraId="49CEB2DA" w14:textId="57D26C1C" w:rsidR="00A55E10" w:rsidRPr="00A55E10" w:rsidRDefault="00A55E10" w:rsidP="00A55E10">
      <w:pPr>
        <w:rPr>
          <w:rFonts w:eastAsia="Times New Roman" w:cs="Arial"/>
          <w:color w:val="000000"/>
          <w:lang w:eastAsia="bg-BG"/>
        </w:rPr>
      </w:pPr>
      <w:r w:rsidRPr="00A55E10">
        <w:rPr>
          <w:rFonts w:eastAsia="Times New Roman" w:cs="Arial"/>
          <w:color w:val="000000"/>
          <w:lang w:eastAsia="bg-BG"/>
        </w:rPr>
        <w:t>Дигиталисови гликозиди: Намаляване на сърдечната честота, увеличение на времето на атрио- вентрикуларната проводимост.</w:t>
      </w:r>
    </w:p>
    <w:p w14:paraId="3E8A441D" w14:textId="5963F37C" w:rsidR="00A55E10" w:rsidRPr="00A55E10" w:rsidRDefault="00A55E10" w:rsidP="00A55E10">
      <w:pPr>
        <w:rPr>
          <w:rFonts w:eastAsia="Times New Roman" w:cs="Arial"/>
          <w:color w:val="000000"/>
          <w:lang w:eastAsia="bg-BG"/>
        </w:rPr>
      </w:pPr>
    </w:p>
    <w:p w14:paraId="63D04A99" w14:textId="77777777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 xml:space="preserve">Нестероидни противовъзпалителни лекарствени средства </w:t>
      </w:r>
      <w:r w:rsidRPr="00A55E10">
        <w:rPr>
          <w:rFonts w:eastAsia="Times New Roman" w:cs="Arial"/>
          <w:color w:val="000000"/>
          <w:lang w:val="en-US"/>
        </w:rPr>
        <w:t xml:space="preserve">(NSAIDs): </w:t>
      </w:r>
      <w:r w:rsidRPr="00A55E10">
        <w:rPr>
          <w:rFonts w:eastAsia="Times New Roman" w:cs="Arial"/>
          <w:color w:val="000000"/>
          <w:lang w:eastAsia="bg-BG"/>
        </w:rPr>
        <w:t>могат да намалят хипотензивния ефект на бизопролол.</w:t>
      </w:r>
    </w:p>
    <w:p w14:paraId="48CABC01" w14:textId="77777777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proofErr w:type="gramStart"/>
      <w:r w:rsidRPr="00A55E10">
        <w:rPr>
          <w:rFonts w:eastAsia="Times New Roman" w:cs="Arial"/>
          <w:color w:val="000000"/>
          <w:lang w:val="en-US"/>
        </w:rPr>
        <w:t>β</w:t>
      </w:r>
      <w:r w:rsidRPr="00A55E10">
        <w:rPr>
          <w:rFonts w:eastAsia="Times New Roman" w:cs="Arial"/>
          <w:color w:val="000000"/>
          <w:lang w:eastAsia="bg-BG"/>
        </w:rPr>
        <w:t>-симпатомиметици</w:t>
      </w:r>
      <w:proofErr w:type="gramEnd"/>
      <w:r w:rsidRPr="00A55E10">
        <w:rPr>
          <w:rFonts w:eastAsia="Times New Roman" w:cs="Arial"/>
          <w:color w:val="000000"/>
          <w:lang w:eastAsia="bg-BG"/>
        </w:rPr>
        <w:t xml:space="preserve"> (напр. изопреналин, добутамин): Комбинирането им с бизопролол може да намали ефекта и на двете лекарствени средства.</w:t>
      </w:r>
    </w:p>
    <w:p w14:paraId="249B45D6" w14:textId="77777777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 xml:space="preserve">Симпатомиметиците, които активират както </w:t>
      </w:r>
      <w:r w:rsidRPr="00A55E10">
        <w:rPr>
          <w:rFonts w:eastAsia="Times New Roman" w:cs="Arial"/>
          <w:color w:val="000000"/>
          <w:lang w:val="en-US"/>
        </w:rPr>
        <w:t>β</w:t>
      </w:r>
      <w:r w:rsidRPr="00A55E10">
        <w:rPr>
          <w:rFonts w:eastAsia="Times New Roman" w:cs="Arial"/>
          <w:color w:val="000000"/>
          <w:lang w:eastAsia="bg-BG"/>
        </w:rPr>
        <w:t xml:space="preserve">- така и а-адренорецепторите (напр. норадреналин, адреналин): Комбинирането им с бизопролол може да демаскира повлияното от а-адренорецепторите вазоконстрикторно действие на тези агенти, водещо до увеличение на кръвното налягане и изостряне на клаудикацио интермитенс </w:t>
      </w:r>
      <w:r w:rsidRPr="00A55E10">
        <w:rPr>
          <w:rFonts w:eastAsia="Times New Roman" w:cs="Arial"/>
          <w:color w:val="000000"/>
          <w:lang w:val="en-US"/>
        </w:rPr>
        <w:t>(</w:t>
      </w:r>
      <w:proofErr w:type="spellStart"/>
      <w:r w:rsidRPr="00A55E10">
        <w:rPr>
          <w:rFonts w:eastAsia="Times New Roman" w:cs="Arial"/>
          <w:color w:val="000000"/>
          <w:lang w:val="en-US"/>
        </w:rPr>
        <w:t>claudicatio</w:t>
      </w:r>
      <w:proofErr w:type="spellEnd"/>
      <w:r w:rsidRPr="00A55E10">
        <w:rPr>
          <w:rFonts w:eastAsia="Times New Roman" w:cs="Arial"/>
          <w:color w:val="000000"/>
          <w:lang w:val="en-US"/>
        </w:rPr>
        <w:t xml:space="preserve"> </w:t>
      </w:r>
      <w:proofErr w:type="spellStart"/>
      <w:r w:rsidRPr="00A55E10">
        <w:rPr>
          <w:rFonts w:eastAsia="Times New Roman" w:cs="Arial"/>
          <w:color w:val="000000"/>
          <w:lang w:val="en-US"/>
        </w:rPr>
        <w:t>intermittens</w:t>
      </w:r>
      <w:proofErr w:type="spellEnd"/>
      <w:r w:rsidRPr="00A55E10">
        <w:rPr>
          <w:rFonts w:eastAsia="Times New Roman" w:cs="Arial"/>
          <w:color w:val="000000"/>
          <w:lang w:val="en-US"/>
        </w:rPr>
        <w:t xml:space="preserve">). </w:t>
      </w:r>
      <w:r w:rsidRPr="00A55E10">
        <w:rPr>
          <w:rFonts w:eastAsia="Times New Roman" w:cs="Arial"/>
          <w:color w:val="000000"/>
          <w:lang w:eastAsia="bg-BG"/>
        </w:rPr>
        <w:t>Счита се, че такива взаимодействия са по-вероятни с неселективни 0- блокери.</w:t>
      </w:r>
    </w:p>
    <w:p w14:paraId="73D2E38D" w14:textId="77777777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>Едновременна употреба с антихипертензивни средства, както и с други препарати с хипотензивен потенциал (напр. трициклични антидепресанти, барбитурати, фенотиазини) може да увеличи риска от хипотензия.</w:t>
      </w:r>
    </w:p>
    <w:p w14:paraId="044E5617" w14:textId="77777777" w:rsidR="00A55E10" w:rsidRPr="00A55E10" w:rsidRDefault="00A55E10" w:rsidP="00A55E10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7C709CFE" w14:textId="427E59F8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i/>
          <w:iCs/>
          <w:color w:val="000000"/>
          <w:lang w:eastAsia="bg-BG"/>
        </w:rPr>
        <w:t>Комбинации, които трябва да се обмислят</w:t>
      </w:r>
    </w:p>
    <w:p w14:paraId="0743B762" w14:textId="77777777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>Мефлокин: повишен риск от брадикардия,</w:t>
      </w:r>
    </w:p>
    <w:p w14:paraId="4BDEEEDC" w14:textId="77777777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lastRenderedPageBreak/>
        <w:t xml:space="preserve">МАО инхибитори (с изключение на МАО-В инхибитори): засилен хипотензивен ефект на </w:t>
      </w:r>
      <w:r w:rsidRPr="00A55E10">
        <w:rPr>
          <w:rFonts w:eastAsia="Times New Roman" w:cs="Arial"/>
          <w:color w:val="000000"/>
          <w:lang w:val="en-US"/>
        </w:rPr>
        <w:t>β</w:t>
      </w:r>
      <w:r w:rsidRPr="00A55E10">
        <w:rPr>
          <w:rFonts w:eastAsia="Times New Roman" w:cs="Arial"/>
          <w:color w:val="000000"/>
          <w:lang w:eastAsia="bg-BG"/>
        </w:rPr>
        <w:t>- блокерите, но също така и риск от хипертонична криза.</w:t>
      </w:r>
    </w:p>
    <w:p w14:paraId="6A80CBEA" w14:textId="77777777" w:rsidR="00A55E10" w:rsidRPr="00A55E10" w:rsidRDefault="00A55E10" w:rsidP="00A55E10"/>
    <w:p w14:paraId="6EADE4D6" w14:textId="24D8C891" w:rsidR="00395555" w:rsidRDefault="002C50EE" w:rsidP="008A6AF2">
      <w:pPr>
        <w:pStyle w:val="Heading2"/>
      </w:pPr>
      <w:r>
        <w:t>4.6. Фертилитет, бременност и кърмене</w:t>
      </w:r>
    </w:p>
    <w:p w14:paraId="2B931ACC" w14:textId="4577DFD2" w:rsidR="00A55E10" w:rsidRDefault="00A55E10" w:rsidP="00A55E10"/>
    <w:p w14:paraId="7BCBCC28" w14:textId="77777777" w:rsidR="00A55E10" w:rsidRPr="00A55E10" w:rsidRDefault="00A55E10" w:rsidP="00A55E10">
      <w:pPr>
        <w:pStyle w:val="Heading3"/>
        <w:rPr>
          <w:rFonts w:eastAsia="Times New Roman"/>
          <w:i/>
        </w:rPr>
      </w:pPr>
      <w:r w:rsidRPr="00A55E10">
        <w:rPr>
          <w:rFonts w:eastAsia="Times New Roman"/>
          <w:i/>
          <w:lang w:eastAsia="bg-BG"/>
        </w:rPr>
        <w:t>Бремениоспп</w:t>
      </w:r>
    </w:p>
    <w:p w14:paraId="54640B99" w14:textId="77777777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 xml:space="preserve">Бизопролол има фармакологични действия, които могат да предизвикат увреждащи ефекти върху бременността и/или върху плода/новороденото. По принцип, </w:t>
      </w:r>
      <w:r w:rsidRPr="00A55E10">
        <w:rPr>
          <w:rFonts w:eastAsia="Times New Roman" w:cs="Arial"/>
          <w:color w:val="000000"/>
          <w:lang w:val="en-US"/>
        </w:rPr>
        <w:t>β</w:t>
      </w:r>
      <w:r w:rsidRPr="00A55E10">
        <w:rPr>
          <w:rFonts w:eastAsia="Times New Roman" w:cs="Arial"/>
          <w:color w:val="000000"/>
          <w:lang w:eastAsia="bg-BG"/>
        </w:rPr>
        <w:t xml:space="preserve">-адренорецепторните блокери намаляват плацентната перфузия, която може да се свърже със забавяне на растежа, вътрематочна смърт, аборт или преждевременно раждане. Нежеланите лекарствени реакции (напр, хипогликемия и брадикардия) могат да се появят при плода и новороденото. Ако лечението с </w:t>
      </w:r>
      <w:r w:rsidRPr="00A55E10">
        <w:rPr>
          <w:rFonts w:eastAsia="Times New Roman" w:cs="Arial"/>
          <w:color w:val="000000"/>
          <w:lang w:val="en-US"/>
        </w:rPr>
        <w:t>β</w:t>
      </w:r>
      <w:r w:rsidRPr="00A55E10">
        <w:rPr>
          <w:rFonts w:eastAsia="Times New Roman" w:cs="Arial"/>
          <w:color w:val="000000"/>
          <w:lang w:eastAsia="bg-BG"/>
        </w:rPr>
        <w:t xml:space="preserve">-адренорецепторни блокери е необходимо, за предпочитане са </w:t>
      </w:r>
      <w:r w:rsidRPr="00A55E10">
        <w:rPr>
          <w:rFonts w:eastAsia="Times New Roman" w:cs="Arial"/>
          <w:color w:val="000000"/>
          <w:lang w:val="en-US"/>
        </w:rPr>
        <w:t>pi</w:t>
      </w:r>
      <w:r w:rsidRPr="00A55E10">
        <w:rPr>
          <w:rFonts w:eastAsia="Times New Roman" w:cs="Arial"/>
          <w:color w:val="000000"/>
          <w:lang w:eastAsia="bg-BG"/>
        </w:rPr>
        <w:t>-селективните адренорецепторни блокери.</w:t>
      </w:r>
    </w:p>
    <w:p w14:paraId="1D1DCA2C" w14:textId="77777777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>Бизопролол не трябва да се използва по време на бременност, освен ако не е крайно необходимо. Ако лечението с бизопролол се счита за необходимо, трябва да се наблюдават маточноплацентния кръвоток и растежа на плода. В случай на увреждащи ефекти върху бременността или плода, трябва да се обмисли алтернативно лечение. Новородените трябва стриктно да се наблюдават. Симптоми на хипогликемия и брадикардия, по принцип, се очакват през първите три дни.</w:t>
      </w:r>
    </w:p>
    <w:p w14:paraId="4F62D152" w14:textId="77777777" w:rsidR="00A55E10" w:rsidRPr="00A55E10" w:rsidRDefault="00A55E10" w:rsidP="00A55E10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1AE1A871" w14:textId="6AB225D8" w:rsidR="00A55E10" w:rsidRPr="00A55E10" w:rsidRDefault="00A55E10" w:rsidP="00A55E10">
      <w:pPr>
        <w:pStyle w:val="Heading3"/>
        <w:rPr>
          <w:rFonts w:eastAsia="Times New Roman"/>
          <w:i/>
        </w:rPr>
      </w:pPr>
      <w:r w:rsidRPr="00A55E10">
        <w:rPr>
          <w:rFonts w:eastAsia="Times New Roman"/>
          <w:i/>
          <w:lang w:eastAsia="bg-BG"/>
        </w:rPr>
        <w:t>Кърмене:</w:t>
      </w:r>
    </w:p>
    <w:p w14:paraId="5E07C234" w14:textId="77777777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>Не е известно дали този лекарствен продукт се екскретира в кърмата. Затова кърменето не е препоръчително по време на приложението на бизопролол.</w:t>
      </w:r>
    </w:p>
    <w:p w14:paraId="22D261B8" w14:textId="77777777" w:rsidR="00A55E10" w:rsidRPr="00A55E10" w:rsidRDefault="00A55E10" w:rsidP="00A55E10"/>
    <w:p w14:paraId="5766770B" w14:textId="18AC8E6C" w:rsidR="00395555" w:rsidRDefault="002C50EE" w:rsidP="008A6AF2">
      <w:pPr>
        <w:pStyle w:val="Heading2"/>
      </w:pPr>
      <w:r>
        <w:t>4.7. Ефекти върху способността за шофиране и работа с машини</w:t>
      </w:r>
    </w:p>
    <w:p w14:paraId="2EE0903D" w14:textId="780A472D" w:rsidR="00A55E10" w:rsidRDefault="00A55E10" w:rsidP="00A55E10"/>
    <w:p w14:paraId="477A69A7" w14:textId="77777777" w:rsidR="00A55E10" w:rsidRPr="00A55E10" w:rsidRDefault="00A55E10" w:rsidP="00A55E10">
      <w:pPr>
        <w:rPr>
          <w:sz w:val="24"/>
          <w:szCs w:val="24"/>
        </w:rPr>
      </w:pPr>
      <w:r w:rsidRPr="00A55E10">
        <w:rPr>
          <w:lang w:eastAsia="bg-BG"/>
        </w:rPr>
        <w:t>При проучване с пациенти с иехемична болест на сърцето бизопролол не влошава способността за шофиране. Въпреки това, поради индивидуалните разлики на реакциите към лекарствения продукт, способността за шофиране на превозно средство и работа с машини може да се влоши. Това трябва да се има предвид, особено при започване на терапията и при промяна на лечението, както и при употреба на алкохол.</w:t>
      </w:r>
    </w:p>
    <w:p w14:paraId="3D599371" w14:textId="77777777" w:rsidR="00A55E10" w:rsidRPr="00A55E10" w:rsidRDefault="00A55E10" w:rsidP="00A55E10"/>
    <w:p w14:paraId="4FE16E21" w14:textId="3E340608" w:rsidR="00395555" w:rsidRDefault="002C50EE" w:rsidP="008A6AF2">
      <w:pPr>
        <w:pStyle w:val="Heading2"/>
      </w:pPr>
      <w:r>
        <w:t>4.8. Нежелани лекарствени реакции</w:t>
      </w:r>
    </w:p>
    <w:p w14:paraId="6CD83CFE" w14:textId="3EA8BF2E" w:rsidR="00A55E10" w:rsidRDefault="00A55E10" w:rsidP="00A55E10"/>
    <w:p w14:paraId="17B5146E" w14:textId="77777777" w:rsidR="00A55E10" w:rsidRPr="00A55E10" w:rsidRDefault="00A55E10" w:rsidP="00A55E10">
      <w:pPr>
        <w:spacing w:line="240" w:lineRule="auto"/>
        <w:rPr>
          <w:rFonts w:eastAsia="Times New Roman" w:cs="Arial"/>
        </w:rPr>
      </w:pPr>
      <w:r w:rsidRPr="00A55E10">
        <w:rPr>
          <w:rFonts w:eastAsia="Times New Roman" w:cs="Arial"/>
          <w:color w:val="000000"/>
          <w:lang w:eastAsia="bg-BG"/>
        </w:rPr>
        <w:t>Следните определения се отнасят към описаната честота, използвана по-долу:</w:t>
      </w:r>
    </w:p>
    <w:p w14:paraId="2B87E77A" w14:textId="77777777" w:rsidR="00A55E10" w:rsidRPr="00A55E10" w:rsidRDefault="00A55E10" w:rsidP="00A55E10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18DD75C3" w14:textId="589A1E43" w:rsidR="00A55E10" w:rsidRPr="00A55E10" w:rsidRDefault="00A55E10" w:rsidP="00A55E10">
      <w:pPr>
        <w:spacing w:line="240" w:lineRule="auto"/>
        <w:rPr>
          <w:rFonts w:eastAsia="Times New Roman" w:cs="Arial"/>
        </w:rPr>
      </w:pPr>
      <w:r w:rsidRPr="00A55E10">
        <w:rPr>
          <w:rFonts w:eastAsia="Times New Roman" w:cs="Arial"/>
          <w:color w:val="000000"/>
          <w:lang w:eastAsia="bg-BG"/>
        </w:rPr>
        <w:t>Много чести (</w:t>
      </w:r>
      <w:r w:rsidRPr="00A55E10">
        <w:rPr>
          <w:rFonts w:eastAsia="Times New Roman" w:cs="Arial"/>
          <w:color w:val="000000"/>
          <w:lang w:val="en-US"/>
        </w:rPr>
        <w:t>≥</w:t>
      </w:r>
      <w:r w:rsidRPr="00A55E10">
        <w:rPr>
          <w:rFonts w:eastAsia="Times New Roman" w:cs="Arial"/>
          <w:color w:val="000000"/>
          <w:lang w:eastAsia="bg-BG"/>
        </w:rPr>
        <w:t xml:space="preserve"> 1/10)</w:t>
      </w:r>
    </w:p>
    <w:p w14:paraId="02FB7D5B" w14:textId="311A4A1E" w:rsidR="00A55E10" w:rsidRPr="00A55E10" w:rsidRDefault="00A55E10" w:rsidP="00A55E10">
      <w:pPr>
        <w:spacing w:line="240" w:lineRule="auto"/>
        <w:rPr>
          <w:rFonts w:eastAsia="Times New Roman" w:cs="Arial"/>
        </w:rPr>
      </w:pPr>
      <w:r w:rsidRPr="00A55E10">
        <w:rPr>
          <w:rFonts w:eastAsia="Times New Roman" w:cs="Arial"/>
          <w:color w:val="000000"/>
          <w:lang w:eastAsia="bg-BG"/>
        </w:rPr>
        <w:t>Чести (</w:t>
      </w:r>
      <w:r w:rsidRPr="00A55E10">
        <w:rPr>
          <w:rFonts w:eastAsia="Times New Roman" w:cs="Arial"/>
          <w:color w:val="000000"/>
          <w:lang w:val="en-US"/>
        </w:rPr>
        <w:t>≥</w:t>
      </w:r>
      <w:r w:rsidRPr="00A55E10">
        <w:rPr>
          <w:rFonts w:eastAsia="Times New Roman" w:cs="Arial"/>
          <w:color w:val="000000"/>
          <w:lang w:eastAsia="bg-BG"/>
        </w:rPr>
        <w:t xml:space="preserve"> 1 /100 до &lt; 1 /10)</w:t>
      </w:r>
    </w:p>
    <w:p w14:paraId="0504B26D" w14:textId="77777777" w:rsidR="00A55E10" w:rsidRPr="00A55E10" w:rsidRDefault="00A55E10" w:rsidP="00A55E10">
      <w:pPr>
        <w:spacing w:line="240" w:lineRule="auto"/>
        <w:rPr>
          <w:rFonts w:eastAsia="Times New Roman" w:cs="Arial"/>
        </w:rPr>
      </w:pPr>
      <w:r w:rsidRPr="00A55E10">
        <w:rPr>
          <w:rFonts w:eastAsia="Times New Roman" w:cs="Arial"/>
          <w:color w:val="000000"/>
          <w:lang w:eastAsia="bg-BG"/>
        </w:rPr>
        <w:t>Нечести (</w:t>
      </w:r>
      <w:r w:rsidRPr="00A55E10">
        <w:rPr>
          <w:rFonts w:eastAsia="Times New Roman" w:cs="Arial"/>
          <w:color w:val="000000"/>
          <w:lang w:val="en-US"/>
        </w:rPr>
        <w:t>≥</w:t>
      </w:r>
      <w:r w:rsidRPr="00A55E10">
        <w:rPr>
          <w:rFonts w:eastAsia="Times New Roman" w:cs="Arial"/>
          <w:color w:val="000000"/>
          <w:lang w:eastAsia="bg-BG"/>
        </w:rPr>
        <w:t xml:space="preserve"> 1/1000 до &lt; 1/100)</w:t>
      </w:r>
    </w:p>
    <w:p w14:paraId="1967F941" w14:textId="77777777" w:rsidR="00A55E10" w:rsidRPr="00A55E10" w:rsidRDefault="00A55E10" w:rsidP="00A55E10">
      <w:pPr>
        <w:spacing w:line="240" w:lineRule="auto"/>
        <w:rPr>
          <w:rFonts w:eastAsia="Times New Roman" w:cs="Arial"/>
        </w:rPr>
      </w:pPr>
      <w:r w:rsidRPr="00A55E10">
        <w:rPr>
          <w:rFonts w:eastAsia="Times New Roman" w:cs="Arial"/>
          <w:color w:val="000000"/>
          <w:lang w:eastAsia="bg-BG"/>
        </w:rPr>
        <w:t>Редки (</w:t>
      </w:r>
      <w:r w:rsidRPr="00A55E10">
        <w:rPr>
          <w:rFonts w:eastAsia="Times New Roman" w:cs="Arial"/>
          <w:color w:val="000000"/>
          <w:lang w:val="en-US"/>
        </w:rPr>
        <w:t>≥</w:t>
      </w:r>
      <w:r w:rsidRPr="00A55E10">
        <w:rPr>
          <w:rFonts w:eastAsia="Times New Roman" w:cs="Arial"/>
          <w:color w:val="000000"/>
          <w:lang w:eastAsia="bg-BG"/>
        </w:rPr>
        <w:t xml:space="preserve">1/10000 до </w:t>
      </w:r>
      <w:r w:rsidRPr="00A55E10">
        <w:rPr>
          <w:rFonts w:eastAsia="Times New Roman" w:cs="Arial"/>
          <w:color w:val="000000"/>
          <w:lang w:val="en-US"/>
        </w:rPr>
        <w:t xml:space="preserve">&lt; </w:t>
      </w:r>
      <w:r w:rsidRPr="00A55E10">
        <w:rPr>
          <w:rFonts w:eastAsia="Times New Roman" w:cs="Arial"/>
          <w:color w:val="000000"/>
          <w:lang w:eastAsia="bg-BG"/>
        </w:rPr>
        <w:t>1/1000)</w:t>
      </w:r>
    </w:p>
    <w:p w14:paraId="44D1E6D7" w14:textId="77777777" w:rsidR="00A55E10" w:rsidRPr="00A55E10" w:rsidRDefault="00A55E10" w:rsidP="00A55E10">
      <w:pPr>
        <w:spacing w:line="240" w:lineRule="auto"/>
        <w:rPr>
          <w:rFonts w:eastAsia="Times New Roman" w:cs="Arial"/>
        </w:rPr>
      </w:pPr>
      <w:r w:rsidRPr="00A55E10">
        <w:rPr>
          <w:rFonts w:eastAsia="Times New Roman" w:cs="Arial"/>
          <w:color w:val="000000"/>
          <w:lang w:eastAsia="bg-BG"/>
        </w:rPr>
        <w:t>Много редки (&lt; 1/10000)</w:t>
      </w:r>
    </w:p>
    <w:p w14:paraId="439190BC" w14:textId="77777777" w:rsidR="00A55E10" w:rsidRPr="00A55E10" w:rsidRDefault="00A55E10" w:rsidP="00A55E10">
      <w:pPr>
        <w:spacing w:line="240" w:lineRule="auto"/>
        <w:rPr>
          <w:rFonts w:eastAsia="Times New Roman" w:cs="Arial"/>
        </w:rPr>
      </w:pPr>
      <w:r w:rsidRPr="00A55E10">
        <w:rPr>
          <w:rFonts w:eastAsia="Times New Roman" w:cs="Arial"/>
          <w:color w:val="000000"/>
          <w:lang w:eastAsia="bg-BG"/>
        </w:rPr>
        <w:t>С неизвестна честота (не може да се оцени от наличните данни)</w:t>
      </w:r>
    </w:p>
    <w:p w14:paraId="35290B05" w14:textId="77777777" w:rsidR="00A55E10" w:rsidRPr="00A55E10" w:rsidRDefault="00A55E10" w:rsidP="00A55E10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426A52D7" w14:textId="7B4C320D" w:rsidR="00A55E10" w:rsidRPr="00A55E10" w:rsidRDefault="00A55E10" w:rsidP="00A55E10">
      <w:pPr>
        <w:spacing w:line="240" w:lineRule="auto"/>
        <w:rPr>
          <w:rFonts w:eastAsia="Times New Roman" w:cs="Arial"/>
        </w:rPr>
      </w:pPr>
      <w:r w:rsidRPr="00A55E10">
        <w:rPr>
          <w:rFonts w:eastAsia="Times New Roman" w:cs="Arial"/>
          <w:color w:val="000000"/>
          <w:u w:val="single"/>
          <w:lang w:eastAsia="bg-BG"/>
        </w:rPr>
        <w:t>Изследвания:</w:t>
      </w:r>
    </w:p>
    <w:p w14:paraId="03F8D415" w14:textId="77777777" w:rsidR="00A55E10" w:rsidRPr="00A55E10" w:rsidRDefault="00A55E10" w:rsidP="00A55E10">
      <w:pPr>
        <w:spacing w:line="240" w:lineRule="auto"/>
        <w:rPr>
          <w:rFonts w:eastAsia="Times New Roman" w:cs="Arial"/>
        </w:rPr>
      </w:pPr>
      <w:r w:rsidRPr="00A55E10">
        <w:rPr>
          <w:rFonts w:eastAsia="Times New Roman" w:cs="Arial"/>
          <w:color w:val="000000"/>
          <w:lang w:eastAsia="bg-BG"/>
        </w:rPr>
        <w:t xml:space="preserve">Редки: увеличени триглицериди, увеличени чернодробни ензими </w:t>
      </w:r>
      <w:r w:rsidRPr="00A55E10">
        <w:rPr>
          <w:rFonts w:eastAsia="Times New Roman" w:cs="Arial"/>
          <w:color w:val="000000"/>
          <w:lang w:val="en-US"/>
        </w:rPr>
        <w:t>(ALAT, ASAT)</w:t>
      </w:r>
    </w:p>
    <w:p w14:paraId="4DD18E48" w14:textId="77777777" w:rsidR="00A55E10" w:rsidRPr="00A55E10" w:rsidRDefault="00A55E10" w:rsidP="00A55E10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7BECD229" w14:textId="09D50FF3" w:rsidR="00A55E10" w:rsidRPr="00A55E10" w:rsidRDefault="00A55E10" w:rsidP="00A55E10">
      <w:pPr>
        <w:spacing w:line="240" w:lineRule="auto"/>
        <w:rPr>
          <w:rFonts w:eastAsia="Times New Roman" w:cs="Arial"/>
        </w:rPr>
      </w:pPr>
      <w:r w:rsidRPr="00A55E10">
        <w:rPr>
          <w:rFonts w:eastAsia="Times New Roman" w:cs="Arial"/>
          <w:color w:val="000000"/>
          <w:u w:val="single"/>
          <w:lang w:eastAsia="bg-BG"/>
        </w:rPr>
        <w:t>Нарушения на сърдечната дейност:</w:t>
      </w:r>
    </w:p>
    <w:p w14:paraId="4747795D" w14:textId="77777777" w:rsidR="00A55E10" w:rsidRPr="00A55E10" w:rsidRDefault="00A55E10" w:rsidP="00A55E10">
      <w:pPr>
        <w:spacing w:line="240" w:lineRule="auto"/>
        <w:rPr>
          <w:rFonts w:eastAsia="Times New Roman" w:cs="Arial"/>
        </w:rPr>
      </w:pPr>
      <w:r w:rsidRPr="00A55E10">
        <w:rPr>
          <w:rFonts w:eastAsia="Times New Roman" w:cs="Arial"/>
          <w:color w:val="000000"/>
          <w:lang w:eastAsia="bg-BG"/>
        </w:rPr>
        <w:t>Много чести: брадикардия,</w:t>
      </w:r>
    </w:p>
    <w:p w14:paraId="1C07B20A" w14:textId="77777777" w:rsidR="00A55E10" w:rsidRPr="00A55E10" w:rsidRDefault="00A55E10" w:rsidP="00A55E10">
      <w:pPr>
        <w:spacing w:line="240" w:lineRule="auto"/>
        <w:rPr>
          <w:rFonts w:eastAsia="Times New Roman" w:cs="Arial"/>
        </w:rPr>
      </w:pPr>
      <w:r w:rsidRPr="00A55E10">
        <w:rPr>
          <w:rFonts w:eastAsia="Times New Roman" w:cs="Arial"/>
          <w:color w:val="000000"/>
          <w:lang w:eastAsia="bg-BG"/>
        </w:rPr>
        <w:lastRenderedPageBreak/>
        <w:t>Чести: влошаване на сърдечната недостатъчност</w:t>
      </w:r>
    </w:p>
    <w:p w14:paraId="6E45E785" w14:textId="77777777" w:rsidR="00A55E10" w:rsidRPr="00A55E10" w:rsidRDefault="00A55E10" w:rsidP="00A55E10">
      <w:pPr>
        <w:spacing w:line="240" w:lineRule="auto"/>
        <w:rPr>
          <w:rFonts w:eastAsia="Times New Roman" w:cs="Arial"/>
        </w:rPr>
      </w:pPr>
      <w:r w:rsidRPr="00A55E10">
        <w:rPr>
          <w:rFonts w:eastAsia="Times New Roman" w:cs="Arial"/>
          <w:color w:val="000000"/>
          <w:lang w:eastAsia="bg-BG"/>
        </w:rPr>
        <w:t xml:space="preserve">Нечести: нарушения на </w:t>
      </w:r>
      <w:r w:rsidRPr="00A55E10">
        <w:rPr>
          <w:rFonts w:eastAsia="Times New Roman" w:cs="Arial"/>
          <w:color w:val="000000"/>
          <w:lang w:val="en-US"/>
        </w:rPr>
        <w:t>AV</w:t>
      </w:r>
      <w:r w:rsidRPr="00A55E10">
        <w:rPr>
          <w:rFonts w:eastAsia="Times New Roman" w:cs="Arial"/>
          <w:color w:val="000000"/>
          <w:lang w:eastAsia="bg-BG"/>
        </w:rPr>
        <w:t>-проводимостта</w:t>
      </w:r>
    </w:p>
    <w:p w14:paraId="0ACFDADF" w14:textId="77777777" w:rsidR="00A55E10" w:rsidRPr="00A55E10" w:rsidRDefault="00A55E10" w:rsidP="00A55E10">
      <w:pPr>
        <w:spacing w:line="240" w:lineRule="auto"/>
        <w:rPr>
          <w:rFonts w:eastAsia="Times New Roman" w:cs="Arial"/>
        </w:rPr>
      </w:pPr>
      <w:r w:rsidRPr="00A55E10">
        <w:rPr>
          <w:rFonts w:eastAsia="Times New Roman" w:cs="Arial"/>
          <w:color w:val="000000"/>
          <w:u w:val="single"/>
          <w:lang w:eastAsia="bg-BG"/>
        </w:rPr>
        <w:t>Нарушения на нервната система:</w:t>
      </w:r>
    </w:p>
    <w:p w14:paraId="630C52BC" w14:textId="77777777" w:rsidR="00A55E10" w:rsidRPr="00A55E10" w:rsidRDefault="00A55E10" w:rsidP="00A55E10">
      <w:pPr>
        <w:spacing w:line="240" w:lineRule="auto"/>
        <w:rPr>
          <w:rFonts w:eastAsia="Times New Roman" w:cs="Arial"/>
        </w:rPr>
      </w:pPr>
      <w:r w:rsidRPr="00A55E10">
        <w:rPr>
          <w:rFonts w:eastAsia="Times New Roman" w:cs="Arial"/>
          <w:color w:val="000000"/>
          <w:lang w:eastAsia="bg-BG"/>
        </w:rPr>
        <w:t>Чести: замайване, главоболие</w:t>
      </w:r>
    </w:p>
    <w:p w14:paraId="6ACED933" w14:textId="77777777" w:rsidR="00A55E10" w:rsidRPr="00A55E10" w:rsidRDefault="00A55E10" w:rsidP="00A55E10">
      <w:pPr>
        <w:spacing w:line="240" w:lineRule="auto"/>
        <w:rPr>
          <w:rFonts w:eastAsia="Times New Roman" w:cs="Arial"/>
        </w:rPr>
      </w:pPr>
      <w:r w:rsidRPr="00A55E10">
        <w:rPr>
          <w:rFonts w:eastAsia="Times New Roman" w:cs="Arial"/>
          <w:color w:val="000000"/>
          <w:lang w:eastAsia="bg-BG"/>
        </w:rPr>
        <w:t>Редки: припадъци</w:t>
      </w:r>
    </w:p>
    <w:p w14:paraId="1B7F9DCA" w14:textId="77777777" w:rsidR="00A55E10" w:rsidRPr="00A55E10" w:rsidRDefault="00A55E10" w:rsidP="00A55E10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1C6F70BE" w14:textId="7A57F5DA" w:rsidR="00A55E10" w:rsidRPr="00A55E10" w:rsidRDefault="00A55E10" w:rsidP="00A55E10">
      <w:pPr>
        <w:spacing w:line="240" w:lineRule="auto"/>
        <w:rPr>
          <w:rFonts w:eastAsia="Times New Roman" w:cs="Arial"/>
        </w:rPr>
      </w:pPr>
      <w:r w:rsidRPr="00A55E10">
        <w:rPr>
          <w:rFonts w:eastAsia="Times New Roman" w:cs="Arial"/>
          <w:color w:val="000000"/>
          <w:u w:val="single"/>
          <w:lang w:eastAsia="bg-BG"/>
        </w:rPr>
        <w:t>Зрителни нарушения:</w:t>
      </w:r>
    </w:p>
    <w:p w14:paraId="7A44DC32" w14:textId="77777777" w:rsidR="00A55E10" w:rsidRPr="00A55E10" w:rsidRDefault="00A55E10" w:rsidP="00A55E10">
      <w:pPr>
        <w:spacing w:line="240" w:lineRule="auto"/>
        <w:rPr>
          <w:rFonts w:eastAsia="Times New Roman" w:cs="Arial"/>
        </w:rPr>
      </w:pPr>
      <w:r w:rsidRPr="00A55E10">
        <w:rPr>
          <w:rFonts w:eastAsia="Times New Roman" w:cs="Arial"/>
          <w:color w:val="000000"/>
          <w:lang w:eastAsia="bg-BG"/>
        </w:rPr>
        <w:t>Редки: намалено сълзотечение (да се има предвид при пациенти, използващи лещи)</w:t>
      </w:r>
    </w:p>
    <w:p w14:paraId="3EC06CB1" w14:textId="77777777" w:rsidR="00A55E10" w:rsidRPr="00A55E10" w:rsidRDefault="00A55E10" w:rsidP="00A55E10">
      <w:pPr>
        <w:spacing w:line="240" w:lineRule="auto"/>
        <w:rPr>
          <w:rFonts w:eastAsia="Times New Roman" w:cs="Arial"/>
        </w:rPr>
      </w:pPr>
      <w:r w:rsidRPr="00A55E10">
        <w:rPr>
          <w:rFonts w:eastAsia="Times New Roman" w:cs="Arial"/>
          <w:color w:val="000000"/>
          <w:lang w:eastAsia="bg-BG"/>
        </w:rPr>
        <w:t>Много редки: конюнктивит</w:t>
      </w:r>
    </w:p>
    <w:p w14:paraId="257E538C" w14:textId="77777777" w:rsidR="00A55E10" w:rsidRPr="00A55E10" w:rsidRDefault="00A55E10" w:rsidP="00A55E10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771685F5" w14:textId="5DD3E829" w:rsidR="00A55E10" w:rsidRPr="00A55E10" w:rsidRDefault="00A55E10" w:rsidP="00A55E10">
      <w:pPr>
        <w:spacing w:line="240" w:lineRule="auto"/>
        <w:rPr>
          <w:rFonts w:eastAsia="Times New Roman" w:cs="Arial"/>
        </w:rPr>
      </w:pPr>
      <w:r w:rsidRPr="00A55E10">
        <w:rPr>
          <w:rFonts w:eastAsia="Times New Roman" w:cs="Arial"/>
          <w:color w:val="000000"/>
          <w:u w:val="single"/>
          <w:lang w:eastAsia="bg-BG"/>
        </w:rPr>
        <w:t>Нарушения на лабиринта на вътрешното ухо и на слуха:</w:t>
      </w:r>
    </w:p>
    <w:p w14:paraId="361E0908" w14:textId="77777777" w:rsidR="00A55E10" w:rsidRPr="00A55E10" w:rsidRDefault="00A55E10" w:rsidP="00A55E10">
      <w:pPr>
        <w:spacing w:line="240" w:lineRule="auto"/>
        <w:rPr>
          <w:rFonts w:eastAsia="Times New Roman" w:cs="Arial"/>
        </w:rPr>
      </w:pPr>
      <w:r w:rsidRPr="00A55E10">
        <w:rPr>
          <w:rFonts w:eastAsia="Times New Roman" w:cs="Arial"/>
          <w:color w:val="000000"/>
          <w:lang w:eastAsia="bg-BG"/>
        </w:rPr>
        <w:t>Редки: Отслабване на слуха</w:t>
      </w:r>
    </w:p>
    <w:p w14:paraId="61CF03DC" w14:textId="77777777" w:rsidR="00A55E10" w:rsidRPr="00A55E10" w:rsidRDefault="00A55E10" w:rsidP="00A55E10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394D49A7" w14:textId="43099612" w:rsidR="00A55E10" w:rsidRPr="00A55E10" w:rsidRDefault="00A55E10" w:rsidP="00A55E10">
      <w:pPr>
        <w:spacing w:line="240" w:lineRule="auto"/>
        <w:rPr>
          <w:rFonts w:eastAsia="Times New Roman" w:cs="Arial"/>
        </w:rPr>
      </w:pPr>
      <w:r w:rsidRPr="00A55E10">
        <w:rPr>
          <w:rFonts w:eastAsia="Times New Roman" w:cs="Arial"/>
          <w:color w:val="000000"/>
          <w:u w:val="single"/>
          <w:lang w:eastAsia="bg-BG"/>
        </w:rPr>
        <w:t>Дихателни, гръдни и медиастинални нарушения:</w:t>
      </w:r>
    </w:p>
    <w:p w14:paraId="650F6C06" w14:textId="77777777" w:rsidR="00A55E10" w:rsidRPr="00A55E10" w:rsidRDefault="00A55E10" w:rsidP="00A55E10">
      <w:pPr>
        <w:spacing w:line="240" w:lineRule="auto"/>
        <w:rPr>
          <w:rFonts w:eastAsia="Times New Roman" w:cs="Arial"/>
        </w:rPr>
      </w:pPr>
      <w:r w:rsidRPr="00A55E10">
        <w:rPr>
          <w:rFonts w:eastAsia="Times New Roman" w:cs="Arial"/>
          <w:color w:val="000000"/>
          <w:lang w:eastAsia="bg-BG"/>
        </w:rPr>
        <w:t>Нечести: бронхоспазъм при пациенти с бронхиална астма или анамнеза за хронична обструктивна белодробна болест</w:t>
      </w:r>
    </w:p>
    <w:p w14:paraId="1BB012A6" w14:textId="77777777" w:rsidR="00A55E10" w:rsidRPr="00A55E10" w:rsidRDefault="00A55E10" w:rsidP="00A55E10">
      <w:pPr>
        <w:spacing w:line="240" w:lineRule="auto"/>
        <w:rPr>
          <w:rFonts w:eastAsia="Times New Roman" w:cs="Arial"/>
        </w:rPr>
      </w:pPr>
      <w:r w:rsidRPr="00A55E10">
        <w:rPr>
          <w:rFonts w:eastAsia="Times New Roman" w:cs="Arial"/>
          <w:color w:val="000000"/>
          <w:lang w:eastAsia="bg-BG"/>
        </w:rPr>
        <w:t>Редки: алергичен ринит</w:t>
      </w:r>
    </w:p>
    <w:p w14:paraId="09D4C801" w14:textId="77777777" w:rsidR="00A55E10" w:rsidRPr="00A55E10" w:rsidRDefault="00A55E10" w:rsidP="00A55E10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4CC8366E" w14:textId="4A11040A" w:rsidR="00A55E10" w:rsidRPr="00A55E10" w:rsidRDefault="00A55E10" w:rsidP="00A55E10">
      <w:pPr>
        <w:spacing w:line="240" w:lineRule="auto"/>
        <w:rPr>
          <w:rFonts w:eastAsia="Times New Roman" w:cs="Arial"/>
        </w:rPr>
      </w:pPr>
      <w:r w:rsidRPr="00A55E10">
        <w:rPr>
          <w:rFonts w:eastAsia="Times New Roman" w:cs="Arial"/>
          <w:color w:val="000000"/>
          <w:u w:val="single"/>
          <w:lang w:eastAsia="bg-BG"/>
        </w:rPr>
        <w:t>Стомашно-чревни нарушения:</w:t>
      </w:r>
    </w:p>
    <w:p w14:paraId="37DD08C8" w14:textId="77777777" w:rsidR="00A55E10" w:rsidRPr="00A55E10" w:rsidRDefault="00A55E10" w:rsidP="00A55E10">
      <w:pPr>
        <w:spacing w:line="240" w:lineRule="auto"/>
        <w:rPr>
          <w:rFonts w:eastAsia="Times New Roman" w:cs="Arial"/>
        </w:rPr>
      </w:pPr>
      <w:r w:rsidRPr="00A55E10">
        <w:rPr>
          <w:rFonts w:eastAsia="Times New Roman" w:cs="Arial"/>
          <w:color w:val="000000"/>
          <w:lang w:eastAsia="bg-BG"/>
        </w:rPr>
        <w:t>Чести: стомашно-чревни оплаквания като гадене, повръщане, диария, констипация.</w:t>
      </w:r>
    </w:p>
    <w:p w14:paraId="29234B6B" w14:textId="77777777" w:rsidR="00A55E10" w:rsidRPr="00A55E10" w:rsidRDefault="00A55E10" w:rsidP="00A55E10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35A6ACEF" w14:textId="784278DA" w:rsidR="00A55E10" w:rsidRPr="00A55E10" w:rsidRDefault="00A55E10" w:rsidP="00A55E10">
      <w:pPr>
        <w:spacing w:line="240" w:lineRule="auto"/>
        <w:rPr>
          <w:rFonts w:eastAsia="Times New Roman" w:cs="Arial"/>
        </w:rPr>
      </w:pPr>
      <w:r w:rsidRPr="00A55E10">
        <w:rPr>
          <w:rFonts w:eastAsia="Times New Roman" w:cs="Arial"/>
          <w:color w:val="000000"/>
          <w:u w:val="single"/>
          <w:lang w:eastAsia="bg-BG"/>
        </w:rPr>
        <w:t>Нарушения на кожата и подкожните тъкани:</w:t>
      </w:r>
    </w:p>
    <w:p w14:paraId="56452337" w14:textId="77777777" w:rsidR="00A55E10" w:rsidRPr="00A55E10" w:rsidRDefault="00A55E10" w:rsidP="00A55E10">
      <w:pPr>
        <w:spacing w:line="240" w:lineRule="auto"/>
        <w:rPr>
          <w:rFonts w:eastAsia="Times New Roman" w:cs="Arial"/>
        </w:rPr>
      </w:pPr>
      <w:r w:rsidRPr="00A55E10">
        <w:rPr>
          <w:rFonts w:eastAsia="Times New Roman" w:cs="Arial"/>
          <w:color w:val="000000"/>
          <w:lang w:eastAsia="bg-BG"/>
        </w:rPr>
        <w:t>Редки: реакции на свръхчувствителност (пруритус, зачервяване, обрив и ангиоедем)</w:t>
      </w:r>
    </w:p>
    <w:p w14:paraId="3564DF61" w14:textId="77777777" w:rsidR="00A55E10" w:rsidRPr="00A55E10" w:rsidRDefault="00A55E10" w:rsidP="00A55E10">
      <w:pPr>
        <w:spacing w:line="240" w:lineRule="auto"/>
        <w:rPr>
          <w:rFonts w:eastAsia="Times New Roman" w:cs="Arial"/>
        </w:rPr>
      </w:pPr>
      <w:r w:rsidRPr="00A55E10">
        <w:rPr>
          <w:rFonts w:eastAsia="Times New Roman" w:cs="Arial"/>
          <w:color w:val="000000"/>
          <w:lang w:eastAsia="bg-BG"/>
        </w:rPr>
        <w:t xml:space="preserve">Много редки: </w:t>
      </w:r>
      <w:r w:rsidRPr="00A55E10">
        <w:rPr>
          <w:rFonts w:eastAsia="Times New Roman" w:cs="Arial"/>
          <w:color w:val="000000"/>
          <w:lang w:val="en-US"/>
        </w:rPr>
        <w:t>β</w:t>
      </w:r>
      <w:r w:rsidRPr="00A55E10">
        <w:rPr>
          <w:rFonts w:eastAsia="Times New Roman" w:cs="Arial"/>
          <w:color w:val="000000"/>
          <w:lang w:eastAsia="bg-BG"/>
        </w:rPr>
        <w:t>-блокерите може да провокират или да влошат псориазис или да предизвикат подобен на псориазис обрив, алопеция</w:t>
      </w:r>
    </w:p>
    <w:p w14:paraId="387EEC78" w14:textId="77777777" w:rsidR="00A55E10" w:rsidRPr="00A55E10" w:rsidRDefault="00A55E10" w:rsidP="00A55E10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79DA6360" w14:textId="25E0B4A5" w:rsidR="00A55E10" w:rsidRPr="00A55E10" w:rsidRDefault="00A55E10" w:rsidP="00A55E10">
      <w:pPr>
        <w:spacing w:line="240" w:lineRule="auto"/>
        <w:rPr>
          <w:rFonts w:eastAsia="Times New Roman" w:cs="Arial"/>
        </w:rPr>
      </w:pPr>
      <w:r w:rsidRPr="00A55E10">
        <w:rPr>
          <w:rFonts w:eastAsia="Times New Roman" w:cs="Arial"/>
          <w:color w:val="000000"/>
          <w:u w:val="single"/>
          <w:lang w:eastAsia="bg-BG"/>
        </w:rPr>
        <w:t>Нарушения на съединителната тъкан и мускулно-скелетни нарушения:</w:t>
      </w:r>
    </w:p>
    <w:p w14:paraId="4A236398" w14:textId="77777777" w:rsidR="00A55E10" w:rsidRPr="00A55E10" w:rsidRDefault="00A55E10" w:rsidP="00A55E10">
      <w:pPr>
        <w:spacing w:line="240" w:lineRule="auto"/>
        <w:rPr>
          <w:rFonts w:eastAsia="Times New Roman" w:cs="Arial"/>
        </w:rPr>
      </w:pPr>
      <w:r w:rsidRPr="00A55E10">
        <w:rPr>
          <w:rFonts w:eastAsia="Times New Roman" w:cs="Arial"/>
          <w:color w:val="000000"/>
          <w:lang w:eastAsia="bg-BG"/>
        </w:rPr>
        <w:t>Нечести: Мускулна слабост и спазми</w:t>
      </w:r>
    </w:p>
    <w:p w14:paraId="14D0B5F2" w14:textId="77777777" w:rsidR="00A55E10" w:rsidRPr="00A55E10" w:rsidRDefault="00A55E10" w:rsidP="00A55E10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4AB092AA" w14:textId="18F89DF6" w:rsidR="00A55E10" w:rsidRPr="00A55E10" w:rsidRDefault="00A55E10" w:rsidP="00A55E10">
      <w:pPr>
        <w:spacing w:line="240" w:lineRule="auto"/>
        <w:rPr>
          <w:rFonts w:eastAsia="Times New Roman" w:cs="Arial"/>
        </w:rPr>
      </w:pPr>
      <w:r w:rsidRPr="00A55E10">
        <w:rPr>
          <w:rFonts w:eastAsia="Times New Roman" w:cs="Arial"/>
          <w:color w:val="000000"/>
          <w:u w:val="single"/>
          <w:lang w:eastAsia="bg-BG"/>
        </w:rPr>
        <w:t>Съдови нарушения:</w:t>
      </w:r>
    </w:p>
    <w:p w14:paraId="72F7526E" w14:textId="1E9A1A88" w:rsidR="00A55E10" w:rsidRPr="00A55E10" w:rsidRDefault="00A55E10" w:rsidP="00A55E10">
      <w:pPr>
        <w:spacing w:line="240" w:lineRule="auto"/>
        <w:rPr>
          <w:rFonts w:eastAsia="Times New Roman" w:cs="Arial"/>
        </w:rPr>
      </w:pPr>
      <w:r w:rsidRPr="00A55E10">
        <w:rPr>
          <w:rFonts w:eastAsia="Times New Roman" w:cs="Arial"/>
          <w:color w:val="000000"/>
          <w:lang w:eastAsia="bg-BG"/>
        </w:rPr>
        <w:t>Чести; усещане за студ или изтръпване на крайниците, хипотония</w:t>
      </w:r>
    </w:p>
    <w:p w14:paraId="15223B87" w14:textId="77777777" w:rsidR="00A55E10" w:rsidRPr="00A55E10" w:rsidRDefault="00A55E10" w:rsidP="00A55E10">
      <w:pPr>
        <w:spacing w:line="240" w:lineRule="auto"/>
        <w:rPr>
          <w:rFonts w:eastAsia="Times New Roman" w:cs="Arial"/>
        </w:rPr>
      </w:pPr>
      <w:r w:rsidRPr="00A55E10">
        <w:rPr>
          <w:rFonts w:eastAsia="Times New Roman" w:cs="Arial"/>
          <w:color w:val="000000"/>
          <w:lang w:eastAsia="bg-BG"/>
        </w:rPr>
        <w:t>Нечести: ортостатична хипотония.</w:t>
      </w:r>
    </w:p>
    <w:p w14:paraId="7A3EBD80" w14:textId="77777777" w:rsidR="00A55E10" w:rsidRPr="00A55E10" w:rsidRDefault="00A55E10" w:rsidP="00A55E10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5D525D5E" w14:textId="536C3BCB" w:rsidR="00A55E10" w:rsidRPr="00A55E10" w:rsidRDefault="00A55E10" w:rsidP="00A55E10">
      <w:pPr>
        <w:spacing w:line="240" w:lineRule="auto"/>
        <w:rPr>
          <w:rFonts w:eastAsia="Times New Roman" w:cs="Arial"/>
        </w:rPr>
      </w:pPr>
      <w:r w:rsidRPr="00A55E10">
        <w:rPr>
          <w:rFonts w:eastAsia="Times New Roman" w:cs="Arial"/>
          <w:color w:val="000000"/>
          <w:u w:val="single"/>
          <w:lang w:eastAsia="bg-BG"/>
        </w:rPr>
        <w:t>Общи нарушения:</w:t>
      </w:r>
    </w:p>
    <w:p w14:paraId="3BD4C93F" w14:textId="77777777" w:rsidR="00A55E10" w:rsidRPr="00A55E10" w:rsidRDefault="00A55E10" w:rsidP="00A55E10">
      <w:pPr>
        <w:spacing w:line="240" w:lineRule="auto"/>
        <w:rPr>
          <w:rFonts w:eastAsia="Times New Roman" w:cs="Arial"/>
        </w:rPr>
      </w:pPr>
      <w:r w:rsidRPr="00A55E10">
        <w:rPr>
          <w:rFonts w:eastAsia="Times New Roman" w:cs="Arial"/>
          <w:color w:val="000000"/>
          <w:lang w:eastAsia="bg-BG"/>
        </w:rPr>
        <w:t>Чести: астения, умора</w:t>
      </w:r>
    </w:p>
    <w:p w14:paraId="4FA6F75B" w14:textId="77777777" w:rsidR="00A55E10" w:rsidRPr="00A55E10" w:rsidRDefault="00A55E10" w:rsidP="00A55E10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6D395784" w14:textId="3D5DB9A0" w:rsidR="00A55E10" w:rsidRPr="00A55E10" w:rsidRDefault="00A55E10" w:rsidP="00A55E10">
      <w:pPr>
        <w:spacing w:line="240" w:lineRule="auto"/>
        <w:rPr>
          <w:rFonts w:eastAsia="Times New Roman" w:cs="Arial"/>
        </w:rPr>
      </w:pPr>
      <w:r w:rsidRPr="00A55E10">
        <w:rPr>
          <w:rFonts w:eastAsia="Times New Roman" w:cs="Arial"/>
          <w:color w:val="000000"/>
          <w:u w:val="single"/>
          <w:lang w:eastAsia="bg-BG"/>
        </w:rPr>
        <w:t>Нарушения на чернодробната и жлъчна функция:</w:t>
      </w:r>
    </w:p>
    <w:p w14:paraId="4BDF56CB" w14:textId="77777777" w:rsidR="00A55E10" w:rsidRPr="00A55E10" w:rsidRDefault="00A55E10" w:rsidP="00A55E10">
      <w:pPr>
        <w:spacing w:line="240" w:lineRule="auto"/>
        <w:rPr>
          <w:rFonts w:eastAsia="Times New Roman" w:cs="Arial"/>
        </w:rPr>
      </w:pPr>
      <w:r w:rsidRPr="00A55E10">
        <w:rPr>
          <w:rFonts w:eastAsia="Times New Roman" w:cs="Arial"/>
          <w:color w:val="000000"/>
          <w:lang w:eastAsia="bg-BG"/>
        </w:rPr>
        <w:t>Редки;хепатит</w:t>
      </w:r>
    </w:p>
    <w:p w14:paraId="429F87AD" w14:textId="77777777" w:rsidR="00A55E10" w:rsidRPr="00A55E10" w:rsidRDefault="00A55E10" w:rsidP="00A55E10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349B1ABE" w14:textId="77777777" w:rsidR="00A55E10" w:rsidRPr="00A55E10" w:rsidRDefault="00A55E10" w:rsidP="00A55E10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  <w:r w:rsidRPr="00A55E10">
        <w:rPr>
          <w:rFonts w:eastAsia="Times New Roman" w:cs="Arial"/>
          <w:color w:val="000000"/>
          <w:lang w:eastAsia="bg-BG"/>
        </w:rPr>
        <w:t>На</w:t>
      </w:r>
      <w:r w:rsidRPr="00A55E10">
        <w:rPr>
          <w:rFonts w:eastAsia="Times New Roman" w:cs="Arial"/>
          <w:color w:val="000000"/>
          <w:u w:val="single"/>
          <w:lang w:eastAsia="bg-BG"/>
        </w:rPr>
        <w:t xml:space="preserve">рушения на репродуктивната система и гърдите: </w:t>
      </w:r>
    </w:p>
    <w:p w14:paraId="52117CB1" w14:textId="6E5100DD" w:rsidR="00A55E10" w:rsidRPr="00A55E10" w:rsidRDefault="00A55E10" w:rsidP="00A55E10">
      <w:pPr>
        <w:spacing w:line="240" w:lineRule="auto"/>
        <w:rPr>
          <w:rFonts w:eastAsia="Times New Roman" w:cs="Arial"/>
        </w:rPr>
      </w:pPr>
      <w:r w:rsidRPr="00A55E10">
        <w:rPr>
          <w:rFonts w:eastAsia="Times New Roman" w:cs="Arial"/>
          <w:color w:val="000000"/>
          <w:lang w:eastAsia="bg-BG"/>
        </w:rPr>
        <w:t>Редки: еректилна дисфункция</w:t>
      </w:r>
    </w:p>
    <w:p w14:paraId="0862008E" w14:textId="32BBEBC7" w:rsidR="00A55E10" w:rsidRPr="00A55E10" w:rsidRDefault="00A55E10" w:rsidP="00A55E10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03E96F11" w14:textId="1884B037" w:rsidR="00A55E10" w:rsidRPr="00A55E10" w:rsidRDefault="00A55E10" w:rsidP="00A55E10">
      <w:pPr>
        <w:spacing w:line="240" w:lineRule="auto"/>
        <w:rPr>
          <w:rFonts w:eastAsia="Times New Roman" w:cs="Arial"/>
        </w:rPr>
      </w:pPr>
      <w:r w:rsidRPr="00A55E10">
        <w:rPr>
          <w:rFonts w:eastAsia="Times New Roman" w:cs="Arial"/>
          <w:color w:val="000000"/>
          <w:u w:val="single"/>
          <w:lang w:eastAsia="bg-BG"/>
        </w:rPr>
        <w:t>Психиатрични нарушения:</w:t>
      </w:r>
    </w:p>
    <w:p w14:paraId="2D568DB5" w14:textId="77777777" w:rsidR="00A55E10" w:rsidRPr="00A55E10" w:rsidRDefault="00A55E10" w:rsidP="00A55E10">
      <w:pPr>
        <w:spacing w:line="240" w:lineRule="auto"/>
        <w:rPr>
          <w:rFonts w:eastAsia="Times New Roman" w:cs="Arial"/>
        </w:rPr>
      </w:pPr>
      <w:r w:rsidRPr="00A55E10">
        <w:rPr>
          <w:rFonts w:eastAsia="Times New Roman" w:cs="Arial"/>
          <w:color w:val="000000"/>
          <w:lang w:eastAsia="bg-BG"/>
        </w:rPr>
        <w:t>Нечести: нарушения на съня, депресия</w:t>
      </w:r>
    </w:p>
    <w:p w14:paraId="6ABB188E" w14:textId="07B9CA14" w:rsidR="00A55E10" w:rsidRDefault="00A55E10" w:rsidP="00A55E10">
      <w:pPr>
        <w:rPr>
          <w:rFonts w:eastAsia="Times New Roman" w:cs="Arial"/>
          <w:color w:val="000000"/>
          <w:lang w:eastAsia="bg-BG"/>
        </w:rPr>
      </w:pPr>
      <w:r w:rsidRPr="00A55E10">
        <w:rPr>
          <w:rFonts w:eastAsia="Times New Roman" w:cs="Arial"/>
          <w:color w:val="000000"/>
          <w:lang w:eastAsia="bg-BG"/>
        </w:rPr>
        <w:t>Редки: кошмари, халюцинации</w:t>
      </w:r>
    </w:p>
    <w:p w14:paraId="7D8A02E8" w14:textId="329E6D7A" w:rsidR="00A55E10" w:rsidRDefault="00A55E10" w:rsidP="00A55E10">
      <w:pPr>
        <w:rPr>
          <w:rFonts w:eastAsia="Times New Roman" w:cs="Arial"/>
          <w:color w:val="000000"/>
          <w:lang w:eastAsia="bg-BG"/>
        </w:rPr>
      </w:pPr>
    </w:p>
    <w:p w14:paraId="0DDAB3B1" w14:textId="77777777" w:rsidR="00A55E10" w:rsidRPr="00A55E10" w:rsidRDefault="00A55E10" w:rsidP="00A55E10">
      <w:pPr>
        <w:spacing w:line="240" w:lineRule="auto"/>
        <w:rPr>
          <w:rFonts w:eastAsia="Times New Roman" w:cs="Arial"/>
        </w:rPr>
      </w:pPr>
      <w:r w:rsidRPr="00A55E10">
        <w:rPr>
          <w:rFonts w:eastAsia="Times New Roman" w:cs="Arial"/>
          <w:color w:val="000000"/>
          <w:u w:val="single"/>
          <w:lang w:eastAsia="bg-BG"/>
        </w:rPr>
        <w:t>Съобщаване на подозирани нежелани реакции</w:t>
      </w:r>
    </w:p>
    <w:p w14:paraId="1A2C4E6B" w14:textId="77777777" w:rsidR="00A55E10" w:rsidRPr="00A55E10" w:rsidRDefault="00A55E10" w:rsidP="00A55E10">
      <w:pPr>
        <w:spacing w:line="240" w:lineRule="auto"/>
        <w:rPr>
          <w:rFonts w:eastAsia="Times New Roman" w:cs="Arial"/>
        </w:rPr>
      </w:pPr>
      <w:r w:rsidRPr="00A55E10">
        <w:rPr>
          <w:rFonts w:eastAsia="Times New Roman" w:cs="Arial"/>
          <w:color w:val="000000"/>
          <w:lang w:eastAsia="bg-BG"/>
        </w:rPr>
        <w:t>Съобщаването на подозирани нежелани реакции след разрешаване за употреба на лекарствения продукт е важно. Това позволява да продължи наблюдението на съотношението полза/риск за лекарствения продукт. От медицинските специалисти се изисква да съобщават всяка подозирана нежелана реакция чрез</w:t>
      </w:r>
    </w:p>
    <w:p w14:paraId="30C90C6E" w14:textId="77777777" w:rsidR="00A55E10" w:rsidRPr="00A55E10" w:rsidRDefault="00A55E10" w:rsidP="00A55E10">
      <w:pPr>
        <w:spacing w:line="240" w:lineRule="auto"/>
        <w:rPr>
          <w:rFonts w:eastAsia="Times New Roman" w:cs="Arial"/>
        </w:rPr>
      </w:pPr>
      <w:r w:rsidRPr="00A55E10">
        <w:rPr>
          <w:rFonts w:eastAsia="Times New Roman" w:cs="Arial"/>
          <w:color w:val="000000"/>
          <w:lang w:eastAsia="bg-BG"/>
        </w:rPr>
        <w:lastRenderedPageBreak/>
        <w:t>Изпълнителна агенция по лекарствата</w:t>
      </w:r>
    </w:p>
    <w:p w14:paraId="2BEE9C39" w14:textId="77777777" w:rsidR="00A55E10" w:rsidRPr="00A55E10" w:rsidRDefault="00A55E10" w:rsidP="00A55E10">
      <w:pPr>
        <w:spacing w:line="240" w:lineRule="auto"/>
        <w:rPr>
          <w:rFonts w:eastAsia="Times New Roman" w:cs="Arial"/>
        </w:rPr>
      </w:pPr>
      <w:r w:rsidRPr="00A55E10">
        <w:rPr>
          <w:rFonts w:eastAsia="Times New Roman" w:cs="Arial"/>
          <w:color w:val="000000"/>
          <w:lang w:eastAsia="bg-BG"/>
        </w:rPr>
        <w:t>ул. „Дамян Груев” № 8</w:t>
      </w:r>
    </w:p>
    <w:p w14:paraId="7BEBFC63" w14:textId="77777777" w:rsidR="00A55E10" w:rsidRPr="00A55E10" w:rsidRDefault="00A55E10" w:rsidP="00A55E10">
      <w:pPr>
        <w:spacing w:line="240" w:lineRule="auto"/>
        <w:rPr>
          <w:rFonts w:eastAsia="Times New Roman" w:cs="Arial"/>
        </w:rPr>
      </w:pPr>
      <w:r w:rsidRPr="00A55E10">
        <w:rPr>
          <w:rFonts w:eastAsia="Times New Roman" w:cs="Arial"/>
          <w:color w:val="000000"/>
          <w:lang w:eastAsia="bg-BG"/>
        </w:rPr>
        <w:t>1303 София</w:t>
      </w:r>
    </w:p>
    <w:p w14:paraId="273E5F52" w14:textId="77777777" w:rsidR="00A55E10" w:rsidRPr="00A55E10" w:rsidRDefault="00A55E10" w:rsidP="00A55E10">
      <w:pPr>
        <w:spacing w:line="240" w:lineRule="auto"/>
        <w:rPr>
          <w:rFonts w:eastAsia="Times New Roman" w:cs="Arial"/>
        </w:rPr>
      </w:pPr>
      <w:r w:rsidRPr="00A55E10">
        <w:rPr>
          <w:rFonts w:eastAsia="Times New Roman" w:cs="Arial"/>
          <w:color w:val="000000"/>
          <w:lang w:eastAsia="bg-BG"/>
        </w:rPr>
        <w:t>Тел.:+359 2 8903 417</w:t>
      </w:r>
    </w:p>
    <w:p w14:paraId="1EDBA249" w14:textId="77777777" w:rsidR="00A55E10" w:rsidRPr="00A55E10" w:rsidRDefault="00A55E10" w:rsidP="00A55E10">
      <w:pPr>
        <w:spacing w:line="240" w:lineRule="auto"/>
        <w:rPr>
          <w:rFonts w:eastAsia="Times New Roman" w:cs="Arial"/>
        </w:rPr>
      </w:pPr>
      <w:r w:rsidRPr="00A55E10">
        <w:rPr>
          <w:rFonts w:eastAsia="Times New Roman" w:cs="Arial"/>
          <w:color w:val="000000"/>
          <w:lang w:eastAsia="bg-BG"/>
        </w:rPr>
        <w:t xml:space="preserve">уебсайт: </w:t>
      </w:r>
      <w:hyperlink r:id="rId5" w:history="1">
        <w:r w:rsidRPr="00A55E10">
          <w:rPr>
            <w:rFonts w:eastAsia="Times New Roman" w:cs="Arial"/>
            <w:color w:val="000000"/>
            <w:u w:val="single"/>
            <w:lang w:val="en-US"/>
          </w:rPr>
          <w:t>www.bda.bg</w:t>
        </w:r>
      </w:hyperlink>
    </w:p>
    <w:p w14:paraId="02DAAA14" w14:textId="77777777" w:rsidR="00A55E10" w:rsidRPr="00A55E10" w:rsidRDefault="00A55E10" w:rsidP="00A55E10">
      <w:pPr>
        <w:rPr>
          <w:rFonts w:cs="Arial"/>
        </w:rPr>
      </w:pPr>
    </w:p>
    <w:p w14:paraId="4ED30546" w14:textId="48F71150" w:rsidR="007C605B" w:rsidRDefault="002C50EE" w:rsidP="009F1313">
      <w:pPr>
        <w:pStyle w:val="Heading2"/>
      </w:pPr>
      <w:r>
        <w:t>4.9. Предозиране</w:t>
      </w:r>
    </w:p>
    <w:p w14:paraId="49600433" w14:textId="038E0614" w:rsidR="00A55E10" w:rsidRDefault="00A55E10" w:rsidP="00A55E10"/>
    <w:p w14:paraId="0C12840A" w14:textId="77777777" w:rsidR="00A55E10" w:rsidRPr="00A55E10" w:rsidRDefault="00A55E10" w:rsidP="00A55E10">
      <w:pPr>
        <w:pStyle w:val="Heading3"/>
        <w:rPr>
          <w:rFonts w:eastAsia="Times New Roman"/>
          <w:u w:val="single"/>
        </w:rPr>
      </w:pPr>
      <w:r w:rsidRPr="00A55E10">
        <w:rPr>
          <w:rFonts w:eastAsia="Times New Roman"/>
          <w:u w:val="single"/>
          <w:lang w:eastAsia="bg-BG"/>
        </w:rPr>
        <w:t>Симптоми</w:t>
      </w:r>
    </w:p>
    <w:p w14:paraId="0675A99C" w14:textId="77777777" w:rsidR="00A55E10" w:rsidRDefault="00A55E10" w:rsidP="00A55E10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3D6025AF" w14:textId="5CC180C3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 xml:space="preserve">При предозиране (напр. дневна доза от 15 </w:t>
      </w:r>
      <w:r w:rsidRPr="00A55E10">
        <w:rPr>
          <w:rFonts w:eastAsia="Times New Roman" w:cs="Arial"/>
          <w:color w:val="000000"/>
          <w:lang w:val="en-US"/>
        </w:rPr>
        <w:t xml:space="preserve">mg </w:t>
      </w:r>
      <w:r w:rsidRPr="00A55E10">
        <w:rPr>
          <w:rFonts w:eastAsia="Times New Roman" w:cs="Arial"/>
          <w:color w:val="000000"/>
          <w:lang w:eastAsia="bg-BG"/>
        </w:rPr>
        <w:t xml:space="preserve">вместо 7.5 </w:t>
      </w:r>
      <w:r w:rsidRPr="00A55E10">
        <w:rPr>
          <w:rFonts w:eastAsia="Times New Roman" w:cs="Arial"/>
          <w:color w:val="000000"/>
          <w:lang w:val="en-US"/>
        </w:rPr>
        <w:t xml:space="preserve">mg) </w:t>
      </w:r>
      <w:r w:rsidRPr="00A55E10">
        <w:rPr>
          <w:rFonts w:eastAsia="Times New Roman" w:cs="Arial"/>
          <w:color w:val="000000"/>
          <w:lang w:eastAsia="bg-BG"/>
        </w:rPr>
        <w:t xml:space="preserve">са наблюдавани трета степен </w:t>
      </w:r>
      <w:r w:rsidRPr="00A55E10">
        <w:rPr>
          <w:rFonts w:eastAsia="Times New Roman" w:cs="Arial"/>
          <w:color w:val="000000"/>
          <w:lang w:val="en-US"/>
        </w:rPr>
        <w:t>AV</w:t>
      </w:r>
      <w:r w:rsidRPr="00A55E10">
        <w:rPr>
          <w:rFonts w:eastAsia="Times New Roman" w:cs="Arial"/>
          <w:color w:val="000000"/>
          <w:lang w:eastAsia="bg-BG"/>
        </w:rPr>
        <w:t>-блок, брадикардия и замайване.</w:t>
      </w:r>
    </w:p>
    <w:p w14:paraId="2C92914D" w14:textId="77777777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 xml:space="preserve">Най-честите признаци, очаквани при предозиране с </w:t>
      </w:r>
      <w:r w:rsidRPr="00A55E10">
        <w:rPr>
          <w:rFonts w:eastAsia="Times New Roman" w:cs="Arial"/>
          <w:color w:val="000000"/>
          <w:lang w:val="en-US"/>
        </w:rPr>
        <w:t>β</w:t>
      </w:r>
      <w:r w:rsidRPr="00A55E10">
        <w:rPr>
          <w:rFonts w:eastAsia="Times New Roman" w:cs="Arial"/>
          <w:color w:val="000000"/>
          <w:lang w:eastAsia="bg-BG"/>
        </w:rPr>
        <w:t>-блокери, са брадикардия, хипотензия, бронхоспазъм, остра сърдечна недостатъчност</w:t>
      </w:r>
    </w:p>
    <w:p w14:paraId="0DDD11F0" w14:textId="77777777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 xml:space="preserve">и хипогликемия. Досега са съобщени няколко случая на предозиране с бизопролол (максимум: 2000 </w:t>
      </w:r>
      <w:r w:rsidRPr="00A55E10">
        <w:rPr>
          <w:rFonts w:eastAsia="Times New Roman" w:cs="Arial"/>
          <w:color w:val="000000"/>
          <w:lang w:val="en-US"/>
        </w:rPr>
        <w:t xml:space="preserve">mg) </w:t>
      </w:r>
      <w:r w:rsidRPr="00A55E10">
        <w:rPr>
          <w:rFonts w:eastAsia="Times New Roman" w:cs="Arial"/>
          <w:color w:val="000000"/>
          <w:lang w:eastAsia="bg-BG"/>
        </w:rPr>
        <w:t>при пациенти с хипертония и/или сърдечно-съдово заболяване; всички пациенти са се възстановили. Има широки индивидуални различия в чувствителността към единична висока доза бизопролол и вероятно пациентите със сърдечна недостатъчност са много чувствителни. Затова при тези пациенти лечението задължително трябва да започне с постепенно увеличаване на дозата, съгласно схемата, посочена в т. 4.2.</w:t>
      </w:r>
    </w:p>
    <w:p w14:paraId="7505EB4B" w14:textId="77777777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>Лечение</w:t>
      </w:r>
    </w:p>
    <w:p w14:paraId="7F20848B" w14:textId="77777777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 xml:space="preserve">В случай на предозиране, терапията с бизопролол трябва да се спре и да се проведе поддържащо и симптоматично лечение. Според ограничените данни, малко вероятно е бизопролол да се елиминира чрез диализа. Базирайки се на очакваните фармакологични действия и препоръки за другите </w:t>
      </w:r>
      <w:r w:rsidRPr="00A55E10">
        <w:rPr>
          <w:rFonts w:eastAsia="Times New Roman" w:cs="Arial"/>
          <w:color w:val="000000"/>
          <w:lang w:val="en-US"/>
        </w:rPr>
        <w:t>β</w:t>
      </w:r>
      <w:r w:rsidRPr="00A55E10">
        <w:rPr>
          <w:rFonts w:eastAsia="Times New Roman" w:cs="Arial"/>
          <w:color w:val="000000"/>
          <w:lang w:eastAsia="bg-BG"/>
        </w:rPr>
        <w:t>-блокери, трябва да се имат предвид следните общи мерки, когато това е клинично обосновано.</w:t>
      </w:r>
    </w:p>
    <w:p w14:paraId="3F210C68" w14:textId="77777777" w:rsidR="00A55E10" w:rsidRPr="00A55E10" w:rsidRDefault="00A55E10" w:rsidP="00A55E10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1D89C2B5" w14:textId="27B75412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>Брадикардия: интравенозно приложение на атропин. Ако отговорът е неадекватен, може предпазливо да се даде изопреналин или друго средство с позитивни хронотропни свойства. При някои обстоятелства може да е необходимо трансвенозно въвеждане на пейсмейкър.</w:t>
      </w:r>
    </w:p>
    <w:p w14:paraId="0AB39DBF" w14:textId="77777777" w:rsidR="00A55E10" w:rsidRPr="00A55E10" w:rsidRDefault="00A55E10" w:rsidP="00A55E10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8FF571F" w14:textId="14909BBF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>Хипотензия: приложение на интравенозни течности и вазопресори. Интравенозен глюкагон може да е от полза.</w:t>
      </w:r>
    </w:p>
    <w:p w14:paraId="455CCF7C" w14:textId="77777777" w:rsidR="00A55E10" w:rsidRPr="00A55E10" w:rsidRDefault="00A55E10" w:rsidP="00A55E10">
      <w:pPr>
        <w:spacing w:line="240" w:lineRule="auto"/>
        <w:rPr>
          <w:rFonts w:eastAsia="Times New Roman" w:cs="Arial"/>
          <w:color w:val="000000"/>
          <w:lang w:val="en-US"/>
        </w:rPr>
      </w:pPr>
    </w:p>
    <w:p w14:paraId="06BE110A" w14:textId="2006F11E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val="en-US"/>
        </w:rPr>
        <w:t xml:space="preserve">AV- </w:t>
      </w:r>
      <w:r w:rsidRPr="00A55E10">
        <w:rPr>
          <w:rFonts w:eastAsia="Times New Roman" w:cs="Arial"/>
          <w:color w:val="000000"/>
          <w:lang w:eastAsia="bg-BG"/>
        </w:rPr>
        <w:t>блок (втора и трета степен): пациентите трябва да бъдат внимателно мониторирани и лекувани с изопреналин инфузия или въвеждане на трансвенозен сърдечен пейсмейкър.</w:t>
      </w:r>
    </w:p>
    <w:p w14:paraId="510AA273" w14:textId="77777777" w:rsidR="00A55E10" w:rsidRPr="00A55E10" w:rsidRDefault="00A55E10" w:rsidP="00A55E10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4A058C4" w14:textId="5F4E11B8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 xml:space="preserve">Остро влошаване на сърдечната недостатъчност: </w:t>
      </w:r>
      <w:proofErr w:type="spellStart"/>
      <w:r w:rsidRPr="00A55E10">
        <w:rPr>
          <w:rFonts w:eastAsia="Times New Roman" w:cs="Arial"/>
          <w:color w:val="000000"/>
          <w:lang w:val="en-US"/>
        </w:rPr>
        <w:t>i.v.</w:t>
      </w:r>
      <w:proofErr w:type="spellEnd"/>
      <w:r w:rsidRPr="00A55E10">
        <w:rPr>
          <w:rFonts w:eastAsia="Times New Roman" w:cs="Arial"/>
          <w:color w:val="000000"/>
          <w:lang w:val="en-US"/>
        </w:rPr>
        <w:t xml:space="preserve"> </w:t>
      </w:r>
      <w:r w:rsidRPr="00A55E10">
        <w:rPr>
          <w:rFonts w:eastAsia="Times New Roman" w:cs="Arial"/>
          <w:color w:val="000000"/>
          <w:lang w:eastAsia="bg-BG"/>
        </w:rPr>
        <w:t>приложение на диуретици, инотропни средства, вазодилатиращи средства.</w:t>
      </w:r>
    </w:p>
    <w:p w14:paraId="3A6F6A4E" w14:textId="77777777" w:rsidR="00A55E10" w:rsidRPr="00A55E10" w:rsidRDefault="00A55E10" w:rsidP="00A55E10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567A3084" w14:textId="509D37B8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 xml:space="preserve">Бронхоспазъм: приложение на бронходилататорна терапия като изопреналин, </w:t>
      </w:r>
      <w:r w:rsidRPr="00A55E10">
        <w:rPr>
          <w:rFonts w:eastAsia="Times New Roman" w:cs="Arial"/>
          <w:color w:val="000000"/>
          <w:lang w:val="en-US"/>
        </w:rPr>
        <w:t>β</w:t>
      </w:r>
      <w:r w:rsidRPr="00A55E10">
        <w:rPr>
          <w:rFonts w:eastAsia="Times New Roman" w:cs="Arial"/>
          <w:color w:val="000000"/>
          <w:vertAlign w:val="subscript"/>
          <w:lang w:val="en-US"/>
        </w:rPr>
        <w:t>2</w:t>
      </w:r>
      <w:r w:rsidRPr="00A55E10">
        <w:rPr>
          <w:rFonts w:eastAsia="Times New Roman" w:cs="Arial"/>
          <w:color w:val="000000"/>
          <w:lang w:val="en-US"/>
        </w:rPr>
        <w:t>-</w:t>
      </w:r>
    </w:p>
    <w:p w14:paraId="28A42593" w14:textId="77777777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>симпатикомиметични лекарствени продукти и/или аминофилин</w:t>
      </w:r>
    </w:p>
    <w:p w14:paraId="218D9BC2" w14:textId="77777777" w:rsidR="00A55E10" w:rsidRPr="00A55E10" w:rsidRDefault="00A55E10" w:rsidP="00A55E10">
      <w:pPr>
        <w:rPr>
          <w:rFonts w:eastAsia="Times New Roman" w:cs="Arial"/>
          <w:sz w:val="24"/>
          <w:szCs w:val="24"/>
        </w:rPr>
      </w:pPr>
    </w:p>
    <w:p w14:paraId="7A8BCFCE" w14:textId="622ADDD8" w:rsidR="00A55E10" w:rsidRPr="00A55E10" w:rsidRDefault="00A55E10" w:rsidP="00A55E10">
      <w:pPr>
        <w:rPr>
          <w:rFonts w:cs="Arial"/>
        </w:rPr>
      </w:pPr>
      <w:r w:rsidRPr="00A55E10">
        <w:rPr>
          <w:rFonts w:eastAsia="Times New Roman" w:cs="Arial"/>
          <w:color w:val="000000"/>
          <w:lang w:eastAsia="bg-BG"/>
        </w:rPr>
        <w:t xml:space="preserve">Хипогликемия: </w:t>
      </w:r>
      <w:proofErr w:type="spellStart"/>
      <w:r w:rsidRPr="00A55E10">
        <w:rPr>
          <w:rFonts w:eastAsia="Times New Roman" w:cs="Arial"/>
          <w:color w:val="000000"/>
          <w:lang w:val="en-US"/>
        </w:rPr>
        <w:t>i.v.</w:t>
      </w:r>
      <w:proofErr w:type="spellEnd"/>
      <w:r w:rsidRPr="00A55E10">
        <w:rPr>
          <w:rFonts w:eastAsia="Times New Roman" w:cs="Arial"/>
          <w:color w:val="000000"/>
          <w:lang w:val="en-US"/>
        </w:rPr>
        <w:t xml:space="preserve"> </w:t>
      </w:r>
      <w:r w:rsidRPr="00A55E10">
        <w:rPr>
          <w:rFonts w:eastAsia="Times New Roman" w:cs="Arial"/>
          <w:color w:val="000000"/>
          <w:lang w:eastAsia="bg-BG"/>
        </w:rPr>
        <w:t>приложение на глюкоза.</w:t>
      </w:r>
    </w:p>
    <w:p w14:paraId="02081B24" w14:textId="1F46E296" w:rsidR="00395555" w:rsidRPr="00395555" w:rsidRDefault="002C50EE" w:rsidP="008A6AF2">
      <w:pPr>
        <w:pStyle w:val="Heading1"/>
      </w:pPr>
      <w:r>
        <w:lastRenderedPageBreak/>
        <w:t>5. ФАРМАКОЛОГИЧНИ СВОЙСТВА</w:t>
      </w:r>
    </w:p>
    <w:p w14:paraId="5350637D" w14:textId="6AF8874F" w:rsidR="00395555" w:rsidRDefault="002C50EE" w:rsidP="008A6AF2">
      <w:pPr>
        <w:pStyle w:val="Heading2"/>
      </w:pPr>
      <w:r>
        <w:t>5.1. Фармакодинамични свойства</w:t>
      </w:r>
    </w:p>
    <w:p w14:paraId="1D595F8A" w14:textId="52FBBAB4" w:rsidR="00A55E10" w:rsidRDefault="00A55E10" w:rsidP="00A55E10"/>
    <w:p w14:paraId="685DAFA8" w14:textId="77777777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 xml:space="preserve">Фармакотерапевтична група: </w:t>
      </w:r>
      <w:r w:rsidRPr="00A55E10">
        <w:rPr>
          <w:rFonts w:eastAsia="Times New Roman" w:cs="Arial"/>
          <w:color w:val="000000"/>
          <w:lang w:val="en-US"/>
        </w:rPr>
        <w:t>p</w:t>
      </w:r>
      <w:r w:rsidRPr="00A55E10">
        <w:rPr>
          <w:rFonts w:eastAsia="Times New Roman" w:cs="Arial"/>
          <w:color w:val="000000"/>
          <w:lang w:eastAsia="bg-BG"/>
        </w:rPr>
        <w:t>-блокер, селективен</w:t>
      </w:r>
    </w:p>
    <w:p w14:paraId="6D28A362" w14:textId="77777777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>АТС код: С07АВ07</w:t>
      </w:r>
    </w:p>
    <w:p w14:paraId="2CD2DFED" w14:textId="77777777" w:rsidR="00A55E10" w:rsidRPr="00A55E10" w:rsidRDefault="00A55E10" w:rsidP="00A55E10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B10E142" w14:textId="521939FF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>Механизъм на действие</w:t>
      </w:r>
    </w:p>
    <w:p w14:paraId="619E8827" w14:textId="77777777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 xml:space="preserve">Бизопролол е високо </w:t>
      </w:r>
      <w:r w:rsidRPr="00A55E10">
        <w:rPr>
          <w:rFonts w:eastAsia="Times New Roman" w:cs="Arial"/>
          <w:color w:val="000000"/>
          <w:lang w:val="en-US"/>
        </w:rPr>
        <w:t>β</w:t>
      </w:r>
      <w:r w:rsidRPr="00A55E10">
        <w:rPr>
          <w:rFonts w:eastAsia="Times New Roman" w:cs="Arial"/>
          <w:color w:val="000000"/>
          <w:vertAlign w:val="subscript"/>
          <w:lang w:val="en-US"/>
        </w:rPr>
        <w:t>1</w:t>
      </w:r>
      <w:r w:rsidRPr="00A55E10">
        <w:rPr>
          <w:rFonts w:eastAsia="Times New Roman" w:cs="Arial"/>
          <w:color w:val="000000"/>
          <w:lang w:eastAsia="bg-BG"/>
        </w:rPr>
        <w:t xml:space="preserve">-селективен адренорецепторен блокиращ агент, лишен от вътрешна симпатомиметична активност и на свързаната с нея мембраностабилизираща активност. Той показва само слаб афинитет към </w:t>
      </w:r>
      <w:r w:rsidRPr="00A55E10">
        <w:rPr>
          <w:rFonts w:eastAsia="Times New Roman" w:cs="Arial"/>
          <w:color w:val="000000"/>
          <w:lang w:val="en-US"/>
        </w:rPr>
        <w:t>β</w:t>
      </w:r>
      <w:r w:rsidRPr="00A55E10">
        <w:rPr>
          <w:rFonts w:eastAsia="Times New Roman" w:cs="Arial"/>
          <w:color w:val="000000"/>
          <w:vertAlign w:val="subscript"/>
          <w:lang w:eastAsia="bg-BG"/>
        </w:rPr>
        <w:t>2</w:t>
      </w:r>
      <w:r w:rsidRPr="00A55E10">
        <w:rPr>
          <w:rFonts w:eastAsia="Times New Roman" w:cs="Arial"/>
          <w:color w:val="000000"/>
          <w:lang w:eastAsia="bg-BG"/>
        </w:rPr>
        <w:t xml:space="preserve">-рецепторите на гладките мускули на бронхите и съдовете, както и на </w:t>
      </w:r>
      <w:r w:rsidRPr="00A55E10">
        <w:rPr>
          <w:rFonts w:eastAsia="Times New Roman" w:cs="Arial"/>
          <w:color w:val="000000"/>
          <w:lang w:val="en-US"/>
        </w:rPr>
        <w:t>β</w:t>
      </w:r>
      <w:r w:rsidRPr="00A55E10">
        <w:rPr>
          <w:rFonts w:eastAsia="Times New Roman" w:cs="Arial"/>
          <w:color w:val="000000"/>
          <w:vertAlign w:val="subscript"/>
          <w:lang w:val="en-US"/>
        </w:rPr>
        <w:t>2</w:t>
      </w:r>
      <w:r w:rsidRPr="00A55E10">
        <w:rPr>
          <w:rFonts w:eastAsia="Times New Roman" w:cs="Arial"/>
          <w:color w:val="000000"/>
          <w:lang w:eastAsia="bg-BG"/>
        </w:rPr>
        <w:t xml:space="preserve">-рецепторите на метаболитната регулация. Затова, по принцип, не се очаква бизопролол да влияе на дихателната резистентност и </w:t>
      </w:r>
      <w:r w:rsidRPr="00A55E10">
        <w:rPr>
          <w:rFonts w:eastAsia="Times New Roman" w:cs="Arial"/>
          <w:color w:val="000000"/>
          <w:lang w:val="en-US"/>
        </w:rPr>
        <w:t>β</w:t>
      </w:r>
      <w:r w:rsidRPr="00A55E10">
        <w:rPr>
          <w:rFonts w:eastAsia="Times New Roman" w:cs="Arial"/>
          <w:color w:val="000000"/>
          <w:vertAlign w:val="subscript"/>
          <w:lang w:val="en-US"/>
        </w:rPr>
        <w:t>2</w:t>
      </w:r>
      <w:r w:rsidRPr="00A55E10">
        <w:rPr>
          <w:rFonts w:eastAsia="Times New Roman" w:cs="Arial"/>
          <w:color w:val="000000"/>
          <w:lang w:eastAsia="bg-BG"/>
        </w:rPr>
        <w:t>-медиираните метаболитни ефекти. Бета</w:t>
      </w:r>
      <w:r w:rsidRPr="00A55E10">
        <w:rPr>
          <w:rFonts w:eastAsia="Times New Roman" w:cs="Arial"/>
          <w:color w:val="000000"/>
          <w:vertAlign w:val="subscript"/>
          <w:lang w:eastAsia="bg-BG"/>
        </w:rPr>
        <w:t>1</w:t>
      </w:r>
      <w:r w:rsidRPr="00A55E10">
        <w:rPr>
          <w:rFonts w:eastAsia="Times New Roman" w:cs="Arial"/>
          <w:color w:val="000000"/>
          <w:lang w:eastAsia="bg-BG"/>
        </w:rPr>
        <w:t>-селективността на бизопролол е извън терапевтичните дозови граници.</w:t>
      </w:r>
    </w:p>
    <w:p w14:paraId="4EB35D90" w14:textId="77777777" w:rsidR="00A55E10" w:rsidRPr="00A55E10" w:rsidRDefault="00A55E10" w:rsidP="00A55E10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19DA1E95" w14:textId="7C972D57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>Клинична ефикасност и безопасност</w:t>
      </w:r>
    </w:p>
    <w:p w14:paraId="5FD3E882" w14:textId="77777777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 xml:space="preserve">Общо 2 647 пациенти бяха включени в проучването </w:t>
      </w:r>
      <w:r w:rsidRPr="00A55E10">
        <w:rPr>
          <w:rFonts w:eastAsia="Times New Roman" w:cs="Arial"/>
          <w:color w:val="000000"/>
          <w:lang w:val="en-US"/>
        </w:rPr>
        <w:t xml:space="preserve">CIBIS </w:t>
      </w:r>
      <w:r w:rsidRPr="00A55E10">
        <w:rPr>
          <w:rFonts w:eastAsia="Times New Roman" w:cs="Arial"/>
          <w:color w:val="000000"/>
          <w:lang w:eastAsia="bg-BG"/>
        </w:rPr>
        <w:t>II. 83% (</w:t>
      </w:r>
      <w:r w:rsidRPr="00A55E10">
        <w:rPr>
          <w:rFonts w:eastAsia="Times New Roman" w:cs="Arial"/>
          <w:color w:val="000000"/>
          <w:lang w:val="en-US"/>
        </w:rPr>
        <w:t>n</w:t>
      </w:r>
      <w:r w:rsidRPr="00A55E10">
        <w:rPr>
          <w:rFonts w:eastAsia="Times New Roman" w:cs="Arial"/>
          <w:color w:val="000000"/>
          <w:lang w:eastAsia="bg-BG"/>
        </w:rPr>
        <w:t xml:space="preserve">=2 202) бяха от клас III на </w:t>
      </w:r>
      <w:r w:rsidRPr="00A55E10">
        <w:rPr>
          <w:rFonts w:eastAsia="Times New Roman" w:cs="Arial"/>
          <w:color w:val="000000"/>
          <w:lang w:val="en-US"/>
        </w:rPr>
        <w:t xml:space="preserve">NYHA, </w:t>
      </w:r>
      <w:r w:rsidRPr="00A55E10">
        <w:rPr>
          <w:rFonts w:eastAsia="Times New Roman" w:cs="Arial"/>
          <w:color w:val="000000"/>
          <w:lang w:eastAsia="bg-BG"/>
        </w:rPr>
        <w:t>а 17% (</w:t>
      </w:r>
      <w:r w:rsidRPr="00A55E10">
        <w:rPr>
          <w:rFonts w:eastAsia="Times New Roman" w:cs="Arial"/>
          <w:color w:val="000000"/>
          <w:lang w:val="en-US"/>
        </w:rPr>
        <w:t>n</w:t>
      </w:r>
      <w:r w:rsidRPr="00A55E10">
        <w:rPr>
          <w:rFonts w:eastAsia="Times New Roman" w:cs="Arial"/>
          <w:color w:val="000000"/>
          <w:lang w:eastAsia="bg-BG"/>
        </w:rPr>
        <w:t xml:space="preserve">=445) - от клас IV на </w:t>
      </w:r>
      <w:r w:rsidRPr="00A55E10">
        <w:rPr>
          <w:rFonts w:eastAsia="Times New Roman" w:cs="Arial"/>
          <w:color w:val="000000"/>
          <w:lang w:val="en-US"/>
        </w:rPr>
        <w:t xml:space="preserve">NYHA. </w:t>
      </w:r>
      <w:r w:rsidRPr="00A55E10">
        <w:rPr>
          <w:rFonts w:eastAsia="Times New Roman" w:cs="Arial"/>
          <w:color w:val="000000"/>
          <w:lang w:eastAsia="bg-BG"/>
        </w:rPr>
        <w:t xml:space="preserve">Те имаха стабилна симптоматична систолна сърдечна недостатъчност (фракция на изтласкване </w:t>
      </w:r>
      <w:r w:rsidRPr="00A55E10">
        <w:rPr>
          <w:rFonts w:eastAsia="Times New Roman" w:cs="Arial"/>
          <w:color w:val="000000"/>
          <w:lang w:val="en-US"/>
        </w:rPr>
        <w:t>≤</w:t>
      </w:r>
      <w:r w:rsidRPr="00A55E10">
        <w:rPr>
          <w:rFonts w:eastAsia="Times New Roman" w:cs="Arial"/>
          <w:color w:val="000000"/>
          <w:lang w:eastAsia="bg-BG"/>
        </w:rPr>
        <w:t xml:space="preserve"> 35%, на база ехокардиография). Общата смъртност беше намалена от 17.3% до 11.8% (относително намаление от 34%). Бяха отчетени намаление на внезапната смъртност (3.6% спрямо 6.3%, относително намаление 44%) и намален брой на случаите със сърдечна недостатъчност, изискващи хоспитализация (12% срещу 17.6%, относително намаление 36%). Наблюдавано е и значително подобрение на функционалния статус според класификацията на </w:t>
      </w:r>
      <w:r w:rsidRPr="00A55E10">
        <w:rPr>
          <w:rFonts w:eastAsia="Times New Roman" w:cs="Arial"/>
          <w:color w:val="000000"/>
          <w:lang w:val="en-US"/>
        </w:rPr>
        <w:t xml:space="preserve">NYHA. </w:t>
      </w:r>
      <w:r w:rsidRPr="00A55E10">
        <w:rPr>
          <w:rFonts w:eastAsia="Times New Roman" w:cs="Arial"/>
          <w:color w:val="000000"/>
          <w:lang w:eastAsia="bg-BG"/>
        </w:rPr>
        <w:t>В началото на терапията и по време на титрирането на бизопролол са отчетени случаи на хоспитализация поради поява на брадикардия (0.53%), хипотензия (0.23%) и остра декомпенсация (4.97%), но те не са по-чести отколкото в плацебо групата (0%, 0.3% и 6.74%). Броят на фаталните и инвалидизиращи удари по време на цялото изследване са 20 в групата с бизопролол и 15 в плацебо групата.</w:t>
      </w:r>
    </w:p>
    <w:p w14:paraId="563CFBDD" w14:textId="77777777" w:rsidR="00A55E10" w:rsidRPr="00A55E10" w:rsidRDefault="00A55E10" w:rsidP="00A55E10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5F8BADC6" w14:textId="67197226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 xml:space="preserve">В клиничното проучване </w:t>
      </w:r>
      <w:r w:rsidRPr="00A55E10">
        <w:rPr>
          <w:rFonts w:eastAsia="Times New Roman" w:cs="Arial"/>
          <w:color w:val="000000"/>
          <w:lang w:val="en-US"/>
        </w:rPr>
        <w:t xml:space="preserve">CIBIS </w:t>
      </w:r>
      <w:r w:rsidRPr="00A55E10">
        <w:rPr>
          <w:rFonts w:eastAsia="Times New Roman" w:cs="Arial"/>
          <w:color w:val="000000"/>
          <w:lang w:eastAsia="bg-BG"/>
        </w:rPr>
        <w:t xml:space="preserve">III са изследвани 1010 пациенти на възраст </w:t>
      </w:r>
      <w:r w:rsidRPr="00A55E10">
        <w:rPr>
          <w:rFonts w:eastAsia="Times New Roman" w:cs="Arial"/>
          <w:color w:val="000000"/>
          <w:lang w:val="en-US"/>
        </w:rPr>
        <w:t>≥</w:t>
      </w:r>
      <w:r w:rsidRPr="00A55E10">
        <w:rPr>
          <w:rFonts w:eastAsia="Times New Roman" w:cs="Arial"/>
          <w:color w:val="000000"/>
          <w:lang w:eastAsia="bg-BG"/>
        </w:rPr>
        <w:t xml:space="preserve"> 65 години с лека до умерена хронична сърдечна недостатъчност </w:t>
      </w:r>
      <w:r w:rsidRPr="00A55E10">
        <w:rPr>
          <w:rFonts w:eastAsia="Times New Roman" w:cs="Arial"/>
          <w:color w:val="000000"/>
          <w:lang w:val="en-US"/>
        </w:rPr>
        <w:t xml:space="preserve">(CHF; </w:t>
      </w:r>
      <w:r w:rsidRPr="00A55E10">
        <w:rPr>
          <w:rFonts w:eastAsia="Times New Roman" w:cs="Arial"/>
          <w:color w:val="000000"/>
          <w:lang w:eastAsia="bg-BG"/>
        </w:rPr>
        <w:t xml:space="preserve">II или III клас </w:t>
      </w:r>
      <w:r w:rsidRPr="00A55E10">
        <w:rPr>
          <w:rFonts w:eastAsia="Times New Roman" w:cs="Arial"/>
          <w:color w:val="000000"/>
          <w:lang w:val="en-US"/>
        </w:rPr>
        <w:t xml:space="preserve">NYHA) </w:t>
      </w:r>
      <w:r w:rsidRPr="00A55E10">
        <w:rPr>
          <w:rFonts w:eastAsia="Times New Roman" w:cs="Arial"/>
          <w:color w:val="000000"/>
          <w:lang w:eastAsia="bg-BG"/>
        </w:rPr>
        <w:t xml:space="preserve">и лява вентрикуларна фракция на изтласкване </w:t>
      </w:r>
      <w:r w:rsidRPr="00A55E10">
        <w:rPr>
          <w:rFonts w:eastAsia="Times New Roman" w:cs="Arial"/>
          <w:color w:val="000000"/>
          <w:lang w:val="en-US"/>
        </w:rPr>
        <w:t>≤</w:t>
      </w:r>
      <w:r w:rsidRPr="00A55E10">
        <w:rPr>
          <w:rFonts w:eastAsia="Times New Roman" w:cs="Arial"/>
          <w:color w:val="000000"/>
          <w:lang w:eastAsia="bg-BG"/>
        </w:rPr>
        <w:t xml:space="preserve"> 35%, които не са били лекувани преди с</w:t>
      </w:r>
    </w:p>
    <w:p w14:paraId="0C966A03" w14:textId="77777777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 xml:space="preserve">АСЕ инхибитори, бета-блокери или ангиотензин рецепторни блокери. Изследването сравнява безопасността и ефективността на първоначална шестмесечна монотерапия с бизопролол (таргетна доза 10 </w:t>
      </w:r>
      <w:r w:rsidRPr="00A55E10">
        <w:rPr>
          <w:rFonts w:eastAsia="Times New Roman" w:cs="Arial"/>
          <w:color w:val="000000"/>
          <w:lang w:val="en-US"/>
        </w:rPr>
        <w:t xml:space="preserve">mg </w:t>
      </w:r>
      <w:r w:rsidRPr="00A55E10">
        <w:rPr>
          <w:rFonts w:eastAsia="Times New Roman" w:cs="Arial"/>
          <w:color w:val="000000"/>
          <w:lang w:eastAsia="bg-BG"/>
        </w:rPr>
        <w:t xml:space="preserve">веднъж дневно) към която се прибавя АСЕ инхибитора еналаприл (таргетна доза 10 </w:t>
      </w:r>
      <w:r w:rsidRPr="00A55E10">
        <w:rPr>
          <w:rFonts w:eastAsia="Times New Roman" w:cs="Arial"/>
          <w:color w:val="000000"/>
          <w:lang w:val="en-US"/>
        </w:rPr>
        <w:t xml:space="preserve">mg </w:t>
      </w:r>
      <w:r w:rsidRPr="00A55E10">
        <w:rPr>
          <w:rFonts w:eastAsia="Times New Roman" w:cs="Arial"/>
          <w:color w:val="000000"/>
          <w:lang w:eastAsia="bg-BG"/>
        </w:rPr>
        <w:t>два пъти дневно) в продължение на още 6 до 24 месеца, с противоположната последователност на първоначалното лечение. Всяка група се състои от 505 пациенти.</w:t>
      </w:r>
    </w:p>
    <w:p w14:paraId="016DA9D8" w14:textId="77777777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>Двете стратегии са сляпо сравнени както по отношение на комбинираната обща крайна цел - обща смъртност или хоспитализация, така и по отношение на всеки от тези компоненти поотделно. От лекуваните пациенти общата крайна цел е постигната при 178 пациенти (35.2%)от групата, лекувани първо с бизопролол срещу 186 пациенти (36.8%)от групата, лекувани първо с еналаприл, което показва че лечението, започнало с бизопролол е сравнимо по ефективност (с не по-ниски резултати)като лечението, започнало с еналаприл. При първоначално лечение с бизопролол са починали 65 пациенти срещу 73, лекувани първо с еналаприл (между групова разлика р=0.44) и 151 срещу 157 хоспитализирани пациенти (р=066). Броят на сериозни и общи нежелани лекарствени реакции е подобен за двете групи. Анализът на данните за първата година показва незначителна тенденция към намаляване на общата смъртност на</w:t>
      </w:r>
      <w:r w:rsidRPr="00A55E10">
        <w:rPr>
          <w:rFonts w:eastAsia="Times New Roman" w:cs="Arial"/>
          <w:color w:val="000000"/>
          <w:lang w:val="en-US"/>
        </w:rPr>
        <w:t xml:space="preserve"> </w:t>
      </w:r>
      <w:r w:rsidRPr="00A55E10">
        <w:rPr>
          <w:rFonts w:eastAsia="Times New Roman" w:cs="Arial"/>
          <w:color w:val="000000"/>
          <w:lang w:eastAsia="bg-BG"/>
        </w:rPr>
        <w:t xml:space="preserve">групата, </w:t>
      </w:r>
      <w:r w:rsidRPr="00A55E10">
        <w:rPr>
          <w:rFonts w:eastAsia="Times New Roman" w:cs="Arial"/>
          <w:color w:val="000000"/>
          <w:lang w:eastAsia="bg-BG"/>
        </w:rPr>
        <w:lastRenderedPageBreak/>
        <w:t>лекувана първо с бизопролол, с 31% в сравнение с тази, лекувана първо с еналаприл. Статистически значимото намаляване на риска от внезапна смърт с 46% (р=0.049) през първата година главно допринася за по-добрата преживяемост на групата, лекувана първо с бизопролол.</w:t>
      </w:r>
    </w:p>
    <w:p w14:paraId="1E367185" w14:textId="685AFE8F" w:rsidR="00A55E10" w:rsidRDefault="00A55E10" w:rsidP="00A55E10"/>
    <w:p w14:paraId="215FBE6D" w14:textId="77777777" w:rsidR="00A55E10" w:rsidRPr="00A55E10" w:rsidRDefault="00A55E10" w:rsidP="00A55E10">
      <w:pPr>
        <w:rPr>
          <w:sz w:val="24"/>
          <w:szCs w:val="24"/>
        </w:rPr>
      </w:pPr>
      <w:r w:rsidRPr="00A55E10">
        <w:rPr>
          <w:lang w:eastAsia="bg-BG"/>
        </w:rPr>
        <w:t>Двете стратегии за начало на лечение на хронична сърдечна недостатъчност показват подобни общи резултати по отношение на смъртност и хоспитализация, както и тенденция към удължена преживяемост, по-специално чрез редукция на внезапната смърт, наблюдавана при групата, лекувана първо с бизопролол, Резултатите показват, че поради сходната безопасност и ефикасност, лечението на хронична сърдечна недостатъчност може да започне или с бизопролол, или с еналаприл.</w:t>
      </w:r>
    </w:p>
    <w:p w14:paraId="711929D2" w14:textId="6B4FE2B3" w:rsidR="00A55E10" w:rsidRPr="00A55E10" w:rsidRDefault="00A55E10" w:rsidP="00A55E10">
      <w:pPr>
        <w:rPr>
          <w:sz w:val="24"/>
          <w:szCs w:val="24"/>
        </w:rPr>
      </w:pPr>
      <w:r w:rsidRPr="00A55E10">
        <w:rPr>
          <w:lang w:eastAsia="bg-BG"/>
        </w:rPr>
        <w:t>Бизопролол също така се прилага за лечение на хипертония и стенокардия.</w:t>
      </w:r>
    </w:p>
    <w:p w14:paraId="3A410FE4" w14:textId="77777777" w:rsidR="00A55E10" w:rsidRDefault="00A55E10" w:rsidP="00A55E10">
      <w:pPr>
        <w:rPr>
          <w:lang w:eastAsia="bg-BG"/>
        </w:rPr>
      </w:pPr>
    </w:p>
    <w:p w14:paraId="6D664F67" w14:textId="72B8E549" w:rsidR="00A55E10" w:rsidRPr="00A55E10" w:rsidRDefault="00A55E10" w:rsidP="00A55E10">
      <w:pPr>
        <w:rPr>
          <w:sz w:val="24"/>
          <w:szCs w:val="24"/>
        </w:rPr>
      </w:pPr>
      <w:r w:rsidRPr="00A55E10">
        <w:rPr>
          <w:lang w:eastAsia="bg-BG"/>
        </w:rPr>
        <w:t>При интензивна терапия при пациенти с коронарно сърдечно заболяване без хронична сърдечна недостатъчност, бизопролол намалява сърдечната честота и ударния обем, вследствие на което намаляват сърдечния дебит и кислородната консумация. При хронично приложение, първоначално увеличената периферна резистентност, намалява.</w:t>
      </w:r>
    </w:p>
    <w:p w14:paraId="05E4968F" w14:textId="77777777" w:rsidR="00A55E10" w:rsidRPr="00A55E10" w:rsidRDefault="00A55E10" w:rsidP="00A55E10"/>
    <w:p w14:paraId="26535098" w14:textId="6D0B66BB" w:rsidR="00395555" w:rsidRDefault="002C50EE" w:rsidP="008A6AF2">
      <w:pPr>
        <w:pStyle w:val="Heading2"/>
      </w:pPr>
      <w:r>
        <w:t>5.2. Фармакокинетични свойства</w:t>
      </w:r>
    </w:p>
    <w:p w14:paraId="69710A05" w14:textId="309A45D9" w:rsidR="00A55E10" w:rsidRDefault="00A55E10" w:rsidP="00A55E10"/>
    <w:p w14:paraId="35472FE6" w14:textId="77777777" w:rsidR="00A55E10" w:rsidRPr="00A55E10" w:rsidRDefault="00A55E10" w:rsidP="00A55E10">
      <w:pPr>
        <w:pStyle w:val="Heading3"/>
        <w:rPr>
          <w:rFonts w:eastAsia="Times New Roman"/>
          <w:u w:val="single"/>
        </w:rPr>
      </w:pPr>
      <w:r w:rsidRPr="00A55E10">
        <w:rPr>
          <w:rFonts w:eastAsia="Times New Roman"/>
          <w:u w:val="single"/>
          <w:lang w:eastAsia="bg-BG"/>
        </w:rPr>
        <w:t>Абсорбция</w:t>
      </w:r>
    </w:p>
    <w:p w14:paraId="07054AEC" w14:textId="77777777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>Бизопролол се абсорбира и има биологична наличност около 90% след орално приложение. Свързването на бизопролол с плазмените протеини е около 30%.</w:t>
      </w:r>
    </w:p>
    <w:p w14:paraId="43FECBC0" w14:textId="77777777" w:rsidR="00A55E10" w:rsidRPr="00A55E10" w:rsidRDefault="00A55E10" w:rsidP="00A55E10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7117F455" w14:textId="5926E3D2" w:rsidR="00A55E10" w:rsidRPr="00A55E10" w:rsidRDefault="00A55E10" w:rsidP="00A55E10">
      <w:pPr>
        <w:pStyle w:val="Heading3"/>
        <w:rPr>
          <w:rFonts w:eastAsia="Times New Roman"/>
          <w:u w:val="single"/>
        </w:rPr>
      </w:pPr>
      <w:r w:rsidRPr="00A55E10">
        <w:rPr>
          <w:rFonts w:eastAsia="Times New Roman"/>
          <w:u w:val="single"/>
          <w:lang w:eastAsia="bg-BG"/>
        </w:rPr>
        <w:t>Разпределение</w:t>
      </w:r>
    </w:p>
    <w:p w14:paraId="3F054E59" w14:textId="77777777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 xml:space="preserve">Обемът на разпределение е 3.5 </w:t>
      </w:r>
      <w:r w:rsidRPr="00A55E10">
        <w:rPr>
          <w:rFonts w:eastAsia="Times New Roman" w:cs="Arial"/>
          <w:color w:val="000000"/>
          <w:lang w:val="en-US"/>
        </w:rPr>
        <w:t xml:space="preserve">1/kg. </w:t>
      </w:r>
      <w:r w:rsidRPr="00A55E10">
        <w:rPr>
          <w:rFonts w:eastAsia="Times New Roman" w:cs="Arial"/>
          <w:color w:val="000000"/>
          <w:lang w:eastAsia="bg-BG"/>
        </w:rPr>
        <w:t xml:space="preserve">Общият клиърънс е приблизително 15 </w:t>
      </w:r>
      <w:r w:rsidRPr="00A55E10">
        <w:rPr>
          <w:rFonts w:eastAsia="Times New Roman" w:cs="Arial"/>
          <w:color w:val="000000"/>
          <w:lang w:val="en-US"/>
        </w:rPr>
        <w:t xml:space="preserve">1/kg. </w:t>
      </w:r>
      <w:r w:rsidRPr="00A55E10">
        <w:rPr>
          <w:rFonts w:eastAsia="Times New Roman" w:cs="Arial"/>
          <w:color w:val="000000"/>
          <w:lang w:eastAsia="bg-BG"/>
        </w:rPr>
        <w:t>10-12 часовия плазмен полуживот, води до 24-часов ефект след еднократна дневна доза.</w:t>
      </w:r>
    </w:p>
    <w:p w14:paraId="57BBC2A4" w14:textId="77777777" w:rsidR="00A55E10" w:rsidRPr="00A55E10" w:rsidRDefault="00A55E10" w:rsidP="00A55E10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499B94B5" w14:textId="06892E24" w:rsidR="00A55E10" w:rsidRPr="00A55E10" w:rsidRDefault="00A55E10" w:rsidP="00A55E10">
      <w:pPr>
        <w:pStyle w:val="Heading3"/>
        <w:rPr>
          <w:rFonts w:eastAsia="Times New Roman"/>
          <w:u w:val="single"/>
        </w:rPr>
      </w:pPr>
      <w:r w:rsidRPr="00A55E10">
        <w:rPr>
          <w:rFonts w:eastAsia="Times New Roman"/>
          <w:u w:val="single"/>
          <w:lang w:eastAsia="bg-BG"/>
        </w:rPr>
        <w:t>Елиминиране</w:t>
      </w:r>
    </w:p>
    <w:p w14:paraId="70A4BE90" w14:textId="77777777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>Бизопролол се елиминира от организма по два пътя. 50% се метаболизират от черния дроб до неактивни метаболити, които след това се екскретират чрез бъбреците. Останалите 50% се отделят от бъбреците в неметаболизирана форма. Тъй като елиминирането се извършва през бъбреците и черния дроб в еднаква степен, не се изисква адаптиране на дозата при пациенти с нарушена чернодробна функция или бъбречна недостатъчност.</w:t>
      </w:r>
    </w:p>
    <w:p w14:paraId="0F5D3A10" w14:textId="77777777" w:rsidR="00A55E10" w:rsidRPr="00A55E10" w:rsidRDefault="00A55E10" w:rsidP="00A55E10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7B2FA035" w14:textId="1E49C6D2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>Фармакокинетиката при пациенти със стабилна хронична сърдечна недостатъчност и бъбречни или чернодробни нарушения не е изучена.</w:t>
      </w:r>
    </w:p>
    <w:p w14:paraId="3414D55B" w14:textId="77777777" w:rsidR="00A55E10" w:rsidRPr="00A55E10" w:rsidRDefault="00A55E10" w:rsidP="00A55E10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6D2201DE" w14:textId="5E2E5F8F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>Бизопролол ималинеарна, възрастово-независима кинетика.</w:t>
      </w:r>
    </w:p>
    <w:p w14:paraId="35321A79" w14:textId="77777777" w:rsidR="00A55E10" w:rsidRPr="00A55E10" w:rsidRDefault="00A55E10" w:rsidP="00A55E10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CAEA226" w14:textId="628F796C" w:rsidR="00A55E10" w:rsidRPr="00A55E10" w:rsidRDefault="00A55E10" w:rsidP="00A55E10">
      <w:pPr>
        <w:spacing w:line="240" w:lineRule="auto"/>
        <w:rPr>
          <w:rFonts w:eastAsia="Times New Roman" w:cs="Arial"/>
          <w:sz w:val="24"/>
          <w:szCs w:val="24"/>
        </w:rPr>
      </w:pPr>
      <w:r w:rsidRPr="00A55E10">
        <w:rPr>
          <w:rFonts w:eastAsia="Times New Roman" w:cs="Arial"/>
          <w:color w:val="000000"/>
          <w:lang w:eastAsia="bg-BG"/>
        </w:rPr>
        <w:t xml:space="preserve">При пациенти с хронична сърдечна недостатъчност (III стадий по </w:t>
      </w:r>
      <w:r w:rsidRPr="00A55E10">
        <w:rPr>
          <w:rFonts w:eastAsia="Times New Roman" w:cs="Arial"/>
          <w:color w:val="000000"/>
          <w:lang w:val="en-US"/>
        </w:rPr>
        <w:t xml:space="preserve">NYHA) </w:t>
      </w:r>
      <w:r w:rsidRPr="00A55E10">
        <w:rPr>
          <w:rFonts w:eastAsia="Times New Roman" w:cs="Arial"/>
          <w:color w:val="000000"/>
          <w:lang w:eastAsia="bg-BG"/>
        </w:rPr>
        <w:t xml:space="preserve">плазмените нива на бизопролол са по-високи и периодът на полуживот е удължен в сравнение със здрави доброволци. Максималната плазмена концентрация в стабилно състояние е 64 </w:t>
      </w:r>
      <w:r w:rsidRPr="00A55E10">
        <w:rPr>
          <w:rFonts w:eastAsia="Times New Roman" w:cs="Arial"/>
          <w:color w:val="000000"/>
          <w:lang w:val="en-US"/>
        </w:rPr>
        <w:t>±</w:t>
      </w:r>
      <w:r w:rsidRPr="00A55E10">
        <w:rPr>
          <w:rFonts w:eastAsia="Times New Roman" w:cs="Arial"/>
          <w:color w:val="000000"/>
          <w:lang w:eastAsia="bg-BG"/>
        </w:rPr>
        <w:t xml:space="preserve"> 21 </w:t>
      </w:r>
      <w:r w:rsidRPr="00A55E10">
        <w:rPr>
          <w:rFonts w:eastAsia="Times New Roman" w:cs="Arial"/>
          <w:color w:val="000000"/>
          <w:lang w:val="en-US"/>
        </w:rPr>
        <w:t xml:space="preserve">mg/ml </w:t>
      </w:r>
      <w:r w:rsidRPr="00A55E10">
        <w:rPr>
          <w:rFonts w:eastAsia="Times New Roman" w:cs="Arial"/>
          <w:color w:val="000000"/>
          <w:lang w:eastAsia="bg-BG"/>
        </w:rPr>
        <w:t xml:space="preserve">при дневна доза от 10 </w:t>
      </w:r>
      <w:r w:rsidRPr="00A55E10">
        <w:rPr>
          <w:rFonts w:eastAsia="Times New Roman" w:cs="Arial"/>
          <w:color w:val="000000"/>
          <w:lang w:val="en-US"/>
        </w:rPr>
        <w:t xml:space="preserve">mg </w:t>
      </w:r>
      <w:r w:rsidRPr="00A55E10">
        <w:rPr>
          <w:rFonts w:eastAsia="Times New Roman" w:cs="Arial"/>
          <w:color w:val="000000"/>
          <w:lang w:eastAsia="bg-BG"/>
        </w:rPr>
        <w:t xml:space="preserve">и периодът на полуразпад е 17 </w:t>
      </w:r>
      <w:r w:rsidRPr="00A55E10">
        <w:rPr>
          <w:rFonts w:eastAsia="Times New Roman" w:cs="Arial"/>
          <w:color w:val="000000"/>
          <w:lang w:val="en-US"/>
        </w:rPr>
        <w:t>±</w:t>
      </w:r>
      <w:r w:rsidRPr="00A55E10">
        <w:rPr>
          <w:rFonts w:eastAsia="Times New Roman" w:cs="Arial"/>
          <w:color w:val="000000"/>
          <w:lang w:eastAsia="bg-BG"/>
        </w:rPr>
        <w:t xml:space="preserve"> 5 часа.</w:t>
      </w:r>
    </w:p>
    <w:p w14:paraId="29765C1E" w14:textId="77777777" w:rsidR="00A55E10" w:rsidRPr="00A55E10" w:rsidRDefault="00A55E10" w:rsidP="00A55E10"/>
    <w:p w14:paraId="028E658A" w14:textId="67598A6E" w:rsidR="00395555" w:rsidRDefault="002C50EE" w:rsidP="008A6AF2">
      <w:pPr>
        <w:pStyle w:val="Heading2"/>
      </w:pPr>
      <w:r>
        <w:t>5.3. Предклинични данни за безопасност</w:t>
      </w:r>
    </w:p>
    <w:p w14:paraId="7120819D" w14:textId="07195435" w:rsidR="00A55E10" w:rsidRDefault="00A55E10" w:rsidP="00A55E10"/>
    <w:p w14:paraId="71C02594" w14:textId="5F4D0BE8" w:rsidR="00A55E10" w:rsidRPr="00A55E10" w:rsidRDefault="00A55E10" w:rsidP="00A55E10">
      <w:r>
        <w:lastRenderedPageBreak/>
        <w:t>Предклиничните данни не разкриват особена опасност за хората, основавайки се на традиционни изследвания на фармакологична безопасност, многократна дозова токсичност, генотоксичност и карциногенност. Подобно на други бета-блокери, бизопролол във високи дози води до токсичност както при майката (намалява приемането на храна и телесното тегло), така и на ембриона/плода (увеличаване случаите на резорбция, намаляване теглото на плода, забавяне на физическото му развитие), но няма тератогенен ефект.</w:t>
      </w:r>
    </w:p>
    <w:p w14:paraId="6A7820AB" w14:textId="29CEBBEB" w:rsidR="008A6AF2" w:rsidRDefault="002C50EE" w:rsidP="00395555">
      <w:pPr>
        <w:pStyle w:val="Heading1"/>
      </w:pPr>
      <w:r>
        <w:t>7. ПРИТЕЖАТЕЛ НА РАЗРЕШЕНИЕТО ЗА УПОТРЕБА</w:t>
      </w:r>
    </w:p>
    <w:p w14:paraId="7B0BEAC7" w14:textId="133ACE47" w:rsidR="00A55E10" w:rsidRDefault="00A55E10" w:rsidP="00A55E10"/>
    <w:p w14:paraId="6E4842F8" w14:textId="77777777" w:rsidR="00A55E10" w:rsidRPr="00A55E10" w:rsidRDefault="00A55E10" w:rsidP="00A55E10">
      <w:pPr>
        <w:rPr>
          <w:sz w:val="24"/>
          <w:szCs w:val="24"/>
        </w:rPr>
      </w:pPr>
      <w:r w:rsidRPr="00A55E10">
        <w:rPr>
          <w:lang w:eastAsia="bg-BG"/>
        </w:rPr>
        <w:t>Мерк България ЕАД</w:t>
      </w:r>
    </w:p>
    <w:p w14:paraId="653E239F" w14:textId="77777777" w:rsidR="00A55E10" w:rsidRPr="00A55E10" w:rsidRDefault="00A55E10" w:rsidP="00A55E10">
      <w:pPr>
        <w:rPr>
          <w:sz w:val="24"/>
          <w:szCs w:val="24"/>
        </w:rPr>
      </w:pPr>
      <w:r w:rsidRPr="00A55E10">
        <w:rPr>
          <w:lang w:eastAsia="bg-BG"/>
        </w:rPr>
        <w:t>Бул. „Ситняково” № 48</w:t>
      </w:r>
    </w:p>
    <w:p w14:paraId="1BE96A99" w14:textId="77777777" w:rsidR="00A55E10" w:rsidRPr="00A55E10" w:rsidRDefault="00A55E10" w:rsidP="00A55E10">
      <w:pPr>
        <w:rPr>
          <w:sz w:val="24"/>
          <w:szCs w:val="24"/>
        </w:rPr>
      </w:pPr>
      <w:r w:rsidRPr="00A55E10">
        <w:rPr>
          <w:lang w:eastAsia="bg-BG"/>
        </w:rPr>
        <w:t xml:space="preserve">Сердика Офиси, ет. </w:t>
      </w:r>
      <w:r w:rsidRPr="00A55E10">
        <w:rPr>
          <w:b/>
          <w:bCs/>
          <w:i/>
          <w:iCs/>
          <w:lang w:eastAsia="bg-BG"/>
        </w:rPr>
        <w:t>6</w:t>
      </w:r>
    </w:p>
    <w:p w14:paraId="64AB2F45" w14:textId="77777777" w:rsidR="00A55E10" w:rsidRPr="00A55E10" w:rsidRDefault="00A55E10" w:rsidP="00A55E10">
      <w:pPr>
        <w:rPr>
          <w:sz w:val="24"/>
          <w:szCs w:val="24"/>
        </w:rPr>
      </w:pPr>
      <w:r w:rsidRPr="00A55E10">
        <w:rPr>
          <w:lang w:eastAsia="bg-BG"/>
        </w:rPr>
        <w:t>София 1505</w:t>
      </w:r>
    </w:p>
    <w:p w14:paraId="5208488B" w14:textId="1641530B" w:rsidR="00A55E10" w:rsidRPr="00A55E10" w:rsidRDefault="00A55E10" w:rsidP="00A55E10">
      <w:r w:rsidRPr="00A55E10">
        <w:rPr>
          <w:lang w:eastAsia="bg-BG"/>
        </w:rPr>
        <w:t>България</w:t>
      </w:r>
    </w:p>
    <w:p w14:paraId="04840D59" w14:textId="631B92D4" w:rsidR="002C50EE" w:rsidRDefault="002C50EE" w:rsidP="00395555">
      <w:pPr>
        <w:pStyle w:val="Heading1"/>
      </w:pPr>
      <w:r>
        <w:t>8. НОМЕР НА РАЗРЕШЕНИЕТО ЗА УПОТРЕБА</w:t>
      </w:r>
    </w:p>
    <w:p w14:paraId="33DCB3F2" w14:textId="34F01817" w:rsidR="00A55E10" w:rsidRDefault="00A55E10" w:rsidP="00A55E10"/>
    <w:p w14:paraId="6BBDBD30" w14:textId="77777777" w:rsidR="00A55E10" w:rsidRPr="00A55E10" w:rsidRDefault="00A55E10" w:rsidP="00A55E10">
      <w:pPr>
        <w:rPr>
          <w:sz w:val="24"/>
          <w:szCs w:val="24"/>
        </w:rPr>
      </w:pPr>
      <w:r w:rsidRPr="00A55E10">
        <w:rPr>
          <w:lang w:eastAsia="bg-BG"/>
        </w:rPr>
        <w:t xml:space="preserve">Конкор КОР 2,5 </w:t>
      </w:r>
      <w:r w:rsidRPr="00A55E10">
        <w:rPr>
          <w:lang w:val="en-US"/>
        </w:rPr>
        <w:t xml:space="preserve">mg </w:t>
      </w:r>
      <w:r w:rsidRPr="00A55E10">
        <w:rPr>
          <w:lang w:eastAsia="bg-BG"/>
        </w:rPr>
        <w:t xml:space="preserve">филмирани таблетки - </w:t>
      </w:r>
      <w:r w:rsidRPr="00A55E10">
        <w:rPr>
          <w:lang w:val="en-US"/>
        </w:rPr>
        <w:t xml:space="preserve">Per. Na </w:t>
      </w:r>
      <w:r w:rsidRPr="00A55E10">
        <w:rPr>
          <w:lang w:eastAsia="bg-BG"/>
        </w:rPr>
        <w:t>20060181</w:t>
      </w:r>
    </w:p>
    <w:p w14:paraId="690FCCB3" w14:textId="77777777" w:rsidR="00A55E10" w:rsidRPr="00A55E10" w:rsidRDefault="00A55E10" w:rsidP="00A55E10">
      <w:pPr>
        <w:rPr>
          <w:sz w:val="24"/>
          <w:szCs w:val="24"/>
        </w:rPr>
      </w:pPr>
      <w:r w:rsidRPr="00A55E10">
        <w:rPr>
          <w:lang w:eastAsia="bg-BG"/>
        </w:rPr>
        <w:t xml:space="preserve">Конкор КОР 5 </w:t>
      </w:r>
      <w:r w:rsidRPr="00A55E10">
        <w:rPr>
          <w:lang w:val="en-US"/>
        </w:rPr>
        <w:t xml:space="preserve">mg </w:t>
      </w:r>
      <w:r w:rsidRPr="00A55E10">
        <w:rPr>
          <w:lang w:eastAsia="bg-BG"/>
        </w:rPr>
        <w:t xml:space="preserve">филмирани таблетки - </w:t>
      </w:r>
      <w:r w:rsidRPr="00A55E10">
        <w:rPr>
          <w:lang w:val="en-US"/>
        </w:rPr>
        <w:t xml:space="preserve">Per. </w:t>
      </w:r>
      <w:r w:rsidRPr="00A55E10">
        <w:rPr>
          <w:lang w:eastAsia="bg-BG"/>
        </w:rPr>
        <w:t>№ 20060182</w:t>
      </w:r>
    </w:p>
    <w:p w14:paraId="79D907A3" w14:textId="77777777" w:rsidR="00A55E10" w:rsidRPr="00A55E10" w:rsidRDefault="00A55E10" w:rsidP="00A55E10"/>
    <w:p w14:paraId="2CCB5832" w14:textId="1E2CEF62" w:rsidR="007C605B" w:rsidRDefault="002C50EE" w:rsidP="007C605B">
      <w:pPr>
        <w:pStyle w:val="Heading1"/>
      </w:pPr>
      <w:r>
        <w:t>9. ДАТА НА ПЪРВО РАЗРЕШАВАНЕ/ПОДНОВЯВАНЕ НА РАЗРЕШЕНИЕТО ЗА УПОТРЕБА</w:t>
      </w:r>
    </w:p>
    <w:p w14:paraId="3CE83BD9" w14:textId="344CC4FB" w:rsidR="00A55E10" w:rsidRDefault="00A55E10" w:rsidP="00A55E10"/>
    <w:p w14:paraId="002DA02A" w14:textId="44269E40" w:rsidR="00A55E10" w:rsidRDefault="00A55E10" w:rsidP="00A55E10">
      <w:pPr>
        <w:rPr>
          <w:lang w:eastAsia="bg-BG"/>
        </w:rPr>
      </w:pPr>
      <w:r w:rsidRPr="00A55E10">
        <w:rPr>
          <w:lang w:eastAsia="bg-BG"/>
        </w:rPr>
        <w:t>28.04.2006 г-</w:t>
      </w:r>
    </w:p>
    <w:p w14:paraId="1891CC27" w14:textId="77777777" w:rsidR="00A55E10" w:rsidRPr="00A55E10" w:rsidRDefault="00A55E10" w:rsidP="00A55E10">
      <w:pPr>
        <w:rPr>
          <w:sz w:val="24"/>
          <w:szCs w:val="24"/>
        </w:rPr>
      </w:pPr>
    </w:p>
    <w:p w14:paraId="0E9D0119" w14:textId="0245C6D7" w:rsidR="002C50EE" w:rsidRDefault="002C50EE" w:rsidP="002C50EE">
      <w:pPr>
        <w:pStyle w:val="Heading1"/>
      </w:pPr>
      <w:r>
        <w:t>10. ДАТА НА АКТУАЛИЗИРАНЕ НА ТЕКСТА</w:t>
      </w:r>
    </w:p>
    <w:bookmarkEnd w:id="0"/>
    <w:p w14:paraId="43FB38A2" w14:textId="2C51B1E9" w:rsidR="007C605B" w:rsidRDefault="007C605B" w:rsidP="00395555"/>
    <w:p w14:paraId="552304E5" w14:textId="33F0C74C" w:rsidR="00A55E10" w:rsidRPr="00A55E10" w:rsidRDefault="00A55E10" w:rsidP="00A55E10">
      <w:pPr>
        <w:rPr>
          <w:lang w:val="en-US"/>
        </w:rPr>
      </w:pPr>
      <w:r>
        <w:t>ноември 2020г.</w:t>
      </w:r>
      <w:bookmarkStart w:id="1" w:name="_GoBack"/>
      <w:bookmarkEnd w:id="1"/>
    </w:p>
    <w:sectPr w:rsidR="00A55E10" w:rsidRPr="00A55E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00894126"/>
    <w:multiLevelType w:val="multilevel"/>
    <w:tmpl w:val="588ED07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00AE4925"/>
    <w:multiLevelType w:val="multilevel"/>
    <w:tmpl w:val="4CC8ED5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04834C69"/>
    <w:multiLevelType w:val="multilevel"/>
    <w:tmpl w:val="DC0A14F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099A0F47"/>
    <w:multiLevelType w:val="hybridMultilevel"/>
    <w:tmpl w:val="5F3E3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3A2C2D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7" w15:restartNumberingAfterBreak="0">
    <w:nsid w:val="19016EEE"/>
    <w:multiLevelType w:val="hybridMultilevel"/>
    <w:tmpl w:val="52F6376E"/>
    <w:lvl w:ilvl="0" w:tplc="4F7A938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6343B0"/>
    <w:multiLevelType w:val="hybridMultilevel"/>
    <w:tmpl w:val="DD4E8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096558"/>
    <w:multiLevelType w:val="hybridMultilevel"/>
    <w:tmpl w:val="2466D836"/>
    <w:lvl w:ilvl="0" w:tplc="B0AA0DF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72568C"/>
    <w:multiLevelType w:val="hybridMultilevel"/>
    <w:tmpl w:val="F0D0DB92"/>
    <w:lvl w:ilvl="0" w:tplc="B0AA0DF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1258ED"/>
    <w:multiLevelType w:val="hybridMultilevel"/>
    <w:tmpl w:val="AA423BD4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2" w15:restartNumberingAfterBreak="0">
    <w:nsid w:val="26177103"/>
    <w:multiLevelType w:val="multilevel"/>
    <w:tmpl w:val="E82C6D4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2C0F0359"/>
    <w:multiLevelType w:val="hybridMultilevel"/>
    <w:tmpl w:val="44CA7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A60FB9"/>
    <w:multiLevelType w:val="hybridMultilevel"/>
    <w:tmpl w:val="BA3E8EEE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A002FE"/>
    <w:multiLevelType w:val="hybridMultilevel"/>
    <w:tmpl w:val="60D40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687B8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7" w15:restartNumberingAfterBreak="0">
    <w:nsid w:val="403D3417"/>
    <w:multiLevelType w:val="multilevel"/>
    <w:tmpl w:val="B57254D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8" w15:restartNumberingAfterBreak="0">
    <w:nsid w:val="42823E3C"/>
    <w:multiLevelType w:val="hybridMultilevel"/>
    <w:tmpl w:val="80B07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0E33D8"/>
    <w:multiLevelType w:val="hybridMultilevel"/>
    <w:tmpl w:val="71309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ED0C31"/>
    <w:multiLevelType w:val="hybridMultilevel"/>
    <w:tmpl w:val="2946DD8C"/>
    <w:lvl w:ilvl="0" w:tplc="83C2330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817B77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2" w15:restartNumberingAfterBreak="0">
    <w:nsid w:val="4B960DEC"/>
    <w:multiLevelType w:val="hybridMultilevel"/>
    <w:tmpl w:val="DE7AABEA"/>
    <w:lvl w:ilvl="0" w:tplc="7E0614A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31061F"/>
    <w:multiLevelType w:val="hybridMultilevel"/>
    <w:tmpl w:val="7BE09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FE48DA"/>
    <w:multiLevelType w:val="hybridMultilevel"/>
    <w:tmpl w:val="8D98A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088CA4">
      <w:numFmt w:val="bullet"/>
      <w:lvlText w:val="•"/>
      <w:lvlJc w:val="left"/>
      <w:pPr>
        <w:ind w:left="1800" w:hanging="720"/>
      </w:pPr>
      <w:rPr>
        <w:rFonts w:ascii="Arial" w:eastAsiaTheme="minorHAnsi" w:hAnsi="Arial" w:cs="Arial" w:hint="default"/>
        <w:sz w:val="2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AB1ABA"/>
    <w:multiLevelType w:val="hybridMultilevel"/>
    <w:tmpl w:val="EEEC7F7E"/>
    <w:lvl w:ilvl="0" w:tplc="E38E44D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A8116B"/>
    <w:multiLevelType w:val="hybridMultilevel"/>
    <w:tmpl w:val="F18C2434"/>
    <w:lvl w:ilvl="0" w:tplc="04B87F8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C2302E"/>
    <w:multiLevelType w:val="hybridMultilevel"/>
    <w:tmpl w:val="FF02B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1F677A"/>
    <w:multiLevelType w:val="hybridMultilevel"/>
    <w:tmpl w:val="96EC7004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B539E2"/>
    <w:multiLevelType w:val="hybridMultilevel"/>
    <w:tmpl w:val="E3BC6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BC7DEC"/>
    <w:multiLevelType w:val="hybridMultilevel"/>
    <w:tmpl w:val="EE04B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AD1413"/>
    <w:multiLevelType w:val="hybridMultilevel"/>
    <w:tmpl w:val="9B941132"/>
    <w:lvl w:ilvl="0" w:tplc="7E0614A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FB2D7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>
    <w:abstractNumId w:val="28"/>
  </w:num>
  <w:num w:numId="2">
    <w:abstractNumId w:val="0"/>
  </w:num>
  <w:num w:numId="3">
    <w:abstractNumId w:val="14"/>
  </w:num>
  <w:num w:numId="4">
    <w:abstractNumId w:val="3"/>
  </w:num>
  <w:num w:numId="5">
    <w:abstractNumId w:val="1"/>
  </w:num>
  <w:num w:numId="6">
    <w:abstractNumId w:val="17"/>
  </w:num>
  <w:num w:numId="7">
    <w:abstractNumId w:val="12"/>
  </w:num>
  <w:num w:numId="8">
    <w:abstractNumId w:val="16"/>
  </w:num>
  <w:num w:numId="9">
    <w:abstractNumId w:val="2"/>
  </w:num>
  <w:num w:numId="10">
    <w:abstractNumId w:val="4"/>
  </w:num>
  <w:num w:numId="11">
    <w:abstractNumId w:val="30"/>
  </w:num>
  <w:num w:numId="12">
    <w:abstractNumId w:val="15"/>
  </w:num>
  <w:num w:numId="13">
    <w:abstractNumId w:val="20"/>
  </w:num>
  <w:num w:numId="14">
    <w:abstractNumId w:val="13"/>
  </w:num>
  <w:num w:numId="15">
    <w:abstractNumId w:val="29"/>
  </w:num>
  <w:num w:numId="16">
    <w:abstractNumId w:val="11"/>
  </w:num>
  <w:num w:numId="17">
    <w:abstractNumId w:val="25"/>
  </w:num>
  <w:num w:numId="18">
    <w:abstractNumId w:val="7"/>
  </w:num>
  <w:num w:numId="19">
    <w:abstractNumId w:val="27"/>
  </w:num>
  <w:num w:numId="20">
    <w:abstractNumId w:val="24"/>
  </w:num>
  <w:num w:numId="21">
    <w:abstractNumId w:val="18"/>
  </w:num>
  <w:num w:numId="22">
    <w:abstractNumId w:val="26"/>
  </w:num>
  <w:num w:numId="23">
    <w:abstractNumId w:val="19"/>
  </w:num>
  <w:num w:numId="24">
    <w:abstractNumId w:val="8"/>
  </w:num>
  <w:num w:numId="25">
    <w:abstractNumId w:val="23"/>
  </w:num>
  <w:num w:numId="26">
    <w:abstractNumId w:val="22"/>
  </w:num>
  <w:num w:numId="27">
    <w:abstractNumId w:val="31"/>
  </w:num>
  <w:num w:numId="28">
    <w:abstractNumId w:val="6"/>
  </w:num>
  <w:num w:numId="29">
    <w:abstractNumId w:val="21"/>
  </w:num>
  <w:num w:numId="30">
    <w:abstractNumId w:val="32"/>
  </w:num>
  <w:num w:numId="31">
    <w:abstractNumId w:val="5"/>
  </w:num>
  <w:num w:numId="32">
    <w:abstractNumId w:val="9"/>
  </w:num>
  <w:num w:numId="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A00"/>
    <w:rsid w:val="00185A46"/>
    <w:rsid w:val="001915B6"/>
    <w:rsid w:val="001D1B23"/>
    <w:rsid w:val="002B3C38"/>
    <w:rsid w:val="002B4DBB"/>
    <w:rsid w:val="002C50EE"/>
    <w:rsid w:val="00340A0A"/>
    <w:rsid w:val="003765DC"/>
    <w:rsid w:val="00395555"/>
    <w:rsid w:val="003E3126"/>
    <w:rsid w:val="004D4D6B"/>
    <w:rsid w:val="00517A5B"/>
    <w:rsid w:val="00593A00"/>
    <w:rsid w:val="005A66D9"/>
    <w:rsid w:val="00605BCA"/>
    <w:rsid w:val="006158A1"/>
    <w:rsid w:val="00617B1F"/>
    <w:rsid w:val="00672487"/>
    <w:rsid w:val="00672600"/>
    <w:rsid w:val="00681D4A"/>
    <w:rsid w:val="00685882"/>
    <w:rsid w:val="0075649D"/>
    <w:rsid w:val="007C605B"/>
    <w:rsid w:val="00814073"/>
    <w:rsid w:val="00826F0D"/>
    <w:rsid w:val="00893B92"/>
    <w:rsid w:val="008A6AF2"/>
    <w:rsid w:val="008C70A2"/>
    <w:rsid w:val="009773E4"/>
    <w:rsid w:val="009B171C"/>
    <w:rsid w:val="009F1313"/>
    <w:rsid w:val="00A20351"/>
    <w:rsid w:val="00A55E10"/>
    <w:rsid w:val="00AA23EC"/>
    <w:rsid w:val="00AC63CE"/>
    <w:rsid w:val="00AE2107"/>
    <w:rsid w:val="00B275A8"/>
    <w:rsid w:val="00BF2600"/>
    <w:rsid w:val="00C0049F"/>
    <w:rsid w:val="00C07B84"/>
    <w:rsid w:val="00C33464"/>
    <w:rsid w:val="00C809A7"/>
    <w:rsid w:val="00C83063"/>
    <w:rsid w:val="00C87E90"/>
    <w:rsid w:val="00CA1B57"/>
    <w:rsid w:val="00D86297"/>
    <w:rsid w:val="00DD466D"/>
    <w:rsid w:val="00EB6364"/>
    <w:rsid w:val="00F37B64"/>
    <w:rsid w:val="00FD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84BA7"/>
  <w15:docId w15:val="{3DA60348-CCDC-4D6D-877F-EA9575E07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364"/>
    <w:pPr>
      <w:spacing w:after="0" w:line="256" w:lineRule="auto"/>
    </w:pPr>
    <w:rPr>
      <w:rFonts w:ascii="Arial" w:hAnsi="Arial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1D4A"/>
    <w:pPr>
      <w:keepNext/>
      <w:keepLines/>
      <w:spacing w:before="240" w:line="259" w:lineRule="auto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1D4A"/>
    <w:pPr>
      <w:keepNext/>
      <w:keepLines/>
      <w:spacing w:before="40" w:line="259" w:lineRule="auto"/>
      <w:outlineLvl w:val="1"/>
    </w:pPr>
    <w:rPr>
      <w:rFonts w:eastAsiaTheme="majorEastAsia" w:cstheme="majorBidi"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81D4A"/>
    <w:pPr>
      <w:keepNext/>
      <w:keepLines/>
      <w:spacing w:before="40" w:line="259" w:lineRule="auto"/>
      <w:outlineLvl w:val="2"/>
    </w:pPr>
    <w:rPr>
      <w:rFonts w:eastAsiaTheme="majorEastAsia" w:cstheme="majorBidi"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81D4A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Стил1"/>
    <w:basedOn w:val="Heading3"/>
    <w:next w:val="Normal"/>
    <w:link w:val="10"/>
    <w:qFormat/>
    <w:rsid w:val="00C87E90"/>
    <w:pPr>
      <w:widowControl w:val="0"/>
      <w:spacing w:after="1080" w:line="240" w:lineRule="auto"/>
      <w:ind w:left="4400"/>
      <w:jc w:val="center"/>
    </w:pPr>
    <w:rPr>
      <w:b/>
      <w:sz w:val="22"/>
      <w:szCs w:val="22"/>
    </w:rPr>
  </w:style>
  <w:style w:type="character" w:customStyle="1" w:styleId="10">
    <w:name w:val="Стил1 Знак"/>
    <w:basedOn w:val="Heading3Char"/>
    <w:link w:val="1"/>
    <w:rsid w:val="00C87E90"/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681D4A"/>
    <w:rPr>
      <w:rFonts w:ascii="Arial" w:eastAsiaTheme="majorEastAsia" w:hAnsi="Arial" w:cstheme="majorBidi"/>
      <w:color w:val="000000" w:themeColor="text1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882"/>
    <w:pPr>
      <w:spacing w:line="259" w:lineRule="auto"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81D4A"/>
    <w:rPr>
      <w:rFonts w:ascii="Arial" w:eastAsiaTheme="majorEastAsia" w:hAnsi="Arial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81D4A"/>
    <w:rPr>
      <w:rFonts w:ascii="Arial" w:eastAsiaTheme="majorEastAsia" w:hAnsi="Arial" w:cstheme="majorBidi"/>
      <w:color w:val="000000" w:themeColor="tex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681D4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">
    <w:name w:val="Table Grid"/>
    <w:basedOn w:val="TableNormal"/>
    <w:uiPriority w:val="39"/>
    <w:rsid w:val="007564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64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da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3540</Words>
  <Characters>20182</Characters>
  <Application>Microsoft Office Word</Application>
  <DocSecurity>0</DocSecurity>
  <Lines>168</Lines>
  <Paragraphs>47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petar vasilev</dc:creator>
  <cp:keywords/>
  <dc:description/>
  <cp:lastModifiedBy>petar vasilev</cp:lastModifiedBy>
  <cp:revision>2</cp:revision>
  <dcterms:created xsi:type="dcterms:W3CDTF">2021-11-07T18:13:00Z</dcterms:created>
  <dcterms:modified xsi:type="dcterms:W3CDTF">2021-11-07T18:13:00Z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8080e56-8894-418a-9b19-f357e77b996f_Enabled">
    <vt:lpwstr>true</vt:lpwstr>
  </property>
  <property fmtid="{D5CDD505-2E9C-101B-9397-08002B2CF9AE}" pid="3" name="MSIP_Label_78080e56-8894-418a-9b19-f357e77b996f_SetDate">
    <vt:lpwstr>2021-02-06T20:50:59Z</vt:lpwstr>
  </property>
  <property fmtid="{D5CDD505-2E9C-101B-9397-08002B2CF9AE}" pid="4" name="MSIP_Label_78080e56-8894-418a-9b19-f357e77b996f_Method">
    <vt:lpwstr>Standard</vt:lpwstr>
  </property>
  <property fmtid="{D5CDD505-2E9C-101B-9397-08002B2CF9AE}" pid="5" name="MSIP_Label_78080e56-8894-418a-9b19-f357e77b996f_Name">
    <vt:lpwstr>Internal Use Unencrypted</vt:lpwstr>
  </property>
  <property fmtid="{D5CDD505-2E9C-101B-9397-08002B2CF9AE}" pid="6" name="MSIP_Label_78080e56-8894-418a-9b19-f357e77b996f_SiteId">
    <vt:lpwstr>6c7fadf5-6b9d-485a-85cb-f8112e9720ec</vt:lpwstr>
  </property>
  <property fmtid="{D5CDD505-2E9C-101B-9397-08002B2CF9AE}" pid="7" name="MSIP_Label_78080e56-8894-418a-9b19-f357e77b996f_ActionId">
    <vt:lpwstr>0a32757c-47c4-4949-90c3-637a5e65fde2</vt:lpwstr>
  </property>
  <property fmtid="{D5CDD505-2E9C-101B-9397-08002B2CF9AE}" pid="8" name="MSIP_Label_78080e56-8894-418a-9b19-f357e77b996f_ContentBits">
    <vt:lpwstr>2</vt:lpwstr>
  </property>
</Properties>
</file>