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320F4BE" w14:textId="56BBEBF9" w:rsidR="00C40420" w:rsidRDefault="00DD466D" w:rsidP="004A448E">
      <w:pPr>
        <w:pStyle w:val="Heading1"/>
      </w:pPr>
      <w:r>
        <w:t>1.ИМЕ НА ЛЕКАРСТВЕНИЯ ПРОДУКТ</w:t>
      </w:r>
    </w:p>
    <w:p w14:paraId="02589151" w14:textId="1ACB8C72" w:rsidR="002D3AD2" w:rsidRDefault="002D3AD2" w:rsidP="002D3AD2"/>
    <w:p w14:paraId="4BC70795" w14:textId="5C2F3243" w:rsidR="002D3AD2" w:rsidRPr="002D3AD2" w:rsidRDefault="007C7806" w:rsidP="002D3AD2">
      <w:pPr>
        <w:rPr>
          <w:sz w:val="24"/>
          <w:szCs w:val="24"/>
        </w:rPr>
      </w:pPr>
      <w:r>
        <w:rPr>
          <w:lang w:eastAsia="bg-BG"/>
        </w:rPr>
        <w:t>Коолсарт 40</w:t>
      </w:r>
      <w:r w:rsidR="002D3AD2" w:rsidRPr="002D3AD2">
        <w:rPr>
          <w:lang w:eastAsia="bg-BG"/>
        </w:rPr>
        <w:t xml:space="preserve"> </w:t>
      </w:r>
      <w:r w:rsidR="002D3AD2" w:rsidRPr="002D3AD2">
        <w:rPr>
          <w:lang w:val="en-US"/>
        </w:rPr>
        <w:t>mg</w:t>
      </w:r>
      <w:r w:rsidR="002D3AD2" w:rsidRPr="002D3AD2">
        <w:t>/</w:t>
      </w:r>
      <w:r w:rsidR="002E678C">
        <w:rPr>
          <w:lang w:val="en-US"/>
        </w:rPr>
        <w:t>1</w:t>
      </w:r>
      <w:r w:rsidR="002D3AD2" w:rsidRPr="002D3AD2">
        <w:t>2</w:t>
      </w:r>
      <w:r w:rsidR="002E678C">
        <w:rPr>
          <w:lang w:val="en-US"/>
        </w:rPr>
        <w:t>,</w:t>
      </w:r>
      <w:r w:rsidR="002D3AD2" w:rsidRPr="002D3AD2">
        <w:t xml:space="preserve">5 </w:t>
      </w:r>
      <w:r w:rsidR="002D3AD2" w:rsidRPr="002D3AD2">
        <w:rPr>
          <w:lang w:val="en-US"/>
        </w:rPr>
        <w:t>mg</w:t>
      </w:r>
      <w:r w:rsidR="002D3AD2" w:rsidRPr="002D3AD2">
        <w:t xml:space="preserve"> </w:t>
      </w:r>
      <w:r w:rsidR="002D3AD2" w:rsidRPr="002D3AD2">
        <w:rPr>
          <w:lang w:eastAsia="bg-BG"/>
        </w:rPr>
        <w:t>филмирани таблетки</w:t>
      </w:r>
    </w:p>
    <w:p w14:paraId="2D7AC9E7" w14:textId="27F5A94D" w:rsidR="002D3AD2" w:rsidRPr="002D3AD2" w:rsidRDefault="002D3AD2" w:rsidP="002D3AD2">
      <w:pPr>
        <w:rPr>
          <w:sz w:val="24"/>
          <w:szCs w:val="24"/>
        </w:rPr>
      </w:pPr>
      <w:proofErr w:type="spellStart"/>
      <w:r w:rsidRPr="002D3AD2">
        <w:rPr>
          <w:lang w:val="en-US"/>
        </w:rPr>
        <w:t>Coolsart</w:t>
      </w:r>
      <w:proofErr w:type="spellEnd"/>
      <w:r w:rsidRPr="002D3AD2">
        <w:t xml:space="preserve"> </w:t>
      </w:r>
      <w:r w:rsidR="007C7806">
        <w:rPr>
          <w:lang w:eastAsia="bg-BG"/>
        </w:rPr>
        <w:t>40</w:t>
      </w:r>
      <w:r w:rsidRPr="002D3AD2">
        <w:rPr>
          <w:lang w:eastAsia="bg-BG"/>
        </w:rPr>
        <w:t xml:space="preserve"> </w:t>
      </w:r>
      <w:r w:rsidRPr="002D3AD2">
        <w:rPr>
          <w:lang w:val="en-US"/>
        </w:rPr>
        <w:t>mg</w:t>
      </w:r>
      <w:r w:rsidRPr="002D3AD2">
        <w:t>/</w:t>
      </w:r>
      <w:r w:rsidR="002E678C">
        <w:rPr>
          <w:lang w:val="en-US"/>
        </w:rPr>
        <w:t>1</w:t>
      </w:r>
      <w:r w:rsidRPr="002D3AD2">
        <w:t>2</w:t>
      </w:r>
      <w:proofErr w:type="gramStart"/>
      <w:r w:rsidR="002E678C">
        <w:rPr>
          <w:lang w:val="en-US"/>
        </w:rPr>
        <w:t>,</w:t>
      </w:r>
      <w:r w:rsidRPr="002D3AD2">
        <w:t>5</w:t>
      </w:r>
      <w:proofErr w:type="gramEnd"/>
      <w:r w:rsidRPr="002D3AD2">
        <w:t xml:space="preserve"> </w:t>
      </w:r>
      <w:r w:rsidRPr="002D3AD2">
        <w:rPr>
          <w:lang w:val="en-US"/>
        </w:rPr>
        <w:t>mg</w:t>
      </w:r>
      <w:r w:rsidRPr="002D3AD2">
        <w:t xml:space="preserve"> </w:t>
      </w:r>
      <w:r w:rsidRPr="002D3AD2">
        <w:rPr>
          <w:lang w:val="en-US"/>
        </w:rPr>
        <w:t>film</w:t>
      </w:r>
      <w:r w:rsidRPr="002D3AD2">
        <w:t>-</w:t>
      </w:r>
      <w:r w:rsidRPr="002D3AD2">
        <w:rPr>
          <w:lang w:val="en-US"/>
        </w:rPr>
        <w:t>coated</w:t>
      </w:r>
      <w:r w:rsidRPr="002D3AD2">
        <w:t xml:space="preserve"> </w:t>
      </w:r>
      <w:r w:rsidRPr="002D3AD2">
        <w:rPr>
          <w:lang w:val="en-US"/>
        </w:rPr>
        <w:t>tablets</w:t>
      </w:r>
    </w:p>
    <w:p w14:paraId="0DD7B7DA" w14:textId="77777777" w:rsidR="002D3AD2" w:rsidRPr="002D3AD2" w:rsidRDefault="002D3AD2" w:rsidP="002D3AD2"/>
    <w:p w14:paraId="6920A680" w14:textId="63B57EFB" w:rsidR="00C40420" w:rsidRDefault="00DD466D" w:rsidP="004A448E">
      <w:pPr>
        <w:pStyle w:val="Heading1"/>
      </w:pPr>
      <w:r>
        <w:t>2. КАЧЕСТВЕН И КОЛИЧЕСТВЕН СЪСТАВ</w:t>
      </w:r>
    </w:p>
    <w:p w14:paraId="44D559B8" w14:textId="77777777" w:rsidR="002E678C" w:rsidRPr="002E678C" w:rsidRDefault="002E678C" w:rsidP="002E678C"/>
    <w:p w14:paraId="58F05AE2" w14:textId="6D9C21CB" w:rsidR="002D3AD2" w:rsidRPr="002E678C" w:rsidRDefault="007C7806" w:rsidP="002D3AD2">
      <w:pPr>
        <w:rPr>
          <w:sz w:val="24"/>
          <w:szCs w:val="24"/>
        </w:rPr>
      </w:pPr>
      <w:r>
        <w:rPr>
          <w:lang w:eastAsia="bg-BG"/>
        </w:rPr>
        <w:t>Коолсарт 4</w:t>
      </w:r>
      <w:r w:rsidR="002E678C" w:rsidRPr="002D3AD2">
        <w:rPr>
          <w:lang w:eastAsia="bg-BG"/>
        </w:rPr>
        <w:t xml:space="preserve">0 </w:t>
      </w:r>
      <w:r w:rsidR="002E678C" w:rsidRPr="002D3AD2">
        <w:rPr>
          <w:lang w:val="en-US"/>
        </w:rPr>
        <w:t>mg</w:t>
      </w:r>
      <w:r w:rsidR="002E678C" w:rsidRPr="002D3AD2">
        <w:t>/</w:t>
      </w:r>
      <w:r w:rsidR="002E678C">
        <w:rPr>
          <w:lang w:val="en-US"/>
        </w:rPr>
        <w:t>1</w:t>
      </w:r>
      <w:r w:rsidR="002E678C" w:rsidRPr="002D3AD2">
        <w:t>2</w:t>
      </w:r>
      <w:r w:rsidR="002E678C">
        <w:rPr>
          <w:lang w:val="en-US"/>
        </w:rPr>
        <w:t>,</w:t>
      </w:r>
      <w:r w:rsidR="002E678C" w:rsidRPr="002D3AD2">
        <w:t xml:space="preserve">5 </w:t>
      </w:r>
      <w:r w:rsidR="002E678C" w:rsidRPr="002D3AD2">
        <w:rPr>
          <w:lang w:val="en-US"/>
        </w:rPr>
        <w:t>mg</w:t>
      </w:r>
      <w:r w:rsidR="002E678C" w:rsidRPr="002D3AD2">
        <w:t xml:space="preserve"> </w:t>
      </w:r>
      <w:r w:rsidR="002E678C" w:rsidRPr="002D3AD2">
        <w:rPr>
          <w:lang w:eastAsia="bg-BG"/>
        </w:rPr>
        <w:t>филмирани таблетки</w:t>
      </w:r>
    </w:p>
    <w:p w14:paraId="3B9BD0BA" w14:textId="398C9044" w:rsidR="002D3AD2" w:rsidRPr="002D3AD2" w:rsidRDefault="002D3AD2" w:rsidP="002D3AD2">
      <w:pPr>
        <w:rPr>
          <w:sz w:val="24"/>
          <w:szCs w:val="24"/>
        </w:rPr>
      </w:pPr>
      <w:r w:rsidRPr="002D3AD2">
        <w:rPr>
          <w:lang w:eastAsia="bg-BG"/>
        </w:rPr>
        <w:t xml:space="preserve">Всяка филмирана таблетка съдържа 20 </w:t>
      </w:r>
      <w:r w:rsidRPr="002D3AD2">
        <w:rPr>
          <w:lang w:val="en-US"/>
        </w:rPr>
        <w:t>mg</w:t>
      </w:r>
      <w:r w:rsidRPr="002D3AD2">
        <w:t xml:space="preserve"> </w:t>
      </w:r>
      <w:r w:rsidRPr="002D3AD2">
        <w:rPr>
          <w:lang w:eastAsia="bg-BG"/>
        </w:rPr>
        <w:t xml:space="preserve">олмесартан медоксомил </w:t>
      </w:r>
      <w:r w:rsidR="0057744D">
        <w:rPr>
          <w:i/>
          <w:iCs/>
          <w:lang w:val="en-US"/>
        </w:rPr>
        <w:t>(</w:t>
      </w:r>
      <w:proofErr w:type="spellStart"/>
      <w:r w:rsidRPr="002D3AD2">
        <w:rPr>
          <w:i/>
          <w:iCs/>
          <w:lang w:val="en-US"/>
        </w:rPr>
        <w:t>olmesartan</w:t>
      </w:r>
      <w:proofErr w:type="spellEnd"/>
      <w:r w:rsidRPr="002D3AD2">
        <w:rPr>
          <w:i/>
          <w:iCs/>
        </w:rPr>
        <w:t xml:space="preserve"> </w:t>
      </w:r>
      <w:proofErr w:type="spellStart"/>
      <w:r w:rsidRPr="002D3AD2">
        <w:rPr>
          <w:i/>
          <w:iCs/>
          <w:lang w:val="en-US"/>
        </w:rPr>
        <w:t>medoxomil</w:t>
      </w:r>
      <w:proofErr w:type="spellEnd"/>
      <w:r w:rsidRPr="002D3AD2">
        <w:rPr>
          <w:i/>
          <w:iCs/>
        </w:rPr>
        <w:t>)</w:t>
      </w:r>
      <w:r w:rsidRPr="002D3AD2">
        <w:t xml:space="preserve"> </w:t>
      </w:r>
      <w:r w:rsidRPr="002D3AD2">
        <w:rPr>
          <w:lang w:eastAsia="bg-BG"/>
        </w:rPr>
        <w:t xml:space="preserve">и </w:t>
      </w:r>
      <w:r w:rsidR="002E678C">
        <w:rPr>
          <w:lang w:val="en-US" w:eastAsia="bg-BG"/>
        </w:rPr>
        <w:t>1</w:t>
      </w:r>
      <w:r w:rsidRPr="002D3AD2">
        <w:rPr>
          <w:lang w:eastAsia="bg-BG"/>
        </w:rPr>
        <w:t>2</w:t>
      </w:r>
      <w:r w:rsidR="002E678C">
        <w:rPr>
          <w:lang w:val="en-US" w:eastAsia="bg-BG"/>
        </w:rPr>
        <w:t>,</w:t>
      </w:r>
      <w:r w:rsidRPr="002D3AD2">
        <w:rPr>
          <w:lang w:eastAsia="bg-BG"/>
        </w:rPr>
        <w:t xml:space="preserve">5 </w:t>
      </w:r>
      <w:r w:rsidRPr="002D3AD2">
        <w:rPr>
          <w:lang w:val="en-US"/>
        </w:rPr>
        <w:t>mg</w:t>
      </w:r>
      <w:r w:rsidRPr="002D3AD2">
        <w:t xml:space="preserve"> </w:t>
      </w:r>
      <w:r w:rsidRPr="002D3AD2">
        <w:rPr>
          <w:lang w:eastAsia="bg-BG"/>
        </w:rPr>
        <w:t>хидрохлоротиазид (</w:t>
      </w:r>
      <w:r w:rsidRPr="002D3AD2">
        <w:rPr>
          <w:i/>
          <w:iCs/>
          <w:lang w:val="en-US"/>
        </w:rPr>
        <w:t>hydrochlorothiazide</w:t>
      </w:r>
      <w:r w:rsidRPr="002D3AD2">
        <w:rPr>
          <w:i/>
          <w:iCs/>
        </w:rPr>
        <w:t>)</w:t>
      </w:r>
      <w:bookmarkStart w:id="1" w:name="_GoBack"/>
      <w:bookmarkEnd w:id="1"/>
      <w:r w:rsidRPr="002D3AD2">
        <w:rPr>
          <w:i/>
          <w:iCs/>
          <w:lang w:eastAsia="bg-BG"/>
        </w:rPr>
        <w:t>.</w:t>
      </w:r>
    </w:p>
    <w:p w14:paraId="01D4E5BC" w14:textId="77777777" w:rsidR="002D3AD2" w:rsidRDefault="002D3AD2" w:rsidP="002D3AD2">
      <w:pPr>
        <w:rPr>
          <w:i/>
          <w:iCs/>
          <w:lang w:eastAsia="bg-BG"/>
        </w:rPr>
      </w:pPr>
    </w:p>
    <w:p w14:paraId="63A3565F" w14:textId="76284466" w:rsidR="002D3AD2" w:rsidRPr="002D3AD2" w:rsidRDefault="002D3AD2" w:rsidP="002D3AD2">
      <w:pPr>
        <w:rPr>
          <w:sz w:val="24"/>
          <w:szCs w:val="24"/>
        </w:rPr>
      </w:pPr>
      <w:r w:rsidRPr="002D3AD2">
        <w:rPr>
          <w:i/>
          <w:iCs/>
          <w:lang w:eastAsia="bg-BG"/>
        </w:rPr>
        <w:t>Помощни вещества с известно действие:</w:t>
      </w:r>
    </w:p>
    <w:p w14:paraId="0C355C72" w14:textId="5CBF3358" w:rsidR="002D3AD2" w:rsidRPr="002D3AD2" w:rsidRDefault="002D3AD2" w:rsidP="002D3AD2">
      <w:pPr>
        <w:rPr>
          <w:sz w:val="24"/>
          <w:szCs w:val="24"/>
        </w:rPr>
      </w:pPr>
      <w:r w:rsidRPr="002D3AD2">
        <w:rPr>
          <w:lang w:eastAsia="bg-BG"/>
        </w:rPr>
        <w:t xml:space="preserve">Всяка филмирана таблетка съдържа </w:t>
      </w:r>
      <w:r w:rsidR="007C7806">
        <w:rPr>
          <w:lang w:val="en-US" w:eastAsia="bg-BG"/>
        </w:rPr>
        <w:t>290,7</w:t>
      </w:r>
      <w:r w:rsidR="002E678C">
        <w:rPr>
          <w:lang w:val="en-US" w:eastAsia="bg-BG"/>
        </w:rPr>
        <w:t>0</w:t>
      </w:r>
      <w:r w:rsidRPr="002D3AD2">
        <w:rPr>
          <w:lang w:eastAsia="bg-BG"/>
        </w:rPr>
        <w:t xml:space="preserve"> </w:t>
      </w:r>
      <w:r w:rsidRPr="002D3AD2">
        <w:rPr>
          <w:lang w:val="en-US"/>
        </w:rPr>
        <w:t>mg</w:t>
      </w:r>
      <w:r w:rsidRPr="002D3AD2">
        <w:rPr>
          <w:lang w:val="ru-RU"/>
        </w:rPr>
        <w:t xml:space="preserve"> </w:t>
      </w:r>
      <w:r w:rsidRPr="002D3AD2">
        <w:rPr>
          <w:lang w:eastAsia="bg-BG"/>
        </w:rPr>
        <w:t>лактоза монохидрат.</w:t>
      </w:r>
    </w:p>
    <w:p w14:paraId="56EF3A8F" w14:textId="2E21AF4E" w:rsidR="002D3AD2" w:rsidRDefault="002D3AD2" w:rsidP="002D3AD2"/>
    <w:p w14:paraId="5D4F123C" w14:textId="6D486C66" w:rsidR="007C7806" w:rsidRPr="007C7806" w:rsidRDefault="007C7806" w:rsidP="002D3AD2">
      <w:r>
        <w:t>За пълния списък на помощните вещества вижте точка 6.1.</w:t>
      </w:r>
    </w:p>
    <w:p w14:paraId="614984C4" w14:textId="5F7E0754" w:rsidR="008A6AF2" w:rsidRDefault="00DD466D" w:rsidP="002C50EE">
      <w:pPr>
        <w:pStyle w:val="Heading1"/>
      </w:pPr>
      <w:r>
        <w:t>3. ЛЕКАРСТВЕНА ФОРМА</w:t>
      </w:r>
    </w:p>
    <w:p w14:paraId="00EC1DE7" w14:textId="7D43DF1C" w:rsidR="002D3AD2" w:rsidRDefault="002D3AD2" w:rsidP="002D3AD2"/>
    <w:p w14:paraId="7AB6E87B" w14:textId="6C7F5E1D" w:rsidR="002D3AD2" w:rsidRDefault="002D3AD2" w:rsidP="002D3AD2">
      <w:pPr>
        <w:rPr>
          <w:lang w:eastAsia="bg-BG"/>
        </w:rPr>
      </w:pPr>
      <w:r w:rsidRPr="002D3AD2">
        <w:rPr>
          <w:lang w:eastAsia="bg-BG"/>
        </w:rPr>
        <w:t>Филмирана таблетка.</w:t>
      </w:r>
    </w:p>
    <w:p w14:paraId="6D4A6256" w14:textId="77777777" w:rsidR="007C7806" w:rsidRPr="002D3AD2" w:rsidRDefault="007C7806" w:rsidP="002D3AD2">
      <w:pPr>
        <w:rPr>
          <w:sz w:val="24"/>
          <w:szCs w:val="24"/>
        </w:rPr>
      </w:pPr>
    </w:p>
    <w:p w14:paraId="2FD33E38" w14:textId="5A1034BA" w:rsidR="002D3AD2" w:rsidRDefault="007C7806" w:rsidP="002D3AD2">
      <w:pPr>
        <w:rPr>
          <w:lang w:eastAsia="bg-BG"/>
        </w:rPr>
      </w:pPr>
      <w:r>
        <w:rPr>
          <w:lang w:eastAsia="bg-BG"/>
        </w:rPr>
        <w:t>Коолсарт 4</w:t>
      </w:r>
      <w:r w:rsidR="002D3AD2" w:rsidRPr="002D3AD2">
        <w:rPr>
          <w:lang w:eastAsia="bg-BG"/>
        </w:rPr>
        <w:t xml:space="preserve">0 </w:t>
      </w:r>
      <w:r w:rsidR="002D3AD2" w:rsidRPr="002D3AD2">
        <w:rPr>
          <w:lang w:val="en-US"/>
        </w:rPr>
        <w:t>mg</w:t>
      </w:r>
      <w:r w:rsidR="002D3AD2" w:rsidRPr="002D3AD2">
        <w:rPr>
          <w:lang w:val="ru-RU"/>
        </w:rPr>
        <w:t>/</w:t>
      </w:r>
      <w:r w:rsidR="002E678C">
        <w:rPr>
          <w:lang w:val="en-US"/>
        </w:rPr>
        <w:t>1</w:t>
      </w:r>
      <w:r w:rsidR="002D3AD2" w:rsidRPr="002D3AD2">
        <w:rPr>
          <w:lang w:val="ru-RU"/>
        </w:rPr>
        <w:t>2</w:t>
      </w:r>
      <w:r w:rsidR="002E678C">
        <w:rPr>
          <w:lang w:val="en-US"/>
        </w:rPr>
        <w:t>,</w:t>
      </w:r>
      <w:r w:rsidR="002D3AD2" w:rsidRPr="002D3AD2">
        <w:rPr>
          <w:lang w:val="ru-RU"/>
        </w:rPr>
        <w:t xml:space="preserve">5 </w:t>
      </w:r>
      <w:r w:rsidR="002D3AD2" w:rsidRPr="002D3AD2">
        <w:rPr>
          <w:lang w:val="en-US"/>
        </w:rPr>
        <w:t>mg</w:t>
      </w:r>
      <w:r w:rsidR="002D3AD2" w:rsidRPr="002D3AD2">
        <w:rPr>
          <w:lang w:val="ru-RU"/>
        </w:rPr>
        <w:t xml:space="preserve"> </w:t>
      </w:r>
      <w:r w:rsidR="002E678C">
        <w:rPr>
          <w:lang w:eastAsia="bg-BG"/>
        </w:rPr>
        <w:t xml:space="preserve">са жълти, </w:t>
      </w:r>
      <w:r>
        <w:rPr>
          <w:lang w:eastAsia="bg-BG"/>
        </w:rPr>
        <w:t>продълговати</w:t>
      </w:r>
      <w:r w:rsidR="002D3AD2" w:rsidRPr="002D3AD2">
        <w:rPr>
          <w:lang w:eastAsia="bg-BG"/>
        </w:rPr>
        <w:t xml:space="preserve">, двойно изпъкнали филмирани таблетки, с релефен надпис </w:t>
      </w:r>
      <w:r w:rsidR="002D3AD2" w:rsidRPr="002D3AD2">
        <w:rPr>
          <w:lang w:val="ru-RU"/>
        </w:rPr>
        <w:t>„</w:t>
      </w:r>
      <w:r>
        <w:rPr>
          <w:lang w:val="en-US"/>
        </w:rPr>
        <w:t>L</w:t>
      </w:r>
      <w:r>
        <w:t>347</w:t>
      </w:r>
      <w:r w:rsidR="002D3AD2" w:rsidRPr="002D3AD2">
        <w:rPr>
          <w:lang w:val="ru-RU"/>
        </w:rPr>
        <w:t xml:space="preserve">” </w:t>
      </w:r>
      <w:r w:rsidR="002D3AD2" w:rsidRPr="002D3AD2">
        <w:rPr>
          <w:lang w:eastAsia="bg-BG"/>
        </w:rPr>
        <w:t xml:space="preserve">от едната и </w:t>
      </w:r>
      <w:r>
        <w:rPr>
          <w:lang w:eastAsia="bg-BG"/>
        </w:rPr>
        <w:t xml:space="preserve">гладки </w:t>
      </w:r>
      <w:r w:rsidR="002D3AD2" w:rsidRPr="002D3AD2">
        <w:rPr>
          <w:lang w:eastAsia="bg-BG"/>
        </w:rPr>
        <w:t>от другата страна.</w:t>
      </w:r>
    </w:p>
    <w:p w14:paraId="22A7D3C9" w14:textId="77777777" w:rsidR="007C7806" w:rsidRPr="002D3AD2" w:rsidRDefault="007C7806" w:rsidP="002D3AD2"/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0C8E6903" w14:textId="1C5322E2" w:rsidR="008134C8" w:rsidRDefault="002C50EE" w:rsidP="004A448E">
      <w:pPr>
        <w:pStyle w:val="Heading2"/>
      </w:pPr>
      <w:r>
        <w:t>4.1. Терапевтични показания</w:t>
      </w:r>
    </w:p>
    <w:p w14:paraId="3C6E0953" w14:textId="64688B18" w:rsidR="002D3AD2" w:rsidRDefault="002D3AD2" w:rsidP="002D3AD2"/>
    <w:p w14:paraId="4B90EBAA" w14:textId="77777777" w:rsidR="002D3AD2" w:rsidRPr="002D3AD2" w:rsidRDefault="002D3AD2" w:rsidP="002D3AD2">
      <w:pPr>
        <w:rPr>
          <w:sz w:val="24"/>
          <w:szCs w:val="24"/>
        </w:rPr>
      </w:pPr>
      <w:r w:rsidRPr="002D3AD2">
        <w:rPr>
          <w:lang w:eastAsia="bg-BG"/>
        </w:rPr>
        <w:t>Лечение на есенциална хипертония.</w:t>
      </w:r>
    </w:p>
    <w:p w14:paraId="01DEC2FA" w14:textId="77777777" w:rsidR="002D3AD2" w:rsidRDefault="002D3AD2" w:rsidP="002D3AD2">
      <w:pPr>
        <w:rPr>
          <w:lang w:eastAsia="bg-BG"/>
        </w:rPr>
      </w:pPr>
    </w:p>
    <w:p w14:paraId="11ADB60C" w14:textId="1B2C319D" w:rsidR="002D3AD2" w:rsidRPr="002D3AD2" w:rsidRDefault="002D3AD2" w:rsidP="002D3AD2">
      <w:pPr>
        <w:rPr>
          <w:sz w:val="24"/>
          <w:szCs w:val="24"/>
        </w:rPr>
      </w:pPr>
      <w:r w:rsidRPr="002D3AD2">
        <w:rPr>
          <w:lang w:eastAsia="bg-BG"/>
        </w:rPr>
        <w:t>Олмесартан медоксомил/хидрохлоротиазид</w:t>
      </w:r>
      <w:r w:rsidR="007C7806">
        <w:rPr>
          <w:lang w:eastAsia="bg-BG"/>
        </w:rPr>
        <w:t xml:space="preserve"> 40</w:t>
      </w:r>
      <w:r w:rsidR="007C7806" w:rsidRPr="002D3AD2">
        <w:rPr>
          <w:lang w:eastAsia="bg-BG"/>
        </w:rPr>
        <w:t xml:space="preserve"> </w:t>
      </w:r>
      <w:r w:rsidR="007C7806" w:rsidRPr="002D3AD2">
        <w:rPr>
          <w:lang w:val="en-US"/>
        </w:rPr>
        <w:t>mg</w:t>
      </w:r>
      <w:r w:rsidR="007C7806" w:rsidRPr="002D3AD2">
        <w:t>/</w:t>
      </w:r>
      <w:r w:rsidR="007C7806">
        <w:rPr>
          <w:lang w:val="en-US"/>
        </w:rPr>
        <w:t>1</w:t>
      </w:r>
      <w:r w:rsidR="007C7806" w:rsidRPr="002D3AD2">
        <w:t>2</w:t>
      </w:r>
      <w:r w:rsidR="007C7806">
        <w:rPr>
          <w:lang w:val="en-US"/>
        </w:rPr>
        <w:t>,</w:t>
      </w:r>
      <w:r w:rsidR="007C7806" w:rsidRPr="002D3AD2">
        <w:t xml:space="preserve">5 </w:t>
      </w:r>
      <w:r w:rsidR="007C7806" w:rsidRPr="002D3AD2">
        <w:rPr>
          <w:lang w:val="en-US"/>
        </w:rPr>
        <w:t>mg</w:t>
      </w:r>
      <w:r w:rsidRPr="002D3AD2">
        <w:rPr>
          <w:lang w:eastAsia="bg-BG"/>
        </w:rPr>
        <w:t xml:space="preserve"> е фиксирана дозова комбинация, която е показана при пациенти, чието артериално налягане не се контролира адекватно от монотерапия с </w:t>
      </w:r>
      <w:r w:rsidR="007C7806">
        <w:rPr>
          <w:lang w:eastAsia="bg-BG"/>
        </w:rPr>
        <w:t xml:space="preserve">40 </w:t>
      </w:r>
      <w:r w:rsidR="007C7806">
        <w:rPr>
          <w:lang w:val="en-US" w:eastAsia="bg-BG"/>
        </w:rPr>
        <w:t xml:space="preserve">mg </w:t>
      </w:r>
      <w:r w:rsidRPr="002D3AD2">
        <w:rPr>
          <w:lang w:eastAsia="bg-BG"/>
        </w:rPr>
        <w:t>олмесартан медоксомил.</w:t>
      </w:r>
    </w:p>
    <w:p w14:paraId="19ACFEAC" w14:textId="77777777" w:rsidR="002D3AD2" w:rsidRPr="002D3AD2" w:rsidRDefault="002D3AD2" w:rsidP="002D3AD2"/>
    <w:p w14:paraId="30BE2C7B" w14:textId="59EAA9EA" w:rsidR="008134C8" w:rsidRDefault="002C50EE" w:rsidP="004A448E">
      <w:pPr>
        <w:pStyle w:val="Heading2"/>
      </w:pPr>
      <w:r>
        <w:t>4.2. Дозировка и начин на приложение</w:t>
      </w:r>
    </w:p>
    <w:p w14:paraId="1A855F96" w14:textId="09B0C55A" w:rsidR="002D3AD2" w:rsidRDefault="002D3AD2" w:rsidP="002D3AD2"/>
    <w:p w14:paraId="2BC93520" w14:textId="77777777" w:rsidR="002D3AD2" w:rsidRPr="002D3AD2" w:rsidRDefault="002D3AD2" w:rsidP="002D3AD2">
      <w:pPr>
        <w:pStyle w:val="Heading3"/>
        <w:rPr>
          <w:rFonts w:eastAsia="Times New Roman"/>
          <w:u w:val="single"/>
        </w:rPr>
      </w:pPr>
      <w:r w:rsidRPr="002D3AD2">
        <w:rPr>
          <w:rFonts w:eastAsia="Times New Roman"/>
          <w:u w:val="single"/>
          <w:lang w:eastAsia="bg-BG"/>
        </w:rPr>
        <w:t>Дозировка</w:t>
      </w:r>
    </w:p>
    <w:p w14:paraId="3498453C" w14:textId="77777777" w:rsidR="002E678C" w:rsidRDefault="002E678C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107CE30" w14:textId="69C48E69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Възрастни</w:t>
      </w:r>
    </w:p>
    <w:p w14:paraId="1CFEBAC0" w14:textId="07BFF3FC" w:rsidR="002D3AD2" w:rsidRDefault="002D3AD2" w:rsidP="002D3AD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8758E38" w14:textId="27BFEDFC" w:rsidR="007C7806" w:rsidRDefault="007C7806" w:rsidP="002D3AD2">
      <w:pPr>
        <w:spacing w:line="240" w:lineRule="auto"/>
        <w:rPr>
          <w:rFonts w:eastAsia="Times New Roman" w:cs="Arial"/>
          <w:color w:val="000000"/>
          <w:lang w:eastAsia="bg-BG"/>
        </w:rPr>
      </w:pPr>
      <w:r>
        <w:rPr>
          <w:rFonts w:eastAsia="Times New Roman" w:cs="Arial"/>
          <w:color w:val="000000"/>
          <w:lang w:eastAsia="bg-BG"/>
        </w:rPr>
        <w:t>Препоръчителната доза о</w:t>
      </w:r>
      <w:r w:rsidRPr="002D3AD2">
        <w:rPr>
          <w:rFonts w:eastAsia="Times New Roman" w:cs="Arial"/>
          <w:color w:val="000000"/>
          <w:lang w:eastAsia="bg-BG"/>
        </w:rPr>
        <w:t>лмесартан медоксомил/хидрохлоротиазид</w:t>
      </w:r>
      <w:r>
        <w:rPr>
          <w:rFonts w:eastAsia="Times New Roman" w:cs="Arial"/>
          <w:color w:val="000000"/>
          <w:lang w:eastAsia="bg-BG"/>
        </w:rPr>
        <w:t xml:space="preserve"> е 1 таблетка дневно.</w:t>
      </w:r>
    </w:p>
    <w:p w14:paraId="720F2EEC" w14:textId="77777777" w:rsidR="007C7806" w:rsidRDefault="007C7806" w:rsidP="002D3AD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37DDECF" w14:textId="548EDCF8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lastRenderedPageBreak/>
        <w:t xml:space="preserve">Олмесартан медоксомил/хидрохлоротиазид </w:t>
      </w:r>
      <w:r w:rsidR="007C7806">
        <w:rPr>
          <w:lang w:eastAsia="bg-BG"/>
        </w:rPr>
        <w:t>40</w:t>
      </w:r>
      <w:r w:rsidR="007C7806" w:rsidRPr="002D3AD2">
        <w:rPr>
          <w:lang w:eastAsia="bg-BG"/>
        </w:rPr>
        <w:t xml:space="preserve"> </w:t>
      </w:r>
      <w:r w:rsidR="007C7806" w:rsidRPr="002D3AD2">
        <w:rPr>
          <w:lang w:val="en-US"/>
        </w:rPr>
        <w:t>mg</w:t>
      </w:r>
      <w:r w:rsidR="007C7806" w:rsidRPr="002D3AD2">
        <w:t>/</w:t>
      </w:r>
      <w:r w:rsidR="007C7806">
        <w:rPr>
          <w:lang w:val="en-US"/>
        </w:rPr>
        <w:t>1</w:t>
      </w:r>
      <w:r w:rsidR="007C7806" w:rsidRPr="002D3AD2">
        <w:t>2</w:t>
      </w:r>
      <w:r w:rsidR="007C7806">
        <w:rPr>
          <w:lang w:val="en-US"/>
        </w:rPr>
        <w:t>,</w:t>
      </w:r>
      <w:r w:rsidR="007C7806" w:rsidRPr="002D3AD2">
        <w:t xml:space="preserve">5 </w:t>
      </w:r>
      <w:r w:rsidR="007C7806">
        <w:rPr>
          <w:lang w:val="en-US"/>
        </w:rPr>
        <w:t xml:space="preserve">mg </w:t>
      </w:r>
      <w:r w:rsidR="007C7806">
        <w:t xml:space="preserve">може </w:t>
      </w:r>
      <w:r w:rsidRPr="002D3AD2">
        <w:rPr>
          <w:rFonts w:eastAsia="Times New Roman" w:cs="Arial"/>
          <w:color w:val="000000"/>
          <w:lang w:eastAsia="bg-BG"/>
        </w:rPr>
        <w:t xml:space="preserve">да се използва като при пациенти, чието артериално налягане не се контролира адекватно с 20 </w:t>
      </w:r>
      <w:r w:rsidRPr="002D3AD2">
        <w:rPr>
          <w:rFonts w:eastAsia="Times New Roman" w:cs="Arial"/>
          <w:color w:val="000000"/>
          <w:lang w:val="en-US"/>
        </w:rPr>
        <w:t>mg</w:t>
      </w:r>
      <w:r w:rsidRPr="002D3AD2">
        <w:rPr>
          <w:rFonts w:eastAsia="Times New Roman" w:cs="Arial"/>
          <w:color w:val="000000"/>
          <w:lang w:val="ru-RU"/>
        </w:rPr>
        <w:t xml:space="preserve"> </w:t>
      </w:r>
      <w:r w:rsidRPr="002D3AD2">
        <w:rPr>
          <w:rFonts w:eastAsia="Times New Roman" w:cs="Arial"/>
          <w:color w:val="000000"/>
          <w:lang w:eastAsia="bg-BG"/>
        </w:rPr>
        <w:t>олмесартан медоксомил, прилаган самостоятелно. Олмесартан медоксомил/хидрохлоротиазид се прилага веднъж дневно със или без храна.</w:t>
      </w:r>
    </w:p>
    <w:p w14:paraId="3DA49CC1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ED956BC" w14:textId="734F20A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 xml:space="preserve">Когато е клинично обусловено, може да се обсъди директно преминаване от монотерапия с 20 </w:t>
      </w:r>
      <w:r w:rsidRPr="002D3AD2">
        <w:rPr>
          <w:rFonts w:eastAsia="Times New Roman" w:cs="Arial"/>
          <w:color w:val="000000"/>
          <w:lang w:val="en-US"/>
        </w:rPr>
        <w:t>mg</w:t>
      </w:r>
      <w:r w:rsidRPr="002D3AD2">
        <w:rPr>
          <w:rFonts w:eastAsia="Times New Roman" w:cs="Arial"/>
          <w:color w:val="000000"/>
          <w:lang w:val="ru-RU"/>
        </w:rPr>
        <w:t xml:space="preserve"> </w:t>
      </w:r>
      <w:r w:rsidRPr="002D3AD2">
        <w:rPr>
          <w:rFonts w:eastAsia="Times New Roman" w:cs="Arial"/>
          <w:color w:val="000000"/>
          <w:lang w:eastAsia="bg-BG"/>
        </w:rPr>
        <w:t>олмесартан медоксомил към фиксираната комбинация, като се има предвид, че антихипертензивния ефект на олмесартан медоксомил достига своя максимум около 8 седмици след началото на лечението (вж. точка 5.1). Препоръчва се титриране на дозите на отделните компоненти.</w:t>
      </w:r>
    </w:p>
    <w:p w14:paraId="7F8D5DB8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450C34B" w14:textId="45DDB52E" w:rsidR="002D3AD2" w:rsidRPr="002E678C" w:rsidRDefault="002D3AD2" w:rsidP="002D3AD2">
      <w:pPr>
        <w:spacing w:line="240" w:lineRule="auto"/>
        <w:rPr>
          <w:rFonts w:eastAsia="Times New Roman" w:cs="Arial"/>
          <w:lang w:val="en-US"/>
        </w:rPr>
      </w:pPr>
      <w:r w:rsidRPr="002D3AD2">
        <w:rPr>
          <w:rFonts w:eastAsia="Times New Roman" w:cs="Arial"/>
          <w:color w:val="000000"/>
          <w:lang w:eastAsia="bg-BG"/>
        </w:rPr>
        <w:t xml:space="preserve">Комбинацията от 20 </w:t>
      </w:r>
      <w:r w:rsidRPr="002D3AD2">
        <w:rPr>
          <w:rFonts w:eastAsia="Times New Roman" w:cs="Arial"/>
          <w:color w:val="000000"/>
          <w:lang w:val="en-US"/>
        </w:rPr>
        <w:t>mg</w:t>
      </w:r>
      <w:r w:rsidRPr="002D3AD2">
        <w:rPr>
          <w:rFonts w:eastAsia="Times New Roman" w:cs="Arial"/>
          <w:color w:val="000000"/>
          <w:lang w:val="ru-RU"/>
        </w:rPr>
        <w:t xml:space="preserve"> </w:t>
      </w:r>
      <w:r w:rsidR="002E678C">
        <w:rPr>
          <w:rFonts w:eastAsia="Times New Roman" w:cs="Arial"/>
          <w:color w:val="000000"/>
          <w:lang w:eastAsia="bg-BG"/>
        </w:rPr>
        <w:t>олмесартан медоксомил/1</w:t>
      </w:r>
      <w:r w:rsidRPr="002D3AD2">
        <w:rPr>
          <w:rFonts w:eastAsia="Times New Roman" w:cs="Arial"/>
          <w:color w:val="000000"/>
          <w:lang w:eastAsia="bg-BG"/>
        </w:rPr>
        <w:t>2</w:t>
      </w:r>
      <w:r w:rsidR="002E678C">
        <w:rPr>
          <w:rFonts w:eastAsia="Times New Roman" w:cs="Arial"/>
          <w:color w:val="000000"/>
          <w:lang w:val="en-US" w:eastAsia="bg-BG"/>
        </w:rPr>
        <w:t>,</w:t>
      </w:r>
      <w:r w:rsidRPr="002D3AD2">
        <w:rPr>
          <w:rFonts w:eastAsia="Times New Roman" w:cs="Arial"/>
          <w:color w:val="000000"/>
          <w:lang w:eastAsia="bg-BG"/>
        </w:rPr>
        <w:t xml:space="preserve">5 </w:t>
      </w:r>
      <w:r w:rsidRPr="002D3AD2">
        <w:rPr>
          <w:rFonts w:eastAsia="Times New Roman" w:cs="Arial"/>
          <w:color w:val="000000"/>
          <w:lang w:val="en-US"/>
        </w:rPr>
        <w:t>mg</w:t>
      </w:r>
      <w:r w:rsidRPr="002D3AD2">
        <w:rPr>
          <w:rFonts w:eastAsia="Times New Roman" w:cs="Arial"/>
          <w:color w:val="000000"/>
          <w:lang w:val="ru-RU"/>
        </w:rPr>
        <w:t xml:space="preserve"> </w:t>
      </w:r>
      <w:r w:rsidRPr="002D3AD2">
        <w:rPr>
          <w:rFonts w:eastAsia="Times New Roman" w:cs="Arial"/>
          <w:color w:val="000000"/>
          <w:lang w:eastAsia="bg-BG"/>
        </w:rPr>
        <w:t>хидрохлоротиазид</w:t>
      </w:r>
      <w:r w:rsidRPr="002D3AD2">
        <w:rPr>
          <w:rFonts w:eastAsia="Times New Roman" w:cs="Arial"/>
          <w:color w:val="000000"/>
          <w:lang w:val="ru-RU"/>
        </w:rPr>
        <w:t xml:space="preserve"> </w:t>
      </w:r>
      <w:r w:rsidRPr="002D3AD2">
        <w:rPr>
          <w:rFonts w:eastAsia="Times New Roman" w:cs="Arial"/>
          <w:color w:val="000000"/>
          <w:lang w:eastAsia="bg-BG"/>
        </w:rPr>
        <w:t>може да се прилага при</w:t>
      </w:r>
      <w:r w:rsidRPr="002D3AD2">
        <w:rPr>
          <w:rFonts w:eastAsia="Times New Roman" w:cs="Arial"/>
          <w:lang w:val="ru-RU"/>
        </w:rPr>
        <w:t xml:space="preserve"> </w:t>
      </w:r>
      <w:r w:rsidRPr="002D3AD2">
        <w:rPr>
          <w:rFonts w:eastAsia="Times New Roman" w:cs="Arial"/>
          <w:color w:val="000000"/>
          <w:lang w:eastAsia="bg-BG"/>
        </w:rPr>
        <w:t xml:space="preserve">пациенти, чието артериално налягане не е адекватно контролирано от </w:t>
      </w:r>
      <w:r w:rsidR="002E678C">
        <w:rPr>
          <w:rFonts w:eastAsia="Times New Roman" w:cs="Arial"/>
          <w:color w:val="000000"/>
          <w:lang w:eastAsia="bg-BG"/>
        </w:rPr>
        <w:t xml:space="preserve">оптимална монотерапия с </w:t>
      </w:r>
      <w:r w:rsidR="002E678C" w:rsidRPr="002D3AD2">
        <w:rPr>
          <w:rFonts w:eastAsia="Times New Roman" w:cs="Arial"/>
          <w:color w:val="000000"/>
          <w:lang w:eastAsia="bg-BG"/>
        </w:rPr>
        <w:t xml:space="preserve">20 </w:t>
      </w:r>
      <w:r w:rsidR="002E678C" w:rsidRPr="002D3AD2">
        <w:rPr>
          <w:rFonts w:eastAsia="Times New Roman" w:cs="Arial"/>
          <w:color w:val="000000"/>
          <w:lang w:val="en-US"/>
        </w:rPr>
        <w:t>mg</w:t>
      </w:r>
      <w:r w:rsidR="002E678C" w:rsidRPr="002D3AD2">
        <w:rPr>
          <w:rFonts w:eastAsia="Times New Roman" w:cs="Arial"/>
          <w:color w:val="000000"/>
          <w:lang w:val="ru-RU"/>
        </w:rPr>
        <w:t xml:space="preserve"> </w:t>
      </w:r>
      <w:r w:rsidR="002E678C">
        <w:rPr>
          <w:rFonts w:eastAsia="Times New Roman" w:cs="Arial"/>
          <w:color w:val="000000"/>
          <w:lang w:eastAsia="bg-BG"/>
        </w:rPr>
        <w:t>олмесартан медоксомил.</w:t>
      </w:r>
    </w:p>
    <w:p w14:paraId="4800E6E9" w14:textId="3EAA4B91" w:rsidR="002D3AD2" w:rsidRDefault="002D3AD2" w:rsidP="002D3AD2">
      <w:pPr>
        <w:rPr>
          <w:rFonts w:eastAsia="Times New Roman" w:cs="Arial"/>
          <w:color w:val="000000"/>
          <w:lang w:eastAsia="bg-BG"/>
        </w:rPr>
      </w:pPr>
    </w:p>
    <w:p w14:paraId="2621C2F5" w14:textId="59CF23AA" w:rsidR="002E678C" w:rsidRDefault="002E678C" w:rsidP="002E678C">
      <w:pPr>
        <w:rPr>
          <w:rFonts w:eastAsia="Times New Roman" w:cs="Arial"/>
          <w:color w:val="000000"/>
          <w:lang w:val="en-US" w:eastAsia="bg-BG"/>
        </w:rPr>
      </w:pPr>
      <w:r w:rsidRPr="002D3AD2">
        <w:rPr>
          <w:rFonts w:eastAsia="Times New Roman" w:cs="Arial"/>
          <w:color w:val="000000"/>
          <w:lang w:eastAsia="bg-BG"/>
        </w:rPr>
        <w:t xml:space="preserve">Комбинацията от 20 </w:t>
      </w:r>
      <w:r w:rsidRPr="002D3AD2">
        <w:rPr>
          <w:rFonts w:eastAsia="Times New Roman" w:cs="Arial"/>
          <w:color w:val="000000"/>
          <w:lang w:val="en-US"/>
        </w:rPr>
        <w:t>mg</w:t>
      </w:r>
      <w:r w:rsidRPr="002D3AD2">
        <w:rPr>
          <w:rFonts w:eastAsia="Times New Roman" w:cs="Arial"/>
          <w:color w:val="000000"/>
          <w:lang w:val="ru-RU"/>
        </w:rPr>
        <w:t xml:space="preserve"> </w:t>
      </w:r>
      <w:r>
        <w:rPr>
          <w:rFonts w:eastAsia="Times New Roman" w:cs="Arial"/>
          <w:color w:val="000000"/>
          <w:lang w:eastAsia="bg-BG"/>
        </w:rPr>
        <w:t>олмесартан медоксомил/1</w:t>
      </w:r>
      <w:r w:rsidRPr="002D3AD2">
        <w:rPr>
          <w:rFonts w:eastAsia="Times New Roman" w:cs="Arial"/>
          <w:color w:val="000000"/>
          <w:lang w:eastAsia="bg-BG"/>
        </w:rPr>
        <w:t>2</w:t>
      </w:r>
      <w:r>
        <w:rPr>
          <w:rFonts w:eastAsia="Times New Roman" w:cs="Arial"/>
          <w:color w:val="000000"/>
          <w:lang w:val="en-US" w:eastAsia="bg-BG"/>
        </w:rPr>
        <w:t>,</w:t>
      </w:r>
      <w:r w:rsidRPr="002D3AD2">
        <w:rPr>
          <w:rFonts w:eastAsia="Times New Roman" w:cs="Arial"/>
          <w:color w:val="000000"/>
          <w:lang w:eastAsia="bg-BG"/>
        </w:rPr>
        <w:t xml:space="preserve">5 </w:t>
      </w:r>
      <w:r w:rsidRPr="002D3AD2">
        <w:rPr>
          <w:rFonts w:eastAsia="Times New Roman" w:cs="Arial"/>
          <w:color w:val="000000"/>
          <w:lang w:val="en-US"/>
        </w:rPr>
        <w:t>mg</w:t>
      </w:r>
      <w:r w:rsidRPr="002D3AD2">
        <w:rPr>
          <w:rFonts w:eastAsia="Times New Roman" w:cs="Arial"/>
          <w:color w:val="000000"/>
          <w:lang w:val="ru-RU"/>
        </w:rPr>
        <w:t xml:space="preserve"> </w:t>
      </w:r>
      <w:r w:rsidRPr="002D3AD2">
        <w:rPr>
          <w:rFonts w:eastAsia="Times New Roman" w:cs="Arial"/>
          <w:color w:val="000000"/>
          <w:lang w:eastAsia="bg-BG"/>
        </w:rPr>
        <w:t>хидрохлоротиазид</w:t>
      </w:r>
      <w:r w:rsidRPr="002D3AD2">
        <w:rPr>
          <w:rFonts w:eastAsia="Times New Roman" w:cs="Arial"/>
          <w:color w:val="000000"/>
          <w:lang w:val="ru-RU"/>
        </w:rPr>
        <w:t xml:space="preserve"> </w:t>
      </w:r>
      <w:r w:rsidRPr="002D3AD2">
        <w:rPr>
          <w:rFonts w:eastAsia="Times New Roman" w:cs="Arial"/>
          <w:color w:val="000000"/>
          <w:lang w:eastAsia="bg-BG"/>
        </w:rPr>
        <w:t>може да се прилага при</w:t>
      </w:r>
      <w:r w:rsidRPr="002D3AD2">
        <w:rPr>
          <w:rFonts w:eastAsia="Times New Roman" w:cs="Arial"/>
          <w:lang w:val="ru-RU"/>
        </w:rPr>
        <w:t xml:space="preserve"> </w:t>
      </w:r>
      <w:r w:rsidRPr="002D3AD2">
        <w:rPr>
          <w:rFonts w:eastAsia="Times New Roman" w:cs="Arial"/>
          <w:color w:val="000000"/>
          <w:lang w:eastAsia="bg-BG"/>
        </w:rPr>
        <w:t>пациенти, чието артериално налягане не е адекватно контролирано от</w:t>
      </w:r>
      <w:r>
        <w:rPr>
          <w:rFonts w:eastAsia="Times New Roman" w:cs="Arial"/>
          <w:color w:val="000000"/>
          <w:lang w:val="en-US" w:eastAsia="bg-BG"/>
        </w:rPr>
        <w:t xml:space="preserve"> 20 mg </w:t>
      </w:r>
      <w:r>
        <w:rPr>
          <w:rFonts w:eastAsia="Times New Roman" w:cs="Arial"/>
          <w:color w:val="000000"/>
          <w:lang w:eastAsia="bg-BG"/>
        </w:rPr>
        <w:t>олмесартан медоксомил</w:t>
      </w:r>
      <w:r>
        <w:rPr>
          <w:rFonts w:eastAsia="Times New Roman" w:cs="Arial"/>
          <w:color w:val="000000"/>
          <w:lang w:val="en-US" w:eastAsia="bg-BG"/>
        </w:rPr>
        <w:t xml:space="preserve">/12,5 mg </w:t>
      </w:r>
      <w:r w:rsidRPr="002D3AD2">
        <w:rPr>
          <w:rFonts w:eastAsia="Times New Roman" w:cs="Arial"/>
          <w:color w:val="000000"/>
          <w:lang w:eastAsia="bg-BG"/>
        </w:rPr>
        <w:t>хидрохлоротиазид</w:t>
      </w:r>
      <w:r>
        <w:rPr>
          <w:rFonts w:eastAsia="Times New Roman" w:cs="Arial"/>
          <w:color w:val="000000"/>
          <w:lang w:val="en-US" w:eastAsia="bg-BG"/>
        </w:rPr>
        <w:t>.</w:t>
      </w:r>
    </w:p>
    <w:p w14:paraId="7A982891" w14:textId="2F19566C" w:rsidR="002E678C" w:rsidRPr="002E678C" w:rsidRDefault="002E678C" w:rsidP="002E678C">
      <w:pPr>
        <w:rPr>
          <w:rFonts w:eastAsia="Times New Roman" w:cs="Arial"/>
          <w:color w:val="000000"/>
          <w:lang w:eastAsia="bg-BG"/>
        </w:rPr>
      </w:pPr>
      <w:r>
        <w:rPr>
          <w:rFonts w:eastAsia="Times New Roman" w:cs="Arial"/>
          <w:color w:val="000000"/>
          <w:lang w:eastAsia="bg-BG"/>
        </w:rPr>
        <w:t>Този лекарствен продукт не е наличен в коцентрация 20</w:t>
      </w:r>
      <w:r>
        <w:rPr>
          <w:rFonts w:eastAsia="Times New Roman" w:cs="Arial"/>
          <w:color w:val="000000"/>
          <w:lang w:val="en-US" w:eastAsia="bg-BG"/>
        </w:rPr>
        <w:t>/25 mg</w:t>
      </w:r>
      <w:r>
        <w:rPr>
          <w:rFonts w:eastAsia="Times New Roman" w:cs="Arial"/>
          <w:color w:val="000000"/>
          <w:lang w:eastAsia="bg-BG"/>
        </w:rPr>
        <w:t>, но може да бъде използван продукт със същата концентрация от друг притежател на разрешение за употреба.</w:t>
      </w:r>
    </w:p>
    <w:p w14:paraId="3E26FA16" w14:textId="7DCDF34E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39B489D" w14:textId="7875C866" w:rsidR="002D3AD2" w:rsidRPr="002E678C" w:rsidRDefault="002E678C" w:rsidP="002D3AD2">
      <w:pPr>
        <w:spacing w:line="240" w:lineRule="auto"/>
        <w:rPr>
          <w:rFonts w:eastAsia="Times New Roman" w:cs="Arial"/>
          <w:lang w:val="en-US"/>
        </w:rPr>
      </w:pPr>
      <w:r>
        <w:rPr>
          <w:rFonts w:eastAsia="Times New Roman" w:cs="Arial"/>
          <w:i/>
          <w:iCs/>
          <w:color w:val="000000"/>
          <w:lang w:eastAsia="bg-BG"/>
        </w:rPr>
        <w:t>С</w:t>
      </w:r>
      <w:r w:rsidR="002D3AD2" w:rsidRPr="002D3AD2">
        <w:rPr>
          <w:rFonts w:eastAsia="Times New Roman" w:cs="Arial"/>
          <w:i/>
          <w:iCs/>
          <w:color w:val="000000"/>
          <w:lang w:eastAsia="bg-BG"/>
        </w:rPr>
        <w:t>тарческа възраст</w:t>
      </w:r>
      <w:r>
        <w:rPr>
          <w:rFonts w:eastAsia="Times New Roman" w:cs="Arial"/>
          <w:i/>
          <w:iCs/>
          <w:color w:val="000000"/>
          <w:lang w:eastAsia="bg-BG"/>
        </w:rPr>
        <w:t xml:space="preserve"> </w:t>
      </w:r>
      <w:r>
        <w:rPr>
          <w:rFonts w:eastAsia="Times New Roman" w:cs="Arial"/>
          <w:i/>
          <w:iCs/>
          <w:color w:val="000000"/>
          <w:lang w:val="en-US" w:eastAsia="bg-BG"/>
        </w:rPr>
        <w:t xml:space="preserve">(65 </w:t>
      </w:r>
      <w:r>
        <w:rPr>
          <w:rFonts w:eastAsia="Times New Roman" w:cs="Arial"/>
          <w:i/>
          <w:iCs/>
          <w:color w:val="000000"/>
          <w:lang w:eastAsia="bg-BG"/>
        </w:rPr>
        <w:t>или повече години</w:t>
      </w:r>
      <w:r>
        <w:rPr>
          <w:rFonts w:eastAsia="Times New Roman" w:cs="Arial"/>
          <w:i/>
          <w:iCs/>
          <w:color w:val="000000"/>
          <w:lang w:val="en-US" w:eastAsia="bg-BG"/>
        </w:rPr>
        <w:t>)</w:t>
      </w:r>
    </w:p>
    <w:p w14:paraId="273DAD5E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При пациенти в старческа възраст се препоръчва същата дозировка на комбинацията, както при възрастни.</w:t>
      </w:r>
    </w:p>
    <w:p w14:paraId="432CECA4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430AC38" w14:textId="4AF8BB0E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Бъбречно увреждане</w:t>
      </w:r>
    </w:p>
    <w:p w14:paraId="5A4B953E" w14:textId="61CB2FE1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 xml:space="preserve">Когато олмесартан медоксомил/хидрохлоротиазид се използва при пациенти с леко до умерено тежко бъбречно увреждане (креатининов клирънс от 30 до 60 </w:t>
      </w:r>
      <w:r w:rsidRPr="002D3AD2">
        <w:rPr>
          <w:rFonts w:eastAsia="Times New Roman" w:cs="Arial"/>
          <w:color w:val="000000"/>
          <w:lang w:val="en-US"/>
        </w:rPr>
        <w:t>ml</w:t>
      </w:r>
      <w:r w:rsidRPr="002D3AD2">
        <w:rPr>
          <w:rFonts w:eastAsia="Times New Roman" w:cs="Arial"/>
          <w:color w:val="000000"/>
          <w:lang w:val="ru-RU"/>
        </w:rPr>
        <w:t>/</w:t>
      </w:r>
      <w:r w:rsidRPr="002D3AD2">
        <w:rPr>
          <w:rFonts w:eastAsia="Times New Roman" w:cs="Arial"/>
          <w:color w:val="000000"/>
          <w:lang w:val="en-US"/>
        </w:rPr>
        <w:t>min</w:t>
      </w:r>
      <w:r w:rsidRPr="002D3AD2">
        <w:rPr>
          <w:rFonts w:eastAsia="Times New Roman" w:cs="Arial"/>
          <w:color w:val="000000"/>
          <w:lang w:val="ru-RU"/>
        </w:rPr>
        <w:t xml:space="preserve">) </w:t>
      </w:r>
      <w:r w:rsidRPr="002D3AD2">
        <w:rPr>
          <w:rFonts w:eastAsia="Times New Roman" w:cs="Arial"/>
          <w:color w:val="000000"/>
          <w:lang w:eastAsia="bg-BG"/>
        </w:rPr>
        <w:t xml:space="preserve">се препоръчва периодично мониториране на бъбречната функция (вж. точка 4.4). Олмесартан медоксомил/хидрохлоротиазид е противопоказан при пациенти с тежко бъбречно увреждане (креатининов клирънс &lt;30 </w:t>
      </w:r>
      <w:r w:rsidRPr="002D3AD2">
        <w:rPr>
          <w:rFonts w:eastAsia="Times New Roman" w:cs="Arial"/>
          <w:color w:val="000000"/>
          <w:lang w:val="en-US"/>
        </w:rPr>
        <w:t>ml</w:t>
      </w:r>
      <w:r w:rsidRPr="002D3AD2">
        <w:rPr>
          <w:rFonts w:eastAsia="Times New Roman" w:cs="Arial"/>
          <w:color w:val="000000"/>
          <w:lang w:val="ru-RU"/>
        </w:rPr>
        <w:t>/</w:t>
      </w:r>
      <w:r w:rsidRPr="002D3AD2">
        <w:rPr>
          <w:rFonts w:eastAsia="Times New Roman" w:cs="Arial"/>
          <w:color w:val="000000"/>
          <w:lang w:val="en-US"/>
        </w:rPr>
        <w:t>min</w:t>
      </w:r>
      <w:r w:rsidRPr="002D3AD2">
        <w:rPr>
          <w:rFonts w:eastAsia="Times New Roman" w:cs="Arial"/>
          <w:color w:val="000000"/>
          <w:lang w:val="ru-RU"/>
        </w:rPr>
        <w:t xml:space="preserve">) </w:t>
      </w:r>
      <w:r w:rsidRPr="002D3AD2">
        <w:rPr>
          <w:rFonts w:eastAsia="Times New Roman" w:cs="Arial"/>
          <w:color w:val="000000"/>
          <w:lang w:eastAsia="bg-BG"/>
        </w:rPr>
        <w:t>(вж. точка 4.3).</w:t>
      </w:r>
    </w:p>
    <w:p w14:paraId="3135CAB1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0A94E82" w14:textId="31089480" w:rsidR="002D3AD2" w:rsidRP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Чернодробно увреждане</w:t>
      </w:r>
    </w:p>
    <w:p w14:paraId="1A3582AF" w14:textId="3CF0356A" w:rsidR="002D3AD2" w:rsidRPr="002D3AD2" w:rsidRDefault="007C7806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 xml:space="preserve">Олмесартан медоксомил/хидрохлоротиазид </w:t>
      </w:r>
      <w:r>
        <w:rPr>
          <w:lang w:eastAsia="bg-BG"/>
        </w:rPr>
        <w:t>40</w:t>
      </w:r>
      <w:r w:rsidRPr="002D3AD2">
        <w:rPr>
          <w:lang w:eastAsia="bg-BG"/>
        </w:rPr>
        <w:t xml:space="preserve"> </w:t>
      </w:r>
      <w:r w:rsidRPr="002D3AD2">
        <w:rPr>
          <w:lang w:val="en-US"/>
        </w:rPr>
        <w:t>mg</w:t>
      </w:r>
      <w:r w:rsidRPr="002D3AD2">
        <w:t>/</w:t>
      </w:r>
      <w:r>
        <w:rPr>
          <w:lang w:val="en-US"/>
        </w:rPr>
        <w:t>1</w:t>
      </w:r>
      <w:r w:rsidRPr="002D3AD2">
        <w:t>2</w:t>
      </w:r>
      <w:r>
        <w:rPr>
          <w:lang w:val="en-US"/>
        </w:rPr>
        <w:t>,</w:t>
      </w:r>
      <w:r w:rsidRPr="002D3AD2">
        <w:t xml:space="preserve">5 </w:t>
      </w:r>
      <w:r>
        <w:rPr>
          <w:lang w:val="en-US"/>
        </w:rPr>
        <w:t xml:space="preserve">mg </w:t>
      </w:r>
      <w:r>
        <w:t xml:space="preserve">може </w:t>
      </w:r>
      <w:r w:rsidRPr="002D3AD2">
        <w:rPr>
          <w:rFonts w:eastAsia="Times New Roman" w:cs="Arial"/>
          <w:color w:val="000000"/>
          <w:lang w:eastAsia="bg-BG"/>
        </w:rPr>
        <w:t>да се използва като при пациенти, чието артериално налягане не се контролира адекватно</w:t>
      </w:r>
      <w:r w:rsidR="002D3AD2" w:rsidRPr="002D3AD2">
        <w:rPr>
          <w:rFonts w:eastAsia="Times New Roman" w:cs="Arial"/>
          <w:color w:val="000000"/>
          <w:lang w:eastAsia="bg-BG"/>
        </w:rPr>
        <w:t xml:space="preserve"> трябва да се използва предпазливо при пациенти с леко до умерено тежко чернодробно увреждане (вж. точки 4.4 и 5.2). При пациенти с умерено тежко чернодробно увреждане се препоръчва начална доза от 10 </w:t>
      </w:r>
      <w:r w:rsidR="002D3AD2" w:rsidRPr="002D3AD2">
        <w:rPr>
          <w:rFonts w:eastAsia="Times New Roman" w:cs="Arial"/>
          <w:color w:val="000000"/>
          <w:lang w:val="en-US"/>
        </w:rPr>
        <w:t>mg</w:t>
      </w:r>
      <w:r w:rsidR="002D3AD2" w:rsidRPr="002D3AD2">
        <w:rPr>
          <w:rFonts w:eastAsia="Times New Roman" w:cs="Arial"/>
          <w:color w:val="000000"/>
          <w:lang w:val="ru-RU"/>
        </w:rPr>
        <w:t xml:space="preserve"> </w:t>
      </w:r>
      <w:r w:rsidR="002D3AD2" w:rsidRPr="002D3AD2">
        <w:rPr>
          <w:rFonts w:eastAsia="Times New Roman" w:cs="Arial"/>
          <w:color w:val="000000"/>
          <w:lang w:eastAsia="bg-BG"/>
        </w:rPr>
        <w:t xml:space="preserve">олмесартан медоксомил веднъж дневно, а максималната доза не трябва да надвишава 20 </w:t>
      </w:r>
      <w:r w:rsidR="002D3AD2" w:rsidRPr="002D3AD2">
        <w:rPr>
          <w:rFonts w:eastAsia="Times New Roman" w:cs="Arial"/>
          <w:color w:val="000000"/>
          <w:lang w:val="en-US"/>
        </w:rPr>
        <w:t>mg</w:t>
      </w:r>
      <w:r w:rsidR="002D3AD2" w:rsidRPr="002D3AD2">
        <w:rPr>
          <w:rFonts w:eastAsia="Times New Roman" w:cs="Arial"/>
          <w:color w:val="000000"/>
          <w:lang w:val="ru-RU"/>
        </w:rPr>
        <w:t xml:space="preserve"> </w:t>
      </w:r>
      <w:r w:rsidR="002D3AD2" w:rsidRPr="002D3AD2">
        <w:rPr>
          <w:rFonts w:eastAsia="Times New Roman" w:cs="Arial"/>
          <w:color w:val="000000"/>
          <w:lang w:eastAsia="bg-BG"/>
        </w:rPr>
        <w:t>веднъж дневно. При пациенти с чернодробно увреждане, които получават диуретик и/или други антихипертензивни лекарства се препоръчва внимателно мониториране на артериалното налягане и бъбречната функция. При пациенти с тежко чернодробно увреждане няма опит от употребата на олмесартан медоксомил.</w:t>
      </w:r>
    </w:p>
    <w:p w14:paraId="5ECA1E96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1E3228F" w14:textId="77ADBA1F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Олмесартан медоксомил/хидрохлоротиазид не трябва да се използва при пациенти с тежко чернодробно увреждане (вж. точки 4.3, 5.2), холестаза и билиарна обструкция (вж. точка 4.3).</w:t>
      </w:r>
    </w:p>
    <w:p w14:paraId="3F07807A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1B17727" w14:textId="0B044CEB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2034FDA5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lastRenderedPageBreak/>
        <w:t>Не се препоръчва употребата на олмесартан медоксомил/хидрохлоротиазид при деца и юноши под 18 години, поради липса на данни за безопасност и ефикасност.</w:t>
      </w:r>
    </w:p>
    <w:p w14:paraId="1CD1798D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BF35AB1" w14:textId="1DD8AF80" w:rsidR="002D3AD2" w:rsidRPr="002D3AD2" w:rsidRDefault="002D3AD2" w:rsidP="002D3AD2">
      <w:pPr>
        <w:pStyle w:val="Heading3"/>
        <w:rPr>
          <w:rFonts w:eastAsia="Times New Roman"/>
          <w:u w:val="single"/>
        </w:rPr>
      </w:pPr>
      <w:r w:rsidRPr="002D3AD2">
        <w:rPr>
          <w:rFonts w:eastAsia="Times New Roman"/>
          <w:u w:val="single"/>
          <w:lang w:eastAsia="bg-BG"/>
        </w:rPr>
        <w:t>Начин на приложение</w:t>
      </w:r>
    </w:p>
    <w:p w14:paraId="08F3327F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B7DDD6" w14:textId="663E06C9" w:rsidR="002D3AD2" w:rsidRDefault="002D3AD2" w:rsidP="00956735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2D3AD2">
        <w:rPr>
          <w:rFonts w:eastAsia="Times New Roman" w:cs="Arial"/>
          <w:color w:val="000000"/>
          <w:lang w:eastAsia="bg-BG"/>
        </w:rPr>
        <w:t>Таблетката трябва да се поглъща с достатъчно течност (напр. с чаша вода). Таблетката не трябва да се дъвче и трябва да се приема по едно и също време на денонощието.</w:t>
      </w:r>
    </w:p>
    <w:p w14:paraId="749740B5" w14:textId="77777777" w:rsidR="007C7806" w:rsidRPr="00956735" w:rsidRDefault="007C7806" w:rsidP="00956735">
      <w:pPr>
        <w:spacing w:line="240" w:lineRule="auto"/>
        <w:rPr>
          <w:rFonts w:eastAsia="Times New Roman" w:cs="Arial"/>
        </w:rPr>
      </w:pPr>
    </w:p>
    <w:p w14:paraId="28C984E8" w14:textId="74E4F0D9" w:rsidR="008134C8" w:rsidRDefault="002C50EE" w:rsidP="004A448E">
      <w:pPr>
        <w:pStyle w:val="Heading2"/>
      </w:pPr>
      <w:r>
        <w:t>4.3. Противопоказания</w:t>
      </w:r>
    </w:p>
    <w:p w14:paraId="0DF8B650" w14:textId="1976C9BF" w:rsidR="002D3AD2" w:rsidRDefault="002D3AD2" w:rsidP="002D3AD2"/>
    <w:p w14:paraId="30509CC3" w14:textId="77777777" w:rsidR="002D3AD2" w:rsidRPr="002D3AD2" w:rsidRDefault="002D3AD2" w:rsidP="002D3AD2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Свръхчувствителност към активните вещества или към някое от помощните вещества, изброени в точка 6.1, или други сулфонамидни производни (тъй като хидрохлоротиазид е лекарствен продукт, който е производно на сулфонамидите).</w:t>
      </w:r>
    </w:p>
    <w:p w14:paraId="5BCE81A5" w14:textId="77777777" w:rsidR="002D3AD2" w:rsidRPr="002D3AD2" w:rsidRDefault="002D3AD2" w:rsidP="002D3AD2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 xml:space="preserve">Тежко бъбречно увреждане (креатининов клирънс &lt;30 </w:t>
      </w:r>
      <w:r w:rsidRPr="002D3AD2">
        <w:rPr>
          <w:rFonts w:eastAsia="Times New Roman" w:cs="Arial"/>
          <w:color w:val="000000"/>
          <w:lang w:val="en-US"/>
        </w:rPr>
        <w:t>ml</w:t>
      </w:r>
      <w:r w:rsidRPr="002D3AD2">
        <w:rPr>
          <w:rFonts w:eastAsia="Times New Roman" w:cs="Arial"/>
          <w:color w:val="000000"/>
          <w:lang w:val="ru-RU"/>
        </w:rPr>
        <w:t>/</w:t>
      </w:r>
      <w:r w:rsidRPr="002D3AD2">
        <w:rPr>
          <w:rFonts w:eastAsia="Times New Roman" w:cs="Arial"/>
          <w:color w:val="000000"/>
          <w:lang w:val="en-US"/>
        </w:rPr>
        <w:t>min</w:t>
      </w:r>
      <w:r w:rsidRPr="002D3AD2">
        <w:rPr>
          <w:rFonts w:eastAsia="Times New Roman" w:cs="Arial"/>
          <w:color w:val="000000"/>
          <w:lang w:val="ru-RU"/>
        </w:rPr>
        <w:t>)</w:t>
      </w:r>
    </w:p>
    <w:p w14:paraId="703B3723" w14:textId="77777777" w:rsidR="002D3AD2" w:rsidRPr="002D3AD2" w:rsidRDefault="002D3AD2" w:rsidP="002D3AD2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Рефракгерна на лечение хипокалиемия, хиперкалциемия, хипонатриемия и симптоматична хиперурикемия.</w:t>
      </w:r>
    </w:p>
    <w:p w14:paraId="36DA94F9" w14:textId="77777777" w:rsidR="002D3AD2" w:rsidRPr="002D3AD2" w:rsidRDefault="002D3AD2" w:rsidP="002D3AD2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Тежко чернодробно увреждане, холестаза и нарушения, протичащи с билиарна обструкция.</w:t>
      </w:r>
    </w:p>
    <w:p w14:paraId="153B6889" w14:textId="63126B3A" w:rsidR="002D3AD2" w:rsidRPr="002D3AD2" w:rsidRDefault="00956735" w:rsidP="002D3AD2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>Втори и трети триместъ</w:t>
      </w:r>
      <w:r w:rsidR="002D3AD2" w:rsidRPr="002D3AD2">
        <w:rPr>
          <w:rFonts w:eastAsia="Times New Roman" w:cs="Arial"/>
          <w:color w:val="000000"/>
          <w:lang w:eastAsia="bg-BG"/>
        </w:rPr>
        <w:t>р от бременността (вж. точки 4.4 и 4.6).</w:t>
      </w:r>
    </w:p>
    <w:p w14:paraId="48A10B9D" w14:textId="77777777" w:rsidR="002D3AD2" w:rsidRDefault="002D3AD2" w:rsidP="002D3AD2">
      <w:pPr>
        <w:rPr>
          <w:rFonts w:eastAsia="Times New Roman" w:cs="Arial"/>
          <w:color w:val="000000"/>
          <w:lang w:eastAsia="bg-BG"/>
        </w:rPr>
      </w:pPr>
    </w:p>
    <w:p w14:paraId="7D265E14" w14:textId="654759E1" w:rsidR="002D3AD2" w:rsidRDefault="002D3AD2" w:rsidP="002D3AD2">
      <w:pPr>
        <w:rPr>
          <w:rFonts w:eastAsia="Times New Roman" w:cs="Arial"/>
          <w:color w:val="000000"/>
          <w:lang w:eastAsia="bg-BG"/>
        </w:rPr>
      </w:pPr>
      <w:r w:rsidRPr="002D3AD2">
        <w:rPr>
          <w:rFonts w:eastAsia="Times New Roman" w:cs="Arial"/>
          <w:color w:val="000000"/>
          <w:lang w:eastAsia="bg-BG"/>
        </w:rPr>
        <w:t xml:space="preserve">Едновременната употреба на Коолсарт с алискирен-съдържащи продукти е противопоказана при пациенти със захарен диабет или бъбречно увреждане </w:t>
      </w:r>
      <w:r w:rsidRPr="002D3AD2">
        <w:rPr>
          <w:rFonts w:eastAsia="Times New Roman" w:cs="Arial"/>
          <w:color w:val="000000"/>
          <w:lang w:val="ru-RU"/>
        </w:rPr>
        <w:t>(</w:t>
      </w:r>
      <w:r w:rsidRPr="002D3AD2">
        <w:rPr>
          <w:rFonts w:eastAsia="Times New Roman" w:cs="Arial"/>
          <w:color w:val="000000"/>
          <w:lang w:val="en-US"/>
        </w:rPr>
        <w:t>GFR</w:t>
      </w:r>
      <w:r w:rsidRPr="002D3AD2">
        <w:rPr>
          <w:rFonts w:eastAsia="Times New Roman" w:cs="Arial"/>
          <w:color w:val="000000"/>
          <w:lang w:val="ru-RU"/>
        </w:rPr>
        <w:t xml:space="preserve">&lt; </w:t>
      </w:r>
      <w:r w:rsidRPr="002D3AD2">
        <w:rPr>
          <w:rFonts w:eastAsia="Times New Roman" w:cs="Arial"/>
          <w:color w:val="000000"/>
          <w:lang w:eastAsia="bg-BG"/>
        </w:rPr>
        <w:t xml:space="preserve">60 </w:t>
      </w:r>
      <w:r w:rsidRPr="002D3AD2">
        <w:rPr>
          <w:rFonts w:eastAsia="Times New Roman" w:cs="Arial"/>
          <w:color w:val="000000"/>
          <w:lang w:val="en-US"/>
        </w:rPr>
        <w:t>ml</w:t>
      </w:r>
      <w:r w:rsidRPr="002D3AD2">
        <w:rPr>
          <w:rFonts w:eastAsia="Times New Roman" w:cs="Arial"/>
          <w:color w:val="000000"/>
          <w:lang w:val="ru-RU"/>
        </w:rPr>
        <w:t>/</w:t>
      </w:r>
      <w:r w:rsidRPr="002D3AD2">
        <w:rPr>
          <w:rFonts w:eastAsia="Times New Roman" w:cs="Arial"/>
          <w:color w:val="000000"/>
          <w:lang w:val="en-US"/>
        </w:rPr>
        <w:t>min</w:t>
      </w:r>
      <w:r w:rsidRPr="002D3AD2">
        <w:rPr>
          <w:rFonts w:eastAsia="Times New Roman" w:cs="Arial"/>
          <w:color w:val="000000"/>
          <w:lang w:val="ru-RU"/>
        </w:rPr>
        <w:t>/</w:t>
      </w:r>
      <w:r w:rsidRPr="002D3AD2">
        <w:rPr>
          <w:rFonts w:eastAsia="Times New Roman" w:cs="Arial"/>
          <w:color w:val="000000"/>
          <w:lang w:eastAsia="bg-BG"/>
        </w:rPr>
        <w:t xml:space="preserve">1,73 </w:t>
      </w:r>
      <w:r w:rsidRPr="002D3AD2">
        <w:rPr>
          <w:rFonts w:eastAsia="Times New Roman" w:cs="Arial"/>
          <w:color w:val="000000"/>
          <w:lang w:val="en-US"/>
        </w:rPr>
        <w:t>m</w:t>
      </w:r>
      <w:r w:rsidRPr="002D3AD2">
        <w:rPr>
          <w:rFonts w:eastAsia="Times New Roman" w:cs="Arial"/>
          <w:color w:val="000000"/>
          <w:vertAlign w:val="superscript"/>
          <w:lang w:val="ru-RU"/>
        </w:rPr>
        <w:t>2</w:t>
      </w:r>
      <w:r w:rsidRPr="002D3AD2">
        <w:rPr>
          <w:rFonts w:eastAsia="Times New Roman" w:cs="Arial"/>
          <w:color w:val="000000"/>
          <w:lang w:val="ru-RU"/>
        </w:rPr>
        <w:t xml:space="preserve">) </w:t>
      </w:r>
      <w:r w:rsidRPr="002D3AD2">
        <w:rPr>
          <w:rFonts w:eastAsia="Times New Roman" w:cs="Arial"/>
          <w:color w:val="000000"/>
          <w:lang w:eastAsia="bg-BG"/>
        </w:rPr>
        <w:t>(вж. точки 4.5 и 5.1)”</w:t>
      </w:r>
    </w:p>
    <w:p w14:paraId="7D4FF064" w14:textId="77777777" w:rsidR="002D3AD2" w:rsidRPr="002D3AD2" w:rsidRDefault="002D3AD2" w:rsidP="002D3AD2">
      <w:pPr>
        <w:rPr>
          <w:rFonts w:cs="Arial"/>
        </w:rPr>
      </w:pPr>
    </w:p>
    <w:p w14:paraId="212F509C" w14:textId="7EC61C7E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11400AD5" w14:textId="60EC46FF" w:rsidR="002D3AD2" w:rsidRDefault="002D3AD2" w:rsidP="002D3AD2"/>
    <w:p w14:paraId="766C9D1F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Вътресъдова хиповолемия</w:t>
      </w:r>
    </w:p>
    <w:p w14:paraId="51BAE7F2" w14:textId="77777777" w:rsidR="002D3AD2" w:rsidRPr="002D3AD2" w:rsidRDefault="002D3AD2" w:rsidP="002D3AD2">
      <w:pPr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При пациенти с хиповолемия и/или хипонатриемия вследствие на мощна диуретична терапия, ограничения на солта, диария или повръщане, може да се появи симптоматична хипотония след</w:t>
      </w:r>
      <w:r w:rsidRPr="002D3AD2">
        <w:rPr>
          <w:rFonts w:eastAsia="Times New Roman" w:cs="Arial"/>
          <w:color w:val="000000"/>
          <w:lang w:val="ru-RU" w:eastAsia="bg-BG"/>
        </w:rPr>
        <w:t xml:space="preserve"> </w:t>
      </w:r>
      <w:r w:rsidRPr="002D3AD2">
        <w:rPr>
          <w:rFonts w:eastAsia="Times New Roman" w:cs="Arial"/>
          <w:color w:val="000000"/>
          <w:lang w:eastAsia="bg-BG"/>
        </w:rPr>
        <w:t>първата доза. Тези състояния трябва да бъдат коригирани преди приложението на олмесартан медоксомил/хидрохлоротиазид.</w:t>
      </w:r>
    </w:p>
    <w:p w14:paraId="6F9CAA5A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A611CB0" w14:textId="047AA1C5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Други състояния със стимулация на ренин-ангиотензин-алдостероиовата система</w:t>
      </w:r>
    </w:p>
    <w:p w14:paraId="4A964362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При пациенти, чийто съдов тонус и бъбречна функция зависят предимно от активността на ренин- ангиогензин-алдостероновата система (напр. пациенти с тежка застойна сърдечна недостатъчност или основно бъбречно заболяване, включително стеноза на бъбречната артерия), лечението с други лекарствени продукти, повлияващи тази система, е свързано с остра хипотония, азотемия, олигурия или в редки случаи с остра бъбречна недостатъчност.</w:t>
      </w:r>
    </w:p>
    <w:p w14:paraId="009213B9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1A3F054" w14:textId="684029D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Реновазална хипертония</w:t>
      </w:r>
    </w:p>
    <w:p w14:paraId="0947854F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Ако пациенти с двустранна стеноза на бъбречните артерии или стеноза на артерията на единствения функциониращ бъбрек са лекувани с лекарствени продукти, повлияващи ренин-ангиотензин- алдостероновата система, съществува повишен риск от тежка хипотония и бъбречна недостатъчност.</w:t>
      </w:r>
    </w:p>
    <w:p w14:paraId="6DECF0E5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7D1E36C" w14:textId="7F0B41EC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Бъбречно увреждане и бъбречна трансплантация</w:t>
      </w:r>
    </w:p>
    <w:p w14:paraId="6A0E5C4B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 xml:space="preserve">Олмесартан медоксомил/хидрохлоротиазид не трябва да се използва при пациенти с тежко бъбречно увреждане (креатининов клирънс &lt; 30 </w:t>
      </w:r>
      <w:r w:rsidRPr="002D3AD2">
        <w:rPr>
          <w:rFonts w:eastAsia="Times New Roman" w:cs="Arial"/>
          <w:color w:val="000000"/>
          <w:lang w:val="en-US"/>
        </w:rPr>
        <w:t>ml</w:t>
      </w:r>
      <w:r w:rsidRPr="002D3AD2">
        <w:rPr>
          <w:rFonts w:eastAsia="Times New Roman" w:cs="Arial"/>
          <w:color w:val="000000"/>
          <w:lang w:val="ru-RU"/>
        </w:rPr>
        <w:t>/</w:t>
      </w:r>
      <w:r w:rsidRPr="002D3AD2">
        <w:rPr>
          <w:rFonts w:eastAsia="Times New Roman" w:cs="Arial"/>
          <w:color w:val="000000"/>
          <w:lang w:val="en-US"/>
        </w:rPr>
        <w:t>min</w:t>
      </w:r>
      <w:r w:rsidRPr="002D3AD2">
        <w:rPr>
          <w:rFonts w:eastAsia="Times New Roman" w:cs="Arial"/>
          <w:color w:val="000000"/>
          <w:lang w:val="ru-RU"/>
        </w:rPr>
        <w:t xml:space="preserve">) </w:t>
      </w:r>
      <w:r w:rsidRPr="002D3AD2">
        <w:rPr>
          <w:rFonts w:eastAsia="Times New Roman" w:cs="Arial"/>
          <w:color w:val="000000"/>
          <w:lang w:eastAsia="bg-BG"/>
        </w:rPr>
        <w:t xml:space="preserve">(вж. точка 4.3). При </w:t>
      </w:r>
      <w:r w:rsidRPr="002D3AD2">
        <w:rPr>
          <w:rFonts w:eastAsia="Times New Roman" w:cs="Arial"/>
          <w:color w:val="000000"/>
          <w:lang w:eastAsia="bg-BG"/>
        </w:rPr>
        <w:lastRenderedPageBreak/>
        <w:t xml:space="preserve">пациенти с леко до умерено тежко бъбречно увреждане (креатининов клирънс 30-60 </w:t>
      </w:r>
      <w:r w:rsidRPr="002D3AD2">
        <w:rPr>
          <w:rFonts w:eastAsia="Times New Roman" w:cs="Arial"/>
          <w:color w:val="000000"/>
          <w:lang w:val="en-US"/>
        </w:rPr>
        <w:t>ml</w:t>
      </w:r>
      <w:r w:rsidRPr="002D3AD2">
        <w:rPr>
          <w:rFonts w:eastAsia="Times New Roman" w:cs="Arial"/>
          <w:color w:val="000000"/>
          <w:lang w:val="ru-RU"/>
        </w:rPr>
        <w:t>/</w:t>
      </w:r>
      <w:r w:rsidRPr="002D3AD2">
        <w:rPr>
          <w:rFonts w:eastAsia="Times New Roman" w:cs="Arial"/>
          <w:color w:val="000000"/>
          <w:lang w:val="en-US"/>
        </w:rPr>
        <w:t>min</w:t>
      </w:r>
      <w:r w:rsidRPr="002D3AD2">
        <w:rPr>
          <w:rFonts w:eastAsia="Times New Roman" w:cs="Arial"/>
          <w:color w:val="000000"/>
          <w:lang w:val="ru-RU"/>
        </w:rPr>
        <w:t xml:space="preserve">) </w:t>
      </w:r>
      <w:r w:rsidRPr="002D3AD2">
        <w:rPr>
          <w:rFonts w:eastAsia="Times New Roman" w:cs="Arial"/>
          <w:color w:val="000000"/>
          <w:lang w:eastAsia="bg-BG"/>
        </w:rPr>
        <w:t>не се налага адаптиране на дозировката. Все пак при подобни пациенти олмесартан медоксомил/хидрохлоротиазид трябва да се прилага предпазливо и се препоръчва периодичен мониторинг на серумния калий, креатинин и пикочната киселина. Свързаната с тиазидни диуретици азотемия може да се появи при пациенти с нарушена бъбречна функция. Ако се появи клинично изявена прогресия на бъбречно увреждане е необходима внимателна преоценка на терапията, като се вземе предвид спиране на лечението с диуретици. Няма опит от приложението на олмесартан медоксомил/хидрохлоротиазид при пациенти със скорошна бъбречна трансплантация.</w:t>
      </w:r>
    </w:p>
    <w:p w14:paraId="4C1AE1FE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3F79854" w14:textId="35E277CE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Чернодробно увреждане</w:t>
      </w:r>
    </w:p>
    <w:p w14:paraId="0C9BA00B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Няма опит от употребата на олмесартан медоксомил при пациенти с тежко увредена чернодробна функция. Освен това, незначителни промени във водно-електролитния баланс по време на терапия с тиазиди може да ускори развитието на чернодробна кома при пациенти с увредена чернодробна функция или прогресиращо чернодробно заболяване. Поради това при пациенти с леко до умерено чернодробно увреждане е необходимо повишено внимание (вж. точка 4.2). Употребата на олмесартан медоксомил/хидрохлоротиазид при пациенти с тежко чернодробно увреждане, холестаза или билиарна обструкция е противопоказана (вж. точки 4.3, 5.2).</w:t>
      </w:r>
    </w:p>
    <w:p w14:paraId="030DFA83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9576B16" w14:textId="3E5CA40A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Стеноза на аортна и митрална клапа, обструктивна хипертрофична кардиомиопатия</w:t>
      </w:r>
    </w:p>
    <w:p w14:paraId="39B40176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Както и за останалите вазодилататори, при пациенти със стеноза на аортна или митрална клапа, или обструктивна хипертрофична кардиомиопатия се препоръчва особена предпазливост.</w:t>
      </w:r>
    </w:p>
    <w:p w14:paraId="02394EDC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9A8D6DF" w14:textId="4A503620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Първичен хипералдостеронизъм</w:t>
      </w:r>
    </w:p>
    <w:p w14:paraId="6D47FC08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Пациентите с първичен хипералдостеронизъм обикновено не отговарят на терапия с антихипертензивни средства, които действат чрез инхибиране на ренин-ангиотензиновата система. Затова употребата на олмесартан медоксомил/хидрохлоротиазид при такива пациенти не се препоръчва.</w:t>
      </w:r>
    </w:p>
    <w:p w14:paraId="01A3B7FE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D9CA2A2" w14:textId="6B93013F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Метаболитни и ендокринни ефекти</w:t>
      </w:r>
    </w:p>
    <w:p w14:paraId="7D18180F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Терапията с тиазидни диуретици може да наруши глюкозния толеранс. При пациенти със захарен диабет може да се наложи адаптиране на дозите на инсулина или на пероралните хипогликемизиращи средства (вж. точка 4.5). В хода на тиазидна терапия може да се изяви латентен диабет.</w:t>
      </w:r>
    </w:p>
    <w:p w14:paraId="205FF75B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Повишение на холестерола и нивата на триглицеридите са нежелани реакции, за които е известно, че се асоциират с тиазидната терапия.</w:t>
      </w:r>
    </w:p>
    <w:p w14:paraId="636C98A0" w14:textId="00D63743" w:rsidR="002D3AD2" w:rsidRDefault="002D3AD2" w:rsidP="002D3AD2">
      <w:pPr>
        <w:rPr>
          <w:rFonts w:eastAsia="Times New Roman" w:cs="Arial"/>
          <w:color w:val="000000"/>
          <w:lang w:eastAsia="bg-BG"/>
        </w:rPr>
      </w:pPr>
      <w:r w:rsidRPr="002D3AD2">
        <w:rPr>
          <w:rFonts w:eastAsia="Times New Roman" w:cs="Arial"/>
          <w:color w:val="000000"/>
          <w:lang w:eastAsia="bg-BG"/>
        </w:rPr>
        <w:t>При някои пациенти, получаващи тиазидни диуретици, може да се появи хиперурикемия или да се влоши съществуваща подагра.</w:t>
      </w:r>
    </w:p>
    <w:p w14:paraId="3512AA5B" w14:textId="281E400F" w:rsidR="002D3AD2" w:rsidRDefault="002D3AD2" w:rsidP="002D3AD2">
      <w:pPr>
        <w:rPr>
          <w:rFonts w:eastAsia="Times New Roman" w:cs="Arial"/>
          <w:color w:val="000000"/>
          <w:lang w:eastAsia="bg-BG"/>
        </w:rPr>
      </w:pPr>
    </w:p>
    <w:p w14:paraId="3AF824D6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Електролитен дисбаланс</w:t>
      </w:r>
    </w:p>
    <w:p w14:paraId="5CAA0008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Както при всички пациенти, които са на диуретична терапия, се препоръчва периодично определяне на серумните електролити на подходящи интервали от време.</w:t>
      </w:r>
    </w:p>
    <w:p w14:paraId="00D00807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 xml:space="preserve">Тиазидите, включително хидрохлоротиазид може да доведат до нарушение на водния или електролитния баланс (включително хипокалиемия, хипонатриемия и хипохлоремична алкалоза). Предупредителни признаци за водно-електролитно нарушения са сухота в устата, жажда, слабост, летаргия, сънливост, безпокойство, мускулни болки или крампи, мускулна слабост, хипотония, олитурия, тахикардия и стомашно-чревни нарушения като гадене или повръщене (вж. точка 4.8). Рискът от хипокалиемия е най-голям при пациенти с чернодробна цироза, при пациенти </w:t>
      </w:r>
      <w:r w:rsidRPr="002D3AD2">
        <w:rPr>
          <w:rFonts w:eastAsia="Times New Roman" w:cs="Arial"/>
          <w:color w:val="000000"/>
          <w:lang w:eastAsia="bg-BG"/>
        </w:rPr>
        <w:lastRenderedPageBreak/>
        <w:t>получаващи бримкови диуретици, при пациенти с неадекватен прием на електролити и пациенти на съпътстваща терапия с кортикостероцди или АКТХ (вж. точка 4.5). От друга страна, вследствие на антагонизма на ангиотензин П-рецепторите (АТ1), от страна на олмесартан медоксомила в олмесартан медоксомил/хидрохлоротиазид може да се появи хиперкалиемия, особено при наличие на бъбречно увреждане и/или сърдечна недостатъчност и захарен диабет. При рискови пациенти се препоръчва адекватно контролиране на серумния калий. Калий-съхраняващите диуретици, калиевите добавки или калий-съдържащите заместители на солта и други лекарствени продукти, които може да повишат нивата на серумния калий (напр. хепарин), трябва да се прилагат предпазливо заедно с олмесартан медоксомил/хидрохлоротиазид (вж. точка 4.5).</w:t>
      </w:r>
    </w:p>
    <w:p w14:paraId="47D0B535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Няма доказателства, че олмесартан медоксомил може да намали или предотврати развитието на индуцираната от диуретици хипонатриемия. Недостигът на хлориди обикновено е лек и не изисква лечение.</w:t>
      </w:r>
    </w:p>
    <w:p w14:paraId="2CC482BB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Тиазидите може да намалят екскрецията на калций с урината и да са причина за интермитентно и лекостепенно повишение на серумния калций в отсъствието на известни нарушения на калциевия метаболизъм. Проявата на хиперкалциемия може да е доказателство за скрит хиперпаратиреоидизъм. Преди провеждане на изследване на функцията на паратиреоидните жлези трябва да се спре употребата на тиазидни диуретици.</w:t>
      </w:r>
    </w:p>
    <w:p w14:paraId="09D80206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Известно е, че тиазидите повишават уринната екскреция на магнезий, което може да доведе до хипомагнезиемия. При едематозни пациенти в горещо време може да се развие дилуционна хипонатриемия.</w:t>
      </w:r>
    </w:p>
    <w:p w14:paraId="34E11879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ED25B99" w14:textId="68A59F6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Двойно блокиране на ренин-ангиотензин-алдостероновата система (РААС)</w:t>
      </w:r>
    </w:p>
    <w:p w14:paraId="2710D7FF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 xml:space="preserve">Има данни, че едновременната употреба на АСЕ инхибитори, ангиотензин </w:t>
      </w:r>
      <w:r w:rsidRPr="002D3AD2">
        <w:rPr>
          <w:rFonts w:eastAsia="Times New Roman" w:cs="Arial"/>
          <w:color w:val="000000"/>
          <w:lang w:val="en-US"/>
        </w:rPr>
        <w:t>II</w:t>
      </w:r>
      <w:r w:rsidRPr="002D3AD2">
        <w:rPr>
          <w:rFonts w:eastAsia="Times New Roman" w:cs="Arial"/>
          <w:color w:val="000000"/>
          <w:lang w:eastAsia="bg-BG"/>
        </w:rPr>
        <w:t xml:space="preserve">-рецепторни блокери или алискирен повишава риска от хипотония, хиперкалиемия и намаляване на бъбречната функция (включително остра бъбречна недостатъчност). Поради това не се препоръчва двойно блокиране на РААС чрез комбинираната употреба на АСЕ инхибитори, ангиотензин </w:t>
      </w:r>
      <w:r w:rsidRPr="002D3AD2">
        <w:rPr>
          <w:rFonts w:eastAsia="Times New Roman" w:cs="Arial"/>
          <w:color w:val="000000"/>
          <w:lang w:val="en-US"/>
        </w:rPr>
        <w:t>II</w:t>
      </w:r>
      <w:r w:rsidRPr="002D3AD2">
        <w:rPr>
          <w:rFonts w:eastAsia="Times New Roman" w:cs="Arial"/>
          <w:color w:val="000000"/>
          <w:lang w:eastAsia="bg-BG"/>
        </w:rPr>
        <w:t>-рецепторни блокери или алискирен (вж. точки 4.5 и 5.1).</w:t>
      </w:r>
    </w:p>
    <w:p w14:paraId="4C3B1C31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Ако се прецени, че терапията с двойно блокиране е абсолютно необходима, това трябва да става само под наблюдението на специалист и при често внимателно мониториране на бъбречната функция, електролитите и кръвното налягане.</w:t>
      </w:r>
    </w:p>
    <w:p w14:paraId="12B55361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 xml:space="preserve">АСЕ инхибитори и ангиотензин </w:t>
      </w:r>
      <w:r w:rsidRPr="002D3AD2">
        <w:rPr>
          <w:rFonts w:eastAsia="Times New Roman" w:cs="Arial"/>
          <w:color w:val="000000"/>
          <w:lang w:val="en-US"/>
        </w:rPr>
        <w:t>II</w:t>
      </w:r>
      <w:r w:rsidRPr="002D3AD2">
        <w:rPr>
          <w:rFonts w:eastAsia="Times New Roman" w:cs="Arial"/>
          <w:color w:val="000000"/>
          <w:lang w:eastAsia="bg-BG"/>
        </w:rPr>
        <w:t>-рецепторни блокери не трябва да се използват едновременно при пациенти с диабетна нефропатия.</w:t>
      </w:r>
    </w:p>
    <w:p w14:paraId="26A752E0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14C5FF8" w14:textId="3A749C92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Литий</w:t>
      </w:r>
    </w:p>
    <w:p w14:paraId="7A0A7B9E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Както и при останалите лекарствени продукти, съдържащи ангиотензин П-рецепторни антагонисти и тиазиден диуретик в комбинация, едновременното приложение на олмесартан медоксомил/хидрохлоротиазид и литий не се препоръчва (вж. точка 4.5).</w:t>
      </w:r>
    </w:p>
    <w:p w14:paraId="69A6FFBA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F354405" w14:textId="7C2319F0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Етнически различия</w:t>
      </w:r>
    </w:p>
    <w:p w14:paraId="397F7C1D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Както и при останалите антагонисти на ангиотензин II, понижаващият артериалното налягане ефект на олмесартан медоксомил е до известна степен по-слаб при чернокожи пациенти в сравнение с тези от други раси, вероятно поради по-често срещания нискоренинов статус сред чернокожи пациенти хипертония.</w:t>
      </w:r>
    </w:p>
    <w:p w14:paraId="0448F39D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AC92798" w14:textId="46AD6001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Антидопинг тест</w:t>
      </w:r>
    </w:p>
    <w:p w14:paraId="4200E1DD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Съдържанието на хидрохлоротиазид в този лекарствен продукт може да позитивира аналитичние резултати в изследване за допинг-контрол.</w:t>
      </w:r>
    </w:p>
    <w:p w14:paraId="2B8C4638" w14:textId="7DB67B10" w:rsidR="002D3AD2" w:rsidRDefault="002D3AD2" w:rsidP="002D3AD2">
      <w:pPr>
        <w:rPr>
          <w:rFonts w:cs="Arial"/>
        </w:rPr>
      </w:pPr>
    </w:p>
    <w:p w14:paraId="632522E0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Бременност</w:t>
      </w:r>
    </w:p>
    <w:p w14:paraId="22B7D4CD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lastRenderedPageBreak/>
        <w:t>По време на бременност не трябва да се започва лечение с антагонисти на ангиотензин II. Освен ако терапията с антагонисти на ангиотензин II не се счита за съществена, пациентките, планиращи бременност, трябва да преминат на алтернативно антихипертензивно лечение, което е с установен профил на безопасност по време на бременност. При установяване на бременност лечението с антагонисти на ангиотензин II трябва да бъде прекратено незабавно и ако е подходящо, да се започне алтернативна терапия (вж. точки 4.3 и 4.6).</w:t>
      </w:r>
    </w:p>
    <w:p w14:paraId="3EBB0DD6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16B85C2" w14:textId="6FC6F53D" w:rsidR="002D3AD2" w:rsidRPr="002D3AD2" w:rsidRDefault="002D3AD2" w:rsidP="002D3AD2">
      <w:pPr>
        <w:spacing w:line="240" w:lineRule="auto"/>
        <w:rPr>
          <w:rFonts w:eastAsia="Times New Roman" w:cs="Arial"/>
          <w:u w:val="single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Други</w:t>
      </w:r>
    </w:p>
    <w:p w14:paraId="14F70951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При пациенти с генерализирана атеросклероза, исхемична болест на сърцето или исхемична мозъчносъдова болест винаги е възможно да се наблюдава рязко понижаване на артериалното налягане, което да доведе до инфаркт на миокарда или инсулт.</w:t>
      </w:r>
    </w:p>
    <w:p w14:paraId="642D37D9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При пациенти със или без анамнеза за алергия или бронхиална астма, като вероятността е по-голяма при наличието на подобна анамнеза, може да се развият реакции на свръхчуствителност към хидрохлоротиазид. При употреба на тиазиди са били получени съобщения за изостряне или активиране на системен лупус.</w:t>
      </w:r>
    </w:p>
    <w:p w14:paraId="35C479DB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 xml:space="preserve">Този лекарствен продукт съдържа лактоза. Пациенти с редки наследствени проблеми на галактозна непоносимост, </w:t>
      </w:r>
      <w:r w:rsidRPr="002D3AD2">
        <w:rPr>
          <w:rFonts w:eastAsia="Times New Roman" w:cs="Arial"/>
          <w:color w:val="000000"/>
          <w:lang w:val="en-US"/>
        </w:rPr>
        <w:t>Lapp</w:t>
      </w:r>
      <w:r w:rsidRPr="002D3AD2">
        <w:rPr>
          <w:rFonts w:eastAsia="Times New Roman" w:cs="Arial"/>
          <w:color w:val="000000"/>
          <w:lang w:eastAsia="bg-BG"/>
        </w:rPr>
        <w:t>-лактазен дефизит или глюкозо-галактозна малабсорбция не трябва да приемат този лекарствен продукт.</w:t>
      </w:r>
    </w:p>
    <w:p w14:paraId="5C9C1B62" w14:textId="54A86989" w:rsidR="002D3AD2" w:rsidRDefault="002D3AD2" w:rsidP="002D3AD2">
      <w:pPr>
        <w:rPr>
          <w:rFonts w:cs="Arial"/>
        </w:rPr>
      </w:pPr>
    </w:p>
    <w:p w14:paraId="5BE581F6" w14:textId="5045589E" w:rsidR="00956735" w:rsidRDefault="00956735" w:rsidP="002D3AD2">
      <w:pPr>
        <w:rPr>
          <w:rFonts w:cs="Arial"/>
        </w:rPr>
      </w:pPr>
      <w:r>
        <w:rPr>
          <w:rFonts w:cs="Arial"/>
        </w:rPr>
        <w:t>При пациенти със или без анамнеза за алергия или бронхиална астма, като вероятността е по-голяма при наличието на подобна анамнеза, може да се развият реакции на свръхчувствителност към хидрохлоротиазид.</w:t>
      </w:r>
    </w:p>
    <w:p w14:paraId="0F6574AD" w14:textId="4239CB11" w:rsidR="00956735" w:rsidRDefault="00956735" w:rsidP="002D3AD2">
      <w:pPr>
        <w:rPr>
          <w:rFonts w:cs="Arial"/>
        </w:rPr>
      </w:pPr>
    </w:p>
    <w:p w14:paraId="7CDAFE4C" w14:textId="2E5E447C" w:rsidR="00956735" w:rsidRDefault="00956735" w:rsidP="002D3AD2">
      <w:pPr>
        <w:rPr>
          <w:rFonts w:cs="Arial"/>
        </w:rPr>
      </w:pPr>
      <w:r>
        <w:rPr>
          <w:rFonts w:cs="Arial"/>
        </w:rPr>
        <w:t>При употреба на тиазиди, са били получени съобщения за изостряне или активиране на системен лупус еритематозус.</w:t>
      </w:r>
    </w:p>
    <w:p w14:paraId="717624AE" w14:textId="5C6A2D08" w:rsidR="00956735" w:rsidRDefault="00956735" w:rsidP="002D3AD2">
      <w:pPr>
        <w:rPr>
          <w:rFonts w:cs="Arial"/>
        </w:rPr>
      </w:pPr>
    </w:p>
    <w:p w14:paraId="704E75A1" w14:textId="4C59E7F2" w:rsidR="00956735" w:rsidRPr="00956735" w:rsidRDefault="00956735" w:rsidP="002D3AD2">
      <w:pPr>
        <w:rPr>
          <w:rFonts w:cs="Arial"/>
          <w:u w:val="single"/>
        </w:rPr>
      </w:pPr>
      <w:r w:rsidRPr="00956735">
        <w:rPr>
          <w:rFonts w:cs="Arial"/>
          <w:u w:val="single"/>
        </w:rPr>
        <w:t>Коолсарт съдържа лактоза</w:t>
      </w:r>
    </w:p>
    <w:p w14:paraId="4917838C" w14:textId="48AC4A88" w:rsidR="00956735" w:rsidRPr="00956735" w:rsidRDefault="00956735" w:rsidP="002D3AD2">
      <w:pPr>
        <w:rPr>
          <w:rFonts w:cs="Arial"/>
        </w:rPr>
      </w:pPr>
      <w:r>
        <w:rPr>
          <w:rFonts w:cs="Arial"/>
        </w:rPr>
        <w:t xml:space="preserve">Този лекарствен продукт съдържа лактоза. Пациенти с редки наследствени проблеми на галактозна непоносимост, </w:t>
      </w:r>
      <w:r>
        <w:rPr>
          <w:rFonts w:cs="Arial"/>
          <w:lang w:val="en-US"/>
        </w:rPr>
        <w:t>Lapp-</w:t>
      </w:r>
      <w:r>
        <w:rPr>
          <w:rFonts w:cs="Arial"/>
        </w:rPr>
        <w:t>лактазен дефицит или глюкозо-галактозна малабсорбция не трябва да приемат този лекарствен продукт.</w:t>
      </w:r>
    </w:p>
    <w:p w14:paraId="74CEFEFC" w14:textId="77777777" w:rsidR="00956735" w:rsidRPr="002D3AD2" w:rsidRDefault="00956735" w:rsidP="002D3AD2">
      <w:pPr>
        <w:rPr>
          <w:rFonts w:cs="Arial"/>
        </w:rPr>
      </w:pPr>
    </w:p>
    <w:p w14:paraId="619DED1E" w14:textId="290E9B24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0628A19" w14:textId="4F58A8A3" w:rsidR="002D3AD2" w:rsidRDefault="002D3AD2" w:rsidP="002D3AD2"/>
    <w:p w14:paraId="25114148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Потенциални взаимодействия, свързани с комбинацията с олмесартан медоксомил/хидрохлоро</w:t>
      </w:r>
      <w:r w:rsidRPr="002D3AD2">
        <w:rPr>
          <w:rFonts w:eastAsia="Times New Roman" w:cs="Arial"/>
          <w:i/>
          <w:iCs/>
          <w:color w:val="000000"/>
          <w:lang w:eastAsia="bg-BG"/>
        </w:rPr>
        <w:softHyphen/>
        <w:t>тиазид</w:t>
      </w:r>
    </w:p>
    <w:p w14:paraId="25CBFF5B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2022E1E" w14:textId="69EC35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Съпътстващата употреба не се препоръчва</w:t>
      </w:r>
    </w:p>
    <w:p w14:paraId="6ABBB6B3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8AFE8E6" w14:textId="1E1019D5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Литий</w:t>
      </w:r>
    </w:p>
    <w:p w14:paraId="1F869BA5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 xml:space="preserve">При едновременно приложение на литий с инхибитори на ангиотензин конвертиращия ензим и по- рядко с ангиотензин </w:t>
      </w:r>
      <w:r w:rsidRPr="002D3AD2">
        <w:rPr>
          <w:rFonts w:eastAsia="Times New Roman" w:cs="Arial"/>
          <w:color w:val="000000"/>
          <w:lang w:val="en-US"/>
        </w:rPr>
        <w:t>II</w:t>
      </w:r>
      <w:r w:rsidRPr="002D3AD2">
        <w:rPr>
          <w:rFonts w:eastAsia="Times New Roman" w:cs="Arial"/>
          <w:color w:val="000000"/>
          <w:lang w:eastAsia="bg-BG"/>
        </w:rPr>
        <w:t>-рецепторни антагонисти е докладвано за обратимо повишаване на концентрациите и токсичността на литий в серума. Освен това тиазидите понижават бъбречния клирънс на лития и впоследствие водят до повишен риск от поява на литиева токсичност. Поради това употребата на олмесартан медоксомил/хидрохлоротиазид и литий не се препоръчва (вж. точка 4.4). Ако употребата на тази комбинация е доказано необходима, се препоръчва внимателно мониториране на серумното ниво на литий.</w:t>
      </w:r>
    </w:p>
    <w:p w14:paraId="0CD62AAC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A0DC57D" w14:textId="3E5CE551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Съпътстващата употреба изисква повишено внимание</w:t>
      </w:r>
    </w:p>
    <w:p w14:paraId="35AF3983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D5DF6E5" w14:textId="0F2FBE96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Баклофен</w:t>
      </w:r>
    </w:p>
    <w:p w14:paraId="28D588A8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Може да се появи потенциране на антихипертензивните ефекти.</w:t>
      </w:r>
    </w:p>
    <w:p w14:paraId="54250E80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2E86A3A" w14:textId="1E3E3933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Нестераидни противовъзпалителни средства (НСПВС)</w:t>
      </w:r>
    </w:p>
    <w:p w14:paraId="493FFAB4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НСПВС (включително ацетилсалицилова киселина (&gt;3</w:t>
      </w:r>
      <w:r w:rsidRPr="002D3AD2">
        <w:rPr>
          <w:rFonts w:eastAsia="Times New Roman" w:cs="Arial"/>
          <w:color w:val="000000"/>
          <w:lang w:val="en-US"/>
        </w:rPr>
        <w:t>g</w:t>
      </w:r>
      <w:r w:rsidRPr="002D3AD2">
        <w:rPr>
          <w:rFonts w:eastAsia="Times New Roman" w:cs="Arial"/>
          <w:color w:val="000000"/>
          <w:lang w:eastAsia="bg-BG"/>
        </w:rPr>
        <w:t xml:space="preserve">/дневно), СОХ-2 инхибитори и неселективни НСПВС) може да понижат антихипертензивния ефект на тиазидните диуретици и ангиотензин </w:t>
      </w:r>
      <w:r w:rsidRPr="002D3AD2">
        <w:rPr>
          <w:rFonts w:eastAsia="Times New Roman" w:cs="Arial"/>
          <w:color w:val="000000"/>
          <w:lang w:val="en-US"/>
        </w:rPr>
        <w:t>II</w:t>
      </w:r>
      <w:r w:rsidRPr="002D3AD2">
        <w:rPr>
          <w:rFonts w:eastAsia="Times New Roman" w:cs="Arial"/>
          <w:color w:val="000000"/>
          <w:lang w:eastAsia="bg-BG"/>
        </w:rPr>
        <w:t xml:space="preserve">-рецепторните антагонисти. При някои пациенти с компрометирана бъбречна функция (напр. пациенти с дехидратация или лица в старческа възраст с компрометирана бъбречна функция) едновременното приложение на ангиотензин </w:t>
      </w:r>
      <w:r w:rsidRPr="002D3AD2">
        <w:rPr>
          <w:rFonts w:eastAsia="Times New Roman" w:cs="Arial"/>
          <w:color w:val="000000"/>
          <w:lang w:val="en-US"/>
        </w:rPr>
        <w:t>II</w:t>
      </w:r>
      <w:r w:rsidRPr="002D3AD2">
        <w:rPr>
          <w:rFonts w:eastAsia="Times New Roman" w:cs="Arial"/>
          <w:color w:val="000000"/>
          <w:lang w:eastAsia="bg-BG"/>
        </w:rPr>
        <w:t>-рецепторни антагонисти и средства, които инхибират циклооксигеназата, може да доведе до допълнително влошаване на бъбречната функция, включително остра бъбречна недостатъчност, които обикновено са обратими. Следователно комбинацията трябва да се прилага предпазливо, особено при пациенти в старческа възраст. Пареди започване на терапията се препоръчва мониториране на бъбречната функция и адекватна хидратация на пациента.</w:t>
      </w:r>
    </w:p>
    <w:p w14:paraId="23D2673F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68197BE" w14:textId="197E781B" w:rsidR="002D3AD2" w:rsidRP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Съпътстващата употреба трябва да се има превдид:</w:t>
      </w:r>
    </w:p>
    <w:p w14:paraId="0D7914E8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4A73163" w14:textId="59CFA1A5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Амифостин</w:t>
      </w:r>
    </w:p>
    <w:p w14:paraId="3D1E62E1" w14:textId="7923B336" w:rsidR="002D3AD2" w:rsidRDefault="002D3AD2" w:rsidP="002D3AD2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2D3AD2">
        <w:rPr>
          <w:rFonts w:eastAsia="Times New Roman" w:cs="Arial"/>
          <w:color w:val="000000"/>
          <w:lang w:eastAsia="bg-BG"/>
        </w:rPr>
        <w:t>Може да се прояви потенциране на антихипертензивния ефект.</w:t>
      </w:r>
    </w:p>
    <w:p w14:paraId="699F21E4" w14:textId="18E40AA9" w:rsidR="002D3AD2" w:rsidRDefault="002D3AD2" w:rsidP="002D3AD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C46E51E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Други антихипертеизивни средства</w:t>
      </w:r>
    </w:p>
    <w:p w14:paraId="06D094FB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Понижаващият артериалното налягане ефект на олмесартан медоксомил/хидрохлоротиазид може да бъде повишен от съпътстващото приложение на други антихипертензивни лекарствени продукти.</w:t>
      </w:r>
    </w:p>
    <w:p w14:paraId="70896CC5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AF015F0" w14:textId="376D20A0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Алкохол, барбитурати, наркотици или антидепресанти</w:t>
      </w:r>
    </w:p>
    <w:p w14:paraId="378646DE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Може да се наблюдава потенциране на ортостатична хипотония.</w:t>
      </w:r>
    </w:p>
    <w:p w14:paraId="50D06CB5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55992B5" w14:textId="577223B3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Потенциални взаимодействия, свързани с олмесартан медоксомил</w:t>
      </w:r>
    </w:p>
    <w:p w14:paraId="2A3F3F75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85DFE59" w14:textId="631EA8D1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Съпътстващата употреба не се препоръчва</w:t>
      </w:r>
    </w:p>
    <w:p w14:paraId="5044AB47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8F378F1" w14:textId="66E73E0F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Лекарствени продукти, повлияващи нивата на калий</w:t>
      </w:r>
    </w:p>
    <w:p w14:paraId="0F73A2E0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Като се има предвид опитът от употребата на други лекарствени продукти, повлияващи ренин- ангиотензин-алдостероновата система, едновременната употреба на калий-съхраняващи диуретици, калий-съдържащи заместители на солта или други лекарства, които е възможно да повишат серумните нива на калий (напр. хепарин, АСЕ инхибитори), може да се стигне до повишаване на нивото на серумния калий (вж. точка 4.4). Ако в комбинация с олмесартан медоксомил/хидрохлоротиазид се предпише лекарствен продукт, повлияващ нивата на калий, се препоръчва мониториране на плазмените нива на калия.</w:t>
      </w:r>
    </w:p>
    <w:p w14:paraId="3B876E7B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23C1F60" w14:textId="756B96DC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Допълнителна информация</w:t>
      </w:r>
    </w:p>
    <w:p w14:paraId="673A9B05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78C81F6" w14:textId="55A64890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След лечение с антиацид (алуминиев магнезиев хидроксид) е наблюдавана умерена редукция на бионаличността на олмесартан.</w:t>
      </w:r>
    </w:p>
    <w:p w14:paraId="6DA91F63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4629D46" w14:textId="4E59FF6F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lastRenderedPageBreak/>
        <w:t>Олмесартан медоксомил няма съществен ефект върху фармакокинетиката или фармакодинамиката на варфарин или фармакокинетиката на дигоксин.</w:t>
      </w:r>
    </w:p>
    <w:p w14:paraId="1F5995FD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8C94499" w14:textId="4C5977E6" w:rsidR="002D3AD2" w:rsidRDefault="002D3AD2" w:rsidP="002D3AD2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2D3AD2">
        <w:rPr>
          <w:rFonts w:eastAsia="Times New Roman" w:cs="Arial"/>
          <w:color w:val="000000"/>
          <w:lang w:eastAsia="bg-BG"/>
        </w:rPr>
        <w:t xml:space="preserve">Едновременно приложение на олмесартан медоксомил и правастатин при здрави </w:t>
      </w:r>
    </w:p>
    <w:p w14:paraId="76385746" w14:textId="0C25FF8C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индивиди няма клинично значими ефекти върху фармакокинетиката на която и да е от двете съставки.</w:t>
      </w:r>
    </w:p>
    <w:p w14:paraId="6B5A4B2D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A791841" w14:textId="4ADBBFCF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 xml:space="preserve">В </w:t>
      </w:r>
      <w:r w:rsidRPr="002D3AD2">
        <w:rPr>
          <w:rFonts w:eastAsia="Times New Roman" w:cs="Arial"/>
          <w:i/>
          <w:iCs/>
          <w:color w:val="000000"/>
          <w:lang w:val="en-US"/>
        </w:rPr>
        <w:t>in</w:t>
      </w:r>
      <w:r w:rsidRPr="002D3AD2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2D3AD2">
        <w:rPr>
          <w:rFonts w:eastAsia="Times New Roman" w:cs="Arial"/>
          <w:i/>
          <w:iCs/>
          <w:color w:val="000000"/>
          <w:lang w:val="en-US"/>
        </w:rPr>
        <w:t>vitro</w:t>
      </w:r>
      <w:r w:rsidRPr="002D3AD2">
        <w:rPr>
          <w:rFonts w:eastAsia="Times New Roman" w:cs="Arial"/>
          <w:color w:val="000000"/>
          <w:lang w:val="ru-RU"/>
        </w:rPr>
        <w:t xml:space="preserve"> </w:t>
      </w:r>
      <w:r w:rsidRPr="002D3AD2">
        <w:rPr>
          <w:rFonts w:eastAsia="Times New Roman" w:cs="Arial"/>
          <w:color w:val="000000"/>
          <w:lang w:eastAsia="bg-BG"/>
        </w:rPr>
        <w:t xml:space="preserve">проучвания, олмесартан не е проявил клинично значими инхибиторни ефекти върху човешките ензими от системата на цйтохром Р450 1 </w:t>
      </w:r>
      <w:r w:rsidRPr="002D3AD2">
        <w:rPr>
          <w:rFonts w:eastAsia="Times New Roman" w:cs="Arial"/>
          <w:color w:val="000000"/>
          <w:lang w:val="en-US"/>
        </w:rPr>
        <w:t>Al</w:t>
      </w:r>
      <w:r w:rsidRPr="002D3AD2">
        <w:rPr>
          <w:rFonts w:eastAsia="Times New Roman" w:cs="Arial"/>
          <w:color w:val="000000"/>
          <w:lang w:val="ru-RU"/>
        </w:rPr>
        <w:t>/2,</w:t>
      </w:r>
      <w:r w:rsidRPr="002D3AD2">
        <w:rPr>
          <w:rFonts w:eastAsia="Times New Roman" w:cs="Arial"/>
          <w:color w:val="000000"/>
          <w:lang w:eastAsia="bg-BG"/>
        </w:rPr>
        <w:t xml:space="preserve">2А6,2С8/9,2С19, </w:t>
      </w:r>
      <w:r w:rsidRPr="002D3AD2">
        <w:rPr>
          <w:rFonts w:eastAsia="Times New Roman" w:cs="Arial"/>
          <w:color w:val="000000"/>
          <w:lang w:val="ru-RU"/>
        </w:rPr>
        <w:t>2</w:t>
      </w:r>
      <w:r w:rsidRPr="002D3AD2">
        <w:rPr>
          <w:rFonts w:eastAsia="Times New Roman" w:cs="Arial"/>
          <w:color w:val="000000"/>
          <w:lang w:val="en-US"/>
        </w:rPr>
        <w:t>D</w:t>
      </w:r>
      <w:r w:rsidRPr="002D3AD2">
        <w:rPr>
          <w:rFonts w:eastAsia="Times New Roman" w:cs="Arial"/>
          <w:color w:val="000000"/>
          <w:lang w:val="ru-RU"/>
        </w:rPr>
        <w:t>6,</w:t>
      </w:r>
      <w:r w:rsidRPr="002D3AD2">
        <w:rPr>
          <w:rFonts w:eastAsia="Times New Roman" w:cs="Arial"/>
          <w:color w:val="000000"/>
          <w:lang w:eastAsia="bg-BG"/>
        </w:rPr>
        <w:t>2Е1 и ЗА4 и не имал никакъв или е проявил минимален ефект върху активността на цитохром Р450 при плъхове. Не се очакват клинично значими взаимодействия между олмесартан и съединения, които се метаболизират от гореспоменатите ензими от системата на цитохром Р450.</w:t>
      </w:r>
    </w:p>
    <w:p w14:paraId="47783F63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2A47152" w14:textId="0202FB88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Потенциални взаимодействия, свързани с хидрохлоротиазид</w:t>
      </w:r>
    </w:p>
    <w:p w14:paraId="4271D017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99C2C5C" w14:textId="5BB8250A" w:rsidR="002D3AD2" w:rsidRP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Съпътстващата употреба не се препоръчва</w:t>
      </w:r>
    </w:p>
    <w:p w14:paraId="3F8FE0AE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75E8988" w14:textId="2348EBEE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Лекарствени продукти, повлияващи нивото на калий</w:t>
      </w:r>
    </w:p>
    <w:p w14:paraId="40CF0484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 xml:space="preserve">Понижаващият калия ефект на хидрохлоротиазид (вж. точка 4.4) може да се потенцира от едновременното приложение на други лекарствени продукти, чието приложение е свързано със загуба на калий и хипокалиемия (напр. други калий-уретични диуретици, лаксативи, кортикостероиди, АКТХ, амфотерицин, карбеноксолон, пеницилин </w:t>
      </w:r>
      <w:r w:rsidRPr="002D3AD2">
        <w:rPr>
          <w:rFonts w:eastAsia="Times New Roman" w:cs="Arial"/>
          <w:color w:val="000000"/>
          <w:lang w:val="en-US"/>
        </w:rPr>
        <w:t>G</w:t>
      </w:r>
      <w:r w:rsidRPr="002D3AD2">
        <w:rPr>
          <w:rFonts w:eastAsia="Times New Roman" w:cs="Arial"/>
          <w:color w:val="000000"/>
          <w:lang w:val="ru-RU"/>
        </w:rPr>
        <w:t xml:space="preserve"> </w:t>
      </w:r>
      <w:r w:rsidRPr="002D3AD2">
        <w:rPr>
          <w:rFonts w:eastAsia="Times New Roman" w:cs="Arial"/>
          <w:color w:val="000000"/>
          <w:lang w:eastAsia="bg-BG"/>
        </w:rPr>
        <w:t>натрий или производни на салициловата киселина). Поради това подобна съпътстваща употреба не се препоръчва.</w:t>
      </w:r>
    </w:p>
    <w:p w14:paraId="7C706327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0ED1B2F" w14:textId="0DAB372D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Комбинации, изискващи повишено внимание</w:t>
      </w:r>
    </w:p>
    <w:p w14:paraId="496369B9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338D51C" w14:textId="7E98DD01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Калциеви соли</w:t>
      </w:r>
    </w:p>
    <w:p w14:paraId="7F79BF45" w14:textId="21D0AB82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Тиазидните диуретици може да повишат серумните нива на калций вследствие на понижена</w:t>
      </w:r>
      <w:r w:rsidRPr="002D3AD2">
        <w:rPr>
          <w:rFonts w:eastAsia="Times New Roman" w:cs="Arial"/>
          <w:lang w:val="ru-RU"/>
        </w:rPr>
        <w:t xml:space="preserve"> </w:t>
      </w:r>
      <w:r w:rsidRPr="002D3AD2">
        <w:rPr>
          <w:rFonts w:eastAsia="Times New Roman" w:cs="Arial"/>
          <w:color w:val="000000"/>
          <w:lang w:eastAsia="bg-BG"/>
        </w:rPr>
        <w:t>екскреция. Ако трябва да се предпишат калциеви добавки се препоръчва мониториране на серумните нива на калций и адаптиране на дозата на калций-съдържащата добавка.</w:t>
      </w:r>
    </w:p>
    <w:p w14:paraId="174A60F7" w14:textId="5D506C7F" w:rsidR="002D3AD2" w:rsidRDefault="002D3AD2" w:rsidP="002D3AD2"/>
    <w:p w14:paraId="271715CC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Холестирамин и колестиполови смоли</w:t>
      </w:r>
    </w:p>
    <w:p w14:paraId="3BABF3B3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В присъствието на анион-обменни смоли се понижава абсорбцията на хидрохлоротиазид.</w:t>
      </w:r>
    </w:p>
    <w:p w14:paraId="1081A173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EB0E388" w14:textId="0698019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Дигиталисови гликозиди</w:t>
      </w:r>
    </w:p>
    <w:p w14:paraId="7315B983" w14:textId="437BFCA4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Индуцираната от тиазидните диуретици хипокалиемия или хипомагнезиемия може да благоприятства появата на дигиталисова аритмия.</w:t>
      </w:r>
    </w:p>
    <w:p w14:paraId="30AFD8CB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37AC004" w14:textId="581B76F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Лекарствени продукти, които се повлияват от промени в нивото на серумния калий</w:t>
      </w:r>
    </w:p>
    <w:p w14:paraId="372522CF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 xml:space="preserve">Когато олмесартан медоксомил/хидрохлоротиазид се прилага заедно с лекарствени продукти, повлияващи се от промени в серумния калий (напр. дигиталисови гликозиди и антиаритмици), както и с лекарствени продукти, водещи до </w:t>
      </w:r>
      <w:r w:rsidRPr="002D3AD2">
        <w:rPr>
          <w:rFonts w:eastAsia="Times New Roman" w:cs="Arial"/>
          <w:i/>
          <w:iCs/>
          <w:color w:val="000000"/>
          <w:lang w:val="en-US"/>
        </w:rPr>
        <w:t>torsade</w:t>
      </w:r>
      <w:r w:rsidRPr="002D3AD2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2D3AD2">
        <w:rPr>
          <w:rFonts w:eastAsia="Times New Roman" w:cs="Arial"/>
          <w:i/>
          <w:iCs/>
          <w:color w:val="000000"/>
          <w:lang w:val="en-US"/>
        </w:rPr>
        <w:t>de</w:t>
      </w:r>
      <w:r w:rsidRPr="002D3AD2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2D3AD2">
        <w:rPr>
          <w:rFonts w:eastAsia="Times New Roman" w:cs="Arial"/>
          <w:i/>
          <w:iCs/>
          <w:color w:val="000000"/>
          <w:lang w:val="en-US"/>
        </w:rPr>
        <w:t>pointes</w:t>
      </w:r>
      <w:r w:rsidRPr="002D3AD2">
        <w:rPr>
          <w:rFonts w:eastAsia="Times New Roman" w:cs="Arial"/>
          <w:color w:val="000000"/>
          <w:lang w:val="ru-RU"/>
        </w:rPr>
        <w:t xml:space="preserve"> </w:t>
      </w:r>
      <w:r w:rsidRPr="002D3AD2">
        <w:rPr>
          <w:rFonts w:eastAsia="Times New Roman" w:cs="Arial"/>
          <w:color w:val="000000"/>
          <w:lang w:eastAsia="bg-BG"/>
        </w:rPr>
        <w:t>(камерна тахикардия) (включващи някои антиаритмици), се препоръчва периодичен контрол на серумния калий и ЕКГ:</w:t>
      </w:r>
    </w:p>
    <w:p w14:paraId="0AC0338C" w14:textId="77777777" w:rsidR="002D3AD2" w:rsidRPr="002D3AD2" w:rsidRDefault="002D3AD2" w:rsidP="002D3AD2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 xml:space="preserve">Антиаритмици от клас </w:t>
      </w:r>
      <w:r w:rsidRPr="002D3AD2">
        <w:rPr>
          <w:rFonts w:eastAsia="Times New Roman" w:cs="Arial"/>
          <w:color w:val="000000"/>
          <w:lang w:val="en-US"/>
        </w:rPr>
        <w:t>I</w:t>
      </w:r>
      <w:r w:rsidRPr="002D3AD2">
        <w:rPr>
          <w:rFonts w:eastAsia="Times New Roman" w:cs="Arial"/>
          <w:color w:val="000000"/>
          <w:lang w:eastAsia="bg-BG"/>
        </w:rPr>
        <w:t>а (напр. хинидин, хидрохинидин, дизопирамид);</w:t>
      </w:r>
    </w:p>
    <w:p w14:paraId="3307BEAB" w14:textId="77777777" w:rsidR="002D3AD2" w:rsidRPr="002D3AD2" w:rsidRDefault="002D3AD2" w:rsidP="002D3AD2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Антиаритмици клас III (напр. амиодарон, соталол, дофетилид, ибутилид);</w:t>
      </w:r>
    </w:p>
    <w:p w14:paraId="048F75D1" w14:textId="77777777" w:rsidR="002D3AD2" w:rsidRPr="002D3AD2" w:rsidRDefault="002D3AD2" w:rsidP="002D3AD2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lastRenderedPageBreak/>
        <w:t>Някои антипсихотици (напр. тиоридазин, хлорпромазин, левомепромазин, трифлуоперазин, циамемазин, сулпирид, султоприд, амисулприд, гиаприд, пимозид, халоперидол, дроперилол);</w:t>
      </w:r>
    </w:p>
    <w:p w14:paraId="01FD46C1" w14:textId="4541B37C" w:rsidR="002D3AD2" w:rsidRPr="002D3AD2" w:rsidRDefault="002D3AD2" w:rsidP="002D3AD2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 xml:space="preserve">Други (напр. бепридил, цизаприд, дифеманил, еритромицин за </w:t>
      </w:r>
      <w:proofErr w:type="spellStart"/>
      <w:r w:rsidRPr="002D3AD2">
        <w:rPr>
          <w:rFonts w:eastAsia="Times New Roman" w:cs="Arial"/>
          <w:color w:val="000000"/>
          <w:lang w:val="en-US"/>
        </w:rPr>
        <w:t>i</w:t>
      </w:r>
      <w:proofErr w:type="spellEnd"/>
      <w:r w:rsidRPr="002D3AD2">
        <w:rPr>
          <w:rFonts w:eastAsia="Times New Roman" w:cs="Arial"/>
          <w:color w:val="000000"/>
          <w:lang w:val="ru-RU"/>
        </w:rPr>
        <w:t>.</w:t>
      </w:r>
      <w:r w:rsidRPr="002D3AD2">
        <w:rPr>
          <w:rFonts w:eastAsia="Times New Roman" w:cs="Arial"/>
          <w:color w:val="000000"/>
          <w:lang w:val="en-US"/>
        </w:rPr>
        <w:t>v</w:t>
      </w:r>
      <w:r w:rsidRPr="002D3AD2">
        <w:rPr>
          <w:rFonts w:eastAsia="Times New Roman" w:cs="Arial"/>
          <w:color w:val="000000"/>
          <w:lang w:val="ru-RU"/>
        </w:rPr>
        <w:t xml:space="preserve">. </w:t>
      </w:r>
      <w:r w:rsidRPr="002D3AD2">
        <w:rPr>
          <w:rFonts w:eastAsia="Times New Roman" w:cs="Arial"/>
          <w:color w:val="000000"/>
          <w:lang w:eastAsia="bg-BG"/>
        </w:rPr>
        <w:t>приложение, халофантрин, мизоластин, пентамидин, спарфлоксацин, терфенадин, винкамин за интравенозно приложение).</w:t>
      </w:r>
    </w:p>
    <w:p w14:paraId="49974937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C900618" w14:textId="0EA77745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Недеполяризиращи миорелаксанти ( напр. тубокурарин )</w:t>
      </w:r>
    </w:p>
    <w:p w14:paraId="6C46B876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Ефектът на недеполяризиращите релаксанти на скелетната мускулатура може да бъде потенциран от хидрохлоротиазид.</w:t>
      </w:r>
    </w:p>
    <w:p w14:paraId="01210AA8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01F6D71" w14:textId="4BE090D5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Антихолинергични агенти (напр. атропин, бипериден)</w:t>
      </w:r>
    </w:p>
    <w:p w14:paraId="00B67B85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Повишават бионаличностга на тиазидните диуретици, като забавят стомашно-чревния мотилитет и скоростта на евакуация на стомашното съдържимо .</w:t>
      </w:r>
    </w:p>
    <w:p w14:paraId="55783B42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3AD4D58" w14:textId="6BA28940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Антидиабетни лекарствени продукти (перорални продукти и инсулин)</w:t>
      </w:r>
    </w:p>
    <w:p w14:paraId="5A7D135E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Лечението с тиазиди може да промени глюкозния толеранс . Може да се наложи адаптиране на дозата на антидиабетните лекарствени продукти (вж.точка 4.4).</w:t>
      </w:r>
    </w:p>
    <w:p w14:paraId="3A043679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B5CDFD5" w14:textId="008644A6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Метформин</w:t>
      </w:r>
    </w:p>
    <w:p w14:paraId="0503AA53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Метформинът трябва да се използва предпазливо, поради риск от лактатна ацидоза, провокирана от вероятна функционална бъбречна недостатъчност, дължаща се на хидрохлоротиазид.</w:t>
      </w:r>
    </w:p>
    <w:p w14:paraId="00DE0FA1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8A9F19D" w14:textId="4EAA9334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Бета-блокери и диазоксид</w:t>
      </w:r>
    </w:p>
    <w:p w14:paraId="2AA70E78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Хипергликемичният ефект на бета-блокерите и диазоксид може да се усили от тиазидите.</w:t>
      </w:r>
    </w:p>
    <w:p w14:paraId="40A75404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5E2E3F0" w14:textId="620A4FE1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Пресорни амини (напр. норадреналин)</w:t>
      </w:r>
    </w:p>
    <w:p w14:paraId="4C4F5FEE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Ефектът на пресорните амини може да бъде намален.</w:t>
      </w:r>
    </w:p>
    <w:p w14:paraId="6397AAC4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C1FFCF6" w14:textId="6E4EE442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Лекарствени продукти, използвани за лечението на подагра (пробенецид, сулфинпиразон и алопуринол)</w:t>
      </w:r>
    </w:p>
    <w:p w14:paraId="1238387F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Тъй като хидрохлоротиазид може да повиши серумните нива на пикочната киселина, може да е необходимо адаптиране на дозировката на урикозуричните лекарствени продукти. Възможно е да се наложи повишаване на дозата на пробенецид или сулфинпиразон. Едновременната употреба на тиазиди може да повиши честотата на реакциите на свръхчувствителност към алопуринол.</w:t>
      </w:r>
    </w:p>
    <w:p w14:paraId="40041490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1DC0C6C" w14:textId="4C7F0588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Амантадин</w:t>
      </w:r>
    </w:p>
    <w:p w14:paraId="41D54C1F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Тиазидите може да повишат риска от нежелани реакции, причинени от амантадин.</w:t>
      </w:r>
    </w:p>
    <w:p w14:paraId="44959734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ED626A4" w14:textId="7795B033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Цитостатици (напр. циклофосфамид, метотрексат)</w:t>
      </w:r>
    </w:p>
    <w:p w14:paraId="68953233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Тиазидите може да намалят бъбречната екскреция на цитостатиците и да потенцират техните миелосупресивни ефекти.</w:t>
      </w:r>
    </w:p>
    <w:p w14:paraId="715F2EE8" w14:textId="39D67757" w:rsidR="002D3AD2" w:rsidRDefault="002D3AD2" w:rsidP="002D3AD2"/>
    <w:p w14:paraId="1B3D94EF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Салицилати</w:t>
      </w:r>
    </w:p>
    <w:p w14:paraId="24874681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При високи дози на салицилатите, хидрохлоротиазид може да усили токсичния ефект на салицилатите върху централната нервна система.</w:t>
      </w:r>
    </w:p>
    <w:p w14:paraId="6192CD22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4A886BF" w14:textId="17242B03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Метилдопа</w:t>
      </w:r>
    </w:p>
    <w:p w14:paraId="00463CF6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lastRenderedPageBreak/>
        <w:t>Има получени изолирани съобщения за хемолитична анемия, наблюдавана при едновременната употреба на хидрохлоротиазид и метилдопа.</w:t>
      </w:r>
    </w:p>
    <w:p w14:paraId="03957132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19D4851" w14:textId="256A8C4F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Циклоспорин</w:t>
      </w:r>
    </w:p>
    <w:p w14:paraId="29EBFF94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Съпътстващото лечение с циклоспорин може да повиши риска от хиперурикемия и усложнения от типа на подагра.</w:t>
      </w:r>
    </w:p>
    <w:p w14:paraId="0BE47FAF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DB8A2D0" w14:textId="2539BDCC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Тетрациклини</w:t>
      </w:r>
    </w:p>
    <w:p w14:paraId="0F4ADB6F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Съпътстващото приложение на тетрациклини и тиазиди увеличава риска от свързано с тетрациклините повишение на кръвната урея. Това взаимодействие вероятно е неприложимо за доксициклин.</w:t>
      </w:r>
    </w:p>
    <w:p w14:paraId="44A15A89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5D0EAF2" w14:textId="3332F302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 xml:space="preserve">Данни от клинични проучвания показват, че двойното блокиране на ренин-ангиотензин- алдостероновата система (РААС) чрез комбинираната употреба на АСЕ инхибитори, ангиотензин </w:t>
      </w:r>
      <w:r w:rsidRPr="002D3AD2">
        <w:rPr>
          <w:rFonts w:eastAsia="Times New Roman" w:cs="Arial"/>
          <w:color w:val="000000"/>
          <w:lang w:val="en-US"/>
        </w:rPr>
        <w:t>II</w:t>
      </w:r>
      <w:r w:rsidRPr="002D3AD2">
        <w:rPr>
          <w:rFonts w:eastAsia="Times New Roman" w:cs="Arial"/>
          <w:color w:val="000000"/>
          <w:lang w:eastAsia="bg-BG"/>
        </w:rPr>
        <w:t>-рецепторни блокери или алискирен се свързва с по-висока честота на нежелани събития, като например хипотония, хиперкалиемия и намаляване на бъбречната функция (включително остра бъбречна недостатъчност), в сравнение с употребата само на едно средство, действащо върху РААС (вж. точки 4.3, 4.4 и 5.1).</w:t>
      </w:r>
    </w:p>
    <w:p w14:paraId="24E5BB9F" w14:textId="1C5B79E9" w:rsidR="002D3AD2" w:rsidRPr="002D3AD2" w:rsidRDefault="002D3AD2" w:rsidP="002D3AD2"/>
    <w:p w14:paraId="394A7584" w14:textId="7D1B0631" w:rsidR="004F498A" w:rsidRDefault="002C50EE" w:rsidP="004A448E">
      <w:pPr>
        <w:pStyle w:val="Heading2"/>
      </w:pPr>
      <w:r>
        <w:t>4.6. Фертилитет, бременност и кърмене</w:t>
      </w:r>
    </w:p>
    <w:p w14:paraId="10C9907F" w14:textId="1FB91402" w:rsidR="002D3AD2" w:rsidRDefault="002D3AD2" w:rsidP="002D3AD2"/>
    <w:p w14:paraId="15584138" w14:textId="77777777" w:rsidR="002D3AD2" w:rsidRPr="00956735" w:rsidRDefault="002D3AD2" w:rsidP="00956735">
      <w:pPr>
        <w:pStyle w:val="Heading3"/>
        <w:rPr>
          <w:rFonts w:eastAsia="Times New Roman"/>
          <w:u w:val="single"/>
        </w:rPr>
      </w:pPr>
      <w:r w:rsidRPr="00956735">
        <w:rPr>
          <w:rFonts w:eastAsia="Times New Roman"/>
          <w:u w:val="single"/>
          <w:lang w:eastAsia="bg-BG"/>
        </w:rPr>
        <w:t>Бременност</w:t>
      </w:r>
    </w:p>
    <w:p w14:paraId="2703D721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5CAB125" w14:textId="752EFF44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Като се имат предвид ефектите на отделните съставки на този комбиниран продукт върху бременността, употребата на олмесартан медоксомил /хидрохлоротиазид не се препоръчва през първия триместьр от бременността (вж. точка 4.4). Употребата на олмесартан медоксомил/хидрохлоротиазид е противопоказана през втория и третия триместьр на бременността (вж. точки 4.3 и 4.4).</w:t>
      </w:r>
    </w:p>
    <w:p w14:paraId="7339BF11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BFAD44B" w14:textId="5960D78A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Олмесартан медоксомил</w:t>
      </w:r>
    </w:p>
    <w:p w14:paraId="59537473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0AF4B30" w14:textId="16CED06E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u w:val="single"/>
          <w:lang w:eastAsia="bg-BG"/>
        </w:rPr>
        <w:t>Употребата на антагонисти на ангиотензин II не се препоръчва през първия триместьр от бременността (вж. точка 4.4). Употребата на антагонисти на ангиотензин II е противопоказа</w:t>
      </w:r>
      <w:r w:rsidR="00956735">
        <w:rPr>
          <w:rFonts w:eastAsia="Times New Roman" w:cs="Arial"/>
          <w:color w:val="000000"/>
          <w:u w:val="single"/>
          <w:lang w:eastAsia="bg-BG"/>
        </w:rPr>
        <w:t>на през втория и третия триместъ</w:t>
      </w:r>
      <w:r w:rsidRPr="002D3AD2">
        <w:rPr>
          <w:rFonts w:eastAsia="Times New Roman" w:cs="Arial"/>
          <w:color w:val="000000"/>
          <w:u w:val="single"/>
          <w:lang w:eastAsia="bg-BG"/>
        </w:rPr>
        <w:t>р на бременността (вж. точки 4.3 и 4.4).</w:t>
      </w:r>
    </w:p>
    <w:p w14:paraId="3A76703F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6527CD3" w14:textId="03031D30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Епидемиологичните данни по отношение на риска от тератогенност след експозиция на ангиотензин- рецепторни блокери през първия триместьр на бременността не са категорични, все пак леко повишаване на риска не може да бъде изключено. Докато липсват контролирани епидемиологични данни по отношение на риска с антагонисти на ангиотензин II, може да съществуват сходни рискове за този клас лекарствени продукти. Освен ако продължителната употреба на ангиотензин-рецепторни блокери не се счита за изключително необходима, пациентките, планиращи бременност, трябва да преминат на алтернативно антихипертензивно лечение, което е с установен профил на безопасност по време на бременност. При доказване на бременност лечението с антагонисти на ангиоте</w:t>
      </w:r>
      <w:r w:rsidRPr="00956735">
        <w:rPr>
          <w:rFonts w:eastAsia="Times New Roman" w:cs="Arial"/>
          <w:color w:val="000000"/>
          <w:lang w:eastAsia="bg-BG"/>
        </w:rPr>
        <w:t>нзин</w:t>
      </w:r>
      <w:r w:rsidRPr="002D3AD2">
        <w:rPr>
          <w:rFonts w:eastAsia="Times New Roman" w:cs="Arial"/>
          <w:color w:val="000000"/>
          <w:lang w:eastAsia="bg-BG"/>
        </w:rPr>
        <w:t xml:space="preserve"> II трябва да бъде незабавно прекратено и ако е подходящо, да се започне алтернативна терапия Известно е, че експозицията на антагонисти на ангиотензин II през втори и трети триместър води до</w:t>
      </w:r>
      <w:r w:rsidR="00956735">
        <w:rPr>
          <w:rFonts w:eastAsia="Times New Roman" w:cs="Arial"/>
        </w:rPr>
        <w:t xml:space="preserve"> </w:t>
      </w:r>
      <w:r w:rsidRPr="002D3AD2">
        <w:rPr>
          <w:rFonts w:eastAsia="Times New Roman" w:cs="Arial"/>
          <w:color w:val="000000"/>
          <w:lang w:eastAsia="bg-BG"/>
        </w:rPr>
        <w:t>фетотоксични прояви при хора (понижена бъбречна функция, олигохидраминион, забавена осификация на черепа) и неонатална токсичност (бъбречна недостатъчност, хипотония хиперкалиемия ) (вж. точка 5.2).</w:t>
      </w:r>
    </w:p>
    <w:p w14:paraId="08C47D09" w14:textId="77777777" w:rsidR="002D3AD2" w:rsidRPr="002D3AD2" w:rsidRDefault="002D3AD2" w:rsidP="002D3AD2">
      <w:pPr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lastRenderedPageBreak/>
        <w:t>При експозиция с антагонисти на ангиотензин II след втория триместьр на бременността се препоръчва провеждане на ултразвуков контрол на бъбречната функция и черепа. Бебета, чиито</w:t>
      </w:r>
      <w:r w:rsidRPr="002D3AD2">
        <w:rPr>
          <w:rFonts w:eastAsia="Times New Roman" w:cs="Arial"/>
          <w:color w:val="000000"/>
          <w:lang w:val="ru-RU" w:eastAsia="bg-BG"/>
        </w:rPr>
        <w:t xml:space="preserve"> </w:t>
      </w:r>
      <w:r w:rsidRPr="002D3AD2">
        <w:rPr>
          <w:rFonts w:eastAsia="Times New Roman" w:cs="Arial"/>
          <w:color w:val="000000"/>
          <w:lang w:eastAsia="bg-BG"/>
        </w:rPr>
        <w:t>майки са приемали антагонисти на ангиотензин П, трябва да бъдат внимателно наблюдавани за хипотония (вж. също точки 4.3 и 4.4).</w:t>
      </w:r>
    </w:p>
    <w:p w14:paraId="59468D69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4FD8208" w14:textId="18D25D00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Хидрохлоротиазид</w:t>
      </w:r>
    </w:p>
    <w:p w14:paraId="3C725CDA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Опитът от употребата на хидрохлоротиазид по време на бременност и особено през първия триместър е ограничен. Проучванията при животни са недостатъчни.</w:t>
      </w:r>
    </w:p>
    <w:p w14:paraId="1341D5F5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A60D910" w14:textId="02ABC8C5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Хидрохлоротиазидът преминава плацентарната бариера. Като се има предвид фармакологичният механизъм на действие на хидрохлоротиазид, употребата му през втория и третия триместър може да компрометира фетоплацентарния кръвоток и да доведе до фетални и неонатални ефекти като иктер, нарушения на електролитния баланс и тромбоцитопения.</w:t>
      </w:r>
    </w:p>
    <w:p w14:paraId="4073E153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Хидрохлоротиазид не трябва да се използва за гестационен едем, гестационна прееклампсия, поради риск от намаляване на плазмения обем и плацентарна хипоперфузия, без благоприятни ефекти върху хода на заболяването.</w:t>
      </w:r>
    </w:p>
    <w:p w14:paraId="389814EE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Хидрохлоротиазид не бива да се използва за лечение на есенциална хипертония при бременни жени с изключение на редките случаи, при които не може ла се използва друго лечение.</w:t>
      </w:r>
    </w:p>
    <w:p w14:paraId="75333CB1" w14:textId="77777777" w:rsidR="002D3AD2" w:rsidRDefault="002D3AD2" w:rsidP="002D3AD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D67B7E4" w14:textId="5FB9C7CF" w:rsidR="002D3AD2" w:rsidRPr="00956735" w:rsidRDefault="002D3AD2" w:rsidP="00956735">
      <w:pPr>
        <w:pStyle w:val="Heading3"/>
        <w:rPr>
          <w:rFonts w:eastAsia="Times New Roman"/>
          <w:u w:val="single"/>
        </w:rPr>
      </w:pPr>
      <w:r w:rsidRPr="00956735">
        <w:rPr>
          <w:rFonts w:eastAsia="Times New Roman"/>
          <w:u w:val="single"/>
          <w:lang w:eastAsia="bg-BG"/>
        </w:rPr>
        <w:t>Кърмене</w:t>
      </w:r>
    </w:p>
    <w:p w14:paraId="72FCEF93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F067FF7" w14:textId="49AC531A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Олмесартан медоксомил</w:t>
      </w:r>
    </w:p>
    <w:p w14:paraId="47681447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Тъй като липсва информация за употреба на олмесартан медоксомил/хидрохлоротиазид по време на кърмене, тази фиксирана лекарствена комбинация не се препоръчва за употреба, като за предпочитане е използването на алтернативна терапия с по-добре установен профил на безопасност по време на кърмене, особено при новородени или преждевременно родени бебета.</w:t>
      </w:r>
    </w:p>
    <w:p w14:paraId="7BFB8BC7" w14:textId="77777777" w:rsidR="002D3AD2" w:rsidRDefault="002D3AD2" w:rsidP="002D3AD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EDEB0B2" w14:textId="6C7FC02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i/>
          <w:iCs/>
          <w:color w:val="000000"/>
          <w:lang w:eastAsia="bg-BG"/>
        </w:rPr>
        <w:t>Хидрохлоротиазид</w:t>
      </w:r>
    </w:p>
    <w:p w14:paraId="402D92C0" w14:textId="77777777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>Хидрохлоротиазид се екскретира в кърмата в малки количества. Тиазидите във високи дози водят до интензивна диуреза и може да инхибират продукцията на мляко. Употребата на олмесартан медоксомил/хидрохлоротиазид по време на кърмене не се препоръчва. Ако тази фиксирана лекарствена комбинация се използва по време на кърмене, дозите трябва да бъдат възможно най- ниските.</w:t>
      </w:r>
    </w:p>
    <w:p w14:paraId="0D64D1AE" w14:textId="7C2E5BFB" w:rsidR="002D3AD2" w:rsidRPr="002D3AD2" w:rsidRDefault="002D3AD2" w:rsidP="002D3AD2"/>
    <w:p w14:paraId="064DF1DE" w14:textId="198BB4C8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FA3153B" w14:textId="4E72313B" w:rsidR="002D3AD2" w:rsidRDefault="002D3AD2" w:rsidP="002D3AD2"/>
    <w:p w14:paraId="4A86368C" w14:textId="77777777" w:rsidR="002D3AD2" w:rsidRPr="002D3AD2" w:rsidRDefault="002D3AD2" w:rsidP="002D3AD2">
      <w:pPr>
        <w:rPr>
          <w:sz w:val="24"/>
          <w:szCs w:val="24"/>
        </w:rPr>
      </w:pPr>
      <w:r w:rsidRPr="002D3AD2">
        <w:rPr>
          <w:lang w:eastAsia="bg-BG"/>
        </w:rPr>
        <w:t>Не са провеждани проучвания за ефектите върху способността за шофиране и работа с машини. Все пак трябва да се има предвид, че макар и рядко при пациентите на антихипертензивна терапия може да се появят замаяност или отпадналост.</w:t>
      </w:r>
    </w:p>
    <w:p w14:paraId="0DD77223" w14:textId="77777777" w:rsidR="002D3AD2" w:rsidRPr="002D3AD2" w:rsidRDefault="002D3AD2" w:rsidP="002D3AD2"/>
    <w:p w14:paraId="37A3FD9F" w14:textId="19E787E8" w:rsidR="00CF77F7" w:rsidRDefault="002C50EE" w:rsidP="004A448E">
      <w:pPr>
        <w:pStyle w:val="Heading2"/>
      </w:pPr>
      <w:r>
        <w:t>4.8. Нежелани лекарствени реакции</w:t>
      </w:r>
    </w:p>
    <w:p w14:paraId="106A84B5" w14:textId="5C7DB744" w:rsidR="002D3AD2" w:rsidRPr="002D3AD2" w:rsidRDefault="002D3AD2" w:rsidP="002D3AD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C5FEF30" w14:textId="2AF83DE0" w:rsidR="002D3AD2" w:rsidRPr="002D3AD2" w:rsidRDefault="002D3AD2" w:rsidP="002D3AD2">
      <w:pPr>
        <w:spacing w:line="240" w:lineRule="auto"/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 xml:space="preserve">Спирането на лечението поради нежелани реакции също е било сходно по честота за комбинацията олмесартан медоксомил/хидрохлоротиазид 20/12,5 или 20/25 </w:t>
      </w:r>
      <w:r w:rsidRPr="002D3AD2">
        <w:rPr>
          <w:rFonts w:eastAsia="Times New Roman" w:cs="Arial"/>
          <w:color w:val="000000"/>
          <w:lang w:val="en-US"/>
        </w:rPr>
        <w:t>mg</w:t>
      </w:r>
      <w:r w:rsidRPr="002D3AD2">
        <w:rPr>
          <w:rFonts w:eastAsia="Times New Roman" w:cs="Arial"/>
          <w:color w:val="000000"/>
          <w:lang w:val="ru-RU"/>
        </w:rPr>
        <w:t xml:space="preserve"> </w:t>
      </w:r>
      <w:r w:rsidRPr="002D3AD2">
        <w:rPr>
          <w:rFonts w:eastAsia="Times New Roman" w:cs="Arial"/>
          <w:color w:val="000000"/>
          <w:lang w:eastAsia="bg-BG"/>
        </w:rPr>
        <w:t xml:space="preserve">(2%) и плацебо (3%). Обобщението на честотата на нежеланите събития за олмесартан медоксомил/хидрохлоротиазид спрямо плацебо изглежда е независимо от възрастта (&lt; </w:t>
      </w:r>
      <w:r w:rsidRPr="002D3AD2">
        <w:rPr>
          <w:rFonts w:eastAsia="Times New Roman" w:cs="Arial"/>
          <w:color w:val="000000"/>
          <w:lang w:eastAsia="bg-BG"/>
        </w:rPr>
        <w:lastRenderedPageBreak/>
        <w:t>65 години спрямо 65 години), пола или расата, въпреки че честотата на замаяност е била до известна степен повишена при пациенти над 75-годишна възраст</w:t>
      </w:r>
    </w:p>
    <w:p w14:paraId="4AE62BEF" w14:textId="0EDE673F" w:rsidR="002D3AD2" w:rsidRDefault="002D3AD2" w:rsidP="002D3AD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B1123D1" w14:textId="052B87B9" w:rsidR="002D3AD2" w:rsidRDefault="002D3AD2" w:rsidP="002D3AD2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2D3AD2">
        <w:rPr>
          <w:rFonts w:eastAsia="Times New Roman" w:cs="Arial"/>
          <w:color w:val="000000"/>
          <w:lang w:eastAsia="bg-BG"/>
        </w:rPr>
        <w:t>Нежеланите реакции, съобщени допълнително от постмаркетинговия опит, също са описани. За всички нежелани реакции, съобщени след пускането на пазара, е невъзможно да бъде определена честота, поради което те са споменати в графата „С неизвестна честота" (оценка на честотата не може да бъде направена от наличните данни).</w:t>
      </w:r>
    </w:p>
    <w:p w14:paraId="720281A5" w14:textId="6534950B" w:rsidR="00956735" w:rsidRDefault="00956735" w:rsidP="002D3AD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D9FD4DC" w14:textId="4C5A0268" w:rsidR="00956735" w:rsidRPr="002D3AD2" w:rsidRDefault="00956735" w:rsidP="00956735">
      <w:pPr>
        <w:rPr>
          <w:rFonts w:eastAsia="Times New Roman" w:cs="Arial"/>
        </w:rPr>
      </w:pPr>
      <w:r w:rsidRPr="002D3AD2">
        <w:rPr>
          <w:rFonts w:eastAsia="Times New Roman" w:cs="Arial"/>
          <w:color w:val="000000"/>
          <w:lang w:eastAsia="bg-BG"/>
        </w:rPr>
        <w:t xml:space="preserve">Най-честите нежелани събития за </w:t>
      </w:r>
      <w:r w:rsidR="007C7806">
        <w:rPr>
          <w:rFonts w:eastAsia="Times New Roman" w:cs="Arial"/>
          <w:color w:val="000000"/>
          <w:lang w:eastAsia="bg-BG"/>
        </w:rPr>
        <w:t>о</w:t>
      </w:r>
      <w:r w:rsidR="007C7806" w:rsidRPr="002D3AD2">
        <w:rPr>
          <w:rFonts w:eastAsia="Times New Roman" w:cs="Arial"/>
          <w:color w:val="000000"/>
          <w:lang w:eastAsia="bg-BG"/>
        </w:rPr>
        <w:t xml:space="preserve">лмесартан медоксомил/хидрохлоротиазид </w:t>
      </w:r>
      <w:r w:rsidR="007C7806">
        <w:t xml:space="preserve">може </w:t>
      </w:r>
      <w:r w:rsidR="007C7806" w:rsidRPr="002D3AD2">
        <w:rPr>
          <w:rFonts w:eastAsia="Times New Roman" w:cs="Arial"/>
          <w:color w:val="000000"/>
          <w:lang w:eastAsia="bg-BG"/>
        </w:rPr>
        <w:t xml:space="preserve">да се използва като при пациенти, чието артериално налягане не се контролира адекватно </w:t>
      </w:r>
      <w:r w:rsidRPr="002D3AD2">
        <w:rPr>
          <w:rFonts w:eastAsia="Times New Roman" w:cs="Arial"/>
          <w:color w:val="000000"/>
          <w:lang w:eastAsia="bg-BG"/>
        </w:rPr>
        <w:t>или 20/25</w:t>
      </w:r>
      <w:r w:rsidRPr="002D3AD2">
        <w:rPr>
          <w:rFonts w:eastAsia="Times New Roman" w:cs="Arial"/>
          <w:color w:val="000000"/>
          <w:lang w:val="en-US"/>
        </w:rPr>
        <w:t>mg</w:t>
      </w:r>
      <w:r w:rsidRPr="002D3AD2">
        <w:rPr>
          <w:rFonts w:eastAsia="Times New Roman" w:cs="Arial"/>
          <w:color w:val="000000"/>
          <w:lang w:val="ru-RU"/>
        </w:rPr>
        <w:t xml:space="preserve"> </w:t>
      </w:r>
      <w:r w:rsidRPr="002D3AD2">
        <w:rPr>
          <w:rFonts w:eastAsia="Times New Roman" w:cs="Arial"/>
          <w:color w:val="000000"/>
          <w:lang w:eastAsia="bg-BG"/>
        </w:rPr>
        <w:t>и единственото нежелано събитие, за което честотата превишава тази на плацебо с поне 1% е</w:t>
      </w:r>
      <w:r w:rsidRPr="002D3AD2">
        <w:rPr>
          <w:rFonts w:eastAsia="Times New Roman" w:cs="Arial"/>
          <w:color w:val="000000"/>
          <w:lang w:val="ru-RU" w:eastAsia="bg-BG"/>
        </w:rPr>
        <w:t xml:space="preserve"> </w:t>
      </w:r>
      <w:r w:rsidR="007C7806">
        <w:rPr>
          <w:rFonts w:eastAsia="Times New Roman" w:cs="Arial"/>
          <w:color w:val="000000"/>
          <w:lang w:eastAsia="bg-BG"/>
        </w:rPr>
        <w:t xml:space="preserve">замаяност (2,6% за олмесартан </w:t>
      </w:r>
      <w:r w:rsidRPr="002D3AD2">
        <w:rPr>
          <w:rFonts w:eastAsia="Times New Roman" w:cs="Arial"/>
          <w:color w:val="000000"/>
          <w:lang w:eastAsia="bg-BG"/>
        </w:rPr>
        <w:t xml:space="preserve">медоксомил/хидрохлоротиазид 20/12,5 или 20/25 </w:t>
      </w:r>
      <w:r w:rsidRPr="002D3AD2">
        <w:rPr>
          <w:rFonts w:eastAsia="Times New Roman" w:cs="Arial"/>
          <w:color w:val="000000"/>
          <w:lang w:val="en-US"/>
        </w:rPr>
        <w:t>mg</w:t>
      </w:r>
      <w:r w:rsidRPr="002D3AD2">
        <w:rPr>
          <w:rFonts w:eastAsia="Times New Roman" w:cs="Arial"/>
          <w:color w:val="000000"/>
          <w:lang w:val="ru-RU"/>
        </w:rPr>
        <w:t xml:space="preserve"> </w:t>
      </w:r>
      <w:r w:rsidRPr="002D3AD2">
        <w:rPr>
          <w:rFonts w:eastAsia="Times New Roman" w:cs="Arial"/>
          <w:color w:val="000000"/>
          <w:lang w:eastAsia="bg-BG"/>
        </w:rPr>
        <w:t>и 1,3% за плацебо).</w:t>
      </w:r>
    </w:p>
    <w:p w14:paraId="47B5BB89" w14:textId="77777777" w:rsidR="00956735" w:rsidRDefault="00956735" w:rsidP="0095673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D46BBD0" w14:textId="6ED2E6D2" w:rsidR="00956735" w:rsidRPr="00956735" w:rsidRDefault="00956735" w:rsidP="002D3AD2">
      <w:pPr>
        <w:spacing w:line="240" w:lineRule="auto"/>
        <w:rPr>
          <w:rFonts w:eastAsia="Times New Roman" w:cs="Arial"/>
          <w:lang w:val="en-US"/>
        </w:rPr>
      </w:pPr>
      <w:r w:rsidRPr="002D3AD2">
        <w:rPr>
          <w:rFonts w:eastAsia="Times New Roman" w:cs="Arial"/>
          <w:color w:val="000000"/>
          <w:lang w:eastAsia="bg-BG"/>
        </w:rPr>
        <w:t>Те са описани в системо-органни класове и са разпределени в групи по честота като е използвана следната конвенция: много чести (≥1/10); чести (≥1/100 до &lt; 1/10); нечести (≥ 1/1000 до &lt; 1/100); редки (≥1/10 000 до &lt;1/100</w:t>
      </w:r>
      <w:r>
        <w:rPr>
          <w:rFonts w:eastAsia="Times New Roman" w:cs="Arial"/>
          <w:color w:val="000000"/>
          <w:lang w:eastAsia="bg-BG"/>
        </w:rPr>
        <w:t xml:space="preserve">0); много редки (&lt; 1/10 000), с неизвестна честота </w:t>
      </w:r>
      <w:r>
        <w:rPr>
          <w:rFonts w:eastAsia="Times New Roman" w:cs="Arial"/>
          <w:color w:val="000000"/>
          <w:lang w:val="en-US" w:eastAsia="bg-BG"/>
        </w:rPr>
        <w:t>(</w:t>
      </w:r>
      <w:r>
        <w:rPr>
          <w:rFonts w:eastAsia="Times New Roman" w:cs="Arial"/>
          <w:color w:val="000000"/>
          <w:lang w:eastAsia="bg-BG"/>
        </w:rPr>
        <w:t>не може да бъде определена от наличните данни</w:t>
      </w:r>
      <w:r>
        <w:rPr>
          <w:rFonts w:eastAsia="Times New Roman" w:cs="Arial"/>
          <w:color w:val="000000"/>
          <w:lang w:val="en-US" w:eastAsia="bg-BG"/>
        </w:rPr>
        <w:t>).</w:t>
      </w:r>
    </w:p>
    <w:p w14:paraId="3767F940" w14:textId="7B3041B8" w:rsidR="002D3AD2" w:rsidRDefault="002D3AD2" w:rsidP="002D3A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1829"/>
        <w:gridCol w:w="1546"/>
        <w:gridCol w:w="932"/>
        <w:gridCol w:w="2008"/>
      </w:tblGrid>
      <w:tr w:rsidR="002D3AD2" w14:paraId="6C84067C" w14:textId="77777777" w:rsidTr="00807BE0">
        <w:tc>
          <w:tcPr>
            <w:tcW w:w="3256" w:type="dxa"/>
          </w:tcPr>
          <w:p w14:paraId="6016A8BE" w14:textId="77777777" w:rsidR="002D3AD2" w:rsidRPr="002D3AD2" w:rsidRDefault="002D3AD2" w:rsidP="002D3AD2">
            <w:r w:rsidRPr="002D3AD2">
              <w:rPr>
                <w:b/>
                <w:bCs/>
              </w:rPr>
              <w:t>Чести</w:t>
            </w:r>
          </w:p>
          <w:p w14:paraId="14B854E8" w14:textId="60547742" w:rsidR="002D3AD2" w:rsidRP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D3AD2">
              <w:t>(≥1/100 до &lt;1/10)</w:t>
            </w:r>
          </w:p>
        </w:tc>
        <w:tc>
          <w:tcPr>
            <w:tcW w:w="1829" w:type="dxa"/>
          </w:tcPr>
          <w:p w14:paraId="237010F2" w14:textId="77777777" w:rsidR="002D3AD2" w:rsidRPr="002D3AD2" w:rsidRDefault="002D3AD2" w:rsidP="002D3AD2">
            <w:r w:rsidRPr="002D3AD2">
              <w:rPr>
                <w:b/>
                <w:bCs/>
              </w:rPr>
              <w:t>Нечести</w:t>
            </w:r>
          </w:p>
          <w:p w14:paraId="1D46D1F5" w14:textId="77777777" w:rsidR="002D3AD2" w:rsidRPr="002D3AD2" w:rsidRDefault="002D3AD2" w:rsidP="002D3AD2">
            <w:r w:rsidRPr="002D3AD2">
              <w:t>(≥1/1 000 до</w:t>
            </w:r>
          </w:p>
          <w:p w14:paraId="7E9DF9CE" w14:textId="40F166C4" w:rsidR="002D3AD2" w:rsidRP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D3AD2">
              <w:t>&lt; 1/100)</w:t>
            </w:r>
          </w:p>
        </w:tc>
        <w:tc>
          <w:tcPr>
            <w:tcW w:w="1546" w:type="dxa"/>
          </w:tcPr>
          <w:p w14:paraId="080040FA" w14:textId="77777777" w:rsidR="002D3AD2" w:rsidRPr="002D3AD2" w:rsidRDefault="002D3AD2" w:rsidP="002D3AD2">
            <w:r w:rsidRPr="002D3AD2">
              <w:rPr>
                <w:b/>
                <w:bCs/>
              </w:rPr>
              <w:t>Редки</w:t>
            </w:r>
          </w:p>
          <w:p w14:paraId="0D855684" w14:textId="0CC96D26" w:rsidR="002D3AD2" w:rsidRP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D3AD2">
              <w:t>(≥1/10 000 до &lt; 1/1000)</w:t>
            </w:r>
          </w:p>
        </w:tc>
        <w:tc>
          <w:tcPr>
            <w:tcW w:w="937" w:type="dxa"/>
          </w:tcPr>
          <w:p w14:paraId="266CF25E" w14:textId="77777777" w:rsidR="002D3AD2" w:rsidRPr="002D3AD2" w:rsidRDefault="002D3AD2" w:rsidP="002D3AD2">
            <w:r w:rsidRPr="002D3AD2">
              <w:rPr>
                <w:b/>
                <w:bCs/>
              </w:rPr>
              <w:t>Много</w:t>
            </w:r>
            <w:r w:rsidRPr="002D3AD2">
              <w:rPr>
                <w:b/>
                <w:bCs/>
              </w:rPr>
              <w:tab/>
              <w:t>редки</w:t>
            </w:r>
          </w:p>
          <w:p w14:paraId="4F54B109" w14:textId="3C9AD664" w:rsidR="002D3AD2" w:rsidRP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D3AD2">
              <w:t>(&lt;1/10 000)</w:t>
            </w:r>
          </w:p>
        </w:tc>
        <w:tc>
          <w:tcPr>
            <w:tcW w:w="2008" w:type="dxa"/>
            <w:vAlign w:val="bottom"/>
          </w:tcPr>
          <w:p w14:paraId="1B1F96CB" w14:textId="77777777" w:rsidR="002D3AD2" w:rsidRPr="002D3AD2" w:rsidRDefault="002D3AD2" w:rsidP="002D3AD2">
            <w:r w:rsidRPr="002D3AD2">
              <w:rPr>
                <w:b/>
                <w:bCs/>
              </w:rPr>
              <w:t>С неизвестна честота</w:t>
            </w:r>
          </w:p>
          <w:p w14:paraId="25E8A2C5" w14:textId="77777777" w:rsidR="002D3AD2" w:rsidRPr="002D3AD2" w:rsidRDefault="002D3AD2" w:rsidP="002D3AD2">
            <w:r w:rsidRPr="002D3AD2">
              <w:t>(оценка</w:t>
            </w:r>
            <w:r w:rsidRPr="002D3AD2">
              <w:tab/>
              <w:t>на</w:t>
            </w:r>
          </w:p>
          <w:p w14:paraId="68B91BCE" w14:textId="4830A5DB" w:rsidR="002D3AD2" w:rsidRPr="002D3AD2" w:rsidRDefault="002D3AD2" w:rsidP="002D3AD2">
            <w:r w:rsidRPr="002D3AD2">
              <w:t>честота</w:t>
            </w:r>
            <w:r w:rsidR="007C7806">
              <w:t xml:space="preserve">та не може да бъде направена от </w:t>
            </w:r>
            <w:r w:rsidRPr="002D3AD2">
              <w:t>наличните</w:t>
            </w:r>
          </w:p>
          <w:p w14:paraId="7F18911D" w14:textId="206CAF8A" w:rsidR="002D3AD2" w:rsidRP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D3AD2">
              <w:t>данни)</w:t>
            </w:r>
          </w:p>
        </w:tc>
      </w:tr>
      <w:tr w:rsidR="002D3AD2" w14:paraId="3E68C386" w14:textId="77777777" w:rsidTr="00807BE0">
        <w:tc>
          <w:tcPr>
            <w:tcW w:w="9576" w:type="dxa"/>
            <w:gridSpan w:val="5"/>
          </w:tcPr>
          <w:p w14:paraId="092DD59E" w14:textId="1A847C1B" w:rsidR="002D3AD2" w:rsidRPr="002D3AD2" w:rsidRDefault="002D3AD2" w:rsidP="002D3A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AD2">
              <w:rPr>
                <w:i/>
              </w:rPr>
              <w:t>Нарушения на метаболизма и храненето</w:t>
            </w:r>
          </w:p>
        </w:tc>
      </w:tr>
      <w:tr w:rsidR="002D3AD2" w14:paraId="2EBF5A77" w14:textId="77777777" w:rsidTr="00807BE0">
        <w:tc>
          <w:tcPr>
            <w:tcW w:w="3256" w:type="dxa"/>
          </w:tcPr>
          <w:p w14:paraId="5421BD33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EACB1D5" w14:textId="77777777" w:rsidR="002D3AD2" w:rsidRPr="002D3AD2" w:rsidRDefault="002D3AD2" w:rsidP="002D3AD2">
            <w:pPr>
              <w:rPr>
                <w:sz w:val="24"/>
                <w:szCs w:val="24"/>
              </w:rPr>
            </w:pPr>
            <w:r w:rsidRPr="002D3AD2">
              <w:rPr>
                <w:lang w:eastAsia="bg-BG"/>
              </w:rPr>
              <w:t>Хиперурикемия</w:t>
            </w:r>
          </w:p>
          <w:p w14:paraId="2D643F58" w14:textId="63748DAC" w:rsidR="002D3AD2" w:rsidRDefault="002D3AD2" w:rsidP="002D3AD2">
            <w:pPr>
              <w:rPr>
                <w:sz w:val="24"/>
                <w:szCs w:val="24"/>
              </w:rPr>
            </w:pPr>
            <w:r w:rsidRPr="002D3AD2">
              <w:rPr>
                <w:lang w:eastAsia="bg-BG"/>
              </w:rPr>
              <w:t>Хипергриглице- ридемия</w:t>
            </w:r>
          </w:p>
        </w:tc>
        <w:tc>
          <w:tcPr>
            <w:tcW w:w="1546" w:type="dxa"/>
          </w:tcPr>
          <w:p w14:paraId="79DEE96F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77AE38B0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1C1B165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AD2" w14:paraId="2C9F9C58" w14:textId="77777777" w:rsidTr="00807BE0">
        <w:tc>
          <w:tcPr>
            <w:tcW w:w="9576" w:type="dxa"/>
            <w:gridSpan w:val="5"/>
          </w:tcPr>
          <w:p w14:paraId="11CAD023" w14:textId="3CE31887" w:rsidR="002D3AD2" w:rsidRPr="002D3AD2" w:rsidRDefault="002D3AD2" w:rsidP="002D3AD2">
            <w:pPr>
              <w:rPr>
                <w:i/>
                <w:sz w:val="24"/>
                <w:szCs w:val="24"/>
              </w:rPr>
            </w:pPr>
            <w:r w:rsidRPr="002D3AD2">
              <w:rPr>
                <w:i/>
                <w:lang w:eastAsia="bg-BG"/>
              </w:rPr>
              <w:t>Нарушения на нервната система</w:t>
            </w:r>
          </w:p>
        </w:tc>
      </w:tr>
      <w:tr w:rsidR="002D3AD2" w14:paraId="5A61613D" w14:textId="77777777" w:rsidTr="00807BE0">
        <w:tc>
          <w:tcPr>
            <w:tcW w:w="3256" w:type="dxa"/>
          </w:tcPr>
          <w:p w14:paraId="1D6FBCFC" w14:textId="77777777" w:rsidR="002D3AD2" w:rsidRDefault="002D3AD2" w:rsidP="002D3AD2">
            <w:r>
              <w:t>Замаяност</w:t>
            </w:r>
          </w:p>
          <w:p w14:paraId="023D9658" w14:textId="62B1BF20" w:rsidR="002D3AD2" w:rsidRDefault="002D3AD2" w:rsidP="002D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Главоболие</w:t>
            </w:r>
          </w:p>
        </w:tc>
        <w:tc>
          <w:tcPr>
            <w:tcW w:w="1829" w:type="dxa"/>
          </w:tcPr>
          <w:p w14:paraId="0FBD4E31" w14:textId="57FE1593" w:rsidR="002D3AD2" w:rsidRDefault="002D3AD2" w:rsidP="002D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Синкоп</w:t>
            </w:r>
          </w:p>
        </w:tc>
        <w:tc>
          <w:tcPr>
            <w:tcW w:w="1546" w:type="dxa"/>
          </w:tcPr>
          <w:p w14:paraId="6C6D6553" w14:textId="77777777" w:rsidR="002D3AD2" w:rsidRDefault="002D3AD2" w:rsidP="002D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3BD5027C" w14:textId="77777777" w:rsidR="002D3AD2" w:rsidRDefault="002D3AD2" w:rsidP="002D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Align w:val="bottom"/>
          </w:tcPr>
          <w:p w14:paraId="498E9845" w14:textId="77777777" w:rsidR="002D3AD2" w:rsidRDefault="002D3AD2" w:rsidP="002D3AD2">
            <w:r>
              <w:t>Нарушения</w:t>
            </w:r>
            <w:r>
              <w:tab/>
              <w:t>в</w:t>
            </w:r>
          </w:p>
          <w:p w14:paraId="7E74702C" w14:textId="77777777" w:rsidR="002D3AD2" w:rsidRDefault="002D3AD2" w:rsidP="002D3AD2">
            <w:r>
              <w:t>съзнанието (като загуба</w:t>
            </w:r>
            <w:r>
              <w:tab/>
              <w:t>на</w:t>
            </w:r>
          </w:p>
          <w:p w14:paraId="75CD2716" w14:textId="54003168" w:rsidR="002D3AD2" w:rsidRDefault="002D3AD2" w:rsidP="002D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съзнание)</w:t>
            </w:r>
          </w:p>
        </w:tc>
      </w:tr>
      <w:tr w:rsidR="002D3AD2" w14:paraId="15802E73" w14:textId="77777777" w:rsidTr="00807BE0">
        <w:tc>
          <w:tcPr>
            <w:tcW w:w="9576" w:type="dxa"/>
            <w:gridSpan w:val="5"/>
          </w:tcPr>
          <w:p w14:paraId="03560165" w14:textId="2E6EAD7F" w:rsidR="002D3AD2" w:rsidRPr="002D3AD2" w:rsidRDefault="002D3AD2" w:rsidP="002D3AD2">
            <w:pPr>
              <w:rPr>
                <w:i/>
                <w:sz w:val="24"/>
                <w:szCs w:val="24"/>
              </w:rPr>
            </w:pPr>
            <w:r w:rsidRPr="002D3AD2">
              <w:rPr>
                <w:i/>
                <w:lang w:eastAsia="bg-BG"/>
              </w:rPr>
              <w:t>Сърдечни нарушения</w:t>
            </w:r>
          </w:p>
        </w:tc>
      </w:tr>
      <w:tr w:rsidR="002D3AD2" w14:paraId="04BF4E20" w14:textId="77777777" w:rsidTr="00807BE0">
        <w:tc>
          <w:tcPr>
            <w:tcW w:w="3256" w:type="dxa"/>
          </w:tcPr>
          <w:p w14:paraId="7182B270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E046986" w14:textId="1ED6E9D2" w:rsidR="002D3AD2" w:rsidRDefault="002D3AD2" w:rsidP="002D3AD2">
            <w:pPr>
              <w:rPr>
                <w:sz w:val="24"/>
                <w:szCs w:val="24"/>
              </w:rPr>
            </w:pPr>
            <w:r w:rsidRPr="002D3AD2">
              <w:rPr>
                <w:lang w:eastAsia="bg-BG"/>
              </w:rPr>
              <w:t>Палпитации</w:t>
            </w:r>
          </w:p>
        </w:tc>
        <w:tc>
          <w:tcPr>
            <w:tcW w:w="1546" w:type="dxa"/>
          </w:tcPr>
          <w:p w14:paraId="4A5116D1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3E5214D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83B447E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AD2" w14:paraId="5C89F99C" w14:textId="77777777" w:rsidTr="00807BE0">
        <w:tc>
          <w:tcPr>
            <w:tcW w:w="9576" w:type="dxa"/>
            <w:gridSpan w:val="5"/>
          </w:tcPr>
          <w:p w14:paraId="27B4C22D" w14:textId="1DC54046" w:rsidR="002D3AD2" w:rsidRPr="002D3AD2" w:rsidRDefault="002D3AD2" w:rsidP="002D3AD2">
            <w:pPr>
              <w:rPr>
                <w:i/>
                <w:sz w:val="24"/>
                <w:szCs w:val="24"/>
              </w:rPr>
            </w:pPr>
            <w:r w:rsidRPr="002D3AD2">
              <w:rPr>
                <w:i/>
                <w:lang w:eastAsia="bg-BG"/>
              </w:rPr>
              <w:t>Съдови нарушения</w:t>
            </w:r>
          </w:p>
        </w:tc>
      </w:tr>
      <w:tr w:rsidR="002D3AD2" w14:paraId="646F9C45" w14:textId="77777777" w:rsidTr="00807BE0">
        <w:tc>
          <w:tcPr>
            <w:tcW w:w="3256" w:type="dxa"/>
          </w:tcPr>
          <w:p w14:paraId="3439B787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6F5835FD" w14:textId="77777777" w:rsidR="002D3AD2" w:rsidRPr="002D3AD2" w:rsidRDefault="002D3AD2" w:rsidP="002D3AD2">
            <w:pPr>
              <w:rPr>
                <w:sz w:val="24"/>
                <w:szCs w:val="24"/>
              </w:rPr>
            </w:pPr>
            <w:r w:rsidRPr="002D3AD2">
              <w:rPr>
                <w:lang w:eastAsia="bg-BG"/>
              </w:rPr>
              <w:t>Хипотония</w:t>
            </w:r>
          </w:p>
          <w:p w14:paraId="2542986D" w14:textId="7371338A" w:rsidR="002D3AD2" w:rsidRDefault="002D3AD2" w:rsidP="002D3AD2">
            <w:pPr>
              <w:rPr>
                <w:sz w:val="24"/>
                <w:szCs w:val="24"/>
              </w:rPr>
            </w:pPr>
            <w:r w:rsidRPr="002D3AD2">
              <w:rPr>
                <w:lang w:eastAsia="bg-BG"/>
              </w:rPr>
              <w:t>Ортостатична хипотония</w:t>
            </w:r>
          </w:p>
        </w:tc>
        <w:tc>
          <w:tcPr>
            <w:tcW w:w="1546" w:type="dxa"/>
          </w:tcPr>
          <w:p w14:paraId="06DE5409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1A4A86DB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38245221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AD2" w14:paraId="44918E3C" w14:textId="77777777" w:rsidTr="00807BE0">
        <w:tc>
          <w:tcPr>
            <w:tcW w:w="9576" w:type="dxa"/>
            <w:gridSpan w:val="5"/>
          </w:tcPr>
          <w:p w14:paraId="4723D43A" w14:textId="4AEF6BAC" w:rsidR="002D3AD2" w:rsidRPr="002D3AD2" w:rsidRDefault="002D3AD2" w:rsidP="002D3AD2">
            <w:pPr>
              <w:rPr>
                <w:i/>
                <w:sz w:val="24"/>
                <w:szCs w:val="24"/>
              </w:rPr>
            </w:pPr>
            <w:r w:rsidRPr="002D3AD2">
              <w:rPr>
                <w:i/>
                <w:lang w:eastAsia="bg-BG"/>
              </w:rPr>
              <w:t>Респираторни, гръдни и медиастинални нарушения</w:t>
            </w:r>
          </w:p>
        </w:tc>
      </w:tr>
      <w:tr w:rsidR="002D3AD2" w14:paraId="27C2D55F" w14:textId="77777777" w:rsidTr="00807BE0">
        <w:tc>
          <w:tcPr>
            <w:tcW w:w="3256" w:type="dxa"/>
          </w:tcPr>
          <w:p w14:paraId="1F0A737C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6EFD0DCC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D073C53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19A227AD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CD8E47F" w14:textId="15ED3AD5" w:rsidR="002D3AD2" w:rsidRDefault="002D3AD2" w:rsidP="002D3AD2">
            <w:pPr>
              <w:rPr>
                <w:sz w:val="24"/>
                <w:szCs w:val="24"/>
              </w:rPr>
            </w:pPr>
            <w:r w:rsidRPr="002D3AD2">
              <w:rPr>
                <w:lang w:eastAsia="bg-BG"/>
              </w:rPr>
              <w:t>Кашлица</w:t>
            </w:r>
          </w:p>
        </w:tc>
      </w:tr>
      <w:tr w:rsidR="002D3AD2" w14:paraId="7D35FEA2" w14:textId="77777777" w:rsidTr="00807BE0">
        <w:tc>
          <w:tcPr>
            <w:tcW w:w="9576" w:type="dxa"/>
            <w:gridSpan w:val="5"/>
          </w:tcPr>
          <w:p w14:paraId="3D5EE9A4" w14:textId="1750ECAB" w:rsidR="002D3AD2" w:rsidRPr="002D3AD2" w:rsidRDefault="002D3AD2" w:rsidP="002D3A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AD2">
              <w:rPr>
                <w:i/>
              </w:rPr>
              <w:t>Стомашно-чревни нарушения</w:t>
            </w:r>
          </w:p>
        </w:tc>
      </w:tr>
      <w:tr w:rsidR="002D3AD2" w14:paraId="4A844AA8" w14:textId="77777777" w:rsidTr="00807BE0">
        <w:tc>
          <w:tcPr>
            <w:tcW w:w="3256" w:type="dxa"/>
          </w:tcPr>
          <w:p w14:paraId="1B7686B0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2D19CEE7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22339E6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C711F6C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514E929" w14:textId="77777777" w:rsidR="002D3AD2" w:rsidRPr="002D3AD2" w:rsidRDefault="002D3AD2" w:rsidP="002D3AD2">
            <w:pPr>
              <w:rPr>
                <w:sz w:val="24"/>
                <w:szCs w:val="24"/>
              </w:rPr>
            </w:pPr>
            <w:r w:rsidRPr="002D3AD2">
              <w:rPr>
                <w:lang w:eastAsia="bg-BG"/>
              </w:rPr>
              <w:t>Диария</w:t>
            </w:r>
          </w:p>
          <w:p w14:paraId="0ACF372C" w14:textId="56BD5C3D" w:rsidR="002D3AD2" w:rsidRDefault="002D3AD2" w:rsidP="002D3AD2">
            <w:pPr>
              <w:rPr>
                <w:sz w:val="24"/>
                <w:szCs w:val="24"/>
              </w:rPr>
            </w:pPr>
            <w:r w:rsidRPr="002D3AD2">
              <w:rPr>
                <w:lang w:eastAsia="bg-BG"/>
              </w:rPr>
              <w:lastRenderedPageBreak/>
              <w:t>Гадене Повръщане Коремна болка</w:t>
            </w:r>
          </w:p>
        </w:tc>
      </w:tr>
      <w:tr w:rsidR="002D3AD2" w14:paraId="7BD8B249" w14:textId="77777777" w:rsidTr="00807BE0">
        <w:tc>
          <w:tcPr>
            <w:tcW w:w="9576" w:type="dxa"/>
            <w:gridSpan w:val="5"/>
          </w:tcPr>
          <w:p w14:paraId="2E227B15" w14:textId="5249714C" w:rsidR="002D3AD2" w:rsidRPr="002D3AD2" w:rsidRDefault="002D3AD2" w:rsidP="002D3A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AD2">
              <w:rPr>
                <w:i/>
              </w:rPr>
              <w:lastRenderedPageBreak/>
              <w:t>Нарушения на кожата и подкожната тъкан</w:t>
            </w:r>
          </w:p>
        </w:tc>
      </w:tr>
      <w:tr w:rsidR="002D3AD2" w14:paraId="21D8B15D" w14:textId="77777777" w:rsidTr="00807BE0">
        <w:tc>
          <w:tcPr>
            <w:tcW w:w="3256" w:type="dxa"/>
          </w:tcPr>
          <w:p w14:paraId="433C9CAC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E649C8B" w14:textId="77777777" w:rsidR="002D3AD2" w:rsidRDefault="002D3AD2" w:rsidP="002D3AD2">
            <w:r>
              <w:t>Обрив</w:t>
            </w:r>
          </w:p>
          <w:p w14:paraId="07533998" w14:textId="14D640F0" w:rsidR="002D3AD2" w:rsidRDefault="002D3AD2" w:rsidP="002D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Екзема</w:t>
            </w:r>
          </w:p>
        </w:tc>
        <w:tc>
          <w:tcPr>
            <w:tcW w:w="1546" w:type="dxa"/>
          </w:tcPr>
          <w:p w14:paraId="1ED53E28" w14:textId="77777777" w:rsidR="002D3AD2" w:rsidRDefault="002D3AD2" w:rsidP="002D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75BE5860" w14:textId="77777777" w:rsidR="002D3AD2" w:rsidRDefault="002D3AD2" w:rsidP="002D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Align w:val="bottom"/>
          </w:tcPr>
          <w:p w14:paraId="7A85F2C1" w14:textId="77777777" w:rsidR="002D3AD2" w:rsidRDefault="002D3AD2" w:rsidP="002D3AD2">
            <w:r>
              <w:t>Алергични състояния (като</w:t>
            </w:r>
            <w:r>
              <w:tab/>
              <w:t>ангио-</w:t>
            </w:r>
          </w:p>
          <w:p w14:paraId="22513E88" w14:textId="7FBEBF75" w:rsidR="002D3AD2" w:rsidRDefault="002D3AD2" w:rsidP="002D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невротичен </w:t>
            </w:r>
            <w:r>
              <w:rPr>
                <w:u w:val="single"/>
              </w:rPr>
              <w:t>оток</w:t>
            </w:r>
            <w:r>
              <w:t xml:space="preserve"> и </w:t>
            </w:r>
            <w:r>
              <w:rPr>
                <w:u w:val="single"/>
              </w:rPr>
              <w:t>уртикария)</w:t>
            </w:r>
          </w:p>
        </w:tc>
      </w:tr>
      <w:tr w:rsidR="002D3AD2" w14:paraId="438CF6A7" w14:textId="77777777" w:rsidTr="00807BE0">
        <w:tc>
          <w:tcPr>
            <w:tcW w:w="9576" w:type="dxa"/>
            <w:gridSpan w:val="5"/>
          </w:tcPr>
          <w:p w14:paraId="4413B82A" w14:textId="7768D53E" w:rsidR="002D3AD2" w:rsidRPr="002D3AD2" w:rsidRDefault="002D3AD2" w:rsidP="002D3A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AD2">
              <w:rPr>
                <w:i/>
              </w:rPr>
              <w:t>Нарушения на мускулно-скелетната система и съединителната тъкан</w:t>
            </w:r>
          </w:p>
        </w:tc>
      </w:tr>
      <w:tr w:rsidR="002D3AD2" w14:paraId="63436246" w14:textId="77777777" w:rsidTr="00807BE0">
        <w:tc>
          <w:tcPr>
            <w:tcW w:w="3256" w:type="dxa"/>
          </w:tcPr>
          <w:p w14:paraId="11DF44E1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D6227E8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9A1C3A6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4DDBA560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446DEFB2" w14:textId="77777777" w:rsidR="002D3AD2" w:rsidRPr="002D3AD2" w:rsidRDefault="002D3AD2" w:rsidP="002D3AD2">
            <w:pPr>
              <w:rPr>
                <w:sz w:val="24"/>
                <w:szCs w:val="24"/>
              </w:rPr>
            </w:pPr>
            <w:r w:rsidRPr="002D3AD2">
              <w:rPr>
                <w:lang w:eastAsia="bg-BG"/>
              </w:rPr>
              <w:t>Миалгия</w:t>
            </w:r>
          </w:p>
          <w:p w14:paraId="48916737" w14:textId="77777777" w:rsidR="002D3AD2" w:rsidRPr="002D3AD2" w:rsidRDefault="002D3AD2" w:rsidP="002D3AD2">
            <w:pPr>
              <w:rPr>
                <w:sz w:val="24"/>
                <w:szCs w:val="24"/>
              </w:rPr>
            </w:pPr>
          </w:p>
          <w:p w14:paraId="7E642744" w14:textId="7BD11839" w:rsidR="002D3AD2" w:rsidRDefault="002D3AD2" w:rsidP="002D3AD2">
            <w:pPr>
              <w:rPr>
                <w:sz w:val="24"/>
                <w:szCs w:val="24"/>
              </w:rPr>
            </w:pPr>
            <w:r w:rsidRPr="002D3AD2">
              <w:rPr>
                <w:lang w:eastAsia="bg-BG"/>
              </w:rPr>
              <w:t>Мускулни спазми</w:t>
            </w:r>
          </w:p>
        </w:tc>
      </w:tr>
      <w:tr w:rsidR="002D3AD2" w14:paraId="157F4F09" w14:textId="77777777" w:rsidTr="00807BE0">
        <w:tc>
          <w:tcPr>
            <w:tcW w:w="9576" w:type="dxa"/>
            <w:gridSpan w:val="5"/>
          </w:tcPr>
          <w:p w14:paraId="23DAA1D6" w14:textId="629702C5" w:rsidR="002D3AD2" w:rsidRPr="002D3AD2" w:rsidRDefault="002D3AD2" w:rsidP="002D3A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AD2">
              <w:rPr>
                <w:i/>
              </w:rPr>
              <w:t>Нарушения на бъбреците и пикочните пътища</w:t>
            </w:r>
          </w:p>
        </w:tc>
      </w:tr>
      <w:tr w:rsidR="002D3AD2" w14:paraId="69025A33" w14:textId="77777777" w:rsidTr="00807BE0">
        <w:tc>
          <w:tcPr>
            <w:tcW w:w="3256" w:type="dxa"/>
          </w:tcPr>
          <w:p w14:paraId="5007B9E6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3739E25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586D95F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714DC283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684244CC" w14:textId="77777777" w:rsidR="002D3AD2" w:rsidRPr="002D3AD2" w:rsidRDefault="002D3AD2" w:rsidP="002D3AD2">
            <w:pPr>
              <w:rPr>
                <w:sz w:val="24"/>
                <w:szCs w:val="24"/>
              </w:rPr>
            </w:pPr>
            <w:r w:rsidRPr="002D3AD2">
              <w:rPr>
                <w:lang w:eastAsia="bg-BG"/>
              </w:rPr>
              <w:t>Остра бъбречна</w:t>
            </w:r>
          </w:p>
          <w:p w14:paraId="4F2C13D9" w14:textId="40A14932" w:rsidR="002D3AD2" w:rsidRDefault="002D3AD2" w:rsidP="002D3AD2">
            <w:pPr>
              <w:rPr>
                <w:sz w:val="24"/>
                <w:szCs w:val="24"/>
              </w:rPr>
            </w:pPr>
            <w:r>
              <w:t>недостатъчност</w:t>
            </w:r>
          </w:p>
        </w:tc>
      </w:tr>
      <w:tr w:rsidR="002D3AD2" w14:paraId="4439405D" w14:textId="77777777" w:rsidTr="00807BE0">
        <w:tc>
          <w:tcPr>
            <w:tcW w:w="9576" w:type="dxa"/>
            <w:gridSpan w:val="5"/>
          </w:tcPr>
          <w:p w14:paraId="43FC619B" w14:textId="7416F59A" w:rsidR="002D3AD2" w:rsidRPr="002D3AD2" w:rsidRDefault="002D3AD2" w:rsidP="002D3A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AD2">
              <w:rPr>
                <w:i/>
              </w:rPr>
              <w:t>Общи нарушения и ефекти на мястото на приложение</w:t>
            </w:r>
          </w:p>
        </w:tc>
      </w:tr>
      <w:tr w:rsidR="002D3AD2" w14:paraId="25F0B25C" w14:textId="77777777" w:rsidTr="00807BE0">
        <w:tc>
          <w:tcPr>
            <w:tcW w:w="3256" w:type="dxa"/>
          </w:tcPr>
          <w:p w14:paraId="63670D72" w14:textId="12D7F114" w:rsidR="002D3AD2" w:rsidRDefault="002D3AD2" w:rsidP="002D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Отпадналост</w:t>
            </w:r>
          </w:p>
        </w:tc>
        <w:tc>
          <w:tcPr>
            <w:tcW w:w="1829" w:type="dxa"/>
          </w:tcPr>
          <w:p w14:paraId="037BAA35" w14:textId="01484045" w:rsidR="002D3AD2" w:rsidRDefault="002D3AD2" w:rsidP="002D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Слабост</w:t>
            </w:r>
          </w:p>
        </w:tc>
        <w:tc>
          <w:tcPr>
            <w:tcW w:w="1546" w:type="dxa"/>
          </w:tcPr>
          <w:p w14:paraId="3A3D53EC" w14:textId="77777777" w:rsidR="002D3AD2" w:rsidRDefault="002D3AD2" w:rsidP="002D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DC96611" w14:textId="77777777" w:rsidR="002D3AD2" w:rsidRDefault="002D3AD2" w:rsidP="002D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4BD64CCA" w14:textId="77777777" w:rsidR="002D3AD2" w:rsidRDefault="002D3AD2" w:rsidP="002D3AD2">
            <w:r>
              <w:t>Астения</w:t>
            </w:r>
            <w:r>
              <w:tab/>
              <w:t>(като</w:t>
            </w:r>
          </w:p>
          <w:p w14:paraId="125D7225" w14:textId="774CC449" w:rsidR="002D3AD2" w:rsidRDefault="002D3AD2" w:rsidP="002D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общо неразположение)</w:t>
            </w:r>
          </w:p>
        </w:tc>
      </w:tr>
      <w:tr w:rsidR="002D3AD2" w14:paraId="03E2EA88" w14:textId="77777777" w:rsidTr="00807BE0">
        <w:tc>
          <w:tcPr>
            <w:tcW w:w="9576" w:type="dxa"/>
            <w:gridSpan w:val="5"/>
          </w:tcPr>
          <w:p w14:paraId="5643D8D9" w14:textId="19B4308E" w:rsidR="002D3AD2" w:rsidRPr="002D3AD2" w:rsidRDefault="002D3AD2" w:rsidP="002D3AD2">
            <w:pPr>
              <w:rPr>
                <w:i/>
                <w:sz w:val="24"/>
                <w:szCs w:val="24"/>
              </w:rPr>
            </w:pPr>
            <w:r w:rsidRPr="002D3AD2">
              <w:rPr>
                <w:i/>
                <w:lang w:eastAsia="bg-BG"/>
              </w:rPr>
              <w:t>Изследвания</w:t>
            </w:r>
          </w:p>
        </w:tc>
      </w:tr>
      <w:tr w:rsidR="002D3AD2" w14:paraId="5B3CA7F9" w14:textId="77777777" w:rsidTr="00807BE0">
        <w:tc>
          <w:tcPr>
            <w:tcW w:w="3256" w:type="dxa"/>
          </w:tcPr>
          <w:p w14:paraId="334C13E3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5ED5171" w14:textId="77777777" w:rsidR="002D3AD2" w:rsidRDefault="002D3AD2" w:rsidP="002D3AD2">
            <w:r>
              <w:t>Понижени нива на калий в кръвта</w:t>
            </w:r>
          </w:p>
          <w:p w14:paraId="61F46797" w14:textId="77777777" w:rsidR="00807BE0" w:rsidRDefault="00807BE0" w:rsidP="002D3AD2"/>
          <w:p w14:paraId="6C5A2208" w14:textId="0C98EE23" w:rsidR="002D3AD2" w:rsidRDefault="002D3AD2" w:rsidP="002D3AD2">
            <w:r>
              <w:t>Повишени нива на калий в кръвта</w:t>
            </w:r>
          </w:p>
          <w:p w14:paraId="6F023938" w14:textId="77777777" w:rsidR="00807BE0" w:rsidRDefault="00807BE0" w:rsidP="002D3AD2"/>
          <w:p w14:paraId="58D87FC5" w14:textId="7836F281" w:rsidR="002D3AD2" w:rsidRDefault="002D3AD2" w:rsidP="002D3AD2">
            <w:r>
              <w:t>Повишени нива на калций в кръвта</w:t>
            </w:r>
          </w:p>
          <w:p w14:paraId="70653AB1" w14:textId="77777777" w:rsidR="00807BE0" w:rsidRDefault="00807BE0" w:rsidP="002D3AD2"/>
          <w:p w14:paraId="04AA93F1" w14:textId="435A0B03" w:rsidR="002D3AD2" w:rsidRDefault="002D3AD2" w:rsidP="002D3AD2">
            <w:r>
              <w:t>Повишени нива на кръвната урея</w:t>
            </w:r>
          </w:p>
          <w:p w14:paraId="17BABDE4" w14:textId="77777777" w:rsidR="00807BE0" w:rsidRDefault="00807BE0" w:rsidP="002D3AD2"/>
          <w:p w14:paraId="08A3B2F3" w14:textId="768998E0" w:rsidR="002D3AD2" w:rsidRDefault="002D3AD2" w:rsidP="002D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Повишени нива на липидите в кръвта</w:t>
            </w:r>
          </w:p>
        </w:tc>
        <w:tc>
          <w:tcPr>
            <w:tcW w:w="1546" w:type="dxa"/>
          </w:tcPr>
          <w:p w14:paraId="01F082F3" w14:textId="77777777" w:rsidR="002D3AD2" w:rsidRDefault="002D3AD2" w:rsidP="002D3AD2">
            <w:r>
              <w:t>Леко повишени нива на пикочната киселина</w:t>
            </w:r>
          </w:p>
          <w:p w14:paraId="74D56F00" w14:textId="77777777" w:rsidR="00807BE0" w:rsidRDefault="00807BE0" w:rsidP="002D3AD2"/>
          <w:p w14:paraId="02DC5715" w14:textId="721398AF" w:rsidR="002D3AD2" w:rsidRDefault="002D3AD2" w:rsidP="002D3AD2">
            <w:r>
              <w:t>Леко повишени нива на урейния азот в кръвта</w:t>
            </w:r>
          </w:p>
          <w:p w14:paraId="7CBC3EFA" w14:textId="77777777" w:rsidR="00807BE0" w:rsidRDefault="00807BE0" w:rsidP="002D3AD2"/>
          <w:p w14:paraId="5A0579F3" w14:textId="3C928161" w:rsidR="002D3AD2" w:rsidRDefault="002D3AD2" w:rsidP="002D3AD2">
            <w:r>
              <w:t>Леко пониж</w:t>
            </w:r>
            <w:r w:rsidR="00807BE0">
              <w:t xml:space="preserve">ени нива на средния хемоглобин </w:t>
            </w:r>
            <w:r>
              <w:t>и</w:t>
            </w:r>
          </w:p>
          <w:p w14:paraId="0B14D2B2" w14:textId="1F244E65" w:rsidR="002D3AD2" w:rsidRDefault="002D3AD2" w:rsidP="002D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хематокрит</w:t>
            </w:r>
          </w:p>
        </w:tc>
        <w:tc>
          <w:tcPr>
            <w:tcW w:w="937" w:type="dxa"/>
          </w:tcPr>
          <w:p w14:paraId="38E3B5E8" w14:textId="77777777" w:rsidR="002D3AD2" w:rsidRDefault="002D3AD2" w:rsidP="002D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2C64473" w14:textId="4EE032D6" w:rsidR="002D3AD2" w:rsidRDefault="002D3AD2" w:rsidP="002D3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Отклонения във функционалните изследвания на бъбреците</w:t>
            </w:r>
          </w:p>
        </w:tc>
      </w:tr>
      <w:tr w:rsidR="002D3AD2" w14:paraId="2E8A7D37" w14:textId="77777777" w:rsidTr="00807BE0">
        <w:tc>
          <w:tcPr>
            <w:tcW w:w="9576" w:type="dxa"/>
            <w:gridSpan w:val="5"/>
          </w:tcPr>
          <w:p w14:paraId="24BE2B29" w14:textId="5BE732B2" w:rsidR="002D3AD2" w:rsidRPr="002D3AD2" w:rsidRDefault="002D3AD2" w:rsidP="002D3A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AD2">
              <w:rPr>
                <w:i/>
              </w:rPr>
              <w:t>Лабораторни находки</w:t>
            </w:r>
          </w:p>
        </w:tc>
      </w:tr>
      <w:tr w:rsidR="002D3AD2" w14:paraId="71036C91" w14:textId="77777777" w:rsidTr="00807BE0">
        <w:tc>
          <w:tcPr>
            <w:tcW w:w="3256" w:type="dxa"/>
          </w:tcPr>
          <w:p w14:paraId="11F27F19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F02ACF0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771BCA0" w14:textId="77777777" w:rsidR="002D3AD2" w:rsidRPr="002D3AD2" w:rsidRDefault="002D3AD2" w:rsidP="002D3AD2">
            <w:pPr>
              <w:rPr>
                <w:sz w:val="24"/>
                <w:szCs w:val="24"/>
              </w:rPr>
            </w:pPr>
            <w:r w:rsidRPr="002D3AD2">
              <w:rPr>
                <w:lang w:eastAsia="bg-BG"/>
              </w:rPr>
              <w:t xml:space="preserve">Леко повишени нива на средната </w:t>
            </w:r>
            <w:r w:rsidRPr="002D3AD2">
              <w:rPr>
                <w:lang w:eastAsia="bg-BG"/>
              </w:rPr>
              <w:lastRenderedPageBreak/>
              <w:t>пикочна киселина</w:t>
            </w:r>
          </w:p>
          <w:p w14:paraId="7BF35131" w14:textId="77777777" w:rsidR="00807BE0" w:rsidRDefault="00807BE0" w:rsidP="002D3AD2">
            <w:pPr>
              <w:rPr>
                <w:lang w:eastAsia="bg-BG"/>
              </w:rPr>
            </w:pPr>
          </w:p>
          <w:p w14:paraId="515E19AB" w14:textId="5B7A3FED" w:rsidR="002D3AD2" w:rsidRPr="002D3AD2" w:rsidRDefault="002D3AD2" w:rsidP="002D3AD2">
            <w:pPr>
              <w:rPr>
                <w:sz w:val="24"/>
                <w:szCs w:val="24"/>
              </w:rPr>
            </w:pPr>
            <w:r w:rsidRPr="002D3AD2">
              <w:rPr>
                <w:lang w:eastAsia="bg-BG"/>
              </w:rPr>
              <w:t>Леко повишени нива в стойностите на азота и креатинина</w:t>
            </w:r>
          </w:p>
          <w:p w14:paraId="5B837BA9" w14:textId="77777777" w:rsidR="00807BE0" w:rsidRDefault="00807BE0" w:rsidP="002D3AD2">
            <w:pPr>
              <w:rPr>
                <w:lang w:eastAsia="bg-BG"/>
              </w:rPr>
            </w:pPr>
          </w:p>
          <w:p w14:paraId="44B13845" w14:textId="407ECCCC" w:rsidR="002D3AD2" w:rsidRDefault="002D3AD2" w:rsidP="002D3AD2">
            <w:pPr>
              <w:rPr>
                <w:sz w:val="24"/>
                <w:szCs w:val="24"/>
              </w:rPr>
            </w:pPr>
            <w:r w:rsidRPr="002D3AD2">
              <w:rPr>
                <w:lang w:eastAsia="bg-BG"/>
              </w:rPr>
              <w:t>Леко понижени нива на средните стойности на хемоглобина и хематокрита</w:t>
            </w:r>
          </w:p>
        </w:tc>
        <w:tc>
          <w:tcPr>
            <w:tcW w:w="937" w:type="dxa"/>
          </w:tcPr>
          <w:p w14:paraId="5DC89B09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3F09EA7" w14:textId="77777777" w:rsidR="002D3AD2" w:rsidRDefault="002D3AD2" w:rsidP="002D3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68BEC1" w14:textId="77777777" w:rsidR="00807BE0" w:rsidRDefault="00807BE0" w:rsidP="00807BE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9A4279F" w14:textId="4CDAA7EB" w:rsidR="00807BE0" w:rsidRPr="00807BE0" w:rsidRDefault="00807BE0" w:rsidP="00807BE0">
      <w:pPr>
        <w:spacing w:line="240" w:lineRule="auto"/>
        <w:rPr>
          <w:rFonts w:eastAsia="Times New Roman" w:cs="Arial"/>
        </w:rPr>
      </w:pPr>
      <w:r w:rsidRPr="00807BE0">
        <w:rPr>
          <w:rFonts w:eastAsia="Times New Roman" w:cs="Arial"/>
          <w:color w:val="000000"/>
          <w:u w:val="single"/>
          <w:lang w:eastAsia="bg-BG"/>
        </w:rPr>
        <w:t>Допълнителна информация за отделните съставки</w:t>
      </w:r>
    </w:p>
    <w:p w14:paraId="2DA8418E" w14:textId="77777777" w:rsidR="00807BE0" w:rsidRDefault="00807BE0" w:rsidP="00807BE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990E483" w14:textId="7C6AF0E3" w:rsidR="00807BE0" w:rsidRPr="00807BE0" w:rsidRDefault="00807BE0" w:rsidP="00807BE0">
      <w:pPr>
        <w:spacing w:line="240" w:lineRule="auto"/>
        <w:rPr>
          <w:rFonts w:eastAsia="Times New Roman" w:cs="Arial"/>
        </w:rPr>
      </w:pPr>
      <w:r w:rsidRPr="00807BE0">
        <w:rPr>
          <w:rFonts w:eastAsia="Times New Roman" w:cs="Arial"/>
          <w:color w:val="000000"/>
          <w:lang w:eastAsia="bg-BG"/>
        </w:rPr>
        <w:t>Нежеланите реакции, които са съобщавани за която и да е от отделните съставки, може да са потенциални нежелани реакции за комбинацията олмесартан медоксомил/хидрохлоротиазид, дори ако не са наблюдавани в постмаркетинговия период и клиничните проучвания с продукта.</w:t>
      </w:r>
    </w:p>
    <w:p w14:paraId="17AF2B34" w14:textId="77777777" w:rsidR="00807BE0" w:rsidRDefault="00807BE0" w:rsidP="00807BE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69B690E" w14:textId="2AE7BFA0" w:rsidR="00807BE0" w:rsidRPr="00807BE0" w:rsidRDefault="00807BE0" w:rsidP="00807BE0">
      <w:pPr>
        <w:spacing w:line="240" w:lineRule="auto"/>
        <w:rPr>
          <w:rFonts w:eastAsia="Times New Roman" w:cs="Arial"/>
        </w:rPr>
      </w:pPr>
      <w:r w:rsidRPr="00807BE0">
        <w:rPr>
          <w:rFonts w:eastAsia="Times New Roman" w:cs="Arial"/>
          <w:color w:val="000000"/>
          <w:u w:val="single"/>
          <w:lang w:eastAsia="bg-BG"/>
        </w:rPr>
        <w:t>Олмесртан медоксомил</w:t>
      </w:r>
    </w:p>
    <w:p w14:paraId="7E151EF8" w14:textId="77777777" w:rsidR="00807BE0" w:rsidRDefault="00807BE0" w:rsidP="00807BE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31A1468" w14:textId="361927B5" w:rsidR="00807BE0" w:rsidRPr="00807BE0" w:rsidRDefault="00807BE0" w:rsidP="00807BE0">
      <w:pPr>
        <w:spacing w:line="240" w:lineRule="auto"/>
        <w:rPr>
          <w:rFonts w:eastAsia="Times New Roman" w:cs="Arial"/>
        </w:rPr>
      </w:pPr>
      <w:r w:rsidRPr="00807BE0">
        <w:rPr>
          <w:rFonts w:eastAsia="Times New Roman" w:cs="Arial"/>
          <w:color w:val="000000"/>
          <w:lang w:eastAsia="bg-BG"/>
        </w:rPr>
        <w:t>Допълнителните нежелани реакции съобщавани в клинични проучвания с монотерапия с олмесартан медоксомил при хипертония са изброени по телесни системи и са класифицирани по честота.</w:t>
      </w:r>
    </w:p>
    <w:p w14:paraId="67397A7E" w14:textId="77777777" w:rsidR="00807BE0" w:rsidRDefault="00807BE0" w:rsidP="00807BE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A8D96DA" w14:textId="0B521698" w:rsidR="00807BE0" w:rsidRPr="00807BE0" w:rsidRDefault="00807BE0" w:rsidP="00807BE0">
      <w:pPr>
        <w:spacing w:line="240" w:lineRule="auto"/>
        <w:rPr>
          <w:rFonts w:eastAsia="Times New Roman" w:cs="Arial"/>
        </w:rPr>
      </w:pPr>
      <w:r w:rsidRPr="00807BE0">
        <w:rPr>
          <w:rFonts w:eastAsia="Times New Roman" w:cs="Arial"/>
          <w:color w:val="000000"/>
          <w:lang w:eastAsia="bg-BG"/>
        </w:rPr>
        <w:t>Изброени са и нежеланите реакции съобщавани в периода след пускането на пазара. За всички нежелани реакции съобщени само в постмаркетинговия период е невъзможно да се определи честотата, поради което те са споменати в графата "С неизвестна честота" (оценка на честотата не може да се направи от наличните данни).</w:t>
      </w:r>
    </w:p>
    <w:p w14:paraId="05561E24" w14:textId="77777777" w:rsidR="002D3AD2" w:rsidRPr="002D3AD2" w:rsidRDefault="002D3AD2" w:rsidP="002D3A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9"/>
        <w:gridCol w:w="1190"/>
        <w:gridCol w:w="1259"/>
        <w:gridCol w:w="970"/>
        <w:gridCol w:w="2072"/>
      </w:tblGrid>
      <w:tr w:rsidR="00807BE0" w14:paraId="4A7F7510" w14:textId="77777777" w:rsidTr="00807BE0">
        <w:tc>
          <w:tcPr>
            <w:tcW w:w="4054" w:type="dxa"/>
          </w:tcPr>
          <w:p w14:paraId="40B812DD" w14:textId="77777777" w:rsidR="00807BE0" w:rsidRPr="00807BE0" w:rsidRDefault="00807BE0" w:rsidP="00807BE0">
            <w:r w:rsidRPr="00807BE0">
              <w:rPr>
                <w:b/>
                <w:bCs/>
              </w:rPr>
              <w:t>Чести</w:t>
            </w:r>
          </w:p>
          <w:p w14:paraId="76685DE7" w14:textId="70B87383" w:rsidR="00807BE0" w:rsidRPr="00807BE0" w:rsidRDefault="00807BE0" w:rsidP="00807BE0">
            <w:r w:rsidRPr="00807BE0">
              <w:t>(≥ 1/100 до &lt; 1/10)</w:t>
            </w:r>
          </w:p>
        </w:tc>
        <w:tc>
          <w:tcPr>
            <w:tcW w:w="1199" w:type="dxa"/>
          </w:tcPr>
          <w:p w14:paraId="6F345083" w14:textId="77777777" w:rsidR="00807BE0" w:rsidRPr="00807BE0" w:rsidRDefault="00807BE0" w:rsidP="00807BE0">
            <w:r w:rsidRPr="00807BE0">
              <w:rPr>
                <w:b/>
                <w:bCs/>
              </w:rPr>
              <w:t>Нечести</w:t>
            </w:r>
          </w:p>
          <w:p w14:paraId="4501AF65" w14:textId="77777777" w:rsidR="00807BE0" w:rsidRPr="00807BE0" w:rsidRDefault="00807BE0" w:rsidP="00807BE0">
            <w:r w:rsidRPr="00807BE0">
              <w:t>(≥1/1000</w:t>
            </w:r>
          </w:p>
          <w:p w14:paraId="1CE7700A" w14:textId="6CB28EA1" w:rsidR="00807BE0" w:rsidRPr="00807BE0" w:rsidRDefault="00807BE0" w:rsidP="00807BE0">
            <w:r w:rsidRPr="00807BE0">
              <w:t>до &lt;1/100)</w:t>
            </w:r>
          </w:p>
        </w:tc>
        <w:tc>
          <w:tcPr>
            <w:tcW w:w="1268" w:type="dxa"/>
          </w:tcPr>
          <w:p w14:paraId="1916A7A2" w14:textId="77777777" w:rsidR="00807BE0" w:rsidRPr="00807BE0" w:rsidRDefault="00807BE0" w:rsidP="00807BE0">
            <w:r w:rsidRPr="00807BE0">
              <w:rPr>
                <w:b/>
                <w:bCs/>
              </w:rPr>
              <w:t>Редки</w:t>
            </w:r>
          </w:p>
          <w:p w14:paraId="1529B01F" w14:textId="77777777" w:rsidR="00807BE0" w:rsidRPr="00807BE0" w:rsidRDefault="00807BE0" w:rsidP="00807BE0">
            <w:r w:rsidRPr="00807BE0">
              <w:t>(≥1/10000</w:t>
            </w:r>
          </w:p>
          <w:p w14:paraId="75C1F2B1" w14:textId="7B564690" w:rsidR="00807BE0" w:rsidRPr="00807BE0" w:rsidRDefault="00807BE0" w:rsidP="00807BE0">
            <w:r w:rsidRPr="00807BE0">
              <w:t>до &lt;1/1000)</w:t>
            </w:r>
          </w:p>
        </w:tc>
        <w:tc>
          <w:tcPr>
            <w:tcW w:w="983" w:type="dxa"/>
          </w:tcPr>
          <w:p w14:paraId="2C885FF2" w14:textId="37DDF015" w:rsidR="00807BE0" w:rsidRPr="00807BE0" w:rsidRDefault="00807BE0" w:rsidP="00807BE0">
            <w:r w:rsidRPr="00807BE0">
              <w:rPr>
                <w:b/>
                <w:bCs/>
              </w:rPr>
              <w:t xml:space="preserve">Много редки </w:t>
            </w:r>
            <w:r w:rsidRPr="00807BE0">
              <w:t>(&lt;1/10 000)</w:t>
            </w:r>
          </w:p>
        </w:tc>
        <w:tc>
          <w:tcPr>
            <w:tcW w:w="2072" w:type="dxa"/>
            <w:vAlign w:val="bottom"/>
          </w:tcPr>
          <w:p w14:paraId="58503383" w14:textId="77777777" w:rsidR="00807BE0" w:rsidRPr="00807BE0" w:rsidRDefault="00807BE0" w:rsidP="00807BE0">
            <w:r w:rsidRPr="00807BE0">
              <w:rPr>
                <w:b/>
                <w:bCs/>
              </w:rPr>
              <w:t>С неизвестна честота</w:t>
            </w:r>
          </w:p>
          <w:p w14:paraId="06D59345" w14:textId="17D51949" w:rsidR="00807BE0" w:rsidRPr="00807BE0" w:rsidRDefault="00807BE0" w:rsidP="00807BE0">
            <w:r w:rsidRPr="00807BE0">
              <w:t>(оценка на честотата не може да бъде направена от наличните данни)</w:t>
            </w:r>
          </w:p>
        </w:tc>
      </w:tr>
      <w:tr w:rsidR="00807BE0" w14:paraId="588C5627" w14:textId="77777777" w:rsidTr="00807BE0">
        <w:tc>
          <w:tcPr>
            <w:tcW w:w="9576" w:type="dxa"/>
            <w:gridSpan w:val="5"/>
          </w:tcPr>
          <w:p w14:paraId="2EFA6F4B" w14:textId="0737B69D" w:rsidR="00807BE0" w:rsidRPr="00807BE0" w:rsidRDefault="00807BE0" w:rsidP="00807BE0">
            <w:pPr>
              <w:rPr>
                <w:i/>
              </w:rPr>
            </w:pPr>
            <w:r w:rsidRPr="00807BE0">
              <w:rPr>
                <w:i/>
              </w:rPr>
              <w:t>Нарушения на кръвта и лимфната система</w:t>
            </w:r>
          </w:p>
        </w:tc>
      </w:tr>
      <w:tr w:rsidR="00807BE0" w14:paraId="29999B4F" w14:textId="77777777" w:rsidTr="00807BE0">
        <w:tc>
          <w:tcPr>
            <w:tcW w:w="4054" w:type="dxa"/>
          </w:tcPr>
          <w:p w14:paraId="1AD20211" w14:textId="77777777" w:rsidR="00807BE0" w:rsidRDefault="00807BE0" w:rsidP="002D3AD2"/>
        </w:tc>
        <w:tc>
          <w:tcPr>
            <w:tcW w:w="1199" w:type="dxa"/>
          </w:tcPr>
          <w:p w14:paraId="05A60F3C" w14:textId="77777777" w:rsidR="00807BE0" w:rsidRDefault="00807BE0" w:rsidP="002D3AD2"/>
        </w:tc>
        <w:tc>
          <w:tcPr>
            <w:tcW w:w="1268" w:type="dxa"/>
          </w:tcPr>
          <w:p w14:paraId="4EA32818" w14:textId="77777777" w:rsidR="00807BE0" w:rsidRDefault="00807BE0" w:rsidP="002D3AD2"/>
        </w:tc>
        <w:tc>
          <w:tcPr>
            <w:tcW w:w="983" w:type="dxa"/>
          </w:tcPr>
          <w:p w14:paraId="6445FC81" w14:textId="77777777" w:rsidR="00807BE0" w:rsidRDefault="00807BE0" w:rsidP="002D3AD2"/>
        </w:tc>
        <w:tc>
          <w:tcPr>
            <w:tcW w:w="2072" w:type="dxa"/>
          </w:tcPr>
          <w:p w14:paraId="6BF4CE42" w14:textId="6FC927AF" w:rsidR="00807BE0" w:rsidRPr="00807BE0" w:rsidRDefault="00807BE0" w:rsidP="00807BE0">
            <w:pPr>
              <w:rPr>
                <w:sz w:val="24"/>
                <w:szCs w:val="24"/>
              </w:rPr>
            </w:pPr>
            <w:r w:rsidRPr="00807BE0">
              <w:rPr>
                <w:lang w:eastAsia="bg-BG"/>
              </w:rPr>
              <w:t>Тромбоцитопения</w:t>
            </w:r>
          </w:p>
        </w:tc>
      </w:tr>
      <w:tr w:rsidR="00807BE0" w14:paraId="38029A15" w14:textId="77777777" w:rsidTr="00807BE0">
        <w:tc>
          <w:tcPr>
            <w:tcW w:w="9576" w:type="dxa"/>
            <w:gridSpan w:val="5"/>
          </w:tcPr>
          <w:p w14:paraId="00B84383" w14:textId="56928846" w:rsidR="00807BE0" w:rsidRPr="00807BE0" w:rsidRDefault="00807BE0" w:rsidP="00807BE0">
            <w:pPr>
              <w:rPr>
                <w:i/>
              </w:rPr>
            </w:pPr>
            <w:r w:rsidRPr="00807BE0">
              <w:rPr>
                <w:i/>
              </w:rPr>
              <w:t>Нарушения на метаболизма и храненето</w:t>
            </w:r>
          </w:p>
        </w:tc>
      </w:tr>
      <w:tr w:rsidR="00807BE0" w14:paraId="5365384B" w14:textId="77777777" w:rsidTr="00807BE0">
        <w:tc>
          <w:tcPr>
            <w:tcW w:w="4054" w:type="dxa"/>
          </w:tcPr>
          <w:p w14:paraId="56DDF8E3" w14:textId="66F982CA" w:rsidR="00807BE0" w:rsidRPr="00807BE0" w:rsidRDefault="00807BE0" w:rsidP="00807BE0">
            <w:pPr>
              <w:rPr>
                <w:sz w:val="24"/>
                <w:szCs w:val="24"/>
              </w:rPr>
            </w:pPr>
            <w:r w:rsidRPr="00807BE0">
              <w:rPr>
                <w:lang w:eastAsia="bg-BG"/>
              </w:rPr>
              <w:lastRenderedPageBreak/>
              <w:t>Повишени нива на креатинфосфокиназ</w:t>
            </w:r>
            <w:r>
              <w:rPr>
                <w:lang w:eastAsia="bg-BG"/>
              </w:rPr>
              <w:t>ат</w:t>
            </w:r>
            <w:r w:rsidRPr="00807BE0">
              <w:rPr>
                <w:lang w:eastAsia="bg-BG"/>
              </w:rPr>
              <w:t>а</w:t>
            </w:r>
          </w:p>
        </w:tc>
        <w:tc>
          <w:tcPr>
            <w:tcW w:w="1199" w:type="dxa"/>
          </w:tcPr>
          <w:p w14:paraId="1CA1F8EE" w14:textId="77777777" w:rsidR="00807BE0" w:rsidRDefault="00807BE0" w:rsidP="002D3AD2"/>
        </w:tc>
        <w:tc>
          <w:tcPr>
            <w:tcW w:w="1268" w:type="dxa"/>
          </w:tcPr>
          <w:p w14:paraId="0CD77B7C" w14:textId="77777777" w:rsidR="00807BE0" w:rsidRDefault="00807BE0" w:rsidP="002D3AD2"/>
        </w:tc>
        <w:tc>
          <w:tcPr>
            <w:tcW w:w="983" w:type="dxa"/>
          </w:tcPr>
          <w:p w14:paraId="41A9004A" w14:textId="77777777" w:rsidR="00807BE0" w:rsidRDefault="00807BE0" w:rsidP="002D3AD2"/>
        </w:tc>
        <w:tc>
          <w:tcPr>
            <w:tcW w:w="2072" w:type="dxa"/>
          </w:tcPr>
          <w:p w14:paraId="0B7CF239" w14:textId="77777777" w:rsidR="00807BE0" w:rsidRDefault="00807BE0" w:rsidP="002D3AD2"/>
        </w:tc>
      </w:tr>
      <w:tr w:rsidR="00807BE0" w14:paraId="37A4FE57" w14:textId="77777777" w:rsidTr="00807BE0">
        <w:tc>
          <w:tcPr>
            <w:tcW w:w="9576" w:type="dxa"/>
            <w:gridSpan w:val="5"/>
          </w:tcPr>
          <w:p w14:paraId="6858F467" w14:textId="3379FB87" w:rsidR="00807BE0" w:rsidRPr="00807BE0" w:rsidRDefault="00807BE0" w:rsidP="00807BE0">
            <w:pPr>
              <w:rPr>
                <w:i/>
              </w:rPr>
            </w:pPr>
            <w:r w:rsidRPr="00807BE0">
              <w:rPr>
                <w:i/>
              </w:rPr>
              <w:t>Нарушения на нервната система</w:t>
            </w:r>
          </w:p>
        </w:tc>
      </w:tr>
      <w:tr w:rsidR="00807BE0" w14:paraId="1578F6E9" w14:textId="77777777" w:rsidTr="00807BE0">
        <w:tc>
          <w:tcPr>
            <w:tcW w:w="4054" w:type="dxa"/>
          </w:tcPr>
          <w:p w14:paraId="4FBE3129" w14:textId="77777777" w:rsidR="00807BE0" w:rsidRDefault="00807BE0" w:rsidP="002D3AD2"/>
        </w:tc>
        <w:tc>
          <w:tcPr>
            <w:tcW w:w="1199" w:type="dxa"/>
          </w:tcPr>
          <w:p w14:paraId="4E70DEC4" w14:textId="7B62A961" w:rsidR="00807BE0" w:rsidRPr="00807BE0" w:rsidRDefault="00807BE0" w:rsidP="00807BE0">
            <w:pPr>
              <w:rPr>
                <w:sz w:val="24"/>
                <w:szCs w:val="24"/>
              </w:rPr>
            </w:pPr>
            <w:r w:rsidRPr="00807BE0">
              <w:rPr>
                <w:lang w:eastAsia="bg-BG"/>
              </w:rPr>
              <w:t>Вертиго</w:t>
            </w:r>
          </w:p>
        </w:tc>
        <w:tc>
          <w:tcPr>
            <w:tcW w:w="1268" w:type="dxa"/>
          </w:tcPr>
          <w:p w14:paraId="5B1EDC1E" w14:textId="77777777" w:rsidR="00807BE0" w:rsidRDefault="00807BE0" w:rsidP="002D3AD2"/>
        </w:tc>
        <w:tc>
          <w:tcPr>
            <w:tcW w:w="983" w:type="dxa"/>
          </w:tcPr>
          <w:p w14:paraId="49EF5FB6" w14:textId="77777777" w:rsidR="00807BE0" w:rsidRDefault="00807BE0" w:rsidP="002D3AD2"/>
        </w:tc>
        <w:tc>
          <w:tcPr>
            <w:tcW w:w="2072" w:type="dxa"/>
          </w:tcPr>
          <w:p w14:paraId="7F37A9C5" w14:textId="77777777" w:rsidR="00807BE0" w:rsidRDefault="00807BE0" w:rsidP="002D3AD2"/>
        </w:tc>
      </w:tr>
      <w:tr w:rsidR="00807BE0" w14:paraId="2348A128" w14:textId="77777777" w:rsidTr="00807BE0">
        <w:tc>
          <w:tcPr>
            <w:tcW w:w="9576" w:type="dxa"/>
            <w:gridSpan w:val="5"/>
          </w:tcPr>
          <w:p w14:paraId="78F327BE" w14:textId="26E0B2DE" w:rsidR="00807BE0" w:rsidRPr="00807BE0" w:rsidRDefault="00807BE0" w:rsidP="00807BE0">
            <w:pPr>
              <w:rPr>
                <w:i/>
              </w:rPr>
            </w:pPr>
            <w:r w:rsidRPr="00807BE0">
              <w:rPr>
                <w:i/>
                <w:lang w:eastAsia="bg-BG"/>
              </w:rPr>
              <w:t>Сърдечни нарушения</w:t>
            </w:r>
          </w:p>
        </w:tc>
      </w:tr>
      <w:tr w:rsidR="00807BE0" w14:paraId="07F5F165" w14:textId="77777777" w:rsidTr="00807BE0">
        <w:tc>
          <w:tcPr>
            <w:tcW w:w="4054" w:type="dxa"/>
          </w:tcPr>
          <w:p w14:paraId="345B3C32" w14:textId="77777777" w:rsidR="00807BE0" w:rsidRDefault="00807BE0" w:rsidP="00807BE0"/>
        </w:tc>
        <w:tc>
          <w:tcPr>
            <w:tcW w:w="1199" w:type="dxa"/>
            <w:vAlign w:val="bottom"/>
          </w:tcPr>
          <w:p w14:paraId="2B211AA3" w14:textId="52EF44F9" w:rsidR="00807BE0" w:rsidRDefault="00807BE0" w:rsidP="00807BE0">
            <w:r>
              <w:t>Ангина пекторис</w:t>
            </w:r>
          </w:p>
        </w:tc>
        <w:tc>
          <w:tcPr>
            <w:tcW w:w="1268" w:type="dxa"/>
          </w:tcPr>
          <w:p w14:paraId="3007BC34" w14:textId="77777777" w:rsidR="00807BE0" w:rsidRDefault="00807BE0" w:rsidP="00807BE0"/>
        </w:tc>
        <w:tc>
          <w:tcPr>
            <w:tcW w:w="983" w:type="dxa"/>
          </w:tcPr>
          <w:p w14:paraId="33CBDA54" w14:textId="77777777" w:rsidR="00807BE0" w:rsidRDefault="00807BE0" w:rsidP="00807BE0"/>
        </w:tc>
        <w:tc>
          <w:tcPr>
            <w:tcW w:w="2072" w:type="dxa"/>
          </w:tcPr>
          <w:p w14:paraId="2E838E46" w14:textId="77777777" w:rsidR="00807BE0" w:rsidRDefault="00807BE0" w:rsidP="00807BE0"/>
        </w:tc>
      </w:tr>
      <w:tr w:rsidR="00807BE0" w14:paraId="5E02D5C0" w14:textId="77777777" w:rsidTr="00807BE0">
        <w:tc>
          <w:tcPr>
            <w:tcW w:w="9576" w:type="dxa"/>
            <w:gridSpan w:val="5"/>
          </w:tcPr>
          <w:p w14:paraId="2FDD75F4" w14:textId="60BC3DB2" w:rsidR="00807BE0" w:rsidRPr="00807BE0" w:rsidRDefault="00807BE0" w:rsidP="00807BE0">
            <w:pPr>
              <w:rPr>
                <w:i/>
              </w:rPr>
            </w:pPr>
            <w:r w:rsidRPr="00807BE0">
              <w:rPr>
                <w:i/>
                <w:lang w:eastAsia="bg-BG"/>
              </w:rPr>
              <w:t>Респираторни, гръдни и медиастинални нарушения</w:t>
            </w:r>
          </w:p>
        </w:tc>
      </w:tr>
      <w:tr w:rsidR="00807BE0" w14:paraId="03621E40" w14:textId="77777777" w:rsidTr="00807BE0">
        <w:tc>
          <w:tcPr>
            <w:tcW w:w="4054" w:type="dxa"/>
          </w:tcPr>
          <w:p w14:paraId="5BA8ED35" w14:textId="77777777" w:rsidR="00807BE0" w:rsidRDefault="00807BE0" w:rsidP="00807BE0">
            <w:pPr>
              <w:rPr>
                <w:lang w:eastAsia="bg-BG"/>
              </w:rPr>
            </w:pPr>
            <w:r w:rsidRPr="00807BE0">
              <w:rPr>
                <w:lang w:eastAsia="bg-BG"/>
              </w:rPr>
              <w:t xml:space="preserve">Бронхит </w:t>
            </w:r>
          </w:p>
          <w:p w14:paraId="0A4413EB" w14:textId="77777777" w:rsidR="00807BE0" w:rsidRDefault="00807BE0" w:rsidP="00807BE0">
            <w:pPr>
              <w:rPr>
                <w:lang w:eastAsia="bg-BG"/>
              </w:rPr>
            </w:pPr>
            <w:r w:rsidRPr="00807BE0">
              <w:rPr>
                <w:lang w:eastAsia="bg-BG"/>
              </w:rPr>
              <w:t xml:space="preserve">Фарингит </w:t>
            </w:r>
          </w:p>
          <w:p w14:paraId="2DCF04DD" w14:textId="7AA0EA29" w:rsidR="00807BE0" w:rsidRPr="00807BE0" w:rsidRDefault="00807BE0" w:rsidP="00807BE0">
            <w:pPr>
              <w:rPr>
                <w:sz w:val="24"/>
                <w:szCs w:val="24"/>
              </w:rPr>
            </w:pPr>
            <w:r w:rsidRPr="00807BE0">
              <w:rPr>
                <w:lang w:eastAsia="bg-BG"/>
              </w:rPr>
              <w:t>Ринит</w:t>
            </w:r>
          </w:p>
        </w:tc>
        <w:tc>
          <w:tcPr>
            <w:tcW w:w="1199" w:type="dxa"/>
          </w:tcPr>
          <w:p w14:paraId="79FA4B27" w14:textId="77777777" w:rsidR="00807BE0" w:rsidRDefault="00807BE0" w:rsidP="002D3AD2"/>
        </w:tc>
        <w:tc>
          <w:tcPr>
            <w:tcW w:w="1268" w:type="dxa"/>
          </w:tcPr>
          <w:p w14:paraId="12221234" w14:textId="77777777" w:rsidR="00807BE0" w:rsidRDefault="00807BE0" w:rsidP="002D3AD2"/>
        </w:tc>
        <w:tc>
          <w:tcPr>
            <w:tcW w:w="983" w:type="dxa"/>
          </w:tcPr>
          <w:p w14:paraId="40211242" w14:textId="77777777" w:rsidR="00807BE0" w:rsidRDefault="00807BE0" w:rsidP="002D3AD2"/>
        </w:tc>
        <w:tc>
          <w:tcPr>
            <w:tcW w:w="2072" w:type="dxa"/>
          </w:tcPr>
          <w:p w14:paraId="4FC63EC0" w14:textId="77777777" w:rsidR="00807BE0" w:rsidRDefault="00807BE0" w:rsidP="002D3AD2"/>
        </w:tc>
      </w:tr>
      <w:tr w:rsidR="00807BE0" w14:paraId="7C74D4DA" w14:textId="77777777" w:rsidTr="00807BE0">
        <w:tc>
          <w:tcPr>
            <w:tcW w:w="9576" w:type="dxa"/>
            <w:gridSpan w:val="5"/>
          </w:tcPr>
          <w:p w14:paraId="3F5008F7" w14:textId="4BBBF625" w:rsidR="00807BE0" w:rsidRPr="00807BE0" w:rsidRDefault="00807BE0" w:rsidP="00807BE0">
            <w:pPr>
              <w:rPr>
                <w:i/>
              </w:rPr>
            </w:pPr>
            <w:r w:rsidRPr="00807BE0">
              <w:rPr>
                <w:i/>
              </w:rPr>
              <w:t>Стомашно-чревни нарушения</w:t>
            </w:r>
          </w:p>
        </w:tc>
      </w:tr>
      <w:tr w:rsidR="00807BE0" w14:paraId="5265C1C0" w14:textId="77777777" w:rsidTr="00807BE0">
        <w:tc>
          <w:tcPr>
            <w:tcW w:w="4054" w:type="dxa"/>
          </w:tcPr>
          <w:p w14:paraId="09093FB4" w14:textId="77777777" w:rsidR="00807BE0" w:rsidRPr="00807BE0" w:rsidRDefault="00807BE0" w:rsidP="00807BE0">
            <w:pPr>
              <w:rPr>
                <w:sz w:val="24"/>
                <w:szCs w:val="24"/>
              </w:rPr>
            </w:pPr>
            <w:r w:rsidRPr="00807BE0">
              <w:rPr>
                <w:lang w:eastAsia="bg-BG"/>
              </w:rPr>
              <w:t>Диспепсия</w:t>
            </w:r>
          </w:p>
          <w:p w14:paraId="2916A955" w14:textId="36D25903" w:rsidR="00807BE0" w:rsidRPr="00807BE0" w:rsidRDefault="00807BE0" w:rsidP="00807BE0">
            <w:pPr>
              <w:rPr>
                <w:sz w:val="24"/>
                <w:szCs w:val="24"/>
              </w:rPr>
            </w:pPr>
            <w:r w:rsidRPr="00807BE0">
              <w:rPr>
                <w:lang w:eastAsia="bg-BG"/>
              </w:rPr>
              <w:t>Гастроентерит</w:t>
            </w:r>
          </w:p>
        </w:tc>
        <w:tc>
          <w:tcPr>
            <w:tcW w:w="1199" w:type="dxa"/>
          </w:tcPr>
          <w:p w14:paraId="656AD85A" w14:textId="77777777" w:rsidR="00807BE0" w:rsidRDefault="00807BE0" w:rsidP="002D3AD2"/>
        </w:tc>
        <w:tc>
          <w:tcPr>
            <w:tcW w:w="1268" w:type="dxa"/>
          </w:tcPr>
          <w:p w14:paraId="4EFAD08F" w14:textId="77777777" w:rsidR="00807BE0" w:rsidRDefault="00807BE0" w:rsidP="002D3AD2"/>
        </w:tc>
        <w:tc>
          <w:tcPr>
            <w:tcW w:w="983" w:type="dxa"/>
          </w:tcPr>
          <w:p w14:paraId="071FCBF4" w14:textId="77777777" w:rsidR="00807BE0" w:rsidRDefault="00807BE0" w:rsidP="002D3AD2"/>
        </w:tc>
        <w:tc>
          <w:tcPr>
            <w:tcW w:w="2072" w:type="dxa"/>
          </w:tcPr>
          <w:p w14:paraId="69E0067C" w14:textId="77777777" w:rsidR="00807BE0" w:rsidRDefault="00807BE0" w:rsidP="002D3AD2"/>
        </w:tc>
      </w:tr>
      <w:tr w:rsidR="00807BE0" w14:paraId="39081668" w14:textId="77777777" w:rsidTr="00807BE0">
        <w:tc>
          <w:tcPr>
            <w:tcW w:w="9576" w:type="dxa"/>
            <w:gridSpan w:val="5"/>
          </w:tcPr>
          <w:p w14:paraId="2E777D21" w14:textId="41D3CD53" w:rsidR="00807BE0" w:rsidRPr="00807BE0" w:rsidRDefault="00807BE0" w:rsidP="00807BE0">
            <w:pPr>
              <w:rPr>
                <w:i/>
                <w:sz w:val="24"/>
                <w:szCs w:val="24"/>
              </w:rPr>
            </w:pPr>
            <w:r w:rsidRPr="00807BE0">
              <w:rPr>
                <w:i/>
                <w:lang w:eastAsia="bg-BG"/>
              </w:rPr>
              <w:t>Нарушения на кожата и подкожните тъкани</w:t>
            </w:r>
          </w:p>
        </w:tc>
      </w:tr>
      <w:tr w:rsidR="00807BE0" w14:paraId="17C7B23E" w14:textId="77777777" w:rsidTr="00807BE0">
        <w:tc>
          <w:tcPr>
            <w:tcW w:w="4054" w:type="dxa"/>
          </w:tcPr>
          <w:p w14:paraId="06506F33" w14:textId="77777777" w:rsidR="00807BE0" w:rsidRDefault="00807BE0" w:rsidP="002D3AD2"/>
        </w:tc>
        <w:tc>
          <w:tcPr>
            <w:tcW w:w="1199" w:type="dxa"/>
          </w:tcPr>
          <w:p w14:paraId="56C69BB7" w14:textId="77777777" w:rsidR="00807BE0" w:rsidRDefault="00807BE0" w:rsidP="002D3AD2"/>
        </w:tc>
        <w:tc>
          <w:tcPr>
            <w:tcW w:w="1268" w:type="dxa"/>
          </w:tcPr>
          <w:p w14:paraId="1C50B16C" w14:textId="77777777" w:rsidR="00807BE0" w:rsidRDefault="00807BE0" w:rsidP="002D3AD2"/>
        </w:tc>
        <w:tc>
          <w:tcPr>
            <w:tcW w:w="983" w:type="dxa"/>
          </w:tcPr>
          <w:p w14:paraId="5EB32BF6" w14:textId="77777777" w:rsidR="00807BE0" w:rsidRDefault="00807BE0" w:rsidP="002D3AD2"/>
        </w:tc>
        <w:tc>
          <w:tcPr>
            <w:tcW w:w="2072" w:type="dxa"/>
          </w:tcPr>
          <w:p w14:paraId="1AAA7142" w14:textId="6C2BECA0" w:rsidR="00807BE0" w:rsidRDefault="00807BE0" w:rsidP="00807BE0">
            <w:r>
              <w:t>Пруритус Екзантем Алергични състояния, като алергичен дерматит и оток на лицето</w:t>
            </w:r>
          </w:p>
        </w:tc>
      </w:tr>
      <w:tr w:rsidR="00807BE0" w14:paraId="0B1E73FF" w14:textId="77777777" w:rsidTr="00807BE0">
        <w:tc>
          <w:tcPr>
            <w:tcW w:w="9576" w:type="dxa"/>
            <w:gridSpan w:val="5"/>
          </w:tcPr>
          <w:p w14:paraId="424C7B2E" w14:textId="6F5DC1E5" w:rsidR="00807BE0" w:rsidRPr="00807BE0" w:rsidRDefault="00807BE0" w:rsidP="00807BE0">
            <w:pPr>
              <w:rPr>
                <w:i/>
              </w:rPr>
            </w:pPr>
            <w:r w:rsidRPr="00807BE0">
              <w:rPr>
                <w:i/>
              </w:rPr>
              <w:t>Нарушения на мускулно-скелетната система и съединителната тъкан</w:t>
            </w:r>
          </w:p>
        </w:tc>
      </w:tr>
      <w:tr w:rsidR="00807BE0" w14:paraId="1A07D84D" w14:textId="77777777" w:rsidTr="00807BE0">
        <w:tc>
          <w:tcPr>
            <w:tcW w:w="4054" w:type="dxa"/>
          </w:tcPr>
          <w:p w14:paraId="3BF05E33" w14:textId="77777777" w:rsidR="00807BE0" w:rsidRDefault="00807BE0" w:rsidP="00807BE0">
            <w:pPr>
              <w:rPr>
                <w:lang w:eastAsia="bg-BG"/>
              </w:rPr>
            </w:pPr>
            <w:r w:rsidRPr="00807BE0">
              <w:rPr>
                <w:lang w:eastAsia="bg-BG"/>
              </w:rPr>
              <w:t xml:space="preserve">Артрит </w:t>
            </w:r>
          </w:p>
          <w:p w14:paraId="21B14F39" w14:textId="77777777" w:rsidR="00807BE0" w:rsidRDefault="00807BE0" w:rsidP="00807BE0">
            <w:pPr>
              <w:rPr>
                <w:lang w:eastAsia="bg-BG"/>
              </w:rPr>
            </w:pPr>
            <w:r w:rsidRPr="00807BE0">
              <w:rPr>
                <w:lang w:eastAsia="bg-BG"/>
              </w:rPr>
              <w:t xml:space="preserve">Болка в гърба </w:t>
            </w:r>
          </w:p>
          <w:p w14:paraId="2A54C0C6" w14:textId="0F5A9921" w:rsidR="00807BE0" w:rsidRPr="00807BE0" w:rsidRDefault="00807BE0" w:rsidP="00807BE0">
            <w:pPr>
              <w:rPr>
                <w:sz w:val="24"/>
                <w:szCs w:val="24"/>
              </w:rPr>
            </w:pPr>
            <w:r w:rsidRPr="00807BE0">
              <w:rPr>
                <w:lang w:eastAsia="bg-BG"/>
              </w:rPr>
              <w:t>Скелетна болка</w:t>
            </w:r>
          </w:p>
        </w:tc>
        <w:tc>
          <w:tcPr>
            <w:tcW w:w="1199" w:type="dxa"/>
          </w:tcPr>
          <w:p w14:paraId="10743C2E" w14:textId="77777777" w:rsidR="00807BE0" w:rsidRDefault="00807BE0" w:rsidP="002D3AD2"/>
        </w:tc>
        <w:tc>
          <w:tcPr>
            <w:tcW w:w="1268" w:type="dxa"/>
          </w:tcPr>
          <w:p w14:paraId="563578CA" w14:textId="77777777" w:rsidR="00807BE0" w:rsidRDefault="00807BE0" w:rsidP="002D3AD2"/>
        </w:tc>
        <w:tc>
          <w:tcPr>
            <w:tcW w:w="983" w:type="dxa"/>
          </w:tcPr>
          <w:p w14:paraId="5C67D38B" w14:textId="77777777" w:rsidR="00807BE0" w:rsidRDefault="00807BE0" w:rsidP="002D3AD2"/>
        </w:tc>
        <w:tc>
          <w:tcPr>
            <w:tcW w:w="2072" w:type="dxa"/>
          </w:tcPr>
          <w:p w14:paraId="162B667F" w14:textId="77777777" w:rsidR="00807BE0" w:rsidRDefault="00807BE0" w:rsidP="002D3AD2"/>
        </w:tc>
      </w:tr>
      <w:tr w:rsidR="00807BE0" w14:paraId="20DC46B9" w14:textId="77777777" w:rsidTr="00807BE0">
        <w:tc>
          <w:tcPr>
            <w:tcW w:w="9576" w:type="dxa"/>
            <w:gridSpan w:val="5"/>
          </w:tcPr>
          <w:p w14:paraId="02A22118" w14:textId="6F32A910" w:rsidR="00807BE0" w:rsidRPr="00807BE0" w:rsidRDefault="00807BE0" w:rsidP="00807BE0">
            <w:pPr>
              <w:rPr>
                <w:i/>
              </w:rPr>
            </w:pPr>
            <w:r w:rsidRPr="00807BE0">
              <w:rPr>
                <w:i/>
                <w:lang w:eastAsia="bg-BG"/>
              </w:rPr>
              <w:t>Нарушения на бъбреците и пикочните пътища</w:t>
            </w:r>
          </w:p>
        </w:tc>
      </w:tr>
      <w:tr w:rsidR="00807BE0" w14:paraId="50FE4F50" w14:textId="77777777" w:rsidTr="00807BE0">
        <w:tc>
          <w:tcPr>
            <w:tcW w:w="4054" w:type="dxa"/>
            <w:vAlign w:val="bottom"/>
          </w:tcPr>
          <w:p w14:paraId="63D69792" w14:textId="77777777" w:rsidR="00807BE0" w:rsidRDefault="00807BE0" w:rsidP="00807BE0">
            <w:r>
              <w:t>Хематурия</w:t>
            </w:r>
          </w:p>
          <w:p w14:paraId="3D91F91B" w14:textId="720A1A00" w:rsidR="00807BE0" w:rsidRDefault="00807BE0" w:rsidP="00807BE0">
            <w:r>
              <w:t>Инфекция на</w:t>
            </w:r>
            <w:r>
              <w:rPr>
                <w:lang w:val="en-US"/>
              </w:rPr>
              <w:t xml:space="preserve"> </w:t>
            </w:r>
            <w:r>
              <w:t>пикочните пътища</w:t>
            </w:r>
          </w:p>
        </w:tc>
        <w:tc>
          <w:tcPr>
            <w:tcW w:w="1199" w:type="dxa"/>
          </w:tcPr>
          <w:p w14:paraId="240E5FBF" w14:textId="77777777" w:rsidR="00807BE0" w:rsidRDefault="00807BE0" w:rsidP="00807BE0"/>
        </w:tc>
        <w:tc>
          <w:tcPr>
            <w:tcW w:w="1268" w:type="dxa"/>
          </w:tcPr>
          <w:p w14:paraId="567BDB2E" w14:textId="77777777" w:rsidR="00807BE0" w:rsidRDefault="00807BE0" w:rsidP="00807BE0"/>
        </w:tc>
        <w:tc>
          <w:tcPr>
            <w:tcW w:w="983" w:type="dxa"/>
          </w:tcPr>
          <w:p w14:paraId="689467C6" w14:textId="77777777" w:rsidR="00807BE0" w:rsidRDefault="00807BE0" w:rsidP="00807BE0"/>
        </w:tc>
        <w:tc>
          <w:tcPr>
            <w:tcW w:w="2072" w:type="dxa"/>
          </w:tcPr>
          <w:p w14:paraId="205DFEA2" w14:textId="67A97113" w:rsidR="00807BE0" w:rsidRDefault="00807BE0" w:rsidP="00807BE0">
            <w:r>
              <w:t>Бъбречна недостатъчност</w:t>
            </w:r>
          </w:p>
        </w:tc>
      </w:tr>
      <w:tr w:rsidR="00807BE0" w14:paraId="2CC5AF57" w14:textId="77777777" w:rsidTr="00807BE0">
        <w:tc>
          <w:tcPr>
            <w:tcW w:w="9576" w:type="dxa"/>
            <w:gridSpan w:val="5"/>
          </w:tcPr>
          <w:p w14:paraId="2CF7780F" w14:textId="08078111" w:rsidR="00807BE0" w:rsidRPr="00807BE0" w:rsidRDefault="00807BE0" w:rsidP="00807BE0">
            <w:pPr>
              <w:rPr>
                <w:i/>
              </w:rPr>
            </w:pPr>
            <w:r w:rsidRPr="00807BE0">
              <w:rPr>
                <w:i/>
                <w:lang w:eastAsia="bg-BG"/>
              </w:rPr>
              <w:t>Общи нарушения и ефекти на мястото на приложение</w:t>
            </w:r>
          </w:p>
        </w:tc>
      </w:tr>
      <w:tr w:rsidR="00807BE0" w14:paraId="1B13A81C" w14:textId="77777777" w:rsidTr="00807BE0">
        <w:tc>
          <w:tcPr>
            <w:tcW w:w="4054" w:type="dxa"/>
            <w:vAlign w:val="bottom"/>
          </w:tcPr>
          <w:p w14:paraId="00DAFC9F" w14:textId="77777777" w:rsidR="00807BE0" w:rsidRDefault="00807BE0" w:rsidP="00807BE0">
            <w:r>
              <w:t xml:space="preserve">Болка в гърдите </w:t>
            </w:r>
          </w:p>
          <w:p w14:paraId="3D9211A8" w14:textId="77777777" w:rsidR="00807BE0" w:rsidRDefault="00807BE0" w:rsidP="00807BE0">
            <w:r>
              <w:t xml:space="preserve">Грипоподобни симптоми </w:t>
            </w:r>
          </w:p>
          <w:p w14:paraId="77BD5F19" w14:textId="77777777" w:rsidR="00807BE0" w:rsidRDefault="00807BE0" w:rsidP="00807BE0">
            <w:r>
              <w:t xml:space="preserve">Периферен оток </w:t>
            </w:r>
          </w:p>
          <w:p w14:paraId="36E478EB" w14:textId="27BC23FD" w:rsidR="00807BE0" w:rsidRDefault="00807BE0" w:rsidP="00807BE0">
            <w:r>
              <w:t>Болка</w:t>
            </w:r>
          </w:p>
        </w:tc>
        <w:tc>
          <w:tcPr>
            <w:tcW w:w="1199" w:type="dxa"/>
          </w:tcPr>
          <w:p w14:paraId="75FFA0D1" w14:textId="77777777" w:rsidR="00807BE0" w:rsidRDefault="00807BE0" w:rsidP="00807BE0"/>
        </w:tc>
        <w:tc>
          <w:tcPr>
            <w:tcW w:w="1268" w:type="dxa"/>
          </w:tcPr>
          <w:p w14:paraId="6AC95CC5" w14:textId="77777777" w:rsidR="00807BE0" w:rsidRDefault="00807BE0" w:rsidP="00807BE0"/>
        </w:tc>
        <w:tc>
          <w:tcPr>
            <w:tcW w:w="983" w:type="dxa"/>
          </w:tcPr>
          <w:p w14:paraId="49F8F2AB" w14:textId="77777777" w:rsidR="00807BE0" w:rsidRDefault="00807BE0" w:rsidP="00807BE0"/>
        </w:tc>
        <w:tc>
          <w:tcPr>
            <w:tcW w:w="2072" w:type="dxa"/>
          </w:tcPr>
          <w:p w14:paraId="6E8262C2" w14:textId="77B0C62A" w:rsidR="00807BE0" w:rsidRDefault="00807BE0" w:rsidP="00807BE0">
            <w:r>
              <w:t>Летаргия</w:t>
            </w:r>
          </w:p>
        </w:tc>
      </w:tr>
      <w:tr w:rsidR="00807BE0" w14:paraId="684D01A0" w14:textId="77777777" w:rsidTr="00807BE0">
        <w:tc>
          <w:tcPr>
            <w:tcW w:w="9576" w:type="dxa"/>
            <w:gridSpan w:val="5"/>
          </w:tcPr>
          <w:p w14:paraId="3A8A5789" w14:textId="0D879686" w:rsidR="00807BE0" w:rsidRPr="00807BE0" w:rsidRDefault="00807BE0" w:rsidP="00807BE0">
            <w:pPr>
              <w:rPr>
                <w:i/>
              </w:rPr>
            </w:pPr>
            <w:r w:rsidRPr="00807BE0">
              <w:rPr>
                <w:i/>
              </w:rPr>
              <w:t>Изследвания</w:t>
            </w:r>
          </w:p>
        </w:tc>
      </w:tr>
      <w:tr w:rsidR="00807BE0" w14:paraId="1A5727DF" w14:textId="77777777" w:rsidTr="00807BE0">
        <w:tc>
          <w:tcPr>
            <w:tcW w:w="4054" w:type="dxa"/>
          </w:tcPr>
          <w:p w14:paraId="6D4455AD" w14:textId="77777777" w:rsidR="00807BE0" w:rsidRDefault="00807BE0" w:rsidP="002D3AD2"/>
        </w:tc>
        <w:tc>
          <w:tcPr>
            <w:tcW w:w="1199" w:type="dxa"/>
          </w:tcPr>
          <w:p w14:paraId="7197C608" w14:textId="77777777" w:rsidR="00807BE0" w:rsidRDefault="00807BE0" w:rsidP="002D3AD2"/>
        </w:tc>
        <w:tc>
          <w:tcPr>
            <w:tcW w:w="1268" w:type="dxa"/>
          </w:tcPr>
          <w:p w14:paraId="6695083B" w14:textId="77777777" w:rsidR="00807BE0" w:rsidRDefault="00807BE0" w:rsidP="002D3AD2"/>
        </w:tc>
        <w:tc>
          <w:tcPr>
            <w:tcW w:w="983" w:type="dxa"/>
          </w:tcPr>
          <w:p w14:paraId="7E69ABDA" w14:textId="77777777" w:rsidR="00807BE0" w:rsidRDefault="00807BE0" w:rsidP="002D3AD2"/>
        </w:tc>
        <w:tc>
          <w:tcPr>
            <w:tcW w:w="2072" w:type="dxa"/>
          </w:tcPr>
          <w:p w14:paraId="62B196F4" w14:textId="77777777" w:rsidR="00807BE0" w:rsidRPr="00807BE0" w:rsidRDefault="00807BE0" w:rsidP="00807BE0">
            <w:pPr>
              <w:rPr>
                <w:sz w:val="24"/>
                <w:szCs w:val="24"/>
              </w:rPr>
            </w:pPr>
            <w:r w:rsidRPr="00807BE0">
              <w:rPr>
                <w:lang w:eastAsia="bg-BG"/>
              </w:rPr>
              <w:t>Повишени нива</w:t>
            </w:r>
          </w:p>
          <w:p w14:paraId="51F8EE53" w14:textId="77777777" w:rsidR="00807BE0" w:rsidRPr="00807BE0" w:rsidRDefault="00807BE0" w:rsidP="00807BE0">
            <w:pPr>
              <w:rPr>
                <w:sz w:val="24"/>
                <w:szCs w:val="24"/>
              </w:rPr>
            </w:pPr>
            <w:r w:rsidRPr="00807BE0">
              <w:rPr>
                <w:lang w:eastAsia="bg-BG"/>
              </w:rPr>
              <w:t>на чернодробните</w:t>
            </w:r>
          </w:p>
          <w:p w14:paraId="36F2C408" w14:textId="484B4DD1" w:rsidR="00807BE0" w:rsidRPr="00807BE0" w:rsidRDefault="00807BE0" w:rsidP="00807BE0">
            <w:pPr>
              <w:rPr>
                <w:sz w:val="24"/>
                <w:szCs w:val="24"/>
              </w:rPr>
            </w:pPr>
            <w:r w:rsidRPr="00807BE0">
              <w:rPr>
                <w:lang w:eastAsia="bg-BG"/>
              </w:rPr>
              <w:t>ензими</w:t>
            </w:r>
          </w:p>
        </w:tc>
      </w:tr>
    </w:tbl>
    <w:p w14:paraId="466A8B65" w14:textId="77777777" w:rsidR="00807BE0" w:rsidRDefault="00807BE0" w:rsidP="00807BE0">
      <w:pPr>
        <w:spacing w:line="240" w:lineRule="auto"/>
        <w:rPr>
          <w:rFonts w:ascii="Times New Roman" w:eastAsia="Times New Roman" w:hAnsi="Times New Roman" w:cs="Times New Roman"/>
          <w:color w:val="000000"/>
          <w:sz w:val="46"/>
          <w:szCs w:val="46"/>
          <w:lang w:eastAsia="bg-BG"/>
        </w:rPr>
      </w:pPr>
    </w:p>
    <w:p w14:paraId="11D01B1E" w14:textId="77AD177A" w:rsidR="00807BE0" w:rsidRPr="00807BE0" w:rsidRDefault="00807BE0" w:rsidP="00807BE0">
      <w:pPr>
        <w:rPr>
          <w:sz w:val="24"/>
          <w:szCs w:val="24"/>
        </w:rPr>
      </w:pPr>
      <w:r w:rsidRPr="00807BE0">
        <w:rPr>
          <w:lang w:eastAsia="bg-BG"/>
        </w:rPr>
        <w:t xml:space="preserve">Единични случаи на рабдомиолиза са съобщавани като временно свързани с приемана на ангиотензин </w:t>
      </w:r>
      <w:r w:rsidRPr="00807BE0">
        <w:rPr>
          <w:lang w:val="en-US"/>
        </w:rPr>
        <w:t>II</w:t>
      </w:r>
      <w:r w:rsidRPr="00807BE0">
        <w:rPr>
          <w:lang w:eastAsia="bg-BG"/>
        </w:rPr>
        <w:t>-рецепторни блокери. Въпреки това причинно-следствена връзка не е установена.</w:t>
      </w:r>
    </w:p>
    <w:p w14:paraId="2D77A802" w14:textId="00728713" w:rsidR="00807BE0" w:rsidRDefault="00807BE0" w:rsidP="002D3AD2"/>
    <w:p w14:paraId="646C1C23" w14:textId="77777777" w:rsidR="00807BE0" w:rsidRPr="00807BE0" w:rsidRDefault="00807BE0" w:rsidP="00807BE0">
      <w:pPr>
        <w:spacing w:line="240" w:lineRule="auto"/>
        <w:rPr>
          <w:rFonts w:eastAsia="Times New Roman" w:cs="Arial"/>
        </w:rPr>
      </w:pPr>
      <w:r w:rsidRPr="00807BE0">
        <w:rPr>
          <w:rFonts w:eastAsia="Times New Roman" w:cs="Arial"/>
          <w:color w:val="000000"/>
          <w:u w:val="single"/>
          <w:lang w:eastAsia="bg-BG"/>
        </w:rPr>
        <w:t>Хидрохлоротиазид</w:t>
      </w:r>
    </w:p>
    <w:p w14:paraId="22806407" w14:textId="77777777" w:rsidR="00807BE0" w:rsidRPr="00807BE0" w:rsidRDefault="00807BE0" w:rsidP="00807BE0">
      <w:pPr>
        <w:spacing w:line="240" w:lineRule="auto"/>
        <w:rPr>
          <w:rFonts w:eastAsia="Times New Roman" w:cs="Arial"/>
        </w:rPr>
      </w:pPr>
      <w:r w:rsidRPr="00807BE0">
        <w:rPr>
          <w:rFonts w:eastAsia="Times New Roman" w:cs="Arial"/>
          <w:color w:val="000000"/>
          <w:lang w:eastAsia="bg-BG"/>
        </w:rPr>
        <w:lastRenderedPageBreak/>
        <w:t>Хидрохлоротиазид може да доведе или да влоши хиповолемията, последвана от електролитен дисбаланс (вж. точка 4.4).</w:t>
      </w:r>
    </w:p>
    <w:p w14:paraId="4A7B1789" w14:textId="77777777" w:rsidR="00807BE0" w:rsidRPr="00807BE0" w:rsidRDefault="00807BE0" w:rsidP="00807BE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28A16F1" w14:textId="769EF071" w:rsidR="00807BE0" w:rsidRPr="00807BE0" w:rsidRDefault="00807BE0" w:rsidP="00807BE0">
      <w:pPr>
        <w:spacing w:line="240" w:lineRule="auto"/>
        <w:rPr>
          <w:rFonts w:eastAsia="Times New Roman" w:cs="Arial"/>
        </w:rPr>
      </w:pPr>
      <w:r w:rsidRPr="00807BE0">
        <w:rPr>
          <w:rFonts w:eastAsia="Times New Roman" w:cs="Arial"/>
          <w:color w:val="000000"/>
          <w:lang w:eastAsia="bg-BG"/>
        </w:rPr>
        <w:t>Допълнителните нежелани лекарствени реакции, докладвани при монотерапия с хидрохлоротиазид включват:</w:t>
      </w:r>
    </w:p>
    <w:p w14:paraId="44B48E29" w14:textId="49B7825C" w:rsidR="00807BE0" w:rsidRDefault="00807BE0" w:rsidP="002D3A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993"/>
        <w:gridCol w:w="2895"/>
        <w:gridCol w:w="1418"/>
        <w:gridCol w:w="1316"/>
      </w:tblGrid>
      <w:tr w:rsidR="00017225" w14:paraId="40C3F506" w14:textId="77777777" w:rsidTr="00017225">
        <w:tc>
          <w:tcPr>
            <w:tcW w:w="1770" w:type="dxa"/>
          </w:tcPr>
          <w:p w14:paraId="349D9AB1" w14:textId="78BA0EC2" w:rsidR="00807BE0" w:rsidRPr="00807BE0" w:rsidRDefault="00807BE0" w:rsidP="00807BE0">
            <w:r w:rsidRPr="00807BE0">
              <w:rPr>
                <w:b/>
                <w:bCs/>
              </w:rPr>
              <w:t xml:space="preserve">Чести </w:t>
            </w:r>
            <w:r w:rsidRPr="00807BE0">
              <w:t>(≥ 1/100 до &lt; 1/10)</w:t>
            </w:r>
          </w:p>
        </w:tc>
        <w:tc>
          <w:tcPr>
            <w:tcW w:w="2041" w:type="dxa"/>
          </w:tcPr>
          <w:p w14:paraId="14D52636" w14:textId="77777777" w:rsidR="00807BE0" w:rsidRPr="00807BE0" w:rsidRDefault="00807BE0" w:rsidP="00807BE0">
            <w:r w:rsidRPr="00807BE0">
              <w:rPr>
                <w:b/>
                <w:bCs/>
              </w:rPr>
              <w:t xml:space="preserve">Нечести </w:t>
            </w:r>
            <w:r w:rsidRPr="00807BE0">
              <w:t>(≥1/1000 до</w:t>
            </w:r>
          </w:p>
          <w:p w14:paraId="1D44354B" w14:textId="5027914D" w:rsidR="00807BE0" w:rsidRPr="00807BE0" w:rsidRDefault="00807BE0" w:rsidP="00807BE0">
            <w:r w:rsidRPr="00807BE0">
              <w:t>&lt; 1/100)</w:t>
            </w:r>
          </w:p>
        </w:tc>
        <w:tc>
          <w:tcPr>
            <w:tcW w:w="2968" w:type="dxa"/>
          </w:tcPr>
          <w:p w14:paraId="18FE0CD8" w14:textId="77777777" w:rsidR="00807BE0" w:rsidRPr="00807BE0" w:rsidRDefault="00807BE0" w:rsidP="00807BE0">
            <w:r w:rsidRPr="00807BE0">
              <w:rPr>
                <w:b/>
                <w:bCs/>
              </w:rPr>
              <w:t>Редки</w:t>
            </w:r>
          </w:p>
          <w:p w14:paraId="653F7416" w14:textId="77777777" w:rsidR="00807BE0" w:rsidRPr="00807BE0" w:rsidRDefault="00807BE0" w:rsidP="00807BE0">
            <w:r w:rsidRPr="00807BE0">
              <w:t>(≥1/10 000</w:t>
            </w:r>
          </w:p>
          <w:p w14:paraId="5CBD528A" w14:textId="4E5563FB" w:rsidR="00807BE0" w:rsidRPr="00807BE0" w:rsidRDefault="00807BE0" w:rsidP="00807BE0">
            <w:r w:rsidRPr="00807BE0">
              <w:t>до &lt; 1/1000)</w:t>
            </w:r>
          </w:p>
        </w:tc>
        <w:tc>
          <w:tcPr>
            <w:tcW w:w="1451" w:type="dxa"/>
          </w:tcPr>
          <w:p w14:paraId="66145F3B" w14:textId="3CE974EB" w:rsidR="00807BE0" w:rsidRPr="00807BE0" w:rsidRDefault="00807BE0" w:rsidP="00807BE0">
            <w:r w:rsidRPr="00807BE0">
              <w:rPr>
                <w:b/>
                <w:bCs/>
              </w:rPr>
              <w:t xml:space="preserve">Много редки </w:t>
            </w:r>
            <w:r w:rsidRPr="00807BE0">
              <w:t>(&lt; 1/10 000)</w:t>
            </w:r>
          </w:p>
        </w:tc>
        <w:tc>
          <w:tcPr>
            <w:tcW w:w="1346" w:type="dxa"/>
            <w:vAlign w:val="bottom"/>
          </w:tcPr>
          <w:p w14:paraId="633721F4" w14:textId="77777777" w:rsidR="00807BE0" w:rsidRPr="00807BE0" w:rsidRDefault="00807BE0" w:rsidP="00807BE0">
            <w:r w:rsidRPr="00807BE0">
              <w:rPr>
                <w:b/>
                <w:bCs/>
              </w:rPr>
              <w:t>с неизвестна честота</w:t>
            </w:r>
          </w:p>
          <w:p w14:paraId="3696583D" w14:textId="551E6B86" w:rsidR="00807BE0" w:rsidRPr="00807BE0" w:rsidRDefault="00807BE0" w:rsidP="00807BE0">
            <w:r w:rsidRPr="00807BE0">
              <w:t>(оценка на честотата не може да бъде направена от наличните данни)</w:t>
            </w:r>
          </w:p>
        </w:tc>
      </w:tr>
      <w:tr w:rsidR="00807BE0" w14:paraId="44C84C3D" w14:textId="77777777" w:rsidTr="00807BE0">
        <w:tc>
          <w:tcPr>
            <w:tcW w:w="9576" w:type="dxa"/>
            <w:gridSpan w:val="5"/>
          </w:tcPr>
          <w:p w14:paraId="423D4D39" w14:textId="3E0D3FFA" w:rsidR="00807BE0" w:rsidRPr="00807BE0" w:rsidRDefault="00807BE0" w:rsidP="00807BE0">
            <w:pPr>
              <w:rPr>
                <w:i/>
                <w:sz w:val="24"/>
                <w:szCs w:val="24"/>
              </w:rPr>
            </w:pPr>
            <w:r w:rsidRPr="00807BE0">
              <w:rPr>
                <w:i/>
                <w:lang w:eastAsia="bg-BG"/>
              </w:rPr>
              <w:t>Инфекции и инфестации</w:t>
            </w:r>
          </w:p>
        </w:tc>
      </w:tr>
      <w:tr w:rsidR="00017225" w14:paraId="2B02A0B1" w14:textId="77777777" w:rsidTr="00017225">
        <w:tc>
          <w:tcPr>
            <w:tcW w:w="1770" w:type="dxa"/>
          </w:tcPr>
          <w:p w14:paraId="4A191BBB" w14:textId="77777777" w:rsidR="00807BE0" w:rsidRDefault="00807BE0" w:rsidP="002D3AD2"/>
        </w:tc>
        <w:tc>
          <w:tcPr>
            <w:tcW w:w="2041" w:type="dxa"/>
          </w:tcPr>
          <w:p w14:paraId="4049B657" w14:textId="77777777" w:rsidR="00807BE0" w:rsidRDefault="00807BE0" w:rsidP="002D3AD2"/>
        </w:tc>
        <w:tc>
          <w:tcPr>
            <w:tcW w:w="2968" w:type="dxa"/>
          </w:tcPr>
          <w:p w14:paraId="66E5068A" w14:textId="4B04C123" w:rsidR="00807BE0" w:rsidRPr="00807BE0" w:rsidRDefault="00807BE0" w:rsidP="00807BE0">
            <w:pPr>
              <w:rPr>
                <w:sz w:val="24"/>
                <w:szCs w:val="24"/>
              </w:rPr>
            </w:pPr>
            <w:r w:rsidRPr="00807BE0">
              <w:rPr>
                <w:lang w:eastAsia="bg-BG"/>
              </w:rPr>
              <w:t>Сиалоаденит</w:t>
            </w:r>
          </w:p>
        </w:tc>
        <w:tc>
          <w:tcPr>
            <w:tcW w:w="1451" w:type="dxa"/>
          </w:tcPr>
          <w:p w14:paraId="7B38BB4A" w14:textId="77777777" w:rsidR="00807BE0" w:rsidRDefault="00807BE0" w:rsidP="002D3AD2"/>
        </w:tc>
        <w:tc>
          <w:tcPr>
            <w:tcW w:w="1346" w:type="dxa"/>
          </w:tcPr>
          <w:p w14:paraId="4A75F9F2" w14:textId="77777777" w:rsidR="00807BE0" w:rsidRDefault="00807BE0" w:rsidP="002D3AD2"/>
        </w:tc>
      </w:tr>
      <w:tr w:rsidR="00807BE0" w14:paraId="6DA8C9D2" w14:textId="77777777" w:rsidTr="00807BE0">
        <w:tc>
          <w:tcPr>
            <w:tcW w:w="9576" w:type="dxa"/>
            <w:gridSpan w:val="5"/>
          </w:tcPr>
          <w:p w14:paraId="6CFE2A47" w14:textId="2C9423CC" w:rsidR="00807BE0" w:rsidRPr="00807BE0" w:rsidRDefault="00807BE0" w:rsidP="00807BE0">
            <w:pPr>
              <w:rPr>
                <w:i/>
              </w:rPr>
            </w:pPr>
            <w:r w:rsidRPr="00807BE0">
              <w:rPr>
                <w:i/>
                <w:lang w:eastAsia="bg-BG"/>
              </w:rPr>
              <w:t>Нарушения на кръвта и лимфната система</w:t>
            </w:r>
          </w:p>
        </w:tc>
      </w:tr>
      <w:tr w:rsidR="00017225" w14:paraId="5984DEA0" w14:textId="77777777" w:rsidTr="00017225">
        <w:tc>
          <w:tcPr>
            <w:tcW w:w="1770" w:type="dxa"/>
          </w:tcPr>
          <w:p w14:paraId="7F536A02" w14:textId="77777777" w:rsidR="00807BE0" w:rsidRDefault="00807BE0" w:rsidP="002D3AD2"/>
        </w:tc>
        <w:tc>
          <w:tcPr>
            <w:tcW w:w="2041" w:type="dxa"/>
          </w:tcPr>
          <w:p w14:paraId="3E16BE25" w14:textId="77777777" w:rsidR="00807BE0" w:rsidRDefault="00807BE0" w:rsidP="002D3AD2"/>
        </w:tc>
        <w:tc>
          <w:tcPr>
            <w:tcW w:w="2968" w:type="dxa"/>
          </w:tcPr>
          <w:p w14:paraId="50ECB146" w14:textId="77777777" w:rsidR="00807BE0" w:rsidRPr="00807BE0" w:rsidRDefault="00807BE0" w:rsidP="00807BE0">
            <w:pPr>
              <w:rPr>
                <w:sz w:val="24"/>
                <w:szCs w:val="24"/>
              </w:rPr>
            </w:pPr>
            <w:r w:rsidRPr="00807BE0">
              <w:rPr>
                <w:lang w:eastAsia="bg-BG"/>
              </w:rPr>
              <w:t>Левкопения</w:t>
            </w:r>
          </w:p>
          <w:p w14:paraId="09896F2E" w14:textId="2359B0C9" w:rsidR="00807BE0" w:rsidRDefault="00807BE0" w:rsidP="00807BE0">
            <w:r w:rsidRPr="00807BE0">
              <w:rPr>
                <w:lang w:eastAsia="bg-BG"/>
              </w:rPr>
              <w:t>Неутропения/агранулоцитоза Тромбоцитопения Апластична анемия Хемолитична анемия Миелосупресия</w:t>
            </w:r>
          </w:p>
        </w:tc>
        <w:tc>
          <w:tcPr>
            <w:tcW w:w="1451" w:type="dxa"/>
          </w:tcPr>
          <w:p w14:paraId="787AF41A" w14:textId="77777777" w:rsidR="00807BE0" w:rsidRDefault="00807BE0" w:rsidP="002D3AD2"/>
        </w:tc>
        <w:tc>
          <w:tcPr>
            <w:tcW w:w="1346" w:type="dxa"/>
          </w:tcPr>
          <w:p w14:paraId="1FF372B9" w14:textId="77777777" w:rsidR="00807BE0" w:rsidRDefault="00807BE0" w:rsidP="002D3AD2"/>
        </w:tc>
      </w:tr>
      <w:tr w:rsidR="00807BE0" w14:paraId="284993A4" w14:textId="77777777" w:rsidTr="00807BE0">
        <w:tc>
          <w:tcPr>
            <w:tcW w:w="9576" w:type="dxa"/>
            <w:gridSpan w:val="5"/>
          </w:tcPr>
          <w:p w14:paraId="1F4EACD8" w14:textId="11E296CF" w:rsidR="00807BE0" w:rsidRPr="00807BE0" w:rsidRDefault="00807BE0" w:rsidP="00807BE0">
            <w:pPr>
              <w:rPr>
                <w:i/>
              </w:rPr>
            </w:pPr>
            <w:r w:rsidRPr="00807BE0">
              <w:rPr>
                <w:i/>
              </w:rPr>
              <w:t>Нарушения на метаболизма и храненето</w:t>
            </w:r>
          </w:p>
        </w:tc>
      </w:tr>
      <w:tr w:rsidR="00017225" w14:paraId="7F3990C3" w14:textId="77777777" w:rsidTr="00017225">
        <w:tc>
          <w:tcPr>
            <w:tcW w:w="1770" w:type="dxa"/>
          </w:tcPr>
          <w:p w14:paraId="29B1C4C2" w14:textId="37C634AE" w:rsidR="00807BE0" w:rsidRDefault="00807BE0" w:rsidP="00807BE0">
            <w:r>
              <w:t>Хипергликемия Глюкозурия Електролитен дисбаланс (вкл. хипонатриемия, хипохлоремия, хипокалиемия и хиперкалциемия</w:t>
            </w:r>
          </w:p>
        </w:tc>
        <w:tc>
          <w:tcPr>
            <w:tcW w:w="2041" w:type="dxa"/>
          </w:tcPr>
          <w:p w14:paraId="23D61993" w14:textId="49DFC224" w:rsidR="00807BE0" w:rsidRDefault="00807BE0" w:rsidP="00807BE0">
            <w:r>
              <w:t>Анорексия</w:t>
            </w:r>
          </w:p>
        </w:tc>
        <w:tc>
          <w:tcPr>
            <w:tcW w:w="2968" w:type="dxa"/>
          </w:tcPr>
          <w:p w14:paraId="679FE0BC" w14:textId="77777777" w:rsidR="00807BE0" w:rsidRDefault="00807BE0" w:rsidP="00807BE0"/>
        </w:tc>
        <w:tc>
          <w:tcPr>
            <w:tcW w:w="1451" w:type="dxa"/>
          </w:tcPr>
          <w:p w14:paraId="7B7D7F4F" w14:textId="77777777" w:rsidR="00807BE0" w:rsidRDefault="00807BE0" w:rsidP="00807BE0"/>
        </w:tc>
        <w:tc>
          <w:tcPr>
            <w:tcW w:w="1346" w:type="dxa"/>
          </w:tcPr>
          <w:p w14:paraId="1889F2F0" w14:textId="77777777" w:rsidR="00807BE0" w:rsidRDefault="00807BE0" w:rsidP="00807BE0"/>
        </w:tc>
      </w:tr>
      <w:tr w:rsidR="00807BE0" w14:paraId="2299538E" w14:textId="77777777" w:rsidTr="00807BE0">
        <w:tc>
          <w:tcPr>
            <w:tcW w:w="9576" w:type="dxa"/>
            <w:gridSpan w:val="5"/>
          </w:tcPr>
          <w:p w14:paraId="763677A8" w14:textId="7F2F62EE" w:rsidR="00807BE0" w:rsidRPr="00807BE0" w:rsidRDefault="00807BE0" w:rsidP="00807BE0">
            <w:pPr>
              <w:rPr>
                <w:i/>
              </w:rPr>
            </w:pPr>
            <w:r w:rsidRPr="00807BE0">
              <w:rPr>
                <w:i/>
                <w:lang w:eastAsia="bg-BG"/>
              </w:rPr>
              <w:t>Психични нарушения</w:t>
            </w:r>
          </w:p>
        </w:tc>
      </w:tr>
      <w:tr w:rsidR="00017225" w14:paraId="45506E87" w14:textId="77777777" w:rsidTr="00017225">
        <w:tc>
          <w:tcPr>
            <w:tcW w:w="1770" w:type="dxa"/>
          </w:tcPr>
          <w:p w14:paraId="6F273B3C" w14:textId="77777777" w:rsidR="00807BE0" w:rsidRDefault="00807BE0" w:rsidP="002D3AD2"/>
        </w:tc>
        <w:tc>
          <w:tcPr>
            <w:tcW w:w="2041" w:type="dxa"/>
          </w:tcPr>
          <w:p w14:paraId="61D42EA5" w14:textId="77777777" w:rsidR="00807BE0" w:rsidRPr="00807BE0" w:rsidRDefault="00807BE0" w:rsidP="00807BE0">
            <w:pPr>
              <w:rPr>
                <w:sz w:val="24"/>
                <w:szCs w:val="24"/>
              </w:rPr>
            </w:pPr>
            <w:r w:rsidRPr="00807BE0">
              <w:rPr>
                <w:lang w:eastAsia="bg-BG"/>
              </w:rPr>
              <w:t>Безпокойство</w:t>
            </w:r>
          </w:p>
          <w:p w14:paraId="4F186608" w14:textId="57AB3AF8" w:rsidR="00807BE0" w:rsidRPr="00807BE0" w:rsidRDefault="00807BE0" w:rsidP="00807BE0">
            <w:pPr>
              <w:rPr>
                <w:sz w:val="24"/>
                <w:szCs w:val="24"/>
              </w:rPr>
            </w:pPr>
            <w:r w:rsidRPr="00807BE0">
              <w:rPr>
                <w:lang w:eastAsia="bg-BG"/>
              </w:rPr>
              <w:t>Депресия Нарушени</w:t>
            </w:r>
            <w:r>
              <w:rPr>
                <w:lang w:eastAsia="bg-BG"/>
              </w:rPr>
              <w:t xml:space="preserve">я </w:t>
            </w:r>
            <w:r w:rsidRPr="00807BE0">
              <w:rPr>
                <w:lang w:eastAsia="bg-BG"/>
              </w:rPr>
              <w:t>на</w:t>
            </w:r>
            <w:r w:rsidRPr="00017225">
              <w:rPr>
                <w:sz w:val="24"/>
                <w:szCs w:val="24"/>
                <w:lang w:val="ru-RU"/>
              </w:rPr>
              <w:t xml:space="preserve"> </w:t>
            </w:r>
            <w:r w:rsidRPr="00807BE0">
              <w:rPr>
                <w:lang w:eastAsia="bg-BG"/>
              </w:rPr>
              <w:t>съня Апатия</w:t>
            </w:r>
          </w:p>
        </w:tc>
        <w:tc>
          <w:tcPr>
            <w:tcW w:w="2968" w:type="dxa"/>
          </w:tcPr>
          <w:p w14:paraId="760F16D9" w14:textId="77777777" w:rsidR="00807BE0" w:rsidRDefault="00807BE0" w:rsidP="002D3AD2"/>
        </w:tc>
        <w:tc>
          <w:tcPr>
            <w:tcW w:w="1451" w:type="dxa"/>
          </w:tcPr>
          <w:p w14:paraId="3BEC69C9" w14:textId="77777777" w:rsidR="00807BE0" w:rsidRDefault="00807BE0" w:rsidP="002D3AD2"/>
        </w:tc>
        <w:tc>
          <w:tcPr>
            <w:tcW w:w="1346" w:type="dxa"/>
          </w:tcPr>
          <w:p w14:paraId="77A30DAC" w14:textId="77777777" w:rsidR="00807BE0" w:rsidRDefault="00807BE0" w:rsidP="002D3AD2"/>
        </w:tc>
      </w:tr>
      <w:tr w:rsidR="00017225" w14:paraId="661B22E0" w14:textId="77777777" w:rsidTr="002E678C">
        <w:tc>
          <w:tcPr>
            <w:tcW w:w="9576" w:type="dxa"/>
            <w:gridSpan w:val="5"/>
          </w:tcPr>
          <w:p w14:paraId="6A0F401A" w14:textId="713EAC86" w:rsidR="00017225" w:rsidRPr="00017225" w:rsidRDefault="00017225" w:rsidP="00017225">
            <w:pPr>
              <w:rPr>
                <w:i/>
              </w:rPr>
            </w:pPr>
            <w:r w:rsidRPr="00017225">
              <w:rPr>
                <w:i/>
              </w:rPr>
              <w:t>Нарушения на нервната система</w:t>
            </w:r>
          </w:p>
        </w:tc>
      </w:tr>
      <w:tr w:rsidR="00017225" w14:paraId="056CCC6E" w14:textId="77777777" w:rsidTr="00017225">
        <w:tc>
          <w:tcPr>
            <w:tcW w:w="1770" w:type="dxa"/>
            <w:vAlign w:val="bottom"/>
          </w:tcPr>
          <w:p w14:paraId="3A15D33A" w14:textId="329EF69A" w:rsidR="00017225" w:rsidRDefault="00017225" w:rsidP="00017225">
            <w:r>
              <w:lastRenderedPageBreak/>
              <w:t>Световъртеж Състояния на обърканост</w:t>
            </w:r>
          </w:p>
        </w:tc>
        <w:tc>
          <w:tcPr>
            <w:tcW w:w="2041" w:type="dxa"/>
          </w:tcPr>
          <w:p w14:paraId="72552877" w14:textId="17674E8F" w:rsidR="00017225" w:rsidRDefault="00017225" w:rsidP="00017225">
            <w:r>
              <w:t>Загуба на апетит</w:t>
            </w:r>
          </w:p>
        </w:tc>
        <w:tc>
          <w:tcPr>
            <w:tcW w:w="2968" w:type="dxa"/>
          </w:tcPr>
          <w:p w14:paraId="47FE599C" w14:textId="713D8AE7" w:rsidR="00017225" w:rsidRDefault="00017225" w:rsidP="00017225">
            <w:r>
              <w:t>Парестезия Конвулсии</w:t>
            </w:r>
          </w:p>
        </w:tc>
        <w:tc>
          <w:tcPr>
            <w:tcW w:w="1451" w:type="dxa"/>
          </w:tcPr>
          <w:p w14:paraId="03C0A398" w14:textId="77777777" w:rsidR="00017225" w:rsidRDefault="00017225" w:rsidP="00017225"/>
        </w:tc>
        <w:tc>
          <w:tcPr>
            <w:tcW w:w="1346" w:type="dxa"/>
          </w:tcPr>
          <w:p w14:paraId="1050C39B" w14:textId="77777777" w:rsidR="00017225" w:rsidRDefault="00017225" w:rsidP="00017225"/>
        </w:tc>
      </w:tr>
      <w:tr w:rsidR="00017225" w14:paraId="06071FA2" w14:textId="77777777" w:rsidTr="002E678C">
        <w:tc>
          <w:tcPr>
            <w:tcW w:w="9576" w:type="dxa"/>
            <w:gridSpan w:val="5"/>
          </w:tcPr>
          <w:p w14:paraId="65EE678B" w14:textId="074A215F" w:rsidR="00017225" w:rsidRPr="00017225" w:rsidRDefault="00017225" w:rsidP="00017225">
            <w:pPr>
              <w:rPr>
                <w:i/>
              </w:rPr>
            </w:pPr>
            <w:r w:rsidRPr="00017225">
              <w:rPr>
                <w:i/>
              </w:rPr>
              <w:t>Нарушения на очите</w:t>
            </w:r>
          </w:p>
        </w:tc>
      </w:tr>
      <w:tr w:rsidR="00017225" w14:paraId="1B9A4E91" w14:textId="77777777" w:rsidTr="00017225">
        <w:tc>
          <w:tcPr>
            <w:tcW w:w="1770" w:type="dxa"/>
          </w:tcPr>
          <w:p w14:paraId="5A553F0D" w14:textId="77777777" w:rsidR="00807BE0" w:rsidRDefault="00807BE0" w:rsidP="002D3AD2"/>
        </w:tc>
        <w:tc>
          <w:tcPr>
            <w:tcW w:w="2041" w:type="dxa"/>
          </w:tcPr>
          <w:p w14:paraId="1360AE37" w14:textId="77777777" w:rsidR="00807BE0" w:rsidRDefault="00807BE0" w:rsidP="002D3AD2"/>
        </w:tc>
        <w:tc>
          <w:tcPr>
            <w:tcW w:w="2968" w:type="dxa"/>
          </w:tcPr>
          <w:p w14:paraId="1AE00C2B" w14:textId="77777777" w:rsidR="00017225" w:rsidRPr="00017225" w:rsidRDefault="00017225" w:rsidP="00017225">
            <w:pPr>
              <w:rPr>
                <w:sz w:val="24"/>
                <w:szCs w:val="24"/>
              </w:rPr>
            </w:pPr>
            <w:r w:rsidRPr="00017225">
              <w:rPr>
                <w:lang w:eastAsia="bg-BG"/>
              </w:rPr>
              <w:t>Ксантопсия</w:t>
            </w:r>
          </w:p>
          <w:p w14:paraId="203F946E" w14:textId="36D6D076" w:rsidR="00017225" w:rsidRPr="00017225" w:rsidRDefault="00017225" w:rsidP="00017225">
            <w:pPr>
              <w:rPr>
                <w:sz w:val="24"/>
                <w:szCs w:val="24"/>
              </w:rPr>
            </w:pPr>
            <w:r>
              <w:rPr>
                <w:lang w:eastAsia="bg-BG"/>
              </w:rPr>
              <w:t xml:space="preserve">Преходно </w:t>
            </w:r>
            <w:r w:rsidRPr="00017225">
              <w:rPr>
                <w:lang w:eastAsia="bg-BG"/>
              </w:rPr>
              <w:t>замъглено</w:t>
            </w:r>
          </w:p>
          <w:p w14:paraId="50614F30" w14:textId="77777777" w:rsidR="00017225" w:rsidRDefault="00017225" w:rsidP="00017225">
            <w:pPr>
              <w:rPr>
                <w:lang w:eastAsia="bg-BG"/>
              </w:rPr>
            </w:pPr>
            <w:r w:rsidRPr="00017225">
              <w:rPr>
                <w:lang w:eastAsia="bg-BG"/>
              </w:rPr>
              <w:t xml:space="preserve">виждане </w:t>
            </w:r>
          </w:p>
          <w:p w14:paraId="7F083B4F" w14:textId="6A0802D3" w:rsidR="00807BE0" w:rsidRDefault="00017225" w:rsidP="00017225">
            <w:r w:rsidRPr="00017225">
              <w:rPr>
                <w:lang w:eastAsia="bg-BG"/>
              </w:rPr>
              <w:t>Понижено слъзоотделяне</w:t>
            </w:r>
          </w:p>
        </w:tc>
        <w:tc>
          <w:tcPr>
            <w:tcW w:w="1451" w:type="dxa"/>
          </w:tcPr>
          <w:p w14:paraId="79D842E7" w14:textId="77777777" w:rsidR="00807BE0" w:rsidRDefault="00807BE0" w:rsidP="002D3AD2"/>
        </w:tc>
        <w:tc>
          <w:tcPr>
            <w:tcW w:w="1346" w:type="dxa"/>
          </w:tcPr>
          <w:p w14:paraId="788B85D6" w14:textId="77777777" w:rsidR="00807BE0" w:rsidRDefault="00807BE0" w:rsidP="002D3AD2"/>
        </w:tc>
      </w:tr>
      <w:tr w:rsidR="00017225" w14:paraId="105F6AC7" w14:textId="77777777" w:rsidTr="002E678C">
        <w:tc>
          <w:tcPr>
            <w:tcW w:w="9576" w:type="dxa"/>
            <w:gridSpan w:val="5"/>
          </w:tcPr>
          <w:p w14:paraId="186907DD" w14:textId="38C1B1B5" w:rsidR="00017225" w:rsidRPr="00017225" w:rsidRDefault="00017225" w:rsidP="00017225">
            <w:pPr>
              <w:rPr>
                <w:i/>
              </w:rPr>
            </w:pPr>
            <w:r w:rsidRPr="00017225">
              <w:rPr>
                <w:i/>
              </w:rPr>
              <w:t>Нарушения на ухото и лабиринта</w:t>
            </w:r>
          </w:p>
        </w:tc>
      </w:tr>
      <w:tr w:rsidR="00017225" w14:paraId="3DF8E43F" w14:textId="77777777" w:rsidTr="00017225">
        <w:tc>
          <w:tcPr>
            <w:tcW w:w="1770" w:type="dxa"/>
          </w:tcPr>
          <w:p w14:paraId="378FFE54" w14:textId="7CF1BA70" w:rsidR="00807BE0" w:rsidRPr="00017225" w:rsidRDefault="00017225" w:rsidP="00017225">
            <w:pPr>
              <w:rPr>
                <w:sz w:val="24"/>
                <w:szCs w:val="24"/>
              </w:rPr>
            </w:pPr>
            <w:r w:rsidRPr="00017225">
              <w:rPr>
                <w:lang w:eastAsia="bg-BG"/>
              </w:rPr>
              <w:t>Вертиго</w:t>
            </w:r>
          </w:p>
        </w:tc>
        <w:tc>
          <w:tcPr>
            <w:tcW w:w="2041" w:type="dxa"/>
          </w:tcPr>
          <w:p w14:paraId="2A1CB289" w14:textId="77777777" w:rsidR="00807BE0" w:rsidRDefault="00807BE0" w:rsidP="002D3AD2"/>
        </w:tc>
        <w:tc>
          <w:tcPr>
            <w:tcW w:w="2968" w:type="dxa"/>
          </w:tcPr>
          <w:p w14:paraId="29F9F954" w14:textId="77777777" w:rsidR="00807BE0" w:rsidRDefault="00807BE0" w:rsidP="002D3AD2"/>
        </w:tc>
        <w:tc>
          <w:tcPr>
            <w:tcW w:w="1451" w:type="dxa"/>
          </w:tcPr>
          <w:p w14:paraId="75DED0E5" w14:textId="77777777" w:rsidR="00807BE0" w:rsidRDefault="00807BE0" w:rsidP="002D3AD2"/>
        </w:tc>
        <w:tc>
          <w:tcPr>
            <w:tcW w:w="1346" w:type="dxa"/>
          </w:tcPr>
          <w:p w14:paraId="0000E90A" w14:textId="77777777" w:rsidR="00807BE0" w:rsidRDefault="00807BE0" w:rsidP="002D3AD2"/>
        </w:tc>
      </w:tr>
      <w:tr w:rsidR="00017225" w14:paraId="260227D8" w14:textId="77777777" w:rsidTr="002E678C">
        <w:tc>
          <w:tcPr>
            <w:tcW w:w="9576" w:type="dxa"/>
            <w:gridSpan w:val="5"/>
          </w:tcPr>
          <w:p w14:paraId="2A089328" w14:textId="5B78A1EB" w:rsidR="00017225" w:rsidRPr="00017225" w:rsidRDefault="00017225" w:rsidP="00017225">
            <w:pPr>
              <w:rPr>
                <w:i/>
              </w:rPr>
            </w:pPr>
            <w:r w:rsidRPr="00017225">
              <w:rPr>
                <w:i/>
              </w:rPr>
              <w:t>Сърдечни нарушения</w:t>
            </w:r>
          </w:p>
        </w:tc>
      </w:tr>
      <w:tr w:rsidR="00017225" w14:paraId="5E7297F8" w14:textId="77777777" w:rsidTr="00017225">
        <w:tc>
          <w:tcPr>
            <w:tcW w:w="1770" w:type="dxa"/>
          </w:tcPr>
          <w:p w14:paraId="3BBF59CB" w14:textId="77777777" w:rsidR="00807BE0" w:rsidRDefault="00807BE0" w:rsidP="002D3AD2"/>
        </w:tc>
        <w:tc>
          <w:tcPr>
            <w:tcW w:w="2041" w:type="dxa"/>
          </w:tcPr>
          <w:p w14:paraId="36E48FCC" w14:textId="77777777" w:rsidR="00807BE0" w:rsidRDefault="00807BE0" w:rsidP="002D3AD2"/>
        </w:tc>
        <w:tc>
          <w:tcPr>
            <w:tcW w:w="2968" w:type="dxa"/>
          </w:tcPr>
          <w:p w14:paraId="796D50C9" w14:textId="397C0174" w:rsidR="00807BE0" w:rsidRPr="00017225" w:rsidRDefault="00017225" w:rsidP="00017225">
            <w:pPr>
              <w:rPr>
                <w:sz w:val="24"/>
                <w:szCs w:val="24"/>
              </w:rPr>
            </w:pPr>
            <w:r w:rsidRPr="00017225">
              <w:rPr>
                <w:lang w:eastAsia="bg-BG"/>
              </w:rPr>
              <w:t>Сърдечна аритмия</w:t>
            </w:r>
          </w:p>
        </w:tc>
        <w:tc>
          <w:tcPr>
            <w:tcW w:w="1451" w:type="dxa"/>
          </w:tcPr>
          <w:p w14:paraId="71C11A64" w14:textId="77777777" w:rsidR="00807BE0" w:rsidRDefault="00807BE0" w:rsidP="002D3AD2"/>
        </w:tc>
        <w:tc>
          <w:tcPr>
            <w:tcW w:w="1346" w:type="dxa"/>
          </w:tcPr>
          <w:p w14:paraId="181E5369" w14:textId="77777777" w:rsidR="00807BE0" w:rsidRDefault="00807BE0" w:rsidP="002D3AD2"/>
        </w:tc>
      </w:tr>
      <w:tr w:rsidR="00017225" w14:paraId="1EC1C0C2" w14:textId="77777777" w:rsidTr="002E678C">
        <w:tc>
          <w:tcPr>
            <w:tcW w:w="9576" w:type="dxa"/>
            <w:gridSpan w:val="5"/>
          </w:tcPr>
          <w:p w14:paraId="38974869" w14:textId="14802F4C" w:rsidR="00017225" w:rsidRPr="00017225" w:rsidRDefault="00017225" w:rsidP="00017225">
            <w:pPr>
              <w:rPr>
                <w:i/>
              </w:rPr>
            </w:pPr>
            <w:r w:rsidRPr="00017225">
              <w:rPr>
                <w:i/>
                <w:lang w:eastAsia="bg-BG"/>
              </w:rPr>
              <w:t>Съдови нарушения</w:t>
            </w:r>
          </w:p>
        </w:tc>
      </w:tr>
      <w:tr w:rsidR="00017225" w14:paraId="65071B92" w14:textId="77777777" w:rsidTr="00017225">
        <w:tc>
          <w:tcPr>
            <w:tcW w:w="1770" w:type="dxa"/>
          </w:tcPr>
          <w:p w14:paraId="0A0C9970" w14:textId="77777777" w:rsidR="00807BE0" w:rsidRDefault="00807BE0" w:rsidP="002D3AD2"/>
        </w:tc>
        <w:tc>
          <w:tcPr>
            <w:tcW w:w="2041" w:type="dxa"/>
          </w:tcPr>
          <w:p w14:paraId="206711B1" w14:textId="77777777" w:rsidR="00807BE0" w:rsidRDefault="00807BE0" w:rsidP="002D3AD2"/>
        </w:tc>
        <w:tc>
          <w:tcPr>
            <w:tcW w:w="2968" w:type="dxa"/>
          </w:tcPr>
          <w:p w14:paraId="34E127A9" w14:textId="280B14E0" w:rsidR="00017225" w:rsidRPr="00017225" w:rsidRDefault="00017225" w:rsidP="00017225">
            <w:pPr>
              <w:rPr>
                <w:sz w:val="24"/>
                <w:szCs w:val="24"/>
              </w:rPr>
            </w:pPr>
            <w:r>
              <w:rPr>
                <w:lang w:eastAsia="bg-BG"/>
              </w:rPr>
              <w:t xml:space="preserve">Некротизиращ </w:t>
            </w:r>
            <w:r w:rsidRPr="00017225">
              <w:rPr>
                <w:lang w:eastAsia="bg-BG"/>
              </w:rPr>
              <w:t>ангиит</w:t>
            </w:r>
          </w:p>
          <w:p w14:paraId="652032A1" w14:textId="77777777" w:rsidR="00017225" w:rsidRDefault="00017225" w:rsidP="00017225">
            <w:pPr>
              <w:rPr>
                <w:lang w:eastAsia="bg-BG"/>
              </w:rPr>
            </w:pPr>
            <w:r w:rsidRPr="00017225">
              <w:rPr>
                <w:lang w:eastAsia="bg-BG"/>
              </w:rPr>
              <w:t xml:space="preserve">(васкулит, кожен васкулит) Тромбоза </w:t>
            </w:r>
          </w:p>
          <w:p w14:paraId="2D1E6907" w14:textId="4C2C936A" w:rsidR="00807BE0" w:rsidRPr="00017225" w:rsidRDefault="00017225" w:rsidP="00017225">
            <w:pPr>
              <w:rPr>
                <w:sz w:val="24"/>
                <w:szCs w:val="24"/>
              </w:rPr>
            </w:pPr>
            <w:r w:rsidRPr="00017225">
              <w:rPr>
                <w:lang w:eastAsia="bg-BG"/>
              </w:rPr>
              <w:t>Емболия</w:t>
            </w:r>
          </w:p>
        </w:tc>
        <w:tc>
          <w:tcPr>
            <w:tcW w:w="1451" w:type="dxa"/>
          </w:tcPr>
          <w:p w14:paraId="02AFEE17" w14:textId="77777777" w:rsidR="00807BE0" w:rsidRDefault="00807BE0" w:rsidP="002D3AD2"/>
        </w:tc>
        <w:tc>
          <w:tcPr>
            <w:tcW w:w="1346" w:type="dxa"/>
          </w:tcPr>
          <w:p w14:paraId="324D92D7" w14:textId="77777777" w:rsidR="00807BE0" w:rsidRDefault="00807BE0" w:rsidP="002D3AD2"/>
        </w:tc>
      </w:tr>
      <w:tr w:rsidR="00017225" w14:paraId="1830BE55" w14:textId="77777777" w:rsidTr="002E678C">
        <w:tc>
          <w:tcPr>
            <w:tcW w:w="9576" w:type="dxa"/>
            <w:gridSpan w:val="5"/>
          </w:tcPr>
          <w:p w14:paraId="16D583DF" w14:textId="52C2964F" w:rsidR="00017225" w:rsidRPr="00017225" w:rsidRDefault="00017225" w:rsidP="00017225">
            <w:pPr>
              <w:rPr>
                <w:i/>
              </w:rPr>
            </w:pPr>
            <w:r w:rsidRPr="00017225">
              <w:rPr>
                <w:i/>
                <w:lang w:eastAsia="bg-BG"/>
              </w:rPr>
              <w:t>Респираторни, гръдни и медиастинални нарушения</w:t>
            </w:r>
          </w:p>
        </w:tc>
      </w:tr>
      <w:tr w:rsidR="00017225" w14:paraId="1A18B776" w14:textId="77777777" w:rsidTr="00017225">
        <w:tc>
          <w:tcPr>
            <w:tcW w:w="1770" w:type="dxa"/>
          </w:tcPr>
          <w:p w14:paraId="21027ED3" w14:textId="77777777" w:rsidR="00807BE0" w:rsidRDefault="00807BE0" w:rsidP="002D3AD2"/>
        </w:tc>
        <w:tc>
          <w:tcPr>
            <w:tcW w:w="2041" w:type="dxa"/>
          </w:tcPr>
          <w:p w14:paraId="77C8241D" w14:textId="77777777" w:rsidR="00807BE0" w:rsidRDefault="00807BE0" w:rsidP="002D3AD2"/>
        </w:tc>
        <w:tc>
          <w:tcPr>
            <w:tcW w:w="2968" w:type="dxa"/>
          </w:tcPr>
          <w:p w14:paraId="541E66F8" w14:textId="188A9062" w:rsidR="00807BE0" w:rsidRPr="00017225" w:rsidRDefault="00017225" w:rsidP="00017225">
            <w:pPr>
              <w:rPr>
                <w:sz w:val="24"/>
                <w:szCs w:val="24"/>
              </w:rPr>
            </w:pPr>
            <w:r>
              <w:rPr>
                <w:lang w:eastAsia="bg-BG"/>
              </w:rPr>
              <w:t xml:space="preserve">Диспнея </w:t>
            </w:r>
            <w:r w:rsidRPr="00017225">
              <w:rPr>
                <w:lang w:eastAsia="bg-BG"/>
              </w:rPr>
              <w:t>(вкл.</w:t>
            </w:r>
            <w:r w:rsidRPr="00017225">
              <w:rPr>
                <w:sz w:val="24"/>
                <w:szCs w:val="24"/>
                <w:lang w:val="ru-RU"/>
              </w:rPr>
              <w:t xml:space="preserve"> </w:t>
            </w:r>
            <w:r w:rsidRPr="00017225">
              <w:rPr>
                <w:lang w:eastAsia="bg-BG"/>
              </w:rPr>
              <w:t>интерстициална пневмония и белодробен оток)</w:t>
            </w:r>
          </w:p>
        </w:tc>
        <w:tc>
          <w:tcPr>
            <w:tcW w:w="1451" w:type="dxa"/>
          </w:tcPr>
          <w:p w14:paraId="2D610A71" w14:textId="77777777" w:rsidR="00807BE0" w:rsidRDefault="00807BE0" w:rsidP="002D3AD2"/>
        </w:tc>
        <w:tc>
          <w:tcPr>
            <w:tcW w:w="1346" w:type="dxa"/>
          </w:tcPr>
          <w:p w14:paraId="7EDA5C6D" w14:textId="77777777" w:rsidR="00807BE0" w:rsidRDefault="00807BE0" w:rsidP="002D3AD2"/>
        </w:tc>
      </w:tr>
      <w:tr w:rsidR="00017225" w14:paraId="506C32DB" w14:textId="77777777" w:rsidTr="002E678C">
        <w:tc>
          <w:tcPr>
            <w:tcW w:w="9576" w:type="dxa"/>
            <w:gridSpan w:val="5"/>
          </w:tcPr>
          <w:p w14:paraId="7A70B211" w14:textId="5E1CF691" w:rsidR="00017225" w:rsidRPr="00017225" w:rsidRDefault="00017225" w:rsidP="00017225">
            <w:pPr>
              <w:rPr>
                <w:i/>
              </w:rPr>
            </w:pPr>
            <w:r w:rsidRPr="00017225">
              <w:rPr>
                <w:i/>
              </w:rPr>
              <w:t>Стомашно-чревни нарушения</w:t>
            </w:r>
          </w:p>
        </w:tc>
      </w:tr>
      <w:tr w:rsidR="00017225" w14:paraId="6628E075" w14:textId="77777777" w:rsidTr="00017225">
        <w:tc>
          <w:tcPr>
            <w:tcW w:w="1770" w:type="dxa"/>
          </w:tcPr>
          <w:p w14:paraId="5F80BFDF" w14:textId="77777777" w:rsidR="00017225" w:rsidRDefault="00017225" w:rsidP="00017225">
            <w:r>
              <w:t>Стомашно дразнене</w:t>
            </w:r>
          </w:p>
          <w:p w14:paraId="61E7DEFD" w14:textId="694DAD78" w:rsidR="00017225" w:rsidRDefault="00017225" w:rsidP="00017225">
            <w:r>
              <w:t>Констипация и метеоризъм</w:t>
            </w:r>
          </w:p>
        </w:tc>
        <w:tc>
          <w:tcPr>
            <w:tcW w:w="2041" w:type="dxa"/>
          </w:tcPr>
          <w:p w14:paraId="17626B2D" w14:textId="77777777" w:rsidR="00017225" w:rsidRDefault="00017225" w:rsidP="00017225"/>
        </w:tc>
        <w:tc>
          <w:tcPr>
            <w:tcW w:w="2968" w:type="dxa"/>
          </w:tcPr>
          <w:p w14:paraId="35B659F7" w14:textId="6404BE2A" w:rsidR="00017225" w:rsidRDefault="00017225" w:rsidP="00017225">
            <w:r>
              <w:t>Панкреатит</w:t>
            </w:r>
          </w:p>
        </w:tc>
        <w:tc>
          <w:tcPr>
            <w:tcW w:w="1451" w:type="dxa"/>
          </w:tcPr>
          <w:p w14:paraId="2FA6308C" w14:textId="25004ED7" w:rsidR="00017225" w:rsidRDefault="00017225" w:rsidP="00017225">
            <w:r>
              <w:t>Паралитичен илеус</w:t>
            </w:r>
          </w:p>
        </w:tc>
        <w:tc>
          <w:tcPr>
            <w:tcW w:w="1346" w:type="dxa"/>
          </w:tcPr>
          <w:p w14:paraId="15A14035" w14:textId="77777777" w:rsidR="00017225" w:rsidRDefault="00017225" w:rsidP="00017225"/>
        </w:tc>
      </w:tr>
      <w:tr w:rsidR="00017225" w14:paraId="3F77EFBE" w14:textId="77777777" w:rsidTr="002E678C">
        <w:tc>
          <w:tcPr>
            <w:tcW w:w="9576" w:type="dxa"/>
            <w:gridSpan w:val="5"/>
          </w:tcPr>
          <w:p w14:paraId="4C890454" w14:textId="69D581DC" w:rsidR="00017225" w:rsidRPr="00017225" w:rsidRDefault="00017225" w:rsidP="00017225">
            <w:pPr>
              <w:rPr>
                <w:i/>
              </w:rPr>
            </w:pPr>
            <w:r w:rsidRPr="00017225">
              <w:rPr>
                <w:i/>
              </w:rPr>
              <w:t>Хепатобилиарни нарушения</w:t>
            </w:r>
          </w:p>
        </w:tc>
      </w:tr>
      <w:tr w:rsidR="00017225" w14:paraId="06F7ACD1" w14:textId="77777777" w:rsidTr="00017225">
        <w:tc>
          <w:tcPr>
            <w:tcW w:w="1770" w:type="dxa"/>
          </w:tcPr>
          <w:p w14:paraId="77353512" w14:textId="77777777" w:rsidR="00807BE0" w:rsidRDefault="00807BE0" w:rsidP="002D3AD2"/>
        </w:tc>
        <w:tc>
          <w:tcPr>
            <w:tcW w:w="2041" w:type="dxa"/>
          </w:tcPr>
          <w:p w14:paraId="4F41E6B4" w14:textId="77777777" w:rsidR="00807BE0" w:rsidRDefault="00807BE0" w:rsidP="002D3AD2"/>
        </w:tc>
        <w:tc>
          <w:tcPr>
            <w:tcW w:w="2968" w:type="dxa"/>
          </w:tcPr>
          <w:p w14:paraId="3E7218FA" w14:textId="77777777" w:rsidR="00017225" w:rsidRPr="00017225" w:rsidRDefault="00017225" w:rsidP="00017225">
            <w:pPr>
              <w:rPr>
                <w:sz w:val="24"/>
                <w:szCs w:val="24"/>
              </w:rPr>
            </w:pPr>
            <w:r w:rsidRPr="00017225">
              <w:rPr>
                <w:lang w:eastAsia="bg-BG"/>
              </w:rPr>
              <w:t>Жълтеница (интрахепатална холестаза)</w:t>
            </w:r>
          </w:p>
          <w:p w14:paraId="588C9387" w14:textId="77777777" w:rsidR="00017225" w:rsidRDefault="00017225" w:rsidP="00017225">
            <w:pPr>
              <w:rPr>
                <w:lang w:eastAsia="bg-BG"/>
              </w:rPr>
            </w:pPr>
          </w:p>
          <w:p w14:paraId="2E3C6846" w14:textId="48A40CD1" w:rsidR="00807BE0" w:rsidRPr="00017225" w:rsidRDefault="00017225" w:rsidP="00017225">
            <w:pPr>
              <w:rPr>
                <w:sz w:val="24"/>
                <w:szCs w:val="24"/>
              </w:rPr>
            </w:pPr>
            <w:r w:rsidRPr="00017225">
              <w:rPr>
                <w:lang w:eastAsia="bg-BG"/>
              </w:rPr>
              <w:t>Остър холецистит</w:t>
            </w:r>
          </w:p>
        </w:tc>
        <w:tc>
          <w:tcPr>
            <w:tcW w:w="1451" w:type="dxa"/>
          </w:tcPr>
          <w:p w14:paraId="5E7919F3" w14:textId="77777777" w:rsidR="00807BE0" w:rsidRDefault="00807BE0" w:rsidP="002D3AD2"/>
        </w:tc>
        <w:tc>
          <w:tcPr>
            <w:tcW w:w="1346" w:type="dxa"/>
          </w:tcPr>
          <w:p w14:paraId="66E554EB" w14:textId="77777777" w:rsidR="00807BE0" w:rsidRDefault="00807BE0" w:rsidP="002D3AD2"/>
        </w:tc>
      </w:tr>
      <w:tr w:rsidR="00017225" w14:paraId="02D8AAEB" w14:textId="77777777" w:rsidTr="002E678C">
        <w:tc>
          <w:tcPr>
            <w:tcW w:w="9576" w:type="dxa"/>
            <w:gridSpan w:val="5"/>
          </w:tcPr>
          <w:p w14:paraId="58AD13AD" w14:textId="7AFA42C3" w:rsidR="00017225" w:rsidRPr="00017225" w:rsidRDefault="00017225" w:rsidP="00017225">
            <w:pPr>
              <w:rPr>
                <w:i/>
              </w:rPr>
            </w:pPr>
            <w:r w:rsidRPr="00017225">
              <w:rPr>
                <w:i/>
                <w:lang w:eastAsia="bg-BG"/>
              </w:rPr>
              <w:t>Нарушения на кожата и подкожните тъкани</w:t>
            </w:r>
          </w:p>
        </w:tc>
      </w:tr>
      <w:tr w:rsidR="00017225" w14:paraId="270F66F8" w14:textId="77777777" w:rsidTr="00017225">
        <w:tc>
          <w:tcPr>
            <w:tcW w:w="1770" w:type="dxa"/>
          </w:tcPr>
          <w:p w14:paraId="4D21AF65" w14:textId="77777777" w:rsidR="00017225" w:rsidRDefault="00017225" w:rsidP="00017225"/>
        </w:tc>
        <w:tc>
          <w:tcPr>
            <w:tcW w:w="2041" w:type="dxa"/>
          </w:tcPr>
          <w:p w14:paraId="20528E1D" w14:textId="4AF37141" w:rsidR="00017225" w:rsidRDefault="00017225" w:rsidP="00017225">
            <w:r>
              <w:t>Реакции на фоточуствителност</w:t>
            </w:r>
          </w:p>
        </w:tc>
        <w:tc>
          <w:tcPr>
            <w:tcW w:w="2968" w:type="dxa"/>
          </w:tcPr>
          <w:p w14:paraId="2EA9E37B" w14:textId="577F6BA6" w:rsidR="00017225" w:rsidRDefault="00017225" w:rsidP="00017225">
            <w:r>
              <w:t>Кожни реакции подобни на кожен лупус еритематодес Реактивиране на кожен лупус еритематодес Анафилактични реакции Токсична епидермална</w:t>
            </w:r>
          </w:p>
          <w:p w14:paraId="1A229F8A" w14:textId="4688C06C" w:rsidR="00017225" w:rsidRDefault="00017225" w:rsidP="00017225">
            <w:r>
              <w:t>некролиза</w:t>
            </w:r>
          </w:p>
        </w:tc>
        <w:tc>
          <w:tcPr>
            <w:tcW w:w="1451" w:type="dxa"/>
          </w:tcPr>
          <w:p w14:paraId="3D4F4308" w14:textId="77777777" w:rsidR="00017225" w:rsidRDefault="00017225" w:rsidP="00017225"/>
        </w:tc>
        <w:tc>
          <w:tcPr>
            <w:tcW w:w="1346" w:type="dxa"/>
          </w:tcPr>
          <w:p w14:paraId="24CB51D7" w14:textId="77777777" w:rsidR="00017225" w:rsidRDefault="00017225" w:rsidP="00017225"/>
        </w:tc>
      </w:tr>
      <w:tr w:rsidR="00017225" w14:paraId="0544DC9B" w14:textId="77777777" w:rsidTr="002E678C">
        <w:tc>
          <w:tcPr>
            <w:tcW w:w="9576" w:type="dxa"/>
            <w:gridSpan w:val="5"/>
          </w:tcPr>
          <w:p w14:paraId="229690FC" w14:textId="0DA4DF56" w:rsidR="00017225" w:rsidRPr="00017225" w:rsidRDefault="00017225" w:rsidP="00017225">
            <w:pPr>
              <w:rPr>
                <w:i/>
              </w:rPr>
            </w:pPr>
            <w:r w:rsidRPr="00017225">
              <w:rPr>
                <w:i/>
                <w:lang w:eastAsia="bg-BG"/>
              </w:rPr>
              <w:t>Нарушения на мускулно-скелетната система и съединителната тъкан</w:t>
            </w:r>
          </w:p>
        </w:tc>
      </w:tr>
      <w:tr w:rsidR="00017225" w14:paraId="36B58452" w14:textId="77777777" w:rsidTr="00017225">
        <w:tc>
          <w:tcPr>
            <w:tcW w:w="1770" w:type="dxa"/>
          </w:tcPr>
          <w:p w14:paraId="3DCFDD9B" w14:textId="77777777" w:rsidR="00807BE0" w:rsidRDefault="00807BE0" w:rsidP="002D3AD2"/>
        </w:tc>
        <w:tc>
          <w:tcPr>
            <w:tcW w:w="2041" w:type="dxa"/>
          </w:tcPr>
          <w:p w14:paraId="6A755F18" w14:textId="77777777" w:rsidR="00807BE0" w:rsidRDefault="00807BE0" w:rsidP="002D3AD2"/>
        </w:tc>
        <w:tc>
          <w:tcPr>
            <w:tcW w:w="2968" w:type="dxa"/>
          </w:tcPr>
          <w:p w14:paraId="6D746B42" w14:textId="77777777" w:rsidR="00017225" w:rsidRDefault="00017225" w:rsidP="00017225">
            <w:pPr>
              <w:rPr>
                <w:lang w:eastAsia="bg-BG"/>
              </w:rPr>
            </w:pPr>
            <w:r w:rsidRPr="00017225">
              <w:rPr>
                <w:lang w:eastAsia="bg-BG"/>
              </w:rPr>
              <w:t xml:space="preserve">Мускулна слабост </w:t>
            </w:r>
          </w:p>
          <w:p w14:paraId="33CE091D" w14:textId="16F5C432" w:rsidR="00807BE0" w:rsidRPr="00017225" w:rsidRDefault="00017225" w:rsidP="00017225">
            <w:pPr>
              <w:rPr>
                <w:sz w:val="24"/>
                <w:szCs w:val="24"/>
              </w:rPr>
            </w:pPr>
            <w:r w:rsidRPr="00017225">
              <w:rPr>
                <w:lang w:eastAsia="bg-BG"/>
              </w:rPr>
              <w:t>Пареза</w:t>
            </w:r>
          </w:p>
        </w:tc>
        <w:tc>
          <w:tcPr>
            <w:tcW w:w="1451" w:type="dxa"/>
          </w:tcPr>
          <w:p w14:paraId="02407EDF" w14:textId="77777777" w:rsidR="00807BE0" w:rsidRDefault="00807BE0" w:rsidP="002D3AD2"/>
        </w:tc>
        <w:tc>
          <w:tcPr>
            <w:tcW w:w="1346" w:type="dxa"/>
          </w:tcPr>
          <w:p w14:paraId="7F4FE29C" w14:textId="77777777" w:rsidR="00807BE0" w:rsidRDefault="00807BE0" w:rsidP="002D3AD2"/>
        </w:tc>
      </w:tr>
      <w:tr w:rsidR="00017225" w14:paraId="3B337844" w14:textId="77777777" w:rsidTr="002E678C">
        <w:tc>
          <w:tcPr>
            <w:tcW w:w="9576" w:type="dxa"/>
            <w:gridSpan w:val="5"/>
          </w:tcPr>
          <w:p w14:paraId="1F9F3EA8" w14:textId="05E065EA" w:rsidR="00017225" w:rsidRPr="00017225" w:rsidRDefault="00017225" w:rsidP="00017225">
            <w:pPr>
              <w:rPr>
                <w:i/>
              </w:rPr>
            </w:pPr>
            <w:r w:rsidRPr="00017225">
              <w:rPr>
                <w:i/>
                <w:lang w:eastAsia="bg-BG"/>
              </w:rPr>
              <w:t>Нарушения на бъбреците и пикочните пътища</w:t>
            </w:r>
          </w:p>
        </w:tc>
      </w:tr>
      <w:tr w:rsidR="00017225" w14:paraId="02E18F8D" w14:textId="77777777" w:rsidTr="00017225">
        <w:tc>
          <w:tcPr>
            <w:tcW w:w="1770" w:type="dxa"/>
          </w:tcPr>
          <w:p w14:paraId="40999C40" w14:textId="77777777" w:rsidR="00807BE0" w:rsidRDefault="00807BE0" w:rsidP="002D3AD2"/>
        </w:tc>
        <w:tc>
          <w:tcPr>
            <w:tcW w:w="2041" w:type="dxa"/>
          </w:tcPr>
          <w:p w14:paraId="600C0B08" w14:textId="77777777" w:rsidR="00807BE0" w:rsidRDefault="00807BE0" w:rsidP="002D3AD2"/>
        </w:tc>
        <w:tc>
          <w:tcPr>
            <w:tcW w:w="2968" w:type="dxa"/>
          </w:tcPr>
          <w:p w14:paraId="49100C32" w14:textId="5BC6A435" w:rsidR="00807BE0" w:rsidRDefault="00017225" w:rsidP="00017225">
            <w:r>
              <w:t>Бъбречна дисфункция Интерстициален нефрит</w:t>
            </w:r>
          </w:p>
        </w:tc>
        <w:tc>
          <w:tcPr>
            <w:tcW w:w="1451" w:type="dxa"/>
          </w:tcPr>
          <w:p w14:paraId="07B0AF49" w14:textId="77777777" w:rsidR="00807BE0" w:rsidRDefault="00807BE0" w:rsidP="002D3AD2"/>
        </w:tc>
        <w:tc>
          <w:tcPr>
            <w:tcW w:w="1346" w:type="dxa"/>
          </w:tcPr>
          <w:p w14:paraId="2041442F" w14:textId="77777777" w:rsidR="00807BE0" w:rsidRDefault="00807BE0" w:rsidP="002D3AD2"/>
        </w:tc>
      </w:tr>
      <w:tr w:rsidR="00017225" w14:paraId="619A45D2" w14:textId="77777777" w:rsidTr="002E678C">
        <w:tc>
          <w:tcPr>
            <w:tcW w:w="9576" w:type="dxa"/>
            <w:gridSpan w:val="5"/>
          </w:tcPr>
          <w:p w14:paraId="72166E81" w14:textId="740BE3E0" w:rsidR="00017225" w:rsidRPr="00017225" w:rsidRDefault="00017225" w:rsidP="00017225">
            <w:pPr>
              <w:rPr>
                <w:i/>
              </w:rPr>
            </w:pPr>
            <w:r w:rsidRPr="00017225">
              <w:rPr>
                <w:i/>
                <w:lang w:eastAsia="bg-BG"/>
              </w:rPr>
              <w:t>Нарушения на възпроизводителната система и гърдата</w:t>
            </w:r>
          </w:p>
        </w:tc>
      </w:tr>
      <w:tr w:rsidR="00017225" w14:paraId="3D76A4BE" w14:textId="77777777" w:rsidTr="00017225">
        <w:tc>
          <w:tcPr>
            <w:tcW w:w="1770" w:type="dxa"/>
          </w:tcPr>
          <w:p w14:paraId="767565F9" w14:textId="77777777" w:rsidR="00807BE0" w:rsidRDefault="00807BE0" w:rsidP="002D3AD2"/>
        </w:tc>
        <w:tc>
          <w:tcPr>
            <w:tcW w:w="2041" w:type="dxa"/>
          </w:tcPr>
          <w:p w14:paraId="10D5F5C0" w14:textId="77777777" w:rsidR="00807BE0" w:rsidRDefault="00807BE0" w:rsidP="002D3AD2"/>
        </w:tc>
        <w:tc>
          <w:tcPr>
            <w:tcW w:w="2968" w:type="dxa"/>
          </w:tcPr>
          <w:p w14:paraId="7B4176A0" w14:textId="014B8563" w:rsidR="00807BE0" w:rsidRPr="00017225" w:rsidRDefault="00017225" w:rsidP="00017225">
            <w:pPr>
              <w:rPr>
                <w:sz w:val="24"/>
                <w:szCs w:val="24"/>
              </w:rPr>
            </w:pPr>
            <w:r w:rsidRPr="00017225">
              <w:rPr>
                <w:lang w:eastAsia="bg-BG"/>
              </w:rPr>
              <w:t>Еректилна дисфункция</w:t>
            </w:r>
          </w:p>
        </w:tc>
        <w:tc>
          <w:tcPr>
            <w:tcW w:w="1451" w:type="dxa"/>
          </w:tcPr>
          <w:p w14:paraId="1970DAF4" w14:textId="77777777" w:rsidR="00807BE0" w:rsidRDefault="00807BE0" w:rsidP="002D3AD2"/>
        </w:tc>
        <w:tc>
          <w:tcPr>
            <w:tcW w:w="1346" w:type="dxa"/>
          </w:tcPr>
          <w:p w14:paraId="198C7BD0" w14:textId="77777777" w:rsidR="00807BE0" w:rsidRDefault="00807BE0" w:rsidP="002D3AD2"/>
        </w:tc>
      </w:tr>
      <w:tr w:rsidR="00017225" w14:paraId="70907605" w14:textId="77777777" w:rsidTr="002E678C">
        <w:tc>
          <w:tcPr>
            <w:tcW w:w="9576" w:type="dxa"/>
            <w:gridSpan w:val="5"/>
          </w:tcPr>
          <w:p w14:paraId="1A41FCEB" w14:textId="35EF069C" w:rsidR="00017225" w:rsidRPr="00017225" w:rsidRDefault="00017225" w:rsidP="00017225">
            <w:pPr>
              <w:rPr>
                <w:i/>
              </w:rPr>
            </w:pPr>
            <w:r w:rsidRPr="00017225">
              <w:rPr>
                <w:i/>
              </w:rPr>
              <w:t>Общи нарушения и ефекти на мястото на приложение</w:t>
            </w:r>
          </w:p>
        </w:tc>
      </w:tr>
      <w:tr w:rsidR="00017225" w14:paraId="6729BA7E" w14:textId="77777777" w:rsidTr="00017225">
        <w:tc>
          <w:tcPr>
            <w:tcW w:w="1770" w:type="dxa"/>
          </w:tcPr>
          <w:p w14:paraId="1228C837" w14:textId="77777777" w:rsidR="00017225" w:rsidRDefault="00017225" w:rsidP="002D3AD2"/>
        </w:tc>
        <w:tc>
          <w:tcPr>
            <w:tcW w:w="2041" w:type="dxa"/>
          </w:tcPr>
          <w:p w14:paraId="4195987B" w14:textId="77777777" w:rsidR="00017225" w:rsidRDefault="00017225" w:rsidP="002D3AD2"/>
        </w:tc>
        <w:tc>
          <w:tcPr>
            <w:tcW w:w="2968" w:type="dxa"/>
          </w:tcPr>
          <w:p w14:paraId="230790DC" w14:textId="317A77CF" w:rsidR="00017225" w:rsidRPr="00017225" w:rsidRDefault="00017225" w:rsidP="00017225">
            <w:pPr>
              <w:rPr>
                <w:sz w:val="24"/>
                <w:szCs w:val="24"/>
              </w:rPr>
            </w:pPr>
            <w:r w:rsidRPr="00017225">
              <w:rPr>
                <w:lang w:eastAsia="bg-BG"/>
              </w:rPr>
              <w:t>Треска</w:t>
            </w:r>
          </w:p>
        </w:tc>
        <w:tc>
          <w:tcPr>
            <w:tcW w:w="1451" w:type="dxa"/>
          </w:tcPr>
          <w:p w14:paraId="744D0A28" w14:textId="77777777" w:rsidR="00017225" w:rsidRDefault="00017225" w:rsidP="002D3AD2"/>
        </w:tc>
        <w:tc>
          <w:tcPr>
            <w:tcW w:w="1346" w:type="dxa"/>
          </w:tcPr>
          <w:p w14:paraId="4A8B9040" w14:textId="77777777" w:rsidR="00017225" w:rsidRDefault="00017225" w:rsidP="002D3AD2"/>
        </w:tc>
      </w:tr>
    </w:tbl>
    <w:p w14:paraId="2010E68E" w14:textId="784CB53C" w:rsidR="00807BE0" w:rsidRDefault="00807BE0" w:rsidP="002D3AD2"/>
    <w:p w14:paraId="2AB5DC70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  <w:bookmarkStart w:id="2" w:name="bookmark0"/>
      <w:r w:rsidRPr="00017225">
        <w:rPr>
          <w:rFonts w:eastAsia="Times New Roman" w:cs="Arial"/>
          <w:b/>
          <w:bCs/>
          <w:color w:val="000000"/>
          <w:u w:val="single"/>
          <w:lang w:eastAsia="bg-BG"/>
        </w:rPr>
        <w:t>Съобщаване на подозирани нежелани реакции</w:t>
      </w:r>
      <w:bookmarkEnd w:id="2"/>
    </w:p>
    <w:p w14:paraId="1DD67C2C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Съобщаването на подозирани нежелани лекарствени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съобщаване, на Изпълнителна агенция по лекарствата.</w:t>
      </w:r>
    </w:p>
    <w:p w14:paraId="73B4B9B9" w14:textId="77777777" w:rsidR="00017225" w:rsidRPr="00017225" w:rsidRDefault="00017225" w:rsidP="00017225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3" w:name="bookmark2"/>
    </w:p>
    <w:p w14:paraId="48666266" w14:textId="56FAEF21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b/>
          <w:bCs/>
          <w:color w:val="000000"/>
          <w:lang w:eastAsia="bg-BG"/>
        </w:rPr>
        <w:t>Контакти:</w:t>
      </w:r>
      <w:bookmarkEnd w:id="3"/>
    </w:p>
    <w:p w14:paraId="1AD9C8A9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Изпълнителна агенция по лекарствата.</w:t>
      </w:r>
    </w:p>
    <w:p w14:paraId="2FF3BA8F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ул.,Дамян Груев” № 8</w:t>
      </w:r>
    </w:p>
    <w:p w14:paraId="3448DE82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1303 София, България</w:t>
      </w:r>
    </w:p>
    <w:p w14:paraId="6A8D03E8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Тел.:+35 928903417</w:t>
      </w:r>
    </w:p>
    <w:p w14:paraId="3EDBBD96" w14:textId="77777777" w:rsidR="00017225" w:rsidRPr="00017225" w:rsidRDefault="00017225" w:rsidP="000172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225">
        <w:rPr>
          <w:rFonts w:eastAsia="Times New Roman" w:cs="Arial"/>
          <w:color w:val="000000"/>
          <w:lang w:eastAsia="bg-BG"/>
        </w:rPr>
        <w:t xml:space="preserve">уебсайт: </w:t>
      </w:r>
      <w:r w:rsidRPr="00017225">
        <w:rPr>
          <w:rFonts w:eastAsia="Times New Roman" w:cs="Arial"/>
        </w:rPr>
        <w:fldChar w:fldCharType="begin"/>
      </w:r>
      <w:r w:rsidRPr="00017225">
        <w:rPr>
          <w:rFonts w:eastAsia="Times New Roman" w:cs="Arial"/>
        </w:rPr>
        <w:instrText xml:space="preserve"> HYPERLINK "http://www.bda.bg" </w:instrText>
      </w:r>
      <w:r w:rsidRPr="00017225">
        <w:rPr>
          <w:rFonts w:eastAsia="Times New Roman" w:cs="Arial"/>
        </w:rPr>
        <w:fldChar w:fldCharType="separate"/>
      </w:r>
      <w:r w:rsidRPr="00017225">
        <w:rPr>
          <w:rFonts w:eastAsia="Times New Roman" w:cs="Arial"/>
          <w:color w:val="000000"/>
          <w:lang w:val="en-US"/>
        </w:rPr>
        <w:t>www</w:t>
      </w:r>
      <w:r w:rsidRPr="00017225">
        <w:rPr>
          <w:rFonts w:eastAsia="Times New Roman" w:cs="Arial"/>
          <w:color w:val="000000"/>
          <w:lang w:val="ru-RU"/>
        </w:rPr>
        <w:t>.</w:t>
      </w:r>
      <w:proofErr w:type="spellStart"/>
      <w:r w:rsidRPr="00017225">
        <w:rPr>
          <w:rFonts w:eastAsia="Times New Roman" w:cs="Arial"/>
          <w:color w:val="000000"/>
          <w:lang w:val="en-US"/>
        </w:rPr>
        <w:t>bda</w:t>
      </w:r>
      <w:proofErr w:type="spellEnd"/>
      <w:r w:rsidRPr="00017225">
        <w:rPr>
          <w:rFonts w:eastAsia="Times New Roman" w:cs="Arial"/>
          <w:color w:val="000000"/>
          <w:lang w:val="ru-RU"/>
        </w:rPr>
        <w:t>.</w:t>
      </w:r>
      <w:proofErr w:type="spellStart"/>
      <w:r w:rsidRPr="00017225">
        <w:rPr>
          <w:rFonts w:eastAsia="Times New Roman" w:cs="Arial"/>
          <w:color w:val="000000"/>
          <w:lang w:val="en-US"/>
        </w:rPr>
        <w:t>bg</w:t>
      </w:r>
      <w:proofErr w:type="spellEnd"/>
      <w:r w:rsidRPr="00017225">
        <w:rPr>
          <w:rFonts w:eastAsia="Times New Roman" w:cs="Arial"/>
        </w:rPr>
        <w:fldChar w:fldCharType="end"/>
      </w:r>
    </w:p>
    <w:p w14:paraId="31D1AAD8" w14:textId="77777777" w:rsidR="00017225" w:rsidRPr="002D3AD2" w:rsidRDefault="00017225" w:rsidP="002D3AD2"/>
    <w:p w14:paraId="0A023CE0" w14:textId="61493CC6" w:rsidR="00CF77F7" w:rsidRDefault="002C50EE" w:rsidP="004A448E">
      <w:pPr>
        <w:pStyle w:val="Heading2"/>
      </w:pPr>
      <w:r>
        <w:t>4.9. Предозиране</w:t>
      </w:r>
    </w:p>
    <w:p w14:paraId="51AD69F8" w14:textId="04C73A78" w:rsidR="00017225" w:rsidRDefault="00017225" w:rsidP="00017225"/>
    <w:p w14:paraId="139D348D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Липсва специфична информация за ефектите или лечението на предозиране с олмесартан медоксомил/хидрохлоротиазид. Пациентите трябва да бъдат внимателно мониторирани, а лечението трябва да е симптоматично и поддържащо. Лечението зависи от времето изминало от поглъщането и тежестта на симптомите. Предполагаемите мерки включват провокиране на емезис и/или стомашна промивка. В лечението при предозиране може да е полезна употребата на активен въглен. Трябва често да се контролират серумните електролити и креатинина. При поява на хипотония пациентът трябва да бъде поставен в легнало положение по гръб и да се проведе бързо обемна и солева заместител на терапия.</w:t>
      </w:r>
    </w:p>
    <w:p w14:paraId="56F2E8E1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0F5BDDF" w14:textId="60AFE50C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Очаква се най-вероятните прояви на предозиране с олмесартан да са хипотония и тахикардия; може да се появи и брадикардия. Предозирането с хидрохлоротиазид обикновено се свързва с изчерпване на електролитите (хипокалиемия, хипохлоремия) и дехидратация, като следствие на силно повишената диуреза. Най-честите признаци и симптоми на предозиране са гадене и сомноленост. Хипокалиемията може да доведе до мускулни спазми и/или подчертани сърдечни аритмии, асоциирани със съпътстваща употреба на дигиталисови гликозиди или някои лекарствени продукти с антиаритмично действие.</w:t>
      </w:r>
    </w:p>
    <w:p w14:paraId="51D12CC8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A1ACC3B" w14:textId="0E6E3774" w:rsid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Липсва информация дали олмесартан или хидрохлоротиазид се диализират.</w:t>
      </w:r>
    </w:p>
    <w:p w14:paraId="35520F6B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</w:p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32B6DE66" w14:textId="28265124" w:rsidR="00CF77F7" w:rsidRDefault="002C50EE" w:rsidP="004A448E">
      <w:pPr>
        <w:pStyle w:val="Heading2"/>
      </w:pPr>
      <w:r>
        <w:t>5.1. Фармакодинамични свойства</w:t>
      </w:r>
    </w:p>
    <w:p w14:paraId="6103A0AD" w14:textId="6337FB71" w:rsidR="00017225" w:rsidRDefault="00017225" w:rsidP="00017225"/>
    <w:p w14:paraId="03ED6676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b/>
          <w:bCs/>
          <w:color w:val="000000"/>
          <w:lang w:eastAsia="bg-BG"/>
        </w:rPr>
        <w:lastRenderedPageBreak/>
        <w:t xml:space="preserve">Фармакотерапевтична група: </w:t>
      </w:r>
      <w:r w:rsidRPr="00017225">
        <w:rPr>
          <w:rFonts w:eastAsia="Times New Roman" w:cs="Arial"/>
          <w:color w:val="000000"/>
          <w:lang w:eastAsia="bg-BG"/>
        </w:rPr>
        <w:t xml:space="preserve">Антагонисти на ангиотензин II и диуретици, АТС код: </w:t>
      </w:r>
      <w:r w:rsidRPr="00017225">
        <w:rPr>
          <w:rFonts w:eastAsia="Times New Roman" w:cs="Arial"/>
          <w:color w:val="000000"/>
          <w:lang w:val="en-US"/>
        </w:rPr>
        <w:t>C</w:t>
      </w:r>
      <w:r w:rsidRPr="00017225">
        <w:rPr>
          <w:rFonts w:eastAsia="Times New Roman" w:cs="Arial"/>
          <w:color w:val="000000"/>
          <w:lang w:val="ru-RU"/>
        </w:rPr>
        <w:t>09</w:t>
      </w:r>
      <w:r w:rsidRPr="00017225">
        <w:rPr>
          <w:rFonts w:eastAsia="Times New Roman" w:cs="Arial"/>
          <w:color w:val="000000"/>
          <w:lang w:val="en-US"/>
        </w:rPr>
        <w:t>DA</w:t>
      </w:r>
      <w:r w:rsidRPr="00017225">
        <w:rPr>
          <w:rFonts w:eastAsia="Times New Roman" w:cs="Arial"/>
          <w:color w:val="000000"/>
          <w:lang w:val="ru-RU"/>
        </w:rPr>
        <w:t>08</w:t>
      </w:r>
    </w:p>
    <w:p w14:paraId="38C056BB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9F12BA4" w14:textId="44241ED9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017225">
        <w:rPr>
          <w:rFonts w:eastAsia="Times New Roman" w:cs="Arial"/>
          <w:color w:val="000000"/>
          <w:lang w:eastAsia="bg-BG"/>
        </w:rPr>
        <w:t xml:space="preserve">Олмесартан медоксомил/хидрохлоротиазид е комбинация от ангиотензин П-рецепторен </w:t>
      </w:r>
    </w:p>
    <w:p w14:paraId="458079EF" w14:textId="774C6CA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антагонист и тиазиден диуретик, хидрохлоротиазид. Комбинацията от тези съставки има адитивен антихипертензивен ефект, понижава артериалното налягане в по-изразена степен в сравнение с която и да е от двете съставки използвани самостоятелно.</w:t>
      </w:r>
    </w:p>
    <w:p w14:paraId="401B2392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CD2A116" w14:textId="45CC0CFD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Прилагането на дозата олмесартан медоксомил/хидрохлоротиазид веднъж дневно осигурява ефективно и постепенно понижение на артериалното налягане за интервал по-дълъг от 24 часа.</w:t>
      </w:r>
    </w:p>
    <w:p w14:paraId="19D8530D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77AABF8" w14:textId="6C3073D3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u w:val="single"/>
          <w:lang w:eastAsia="bg-BG"/>
        </w:rPr>
        <w:t>Олмесартан медоксомил</w:t>
      </w:r>
      <w:r w:rsidRPr="00017225">
        <w:rPr>
          <w:rFonts w:eastAsia="Times New Roman" w:cs="Arial"/>
          <w:color w:val="000000"/>
          <w:lang w:eastAsia="bg-BG"/>
        </w:rPr>
        <w:t xml:space="preserve"> е активен при перорално приложение селективен ангиотензин П-рецепторен (тип </w:t>
      </w:r>
      <w:r w:rsidRPr="00017225">
        <w:rPr>
          <w:rFonts w:eastAsia="Times New Roman" w:cs="Arial"/>
          <w:color w:val="000000"/>
          <w:lang w:val="en-US"/>
        </w:rPr>
        <w:t>AT</w:t>
      </w:r>
      <w:r w:rsidRPr="00017225">
        <w:rPr>
          <w:rFonts w:eastAsia="Times New Roman" w:cs="Arial"/>
          <w:color w:val="000000"/>
          <w:lang w:val="ru-RU"/>
        </w:rPr>
        <w:t xml:space="preserve">1) </w:t>
      </w:r>
      <w:r w:rsidRPr="00017225">
        <w:rPr>
          <w:rFonts w:eastAsia="Times New Roman" w:cs="Arial"/>
          <w:color w:val="000000"/>
          <w:lang w:eastAsia="bg-BG"/>
        </w:rPr>
        <w:t xml:space="preserve">антагонист. Ангиотензин II е главният вазоакгивен хормон от ренин-ангиотензин- алдостероновата система и играе значителна роля в патофизиологията на хипертонията. Ефектите на ангиотензин II включват вазоконстрикция, стимулиране синтеза и освобождаването на алдостерон, сърдечна стимулация и бъбречна реабсорбция на натрий. Олмесартан блокира вазоконстрикторните и алдостерон-секретиращите ефекти на ангиотензин II като блокира свързването му с </w:t>
      </w:r>
      <w:r w:rsidRPr="00017225">
        <w:rPr>
          <w:rFonts w:eastAsia="Times New Roman" w:cs="Arial"/>
          <w:color w:val="000000"/>
          <w:lang w:val="en-US"/>
        </w:rPr>
        <w:t>AT</w:t>
      </w:r>
      <w:r w:rsidRPr="00017225">
        <w:rPr>
          <w:rFonts w:eastAsia="Times New Roman" w:cs="Arial"/>
          <w:color w:val="000000"/>
          <w:lang w:val="ru-RU"/>
        </w:rPr>
        <w:t xml:space="preserve">1 </w:t>
      </w:r>
      <w:r w:rsidRPr="00017225">
        <w:rPr>
          <w:rFonts w:eastAsia="Times New Roman" w:cs="Arial"/>
          <w:color w:val="000000"/>
          <w:lang w:eastAsia="bg-BG"/>
        </w:rPr>
        <w:t xml:space="preserve">рецептора в тъканите, включително гладката мускулатура на кръвоносните съдове и надбъбречните жлези. Действието на олмесартан е независимо от източника или пътя на синтеза на ангиотензин </w:t>
      </w:r>
      <w:r w:rsidRPr="00017225">
        <w:rPr>
          <w:rFonts w:eastAsia="Times New Roman" w:cs="Arial"/>
          <w:color w:val="000000"/>
          <w:lang w:val="en-US"/>
        </w:rPr>
        <w:t>II</w:t>
      </w:r>
      <w:r w:rsidRPr="00017225">
        <w:rPr>
          <w:rFonts w:eastAsia="Times New Roman" w:cs="Arial"/>
          <w:color w:val="000000"/>
          <w:lang w:eastAsia="bg-BG"/>
        </w:rPr>
        <w:t xml:space="preserve">. Селективният антагонизъм на ангиотензин </w:t>
      </w:r>
      <w:r w:rsidRPr="00017225">
        <w:rPr>
          <w:rFonts w:eastAsia="Times New Roman" w:cs="Arial"/>
          <w:color w:val="000000"/>
          <w:lang w:val="en-US"/>
        </w:rPr>
        <w:t>II</w:t>
      </w:r>
      <w:r w:rsidRPr="00017225">
        <w:rPr>
          <w:rFonts w:eastAsia="Times New Roman" w:cs="Arial"/>
          <w:color w:val="000000"/>
          <w:lang w:eastAsia="bg-BG"/>
        </w:rPr>
        <w:t xml:space="preserve"> </w:t>
      </w:r>
      <w:r w:rsidRPr="00017225">
        <w:rPr>
          <w:rFonts w:eastAsia="Times New Roman" w:cs="Arial"/>
          <w:color w:val="000000"/>
          <w:lang w:val="ru-RU"/>
        </w:rPr>
        <w:t>(</w:t>
      </w:r>
      <w:r w:rsidRPr="00017225">
        <w:rPr>
          <w:rFonts w:eastAsia="Times New Roman" w:cs="Arial"/>
          <w:color w:val="000000"/>
          <w:lang w:val="en-US"/>
        </w:rPr>
        <w:t>AT</w:t>
      </w:r>
      <w:r w:rsidRPr="00017225">
        <w:rPr>
          <w:rFonts w:eastAsia="Times New Roman" w:cs="Arial"/>
          <w:color w:val="000000"/>
          <w:lang w:val="ru-RU"/>
        </w:rPr>
        <w:t xml:space="preserve">1) </w:t>
      </w:r>
      <w:r w:rsidRPr="00017225">
        <w:rPr>
          <w:rFonts w:eastAsia="Times New Roman" w:cs="Arial"/>
          <w:color w:val="000000"/>
          <w:lang w:eastAsia="bg-BG"/>
        </w:rPr>
        <w:t>рецепторите от страна на олмесартан води до повишение на плазмените нива на ренин и концентрациите на ангиотензин I и II, както и до известно понижение на концентрацията на алдостерон в плазмата.</w:t>
      </w:r>
    </w:p>
    <w:p w14:paraId="0A4A6245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8244759" w14:textId="1AF6D4B2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 xml:space="preserve">При развита хипертония, олмесартан медоксомил води до дозозависима, дълго продължаваща редукция на артериалното налягане. Не са получени доказателства за хипотония след първа доза, тахифилаксия по време на дългосрочна терапия или </w:t>
      </w:r>
      <w:r w:rsidRPr="00017225">
        <w:rPr>
          <w:rFonts w:eastAsia="Times New Roman" w:cs="Arial"/>
          <w:color w:val="000000"/>
          <w:lang w:val="en-US"/>
        </w:rPr>
        <w:t>rebound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eastAsia="bg-BG"/>
        </w:rPr>
        <w:t>хипертония след спиране на терапията.</w:t>
      </w:r>
    </w:p>
    <w:p w14:paraId="7C2769DF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2D1FDA5" w14:textId="62A8ADFB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Прилагането на олмесартан медоксомил веднъж дневно осигурява ефективно и постепенно понижаване на артериалното налягане в продължение на 24-часов интервал. Приложение веднъж дневно води до сходно по степен понижение на артериалното налягане, както приложение два пъти дневно при една и съща обща дневна доза.</w:t>
      </w:r>
    </w:p>
    <w:p w14:paraId="75B5FBC8" w14:textId="0F157B3D" w:rsidR="00017225" w:rsidRDefault="00017225" w:rsidP="00017225"/>
    <w:p w14:paraId="0C73C021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При непрекъснато лечение, максималното понижение на артериалното налягане се постига до 8-ата седмица след началото на терапията, въпреки че значителен понижаващ артериалното налягане ефект се наблюдава още на 2-рата седмица от лечението.</w:t>
      </w:r>
    </w:p>
    <w:p w14:paraId="09833B8A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F9E5EA5" w14:textId="257B629F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Ефектът на олмесартан по отношение на заболяемостта и смъртността все още не е известен.</w:t>
      </w:r>
    </w:p>
    <w:p w14:paraId="53209EDD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9A1C3AD" w14:textId="0EF7CA82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u w:val="single"/>
          <w:lang w:eastAsia="bg-BG"/>
        </w:rPr>
        <w:t>Хидрохлоротиазид</w:t>
      </w:r>
      <w:r w:rsidRPr="00017225">
        <w:rPr>
          <w:rFonts w:eastAsia="Times New Roman" w:cs="Arial"/>
          <w:color w:val="000000"/>
          <w:lang w:eastAsia="bg-BG"/>
        </w:rPr>
        <w:t xml:space="preserve"> е тиазиден диуретик. Механизмът на антихипертензивния ефект на тиазидните диуретици не е напълно изяснен. Тиазидите повлияват бъбречните тубулни механизми на електролитна реабсорбция, директно повишават екскрецията на натрий и хлориди в приблизително еквивалентни количества. Диуретичното действие на хидрохлоротиазид намалява плазмения обем, повишава плазмената ренинова активност и увеличава секрецията на алдостерон, с последващо усилване загубата на калий и бикарбонати с урината и понижение на серумния калий. Връзката ренин-алдостерон се медиира от ангиотензин </w:t>
      </w:r>
      <w:r w:rsidRPr="00017225">
        <w:rPr>
          <w:rFonts w:eastAsia="Times New Roman" w:cs="Arial"/>
          <w:color w:val="000000"/>
          <w:lang w:val="en-US"/>
        </w:rPr>
        <w:t>II</w:t>
      </w:r>
      <w:r w:rsidRPr="00017225">
        <w:rPr>
          <w:rFonts w:eastAsia="Times New Roman" w:cs="Arial"/>
          <w:color w:val="000000"/>
          <w:lang w:eastAsia="bg-BG"/>
        </w:rPr>
        <w:t xml:space="preserve">, поради което съпътстващото приложение на ангиотензин </w:t>
      </w:r>
      <w:r w:rsidRPr="00017225">
        <w:rPr>
          <w:rFonts w:eastAsia="Times New Roman" w:cs="Arial"/>
          <w:color w:val="000000"/>
          <w:lang w:val="en-US"/>
        </w:rPr>
        <w:t>II</w:t>
      </w:r>
      <w:r w:rsidRPr="00017225">
        <w:rPr>
          <w:rFonts w:eastAsia="Times New Roman" w:cs="Arial"/>
          <w:color w:val="000000"/>
          <w:lang w:eastAsia="bg-BG"/>
        </w:rPr>
        <w:t>-</w:t>
      </w:r>
      <w:r w:rsidRPr="00017225">
        <w:rPr>
          <w:rFonts w:eastAsia="Times New Roman" w:cs="Arial"/>
          <w:color w:val="000000"/>
          <w:lang w:eastAsia="bg-BG"/>
        </w:rPr>
        <w:lastRenderedPageBreak/>
        <w:t>рецепторни антагонисти има тенденция да компенсира загубата на калий, дължаща се на тиазидните диуретици. С хидрохлоротиазид диурезата започва около 2 часа след приложението, а пиковият ефект се наблюдава около 4 часа след дозата, докато действието му персистира за около 6- 12 часа.</w:t>
      </w:r>
    </w:p>
    <w:p w14:paraId="4D61DE64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DDC6E42" w14:textId="0A8FE571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Епидемиологичните проучвания са установили, че продължителното лечение с монотерапия с хидрохлоротиазид намалява риска от сърдечно-съдова смъртност и болестност.</w:t>
      </w:r>
    </w:p>
    <w:p w14:paraId="3B694704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C7EAC79" w14:textId="3E9D80F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u w:val="single"/>
          <w:lang w:eastAsia="bg-BG"/>
        </w:rPr>
        <w:t>Комбинацията от олмесартан медоксомил и хидрохлоротиазид</w:t>
      </w:r>
      <w:r w:rsidRPr="00017225">
        <w:rPr>
          <w:rFonts w:eastAsia="Times New Roman" w:cs="Arial"/>
          <w:color w:val="000000"/>
          <w:lang w:eastAsia="bg-BG"/>
        </w:rPr>
        <w:t xml:space="preserve"> води до адитивно понижаване на артериалното налягане, което принципно се усилва с дозата на всяка от съставките. В обобщени плацебо-контролирани клинични проучвания приложението на комбинациите 20/12,5 </w:t>
      </w:r>
      <w:r w:rsidRPr="00017225">
        <w:rPr>
          <w:rFonts w:eastAsia="Times New Roman" w:cs="Arial"/>
          <w:color w:val="000000"/>
          <w:lang w:val="en-US"/>
        </w:rPr>
        <w:t>mg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eastAsia="bg-BG"/>
        </w:rPr>
        <w:t xml:space="preserve">и 20/25 </w:t>
      </w:r>
      <w:r w:rsidRPr="00017225">
        <w:rPr>
          <w:rFonts w:eastAsia="Times New Roman" w:cs="Arial"/>
          <w:color w:val="000000"/>
          <w:lang w:val="en-US"/>
        </w:rPr>
        <w:t>mg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eastAsia="bg-BG"/>
        </w:rPr>
        <w:t xml:space="preserve">олмесартан медоксомил/хидрохлоротиазид е довело до средно понижение на систолното/диастолното артериално налягане с 12/7 </w:t>
      </w:r>
      <w:r w:rsidRPr="00017225">
        <w:rPr>
          <w:rFonts w:eastAsia="Times New Roman" w:cs="Arial"/>
          <w:color w:val="000000"/>
          <w:lang w:val="en-US"/>
        </w:rPr>
        <w:t>mm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val="en-US"/>
        </w:rPr>
        <w:t>Hg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eastAsia="bg-BG"/>
        </w:rPr>
        <w:t xml:space="preserve">и съответно 16/9 </w:t>
      </w:r>
      <w:r w:rsidRPr="00017225">
        <w:rPr>
          <w:rFonts w:eastAsia="Times New Roman" w:cs="Arial"/>
          <w:color w:val="000000"/>
          <w:lang w:val="en-US"/>
        </w:rPr>
        <w:t>mm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val="en-US"/>
        </w:rPr>
        <w:t>Hg</w:t>
      </w:r>
      <w:r w:rsidRPr="00017225">
        <w:rPr>
          <w:rFonts w:eastAsia="Times New Roman" w:cs="Arial"/>
          <w:color w:val="000000"/>
          <w:lang w:val="ru-RU"/>
        </w:rPr>
        <w:t xml:space="preserve">. </w:t>
      </w:r>
      <w:r w:rsidRPr="00017225">
        <w:rPr>
          <w:rFonts w:eastAsia="Times New Roman" w:cs="Arial"/>
          <w:color w:val="000000"/>
          <w:lang w:eastAsia="bg-BG"/>
        </w:rPr>
        <w:t>Възрастта и полът не са имали клинично значимо влияние спрямо отговора на комбинираното лечение с олмесартан медоксомил/хидрохоротиазид.</w:t>
      </w:r>
    </w:p>
    <w:p w14:paraId="46C74D6B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2AB7746" w14:textId="50D642A3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 xml:space="preserve">Приложение на 12,5 </w:t>
      </w:r>
      <w:r w:rsidRPr="00017225">
        <w:rPr>
          <w:rFonts w:eastAsia="Times New Roman" w:cs="Arial"/>
          <w:color w:val="000000"/>
          <w:lang w:val="en-US"/>
        </w:rPr>
        <w:t>mg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eastAsia="bg-BG"/>
        </w:rPr>
        <w:t xml:space="preserve">и 25 </w:t>
      </w:r>
      <w:r w:rsidRPr="00017225">
        <w:rPr>
          <w:rFonts w:eastAsia="Times New Roman" w:cs="Arial"/>
          <w:color w:val="000000"/>
          <w:lang w:val="en-US"/>
        </w:rPr>
        <w:t>mg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eastAsia="bg-BG"/>
        </w:rPr>
        <w:t xml:space="preserve">хидрохлоротиазид при пациенти с недостатъчно контролирано от 20 </w:t>
      </w:r>
      <w:r w:rsidRPr="00017225">
        <w:rPr>
          <w:rFonts w:eastAsia="Times New Roman" w:cs="Arial"/>
          <w:color w:val="000000"/>
          <w:lang w:val="en-US"/>
        </w:rPr>
        <w:t>mg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eastAsia="bg-BG"/>
        </w:rPr>
        <w:t xml:space="preserve">олмесартан медоксомил артериално налягане, дава допълнително понижение на 24-часовото систолно/диастолно артериално налягане със 7/5 </w:t>
      </w:r>
      <w:r w:rsidRPr="00017225">
        <w:rPr>
          <w:rFonts w:eastAsia="Times New Roman" w:cs="Arial"/>
          <w:color w:val="000000"/>
          <w:lang w:val="en-US"/>
        </w:rPr>
        <w:t>mm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val="en-US"/>
        </w:rPr>
        <w:t>Hg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eastAsia="bg-BG"/>
        </w:rPr>
        <w:t xml:space="preserve">и съответно 12/7 </w:t>
      </w:r>
      <w:r w:rsidRPr="00017225">
        <w:rPr>
          <w:rFonts w:eastAsia="Times New Roman" w:cs="Arial"/>
          <w:color w:val="000000"/>
          <w:lang w:val="en-US"/>
        </w:rPr>
        <w:t>mm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val="en-US"/>
        </w:rPr>
        <w:t>Hg</w:t>
      </w:r>
      <w:r w:rsidRPr="00017225">
        <w:rPr>
          <w:rFonts w:eastAsia="Times New Roman" w:cs="Arial"/>
          <w:color w:val="000000"/>
          <w:lang w:val="ru-RU"/>
        </w:rPr>
        <w:t xml:space="preserve">, </w:t>
      </w:r>
      <w:r w:rsidRPr="00017225">
        <w:rPr>
          <w:rFonts w:eastAsia="Times New Roman" w:cs="Arial"/>
          <w:color w:val="000000"/>
          <w:lang w:eastAsia="bg-BG"/>
        </w:rPr>
        <w:t xml:space="preserve">измерено с амбулаторно мониториране на АН спрямо изходната монотерапия с олмесартан медоксомил. Допълнително средното понижение на систолното/диастолно артериално налягане при сравнение с изходните стойности, измерени с конвенционални методи е било 11/10 </w:t>
      </w:r>
      <w:r w:rsidRPr="00017225">
        <w:rPr>
          <w:rFonts w:eastAsia="Times New Roman" w:cs="Arial"/>
          <w:color w:val="000000"/>
          <w:lang w:val="en-US"/>
        </w:rPr>
        <w:t>mm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val="en-US"/>
        </w:rPr>
        <w:t>Hg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eastAsia="bg-BG"/>
        </w:rPr>
        <w:t xml:space="preserve">и съответно 16/11 </w:t>
      </w:r>
      <w:r w:rsidRPr="00017225">
        <w:rPr>
          <w:rFonts w:eastAsia="Times New Roman" w:cs="Arial"/>
          <w:color w:val="000000"/>
          <w:lang w:val="en-US"/>
        </w:rPr>
        <w:t>mm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val="en-US"/>
        </w:rPr>
        <w:t>Hg</w:t>
      </w:r>
      <w:r w:rsidRPr="00017225">
        <w:rPr>
          <w:rFonts w:eastAsia="Times New Roman" w:cs="Arial"/>
          <w:color w:val="000000"/>
          <w:lang w:val="ru-RU"/>
        </w:rPr>
        <w:t>.</w:t>
      </w:r>
    </w:p>
    <w:p w14:paraId="27069688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70B7FAF" w14:textId="5297DD03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 xml:space="preserve">Ефективността на комбинацията олмесартан медоксомил/хидрохоротиазид се поддържа при продължително (една година) лечение. Спиране на терапията с олмесартан медоксомил със или без съпътстващо приложение на хидрохлоротиазид не е довело до </w:t>
      </w:r>
      <w:r w:rsidRPr="00017225">
        <w:rPr>
          <w:rFonts w:eastAsia="Times New Roman" w:cs="Arial"/>
          <w:color w:val="000000"/>
          <w:lang w:val="en-US"/>
        </w:rPr>
        <w:t>rebound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eastAsia="bg-BG"/>
        </w:rPr>
        <w:t>хипертония.</w:t>
      </w:r>
    </w:p>
    <w:p w14:paraId="6F2E52CF" w14:textId="499E2254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Ефектите на фиксираната дозова комбинация от олмесартан медоксомил/хидрохлоротиазид по отношение на смъртността и сърдечно-съдовата заболяемост понастоящем са неизвестни.</w:t>
      </w:r>
    </w:p>
    <w:p w14:paraId="4B7649DE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F2BC12A" w14:textId="42C99C19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 xml:space="preserve">Две големи рандомизирани контролирани проучвания - </w:t>
      </w:r>
      <w:r w:rsidRPr="00017225">
        <w:rPr>
          <w:rFonts w:eastAsia="Times New Roman" w:cs="Arial"/>
          <w:color w:val="000000"/>
          <w:lang w:val="en-US"/>
        </w:rPr>
        <w:t>ONTARGET</w:t>
      </w:r>
      <w:r w:rsidRPr="00017225">
        <w:rPr>
          <w:rFonts w:eastAsia="Times New Roman" w:cs="Arial"/>
          <w:color w:val="000000"/>
        </w:rPr>
        <w:t xml:space="preserve"> (</w:t>
      </w:r>
      <w:proofErr w:type="spellStart"/>
      <w:r w:rsidRPr="00017225">
        <w:rPr>
          <w:rFonts w:eastAsia="Times New Roman" w:cs="Arial"/>
          <w:color w:val="000000"/>
          <w:lang w:val="en-US"/>
        </w:rPr>
        <w:t>ONgoing</w:t>
      </w:r>
      <w:proofErr w:type="spellEnd"/>
      <w:r w:rsidRPr="00017225">
        <w:rPr>
          <w:rFonts w:eastAsia="Times New Roman" w:cs="Arial"/>
          <w:color w:val="000000"/>
        </w:rPr>
        <w:t xml:space="preserve"> </w:t>
      </w:r>
      <w:proofErr w:type="spellStart"/>
      <w:r w:rsidRPr="00017225">
        <w:rPr>
          <w:rFonts w:eastAsia="Times New Roman" w:cs="Arial"/>
          <w:color w:val="000000"/>
          <w:lang w:val="en-US"/>
        </w:rPr>
        <w:t>Telmisartan</w:t>
      </w:r>
      <w:proofErr w:type="spellEnd"/>
      <w:r w:rsidRPr="00017225">
        <w:rPr>
          <w:rFonts w:eastAsia="Times New Roman" w:cs="Arial"/>
          <w:color w:val="000000"/>
        </w:rPr>
        <w:t xml:space="preserve"> </w:t>
      </w:r>
      <w:r w:rsidRPr="00017225">
        <w:rPr>
          <w:rFonts w:eastAsia="Times New Roman" w:cs="Arial"/>
          <w:color w:val="000000"/>
          <w:lang w:val="en-US"/>
        </w:rPr>
        <w:t>Alone</w:t>
      </w:r>
      <w:r w:rsidRPr="00017225">
        <w:rPr>
          <w:rFonts w:eastAsia="Times New Roman" w:cs="Arial"/>
          <w:color w:val="000000"/>
        </w:rPr>
        <w:t xml:space="preserve"> </w:t>
      </w:r>
      <w:r w:rsidRPr="00017225">
        <w:rPr>
          <w:rFonts w:eastAsia="Times New Roman" w:cs="Arial"/>
          <w:color w:val="000000"/>
          <w:lang w:val="en-US"/>
        </w:rPr>
        <w:t>and</w:t>
      </w:r>
      <w:r w:rsidRPr="00017225">
        <w:rPr>
          <w:rFonts w:eastAsia="Times New Roman" w:cs="Arial"/>
          <w:color w:val="000000"/>
        </w:rPr>
        <w:t xml:space="preserve"> </w:t>
      </w:r>
      <w:r w:rsidRPr="00017225">
        <w:rPr>
          <w:rFonts w:eastAsia="Times New Roman" w:cs="Arial"/>
          <w:color w:val="000000"/>
          <w:lang w:val="en-US"/>
        </w:rPr>
        <w:t>in</w:t>
      </w:r>
      <w:r w:rsidRPr="00017225">
        <w:rPr>
          <w:rFonts w:eastAsia="Times New Roman" w:cs="Arial"/>
          <w:color w:val="000000"/>
        </w:rPr>
        <w:t xml:space="preserve"> </w:t>
      </w:r>
      <w:r w:rsidRPr="00017225">
        <w:rPr>
          <w:rFonts w:eastAsia="Times New Roman" w:cs="Arial"/>
          <w:color w:val="000000"/>
          <w:lang w:val="en-US"/>
        </w:rPr>
        <w:t>combination</w:t>
      </w:r>
      <w:r w:rsidRPr="00017225">
        <w:rPr>
          <w:rFonts w:eastAsia="Times New Roman" w:cs="Arial"/>
          <w:color w:val="000000"/>
        </w:rPr>
        <w:t xml:space="preserve"> </w:t>
      </w:r>
      <w:r w:rsidRPr="00017225">
        <w:rPr>
          <w:rFonts w:eastAsia="Times New Roman" w:cs="Arial"/>
          <w:color w:val="000000"/>
          <w:lang w:val="en-US"/>
        </w:rPr>
        <w:t>with</w:t>
      </w:r>
      <w:r w:rsidRPr="00017225">
        <w:rPr>
          <w:rFonts w:eastAsia="Times New Roman" w:cs="Arial"/>
          <w:color w:val="000000"/>
        </w:rPr>
        <w:t xml:space="preserve"> </w:t>
      </w:r>
      <w:r w:rsidRPr="00017225">
        <w:rPr>
          <w:rFonts w:eastAsia="Times New Roman" w:cs="Arial"/>
          <w:color w:val="000000"/>
          <w:lang w:val="en-US"/>
        </w:rPr>
        <w:t>Ramipril</w:t>
      </w:r>
      <w:r w:rsidRPr="00017225">
        <w:rPr>
          <w:rFonts w:eastAsia="Times New Roman" w:cs="Arial"/>
          <w:color w:val="000000"/>
        </w:rPr>
        <w:t xml:space="preserve"> </w:t>
      </w:r>
      <w:r w:rsidRPr="00017225">
        <w:rPr>
          <w:rFonts w:eastAsia="Times New Roman" w:cs="Arial"/>
          <w:color w:val="000000"/>
          <w:lang w:val="en-US"/>
        </w:rPr>
        <w:t>Global</w:t>
      </w:r>
      <w:r w:rsidRPr="00017225">
        <w:rPr>
          <w:rFonts w:eastAsia="Times New Roman" w:cs="Arial"/>
          <w:color w:val="000000"/>
        </w:rPr>
        <w:t xml:space="preserve"> </w:t>
      </w:r>
      <w:r w:rsidRPr="00017225">
        <w:rPr>
          <w:rFonts w:eastAsia="Times New Roman" w:cs="Arial"/>
          <w:color w:val="000000"/>
          <w:lang w:val="en-US"/>
        </w:rPr>
        <w:t>Endpoint</w:t>
      </w:r>
      <w:r w:rsidRPr="00017225">
        <w:rPr>
          <w:rFonts w:eastAsia="Times New Roman" w:cs="Arial"/>
          <w:color w:val="000000"/>
        </w:rPr>
        <w:t xml:space="preserve"> </w:t>
      </w:r>
      <w:r w:rsidRPr="00017225">
        <w:rPr>
          <w:rFonts w:eastAsia="Times New Roman" w:cs="Arial"/>
          <w:color w:val="000000"/>
          <w:lang w:val="en-US"/>
        </w:rPr>
        <w:t>Trial</w:t>
      </w:r>
      <w:r w:rsidRPr="00017225">
        <w:rPr>
          <w:rFonts w:eastAsia="Times New Roman" w:cs="Arial"/>
          <w:color w:val="000000"/>
        </w:rPr>
        <w:t xml:space="preserve"> - </w:t>
      </w:r>
      <w:r w:rsidRPr="00017225">
        <w:rPr>
          <w:rFonts w:eastAsia="Times New Roman" w:cs="Arial"/>
          <w:color w:val="000000"/>
          <w:lang w:eastAsia="bg-BG"/>
        </w:rPr>
        <w:t xml:space="preserve">текущо глобално изпитване за крайни точки на телмисартан, самостоятелно и в комбинация с рамиприл) и </w:t>
      </w:r>
      <w:r w:rsidRPr="00017225">
        <w:rPr>
          <w:rFonts w:eastAsia="Times New Roman" w:cs="Arial"/>
          <w:color w:val="000000"/>
          <w:lang w:val="en-US"/>
        </w:rPr>
        <w:t>VA</w:t>
      </w:r>
      <w:r w:rsidRPr="00017225">
        <w:rPr>
          <w:rFonts w:eastAsia="Times New Roman" w:cs="Arial"/>
          <w:color w:val="000000"/>
        </w:rPr>
        <w:t xml:space="preserve"> </w:t>
      </w:r>
      <w:r w:rsidRPr="00017225">
        <w:rPr>
          <w:rFonts w:eastAsia="Times New Roman" w:cs="Arial"/>
          <w:color w:val="000000"/>
          <w:lang w:val="en-US"/>
        </w:rPr>
        <w:t>NEPHRON</w:t>
      </w:r>
      <w:r w:rsidRPr="00017225">
        <w:rPr>
          <w:rFonts w:eastAsia="Times New Roman" w:cs="Arial"/>
          <w:color w:val="000000"/>
        </w:rPr>
        <w:t>-</w:t>
      </w:r>
      <w:r w:rsidRPr="00017225">
        <w:rPr>
          <w:rFonts w:eastAsia="Times New Roman" w:cs="Arial"/>
          <w:color w:val="000000"/>
          <w:lang w:val="en-US"/>
        </w:rPr>
        <w:t>D</w:t>
      </w:r>
      <w:r w:rsidRPr="00017225">
        <w:rPr>
          <w:rFonts w:eastAsia="Times New Roman" w:cs="Arial"/>
          <w:color w:val="000000"/>
        </w:rPr>
        <w:t xml:space="preserve"> </w:t>
      </w:r>
      <w:r w:rsidRPr="00017225">
        <w:rPr>
          <w:rFonts w:eastAsia="Times New Roman" w:cs="Arial"/>
          <w:color w:val="000000"/>
          <w:lang w:eastAsia="bg-BG"/>
        </w:rPr>
        <w:t xml:space="preserve">(Клинично проучване свързано с развитие на нефропатия при диабет, проведено от Министерството по въпросите на ветераните) - проучват употребата на комбинацията от АСЕ инхибитор и ангиотензин </w:t>
      </w:r>
      <w:r w:rsidRPr="00017225">
        <w:rPr>
          <w:rFonts w:eastAsia="Times New Roman" w:cs="Arial"/>
          <w:color w:val="000000"/>
          <w:lang w:val="en-US"/>
        </w:rPr>
        <w:t>II</w:t>
      </w:r>
      <w:r w:rsidRPr="00017225">
        <w:rPr>
          <w:rFonts w:eastAsia="Times New Roman" w:cs="Arial"/>
          <w:color w:val="000000"/>
          <w:lang w:eastAsia="bg-BG"/>
        </w:rPr>
        <w:t>-рецепторен блокер.</w:t>
      </w:r>
    </w:p>
    <w:p w14:paraId="2C9E4CBD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val="en-US"/>
        </w:rPr>
        <w:t>ONTARGET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eastAsia="bg-BG"/>
        </w:rPr>
        <w:t xml:space="preserve">е проучване, проведено при пациенти с анамнеза за сърдечно-съдова или мозъчносъдова болест, или захарен диабет тип 2, придружени с данни за увреждане на ефекторни органи. </w:t>
      </w:r>
      <w:r w:rsidRPr="00017225">
        <w:rPr>
          <w:rFonts w:eastAsia="Times New Roman" w:cs="Arial"/>
          <w:color w:val="000000"/>
          <w:lang w:val="en-US"/>
        </w:rPr>
        <w:t>VA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val="en-US"/>
        </w:rPr>
        <w:t>NEPHRON</w:t>
      </w:r>
      <w:r w:rsidRPr="00017225">
        <w:rPr>
          <w:rFonts w:eastAsia="Times New Roman" w:cs="Arial"/>
          <w:color w:val="000000"/>
          <w:lang w:val="ru-RU"/>
        </w:rPr>
        <w:t>-</w:t>
      </w:r>
      <w:r w:rsidRPr="00017225">
        <w:rPr>
          <w:rFonts w:eastAsia="Times New Roman" w:cs="Arial"/>
          <w:color w:val="000000"/>
          <w:lang w:val="en-US"/>
        </w:rPr>
        <w:t>D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eastAsia="bg-BG"/>
        </w:rPr>
        <w:t>е проучване при пациенти със захарен диабет тип 2 и диабетна нефропатия.</w:t>
      </w:r>
    </w:p>
    <w:p w14:paraId="462583F0" w14:textId="13FC9AE0" w:rsidR="00017225" w:rsidRDefault="00017225" w:rsidP="00017225">
      <w:pPr>
        <w:rPr>
          <w:rFonts w:eastAsia="Times New Roman" w:cs="Arial"/>
          <w:color w:val="000000"/>
          <w:lang w:eastAsia="bg-BG"/>
        </w:rPr>
      </w:pPr>
      <w:r w:rsidRPr="00017225">
        <w:rPr>
          <w:rFonts w:eastAsia="Times New Roman" w:cs="Arial"/>
          <w:color w:val="000000"/>
          <w:lang w:eastAsia="bg-BG"/>
        </w:rPr>
        <w:t>Тези проучвания не показват значим благоприятен ефект върху бъбречните и/или сърдечно- съдовите последици и смъртност, като същевременно са наблюдавани повишем роск от хиперкалиемия, остро увреждане на бъбреците и/или хипотония в сравнение с монотерапията.</w:t>
      </w:r>
    </w:p>
    <w:p w14:paraId="5CCE32F4" w14:textId="6D85A197" w:rsidR="00017225" w:rsidRDefault="00017225" w:rsidP="00017225">
      <w:pPr>
        <w:rPr>
          <w:rFonts w:eastAsia="Times New Roman" w:cs="Arial"/>
          <w:color w:val="000000"/>
          <w:lang w:eastAsia="bg-BG"/>
        </w:rPr>
      </w:pPr>
    </w:p>
    <w:p w14:paraId="155D7A55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 xml:space="preserve">Като се имат предвид сходните им фармакодинамични свойства, тези резултати са приложими и за други АСЕ инхибитори и ангиотензин </w:t>
      </w:r>
      <w:r w:rsidRPr="00017225">
        <w:rPr>
          <w:rFonts w:eastAsia="Times New Roman" w:cs="Arial"/>
          <w:color w:val="000000"/>
          <w:lang w:val="en-US"/>
        </w:rPr>
        <w:t>II</w:t>
      </w:r>
      <w:r w:rsidRPr="00017225">
        <w:rPr>
          <w:rFonts w:eastAsia="Times New Roman" w:cs="Arial"/>
          <w:color w:val="000000"/>
          <w:lang w:eastAsia="bg-BG"/>
        </w:rPr>
        <w:t>-рецепторни блокери.</w:t>
      </w:r>
    </w:p>
    <w:p w14:paraId="3E2AC624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lastRenderedPageBreak/>
        <w:t xml:space="preserve">АСЕ инхибитори и ангиотензин </w:t>
      </w:r>
      <w:r w:rsidRPr="00017225">
        <w:rPr>
          <w:rFonts w:eastAsia="Times New Roman" w:cs="Arial"/>
          <w:color w:val="000000"/>
          <w:lang w:val="en-US"/>
        </w:rPr>
        <w:t>II</w:t>
      </w:r>
      <w:r w:rsidRPr="00017225">
        <w:rPr>
          <w:rFonts w:eastAsia="Times New Roman" w:cs="Arial"/>
          <w:color w:val="000000"/>
          <w:lang w:eastAsia="bg-BG"/>
        </w:rPr>
        <w:t>-рецепторни блокери следователно не трябва да се използват едновременно при пациенти с диабетна нефропатия.</w:t>
      </w:r>
    </w:p>
    <w:p w14:paraId="0A001834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val="en-US"/>
        </w:rPr>
        <w:t>ALTITUDE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eastAsia="bg-BG"/>
        </w:rPr>
        <w:t xml:space="preserve">(Клинично проучване, проведено с алискирен при пациенти със захарен диабет тип 2 с използване на сърдечно-съдови и бъбречни заболявалия като крайни точки) е проучване, предназначено да изследва ползата от добавянето на алискирен към стандартна терапия с АСЕ инхибитор или ангиотензин </w:t>
      </w:r>
      <w:r w:rsidRPr="00017225">
        <w:rPr>
          <w:rFonts w:eastAsia="Times New Roman" w:cs="Arial"/>
          <w:color w:val="000000"/>
          <w:lang w:val="en-US"/>
        </w:rPr>
        <w:t>II</w:t>
      </w:r>
      <w:r w:rsidRPr="00017225">
        <w:rPr>
          <w:rFonts w:eastAsia="Times New Roman" w:cs="Arial"/>
          <w:color w:val="000000"/>
          <w:lang w:eastAsia="bg-BG"/>
        </w:rPr>
        <w:t>-рецепторен блокер при пациенти със захарен диабет тип 2 и хронично бъбречно заболяване, сърдечно-съдово заболяване или и двете. Проучването е прекратено преждевременно поради повишен риск от неблагоприятни последици. Както сърдечно-съдовата смърт, така и инсултът са по-чести в групата на алискирен, отколкото в плацебо-групата, а представляващите интерес нежелани събития и сериозни нежелани събития (хиперкалиемия, хипотония и бъбречна дисфункция) се съобщават по-често в групата на алискирен, отколкото в групата на плацебо.</w:t>
      </w:r>
    </w:p>
    <w:p w14:paraId="3A950DB9" w14:textId="77777777" w:rsidR="00017225" w:rsidRPr="00017225" w:rsidRDefault="00017225" w:rsidP="00017225">
      <w:pPr>
        <w:rPr>
          <w:rFonts w:cs="Arial"/>
        </w:rPr>
      </w:pPr>
    </w:p>
    <w:p w14:paraId="35F84B81" w14:textId="1C2D4913" w:rsidR="00CF77F7" w:rsidRDefault="002C50EE" w:rsidP="004A448E">
      <w:pPr>
        <w:pStyle w:val="Heading2"/>
      </w:pPr>
      <w:r>
        <w:t>5.2. Фармакокинетични свойства</w:t>
      </w:r>
    </w:p>
    <w:p w14:paraId="10591221" w14:textId="4419469E" w:rsidR="00017225" w:rsidRDefault="00017225" w:rsidP="00017225"/>
    <w:p w14:paraId="0A704E19" w14:textId="77777777" w:rsidR="00017225" w:rsidRPr="00B05701" w:rsidRDefault="00017225" w:rsidP="00B05701">
      <w:pPr>
        <w:pStyle w:val="Heading3"/>
        <w:rPr>
          <w:rFonts w:eastAsia="Times New Roman"/>
          <w:u w:val="single"/>
        </w:rPr>
      </w:pPr>
      <w:r w:rsidRPr="00B05701">
        <w:rPr>
          <w:rFonts w:eastAsia="Times New Roman"/>
          <w:u w:val="single"/>
          <w:lang w:eastAsia="bg-BG"/>
        </w:rPr>
        <w:t>Абсорбция и разпределение</w:t>
      </w:r>
    </w:p>
    <w:p w14:paraId="1C0EAAA6" w14:textId="77777777" w:rsidR="00017225" w:rsidRDefault="00017225" w:rsidP="0001722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170DC0B" w14:textId="3908A780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i/>
          <w:iCs/>
          <w:color w:val="000000"/>
          <w:lang w:eastAsia="bg-BG"/>
        </w:rPr>
        <w:t>Олмесартан медоксомил</w:t>
      </w:r>
    </w:p>
    <w:p w14:paraId="40C79BDE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1B645FF" w14:textId="79B5714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Олмесартан медоксомил е пролекарство. Той бързо се преобразува от естеразите в чревната мукоза и в кръвта на порталната вена по време на абсорбцията от стомашно-чревния тракт във фармакологично активен метаболит олмесартан. В плазмата или екскретите не са открити интактен олмесартан медоксомил или непроменена странична медоксомилова верига. Средната абсолютна бионаличност на олмесартан таблетки е 25,6%.</w:t>
      </w:r>
    </w:p>
    <w:p w14:paraId="2FFE02CB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8A823B9" w14:textId="44B35CDA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Средната пикова плазмена концентрация (С</w:t>
      </w:r>
      <w:r w:rsidRPr="00017225">
        <w:rPr>
          <w:rFonts w:eastAsia="Times New Roman" w:cs="Arial"/>
          <w:color w:val="000000"/>
          <w:vertAlign w:val="subscript"/>
          <w:lang w:val="en-US"/>
        </w:rPr>
        <w:t>max</w:t>
      </w:r>
      <w:r w:rsidRPr="00017225">
        <w:rPr>
          <w:rFonts w:eastAsia="Times New Roman" w:cs="Arial"/>
          <w:color w:val="000000"/>
          <w:lang w:eastAsia="bg-BG"/>
        </w:rPr>
        <w:t xml:space="preserve">) на олмесартан се постига до 2 часа след перорално приложение на олмесартан медоксомил, като плазмените концентрации на олмесартан се повишават почти линейно с повишаване на еднократната перорална доза до около 80 </w:t>
      </w:r>
      <w:r w:rsidRPr="00017225">
        <w:rPr>
          <w:rFonts w:eastAsia="Times New Roman" w:cs="Arial"/>
          <w:color w:val="000000"/>
          <w:lang w:val="en-US"/>
        </w:rPr>
        <w:t>mg</w:t>
      </w:r>
      <w:r w:rsidRPr="00017225">
        <w:rPr>
          <w:rFonts w:eastAsia="Times New Roman" w:cs="Arial"/>
          <w:color w:val="000000"/>
          <w:lang w:val="ru-RU"/>
        </w:rPr>
        <w:t>.</w:t>
      </w:r>
    </w:p>
    <w:p w14:paraId="19117A08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56F531D" w14:textId="3EBDF94B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Храната има минимален ефект върху бионаличностга на олмесартан, поради което олмесартан медоксомил може да се прилага със или без храна.</w:t>
      </w:r>
    </w:p>
    <w:p w14:paraId="1B281880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AD45062" w14:textId="4E8338D5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Не са наблюдавани клинично значими междуполови различия във фармакокинетиката на олмесартан.</w:t>
      </w:r>
    </w:p>
    <w:p w14:paraId="0759C6BC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E1C9910" w14:textId="6C40A729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Олмесартан се свързва в голяма степен с плазмените протеини (99,7%), но вероятността за клинично значими взаимодействия, дължащи се на изместване от мястото на свързване между олмесартан и други лекарствени продукти с висока степен на свързване с плазмените протеини е ниска (което е било потвърдено от липсата на клинично значимо взаимодействие между олмесартан медоксомил и варфарин). Свързването на олмесартан с кръвните клетки е незначително. Средният обем на разпределение след интравенозно приложение е нисък (16-29 1).</w:t>
      </w:r>
    </w:p>
    <w:p w14:paraId="514670E9" w14:textId="77777777" w:rsidR="00017225" w:rsidRDefault="00017225" w:rsidP="0001722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A28F65F" w14:textId="1A29D112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i/>
          <w:iCs/>
          <w:color w:val="000000"/>
          <w:lang w:eastAsia="bg-BG"/>
        </w:rPr>
        <w:t>Хидрохлоротиазид</w:t>
      </w:r>
    </w:p>
    <w:p w14:paraId="00806239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 xml:space="preserve">След перорално приложение на олмесартан медоксомил и хидрохлоротиазид в комбинация, средното време за достигане на пикови концентрации на хидрохлоротиазид </w:t>
      </w:r>
      <w:r w:rsidRPr="00017225">
        <w:rPr>
          <w:rFonts w:eastAsia="Times New Roman" w:cs="Arial"/>
          <w:color w:val="000000"/>
          <w:lang w:eastAsia="bg-BG"/>
        </w:rPr>
        <w:lastRenderedPageBreak/>
        <w:t>е било 1,5 до 2 часа след приложението. Хидрохлоротиазид се свързва с плазмените протеини в 68%, а видимият обем на разпределение е 0,83-1,14</w:t>
      </w:r>
      <w:r w:rsidRPr="00017225">
        <w:rPr>
          <w:rFonts w:eastAsia="Times New Roman" w:cs="Arial"/>
          <w:color w:val="000000"/>
          <w:lang w:val="ru-RU"/>
        </w:rPr>
        <w:t>1/</w:t>
      </w:r>
      <w:r w:rsidRPr="00017225">
        <w:rPr>
          <w:rFonts w:eastAsia="Times New Roman" w:cs="Arial"/>
          <w:color w:val="000000"/>
          <w:lang w:val="en-US"/>
        </w:rPr>
        <w:t>kg</w:t>
      </w:r>
      <w:r w:rsidRPr="00017225">
        <w:rPr>
          <w:rFonts w:eastAsia="Times New Roman" w:cs="Arial"/>
          <w:color w:val="000000"/>
          <w:lang w:val="ru-RU"/>
        </w:rPr>
        <w:t>.</w:t>
      </w:r>
    </w:p>
    <w:p w14:paraId="7510B963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844D1AA" w14:textId="16667E8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u w:val="single"/>
          <w:lang w:eastAsia="bg-BG"/>
        </w:rPr>
        <w:t>Метаболизъм и елиминиране</w:t>
      </w:r>
    </w:p>
    <w:p w14:paraId="632C3FFF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</w:p>
    <w:p w14:paraId="33A00BC1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i/>
          <w:iCs/>
          <w:color w:val="000000"/>
          <w:lang w:eastAsia="bg-BG"/>
        </w:rPr>
        <w:t>Олмесартан медоксомил</w:t>
      </w:r>
    </w:p>
    <w:p w14:paraId="6BECBC77" w14:textId="04BB0A87" w:rsidR="00017225" w:rsidRPr="00017225" w:rsidRDefault="00017225" w:rsidP="0057744D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 xml:space="preserve">Тоталният плазмен клирънс на олмесартан обикновено е 1,3 </w:t>
      </w:r>
      <w:r w:rsidRPr="00017225">
        <w:rPr>
          <w:rFonts w:eastAsia="Times New Roman" w:cs="Arial"/>
          <w:color w:val="000000"/>
          <w:lang w:val="en-US"/>
        </w:rPr>
        <w:t>I</w:t>
      </w:r>
      <w:r w:rsidRPr="00017225">
        <w:rPr>
          <w:rFonts w:eastAsia="Times New Roman" w:cs="Arial"/>
          <w:color w:val="000000"/>
          <w:lang w:val="ru-RU"/>
        </w:rPr>
        <w:t>/</w:t>
      </w:r>
      <w:r w:rsidRPr="00017225">
        <w:rPr>
          <w:rFonts w:eastAsia="Times New Roman" w:cs="Arial"/>
          <w:color w:val="000000"/>
          <w:lang w:val="en-US"/>
        </w:rPr>
        <w:t>h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eastAsia="bg-BG"/>
        </w:rPr>
        <w:t xml:space="preserve">(СV, 19%) и е сравнително нисък в сравнение с чернодробния кръвоток (около 30 </w:t>
      </w:r>
      <w:r w:rsidR="0057744D">
        <w:rPr>
          <w:rFonts w:eastAsia="Times New Roman" w:cs="Arial"/>
          <w:color w:val="000000"/>
          <w:lang w:val="en-US"/>
        </w:rPr>
        <w:t>l</w:t>
      </w:r>
      <w:r w:rsidRPr="00017225">
        <w:rPr>
          <w:rFonts w:eastAsia="Times New Roman" w:cs="Arial"/>
          <w:color w:val="000000"/>
          <w:lang w:val="ru-RU"/>
        </w:rPr>
        <w:t>/</w:t>
      </w:r>
      <w:r w:rsidRPr="00017225">
        <w:rPr>
          <w:rFonts w:eastAsia="Times New Roman" w:cs="Arial"/>
          <w:color w:val="000000"/>
          <w:lang w:val="en-US"/>
        </w:rPr>
        <w:t>h</w:t>
      </w:r>
      <w:r w:rsidRPr="00017225">
        <w:rPr>
          <w:rFonts w:eastAsia="Times New Roman" w:cs="Arial"/>
          <w:color w:val="000000"/>
          <w:lang w:val="ru-RU"/>
        </w:rPr>
        <w:t xml:space="preserve">). </w:t>
      </w:r>
      <w:r w:rsidRPr="00017225">
        <w:rPr>
          <w:rFonts w:eastAsia="Times New Roman" w:cs="Arial"/>
          <w:color w:val="000000"/>
          <w:lang w:eastAsia="bg-BG"/>
        </w:rPr>
        <w:t>След перорално приложение на еднократна доза</w:t>
      </w:r>
      <w:r w:rsidR="0057744D">
        <w:rPr>
          <w:rFonts w:eastAsia="Times New Roman" w:cs="Arial"/>
          <w:lang w:val="en-US"/>
        </w:rPr>
        <w:t xml:space="preserve"> </w:t>
      </w:r>
      <w:r w:rsidRPr="00017225">
        <w:rPr>
          <w:rFonts w:eastAsia="Times New Roman" w:cs="Arial"/>
          <w:color w:val="000000"/>
          <w:lang w:eastAsia="bg-BG"/>
        </w:rPr>
        <w:t xml:space="preserve">маркиран с </w:t>
      </w:r>
      <w:r w:rsidRPr="00017225">
        <w:rPr>
          <w:rFonts w:eastAsia="Times New Roman" w:cs="Arial"/>
          <w:color w:val="000000"/>
          <w:vertAlign w:val="superscript"/>
          <w:lang w:eastAsia="bg-BG"/>
        </w:rPr>
        <w:t>14</w:t>
      </w:r>
      <w:r w:rsidRPr="00017225">
        <w:rPr>
          <w:rFonts w:eastAsia="Times New Roman" w:cs="Arial"/>
          <w:color w:val="000000"/>
          <w:lang w:eastAsia="bg-BG"/>
        </w:rPr>
        <w:t>С олмесартан медоксомил, 10-16% от приложената радиоактивност е била екскретирана в урината (по-голямата част в рамките на 24 часа след приложението), а останалата част е била</w:t>
      </w:r>
      <w:r w:rsidRPr="00017225">
        <w:rPr>
          <w:rFonts w:eastAsia="Times New Roman" w:cs="Arial"/>
          <w:color w:val="000000"/>
          <w:lang w:val="ru-RU" w:eastAsia="bg-BG"/>
        </w:rPr>
        <w:t xml:space="preserve"> </w:t>
      </w:r>
      <w:r w:rsidRPr="00017225">
        <w:rPr>
          <w:rFonts w:eastAsia="Times New Roman" w:cs="Arial"/>
          <w:color w:val="000000"/>
          <w:lang w:eastAsia="bg-BG"/>
        </w:rPr>
        <w:t>открита в изпражненията. Като се има предвид системната наличност от 25,6%, може да се изчисли че абсорбираният олмесартан се очиства чрез бъбречна екскреция (около 40%) и хепатобилиарна екскреция (около 60%). Установено е, че цялата възстановена радиоактивност се дължи на олмесартан. Не са намерени други съществени метаболити. Ентерохепаталният кръговрат на олмесартан е минимален. Тъй като голяма част от олмесартан се екскретира през жлъчните пътища, употребата му при пациенти с билиарна обструкция е противопоказана (вж. точка 4.3).</w:t>
      </w:r>
    </w:p>
    <w:p w14:paraId="5F7B2AF5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4070302" w14:textId="7818838A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 xml:space="preserve">Терминалният елиминационен полуживот на олмесартан варира между 10 и 15 часа след многократно перорално приложение. Стационарно състояние </w:t>
      </w:r>
      <w:r w:rsidRPr="00017225">
        <w:rPr>
          <w:rFonts w:eastAsia="Times New Roman" w:cs="Arial"/>
          <w:color w:val="000000"/>
          <w:lang w:val="ru-RU"/>
        </w:rPr>
        <w:t>(</w:t>
      </w:r>
      <w:r w:rsidRPr="00017225">
        <w:rPr>
          <w:rFonts w:eastAsia="Times New Roman" w:cs="Arial"/>
          <w:color w:val="000000"/>
          <w:lang w:val="en-US"/>
        </w:rPr>
        <w:t>steady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val="en-US"/>
        </w:rPr>
        <w:t>state</w:t>
      </w:r>
      <w:r w:rsidRPr="00017225">
        <w:rPr>
          <w:rFonts w:eastAsia="Times New Roman" w:cs="Arial"/>
          <w:color w:val="000000"/>
          <w:lang w:val="ru-RU"/>
        </w:rPr>
        <w:t xml:space="preserve">) </w:t>
      </w:r>
      <w:r w:rsidRPr="00017225">
        <w:rPr>
          <w:rFonts w:eastAsia="Times New Roman" w:cs="Arial"/>
          <w:color w:val="000000"/>
          <w:lang w:eastAsia="bg-BG"/>
        </w:rPr>
        <w:t xml:space="preserve">е достигнато след първите няколко дози и след 14 дни не са намерени доказателства за допълнително натрупване. Бъбречният клирънс е бил приблизително 0,5-0,7 </w:t>
      </w:r>
      <w:r w:rsidRPr="00017225">
        <w:rPr>
          <w:rFonts w:eastAsia="Times New Roman" w:cs="Arial"/>
          <w:color w:val="000000"/>
          <w:lang w:val="en-US"/>
        </w:rPr>
        <w:t>L</w:t>
      </w:r>
      <w:r w:rsidRPr="00017225">
        <w:rPr>
          <w:rFonts w:eastAsia="Times New Roman" w:cs="Arial"/>
          <w:color w:val="000000"/>
          <w:lang w:val="ru-RU"/>
        </w:rPr>
        <w:t>/</w:t>
      </w:r>
      <w:r w:rsidRPr="00017225">
        <w:rPr>
          <w:rFonts w:eastAsia="Times New Roman" w:cs="Arial"/>
          <w:color w:val="000000"/>
          <w:lang w:val="en-US"/>
        </w:rPr>
        <w:t>h</w:t>
      </w:r>
      <w:r w:rsidRPr="00017225">
        <w:rPr>
          <w:rFonts w:eastAsia="Times New Roman" w:cs="Arial"/>
          <w:color w:val="000000"/>
          <w:lang w:val="ru-RU"/>
        </w:rPr>
        <w:t xml:space="preserve">, </w:t>
      </w:r>
      <w:r w:rsidRPr="00017225">
        <w:rPr>
          <w:rFonts w:eastAsia="Times New Roman" w:cs="Arial"/>
          <w:color w:val="000000"/>
          <w:lang w:eastAsia="bg-BG"/>
        </w:rPr>
        <w:t>като е бил независим от дозата.</w:t>
      </w:r>
    </w:p>
    <w:p w14:paraId="79BA388D" w14:textId="77777777" w:rsidR="00017225" w:rsidRDefault="00017225" w:rsidP="0001722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C0B6594" w14:textId="5E8043E9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i/>
          <w:iCs/>
          <w:color w:val="000000"/>
          <w:lang w:eastAsia="bg-BG"/>
        </w:rPr>
        <w:t>Хидрохлоротиазид</w:t>
      </w:r>
    </w:p>
    <w:p w14:paraId="6C44B05C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 xml:space="preserve">При хора хидрохлоротиазид не се метаболизира, а се екскретира почти напълно като непроменено активно вещество с урината. Около 60% от пероралната доза се елиминира като непроменено активно вещество в рамките на 48 </w:t>
      </w:r>
      <w:r w:rsidRPr="00017225">
        <w:rPr>
          <w:rFonts w:eastAsia="Times New Roman" w:cs="Arial"/>
          <w:color w:val="000000"/>
          <w:lang w:val="en-US"/>
        </w:rPr>
        <w:t>h</w:t>
      </w:r>
      <w:r w:rsidRPr="00017225">
        <w:rPr>
          <w:rFonts w:eastAsia="Times New Roman" w:cs="Arial"/>
          <w:color w:val="000000"/>
          <w:lang w:val="ru-RU"/>
        </w:rPr>
        <w:t xml:space="preserve">. </w:t>
      </w:r>
      <w:r w:rsidRPr="00017225">
        <w:rPr>
          <w:rFonts w:eastAsia="Times New Roman" w:cs="Arial"/>
          <w:color w:val="000000"/>
          <w:lang w:eastAsia="bg-BG"/>
        </w:rPr>
        <w:t xml:space="preserve">Бъбречният клирънс е около 250-300 </w:t>
      </w:r>
      <w:r w:rsidRPr="00017225">
        <w:rPr>
          <w:rFonts w:eastAsia="Times New Roman" w:cs="Arial"/>
          <w:color w:val="000000"/>
          <w:lang w:val="en-US"/>
        </w:rPr>
        <w:t>ml</w:t>
      </w:r>
      <w:r w:rsidRPr="00017225">
        <w:rPr>
          <w:rFonts w:eastAsia="Times New Roman" w:cs="Arial"/>
          <w:color w:val="000000"/>
          <w:lang w:val="ru-RU"/>
        </w:rPr>
        <w:t>/</w:t>
      </w:r>
      <w:r w:rsidRPr="00017225">
        <w:rPr>
          <w:rFonts w:eastAsia="Times New Roman" w:cs="Arial"/>
          <w:color w:val="000000"/>
          <w:lang w:val="en-US"/>
        </w:rPr>
        <w:t>min</w:t>
      </w:r>
      <w:r w:rsidRPr="00017225">
        <w:rPr>
          <w:rFonts w:eastAsia="Times New Roman" w:cs="Arial"/>
          <w:color w:val="000000"/>
          <w:lang w:val="ru-RU"/>
        </w:rPr>
        <w:t xml:space="preserve">. </w:t>
      </w:r>
      <w:r w:rsidRPr="00017225">
        <w:rPr>
          <w:rFonts w:eastAsia="Times New Roman" w:cs="Arial"/>
          <w:color w:val="000000"/>
          <w:lang w:eastAsia="bg-BG"/>
        </w:rPr>
        <w:t>Терминалният елиминационен полуживот на хидрохлоротиазид е 10-15 часа.</w:t>
      </w:r>
    </w:p>
    <w:p w14:paraId="1829C1C2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22EB235" w14:textId="132BF384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u w:val="single"/>
          <w:lang w:eastAsia="bg-BG"/>
        </w:rPr>
        <w:t>Олмесартан медоксомил/хидрохлоротиазид</w:t>
      </w:r>
    </w:p>
    <w:p w14:paraId="78C1B239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4776D99" w14:textId="14FAE8CD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Системната наличност на хидрохлоротиазид се намалява с около 20% когато се прилага едновременно с олмесартан медоксомил, но това умерено понижение няма клинично значение, Кинетиката на олмесартан е непроменена от съпътстващото приложение на хидрохлоротиазид.</w:t>
      </w:r>
    </w:p>
    <w:p w14:paraId="40BEBA42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4B47853" w14:textId="39DF25ED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u w:val="single"/>
          <w:lang w:eastAsia="bg-BG"/>
        </w:rPr>
        <w:t>Фармакокинетика при специални популации пациенти</w:t>
      </w:r>
    </w:p>
    <w:p w14:paraId="3B920D7D" w14:textId="77777777" w:rsidR="00017225" w:rsidRDefault="00017225" w:rsidP="0001722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A78D7CD" w14:textId="6FFC428D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i/>
          <w:iCs/>
          <w:color w:val="000000"/>
          <w:lang w:eastAsia="bg-BG"/>
        </w:rPr>
        <w:t>Пациенти в старческа възраст</w:t>
      </w:r>
    </w:p>
    <w:p w14:paraId="48FBB089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 xml:space="preserve">При пациенти с хипертония </w:t>
      </w:r>
      <w:r w:rsidRPr="00017225">
        <w:rPr>
          <w:rFonts w:eastAsia="Times New Roman" w:cs="Arial"/>
          <w:color w:val="000000"/>
          <w:lang w:val="en-US"/>
        </w:rPr>
        <w:t>AUC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eastAsia="bg-BG"/>
        </w:rPr>
        <w:t>на олмесартан в стационарно състояние е била повишена с около 35% при пациенти в старческа възраст (65-75 години) и с около 44% при много възрастни пациенти (≥ 75 години) в сравнение с групите в по-млада възраст.</w:t>
      </w:r>
    </w:p>
    <w:p w14:paraId="1A356355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AB0422C" w14:textId="652010E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Ограничени данни показват, че системния клирънс на хидрохлоротиазид се понижава както при здрави, така и при пациенти в старческа възраст с хипертония, при сравнение със млади здрави доброволци.</w:t>
      </w:r>
    </w:p>
    <w:p w14:paraId="71F87EA9" w14:textId="77777777" w:rsidR="00017225" w:rsidRDefault="00017225" w:rsidP="0001722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6E779FC" w14:textId="6D1C4E66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i/>
          <w:iCs/>
          <w:color w:val="000000"/>
          <w:lang w:eastAsia="bg-BG"/>
        </w:rPr>
        <w:t>Увредена бъбречна функция</w:t>
      </w:r>
    </w:p>
    <w:p w14:paraId="093F96E3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lastRenderedPageBreak/>
        <w:t xml:space="preserve">При пациенти с увредена бъбречна функция, </w:t>
      </w:r>
      <w:r w:rsidRPr="00017225">
        <w:rPr>
          <w:rFonts w:eastAsia="Times New Roman" w:cs="Arial"/>
          <w:color w:val="000000"/>
          <w:lang w:val="en-US"/>
        </w:rPr>
        <w:t>AUC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eastAsia="bg-BG"/>
        </w:rPr>
        <w:t>на олмесартан в стационарно състояние се е повишила с 62%, 82% и 179% съответно при леко, умерено тежко и тежко увредена бъбречна функция в сравнение със здрави контроли (вж. точки 4.2 и 4.4).</w:t>
      </w:r>
    </w:p>
    <w:p w14:paraId="678C29E0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Полуживотьт на хидрохлоротиазид се удължава при пациенти с увредена бъбречна функция.</w:t>
      </w:r>
    </w:p>
    <w:p w14:paraId="189A55F6" w14:textId="77777777" w:rsidR="00017225" w:rsidRDefault="00017225" w:rsidP="0001722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72F650C" w14:textId="0D307F8F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i/>
          <w:iCs/>
          <w:color w:val="000000"/>
          <w:lang w:eastAsia="bg-BG"/>
        </w:rPr>
        <w:t>Увредена чернодробно функция</w:t>
      </w:r>
    </w:p>
    <w:p w14:paraId="40443BB3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 xml:space="preserve">След перорално приложение на еднократна доза, стойностите на </w:t>
      </w:r>
      <w:r w:rsidRPr="00017225">
        <w:rPr>
          <w:rFonts w:eastAsia="Times New Roman" w:cs="Arial"/>
          <w:color w:val="000000"/>
          <w:lang w:val="en-US"/>
        </w:rPr>
        <w:t>AUC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eastAsia="bg-BG"/>
        </w:rPr>
        <w:t xml:space="preserve">на олмесартан са били 6% и 65% по-високи при пациенти с леко и умерено тежко увредена чернодробна функция, в сравнение със съответните здрави контроли. Несвързаната фракция на олмесартан на 2-рия час след приложението при здрави доброволци, при пациенти с леко увредена чернодробна функция и при пациенти с умерено тежко увредена чернодробна функция е била съответно 0,26%, 0,34% и 0,41 %. След многократно приложение на пациенти с умерено тежко увредена чернодробна функция средната </w:t>
      </w:r>
      <w:r w:rsidRPr="00017225">
        <w:rPr>
          <w:rFonts w:eastAsia="Times New Roman" w:cs="Arial"/>
          <w:color w:val="000000"/>
          <w:lang w:val="en-US"/>
        </w:rPr>
        <w:t>AUC</w:t>
      </w:r>
      <w:r w:rsidRPr="00017225">
        <w:rPr>
          <w:rFonts w:eastAsia="Times New Roman" w:cs="Arial"/>
          <w:color w:val="000000"/>
          <w:lang w:val="ru-RU"/>
        </w:rPr>
        <w:t xml:space="preserve"> </w:t>
      </w:r>
      <w:r w:rsidRPr="00017225">
        <w:rPr>
          <w:rFonts w:eastAsia="Times New Roman" w:cs="Arial"/>
          <w:color w:val="000000"/>
          <w:lang w:eastAsia="bg-BG"/>
        </w:rPr>
        <w:t xml:space="preserve">на олмесартан е била отново около 65% по-висока отколкото при съответните здрави контроли. Средната </w:t>
      </w:r>
      <w:proofErr w:type="spellStart"/>
      <w:r w:rsidRPr="00017225">
        <w:rPr>
          <w:rFonts w:eastAsia="Times New Roman" w:cs="Arial"/>
          <w:color w:val="000000"/>
          <w:lang w:val="en-US"/>
        </w:rPr>
        <w:t>C</w:t>
      </w:r>
      <w:r w:rsidRPr="00017225">
        <w:rPr>
          <w:rFonts w:eastAsia="Times New Roman" w:cs="Arial"/>
          <w:color w:val="000000"/>
          <w:vertAlign w:val="subscript"/>
          <w:lang w:val="en-US"/>
        </w:rPr>
        <w:t>max</w:t>
      </w:r>
      <w:proofErr w:type="spellEnd"/>
      <w:r w:rsidRPr="00017225">
        <w:rPr>
          <w:rFonts w:eastAsia="Times New Roman" w:cs="Arial"/>
          <w:color w:val="000000"/>
          <w:lang w:eastAsia="bg-BG"/>
        </w:rPr>
        <w:t xml:space="preserve"> на олмесартан е била сходна при пациенти с увредена чернодробна фукнция и при здрави индивиди. Олмесартан медоксомил не е проучван при пациенти с тежко увредена чернодробна функция (вж. точки 4.2 и 4.4).</w:t>
      </w:r>
    </w:p>
    <w:p w14:paraId="104FCE3E" w14:textId="14B320AA" w:rsidR="00017225" w:rsidRPr="00017225" w:rsidRDefault="00017225" w:rsidP="00017225">
      <w:pPr>
        <w:spacing w:line="240" w:lineRule="auto"/>
        <w:rPr>
          <w:rFonts w:eastAsia="Times New Roman" w:cs="Arial"/>
          <w:lang w:val="ru-RU"/>
        </w:rPr>
      </w:pPr>
      <w:r w:rsidRPr="00017225">
        <w:rPr>
          <w:rFonts w:eastAsia="Times New Roman" w:cs="Arial"/>
          <w:color w:val="000000"/>
          <w:lang w:eastAsia="bg-BG"/>
        </w:rPr>
        <w:t>Чернодробното увреждане няма съществено влияние върху фармакокинетиката на хидрохлоротиазид.</w:t>
      </w:r>
    </w:p>
    <w:p w14:paraId="18B6F1F1" w14:textId="77777777" w:rsidR="00017225" w:rsidRPr="00017225" w:rsidRDefault="00017225" w:rsidP="00017225"/>
    <w:p w14:paraId="648E39DA" w14:textId="73E07D01" w:rsidR="00CF77F7" w:rsidRDefault="002C50EE" w:rsidP="004A448E">
      <w:pPr>
        <w:pStyle w:val="Heading2"/>
      </w:pPr>
      <w:r>
        <w:t>5.3. Предклинични данни за безопасност</w:t>
      </w:r>
    </w:p>
    <w:p w14:paraId="062889E0" w14:textId="5C3E0940" w:rsidR="00017225" w:rsidRDefault="00017225" w:rsidP="00017225"/>
    <w:p w14:paraId="04789C92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Токсичният потенциал на комбинацията от олмесартан медоксомил/хидрохлоротиазид е оценена в проучвания за токсичност при перорално многократно приложение в продължение на до 6 месеца при плъхове и кучета.</w:t>
      </w:r>
    </w:p>
    <w:p w14:paraId="221B477C" w14:textId="77777777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Както и при всяко от отделните вещества и други лекарствени продукти в този клас, основният прицелен орган за токсични прояви на комбинацията са били бъбреците. Комбинацията от олмесартан медоксонил/хидрохлоротиазид води до функционални бъбречни промени (повишение на серумната урея и креатинин). Високите дозировки причиняват тубулна дегенерация и регенерация на бъбреците на плъхове и кучета, вероятно чрез промяна на бъбречната хемодинамика (понижена бъбречна перфузия следствие на хипотонията с тубулна хипоксия и тубулно клетъчна дегенерация). В допълнение олмесартан медоксомил/хидрохлоротиазид води до намаление на показателите на еритроцитите (брой еритроцити, хемоглобин и хематокрит) и намаляване на теглото на сърцето при плъхове.</w:t>
      </w:r>
    </w:p>
    <w:p w14:paraId="72BA7EB2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B922D9A" w14:textId="0A22C3B4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 xml:space="preserve">Тези ефекти са наблюдавани и при други </w:t>
      </w:r>
      <w:r w:rsidRPr="00017225">
        <w:rPr>
          <w:rFonts w:eastAsia="Times New Roman" w:cs="Arial"/>
          <w:color w:val="000000"/>
          <w:lang w:val="en-US"/>
        </w:rPr>
        <w:t>AT</w:t>
      </w:r>
      <w:r w:rsidRPr="00017225">
        <w:rPr>
          <w:rFonts w:eastAsia="Times New Roman" w:cs="Arial"/>
          <w:color w:val="000000"/>
          <w:lang w:val="ru-RU"/>
        </w:rPr>
        <w:t xml:space="preserve">1 </w:t>
      </w:r>
      <w:r w:rsidRPr="00017225">
        <w:rPr>
          <w:rFonts w:eastAsia="Times New Roman" w:cs="Arial"/>
          <w:color w:val="000000"/>
          <w:lang w:eastAsia="bg-BG"/>
        </w:rPr>
        <w:t>рецепторни антагонисти и АСЕ инхибитори и изглежда се дължат на фармакологичното действие на високи дози олмесартан медоксомил; вероятно нямат значение при хора в терапевтични дози.</w:t>
      </w:r>
    </w:p>
    <w:p w14:paraId="1D4871CD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1EC205A" w14:textId="779B563E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Проучванията за генотоксичност проведени с олмесартан медоксомил и хидрохлоротиазид, както и с отделните съставки не са показали никакви признаци за клинично значима генотоксична активност.</w:t>
      </w:r>
    </w:p>
    <w:p w14:paraId="3557863E" w14:textId="77777777" w:rsidR="00017225" w:rsidRDefault="00017225" w:rsidP="0001722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AA1C109" w14:textId="7F4280E3" w:rsidR="00017225" w:rsidRPr="00017225" w:rsidRDefault="00017225" w:rsidP="00017225">
      <w:pPr>
        <w:spacing w:line="240" w:lineRule="auto"/>
        <w:rPr>
          <w:rFonts w:eastAsia="Times New Roman" w:cs="Arial"/>
        </w:rPr>
      </w:pPr>
      <w:r w:rsidRPr="00017225">
        <w:rPr>
          <w:rFonts w:eastAsia="Times New Roman" w:cs="Arial"/>
          <w:color w:val="000000"/>
          <w:lang w:eastAsia="bg-BG"/>
        </w:rPr>
        <w:t>Карциногенният потенциал на комбинацията олмесартан медоксомил и хидрохлоротиазид не е бил проучван, тъй като няма достатъчно доказателства за съответни канцерогенни ефекти за отделните съставки, в условията на клинична употреба.</w:t>
      </w:r>
    </w:p>
    <w:p w14:paraId="32D9A5D7" w14:textId="77777777" w:rsidR="00017225" w:rsidRDefault="00017225" w:rsidP="00017225">
      <w:pPr>
        <w:rPr>
          <w:rFonts w:eastAsia="Times New Roman" w:cs="Arial"/>
          <w:color w:val="000000"/>
          <w:lang w:eastAsia="bg-BG"/>
        </w:rPr>
      </w:pPr>
    </w:p>
    <w:p w14:paraId="52F5C2E7" w14:textId="7ADE79EF" w:rsidR="00017225" w:rsidRDefault="00017225" w:rsidP="00017225">
      <w:pPr>
        <w:rPr>
          <w:rFonts w:eastAsia="Times New Roman" w:cs="Arial"/>
          <w:color w:val="000000"/>
          <w:lang w:eastAsia="bg-BG"/>
        </w:rPr>
      </w:pPr>
      <w:r w:rsidRPr="00017225">
        <w:rPr>
          <w:rFonts w:eastAsia="Times New Roman" w:cs="Arial"/>
          <w:color w:val="000000"/>
          <w:lang w:eastAsia="bg-BG"/>
        </w:rPr>
        <w:lastRenderedPageBreak/>
        <w:t>При мишки и плъхове третирани с олмесартан медоксомил/хидрохлоротиазид не са получени доказателства за тератогенност на комбинацията. В съответствие с очакванията за този клас лекарствени продукти, при плъхове на които е давана комбинацията олмесартан медоксомид/хидрохлоротиазид по време на бременността са получени данни за фетална токсичност, определени от значителното намаление на теглото на фетуса (вж. точки 4.3 и 4.6).</w:t>
      </w:r>
    </w:p>
    <w:p w14:paraId="43F8CE6B" w14:textId="77777777" w:rsidR="00B05701" w:rsidRPr="00017225" w:rsidRDefault="00B05701" w:rsidP="00017225">
      <w:pPr>
        <w:rPr>
          <w:rFonts w:cs="Arial"/>
        </w:rPr>
      </w:pPr>
    </w:p>
    <w:p w14:paraId="6A7820AB" w14:textId="62BBFF59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613FD5CB" w14:textId="68F9AC21" w:rsidR="00017225" w:rsidRDefault="00017225" w:rsidP="00017225"/>
    <w:p w14:paraId="282ED6DC" w14:textId="77777777" w:rsidR="00017225" w:rsidRDefault="00017225" w:rsidP="00017225">
      <w:pPr>
        <w:rPr>
          <w:lang w:eastAsia="bg-BG"/>
        </w:rPr>
      </w:pPr>
      <w:r w:rsidRPr="00017225">
        <w:rPr>
          <w:lang w:eastAsia="bg-BG"/>
        </w:rPr>
        <w:t xml:space="preserve">„Чайкафарма Висококачествените лекарства” АД </w:t>
      </w:r>
    </w:p>
    <w:p w14:paraId="10FDF002" w14:textId="77777777" w:rsidR="00017225" w:rsidRDefault="00017225" w:rsidP="00017225">
      <w:pPr>
        <w:rPr>
          <w:lang w:eastAsia="bg-BG"/>
        </w:rPr>
      </w:pPr>
      <w:r w:rsidRPr="00017225">
        <w:rPr>
          <w:lang w:eastAsia="bg-BG"/>
        </w:rPr>
        <w:t xml:space="preserve">бул. „Г. М. Димитров” № 1, гр. София 1172, България </w:t>
      </w:r>
    </w:p>
    <w:p w14:paraId="4061956A" w14:textId="77777777" w:rsidR="00017225" w:rsidRDefault="00017225" w:rsidP="00017225">
      <w:pPr>
        <w:rPr>
          <w:lang w:eastAsia="bg-BG"/>
        </w:rPr>
      </w:pPr>
      <w:r w:rsidRPr="00017225">
        <w:rPr>
          <w:lang w:eastAsia="bg-BG"/>
        </w:rPr>
        <w:t xml:space="preserve">тел.:+359 2 962 54 54 </w:t>
      </w:r>
    </w:p>
    <w:p w14:paraId="2CC5A3A6" w14:textId="78ED3D9C" w:rsidR="00017225" w:rsidRPr="00017225" w:rsidRDefault="00017225" w:rsidP="00017225">
      <w:pPr>
        <w:rPr>
          <w:sz w:val="24"/>
          <w:szCs w:val="24"/>
        </w:rPr>
      </w:pPr>
      <w:r w:rsidRPr="00017225">
        <w:rPr>
          <w:lang w:eastAsia="bg-BG"/>
        </w:rPr>
        <w:t>факс: + 359 2 9603 703</w:t>
      </w:r>
    </w:p>
    <w:p w14:paraId="3523E9A7" w14:textId="77777777" w:rsidR="00017225" w:rsidRPr="00017225" w:rsidRDefault="00017225" w:rsidP="00017225">
      <w:pPr>
        <w:rPr>
          <w:sz w:val="24"/>
          <w:szCs w:val="24"/>
        </w:rPr>
      </w:pPr>
      <w:proofErr w:type="gramStart"/>
      <w:r w:rsidRPr="00017225">
        <w:rPr>
          <w:lang w:val="en-US"/>
        </w:rPr>
        <w:t>e</w:t>
      </w:r>
      <w:r w:rsidRPr="00017225">
        <w:rPr>
          <w:lang w:val="ru-RU"/>
        </w:rPr>
        <w:t>-</w:t>
      </w:r>
      <w:r w:rsidRPr="00017225">
        <w:rPr>
          <w:lang w:val="en-US"/>
        </w:rPr>
        <w:t>mail</w:t>
      </w:r>
      <w:proofErr w:type="gramEnd"/>
      <w:r w:rsidRPr="00017225">
        <w:rPr>
          <w:lang w:val="ru-RU"/>
        </w:rPr>
        <w:t xml:space="preserve">: </w:t>
      </w:r>
      <w:r w:rsidR="002E678C">
        <w:fldChar w:fldCharType="begin"/>
      </w:r>
      <w:r w:rsidR="002E678C">
        <w:instrText xml:space="preserve"> HYPERLINK "mailto:info@tchaikapharma.com" </w:instrText>
      </w:r>
      <w:r w:rsidR="002E678C">
        <w:fldChar w:fldCharType="separate"/>
      </w:r>
      <w:r w:rsidRPr="00017225">
        <w:rPr>
          <w:lang w:val="en-US"/>
        </w:rPr>
        <w:t>info</w:t>
      </w:r>
      <w:r w:rsidRPr="00017225">
        <w:rPr>
          <w:lang w:val="ru-RU"/>
        </w:rPr>
        <w:t>@</w:t>
      </w:r>
      <w:proofErr w:type="spellStart"/>
      <w:r w:rsidRPr="00017225">
        <w:rPr>
          <w:lang w:val="en-US"/>
        </w:rPr>
        <w:t>tchaikapharma</w:t>
      </w:r>
      <w:proofErr w:type="spellEnd"/>
      <w:r w:rsidRPr="00017225">
        <w:rPr>
          <w:lang w:val="ru-RU"/>
        </w:rPr>
        <w:t>.</w:t>
      </w:r>
      <w:r w:rsidRPr="00017225">
        <w:rPr>
          <w:lang w:val="en-US"/>
        </w:rPr>
        <w:t>com</w:t>
      </w:r>
      <w:r w:rsidR="002E678C">
        <w:rPr>
          <w:lang w:val="en-US"/>
        </w:rPr>
        <w:fldChar w:fldCharType="end"/>
      </w:r>
    </w:p>
    <w:p w14:paraId="4D4D5098" w14:textId="77777777" w:rsidR="00017225" w:rsidRPr="00017225" w:rsidRDefault="00017225" w:rsidP="00017225"/>
    <w:p w14:paraId="7BA1BA64" w14:textId="756AACE5" w:rsidR="00CF77F7" w:rsidRDefault="002C50EE" w:rsidP="004A448E">
      <w:pPr>
        <w:pStyle w:val="Heading1"/>
      </w:pPr>
      <w:r>
        <w:t>8. НОМЕР НА РАЗРЕШЕНИЕТО ЗА УПОТРЕБА</w:t>
      </w:r>
    </w:p>
    <w:p w14:paraId="1877B69E" w14:textId="43A594C1" w:rsidR="00B05701" w:rsidRDefault="00B05701" w:rsidP="00B05701">
      <w:pPr>
        <w:rPr>
          <w:lang w:val="en-US"/>
        </w:rPr>
      </w:pPr>
    </w:p>
    <w:p w14:paraId="42488349" w14:textId="0AACC9AF" w:rsidR="00B05701" w:rsidRPr="00B05701" w:rsidRDefault="00B05701" w:rsidP="00B05701">
      <w:pPr>
        <w:rPr>
          <w:rFonts w:cs="Arial"/>
          <w:lang w:val="en-US"/>
        </w:rPr>
      </w:pPr>
      <w:r w:rsidRPr="00B05701">
        <w:rPr>
          <w:rFonts w:cs="Arial"/>
        </w:rPr>
        <w:t xml:space="preserve">Регистрационен </w:t>
      </w:r>
      <w:r w:rsidRPr="00B05701">
        <w:rPr>
          <w:rFonts w:cs="Arial"/>
          <w:color w:val="4D5156"/>
          <w:shd w:val="clear" w:color="auto" w:fill="FFFFFF"/>
        </w:rPr>
        <w:t>№</w:t>
      </w:r>
      <w:r w:rsidRPr="00B05701">
        <w:rPr>
          <w:rFonts w:cs="Arial"/>
          <w:color w:val="4D5156"/>
          <w:shd w:val="clear" w:color="auto" w:fill="FFFFFF"/>
          <w:lang w:val="en-US"/>
        </w:rPr>
        <w:t>: 2015041</w:t>
      </w:r>
      <w:r w:rsidR="0057744D">
        <w:rPr>
          <w:rFonts w:cs="Arial"/>
          <w:color w:val="4D5156"/>
          <w:shd w:val="clear" w:color="auto" w:fill="FFFFFF"/>
          <w:lang w:val="en-US"/>
        </w:rPr>
        <w:t>6</w:t>
      </w:r>
    </w:p>
    <w:p w14:paraId="4933312F" w14:textId="77777777" w:rsidR="00B05701" w:rsidRPr="00B05701" w:rsidRDefault="00B05701" w:rsidP="00B05701">
      <w:pPr>
        <w:rPr>
          <w:lang w:val="en-US"/>
        </w:rPr>
      </w:pPr>
    </w:p>
    <w:p w14:paraId="2CCB5832" w14:textId="3C99ED52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78324983" w14:textId="3C3B27EB" w:rsidR="00B05701" w:rsidRDefault="00B05701" w:rsidP="00B05701"/>
    <w:p w14:paraId="447729A1" w14:textId="57A5C8AF" w:rsidR="00B05701" w:rsidRPr="00B05701" w:rsidRDefault="00B05701" w:rsidP="00B05701">
      <w:r>
        <w:t>Дата на първо разрешаване</w:t>
      </w:r>
      <w:r>
        <w:rPr>
          <w:lang w:val="en-US"/>
        </w:rPr>
        <w:t>:</w:t>
      </w:r>
      <w:r>
        <w:t xml:space="preserve"> 08 декември 2015 г.</w:t>
      </w:r>
    </w:p>
    <w:p w14:paraId="021334D2" w14:textId="1B45B007" w:rsidR="00B05701" w:rsidRPr="00B05701" w:rsidRDefault="00B05701" w:rsidP="00B05701">
      <w:r>
        <w:t>Дата на последно подновяване</w:t>
      </w:r>
      <w:r>
        <w:rPr>
          <w:lang w:val="en-US"/>
        </w:rPr>
        <w:t>:</w:t>
      </w:r>
      <w:r>
        <w:t xml:space="preserve"> 06 ноември 2020 г.</w:t>
      </w:r>
    </w:p>
    <w:p w14:paraId="44FA1C63" w14:textId="77777777" w:rsidR="00B05701" w:rsidRPr="00B05701" w:rsidRDefault="00B05701" w:rsidP="00B05701"/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43511036" w:rsidR="007C605B" w:rsidRDefault="007C605B" w:rsidP="00CF77F7"/>
    <w:p w14:paraId="17E7C3B5" w14:textId="2DD2847C" w:rsidR="00991A7C" w:rsidRPr="00B05701" w:rsidRDefault="00B05701" w:rsidP="00991A7C">
      <w:pPr>
        <w:rPr>
          <w:sz w:val="24"/>
          <w:szCs w:val="24"/>
          <w:lang w:val="en-US"/>
        </w:rPr>
      </w:pPr>
      <w:r>
        <w:rPr>
          <w:lang w:val="en-US" w:eastAsia="bg-BG"/>
        </w:rPr>
        <w:t>01/2022</w:t>
      </w:r>
    </w:p>
    <w:sectPr w:rsidR="00991A7C" w:rsidRPr="00B05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0A7F27"/>
    <w:multiLevelType w:val="hybridMultilevel"/>
    <w:tmpl w:val="0C36BB24"/>
    <w:lvl w:ilvl="0" w:tplc="E9AC29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7"/>
  </w:num>
  <w:num w:numId="2">
    <w:abstractNumId w:val="0"/>
  </w:num>
  <w:num w:numId="3">
    <w:abstractNumId w:val="13"/>
  </w:num>
  <w:num w:numId="4">
    <w:abstractNumId w:val="3"/>
  </w:num>
  <w:num w:numId="5">
    <w:abstractNumId w:val="1"/>
  </w:num>
  <w:num w:numId="6">
    <w:abstractNumId w:val="16"/>
  </w:num>
  <w:num w:numId="7">
    <w:abstractNumId w:val="11"/>
  </w:num>
  <w:num w:numId="8">
    <w:abstractNumId w:val="15"/>
  </w:num>
  <w:num w:numId="9">
    <w:abstractNumId w:val="2"/>
  </w:num>
  <w:num w:numId="10">
    <w:abstractNumId w:val="4"/>
  </w:num>
  <w:num w:numId="11">
    <w:abstractNumId w:val="30"/>
  </w:num>
  <w:num w:numId="12">
    <w:abstractNumId w:val="14"/>
  </w:num>
  <w:num w:numId="13">
    <w:abstractNumId w:val="19"/>
  </w:num>
  <w:num w:numId="14">
    <w:abstractNumId w:val="12"/>
  </w:num>
  <w:num w:numId="15">
    <w:abstractNumId w:val="29"/>
  </w:num>
  <w:num w:numId="16">
    <w:abstractNumId w:val="10"/>
  </w:num>
  <w:num w:numId="17">
    <w:abstractNumId w:val="24"/>
  </w:num>
  <w:num w:numId="18">
    <w:abstractNumId w:val="8"/>
  </w:num>
  <w:num w:numId="19">
    <w:abstractNumId w:val="26"/>
  </w:num>
  <w:num w:numId="20">
    <w:abstractNumId w:val="23"/>
  </w:num>
  <w:num w:numId="21">
    <w:abstractNumId w:val="17"/>
  </w:num>
  <w:num w:numId="22">
    <w:abstractNumId w:val="25"/>
  </w:num>
  <w:num w:numId="23">
    <w:abstractNumId w:val="18"/>
  </w:num>
  <w:num w:numId="24">
    <w:abstractNumId w:val="9"/>
  </w:num>
  <w:num w:numId="25">
    <w:abstractNumId w:val="22"/>
  </w:num>
  <w:num w:numId="26">
    <w:abstractNumId w:val="21"/>
  </w:num>
  <w:num w:numId="27">
    <w:abstractNumId w:val="31"/>
  </w:num>
  <w:num w:numId="28">
    <w:abstractNumId w:val="6"/>
  </w:num>
  <w:num w:numId="29">
    <w:abstractNumId w:val="20"/>
  </w:num>
  <w:num w:numId="30">
    <w:abstractNumId w:val="34"/>
  </w:num>
  <w:num w:numId="31">
    <w:abstractNumId w:val="5"/>
  </w:num>
  <w:num w:numId="32">
    <w:abstractNumId w:val="33"/>
  </w:num>
  <w:num w:numId="33">
    <w:abstractNumId w:val="28"/>
  </w:num>
  <w:num w:numId="34">
    <w:abstractNumId w:val="32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017225"/>
    <w:rsid w:val="00185A46"/>
    <w:rsid w:val="001915B6"/>
    <w:rsid w:val="001D1B23"/>
    <w:rsid w:val="002B3C38"/>
    <w:rsid w:val="002B4DBB"/>
    <w:rsid w:val="002C50EE"/>
    <w:rsid w:val="002D3AD2"/>
    <w:rsid w:val="002E678C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7744D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7C7806"/>
    <w:rsid w:val="00807BE0"/>
    <w:rsid w:val="008134C8"/>
    <w:rsid w:val="00814073"/>
    <w:rsid w:val="00826F0D"/>
    <w:rsid w:val="00893B92"/>
    <w:rsid w:val="008A6AF2"/>
    <w:rsid w:val="008C70A2"/>
    <w:rsid w:val="00956735"/>
    <w:rsid w:val="009773E4"/>
    <w:rsid w:val="00991A7C"/>
    <w:rsid w:val="009B171C"/>
    <w:rsid w:val="009F1313"/>
    <w:rsid w:val="00A20351"/>
    <w:rsid w:val="00A65A81"/>
    <w:rsid w:val="00AA23EC"/>
    <w:rsid w:val="00AC63CE"/>
    <w:rsid w:val="00AE2107"/>
    <w:rsid w:val="00B05701"/>
    <w:rsid w:val="00B275A8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7750</Words>
  <Characters>44181</Characters>
  <Application>Microsoft Office Word</Application>
  <DocSecurity>0</DocSecurity>
  <Lines>368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2022-09-05T19:56:00Z</dcterms:created>
  <dcterms:modified xsi:type="dcterms:W3CDTF">2022-09-05T19:56:00Z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