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3AB3112C" w:rsidR="002C50EE" w:rsidRDefault="002C50EE" w:rsidP="002C50EE">
      <w:pPr>
        <w:pStyle w:val="Heading1"/>
        <w:jc w:val="center"/>
      </w:pPr>
      <w:bookmarkStart w:id="0" w:name="_Hlk63124480"/>
      <w:r>
        <w:t>КРАТКА ХАРАКТЕРИСТИКА НА ПРОДУКТА</w:t>
      </w:r>
    </w:p>
    <w:p w14:paraId="02A68820" w14:textId="77777777" w:rsidR="00DA16C8" w:rsidRPr="00DA16C8" w:rsidRDefault="00DA16C8" w:rsidP="00DA16C8"/>
    <w:p w14:paraId="3320F4BE" w14:textId="49C0DD82" w:rsidR="00C40420" w:rsidRDefault="00DD466D" w:rsidP="004A448E">
      <w:pPr>
        <w:pStyle w:val="Heading1"/>
      </w:pPr>
      <w:r>
        <w:t>1.ИМЕ НА ЛЕКАРСТВЕНИЯ ПРОДУКТ</w:t>
      </w:r>
    </w:p>
    <w:p w14:paraId="06FEB2AD" w14:textId="74195748" w:rsidR="00DA16C8" w:rsidRDefault="00DA16C8" w:rsidP="00DA16C8"/>
    <w:p w14:paraId="475B2592" w14:textId="77777777" w:rsidR="00DA16C8" w:rsidRPr="00DA16C8" w:rsidRDefault="00DA16C8" w:rsidP="00DA16C8">
      <w:pPr>
        <w:spacing w:line="240" w:lineRule="auto"/>
        <w:rPr>
          <w:rFonts w:eastAsia="Times New Roman" w:cs="Arial"/>
          <w:sz w:val="28"/>
          <w:szCs w:val="24"/>
          <w:lang w:val="en-US" w:eastAsia="bg-BG"/>
        </w:rPr>
      </w:pPr>
      <w:r w:rsidRPr="00DA16C8">
        <w:rPr>
          <w:rFonts w:eastAsia="Times New Roman" w:cs="Arial"/>
          <w:color w:val="000000"/>
          <w:szCs w:val="20"/>
          <w:lang w:eastAsia="bg-BG"/>
        </w:rPr>
        <w:t xml:space="preserve">Кордакер Плюс 10 </w:t>
      </w:r>
      <w:r w:rsidRPr="00DA16C8">
        <w:rPr>
          <w:rFonts w:eastAsia="Times New Roman" w:cs="Arial"/>
          <w:color w:val="000000"/>
          <w:szCs w:val="20"/>
          <w:lang w:val="en-US"/>
        </w:rPr>
        <w:t>mg/1</w:t>
      </w:r>
      <w:r w:rsidRPr="00DA16C8">
        <w:rPr>
          <w:rFonts w:eastAsia="Times New Roman" w:cs="Arial"/>
          <w:color w:val="000000"/>
          <w:szCs w:val="20"/>
          <w:lang w:eastAsia="bg-BG"/>
        </w:rPr>
        <w:t xml:space="preserve">2,5 </w:t>
      </w:r>
      <w:r w:rsidRPr="00DA16C8">
        <w:rPr>
          <w:rFonts w:eastAsia="Times New Roman" w:cs="Arial"/>
          <w:color w:val="000000"/>
          <w:szCs w:val="20"/>
          <w:lang w:val="en-US"/>
        </w:rPr>
        <w:t xml:space="preserve">mg </w:t>
      </w:r>
      <w:r w:rsidRPr="00DA16C8">
        <w:rPr>
          <w:rFonts w:eastAsia="Times New Roman" w:cs="Arial"/>
          <w:color w:val="000000"/>
          <w:szCs w:val="20"/>
          <w:lang w:eastAsia="bg-BG"/>
        </w:rPr>
        <w:t>таблетки</w:t>
      </w:r>
      <w:r w:rsidRPr="00DA16C8">
        <w:rPr>
          <w:rFonts w:eastAsia="Times New Roman" w:cs="Arial"/>
          <w:color w:val="000000"/>
          <w:szCs w:val="20"/>
          <w:lang w:eastAsia="bg-BG"/>
        </w:rPr>
        <w:tab/>
      </w:r>
    </w:p>
    <w:p w14:paraId="0EBD3DDD" w14:textId="77777777" w:rsidR="00DA16C8" w:rsidRPr="00DA16C8" w:rsidRDefault="00DA16C8" w:rsidP="00DA16C8">
      <w:pPr>
        <w:spacing w:line="240" w:lineRule="auto"/>
        <w:rPr>
          <w:rFonts w:eastAsia="Times New Roman" w:cs="Arial"/>
          <w:sz w:val="28"/>
          <w:szCs w:val="24"/>
          <w:lang w:val="en-US" w:eastAsia="bg-BG"/>
        </w:rPr>
      </w:pPr>
      <w:proofErr w:type="spellStart"/>
      <w:r w:rsidRPr="00DA16C8">
        <w:rPr>
          <w:rFonts w:eastAsia="Times New Roman" w:cs="Arial"/>
          <w:color w:val="000000"/>
          <w:szCs w:val="20"/>
          <w:lang w:val="en-US"/>
        </w:rPr>
        <w:t>Cordacare</w:t>
      </w:r>
      <w:proofErr w:type="spellEnd"/>
      <w:r w:rsidRPr="00DA16C8">
        <w:rPr>
          <w:rFonts w:eastAsia="Times New Roman" w:cs="Arial"/>
          <w:color w:val="000000"/>
          <w:szCs w:val="20"/>
          <w:lang w:val="en-US"/>
        </w:rPr>
        <w:t xml:space="preserve"> </w:t>
      </w:r>
      <w:proofErr w:type="gramStart"/>
      <w:r w:rsidRPr="00DA16C8">
        <w:rPr>
          <w:rFonts w:eastAsia="Times New Roman" w:cs="Arial"/>
          <w:color w:val="000000"/>
          <w:szCs w:val="20"/>
          <w:lang w:val="en-US"/>
        </w:rPr>
        <w:t>Plus</w:t>
      </w:r>
      <w:proofErr w:type="gramEnd"/>
      <w:r w:rsidRPr="00DA16C8">
        <w:rPr>
          <w:rFonts w:eastAsia="Times New Roman" w:cs="Arial"/>
          <w:color w:val="000000"/>
          <w:szCs w:val="20"/>
          <w:lang w:val="en-US"/>
        </w:rPr>
        <w:t xml:space="preserve"> </w:t>
      </w:r>
      <w:r w:rsidRPr="00DA16C8">
        <w:rPr>
          <w:rFonts w:eastAsia="Times New Roman" w:cs="Arial"/>
          <w:color w:val="000000"/>
          <w:szCs w:val="20"/>
          <w:lang w:eastAsia="bg-BG"/>
        </w:rPr>
        <w:t xml:space="preserve">10 </w:t>
      </w:r>
      <w:r w:rsidRPr="00DA16C8">
        <w:rPr>
          <w:rFonts w:eastAsia="Times New Roman" w:cs="Arial"/>
          <w:color w:val="000000"/>
          <w:szCs w:val="20"/>
          <w:lang w:val="en-US"/>
        </w:rPr>
        <w:t xml:space="preserve">mg/12.5 </w:t>
      </w:r>
      <w:proofErr w:type="spellStart"/>
      <w:r w:rsidRPr="00DA16C8">
        <w:rPr>
          <w:rFonts w:eastAsia="Times New Roman" w:cs="Arial"/>
          <w:color w:val="000000"/>
          <w:szCs w:val="20"/>
          <w:lang w:val="en-US"/>
        </w:rPr>
        <w:t>mgtablets</w:t>
      </w:r>
      <w:proofErr w:type="spellEnd"/>
      <w:r w:rsidRPr="00DA16C8">
        <w:rPr>
          <w:rFonts w:eastAsia="Times New Roman" w:cs="Arial"/>
          <w:color w:val="000000"/>
          <w:szCs w:val="20"/>
          <w:lang w:val="en-US"/>
        </w:rPr>
        <w:tab/>
      </w:r>
    </w:p>
    <w:p w14:paraId="00D690F4" w14:textId="77777777" w:rsidR="00DA16C8" w:rsidRPr="00DA16C8" w:rsidRDefault="00DA16C8" w:rsidP="00DA16C8">
      <w:pPr>
        <w:spacing w:line="240" w:lineRule="auto"/>
        <w:rPr>
          <w:rFonts w:eastAsia="Times New Roman" w:cs="Arial"/>
          <w:color w:val="000000"/>
          <w:szCs w:val="20"/>
          <w:lang w:eastAsia="bg-BG"/>
        </w:rPr>
      </w:pPr>
    </w:p>
    <w:p w14:paraId="0CFB0960" w14:textId="38250FA9" w:rsidR="00DA16C8" w:rsidRPr="00DA16C8" w:rsidRDefault="00DA16C8" w:rsidP="00DA16C8">
      <w:pPr>
        <w:spacing w:line="240" w:lineRule="auto"/>
        <w:rPr>
          <w:rFonts w:eastAsia="Times New Roman" w:cs="Arial"/>
          <w:sz w:val="28"/>
          <w:szCs w:val="24"/>
          <w:lang w:val="en-US" w:eastAsia="bg-BG"/>
        </w:rPr>
      </w:pPr>
      <w:r w:rsidRPr="00DA16C8">
        <w:rPr>
          <w:rFonts w:eastAsia="Times New Roman" w:cs="Arial"/>
          <w:color w:val="000000"/>
          <w:szCs w:val="20"/>
          <w:lang w:eastAsia="bg-BG"/>
        </w:rPr>
        <w:t xml:space="preserve">Кордакер Плюс </w:t>
      </w:r>
      <w:r w:rsidRPr="00DA16C8">
        <w:rPr>
          <w:rFonts w:eastAsia="Times New Roman" w:cs="Arial"/>
          <w:color w:val="000000"/>
          <w:szCs w:val="20"/>
          <w:lang w:val="en-US"/>
        </w:rPr>
        <w:t xml:space="preserve">20 mg/12,5 mg </w:t>
      </w:r>
      <w:r w:rsidRPr="00DA16C8">
        <w:rPr>
          <w:rFonts w:eastAsia="Times New Roman" w:cs="Arial"/>
          <w:color w:val="000000"/>
          <w:szCs w:val="20"/>
          <w:lang w:eastAsia="bg-BG"/>
        </w:rPr>
        <w:t>таблетки</w:t>
      </w:r>
    </w:p>
    <w:p w14:paraId="0B366D74" w14:textId="4C6A647A" w:rsidR="00DA16C8" w:rsidRDefault="00DA16C8" w:rsidP="00DA16C8">
      <w:pPr>
        <w:rPr>
          <w:rFonts w:eastAsia="Times New Roman" w:cs="Arial"/>
          <w:color w:val="000000"/>
          <w:szCs w:val="20"/>
          <w:lang w:val="en-US"/>
        </w:rPr>
      </w:pPr>
      <w:proofErr w:type="spellStart"/>
      <w:r w:rsidRPr="00DA16C8">
        <w:rPr>
          <w:rFonts w:eastAsia="Times New Roman" w:cs="Arial"/>
          <w:color w:val="000000"/>
          <w:szCs w:val="20"/>
          <w:lang w:val="en-US"/>
        </w:rPr>
        <w:t>Cordacare</w:t>
      </w:r>
      <w:proofErr w:type="spellEnd"/>
      <w:r w:rsidRPr="00DA16C8">
        <w:rPr>
          <w:rFonts w:eastAsia="Times New Roman" w:cs="Arial"/>
          <w:color w:val="000000"/>
          <w:szCs w:val="20"/>
          <w:lang w:val="en-US"/>
        </w:rPr>
        <w:t xml:space="preserve"> </w:t>
      </w:r>
      <w:proofErr w:type="gramStart"/>
      <w:r w:rsidRPr="00DA16C8">
        <w:rPr>
          <w:rFonts w:eastAsia="Times New Roman" w:cs="Arial"/>
          <w:color w:val="000000"/>
          <w:szCs w:val="20"/>
          <w:lang w:val="en-US"/>
        </w:rPr>
        <w:t>Plus</w:t>
      </w:r>
      <w:proofErr w:type="gramEnd"/>
      <w:r w:rsidRPr="00DA16C8">
        <w:rPr>
          <w:rFonts w:eastAsia="Times New Roman" w:cs="Arial"/>
          <w:color w:val="000000"/>
          <w:szCs w:val="20"/>
          <w:lang w:val="en-US"/>
        </w:rPr>
        <w:t xml:space="preserve"> 20 mg/12.5 mg tablets</w:t>
      </w:r>
    </w:p>
    <w:p w14:paraId="289D7137" w14:textId="77777777" w:rsidR="00615305" w:rsidRPr="00DA16C8" w:rsidRDefault="00615305" w:rsidP="00DA16C8">
      <w:pPr>
        <w:rPr>
          <w:rFonts w:cs="Arial"/>
          <w:sz w:val="24"/>
        </w:rPr>
      </w:pPr>
    </w:p>
    <w:p w14:paraId="6920A680" w14:textId="1D1A54E9" w:rsidR="00C40420" w:rsidRDefault="00DD466D" w:rsidP="004A448E">
      <w:pPr>
        <w:pStyle w:val="Heading1"/>
      </w:pPr>
      <w:r>
        <w:t>2. КАЧЕСТВЕН И КОЛИЧЕСТВЕН СЪСТАВ</w:t>
      </w:r>
    </w:p>
    <w:p w14:paraId="16383D9F" w14:textId="06A0C17A" w:rsidR="00DA16C8" w:rsidRDefault="00DA16C8" w:rsidP="00DA16C8"/>
    <w:p w14:paraId="10E72C39" w14:textId="77777777" w:rsidR="00DA16C8" w:rsidRPr="00DA16C8" w:rsidRDefault="00DA16C8" w:rsidP="00DA16C8">
      <w:pPr>
        <w:spacing w:line="240" w:lineRule="auto"/>
        <w:rPr>
          <w:rFonts w:eastAsia="Times New Roman" w:cs="Arial"/>
          <w:sz w:val="28"/>
          <w:szCs w:val="24"/>
          <w:lang w:eastAsia="bg-BG"/>
        </w:rPr>
      </w:pPr>
      <w:r w:rsidRPr="00DA16C8">
        <w:rPr>
          <w:rFonts w:eastAsia="Times New Roman" w:cs="Arial"/>
          <w:color w:val="000000"/>
          <w:szCs w:val="20"/>
          <w:lang w:eastAsia="bg-BG"/>
        </w:rPr>
        <w:t xml:space="preserve">Всяка таблетка Кордакер Плюс 10 </w:t>
      </w:r>
      <w:r w:rsidRPr="00DA16C8">
        <w:rPr>
          <w:rFonts w:eastAsia="Times New Roman" w:cs="Arial"/>
          <w:color w:val="000000"/>
          <w:szCs w:val="20"/>
          <w:lang w:val="en-US"/>
        </w:rPr>
        <w:t>mg/</w:t>
      </w:r>
      <w:r w:rsidRPr="00DA16C8">
        <w:rPr>
          <w:rFonts w:eastAsia="Times New Roman" w:cs="Arial"/>
          <w:color w:val="000000"/>
          <w:szCs w:val="20"/>
          <w:lang w:eastAsia="bg-BG"/>
        </w:rPr>
        <w:t xml:space="preserve">12,5 </w:t>
      </w:r>
      <w:r w:rsidRPr="00DA16C8">
        <w:rPr>
          <w:rFonts w:eastAsia="Times New Roman" w:cs="Arial"/>
          <w:color w:val="000000"/>
          <w:szCs w:val="20"/>
          <w:lang w:val="en-US"/>
        </w:rPr>
        <w:t xml:space="preserve">mg </w:t>
      </w:r>
      <w:r w:rsidRPr="00DA16C8">
        <w:rPr>
          <w:rFonts w:eastAsia="Times New Roman" w:cs="Arial"/>
          <w:color w:val="000000"/>
          <w:szCs w:val="20"/>
          <w:lang w:eastAsia="bg-BG"/>
        </w:rPr>
        <w:t xml:space="preserve">съдържа лизиноприл дихидрат </w:t>
      </w:r>
      <w:r w:rsidRPr="00DA16C8">
        <w:rPr>
          <w:rFonts w:eastAsia="Times New Roman" w:cs="Arial"/>
          <w:color w:val="000000"/>
          <w:szCs w:val="20"/>
          <w:lang w:val="en-US"/>
        </w:rPr>
        <w:t>(</w:t>
      </w:r>
      <w:proofErr w:type="spellStart"/>
      <w:r w:rsidRPr="00DA16C8">
        <w:rPr>
          <w:rFonts w:eastAsia="Times New Roman" w:cs="Arial"/>
          <w:color w:val="000000"/>
          <w:szCs w:val="20"/>
          <w:lang w:val="en-US"/>
        </w:rPr>
        <w:t>lisinopril</w:t>
      </w:r>
      <w:proofErr w:type="spellEnd"/>
      <w:r w:rsidRPr="00DA16C8">
        <w:rPr>
          <w:rFonts w:eastAsia="Times New Roman" w:cs="Arial"/>
          <w:color w:val="000000"/>
          <w:szCs w:val="20"/>
          <w:lang w:val="en-US"/>
        </w:rPr>
        <w:t xml:space="preserve"> </w:t>
      </w:r>
      <w:proofErr w:type="spellStart"/>
      <w:r w:rsidRPr="00DA16C8">
        <w:rPr>
          <w:rFonts w:eastAsia="Times New Roman" w:cs="Arial"/>
          <w:color w:val="000000"/>
          <w:szCs w:val="20"/>
          <w:lang w:val="en-US"/>
        </w:rPr>
        <w:t>dihydrate</w:t>
      </w:r>
      <w:proofErr w:type="spellEnd"/>
      <w:r w:rsidRPr="00DA16C8">
        <w:rPr>
          <w:rFonts w:eastAsia="Times New Roman" w:cs="Arial"/>
          <w:color w:val="000000"/>
          <w:szCs w:val="20"/>
          <w:lang w:val="en-US"/>
        </w:rPr>
        <w:t xml:space="preserve">), </w:t>
      </w:r>
      <w:r w:rsidRPr="00DA16C8">
        <w:rPr>
          <w:rFonts w:eastAsia="Times New Roman" w:cs="Arial"/>
          <w:color w:val="000000"/>
          <w:szCs w:val="20"/>
          <w:lang w:eastAsia="bg-BG"/>
        </w:rPr>
        <w:t xml:space="preserve">еквивалентен на 10 </w:t>
      </w:r>
      <w:r w:rsidRPr="00DA16C8">
        <w:rPr>
          <w:rFonts w:eastAsia="Times New Roman" w:cs="Arial"/>
          <w:color w:val="000000"/>
          <w:szCs w:val="20"/>
          <w:lang w:val="en-US"/>
        </w:rPr>
        <w:t xml:space="preserve">mg </w:t>
      </w:r>
      <w:r w:rsidRPr="00DA16C8">
        <w:rPr>
          <w:rFonts w:eastAsia="Times New Roman" w:cs="Arial"/>
          <w:color w:val="000000"/>
          <w:szCs w:val="20"/>
          <w:lang w:eastAsia="bg-BG"/>
        </w:rPr>
        <w:t xml:space="preserve">лизиноприл </w:t>
      </w:r>
      <w:r w:rsidRPr="00DA16C8">
        <w:rPr>
          <w:rFonts w:eastAsia="Times New Roman" w:cs="Arial"/>
          <w:color w:val="000000"/>
          <w:szCs w:val="20"/>
          <w:lang w:val="en-US"/>
        </w:rPr>
        <w:t>(</w:t>
      </w:r>
      <w:proofErr w:type="spellStart"/>
      <w:r w:rsidRPr="00DA16C8">
        <w:rPr>
          <w:rFonts w:eastAsia="Times New Roman" w:cs="Arial"/>
          <w:color w:val="000000"/>
          <w:szCs w:val="20"/>
          <w:lang w:val="en-US"/>
        </w:rPr>
        <w:t>lisinopril</w:t>
      </w:r>
      <w:proofErr w:type="spellEnd"/>
      <w:r w:rsidRPr="00DA16C8">
        <w:rPr>
          <w:rFonts w:eastAsia="Times New Roman" w:cs="Arial"/>
          <w:color w:val="000000"/>
          <w:szCs w:val="20"/>
          <w:lang w:val="en-US"/>
        </w:rPr>
        <w:t xml:space="preserve">) </w:t>
      </w:r>
      <w:r w:rsidRPr="00DA16C8">
        <w:rPr>
          <w:rFonts w:eastAsia="Times New Roman" w:cs="Arial"/>
          <w:color w:val="000000"/>
          <w:szCs w:val="20"/>
          <w:lang w:eastAsia="bg-BG"/>
        </w:rPr>
        <w:t xml:space="preserve">и 12,5 </w:t>
      </w:r>
      <w:r w:rsidRPr="00DA16C8">
        <w:rPr>
          <w:rFonts w:eastAsia="Times New Roman" w:cs="Arial"/>
          <w:color w:val="000000"/>
          <w:szCs w:val="20"/>
          <w:lang w:val="en-US"/>
        </w:rPr>
        <w:t xml:space="preserve">mg </w:t>
      </w:r>
      <w:r w:rsidRPr="00DA16C8">
        <w:rPr>
          <w:rFonts w:eastAsia="Times New Roman" w:cs="Arial"/>
          <w:color w:val="000000"/>
          <w:szCs w:val="20"/>
          <w:lang w:eastAsia="bg-BG"/>
        </w:rPr>
        <w:t xml:space="preserve">хидрохлоротиазид </w:t>
      </w:r>
      <w:r w:rsidRPr="00DA16C8">
        <w:rPr>
          <w:rFonts w:eastAsia="Times New Roman" w:cs="Arial"/>
          <w:color w:val="000000"/>
          <w:szCs w:val="20"/>
          <w:lang w:val="en-US"/>
        </w:rPr>
        <w:t>(hydrochlorothiazide).</w:t>
      </w:r>
    </w:p>
    <w:p w14:paraId="0F983D8F" w14:textId="77777777" w:rsidR="00DA16C8" w:rsidRPr="00DA16C8" w:rsidRDefault="00DA16C8" w:rsidP="00DA16C8">
      <w:pPr>
        <w:spacing w:line="240" w:lineRule="auto"/>
        <w:rPr>
          <w:rFonts w:eastAsia="Times New Roman" w:cs="Arial"/>
          <w:sz w:val="28"/>
          <w:szCs w:val="24"/>
          <w:lang w:eastAsia="bg-BG"/>
        </w:rPr>
      </w:pPr>
      <w:r w:rsidRPr="00DA16C8">
        <w:rPr>
          <w:rFonts w:eastAsia="Times New Roman" w:cs="Arial"/>
          <w:color w:val="000000"/>
          <w:szCs w:val="20"/>
          <w:lang w:eastAsia="bg-BG"/>
        </w:rPr>
        <w:t xml:space="preserve">Всяка таблетка Кордакер Плюс 20 </w:t>
      </w:r>
      <w:r w:rsidRPr="00DA16C8">
        <w:rPr>
          <w:rFonts w:eastAsia="Times New Roman" w:cs="Arial"/>
          <w:color w:val="000000"/>
          <w:szCs w:val="20"/>
          <w:lang w:val="en-US"/>
        </w:rPr>
        <w:t>mg/1</w:t>
      </w:r>
      <w:r w:rsidRPr="00DA16C8">
        <w:rPr>
          <w:rFonts w:eastAsia="Times New Roman" w:cs="Arial"/>
          <w:color w:val="000000"/>
          <w:szCs w:val="20"/>
          <w:lang w:eastAsia="bg-BG"/>
        </w:rPr>
        <w:t xml:space="preserve">2,5 </w:t>
      </w:r>
      <w:r w:rsidRPr="00DA16C8">
        <w:rPr>
          <w:rFonts w:eastAsia="Times New Roman" w:cs="Arial"/>
          <w:color w:val="000000"/>
          <w:szCs w:val="20"/>
          <w:lang w:val="en-US"/>
        </w:rPr>
        <w:t xml:space="preserve">mg </w:t>
      </w:r>
      <w:r w:rsidRPr="00DA16C8">
        <w:rPr>
          <w:rFonts w:eastAsia="Times New Roman" w:cs="Arial"/>
          <w:color w:val="000000"/>
          <w:szCs w:val="20"/>
          <w:lang w:eastAsia="bg-BG"/>
        </w:rPr>
        <w:t xml:space="preserve">съдържа лизиноприл дихидрат </w:t>
      </w:r>
      <w:r w:rsidRPr="00DA16C8">
        <w:rPr>
          <w:rFonts w:eastAsia="Times New Roman" w:cs="Arial"/>
          <w:color w:val="000000"/>
          <w:szCs w:val="20"/>
          <w:lang w:val="en-US"/>
        </w:rPr>
        <w:t>(</w:t>
      </w:r>
      <w:proofErr w:type="spellStart"/>
      <w:r w:rsidRPr="00DA16C8">
        <w:rPr>
          <w:rFonts w:eastAsia="Times New Roman" w:cs="Arial"/>
          <w:color w:val="000000"/>
          <w:szCs w:val="20"/>
          <w:lang w:val="en-US"/>
        </w:rPr>
        <w:t>lisinopril</w:t>
      </w:r>
      <w:proofErr w:type="spellEnd"/>
      <w:r w:rsidRPr="00DA16C8">
        <w:rPr>
          <w:rFonts w:eastAsia="Times New Roman" w:cs="Arial"/>
          <w:color w:val="000000"/>
          <w:szCs w:val="20"/>
          <w:lang w:val="en-US"/>
        </w:rPr>
        <w:t xml:space="preserve"> </w:t>
      </w:r>
      <w:proofErr w:type="spellStart"/>
      <w:r w:rsidRPr="00DA16C8">
        <w:rPr>
          <w:rFonts w:eastAsia="Times New Roman" w:cs="Arial"/>
          <w:color w:val="000000"/>
          <w:szCs w:val="20"/>
          <w:lang w:val="en-US"/>
        </w:rPr>
        <w:t>dihydrate</w:t>
      </w:r>
      <w:proofErr w:type="spellEnd"/>
      <w:r w:rsidRPr="00DA16C8">
        <w:rPr>
          <w:rFonts w:eastAsia="Times New Roman" w:cs="Arial"/>
          <w:color w:val="000000"/>
          <w:szCs w:val="20"/>
          <w:lang w:val="en-US"/>
        </w:rPr>
        <w:t xml:space="preserve">), </w:t>
      </w:r>
      <w:r w:rsidRPr="00DA16C8">
        <w:rPr>
          <w:rFonts w:eastAsia="Times New Roman" w:cs="Arial"/>
          <w:color w:val="000000"/>
          <w:szCs w:val="20"/>
          <w:lang w:eastAsia="bg-BG"/>
        </w:rPr>
        <w:t xml:space="preserve">еквивалентен на 20 </w:t>
      </w:r>
      <w:r w:rsidRPr="00DA16C8">
        <w:rPr>
          <w:rFonts w:eastAsia="Times New Roman" w:cs="Arial"/>
          <w:color w:val="000000"/>
          <w:szCs w:val="20"/>
          <w:lang w:val="en-US"/>
        </w:rPr>
        <w:t xml:space="preserve">mg </w:t>
      </w:r>
      <w:r w:rsidRPr="00DA16C8">
        <w:rPr>
          <w:rFonts w:eastAsia="Times New Roman" w:cs="Arial"/>
          <w:color w:val="000000"/>
          <w:szCs w:val="20"/>
          <w:lang w:eastAsia="bg-BG"/>
        </w:rPr>
        <w:t xml:space="preserve">лизиноприл </w:t>
      </w:r>
      <w:r w:rsidRPr="00DA16C8">
        <w:rPr>
          <w:rFonts w:eastAsia="Times New Roman" w:cs="Arial"/>
          <w:color w:val="000000"/>
          <w:szCs w:val="20"/>
          <w:lang w:val="en-US"/>
        </w:rPr>
        <w:t>(</w:t>
      </w:r>
      <w:proofErr w:type="spellStart"/>
      <w:r w:rsidRPr="00DA16C8">
        <w:rPr>
          <w:rFonts w:eastAsia="Times New Roman" w:cs="Arial"/>
          <w:color w:val="000000"/>
          <w:szCs w:val="20"/>
          <w:lang w:val="en-US"/>
        </w:rPr>
        <w:t>lisinopril</w:t>
      </w:r>
      <w:proofErr w:type="spellEnd"/>
      <w:r w:rsidRPr="00DA16C8">
        <w:rPr>
          <w:rFonts w:eastAsia="Times New Roman" w:cs="Arial"/>
          <w:color w:val="000000"/>
          <w:szCs w:val="20"/>
          <w:lang w:val="en-US"/>
        </w:rPr>
        <w:t xml:space="preserve">) </w:t>
      </w:r>
      <w:r w:rsidRPr="00DA16C8">
        <w:rPr>
          <w:rFonts w:eastAsia="Times New Roman" w:cs="Arial"/>
          <w:color w:val="000000"/>
          <w:szCs w:val="20"/>
          <w:lang w:eastAsia="bg-BG"/>
        </w:rPr>
        <w:t xml:space="preserve">и 12,5 </w:t>
      </w:r>
      <w:r w:rsidRPr="00DA16C8">
        <w:rPr>
          <w:rFonts w:eastAsia="Times New Roman" w:cs="Arial"/>
          <w:color w:val="000000"/>
          <w:szCs w:val="20"/>
          <w:lang w:val="en-US"/>
        </w:rPr>
        <w:t xml:space="preserve">mg </w:t>
      </w:r>
      <w:r w:rsidRPr="00DA16C8">
        <w:rPr>
          <w:rFonts w:eastAsia="Times New Roman" w:cs="Arial"/>
          <w:color w:val="000000"/>
          <w:szCs w:val="20"/>
          <w:lang w:eastAsia="bg-BG"/>
        </w:rPr>
        <w:t xml:space="preserve">хидрохлоротиазид </w:t>
      </w:r>
      <w:r w:rsidRPr="00DA16C8">
        <w:rPr>
          <w:rFonts w:eastAsia="Times New Roman" w:cs="Arial"/>
          <w:color w:val="000000"/>
          <w:szCs w:val="20"/>
          <w:lang w:val="en-US"/>
        </w:rPr>
        <w:t>(hydrochlorothiazide).</w:t>
      </w:r>
    </w:p>
    <w:p w14:paraId="4EC22FA4" w14:textId="77777777" w:rsidR="00DA16C8" w:rsidRPr="00DA16C8" w:rsidRDefault="00DA16C8" w:rsidP="00DA16C8">
      <w:pPr>
        <w:rPr>
          <w:rFonts w:eastAsia="Times New Roman" w:cs="Arial"/>
          <w:color w:val="000000"/>
          <w:szCs w:val="20"/>
          <w:lang w:eastAsia="bg-BG"/>
        </w:rPr>
      </w:pPr>
    </w:p>
    <w:p w14:paraId="602B0816" w14:textId="2D71806F" w:rsidR="00DA16C8" w:rsidRDefault="00DA16C8" w:rsidP="00DA16C8">
      <w:pPr>
        <w:rPr>
          <w:rFonts w:eastAsia="Times New Roman" w:cs="Arial"/>
          <w:color w:val="000000"/>
          <w:szCs w:val="20"/>
          <w:lang w:eastAsia="bg-BG"/>
        </w:rPr>
      </w:pPr>
      <w:r w:rsidRPr="00DA16C8">
        <w:rPr>
          <w:rFonts w:eastAsia="Times New Roman" w:cs="Arial"/>
          <w:color w:val="000000"/>
          <w:szCs w:val="20"/>
          <w:lang w:eastAsia="bg-BG"/>
        </w:rPr>
        <w:t>За пълния списък на помощните вещества вижте точка 6.1.</w:t>
      </w:r>
    </w:p>
    <w:p w14:paraId="7658EC33" w14:textId="77777777" w:rsidR="00615305" w:rsidRPr="00DA16C8" w:rsidRDefault="00615305" w:rsidP="00DA16C8">
      <w:pPr>
        <w:rPr>
          <w:rFonts w:cs="Arial"/>
          <w:sz w:val="24"/>
        </w:rPr>
      </w:pPr>
    </w:p>
    <w:p w14:paraId="614984C4" w14:textId="3207ADCA" w:rsidR="008A6AF2" w:rsidRDefault="00DD466D" w:rsidP="002C50EE">
      <w:pPr>
        <w:pStyle w:val="Heading1"/>
      </w:pPr>
      <w:r>
        <w:t>3. ЛЕКАРСТВЕНА ФОРМА</w:t>
      </w:r>
    </w:p>
    <w:p w14:paraId="6BA2D9CC" w14:textId="618A68E2" w:rsidR="00DA16C8" w:rsidRDefault="00DA16C8" w:rsidP="00DA16C8"/>
    <w:p w14:paraId="3C77B5D7" w14:textId="77777777" w:rsidR="00DA16C8" w:rsidRPr="00DA16C8" w:rsidRDefault="00DA16C8" w:rsidP="00DA16C8">
      <w:pPr>
        <w:spacing w:line="240" w:lineRule="auto"/>
        <w:rPr>
          <w:rFonts w:eastAsia="Times New Roman" w:cs="Arial"/>
          <w:sz w:val="28"/>
          <w:szCs w:val="24"/>
          <w:lang w:eastAsia="bg-BG"/>
        </w:rPr>
      </w:pPr>
      <w:r w:rsidRPr="00DA16C8">
        <w:rPr>
          <w:rFonts w:eastAsia="Times New Roman" w:cs="Arial"/>
          <w:color w:val="000000"/>
          <w:szCs w:val="20"/>
          <w:lang w:eastAsia="bg-BG"/>
        </w:rPr>
        <w:t>Таблетка.</w:t>
      </w:r>
    </w:p>
    <w:p w14:paraId="2A92D6E6" w14:textId="77777777" w:rsidR="00DA16C8" w:rsidRPr="00DA16C8" w:rsidRDefault="00DA16C8" w:rsidP="00DA16C8">
      <w:pPr>
        <w:spacing w:line="240" w:lineRule="auto"/>
        <w:rPr>
          <w:rFonts w:eastAsia="Times New Roman" w:cs="Arial"/>
          <w:color w:val="000000"/>
          <w:szCs w:val="20"/>
          <w:lang w:eastAsia="bg-BG"/>
        </w:rPr>
      </w:pPr>
    </w:p>
    <w:p w14:paraId="5787D797" w14:textId="27D17C1B" w:rsidR="00DA16C8" w:rsidRPr="00DA16C8" w:rsidRDefault="00DA16C8" w:rsidP="00DA16C8">
      <w:pPr>
        <w:spacing w:line="240" w:lineRule="auto"/>
        <w:rPr>
          <w:rFonts w:eastAsia="Times New Roman" w:cs="Arial"/>
          <w:sz w:val="28"/>
          <w:szCs w:val="24"/>
          <w:lang w:eastAsia="bg-BG"/>
        </w:rPr>
      </w:pPr>
      <w:r w:rsidRPr="00DA16C8">
        <w:rPr>
          <w:rFonts w:eastAsia="Times New Roman" w:cs="Arial"/>
          <w:color w:val="000000"/>
          <w:szCs w:val="20"/>
          <w:lang w:eastAsia="bg-BG"/>
        </w:rPr>
        <w:t xml:space="preserve">Кордакер Плюс 10 </w:t>
      </w:r>
      <w:r w:rsidRPr="00DA16C8">
        <w:rPr>
          <w:rFonts w:eastAsia="Times New Roman" w:cs="Arial"/>
          <w:color w:val="000000"/>
          <w:szCs w:val="20"/>
          <w:lang w:val="en-US"/>
        </w:rPr>
        <w:t>mg/1</w:t>
      </w:r>
      <w:r w:rsidRPr="00DA16C8">
        <w:rPr>
          <w:rFonts w:eastAsia="Times New Roman" w:cs="Arial"/>
          <w:color w:val="000000"/>
          <w:szCs w:val="20"/>
          <w:lang w:eastAsia="bg-BG"/>
        </w:rPr>
        <w:t xml:space="preserve">2,5 </w:t>
      </w:r>
      <w:r w:rsidRPr="00DA16C8">
        <w:rPr>
          <w:rFonts w:eastAsia="Times New Roman" w:cs="Arial"/>
          <w:color w:val="000000"/>
          <w:szCs w:val="20"/>
          <w:lang w:val="en-US"/>
        </w:rPr>
        <w:t xml:space="preserve">mg </w:t>
      </w:r>
      <w:r w:rsidRPr="00DA16C8">
        <w:rPr>
          <w:rFonts w:eastAsia="Times New Roman" w:cs="Arial"/>
          <w:color w:val="000000"/>
          <w:szCs w:val="20"/>
          <w:lang w:eastAsia="bg-BG"/>
        </w:rPr>
        <w:t>са сини, кръгли, плоски таблетки, с фасета и делителна черта от едната страна.</w:t>
      </w:r>
    </w:p>
    <w:p w14:paraId="15E69705" w14:textId="78AEE5CC" w:rsidR="00DA16C8" w:rsidRDefault="00DA16C8" w:rsidP="00DA16C8">
      <w:pPr>
        <w:rPr>
          <w:rFonts w:eastAsia="Times New Roman" w:cs="Arial"/>
          <w:color w:val="000000"/>
          <w:szCs w:val="20"/>
          <w:lang w:eastAsia="bg-BG"/>
        </w:rPr>
      </w:pPr>
      <w:r w:rsidRPr="00DA16C8">
        <w:rPr>
          <w:rFonts w:eastAsia="Times New Roman" w:cs="Arial"/>
          <w:color w:val="000000"/>
          <w:szCs w:val="20"/>
          <w:lang w:eastAsia="bg-BG"/>
        </w:rPr>
        <w:t xml:space="preserve">Кордакер Плюс 20 </w:t>
      </w:r>
      <w:r w:rsidRPr="00DA16C8">
        <w:rPr>
          <w:rFonts w:eastAsia="Times New Roman" w:cs="Arial"/>
          <w:color w:val="000000"/>
          <w:szCs w:val="20"/>
          <w:lang w:val="en-US"/>
        </w:rPr>
        <w:t xml:space="preserve">mg/12,5 mg </w:t>
      </w:r>
      <w:r w:rsidRPr="00DA16C8">
        <w:rPr>
          <w:rFonts w:eastAsia="Times New Roman" w:cs="Arial"/>
          <w:color w:val="000000"/>
          <w:szCs w:val="20"/>
          <w:lang w:eastAsia="bg-BG"/>
        </w:rPr>
        <w:t>са жълти, кръгли, двойно изпъкнали таблетки, с фасета и делителна черта от едната страна.</w:t>
      </w:r>
    </w:p>
    <w:p w14:paraId="68B2C662" w14:textId="77777777" w:rsidR="00615305" w:rsidRPr="00DA16C8" w:rsidRDefault="00615305" w:rsidP="00DA16C8">
      <w:pPr>
        <w:rPr>
          <w:rFonts w:cs="Arial"/>
          <w:sz w:val="24"/>
        </w:rPr>
      </w:pPr>
    </w:p>
    <w:p w14:paraId="4CBE7EEE" w14:textId="5D86E5AA" w:rsidR="00DA16C8" w:rsidRDefault="002C50EE" w:rsidP="00DA16C8">
      <w:pPr>
        <w:pStyle w:val="Heading1"/>
      </w:pPr>
      <w:r>
        <w:t>4. КЛИНИЧНИ ДАННИ</w:t>
      </w:r>
    </w:p>
    <w:p w14:paraId="1B2598D4" w14:textId="77777777" w:rsidR="00DA16C8" w:rsidRPr="00DA16C8" w:rsidRDefault="00DA16C8" w:rsidP="00DA16C8"/>
    <w:p w14:paraId="0C8E6903" w14:textId="0C64D057" w:rsidR="008134C8" w:rsidRDefault="002C50EE" w:rsidP="004A448E">
      <w:pPr>
        <w:pStyle w:val="Heading2"/>
      </w:pPr>
      <w:r>
        <w:t>4.1. Терапевтични показания</w:t>
      </w:r>
    </w:p>
    <w:p w14:paraId="12994C7C" w14:textId="1E17F156" w:rsidR="00DA16C8" w:rsidRDefault="00DA16C8" w:rsidP="00DA16C8"/>
    <w:p w14:paraId="1792443D" w14:textId="54659272" w:rsidR="00DA16C8" w:rsidRPr="00DA16C8" w:rsidRDefault="00DA16C8" w:rsidP="00DA16C8">
      <w:pPr>
        <w:rPr>
          <w:sz w:val="24"/>
        </w:rPr>
      </w:pPr>
      <w:r w:rsidRPr="00DA16C8">
        <w:rPr>
          <w:szCs w:val="20"/>
        </w:rPr>
        <w:t xml:space="preserve">Фиксираната дозова комбинация Кордакер Плюс (10 </w:t>
      </w:r>
      <w:r w:rsidRPr="00DA16C8">
        <w:rPr>
          <w:szCs w:val="20"/>
          <w:lang w:val="en-US"/>
        </w:rPr>
        <w:t xml:space="preserve">mg </w:t>
      </w:r>
      <w:r w:rsidRPr="00DA16C8">
        <w:rPr>
          <w:szCs w:val="20"/>
        </w:rPr>
        <w:t xml:space="preserve">или 20 </w:t>
      </w:r>
      <w:r w:rsidRPr="00DA16C8">
        <w:rPr>
          <w:szCs w:val="20"/>
          <w:lang w:val="en-US"/>
        </w:rPr>
        <w:t xml:space="preserve">mg </w:t>
      </w:r>
      <w:r w:rsidRPr="00DA16C8">
        <w:rPr>
          <w:szCs w:val="20"/>
        </w:rPr>
        <w:t xml:space="preserve">лизиноприл и 12,5 </w:t>
      </w:r>
      <w:r w:rsidRPr="00DA16C8">
        <w:rPr>
          <w:szCs w:val="20"/>
          <w:lang w:val="en-US"/>
        </w:rPr>
        <w:t xml:space="preserve">mg </w:t>
      </w:r>
      <w:r w:rsidRPr="00DA16C8">
        <w:rPr>
          <w:szCs w:val="20"/>
        </w:rPr>
        <w:t>хидрохлоротиазид) е показана при лечение на лека до умерена хипертония при пациенти, които са стабилизирани с терапия с отделните съставки, дадени в същите дози.</w:t>
      </w:r>
    </w:p>
    <w:p w14:paraId="6D98F4E3" w14:textId="77777777" w:rsidR="00DA16C8" w:rsidRPr="00DA16C8" w:rsidRDefault="00DA16C8" w:rsidP="00DA16C8"/>
    <w:p w14:paraId="30BE2C7B" w14:textId="57B007DD" w:rsidR="008134C8" w:rsidRDefault="002C50EE" w:rsidP="004A448E">
      <w:pPr>
        <w:pStyle w:val="Heading2"/>
      </w:pPr>
      <w:r>
        <w:t>4.2. Дозировка и начин на приложение</w:t>
      </w:r>
    </w:p>
    <w:p w14:paraId="172A8B12" w14:textId="5625E696" w:rsidR="00DA16C8" w:rsidRDefault="00DA16C8" w:rsidP="00DA16C8"/>
    <w:p w14:paraId="63F2535D" w14:textId="77777777" w:rsidR="00DA16C8" w:rsidRPr="00615305" w:rsidRDefault="00DA16C8" w:rsidP="00615305">
      <w:pPr>
        <w:pStyle w:val="Heading3"/>
        <w:rPr>
          <w:rFonts w:eastAsia="Times New Roman"/>
          <w:sz w:val="28"/>
          <w:u w:val="single"/>
          <w:lang w:eastAsia="bg-BG"/>
        </w:rPr>
      </w:pPr>
      <w:r w:rsidRPr="00615305">
        <w:rPr>
          <w:rFonts w:eastAsia="Times New Roman"/>
          <w:u w:val="single"/>
          <w:lang w:eastAsia="bg-BG"/>
        </w:rPr>
        <w:lastRenderedPageBreak/>
        <w:t>Дозировка</w:t>
      </w:r>
    </w:p>
    <w:p w14:paraId="4644452E" w14:textId="77777777" w:rsidR="00DA16C8" w:rsidRPr="00DA16C8" w:rsidRDefault="00DA16C8" w:rsidP="00DA16C8">
      <w:pPr>
        <w:spacing w:line="240" w:lineRule="auto"/>
        <w:rPr>
          <w:rFonts w:eastAsia="Times New Roman" w:cs="Arial"/>
          <w:i/>
          <w:iCs/>
          <w:color w:val="000000"/>
          <w:szCs w:val="20"/>
          <w:u w:val="single"/>
          <w:lang w:eastAsia="bg-BG"/>
        </w:rPr>
      </w:pPr>
    </w:p>
    <w:p w14:paraId="62750EE5" w14:textId="10130F72" w:rsidR="00DA16C8" w:rsidRPr="00DA16C8" w:rsidRDefault="00DA16C8" w:rsidP="00DA16C8">
      <w:pPr>
        <w:spacing w:line="240" w:lineRule="auto"/>
        <w:rPr>
          <w:rFonts w:eastAsia="Times New Roman" w:cs="Arial"/>
          <w:sz w:val="28"/>
          <w:szCs w:val="24"/>
          <w:lang w:eastAsia="bg-BG"/>
        </w:rPr>
      </w:pPr>
      <w:r w:rsidRPr="00DA16C8">
        <w:rPr>
          <w:rFonts w:eastAsia="Times New Roman" w:cs="Arial"/>
          <w:i/>
          <w:iCs/>
          <w:color w:val="000000"/>
          <w:szCs w:val="20"/>
          <w:u w:val="single"/>
          <w:lang w:eastAsia="bg-BG"/>
        </w:rPr>
        <w:t>Първична хипертония:</w:t>
      </w:r>
    </w:p>
    <w:p w14:paraId="3FC9478D" w14:textId="77777777" w:rsidR="00DA16C8" w:rsidRPr="00DA16C8" w:rsidRDefault="00DA16C8" w:rsidP="00DA16C8">
      <w:pPr>
        <w:spacing w:line="240" w:lineRule="auto"/>
        <w:rPr>
          <w:rFonts w:eastAsia="Times New Roman" w:cs="Arial"/>
          <w:sz w:val="28"/>
          <w:szCs w:val="24"/>
          <w:lang w:eastAsia="bg-BG"/>
        </w:rPr>
      </w:pPr>
      <w:r w:rsidRPr="00DA16C8">
        <w:rPr>
          <w:rFonts w:eastAsia="Times New Roman" w:cs="Arial"/>
          <w:color w:val="000000"/>
          <w:szCs w:val="20"/>
          <w:lang w:eastAsia="bg-BG"/>
        </w:rPr>
        <w:t>Обичайната доза е една таблетка, приложена веднъж дневно.</w:t>
      </w:r>
    </w:p>
    <w:p w14:paraId="27CAB654" w14:textId="77777777" w:rsidR="00DA16C8" w:rsidRPr="00DA16C8" w:rsidRDefault="00DA16C8" w:rsidP="00DA16C8">
      <w:pPr>
        <w:spacing w:line="240" w:lineRule="auto"/>
        <w:rPr>
          <w:rFonts w:eastAsia="Times New Roman" w:cs="Arial"/>
          <w:sz w:val="28"/>
          <w:szCs w:val="24"/>
          <w:lang w:eastAsia="bg-BG"/>
        </w:rPr>
      </w:pPr>
      <w:r w:rsidRPr="00DA16C8">
        <w:rPr>
          <w:rFonts w:eastAsia="Times New Roman" w:cs="Arial"/>
          <w:color w:val="000000"/>
          <w:szCs w:val="20"/>
          <w:lang w:eastAsia="bg-BG"/>
        </w:rPr>
        <w:t>Таблетките Кордакер Плюс трябва да се приемат по едно и също време всеки ден.</w:t>
      </w:r>
    </w:p>
    <w:p w14:paraId="26C180A5" w14:textId="77777777" w:rsidR="00DA16C8" w:rsidRPr="00DA16C8" w:rsidRDefault="00DA16C8" w:rsidP="00DA16C8">
      <w:pPr>
        <w:spacing w:line="240" w:lineRule="auto"/>
        <w:rPr>
          <w:rFonts w:eastAsia="Times New Roman" w:cs="Arial"/>
          <w:sz w:val="28"/>
          <w:szCs w:val="24"/>
          <w:lang w:eastAsia="bg-BG"/>
        </w:rPr>
      </w:pPr>
      <w:r w:rsidRPr="00DA16C8">
        <w:rPr>
          <w:rFonts w:eastAsia="Times New Roman" w:cs="Arial"/>
          <w:color w:val="000000"/>
          <w:szCs w:val="20"/>
          <w:lang w:eastAsia="bg-BG"/>
        </w:rPr>
        <w:t>Ако желаният ефект не бъде постигнат в период от 2 до 4 седмици при съответното ниво на дозата, тя може да бъде повишена до две таблетки, прилагани веднъж дневно.</w:t>
      </w:r>
    </w:p>
    <w:p w14:paraId="6ED63154" w14:textId="77777777" w:rsidR="00DA16C8" w:rsidRPr="00DA16C8" w:rsidRDefault="00DA16C8" w:rsidP="00DA16C8">
      <w:pPr>
        <w:spacing w:line="240" w:lineRule="auto"/>
        <w:rPr>
          <w:rFonts w:eastAsia="Times New Roman" w:cs="Arial"/>
          <w:color w:val="000000"/>
          <w:szCs w:val="20"/>
          <w:lang w:eastAsia="bg-BG"/>
        </w:rPr>
      </w:pPr>
    </w:p>
    <w:p w14:paraId="68710265" w14:textId="441EDB77" w:rsidR="00DA16C8" w:rsidRPr="00DA16C8" w:rsidRDefault="00DA16C8" w:rsidP="00DA16C8">
      <w:pPr>
        <w:spacing w:line="240" w:lineRule="auto"/>
        <w:rPr>
          <w:rFonts w:eastAsia="Times New Roman" w:cs="Arial"/>
          <w:sz w:val="28"/>
          <w:szCs w:val="24"/>
          <w:lang w:eastAsia="bg-BG"/>
        </w:rPr>
      </w:pPr>
      <w:r w:rsidRPr="00DA16C8">
        <w:rPr>
          <w:rFonts w:eastAsia="Times New Roman" w:cs="Arial"/>
          <w:color w:val="000000"/>
          <w:szCs w:val="20"/>
          <w:lang w:eastAsia="bg-BG"/>
        </w:rPr>
        <w:t xml:space="preserve">Не трябва да се превишава максималната дневна доза от 40 </w:t>
      </w:r>
      <w:r w:rsidRPr="00DA16C8">
        <w:rPr>
          <w:rFonts w:eastAsia="Times New Roman" w:cs="Arial"/>
          <w:color w:val="000000"/>
          <w:szCs w:val="20"/>
          <w:lang w:val="en-US"/>
        </w:rPr>
        <w:t xml:space="preserve">mg </w:t>
      </w:r>
      <w:r w:rsidRPr="00DA16C8">
        <w:rPr>
          <w:rFonts w:eastAsia="Times New Roman" w:cs="Arial"/>
          <w:color w:val="000000"/>
          <w:szCs w:val="20"/>
          <w:lang w:eastAsia="bg-BG"/>
        </w:rPr>
        <w:t xml:space="preserve">лизиноприл/25 </w:t>
      </w:r>
      <w:r w:rsidRPr="00DA16C8">
        <w:rPr>
          <w:rFonts w:eastAsia="Times New Roman" w:cs="Arial"/>
          <w:color w:val="000000"/>
          <w:szCs w:val="20"/>
          <w:lang w:val="en-US"/>
        </w:rPr>
        <w:t xml:space="preserve">mg </w:t>
      </w:r>
      <w:r w:rsidRPr="00DA16C8">
        <w:rPr>
          <w:rFonts w:eastAsia="Times New Roman" w:cs="Arial"/>
          <w:color w:val="000000"/>
          <w:szCs w:val="20"/>
          <w:lang w:eastAsia="bg-BG"/>
        </w:rPr>
        <w:t>хидрохлоротиазид.</w:t>
      </w:r>
    </w:p>
    <w:p w14:paraId="768A4197" w14:textId="77777777" w:rsidR="00DA16C8" w:rsidRPr="00DA16C8" w:rsidRDefault="00DA16C8" w:rsidP="00DA16C8">
      <w:pPr>
        <w:spacing w:line="240" w:lineRule="auto"/>
        <w:rPr>
          <w:rFonts w:eastAsia="Times New Roman" w:cs="Arial"/>
          <w:i/>
          <w:iCs/>
          <w:color w:val="000000"/>
          <w:szCs w:val="20"/>
          <w:u w:val="single"/>
          <w:lang w:eastAsia="bg-BG"/>
        </w:rPr>
      </w:pPr>
    </w:p>
    <w:p w14:paraId="5275CF55" w14:textId="2A2F6033" w:rsidR="00DA16C8" w:rsidRPr="00DA16C8" w:rsidRDefault="00DA16C8" w:rsidP="00DA16C8">
      <w:pPr>
        <w:spacing w:line="240" w:lineRule="auto"/>
        <w:rPr>
          <w:rFonts w:eastAsia="Times New Roman" w:cs="Arial"/>
          <w:sz w:val="28"/>
          <w:szCs w:val="24"/>
          <w:lang w:eastAsia="bg-BG"/>
        </w:rPr>
      </w:pPr>
      <w:r w:rsidRPr="00DA16C8">
        <w:rPr>
          <w:rFonts w:eastAsia="Times New Roman" w:cs="Arial"/>
          <w:i/>
          <w:iCs/>
          <w:color w:val="000000"/>
          <w:szCs w:val="20"/>
          <w:u w:val="single"/>
          <w:lang w:eastAsia="bg-BG"/>
        </w:rPr>
        <w:t>Паиинети с бъбречна недостатъчност:</w:t>
      </w:r>
    </w:p>
    <w:p w14:paraId="0C9FC646" w14:textId="77777777" w:rsidR="00DA16C8" w:rsidRPr="00DA16C8" w:rsidRDefault="00DA16C8" w:rsidP="00DA16C8">
      <w:pPr>
        <w:spacing w:line="240" w:lineRule="auto"/>
        <w:rPr>
          <w:rFonts w:eastAsia="Times New Roman" w:cs="Arial"/>
          <w:sz w:val="28"/>
          <w:szCs w:val="24"/>
          <w:lang w:eastAsia="bg-BG"/>
        </w:rPr>
      </w:pPr>
      <w:r w:rsidRPr="00DA16C8">
        <w:rPr>
          <w:rFonts w:eastAsia="Times New Roman" w:cs="Arial"/>
          <w:color w:val="000000"/>
          <w:szCs w:val="20"/>
          <w:lang w:eastAsia="bg-BG"/>
        </w:rPr>
        <w:t xml:space="preserve">Тиазидните диуретици не са подходящи за употреба при пациенти с бъбречно увреждане и не са ефективни при стойности на креатининовия клирънс 30 </w:t>
      </w:r>
      <w:r w:rsidRPr="00DA16C8">
        <w:rPr>
          <w:rFonts w:eastAsia="Times New Roman" w:cs="Arial"/>
          <w:color w:val="000000"/>
          <w:szCs w:val="20"/>
          <w:lang w:val="en-US"/>
        </w:rPr>
        <w:t xml:space="preserve">ml/min </w:t>
      </w:r>
      <w:r w:rsidRPr="00DA16C8">
        <w:rPr>
          <w:rFonts w:eastAsia="Times New Roman" w:cs="Arial"/>
          <w:color w:val="000000"/>
          <w:szCs w:val="20"/>
          <w:lang w:eastAsia="bg-BG"/>
        </w:rPr>
        <w:t>или по-ниски (т.е. умерена или тежка бъбречна недостатъчност).</w:t>
      </w:r>
    </w:p>
    <w:p w14:paraId="7ED7BF5E" w14:textId="6AF87A59" w:rsidR="00DA16C8" w:rsidRPr="00DA16C8" w:rsidRDefault="00DA16C8" w:rsidP="00DA16C8">
      <w:pPr>
        <w:spacing w:line="240" w:lineRule="auto"/>
        <w:rPr>
          <w:rFonts w:eastAsia="Times New Roman" w:cs="Arial"/>
          <w:sz w:val="28"/>
          <w:szCs w:val="24"/>
          <w:lang w:eastAsia="bg-BG"/>
        </w:rPr>
      </w:pPr>
      <w:r w:rsidRPr="00DA16C8">
        <w:rPr>
          <w:rFonts w:eastAsia="Times New Roman" w:cs="Arial"/>
          <w:color w:val="000000"/>
          <w:szCs w:val="20"/>
          <w:lang w:eastAsia="bg-BG"/>
        </w:rPr>
        <w:t>Кордакер Плюс не трябва да се използва като начална терапия при пациенти с бъбречна недостатъчност. При пациенти със стойности на креатининовия клирънс &gt;30 и &lt;80</w:t>
      </w:r>
      <w:r w:rsidRPr="00DA16C8">
        <w:rPr>
          <w:rFonts w:eastAsia="Times New Roman" w:cs="Arial"/>
          <w:color w:val="000000"/>
          <w:szCs w:val="20"/>
          <w:lang w:val="en-US"/>
        </w:rPr>
        <w:t xml:space="preserve"> ml/min.</w:t>
      </w:r>
      <w:r w:rsidRPr="00DA16C8">
        <w:rPr>
          <w:rFonts w:eastAsia="Times New Roman" w:cs="Arial"/>
          <w:color w:val="000000"/>
          <w:szCs w:val="20"/>
          <w:lang w:eastAsia="bg-BG"/>
        </w:rPr>
        <w:t xml:space="preserve"> Кордакер</w:t>
      </w:r>
      <w:r>
        <w:rPr>
          <w:rFonts w:eastAsia="Times New Roman" w:cs="Arial"/>
          <w:sz w:val="28"/>
          <w:szCs w:val="24"/>
          <w:lang w:eastAsia="bg-BG"/>
        </w:rPr>
        <w:t xml:space="preserve"> </w:t>
      </w:r>
      <w:r w:rsidRPr="00DA16C8">
        <w:rPr>
          <w:rFonts w:eastAsia="Times New Roman" w:cs="Arial"/>
          <w:color w:val="000000"/>
          <w:szCs w:val="20"/>
          <w:lang w:eastAsia="bg-BG"/>
        </w:rPr>
        <w:t>Плюс може да се използва, но само след титриране на дозата на отделните съставки</w:t>
      </w:r>
      <w:r>
        <w:rPr>
          <w:rFonts w:eastAsia="Times New Roman" w:cs="Arial"/>
          <w:color w:val="000000"/>
          <w:szCs w:val="20"/>
          <w:lang w:eastAsia="bg-BG"/>
        </w:rPr>
        <w:t>.</w:t>
      </w:r>
    </w:p>
    <w:p w14:paraId="070BF96A" w14:textId="7DA1F550" w:rsidR="00DA16C8" w:rsidRPr="00DA16C8" w:rsidRDefault="00DA16C8" w:rsidP="00DA16C8">
      <w:pPr>
        <w:rPr>
          <w:rFonts w:cs="Arial"/>
          <w:sz w:val="24"/>
        </w:rPr>
      </w:pPr>
      <w:r w:rsidRPr="00DA16C8">
        <w:rPr>
          <w:rFonts w:eastAsia="Times New Roman" w:cs="Arial"/>
          <w:color w:val="000000"/>
          <w:szCs w:val="20"/>
          <w:lang w:eastAsia="bg-BG"/>
        </w:rPr>
        <w:t xml:space="preserve">Препоръчителната начална доза на лизиноприл като монотерапия при тези пациенти е 5-10 </w:t>
      </w:r>
      <w:r w:rsidRPr="00DA16C8">
        <w:rPr>
          <w:rFonts w:eastAsia="Times New Roman" w:cs="Arial"/>
          <w:color w:val="000000"/>
          <w:szCs w:val="20"/>
          <w:lang w:val="en-US"/>
        </w:rPr>
        <w:t>mg.</w:t>
      </w:r>
    </w:p>
    <w:p w14:paraId="576468EF" w14:textId="597A8BB0" w:rsidR="00DA16C8" w:rsidRDefault="00DA16C8" w:rsidP="00DA16C8"/>
    <w:p w14:paraId="537B0BD4" w14:textId="77777777" w:rsidR="00DA16C8" w:rsidRPr="00DA16C8" w:rsidRDefault="00DA16C8" w:rsidP="00DA16C8">
      <w:pPr>
        <w:spacing w:line="240" w:lineRule="auto"/>
        <w:rPr>
          <w:rFonts w:eastAsia="Times New Roman" w:cs="Arial"/>
          <w:sz w:val="28"/>
          <w:szCs w:val="24"/>
          <w:lang w:eastAsia="bg-BG"/>
        </w:rPr>
      </w:pPr>
      <w:r w:rsidRPr="00DA16C8">
        <w:rPr>
          <w:rFonts w:eastAsia="Times New Roman" w:cs="Arial"/>
          <w:color w:val="000000"/>
          <w:szCs w:val="20"/>
          <w:lang w:eastAsia="bg-BG"/>
        </w:rPr>
        <w:t xml:space="preserve">Лизиноприл/ хидрохлоротиазид не трябва да се прилага на пациенти с бъбречна недостатъчност (креатининов клирънс &lt;80 </w:t>
      </w:r>
      <w:r w:rsidRPr="00DA16C8">
        <w:rPr>
          <w:rFonts w:eastAsia="Times New Roman" w:cs="Arial"/>
          <w:color w:val="000000"/>
          <w:szCs w:val="20"/>
          <w:lang w:val="en-US"/>
        </w:rPr>
        <w:t xml:space="preserve">ml/ min), </w:t>
      </w:r>
      <w:r w:rsidRPr="00DA16C8">
        <w:rPr>
          <w:rFonts w:eastAsia="Times New Roman" w:cs="Arial"/>
          <w:color w:val="000000"/>
          <w:szCs w:val="20"/>
          <w:lang w:eastAsia="bg-BG"/>
        </w:rPr>
        <w:t>докато титрирането на отделните съставки не покаже необходимостта от прилагането на дози, налични в съответните комбинирани таблетки.</w:t>
      </w:r>
    </w:p>
    <w:p w14:paraId="1F87AB87" w14:textId="77777777" w:rsidR="00DA16C8" w:rsidRPr="00DA16C8" w:rsidRDefault="00DA16C8" w:rsidP="00DA16C8">
      <w:pPr>
        <w:spacing w:line="240" w:lineRule="auto"/>
        <w:rPr>
          <w:rFonts w:eastAsia="Times New Roman" w:cs="Arial"/>
          <w:color w:val="000000"/>
          <w:szCs w:val="20"/>
          <w:lang w:eastAsia="bg-BG"/>
        </w:rPr>
      </w:pPr>
    </w:p>
    <w:p w14:paraId="3281A4D3" w14:textId="172FCAE7" w:rsidR="00DA16C8" w:rsidRPr="00DA16C8" w:rsidRDefault="00DA16C8" w:rsidP="00DA16C8">
      <w:pPr>
        <w:spacing w:line="240" w:lineRule="auto"/>
        <w:rPr>
          <w:rFonts w:eastAsia="Times New Roman" w:cs="Arial"/>
          <w:sz w:val="28"/>
          <w:szCs w:val="24"/>
          <w:lang w:eastAsia="bg-BG"/>
        </w:rPr>
      </w:pPr>
      <w:r w:rsidRPr="00DA16C8">
        <w:rPr>
          <w:rFonts w:eastAsia="Times New Roman" w:cs="Arial"/>
          <w:color w:val="000000"/>
          <w:szCs w:val="20"/>
          <w:lang w:eastAsia="bg-BG"/>
        </w:rPr>
        <w:t>При пациенти със сърдечна недостатъчност, хипотония след започване на терапия с АСЕ- инхибитори, може да доведе до някое по-силно увреждане на бъбречната функция. В тази ситуация се съобщава за остра бъбречна недостатъчност, обикновено обратима.</w:t>
      </w:r>
    </w:p>
    <w:p w14:paraId="5D4B89A7" w14:textId="77777777" w:rsidR="00DA16C8" w:rsidRPr="00DA16C8" w:rsidRDefault="00DA16C8" w:rsidP="00DA16C8">
      <w:pPr>
        <w:spacing w:line="240" w:lineRule="auto"/>
        <w:rPr>
          <w:rFonts w:eastAsia="Times New Roman" w:cs="Arial"/>
          <w:color w:val="000000"/>
          <w:szCs w:val="20"/>
          <w:lang w:eastAsia="bg-BG"/>
        </w:rPr>
      </w:pPr>
    </w:p>
    <w:p w14:paraId="329D0034" w14:textId="32CC28F2" w:rsidR="00DA16C8" w:rsidRPr="00DA16C8" w:rsidRDefault="00DA16C8" w:rsidP="00DA16C8">
      <w:pPr>
        <w:spacing w:line="240" w:lineRule="auto"/>
        <w:rPr>
          <w:rFonts w:eastAsia="Times New Roman" w:cs="Arial"/>
          <w:sz w:val="28"/>
          <w:szCs w:val="24"/>
          <w:lang w:eastAsia="bg-BG"/>
        </w:rPr>
      </w:pPr>
      <w:r w:rsidRPr="00DA16C8">
        <w:rPr>
          <w:rFonts w:eastAsia="Times New Roman" w:cs="Arial"/>
          <w:color w:val="000000"/>
          <w:szCs w:val="20"/>
          <w:lang w:eastAsia="bg-BG"/>
        </w:rPr>
        <w:t>При някои пациенти с налична билатерална стеноза на бъбречните артерии или артериална стеноза на единствен бъбрек, при лечение с АСЕ инхибитори, може да се наблюдава повишаване на стойностите на кръвната урея и серумния креатинин, обикновено обратимо след прекратяване на терапията. Това е по-често при пациенти с бъбречна недостатъчност. При наличие на реновазална хипертония съществува повишен риск от развитие на тежка хипотония и бъбречна недостатъчност. При такива пациенти, лечението трябва да започне под строг лекарски контрол с ниски дози и последващо титриране на дозата. Тъй като лечението с диуретици може да бъде допълнителен допринасящ фактор за тези прояви, необходимо е мониториране на бъбречната функция през първите няколко седмици на лечението с лизиноприл/ хидрохлоротиазид.</w:t>
      </w:r>
    </w:p>
    <w:p w14:paraId="56731169" w14:textId="77777777" w:rsidR="00DA16C8" w:rsidRPr="00DA16C8" w:rsidRDefault="00DA16C8" w:rsidP="00DA16C8">
      <w:pPr>
        <w:spacing w:line="240" w:lineRule="auto"/>
        <w:rPr>
          <w:rFonts w:eastAsia="Times New Roman" w:cs="Arial"/>
          <w:color w:val="000000"/>
          <w:szCs w:val="20"/>
          <w:lang w:eastAsia="bg-BG"/>
        </w:rPr>
      </w:pPr>
    </w:p>
    <w:p w14:paraId="4C1DA4A8" w14:textId="35ECBF49" w:rsidR="00DA16C8" w:rsidRPr="00DA16C8" w:rsidRDefault="00DA16C8" w:rsidP="00DA16C8">
      <w:pPr>
        <w:spacing w:line="240" w:lineRule="auto"/>
        <w:rPr>
          <w:rFonts w:eastAsia="Times New Roman" w:cs="Arial"/>
          <w:sz w:val="28"/>
          <w:szCs w:val="24"/>
          <w:lang w:eastAsia="bg-BG"/>
        </w:rPr>
      </w:pPr>
      <w:r w:rsidRPr="00DA16C8">
        <w:rPr>
          <w:rFonts w:eastAsia="Times New Roman" w:cs="Arial"/>
          <w:color w:val="000000"/>
          <w:szCs w:val="20"/>
          <w:lang w:eastAsia="bg-BG"/>
        </w:rPr>
        <w:t>При някои хипертоници без установено предшестващо нарушение на бъбречната функция, може да се наблюдава леко и преходно повишение на серумните урея и креатинин, когато лизиноприл се дава едновременно с диуретик.</w:t>
      </w:r>
    </w:p>
    <w:p w14:paraId="3D7D3C9E" w14:textId="77777777" w:rsidR="00DA16C8" w:rsidRPr="00DA16C8" w:rsidRDefault="00DA16C8" w:rsidP="00DA16C8">
      <w:pPr>
        <w:spacing w:line="240" w:lineRule="auto"/>
        <w:rPr>
          <w:rFonts w:eastAsia="Times New Roman" w:cs="Arial"/>
          <w:color w:val="000000"/>
          <w:szCs w:val="20"/>
          <w:lang w:eastAsia="bg-BG"/>
        </w:rPr>
      </w:pPr>
    </w:p>
    <w:p w14:paraId="28428BBD" w14:textId="2ED50713" w:rsidR="00DA16C8" w:rsidRPr="00DA16C8" w:rsidRDefault="00DA16C8" w:rsidP="00DA16C8">
      <w:pPr>
        <w:spacing w:line="240" w:lineRule="auto"/>
        <w:rPr>
          <w:rFonts w:eastAsia="Times New Roman" w:cs="Arial"/>
          <w:sz w:val="28"/>
          <w:szCs w:val="24"/>
          <w:lang w:eastAsia="bg-BG"/>
        </w:rPr>
      </w:pPr>
      <w:r w:rsidRPr="00DA16C8">
        <w:rPr>
          <w:rFonts w:eastAsia="Times New Roman" w:cs="Arial"/>
          <w:color w:val="000000"/>
          <w:szCs w:val="20"/>
          <w:lang w:eastAsia="bg-BG"/>
        </w:rPr>
        <w:t>По-вероятно е това да се наблюдава при пациенти с предхождащо бъбречно увреждане. Необходимо е понижаване на дозата и/или прекратяване на лечението с диуретика и/или лизиноприл.</w:t>
      </w:r>
    </w:p>
    <w:p w14:paraId="5CC28E2C" w14:textId="77777777" w:rsidR="00DA16C8" w:rsidRPr="00DA16C8" w:rsidRDefault="00DA16C8" w:rsidP="00DA16C8">
      <w:pPr>
        <w:spacing w:line="240" w:lineRule="auto"/>
        <w:rPr>
          <w:rFonts w:eastAsia="Times New Roman" w:cs="Arial"/>
          <w:i/>
          <w:iCs/>
          <w:color w:val="000000"/>
          <w:szCs w:val="20"/>
          <w:lang w:eastAsia="bg-BG"/>
        </w:rPr>
      </w:pPr>
    </w:p>
    <w:p w14:paraId="1BF788CF" w14:textId="668022C3" w:rsidR="00DA16C8" w:rsidRPr="00DA16C8" w:rsidRDefault="00DA16C8" w:rsidP="00DA16C8">
      <w:pPr>
        <w:spacing w:line="240" w:lineRule="auto"/>
        <w:rPr>
          <w:rFonts w:eastAsia="Times New Roman" w:cs="Arial"/>
          <w:sz w:val="28"/>
          <w:szCs w:val="24"/>
          <w:lang w:eastAsia="bg-BG"/>
        </w:rPr>
      </w:pPr>
      <w:r w:rsidRPr="00DA16C8">
        <w:rPr>
          <w:rFonts w:eastAsia="Times New Roman" w:cs="Arial"/>
          <w:i/>
          <w:iCs/>
          <w:color w:val="000000"/>
          <w:szCs w:val="20"/>
          <w:lang w:eastAsia="bg-BG"/>
        </w:rPr>
        <w:lastRenderedPageBreak/>
        <w:t>Предхождаща диуретична терапия</w:t>
      </w:r>
    </w:p>
    <w:p w14:paraId="02483B0E" w14:textId="77777777" w:rsidR="00DA16C8" w:rsidRPr="00DA16C8" w:rsidRDefault="00DA16C8" w:rsidP="00DA16C8">
      <w:pPr>
        <w:spacing w:line="240" w:lineRule="auto"/>
        <w:rPr>
          <w:rFonts w:eastAsia="Times New Roman" w:cs="Arial"/>
          <w:sz w:val="28"/>
          <w:szCs w:val="24"/>
          <w:lang w:eastAsia="bg-BG"/>
        </w:rPr>
      </w:pPr>
      <w:r w:rsidRPr="00DA16C8">
        <w:rPr>
          <w:rFonts w:eastAsia="Times New Roman" w:cs="Arial"/>
          <w:color w:val="000000"/>
          <w:szCs w:val="20"/>
          <w:lang w:eastAsia="bg-BG"/>
        </w:rPr>
        <w:t xml:space="preserve">Предхождащата диутерична терапия трябва да се спре 2-3 дни преди започване на лечението с лизиноприл/хидрохлоротиазид. Ако това е невъзможно, лечението започва само с лизиноприл в доза от 5 </w:t>
      </w:r>
      <w:r w:rsidRPr="00DA16C8">
        <w:rPr>
          <w:rFonts w:eastAsia="Times New Roman" w:cs="Arial"/>
          <w:color w:val="000000"/>
          <w:szCs w:val="20"/>
          <w:lang w:val="en-US"/>
        </w:rPr>
        <w:t>mg.</w:t>
      </w:r>
    </w:p>
    <w:p w14:paraId="35CBCCE4" w14:textId="77777777" w:rsidR="00DA16C8" w:rsidRPr="00DA16C8" w:rsidRDefault="00DA16C8" w:rsidP="00DA16C8">
      <w:pPr>
        <w:spacing w:line="240" w:lineRule="auto"/>
        <w:rPr>
          <w:rFonts w:eastAsia="Times New Roman" w:cs="Arial"/>
          <w:i/>
          <w:iCs/>
          <w:color w:val="000000"/>
          <w:szCs w:val="20"/>
          <w:lang w:eastAsia="bg-BG"/>
        </w:rPr>
      </w:pPr>
    </w:p>
    <w:p w14:paraId="280E3100" w14:textId="176FC456" w:rsidR="00DA16C8" w:rsidRPr="00DA16C8" w:rsidRDefault="00DA16C8" w:rsidP="00DA16C8">
      <w:pPr>
        <w:spacing w:line="240" w:lineRule="auto"/>
        <w:rPr>
          <w:rFonts w:eastAsia="Times New Roman" w:cs="Arial"/>
          <w:sz w:val="28"/>
          <w:szCs w:val="24"/>
          <w:lang w:eastAsia="bg-BG"/>
        </w:rPr>
      </w:pPr>
      <w:r w:rsidRPr="00DA16C8">
        <w:rPr>
          <w:rFonts w:eastAsia="Times New Roman" w:cs="Arial"/>
          <w:i/>
          <w:iCs/>
          <w:color w:val="000000"/>
          <w:szCs w:val="20"/>
          <w:lang w:eastAsia="bg-BG"/>
        </w:rPr>
        <w:t>Бъбречна трансплантация</w:t>
      </w:r>
    </w:p>
    <w:p w14:paraId="437A8739" w14:textId="77777777" w:rsidR="00DA16C8" w:rsidRPr="00DA16C8" w:rsidRDefault="00DA16C8" w:rsidP="00DA16C8">
      <w:pPr>
        <w:spacing w:line="240" w:lineRule="auto"/>
        <w:rPr>
          <w:rFonts w:eastAsia="Times New Roman" w:cs="Arial"/>
          <w:sz w:val="28"/>
          <w:szCs w:val="24"/>
          <w:lang w:eastAsia="bg-BG"/>
        </w:rPr>
      </w:pPr>
      <w:r w:rsidRPr="00DA16C8">
        <w:rPr>
          <w:rFonts w:eastAsia="Times New Roman" w:cs="Arial"/>
          <w:color w:val="000000"/>
          <w:szCs w:val="20"/>
          <w:lang w:eastAsia="bg-BG"/>
        </w:rPr>
        <w:t>Не трябва да се използва, тъй като няма опит с приложението при пациени, които скоро са били подложени на бъбречна трансплантация.</w:t>
      </w:r>
    </w:p>
    <w:p w14:paraId="646118B1" w14:textId="77777777" w:rsidR="00DA16C8" w:rsidRPr="00DA16C8" w:rsidRDefault="00DA16C8" w:rsidP="00DA16C8">
      <w:pPr>
        <w:spacing w:line="240" w:lineRule="auto"/>
        <w:rPr>
          <w:rFonts w:eastAsia="Times New Roman" w:cs="Arial"/>
          <w:i/>
          <w:iCs/>
          <w:color w:val="000000"/>
          <w:szCs w:val="20"/>
          <w:lang w:eastAsia="bg-BG"/>
        </w:rPr>
      </w:pPr>
    </w:p>
    <w:p w14:paraId="4EA2655B" w14:textId="088B55A4" w:rsidR="00DA16C8" w:rsidRPr="00DA16C8" w:rsidRDefault="00DA16C8" w:rsidP="00DA16C8">
      <w:pPr>
        <w:spacing w:line="240" w:lineRule="auto"/>
        <w:rPr>
          <w:rFonts w:eastAsia="Times New Roman" w:cs="Arial"/>
          <w:sz w:val="28"/>
          <w:szCs w:val="24"/>
          <w:lang w:eastAsia="bg-BG"/>
        </w:rPr>
      </w:pPr>
      <w:r w:rsidRPr="00DA16C8">
        <w:rPr>
          <w:rFonts w:eastAsia="Times New Roman" w:cs="Arial"/>
          <w:i/>
          <w:iCs/>
          <w:color w:val="000000"/>
          <w:szCs w:val="20"/>
          <w:lang w:eastAsia="bg-BG"/>
        </w:rPr>
        <w:t>Анафилактоидни реакции при пациенти на хемодиализа</w:t>
      </w:r>
    </w:p>
    <w:p w14:paraId="4717311F" w14:textId="77777777" w:rsidR="00DA16C8" w:rsidRPr="00DA16C8" w:rsidRDefault="00DA16C8" w:rsidP="00DA16C8">
      <w:pPr>
        <w:spacing w:line="240" w:lineRule="auto"/>
        <w:rPr>
          <w:rFonts w:eastAsia="Times New Roman" w:cs="Arial"/>
          <w:sz w:val="28"/>
          <w:szCs w:val="24"/>
          <w:lang w:eastAsia="bg-BG"/>
        </w:rPr>
      </w:pPr>
      <w:r w:rsidRPr="00DA16C8">
        <w:rPr>
          <w:rFonts w:eastAsia="Times New Roman" w:cs="Arial"/>
          <w:color w:val="000000"/>
          <w:szCs w:val="20"/>
          <w:lang w:eastAsia="bg-BG"/>
        </w:rPr>
        <w:t xml:space="preserve">Използването на комбинацията лизиноприл/ хидрохлоротиазид е противопоказана при пациенти, подлежащи на хемодиализа поради бъбречна недостатъчност. Анафилактоидни реакции са наблюдавани при пациенти, подложени на хемодиализа (напр. с високопропускливи мембрани </w:t>
      </w:r>
      <w:r w:rsidRPr="00DA16C8">
        <w:rPr>
          <w:rFonts w:eastAsia="Times New Roman" w:cs="Arial"/>
          <w:color w:val="000000"/>
          <w:szCs w:val="20"/>
          <w:lang w:val="en-US"/>
        </w:rPr>
        <w:t xml:space="preserve">AN69 </w:t>
      </w:r>
      <w:r w:rsidRPr="00DA16C8">
        <w:rPr>
          <w:rFonts w:eastAsia="Times New Roman" w:cs="Arial"/>
          <w:color w:val="000000"/>
          <w:szCs w:val="20"/>
          <w:lang w:eastAsia="bg-BG"/>
        </w:rPr>
        <w:t xml:space="preserve">и по време на липопротеинова афереза с ниска плътност </w:t>
      </w:r>
      <w:r w:rsidRPr="00DA16C8">
        <w:rPr>
          <w:rFonts w:eastAsia="Times New Roman" w:cs="Arial"/>
          <w:color w:val="000000"/>
          <w:szCs w:val="20"/>
          <w:lang w:val="en-US"/>
        </w:rPr>
        <w:t xml:space="preserve">(LDL) </w:t>
      </w:r>
      <w:r w:rsidRPr="00DA16C8">
        <w:rPr>
          <w:rFonts w:eastAsia="Times New Roman" w:cs="Arial"/>
          <w:color w:val="000000"/>
          <w:szCs w:val="20"/>
          <w:lang w:eastAsia="bg-BG"/>
        </w:rPr>
        <w:t>с декстрат сулфат) и лекувани същевременно с АСЕ инхибитори. При тези пациенти би трябвало да се обсъди използването на друг вид диализни мембрани или на друг клас антихипертензивни средства.</w:t>
      </w:r>
    </w:p>
    <w:p w14:paraId="3ABE8A48" w14:textId="77777777" w:rsidR="00DA16C8" w:rsidRPr="00DA16C8" w:rsidRDefault="00DA16C8" w:rsidP="00DA16C8">
      <w:pPr>
        <w:spacing w:line="240" w:lineRule="auto"/>
        <w:rPr>
          <w:rFonts w:eastAsia="Times New Roman" w:cs="Arial"/>
          <w:i/>
          <w:iCs/>
          <w:color w:val="000000"/>
          <w:szCs w:val="20"/>
          <w:lang w:eastAsia="bg-BG"/>
        </w:rPr>
      </w:pPr>
    </w:p>
    <w:p w14:paraId="5FC43CAA" w14:textId="7BFD2D44" w:rsidR="00DA16C8" w:rsidRPr="00DA16C8" w:rsidRDefault="00DA16C8" w:rsidP="00DA16C8">
      <w:pPr>
        <w:spacing w:line="240" w:lineRule="auto"/>
        <w:rPr>
          <w:rFonts w:eastAsia="Times New Roman" w:cs="Arial"/>
          <w:sz w:val="28"/>
          <w:szCs w:val="24"/>
          <w:lang w:eastAsia="bg-BG"/>
        </w:rPr>
      </w:pPr>
      <w:r w:rsidRPr="00DA16C8">
        <w:rPr>
          <w:rFonts w:eastAsia="Times New Roman" w:cs="Arial"/>
          <w:i/>
          <w:iCs/>
          <w:color w:val="000000"/>
          <w:szCs w:val="20"/>
          <w:lang w:eastAsia="bg-BG"/>
        </w:rPr>
        <w:t xml:space="preserve">Анафилактоидни реакции, свързани с липопротеинова афереза с ниска плътност </w:t>
      </w:r>
      <w:r w:rsidRPr="00DA16C8">
        <w:rPr>
          <w:rFonts w:eastAsia="Times New Roman" w:cs="Arial"/>
          <w:i/>
          <w:iCs/>
          <w:color w:val="000000"/>
          <w:szCs w:val="20"/>
          <w:lang w:val="en-US"/>
        </w:rPr>
        <w:t xml:space="preserve">(LDL) </w:t>
      </w:r>
      <w:r w:rsidRPr="00DA16C8">
        <w:rPr>
          <w:rFonts w:eastAsia="Times New Roman" w:cs="Arial"/>
          <w:color w:val="000000"/>
          <w:szCs w:val="20"/>
          <w:lang w:eastAsia="bg-BG"/>
        </w:rPr>
        <w:t xml:space="preserve">Рядко, пациенти, лекувани с АСЕ инхибитори, получават животозастрашаващи анафилактоидни реакции по време на липопротеинова афереза с ниска плътност </w:t>
      </w:r>
      <w:r w:rsidRPr="00DA16C8">
        <w:rPr>
          <w:rFonts w:eastAsia="Times New Roman" w:cs="Arial"/>
          <w:color w:val="000000"/>
          <w:szCs w:val="20"/>
          <w:lang w:val="en-US"/>
        </w:rPr>
        <w:t xml:space="preserve">(LDL) </w:t>
      </w:r>
      <w:r w:rsidRPr="00DA16C8">
        <w:rPr>
          <w:rFonts w:eastAsia="Times New Roman" w:cs="Arial"/>
          <w:color w:val="000000"/>
          <w:szCs w:val="20"/>
          <w:lang w:eastAsia="bg-BG"/>
        </w:rPr>
        <w:t>с декстран сулфат. Тези реакции се избягват чрез временно прекъсване на терапията с АСЕ инхибитори преди всяка афереза.</w:t>
      </w:r>
    </w:p>
    <w:p w14:paraId="34B72D7C" w14:textId="77777777" w:rsidR="00DA16C8" w:rsidRPr="00DA16C8" w:rsidRDefault="00DA16C8" w:rsidP="00DA16C8">
      <w:pPr>
        <w:spacing w:line="240" w:lineRule="auto"/>
        <w:rPr>
          <w:rFonts w:eastAsia="Times New Roman" w:cs="Arial"/>
          <w:i/>
          <w:iCs/>
          <w:color w:val="000000"/>
          <w:szCs w:val="20"/>
          <w:lang w:eastAsia="bg-BG"/>
        </w:rPr>
      </w:pPr>
    </w:p>
    <w:p w14:paraId="06582DC3" w14:textId="3ACBBA4F" w:rsidR="00DA16C8" w:rsidRPr="00DA16C8" w:rsidRDefault="00DA16C8" w:rsidP="00DA16C8">
      <w:pPr>
        <w:spacing w:line="240" w:lineRule="auto"/>
        <w:rPr>
          <w:rFonts w:eastAsia="Times New Roman" w:cs="Arial"/>
          <w:sz w:val="28"/>
          <w:szCs w:val="24"/>
          <w:lang w:eastAsia="bg-BG"/>
        </w:rPr>
      </w:pPr>
      <w:r w:rsidRPr="00DA16C8">
        <w:rPr>
          <w:rFonts w:eastAsia="Times New Roman" w:cs="Arial"/>
          <w:i/>
          <w:iCs/>
          <w:color w:val="000000"/>
          <w:szCs w:val="20"/>
          <w:lang w:eastAsia="bg-BG"/>
        </w:rPr>
        <w:t>Чернодробни заболявания</w:t>
      </w:r>
    </w:p>
    <w:p w14:paraId="7FE049CF" w14:textId="77777777" w:rsidR="00DA16C8" w:rsidRPr="00DA16C8" w:rsidRDefault="00DA16C8" w:rsidP="00DA16C8">
      <w:pPr>
        <w:spacing w:line="240" w:lineRule="auto"/>
        <w:rPr>
          <w:rFonts w:eastAsia="Times New Roman" w:cs="Arial"/>
          <w:sz w:val="28"/>
          <w:szCs w:val="24"/>
          <w:lang w:eastAsia="bg-BG"/>
        </w:rPr>
      </w:pPr>
      <w:r w:rsidRPr="00DA16C8">
        <w:rPr>
          <w:rFonts w:eastAsia="Times New Roman" w:cs="Arial"/>
          <w:color w:val="000000"/>
          <w:szCs w:val="20"/>
          <w:lang w:eastAsia="bg-BG"/>
        </w:rPr>
        <w:t>Тиазидните диуретици трябва да се прилагат с повишено внимание при пациенти с нарушена чернодробна функция или прогресиращо чернодробно заболяване, тъй като минимални промени във водно-електролитното равновесие могат да провокират развитието на хепатална кома (вж. точка 4.3).</w:t>
      </w:r>
    </w:p>
    <w:p w14:paraId="518371F3" w14:textId="77777777" w:rsidR="00DA16C8" w:rsidRPr="00DA16C8" w:rsidRDefault="00DA16C8" w:rsidP="00DA16C8">
      <w:pPr>
        <w:rPr>
          <w:rFonts w:eastAsia="Times New Roman" w:cs="Arial"/>
          <w:color w:val="000000"/>
          <w:szCs w:val="20"/>
          <w:lang w:eastAsia="bg-BG"/>
        </w:rPr>
      </w:pPr>
    </w:p>
    <w:p w14:paraId="7D04D5C1" w14:textId="77777777" w:rsidR="00DA16C8" w:rsidRPr="00DA16C8" w:rsidRDefault="00DA16C8" w:rsidP="00DA16C8">
      <w:pPr>
        <w:rPr>
          <w:rFonts w:eastAsia="Times New Roman" w:cs="Arial"/>
          <w:sz w:val="28"/>
          <w:szCs w:val="24"/>
          <w:lang w:eastAsia="bg-BG"/>
        </w:rPr>
      </w:pPr>
      <w:r w:rsidRPr="00DA16C8">
        <w:rPr>
          <w:rFonts w:eastAsia="Times New Roman" w:cs="Arial"/>
          <w:color w:val="000000"/>
          <w:szCs w:val="20"/>
          <w:lang w:eastAsia="bg-BG"/>
        </w:rPr>
        <w:t xml:space="preserve">Много рядко АСЕ инхибиторите могат да бъдат асоцирани със синдром, при коийто се развива холестатична жълтеница или хепатит и прогресираща до фулминантна чернодробна некроза и (понякога) до смърт. Механизмът на този синдром не е изяснен. Ако пациенти, които приемат  лизиноприл/ хидрохлоротиазид, развият жълтеница или се повишат </w:t>
      </w:r>
      <w:r>
        <w:rPr>
          <w:rFonts w:eastAsia="Times New Roman" w:cs="Arial"/>
          <w:color w:val="000000"/>
          <w:szCs w:val="20"/>
          <w:lang w:eastAsia="bg-BG"/>
        </w:rPr>
        <w:t xml:space="preserve">стойностите на чернодробните </w:t>
      </w:r>
      <w:r w:rsidRPr="00DA16C8">
        <w:rPr>
          <w:rFonts w:eastAsia="Times New Roman" w:cs="Arial"/>
          <w:color w:val="000000"/>
          <w:szCs w:val="20"/>
          <w:lang w:eastAsia="bg-BG"/>
        </w:rPr>
        <w:t>им ензими, трябва да се прекрати приема на лизиноприл/ хидрохлоротиазид и те да получат необходимото лечение.</w:t>
      </w:r>
    </w:p>
    <w:p w14:paraId="37102F35" w14:textId="77777777" w:rsidR="00DA16C8" w:rsidRPr="00DA16C8" w:rsidRDefault="00DA16C8" w:rsidP="00DA16C8">
      <w:pPr>
        <w:spacing w:line="240" w:lineRule="auto"/>
        <w:rPr>
          <w:rFonts w:eastAsia="Times New Roman" w:cs="Arial"/>
          <w:i/>
          <w:iCs/>
          <w:color w:val="000000"/>
          <w:szCs w:val="20"/>
          <w:lang w:eastAsia="bg-BG"/>
        </w:rPr>
      </w:pPr>
    </w:p>
    <w:p w14:paraId="3D894AC5" w14:textId="5A2E2361" w:rsidR="00DA16C8" w:rsidRPr="00DA16C8" w:rsidRDefault="00DA16C8" w:rsidP="00DA16C8">
      <w:pPr>
        <w:spacing w:line="240" w:lineRule="auto"/>
        <w:rPr>
          <w:rFonts w:eastAsia="Times New Roman" w:cs="Arial"/>
          <w:sz w:val="28"/>
          <w:szCs w:val="24"/>
          <w:lang w:eastAsia="bg-BG"/>
        </w:rPr>
      </w:pPr>
      <w:r w:rsidRPr="00DA16C8">
        <w:rPr>
          <w:rFonts w:eastAsia="Times New Roman" w:cs="Arial"/>
          <w:i/>
          <w:iCs/>
          <w:color w:val="000000"/>
          <w:szCs w:val="20"/>
          <w:lang w:eastAsia="bg-BG"/>
        </w:rPr>
        <w:t>Хирургия/Анестезия</w:t>
      </w:r>
    </w:p>
    <w:p w14:paraId="57063292" w14:textId="77777777" w:rsidR="00DA16C8" w:rsidRPr="00DA16C8" w:rsidRDefault="00DA16C8" w:rsidP="00DA16C8">
      <w:pPr>
        <w:spacing w:line="240" w:lineRule="auto"/>
        <w:rPr>
          <w:rFonts w:eastAsia="Times New Roman" w:cs="Arial"/>
          <w:sz w:val="28"/>
          <w:szCs w:val="24"/>
          <w:lang w:eastAsia="bg-BG"/>
        </w:rPr>
      </w:pPr>
      <w:r w:rsidRPr="00DA16C8">
        <w:rPr>
          <w:rFonts w:eastAsia="Times New Roman" w:cs="Arial"/>
          <w:color w:val="000000"/>
          <w:szCs w:val="20"/>
          <w:lang w:eastAsia="bg-BG"/>
        </w:rPr>
        <w:t>Лизиноприл може да блокира вторично образуването на ангнотензин П в отговор на компенсаторното освобождаване на ренин при пациенти, подлежащи на големи хирургични интервенции или по време на анестезия с медикаменти, предизвикващи хипотония. Ако настъпи хипотония и се подозира, че тя се дължи на този механизъм, може да бъде коригирана с увеличение на обема,</w:t>
      </w:r>
    </w:p>
    <w:p w14:paraId="47366FBE" w14:textId="77777777" w:rsidR="00DA16C8" w:rsidRPr="00DA16C8" w:rsidRDefault="00DA16C8" w:rsidP="00DA16C8">
      <w:pPr>
        <w:spacing w:line="240" w:lineRule="auto"/>
        <w:rPr>
          <w:rFonts w:eastAsia="Times New Roman" w:cs="Arial"/>
          <w:i/>
          <w:iCs/>
          <w:color w:val="000000"/>
          <w:szCs w:val="20"/>
          <w:lang w:eastAsia="bg-BG"/>
        </w:rPr>
      </w:pPr>
    </w:p>
    <w:p w14:paraId="23CEDE10" w14:textId="02EFDE79" w:rsidR="00DA16C8" w:rsidRPr="00DA16C8" w:rsidRDefault="00DA16C8" w:rsidP="00DA16C8">
      <w:pPr>
        <w:spacing w:line="240" w:lineRule="auto"/>
        <w:rPr>
          <w:rFonts w:eastAsia="Times New Roman" w:cs="Arial"/>
          <w:sz w:val="28"/>
          <w:szCs w:val="24"/>
          <w:lang w:eastAsia="bg-BG"/>
        </w:rPr>
      </w:pPr>
      <w:r w:rsidRPr="00DA16C8">
        <w:rPr>
          <w:rFonts w:eastAsia="Times New Roman" w:cs="Arial"/>
          <w:i/>
          <w:iCs/>
          <w:color w:val="000000"/>
          <w:szCs w:val="20"/>
          <w:lang w:eastAsia="bg-BG"/>
        </w:rPr>
        <w:t>Метаболитпни и ендокринни промени</w:t>
      </w:r>
    </w:p>
    <w:p w14:paraId="5229C92E" w14:textId="77777777" w:rsidR="00DA16C8" w:rsidRPr="00DA16C8" w:rsidRDefault="00DA16C8" w:rsidP="00DA16C8">
      <w:pPr>
        <w:spacing w:line="240" w:lineRule="auto"/>
        <w:rPr>
          <w:rFonts w:eastAsia="Times New Roman" w:cs="Arial"/>
          <w:sz w:val="28"/>
          <w:szCs w:val="24"/>
          <w:lang w:eastAsia="bg-BG"/>
        </w:rPr>
      </w:pPr>
      <w:r w:rsidRPr="00DA16C8">
        <w:rPr>
          <w:rFonts w:eastAsia="Times New Roman" w:cs="Arial"/>
          <w:color w:val="000000"/>
          <w:szCs w:val="20"/>
          <w:lang w:eastAsia="bg-BG"/>
        </w:rPr>
        <w:t>Необходим е редовен гликемичен контрол през първия месец на лечение на диабетици с АСЕ- инхибитор при пациенти, които приемат перорални антидиабетни средства или инсулин. Терапията с тиазидни диуретици може да влоши глюкозния толеранс. Това може да наложи корекция в дозата на хипогликемичните лекарствени продукти, в това число и на инсулина. Латентен диабет може да се прояви по време на терапията с диуретици.</w:t>
      </w:r>
    </w:p>
    <w:p w14:paraId="71467C30" w14:textId="77777777" w:rsidR="00DA16C8" w:rsidRPr="00DA16C8" w:rsidRDefault="00DA16C8" w:rsidP="00DA16C8">
      <w:pPr>
        <w:spacing w:line="240" w:lineRule="auto"/>
        <w:rPr>
          <w:rFonts w:eastAsia="Times New Roman" w:cs="Arial"/>
          <w:color w:val="000000"/>
          <w:szCs w:val="20"/>
          <w:lang w:eastAsia="bg-BG"/>
        </w:rPr>
      </w:pPr>
    </w:p>
    <w:p w14:paraId="2817BA7C" w14:textId="3C1AF56F" w:rsidR="00DA16C8" w:rsidRPr="00DA16C8" w:rsidRDefault="00DA16C8" w:rsidP="00DA16C8">
      <w:pPr>
        <w:spacing w:line="240" w:lineRule="auto"/>
        <w:rPr>
          <w:rFonts w:eastAsia="Times New Roman" w:cs="Arial"/>
          <w:sz w:val="28"/>
          <w:szCs w:val="24"/>
          <w:lang w:eastAsia="bg-BG"/>
        </w:rPr>
      </w:pPr>
      <w:r w:rsidRPr="00DA16C8">
        <w:rPr>
          <w:rFonts w:eastAsia="Times New Roman" w:cs="Arial"/>
          <w:color w:val="000000"/>
          <w:szCs w:val="20"/>
          <w:lang w:eastAsia="bg-BG"/>
        </w:rPr>
        <w:t>Терапията с тиазидни диуретици може да предизвика покачване нивата на холестерола и триглицеридите. При някои пациенти тиазидната терапия може да причини хиперурикемия и/или подагра.</w:t>
      </w:r>
    </w:p>
    <w:p w14:paraId="3159F98B" w14:textId="77777777" w:rsidR="00DA16C8" w:rsidRPr="00DA16C8" w:rsidRDefault="00DA16C8" w:rsidP="00DA16C8">
      <w:pPr>
        <w:spacing w:line="240" w:lineRule="auto"/>
        <w:rPr>
          <w:rFonts w:eastAsia="Times New Roman" w:cs="Arial"/>
          <w:sz w:val="28"/>
          <w:szCs w:val="24"/>
          <w:lang w:eastAsia="bg-BG"/>
        </w:rPr>
      </w:pPr>
      <w:r w:rsidRPr="00DA16C8">
        <w:rPr>
          <w:rFonts w:eastAsia="Times New Roman" w:cs="Arial"/>
          <w:color w:val="000000"/>
          <w:szCs w:val="20"/>
          <w:lang w:eastAsia="bg-BG"/>
        </w:rPr>
        <w:t>Обратно на това, лизиноприл е възможно да увеличи уринната екскреция на пикочната киселина и така да намали хиперурикемичният ефект на хидрохлоротиазид.</w:t>
      </w:r>
    </w:p>
    <w:p w14:paraId="08A4FA17" w14:textId="77777777" w:rsidR="00DA16C8" w:rsidRPr="00DA16C8" w:rsidRDefault="00DA16C8" w:rsidP="00DA16C8">
      <w:pPr>
        <w:spacing w:line="240" w:lineRule="auto"/>
        <w:rPr>
          <w:rFonts w:eastAsia="Times New Roman" w:cs="Arial"/>
          <w:i/>
          <w:iCs/>
          <w:color w:val="000000"/>
          <w:szCs w:val="20"/>
          <w:lang w:eastAsia="bg-BG"/>
        </w:rPr>
      </w:pPr>
    </w:p>
    <w:p w14:paraId="63C722CF" w14:textId="0E69B72D" w:rsidR="00DA16C8" w:rsidRPr="00DA16C8" w:rsidRDefault="00DA16C8" w:rsidP="00DA16C8">
      <w:pPr>
        <w:spacing w:line="240" w:lineRule="auto"/>
        <w:rPr>
          <w:rFonts w:eastAsia="Times New Roman" w:cs="Arial"/>
          <w:sz w:val="28"/>
          <w:szCs w:val="24"/>
          <w:lang w:eastAsia="bg-BG"/>
        </w:rPr>
      </w:pPr>
      <w:r w:rsidRPr="00DA16C8">
        <w:rPr>
          <w:rFonts w:eastAsia="Times New Roman" w:cs="Arial"/>
          <w:i/>
          <w:iCs/>
          <w:color w:val="000000"/>
          <w:szCs w:val="20"/>
          <w:lang w:eastAsia="bg-BG"/>
        </w:rPr>
        <w:t>Електролитен дисбаланс</w:t>
      </w:r>
    </w:p>
    <w:p w14:paraId="698F4CD1" w14:textId="77777777" w:rsidR="00DA16C8" w:rsidRPr="00DA16C8" w:rsidRDefault="00DA16C8" w:rsidP="00DA16C8">
      <w:pPr>
        <w:spacing w:line="240" w:lineRule="auto"/>
        <w:rPr>
          <w:rFonts w:eastAsia="Times New Roman" w:cs="Arial"/>
          <w:sz w:val="28"/>
          <w:szCs w:val="24"/>
          <w:lang w:eastAsia="bg-BG"/>
        </w:rPr>
      </w:pPr>
      <w:r w:rsidRPr="00DA16C8">
        <w:rPr>
          <w:rFonts w:eastAsia="Times New Roman" w:cs="Arial"/>
          <w:color w:val="000000"/>
          <w:szCs w:val="20"/>
          <w:lang w:eastAsia="bg-BG"/>
        </w:rPr>
        <w:t>Както при всички пациенти получаващи диуретична терапия и тук е необходим периодичен контрол на серумните електролити.</w:t>
      </w:r>
    </w:p>
    <w:p w14:paraId="3982E42A" w14:textId="2CF2E2C2" w:rsidR="00DA16C8" w:rsidRPr="00DA16C8" w:rsidRDefault="00DA16C8" w:rsidP="00DA16C8">
      <w:pPr>
        <w:spacing w:line="240" w:lineRule="auto"/>
        <w:rPr>
          <w:rFonts w:eastAsia="Times New Roman" w:cs="Arial"/>
          <w:sz w:val="28"/>
          <w:szCs w:val="24"/>
          <w:lang w:eastAsia="bg-BG"/>
        </w:rPr>
      </w:pPr>
      <w:r w:rsidRPr="00DA16C8">
        <w:rPr>
          <w:rFonts w:eastAsia="Times New Roman" w:cs="Arial"/>
          <w:color w:val="000000"/>
          <w:szCs w:val="20"/>
          <w:lang w:eastAsia="bg-BG"/>
        </w:rPr>
        <w:t>Тиазидите, в това число и хидрохлоротиазид е възможно да предизвикат електролитен дисбаланс (хипокалиемия, хипонатриемия и хипохлоремична алкалоза). Признаци на нарушен воден или електролитен баланс са сухота в устата, жажда, слабост, летаргия, сънливост, мускулни болки или крампи, мускулна умора, хипотензия, олигоурия, тахикардия, гастро-интерстинални нарушения като гадене и повръщане. При горещо време може да се наблюдава дилуционна хипонатриемия при пациенти с отоци. Хлорният дефицит е умерен и не е необходимо лечение, Доказано е, че тиазидните диуретици повишават екскрецията на магнезий в урината, което може да доведе до хипомагнезиемия.</w:t>
      </w:r>
    </w:p>
    <w:p w14:paraId="46CC76B5" w14:textId="77777777" w:rsidR="00DA16C8" w:rsidRPr="00DA16C8" w:rsidRDefault="00DA16C8" w:rsidP="00DA16C8">
      <w:pPr>
        <w:spacing w:line="240" w:lineRule="auto"/>
        <w:rPr>
          <w:rFonts w:eastAsia="Times New Roman" w:cs="Arial"/>
          <w:color w:val="000000"/>
          <w:szCs w:val="20"/>
          <w:lang w:eastAsia="bg-BG"/>
        </w:rPr>
      </w:pPr>
    </w:p>
    <w:p w14:paraId="6D77EADC" w14:textId="122F974F" w:rsidR="00DA16C8" w:rsidRPr="00DA16C8" w:rsidRDefault="00DA16C8" w:rsidP="00DA16C8">
      <w:pPr>
        <w:spacing w:line="240" w:lineRule="auto"/>
        <w:rPr>
          <w:rFonts w:eastAsia="Times New Roman" w:cs="Arial"/>
          <w:sz w:val="28"/>
          <w:szCs w:val="24"/>
          <w:lang w:eastAsia="bg-BG"/>
        </w:rPr>
      </w:pPr>
      <w:r w:rsidRPr="00DA16C8">
        <w:rPr>
          <w:rFonts w:eastAsia="Times New Roman" w:cs="Arial"/>
          <w:color w:val="000000"/>
          <w:szCs w:val="20"/>
          <w:lang w:eastAsia="bg-BG"/>
        </w:rPr>
        <w:t>Тиазидните диуретици могат да понижат уринната калциева екскреция и да предизвикат леко, преходно покачване на серумния калций. Установяване на хиперкалциемия може да бъде белег за скрит хиперпаратиреоидизъм. Преди изследване на функцията на паратитеоидните жлези, приемът на тиазиди трябва да бъде преустановен.</w:t>
      </w:r>
    </w:p>
    <w:p w14:paraId="6B577458" w14:textId="77777777" w:rsidR="00DA16C8" w:rsidRPr="00DA16C8" w:rsidRDefault="00DA16C8" w:rsidP="00DA16C8">
      <w:pPr>
        <w:spacing w:line="240" w:lineRule="auto"/>
        <w:rPr>
          <w:rFonts w:eastAsia="Times New Roman" w:cs="Arial"/>
          <w:i/>
          <w:iCs/>
          <w:color w:val="000000"/>
          <w:szCs w:val="20"/>
          <w:lang w:eastAsia="bg-BG"/>
        </w:rPr>
      </w:pPr>
    </w:p>
    <w:p w14:paraId="2C79DE54" w14:textId="3817279D" w:rsidR="00DA16C8" w:rsidRPr="00DA16C8" w:rsidRDefault="00DA16C8" w:rsidP="00DA16C8">
      <w:pPr>
        <w:spacing w:line="240" w:lineRule="auto"/>
        <w:rPr>
          <w:rFonts w:eastAsia="Times New Roman" w:cs="Arial"/>
          <w:sz w:val="28"/>
          <w:szCs w:val="24"/>
          <w:lang w:eastAsia="bg-BG"/>
        </w:rPr>
      </w:pPr>
      <w:r w:rsidRPr="00DA16C8">
        <w:rPr>
          <w:rFonts w:eastAsia="Times New Roman" w:cs="Arial"/>
          <w:i/>
          <w:iCs/>
          <w:color w:val="000000"/>
          <w:szCs w:val="20"/>
          <w:lang w:eastAsia="bg-BG"/>
        </w:rPr>
        <w:t>Хиперкалиемия</w:t>
      </w:r>
    </w:p>
    <w:p w14:paraId="5A52FF47" w14:textId="77777777" w:rsidR="00DA16C8" w:rsidRPr="00DA16C8" w:rsidRDefault="00DA16C8" w:rsidP="00DA16C8">
      <w:pPr>
        <w:spacing w:line="240" w:lineRule="auto"/>
        <w:rPr>
          <w:rFonts w:eastAsia="Times New Roman" w:cs="Arial"/>
          <w:sz w:val="28"/>
          <w:szCs w:val="24"/>
          <w:lang w:eastAsia="bg-BG"/>
        </w:rPr>
      </w:pPr>
      <w:r w:rsidRPr="00DA16C8">
        <w:rPr>
          <w:rFonts w:eastAsia="Times New Roman" w:cs="Arial"/>
          <w:color w:val="000000"/>
          <w:szCs w:val="20"/>
          <w:lang w:eastAsia="bg-BG"/>
        </w:rPr>
        <w:t>Повишаване на серумния калий са наблюдавани при някои пациенти, лекувани с АСЕ инхибитори, включително лизиноприл. Пациенти с повишен риск за развитие на хиперкалиемия включват тези с бъбречна недостатъчност, захарен диабет, или тези, които използват едновременно калий- сьхраняващи диуретици, калиеви добавки или калий-съдържащи заместители на солта, или онези пациенти, приемащи други лекарства, свързани с повишаване на серумния калий (напр. хепарин, комбинация от триметоприм/сулфаметоксазол, известна още като ко-тримоксазол). Ако едновременната употреба на гореспоменатите средства се счита за подходяща, препоръчва се редовно проследяване на серумния калий (вж. точка 4.5).</w:t>
      </w:r>
    </w:p>
    <w:p w14:paraId="6B0EACED" w14:textId="77777777" w:rsidR="00DA16C8" w:rsidRPr="00DA16C8" w:rsidRDefault="00DA16C8" w:rsidP="00DA16C8">
      <w:pPr>
        <w:spacing w:line="240" w:lineRule="auto"/>
        <w:rPr>
          <w:rFonts w:eastAsia="Times New Roman" w:cs="Arial"/>
          <w:i/>
          <w:iCs/>
          <w:color w:val="000000"/>
          <w:szCs w:val="20"/>
          <w:lang w:eastAsia="bg-BG"/>
        </w:rPr>
      </w:pPr>
    </w:p>
    <w:p w14:paraId="3D181A90" w14:textId="7CF2009E" w:rsidR="00DA16C8" w:rsidRPr="00DA16C8" w:rsidRDefault="00DA16C8" w:rsidP="00DA16C8">
      <w:pPr>
        <w:spacing w:line="240" w:lineRule="auto"/>
        <w:rPr>
          <w:rFonts w:eastAsia="Times New Roman" w:cs="Arial"/>
          <w:sz w:val="28"/>
          <w:szCs w:val="24"/>
          <w:lang w:eastAsia="bg-BG"/>
        </w:rPr>
      </w:pPr>
      <w:r w:rsidRPr="00DA16C8">
        <w:rPr>
          <w:rFonts w:eastAsia="Times New Roman" w:cs="Arial"/>
          <w:i/>
          <w:iCs/>
          <w:color w:val="000000"/>
          <w:szCs w:val="20"/>
          <w:lang w:eastAsia="bg-BG"/>
        </w:rPr>
        <w:t>Пациенти с диабет</w:t>
      </w:r>
    </w:p>
    <w:p w14:paraId="60BFE2FF" w14:textId="77777777" w:rsidR="00DA16C8" w:rsidRPr="00DA16C8" w:rsidRDefault="00DA16C8" w:rsidP="00DA16C8">
      <w:pPr>
        <w:spacing w:line="240" w:lineRule="auto"/>
        <w:rPr>
          <w:rFonts w:eastAsia="Times New Roman" w:cs="Arial"/>
          <w:sz w:val="28"/>
          <w:szCs w:val="24"/>
          <w:lang w:eastAsia="bg-BG"/>
        </w:rPr>
      </w:pPr>
      <w:r w:rsidRPr="00DA16C8">
        <w:rPr>
          <w:rFonts w:eastAsia="Times New Roman" w:cs="Arial"/>
          <w:color w:val="000000"/>
          <w:szCs w:val="20"/>
          <w:lang w:eastAsia="bg-BG"/>
        </w:rPr>
        <w:t>При пациенти с диабет, лекувани с перорални антидиабетни средства или инсулин, гликемичният контрол трябва да бъде внимателно наблюдаван по време на първия месец от лечението с АСЕ- инхибитор (вж. точка 4.5).</w:t>
      </w:r>
    </w:p>
    <w:p w14:paraId="61F79396" w14:textId="77777777" w:rsidR="00DA16C8" w:rsidRPr="00DA16C8" w:rsidRDefault="00DA16C8" w:rsidP="00DA16C8">
      <w:pPr>
        <w:spacing w:line="240" w:lineRule="auto"/>
        <w:rPr>
          <w:rFonts w:eastAsia="Times New Roman" w:cs="Arial"/>
          <w:i/>
          <w:iCs/>
          <w:color w:val="000000"/>
          <w:szCs w:val="20"/>
          <w:lang w:eastAsia="bg-BG"/>
        </w:rPr>
      </w:pPr>
    </w:p>
    <w:p w14:paraId="3C7444ED" w14:textId="2D0CDFEF" w:rsidR="00DA16C8" w:rsidRPr="00DA16C8" w:rsidRDefault="00DA16C8" w:rsidP="00DA16C8">
      <w:pPr>
        <w:spacing w:line="240" w:lineRule="auto"/>
        <w:rPr>
          <w:rFonts w:eastAsia="Times New Roman" w:cs="Arial"/>
          <w:sz w:val="28"/>
          <w:szCs w:val="24"/>
          <w:lang w:eastAsia="bg-BG"/>
        </w:rPr>
      </w:pPr>
      <w:r w:rsidRPr="00DA16C8">
        <w:rPr>
          <w:rFonts w:eastAsia="Times New Roman" w:cs="Arial"/>
          <w:i/>
          <w:iCs/>
          <w:color w:val="000000"/>
          <w:szCs w:val="20"/>
          <w:lang w:eastAsia="bg-BG"/>
        </w:rPr>
        <w:t>Свръхчувствителност/ангионевротичен едем</w:t>
      </w:r>
    </w:p>
    <w:p w14:paraId="37C21A46" w14:textId="16403B95" w:rsidR="00DA16C8" w:rsidRPr="00DA16C8" w:rsidRDefault="00DA16C8" w:rsidP="00DA16C8">
      <w:pPr>
        <w:spacing w:line="240" w:lineRule="auto"/>
        <w:rPr>
          <w:rFonts w:eastAsia="Times New Roman" w:cs="Arial"/>
          <w:sz w:val="28"/>
          <w:szCs w:val="24"/>
          <w:lang w:eastAsia="bg-BG"/>
        </w:rPr>
      </w:pPr>
      <w:r w:rsidRPr="00DA16C8">
        <w:rPr>
          <w:rFonts w:eastAsia="Times New Roman" w:cs="Arial"/>
          <w:color w:val="000000"/>
          <w:szCs w:val="20"/>
          <w:lang w:eastAsia="bg-BG"/>
        </w:rPr>
        <w:t>Ангиоедем на лицето, крайниците, устните, езика, глотиса и/или ларинкса рядко са наблюдавани при пациенти, лекувани с АСЕ- инхибитори, в това число лизиноприл. Това може да се случи по всяко</w:t>
      </w:r>
      <w:r>
        <w:rPr>
          <w:rFonts w:eastAsia="Times New Roman" w:cs="Arial"/>
          <w:sz w:val="28"/>
          <w:szCs w:val="24"/>
          <w:lang w:eastAsia="bg-BG"/>
        </w:rPr>
        <w:t xml:space="preserve"> </w:t>
      </w:r>
      <w:r w:rsidRPr="00DA16C8">
        <w:rPr>
          <w:rFonts w:eastAsia="Times New Roman" w:cs="Arial"/>
          <w:color w:val="000000"/>
          <w:szCs w:val="20"/>
          <w:lang w:eastAsia="bg-BG"/>
        </w:rPr>
        <w:t>време на лечени</w:t>
      </w:r>
      <w:r>
        <w:rPr>
          <w:rFonts w:eastAsia="Times New Roman" w:cs="Arial"/>
          <w:color w:val="000000"/>
          <w:szCs w:val="20"/>
          <w:lang w:eastAsia="bg-BG"/>
        </w:rPr>
        <w:t>ето.</w:t>
      </w:r>
      <w:r w:rsidRPr="00DA16C8">
        <w:rPr>
          <w:rFonts w:eastAsia="Times New Roman" w:cs="Arial"/>
          <w:color w:val="000000"/>
          <w:szCs w:val="20"/>
          <w:lang w:eastAsia="bg-BG"/>
        </w:rPr>
        <w:t xml:space="preserve"> В такъв случай, приложението на лизиноприл трябва незабавно да се прекрати и</w:t>
      </w:r>
      <w:r>
        <w:rPr>
          <w:rFonts w:eastAsia="Times New Roman" w:cs="Arial"/>
          <w:color w:val="000000"/>
          <w:szCs w:val="20"/>
          <w:lang w:eastAsia="bg-BG"/>
        </w:rPr>
        <w:t xml:space="preserve"> </w:t>
      </w:r>
      <w:r w:rsidRPr="00DA16C8">
        <w:rPr>
          <w:szCs w:val="20"/>
        </w:rPr>
        <w:t>да се осигури подходяща терапия и наблюдение на пациента до пълното и трайно изчезване на симптомите. Дори в случай на ограничен оток само на езика, без респираторен дистрес, може да се наложи продължително наблюдение на пациентите, тъй като лечението с антихистамини и кортикостероиди може да не е достатъчно.</w:t>
      </w:r>
    </w:p>
    <w:p w14:paraId="7AF5F089" w14:textId="77777777" w:rsidR="00DA16C8" w:rsidRPr="00DA16C8" w:rsidRDefault="00DA16C8" w:rsidP="00DA16C8">
      <w:pPr>
        <w:rPr>
          <w:szCs w:val="20"/>
        </w:rPr>
      </w:pPr>
    </w:p>
    <w:p w14:paraId="2C76D004" w14:textId="0E5C0344" w:rsidR="00DA16C8" w:rsidRPr="00DA16C8" w:rsidRDefault="00DA16C8" w:rsidP="00DA16C8">
      <w:pPr>
        <w:rPr>
          <w:sz w:val="24"/>
        </w:rPr>
      </w:pPr>
      <w:r w:rsidRPr="00DA16C8">
        <w:rPr>
          <w:szCs w:val="20"/>
        </w:rPr>
        <w:lastRenderedPageBreak/>
        <w:t>Много рядко се съобщава за смъртни случаи, дължащи се на ангиоедем, свързан с оток на ларинкса или езика. Пациенти, при които са засегнати езика, глотиса или ларинкса е възможно да възникне обструкция на дихателните пътища, особено при тези с анамнеза за хирургична намеса на дихателните пътища. При такива случаи трябва незабавно да се проведе подходяща терапия. Това може да включва подкожно прилагане на адреналин и/или поддържане на проходими дихателни пътища. Пациентът трябва да остане под строг лекарски контрол, докато не настъпи пълно отзвучаване на симптомите,</w:t>
      </w:r>
    </w:p>
    <w:p w14:paraId="1DAAFD85" w14:textId="77777777" w:rsidR="00DA16C8" w:rsidRPr="00DA16C8" w:rsidRDefault="00DA16C8" w:rsidP="00DA16C8">
      <w:pPr>
        <w:rPr>
          <w:szCs w:val="20"/>
        </w:rPr>
      </w:pPr>
    </w:p>
    <w:p w14:paraId="6516E219" w14:textId="4819B7BF" w:rsidR="00DA16C8" w:rsidRPr="00DA16C8" w:rsidRDefault="00DA16C8" w:rsidP="00DA16C8">
      <w:pPr>
        <w:rPr>
          <w:sz w:val="24"/>
        </w:rPr>
      </w:pPr>
      <w:r w:rsidRPr="00DA16C8">
        <w:rPr>
          <w:szCs w:val="20"/>
        </w:rPr>
        <w:t>АСЕ инхибиторите предизвикват ангиоедем с по-висока честота при чернокожи пациенти, в сравнение с тези от бялата раса.</w:t>
      </w:r>
    </w:p>
    <w:p w14:paraId="1ABE6ADC" w14:textId="77777777" w:rsidR="00DA16C8" w:rsidRPr="00DA16C8" w:rsidRDefault="00DA16C8" w:rsidP="00DA16C8">
      <w:pPr>
        <w:rPr>
          <w:szCs w:val="20"/>
        </w:rPr>
      </w:pPr>
    </w:p>
    <w:p w14:paraId="39ECBF36" w14:textId="43CC96B5" w:rsidR="00DA16C8" w:rsidRPr="00DA16C8" w:rsidRDefault="00DA16C8" w:rsidP="00DA16C8">
      <w:pPr>
        <w:rPr>
          <w:sz w:val="24"/>
        </w:rPr>
      </w:pPr>
      <w:r w:rsidRPr="00DA16C8">
        <w:rPr>
          <w:szCs w:val="20"/>
        </w:rPr>
        <w:t>Пациенти с анамнестични данни за ангиоедем, несвързан с терапия а АСЕ инхибитори, могат да бъдат с повишен риск от развитие на ангиоедем при терапия с АСЕ инхибитор (вж. точка 4.3).</w:t>
      </w:r>
    </w:p>
    <w:p w14:paraId="6B5159CD" w14:textId="77777777" w:rsidR="00DA16C8" w:rsidRPr="00DA16C8" w:rsidRDefault="00DA16C8" w:rsidP="00DA16C8">
      <w:pPr>
        <w:rPr>
          <w:i/>
          <w:iCs/>
          <w:szCs w:val="20"/>
          <w:lang w:val="en-US"/>
        </w:rPr>
      </w:pPr>
    </w:p>
    <w:p w14:paraId="4A704432" w14:textId="161629E1" w:rsidR="00DA16C8" w:rsidRPr="00DA16C8" w:rsidRDefault="00DA16C8" w:rsidP="00DA16C8">
      <w:pPr>
        <w:rPr>
          <w:sz w:val="24"/>
        </w:rPr>
      </w:pPr>
      <w:proofErr w:type="spellStart"/>
      <w:proofErr w:type="gramStart"/>
      <w:r w:rsidRPr="00DA16C8">
        <w:rPr>
          <w:i/>
          <w:iCs/>
          <w:szCs w:val="20"/>
          <w:lang w:val="en-US"/>
        </w:rPr>
        <w:t>mTOR</w:t>
      </w:r>
      <w:proofErr w:type="spellEnd"/>
      <w:proofErr w:type="gramEnd"/>
      <w:r w:rsidRPr="00DA16C8">
        <w:rPr>
          <w:i/>
          <w:iCs/>
          <w:szCs w:val="20"/>
          <w:lang w:val="en-US"/>
        </w:rPr>
        <w:t xml:space="preserve"> </w:t>
      </w:r>
      <w:r w:rsidRPr="00DA16C8">
        <w:rPr>
          <w:i/>
          <w:iCs/>
          <w:szCs w:val="20"/>
        </w:rPr>
        <w:t>инхибитори (напр. сиролимус, еверолимус, темсиролимус)</w:t>
      </w:r>
    </w:p>
    <w:p w14:paraId="4FF51A3D" w14:textId="77777777" w:rsidR="00DA16C8" w:rsidRPr="00DA16C8" w:rsidRDefault="00DA16C8" w:rsidP="00DA16C8">
      <w:pPr>
        <w:rPr>
          <w:sz w:val="24"/>
        </w:rPr>
      </w:pPr>
      <w:r w:rsidRPr="00DA16C8">
        <w:rPr>
          <w:szCs w:val="20"/>
        </w:rPr>
        <w:t xml:space="preserve">Пациенти със съпътстващо лечение с </w:t>
      </w:r>
      <w:proofErr w:type="spellStart"/>
      <w:r w:rsidRPr="00DA16C8">
        <w:rPr>
          <w:szCs w:val="20"/>
          <w:lang w:val="en-US"/>
        </w:rPr>
        <w:t>mTOR</w:t>
      </w:r>
      <w:proofErr w:type="spellEnd"/>
      <w:r w:rsidRPr="00DA16C8">
        <w:rPr>
          <w:szCs w:val="20"/>
          <w:lang w:val="en-US"/>
        </w:rPr>
        <w:t xml:space="preserve"> </w:t>
      </w:r>
      <w:r w:rsidRPr="00DA16C8">
        <w:rPr>
          <w:szCs w:val="20"/>
        </w:rPr>
        <w:t>инхибитори (напр. сиролимус, еверолимус, темсиролимус) може да са изложени на повишен риск от ангиоедем (напр.оток на дихателните пътища или езика, със или без респираторно нарушение) (вж. точка 4.5).</w:t>
      </w:r>
    </w:p>
    <w:p w14:paraId="30231537" w14:textId="77777777" w:rsidR="00DA16C8" w:rsidRPr="00DA16C8" w:rsidRDefault="00DA16C8" w:rsidP="00DA16C8">
      <w:pPr>
        <w:rPr>
          <w:szCs w:val="20"/>
        </w:rPr>
      </w:pPr>
    </w:p>
    <w:p w14:paraId="08FC7B78" w14:textId="2AEF0F1A" w:rsidR="00DA16C8" w:rsidRPr="00DA16C8" w:rsidRDefault="00DA16C8" w:rsidP="00DA16C8">
      <w:pPr>
        <w:rPr>
          <w:sz w:val="24"/>
        </w:rPr>
      </w:pPr>
      <w:r w:rsidRPr="00DA16C8">
        <w:rPr>
          <w:szCs w:val="20"/>
        </w:rPr>
        <w:t xml:space="preserve">При лечение с тиазидни диуретици, пациенти с налична или липсваща анамнеза за алергия или бронхиална астма могат да проявят реакции на свръхчувствителност. Обостряне или поява на системен лупус еритематодес </w:t>
      </w:r>
      <w:r w:rsidRPr="00DA16C8">
        <w:rPr>
          <w:szCs w:val="20"/>
          <w:lang w:val="en-US"/>
        </w:rPr>
        <w:t xml:space="preserve">(SLE) </w:t>
      </w:r>
      <w:r w:rsidRPr="00DA16C8">
        <w:rPr>
          <w:szCs w:val="20"/>
        </w:rPr>
        <w:t>може да се наблюдава при лечение с тиазиди.</w:t>
      </w:r>
    </w:p>
    <w:p w14:paraId="6C556F9C" w14:textId="77777777" w:rsidR="00DA16C8" w:rsidRPr="00DA16C8" w:rsidRDefault="00DA16C8" w:rsidP="00DA16C8">
      <w:pPr>
        <w:rPr>
          <w:i/>
          <w:iCs/>
          <w:szCs w:val="20"/>
        </w:rPr>
      </w:pPr>
    </w:p>
    <w:p w14:paraId="59194DE2" w14:textId="50255020" w:rsidR="00DA16C8" w:rsidRPr="00DA16C8" w:rsidRDefault="00DA16C8" w:rsidP="00DA16C8">
      <w:pPr>
        <w:rPr>
          <w:sz w:val="24"/>
        </w:rPr>
      </w:pPr>
      <w:r w:rsidRPr="00DA16C8">
        <w:rPr>
          <w:i/>
          <w:iCs/>
          <w:szCs w:val="20"/>
        </w:rPr>
        <w:t>Десенсибилизация</w:t>
      </w:r>
    </w:p>
    <w:p w14:paraId="3ACDC625" w14:textId="77777777" w:rsidR="00DA16C8" w:rsidRPr="00DA16C8" w:rsidRDefault="00DA16C8" w:rsidP="00DA16C8">
      <w:pPr>
        <w:rPr>
          <w:sz w:val="24"/>
        </w:rPr>
      </w:pPr>
      <w:r w:rsidRPr="00DA16C8">
        <w:rPr>
          <w:szCs w:val="20"/>
        </w:rPr>
        <w:t>Пациенти, получаващи АСЕ инхибитори по време на десенсибилизираща терапия (например с отрова от ципокрили), могат да развият продължителни анафилактоидни реакции. При същите пациенти, тези реакции могат да бъдат избегнати, като терапията с АСЕ инхибитори временно се прекрати, но тези реакции може да се появят отново при непреднамерено подновяване на лечението.</w:t>
      </w:r>
    </w:p>
    <w:p w14:paraId="38980572" w14:textId="77777777" w:rsidR="00DA16C8" w:rsidRPr="00DA16C8" w:rsidRDefault="00DA16C8" w:rsidP="00DA16C8">
      <w:pPr>
        <w:rPr>
          <w:i/>
          <w:iCs/>
          <w:szCs w:val="20"/>
        </w:rPr>
      </w:pPr>
    </w:p>
    <w:p w14:paraId="03375AA1" w14:textId="427FB6E3" w:rsidR="00DA16C8" w:rsidRPr="00DA16C8" w:rsidRDefault="00DA16C8" w:rsidP="00DA16C8">
      <w:pPr>
        <w:rPr>
          <w:sz w:val="24"/>
        </w:rPr>
      </w:pPr>
      <w:r w:rsidRPr="00DA16C8">
        <w:rPr>
          <w:i/>
          <w:iCs/>
          <w:szCs w:val="20"/>
        </w:rPr>
        <w:t>Неутропения/Агранулоцитоза</w:t>
      </w:r>
    </w:p>
    <w:p w14:paraId="7D9C7627" w14:textId="77777777" w:rsidR="00DA16C8" w:rsidRPr="00DA16C8" w:rsidRDefault="00DA16C8" w:rsidP="00DA16C8">
      <w:pPr>
        <w:rPr>
          <w:sz w:val="24"/>
        </w:rPr>
      </w:pPr>
      <w:r w:rsidRPr="00DA16C8">
        <w:rPr>
          <w:szCs w:val="20"/>
        </w:rPr>
        <w:t>Неутропения/агранулоцитоза, тромбоцитопения и анемия са докладвани при пациенти, лекувани с АСЕ инхибитори. При пациенти с нормална бъбречна функция и липса на други утежняващи фактори, неутропения се наблюдава рядко. Неутропенията и агранулоцитозата са обратими след прекратяване на приема на АСЕ инхибитора. Лизиноприл трябва да се използва с много голямо внимание при пациенти със съдови колагенози, имуносупресивна терапия, лечение с алопуринол и прокаинамид или комбинация от тези утежняващи фактори, особено ако бъбречната функция е нарушена. Някои от тези пациенти развиват сериозни инфекции, неподдаващи се на интензивна антибиотична терапия. Ако лизиноприл се прилага при такива пациенти, препоръчителен е периодичен контрол на левкоцитите, като пациентите се инструктират да съобщават за признаци на инфекция.</w:t>
      </w:r>
    </w:p>
    <w:p w14:paraId="4C2FB2C7" w14:textId="77777777" w:rsidR="00DA16C8" w:rsidRPr="00DA16C8" w:rsidRDefault="00DA16C8" w:rsidP="00DA16C8">
      <w:pPr>
        <w:rPr>
          <w:i/>
          <w:iCs/>
          <w:szCs w:val="20"/>
        </w:rPr>
      </w:pPr>
    </w:p>
    <w:p w14:paraId="766DA1B0" w14:textId="3B15BE3B" w:rsidR="00DA16C8" w:rsidRPr="00DA16C8" w:rsidRDefault="00DA16C8" w:rsidP="00DA16C8">
      <w:pPr>
        <w:rPr>
          <w:sz w:val="24"/>
        </w:rPr>
      </w:pPr>
      <w:r w:rsidRPr="00DA16C8">
        <w:rPr>
          <w:i/>
          <w:iCs/>
          <w:szCs w:val="20"/>
        </w:rPr>
        <w:t>Расова принадлежност</w:t>
      </w:r>
    </w:p>
    <w:p w14:paraId="66E0E6E1" w14:textId="77777777" w:rsidR="00DA16C8" w:rsidRPr="00DA16C8" w:rsidRDefault="00DA16C8" w:rsidP="00DA16C8">
      <w:pPr>
        <w:rPr>
          <w:sz w:val="24"/>
        </w:rPr>
      </w:pPr>
      <w:r w:rsidRPr="00DA16C8">
        <w:rPr>
          <w:szCs w:val="20"/>
        </w:rPr>
        <w:t>Чернокожите пациенти са с повишен риск от развитие на ангиоедем при лечение с АСЕ инхибитори, в сравнение с тези от бялата раса.</w:t>
      </w:r>
    </w:p>
    <w:p w14:paraId="5D062F03" w14:textId="77777777" w:rsidR="00DA16C8" w:rsidRPr="00DA16C8" w:rsidRDefault="00DA16C8" w:rsidP="00DA16C8">
      <w:pPr>
        <w:rPr>
          <w:sz w:val="24"/>
        </w:rPr>
      </w:pPr>
      <w:r w:rsidRPr="00DA16C8">
        <w:rPr>
          <w:szCs w:val="20"/>
        </w:rPr>
        <w:lastRenderedPageBreak/>
        <w:t>Както и останалите АСЕ инхибитори, лизиноприл може да бъде по-слабо ефективен за понижаване на кръвното налягане при чернокожи пациенти в сравнение с нечернокожи, най-вероятно поради високата честота на разпространение на ниско рениново ниво при чернокожите хипертоници.</w:t>
      </w:r>
    </w:p>
    <w:p w14:paraId="24534F66" w14:textId="77777777" w:rsidR="00DA16C8" w:rsidRPr="00DA16C8" w:rsidRDefault="00DA16C8" w:rsidP="00DA16C8">
      <w:pPr>
        <w:rPr>
          <w:i/>
          <w:iCs/>
          <w:szCs w:val="20"/>
        </w:rPr>
      </w:pPr>
    </w:p>
    <w:p w14:paraId="514667CC" w14:textId="5CEA51DC" w:rsidR="00DA16C8" w:rsidRPr="00DA16C8" w:rsidRDefault="00DA16C8" w:rsidP="00DA16C8">
      <w:pPr>
        <w:rPr>
          <w:sz w:val="24"/>
        </w:rPr>
      </w:pPr>
      <w:r w:rsidRPr="00DA16C8">
        <w:rPr>
          <w:i/>
          <w:iCs/>
          <w:szCs w:val="20"/>
        </w:rPr>
        <w:t>Кашлица</w:t>
      </w:r>
    </w:p>
    <w:p w14:paraId="576235CF" w14:textId="77777777" w:rsidR="00DA16C8" w:rsidRPr="00DA16C8" w:rsidRDefault="00DA16C8" w:rsidP="00DA16C8">
      <w:pPr>
        <w:rPr>
          <w:rFonts w:eastAsia="Times New Roman" w:cs="Arial"/>
          <w:sz w:val="28"/>
          <w:szCs w:val="24"/>
          <w:lang w:eastAsia="bg-BG"/>
        </w:rPr>
      </w:pPr>
      <w:r w:rsidRPr="00DA16C8">
        <w:rPr>
          <w:szCs w:val="20"/>
        </w:rPr>
        <w:t>При лечение с АСЕ-инхибитори може да се наблюдава появата на кашлица. Характерно за нея е, че тя е непродуктивна, продължителна и отзвучава след преустановяване на лечението. Индуцираната</w:t>
      </w:r>
      <w:r>
        <w:rPr>
          <w:szCs w:val="20"/>
        </w:rPr>
        <w:t xml:space="preserve"> </w:t>
      </w:r>
      <w:r w:rsidRPr="00DA16C8">
        <w:rPr>
          <w:rFonts w:eastAsia="Times New Roman" w:cs="Arial"/>
          <w:color w:val="000000"/>
          <w:szCs w:val="20"/>
          <w:lang w:eastAsia="bg-BG"/>
        </w:rPr>
        <w:t>от АСЕ-инхибитори кашлица да се има предвид като част от диференциалната диагноза на кашлицата.</w:t>
      </w:r>
    </w:p>
    <w:p w14:paraId="3D36C2E4" w14:textId="77777777" w:rsidR="00DA16C8" w:rsidRPr="00DA16C8" w:rsidRDefault="00DA16C8" w:rsidP="00DA16C8">
      <w:pPr>
        <w:spacing w:line="240" w:lineRule="auto"/>
        <w:rPr>
          <w:rFonts w:eastAsia="Times New Roman" w:cs="Arial"/>
          <w:i/>
          <w:iCs/>
          <w:color w:val="000000"/>
          <w:szCs w:val="20"/>
          <w:lang w:eastAsia="bg-BG"/>
        </w:rPr>
      </w:pPr>
    </w:p>
    <w:p w14:paraId="6DB7353E" w14:textId="100F7CE3" w:rsidR="00DA16C8" w:rsidRPr="00DA16C8" w:rsidRDefault="00DA16C8" w:rsidP="00DA16C8">
      <w:pPr>
        <w:spacing w:line="240" w:lineRule="auto"/>
        <w:rPr>
          <w:rFonts w:eastAsia="Times New Roman" w:cs="Arial"/>
          <w:sz w:val="28"/>
          <w:szCs w:val="24"/>
          <w:lang w:eastAsia="bg-BG"/>
        </w:rPr>
      </w:pPr>
      <w:r w:rsidRPr="00DA16C8">
        <w:rPr>
          <w:rFonts w:eastAsia="Times New Roman" w:cs="Arial"/>
          <w:i/>
          <w:iCs/>
          <w:color w:val="000000"/>
          <w:szCs w:val="20"/>
          <w:lang w:eastAsia="bg-BG"/>
        </w:rPr>
        <w:t>Литий</w:t>
      </w:r>
    </w:p>
    <w:p w14:paraId="288283B6" w14:textId="77777777" w:rsidR="00DA16C8" w:rsidRPr="00DA16C8" w:rsidRDefault="00DA16C8" w:rsidP="00DA16C8">
      <w:pPr>
        <w:spacing w:line="240" w:lineRule="auto"/>
        <w:rPr>
          <w:rFonts w:eastAsia="Times New Roman" w:cs="Arial"/>
          <w:sz w:val="28"/>
          <w:szCs w:val="24"/>
          <w:lang w:eastAsia="bg-BG"/>
        </w:rPr>
      </w:pPr>
      <w:r w:rsidRPr="00DA16C8">
        <w:rPr>
          <w:rFonts w:eastAsia="Times New Roman" w:cs="Arial"/>
          <w:color w:val="000000"/>
          <w:szCs w:val="20"/>
          <w:lang w:eastAsia="bg-BG"/>
        </w:rPr>
        <w:t>Не се препоръчва едновременното приложение на литий и АСЕ инхибитори (вж. точка 4,5).</w:t>
      </w:r>
    </w:p>
    <w:p w14:paraId="327287A1" w14:textId="77777777" w:rsidR="00DA16C8" w:rsidRPr="00DA16C8" w:rsidRDefault="00DA16C8" w:rsidP="00DA16C8">
      <w:pPr>
        <w:spacing w:line="240" w:lineRule="auto"/>
        <w:rPr>
          <w:rFonts w:eastAsia="Times New Roman" w:cs="Arial"/>
          <w:i/>
          <w:iCs/>
          <w:color w:val="000000"/>
          <w:szCs w:val="20"/>
          <w:lang w:eastAsia="bg-BG"/>
        </w:rPr>
      </w:pPr>
    </w:p>
    <w:p w14:paraId="32039E15" w14:textId="78DF8808" w:rsidR="00DA16C8" w:rsidRPr="00DA16C8" w:rsidRDefault="00DA16C8" w:rsidP="00DA16C8">
      <w:pPr>
        <w:spacing w:line="240" w:lineRule="auto"/>
        <w:rPr>
          <w:rFonts w:eastAsia="Times New Roman" w:cs="Arial"/>
          <w:sz w:val="28"/>
          <w:szCs w:val="24"/>
          <w:lang w:eastAsia="bg-BG"/>
        </w:rPr>
      </w:pPr>
      <w:r w:rsidRPr="00DA16C8">
        <w:rPr>
          <w:rFonts w:eastAsia="Times New Roman" w:cs="Arial"/>
          <w:i/>
          <w:iCs/>
          <w:color w:val="000000"/>
          <w:szCs w:val="20"/>
          <w:lang w:eastAsia="bg-BG"/>
        </w:rPr>
        <w:t>Анти-допинг тест</w:t>
      </w:r>
    </w:p>
    <w:p w14:paraId="4FD4519C" w14:textId="77777777" w:rsidR="00DA16C8" w:rsidRPr="00DA16C8" w:rsidRDefault="00DA16C8" w:rsidP="00DA16C8">
      <w:pPr>
        <w:spacing w:line="240" w:lineRule="auto"/>
        <w:rPr>
          <w:rFonts w:eastAsia="Times New Roman" w:cs="Arial"/>
          <w:sz w:val="28"/>
          <w:szCs w:val="24"/>
          <w:lang w:eastAsia="bg-BG"/>
        </w:rPr>
      </w:pPr>
      <w:r w:rsidRPr="00DA16C8">
        <w:rPr>
          <w:rFonts w:eastAsia="Times New Roman" w:cs="Arial"/>
          <w:color w:val="000000"/>
          <w:szCs w:val="20"/>
          <w:lang w:eastAsia="bg-BG"/>
        </w:rPr>
        <w:t>Присъствието на хидрохлоротиазид в тази комбинация може да предизвика позитивиране на резултата в анти-допинговия тест.</w:t>
      </w:r>
    </w:p>
    <w:p w14:paraId="54B75628" w14:textId="77777777" w:rsidR="00DA16C8" w:rsidRPr="00DA16C8" w:rsidRDefault="00DA16C8" w:rsidP="00DA16C8">
      <w:pPr>
        <w:spacing w:line="240" w:lineRule="auto"/>
        <w:rPr>
          <w:rFonts w:eastAsia="Times New Roman" w:cs="Arial"/>
          <w:i/>
          <w:iCs/>
          <w:color w:val="000000"/>
          <w:szCs w:val="20"/>
          <w:lang w:eastAsia="bg-BG"/>
        </w:rPr>
      </w:pPr>
    </w:p>
    <w:p w14:paraId="1F4BC08A" w14:textId="6EC9F48A" w:rsidR="00DA16C8" w:rsidRPr="00DA16C8" w:rsidRDefault="00DA16C8" w:rsidP="00DA16C8">
      <w:pPr>
        <w:spacing w:line="240" w:lineRule="auto"/>
        <w:rPr>
          <w:rFonts w:eastAsia="Times New Roman" w:cs="Arial"/>
          <w:sz w:val="28"/>
          <w:szCs w:val="24"/>
          <w:lang w:eastAsia="bg-BG"/>
        </w:rPr>
      </w:pPr>
      <w:r w:rsidRPr="00DA16C8">
        <w:rPr>
          <w:rFonts w:eastAsia="Times New Roman" w:cs="Arial"/>
          <w:i/>
          <w:iCs/>
          <w:color w:val="000000"/>
          <w:szCs w:val="20"/>
          <w:lang w:eastAsia="bg-BG"/>
        </w:rPr>
        <w:t>Бременност и кърмене</w:t>
      </w:r>
    </w:p>
    <w:p w14:paraId="38263311" w14:textId="77777777" w:rsidR="00DA16C8" w:rsidRPr="00DA16C8" w:rsidRDefault="00DA16C8" w:rsidP="00DA16C8">
      <w:pPr>
        <w:spacing w:line="240" w:lineRule="auto"/>
        <w:rPr>
          <w:rFonts w:eastAsia="Times New Roman" w:cs="Arial"/>
          <w:sz w:val="28"/>
          <w:szCs w:val="24"/>
          <w:lang w:eastAsia="bg-BG"/>
        </w:rPr>
      </w:pPr>
      <w:r w:rsidRPr="00DA16C8">
        <w:rPr>
          <w:rFonts w:eastAsia="Times New Roman" w:cs="Arial"/>
          <w:color w:val="000000"/>
          <w:szCs w:val="20"/>
          <w:lang w:eastAsia="bg-BG"/>
        </w:rPr>
        <w:t>Лечение с АСЕ инхибитори не трябва да се започва по време на беременност. Ако все пак терапията с АСЕ инхибитори се смята за наложителна, пациентките, планиращи бременност трябва да преминат на алтернативно антихипертензивно лечение, което има установен профил на безопасност по време на бременност. Когато се установи бременност, лечението с АСЕ инхнбитор трябва да се преустанови незабавно и ако е необходимо да се започва алтернативно лечение (вж. точки 4.3 и 4.6).</w:t>
      </w:r>
    </w:p>
    <w:p w14:paraId="212F509C" w14:textId="4707EFA4" w:rsidR="004F498A" w:rsidRDefault="00DA16C8" w:rsidP="00FD3646">
      <w:pPr>
        <w:rPr>
          <w:rFonts w:eastAsia="Times New Roman" w:cs="Arial"/>
          <w:color w:val="000000"/>
          <w:szCs w:val="20"/>
          <w:lang w:eastAsia="bg-BG"/>
        </w:rPr>
      </w:pPr>
      <w:r w:rsidRPr="00DA16C8">
        <w:rPr>
          <w:rFonts w:eastAsia="Times New Roman" w:cs="Arial"/>
          <w:color w:val="000000"/>
          <w:szCs w:val="20"/>
          <w:lang w:eastAsia="bg-BG"/>
        </w:rPr>
        <w:t>Не е препоръчителна употребата на лизиноприл/ хидрохлоротиазид по време на кърмене.</w:t>
      </w:r>
    </w:p>
    <w:p w14:paraId="168136C1" w14:textId="77777777" w:rsidR="00FD3646" w:rsidRPr="00FD3646" w:rsidRDefault="00FD3646" w:rsidP="00FD3646">
      <w:pPr>
        <w:rPr>
          <w:rFonts w:eastAsia="Times New Roman" w:cs="Arial"/>
          <w:color w:val="000000"/>
          <w:sz w:val="32"/>
          <w:szCs w:val="20"/>
          <w:lang w:eastAsia="bg-BG"/>
        </w:rPr>
      </w:pPr>
    </w:p>
    <w:p w14:paraId="619DED1E" w14:textId="761E4B39" w:rsidR="004F498A" w:rsidRDefault="002C50EE" w:rsidP="004A448E">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0338C3FE" w14:textId="33C3AB89" w:rsidR="00FD3646" w:rsidRDefault="00FD3646" w:rsidP="00FD3646"/>
    <w:p w14:paraId="3CDED565" w14:textId="77777777" w:rsidR="00FD3646" w:rsidRPr="00FD3646" w:rsidRDefault="00FD3646" w:rsidP="00FD3646">
      <w:pPr>
        <w:spacing w:line="240" w:lineRule="auto"/>
        <w:rPr>
          <w:rFonts w:eastAsia="Times New Roman" w:cs="Arial"/>
          <w:szCs w:val="20"/>
          <w:lang w:eastAsia="bg-BG"/>
        </w:rPr>
      </w:pPr>
      <w:r w:rsidRPr="00FD3646">
        <w:rPr>
          <w:rFonts w:eastAsia="Times New Roman" w:cs="Arial"/>
          <w:i/>
          <w:iCs/>
          <w:color w:val="000000"/>
          <w:szCs w:val="20"/>
          <w:lang w:eastAsia="bg-BG"/>
        </w:rPr>
        <w:t>Антихипертензивни средства</w:t>
      </w:r>
    </w:p>
    <w:p w14:paraId="4BAD67F2" w14:textId="77777777" w:rsidR="00FD3646" w:rsidRPr="00FD3646" w:rsidRDefault="00FD3646" w:rsidP="00FD3646">
      <w:pPr>
        <w:spacing w:line="240" w:lineRule="auto"/>
        <w:rPr>
          <w:rFonts w:eastAsia="Times New Roman" w:cs="Arial"/>
          <w:szCs w:val="20"/>
          <w:lang w:eastAsia="bg-BG"/>
        </w:rPr>
      </w:pPr>
      <w:r w:rsidRPr="00FD3646">
        <w:rPr>
          <w:rFonts w:eastAsia="Times New Roman" w:cs="Arial"/>
          <w:color w:val="000000"/>
          <w:szCs w:val="20"/>
          <w:lang w:eastAsia="bg-BG"/>
        </w:rPr>
        <w:t>Когато се комбинира с други антихипертензивни средства, може да настъпи адитивен ефект- рязко понижаване на кръвното налягане. Едновременното приложение на нитроглицерин и други нитрати или други вазодилататори може допълнително да понижи кръвното налягане.</w:t>
      </w:r>
    </w:p>
    <w:p w14:paraId="56798A1A" w14:textId="77777777" w:rsidR="00FD3646" w:rsidRPr="00FD3646" w:rsidRDefault="00FD3646" w:rsidP="00FD3646">
      <w:pPr>
        <w:spacing w:line="240" w:lineRule="auto"/>
        <w:rPr>
          <w:rFonts w:eastAsia="Times New Roman" w:cs="Arial"/>
          <w:szCs w:val="20"/>
          <w:lang w:eastAsia="bg-BG"/>
        </w:rPr>
      </w:pPr>
      <w:r w:rsidRPr="00FD3646">
        <w:rPr>
          <w:rFonts w:eastAsia="Times New Roman" w:cs="Arial"/>
          <w:color w:val="000000"/>
          <w:szCs w:val="20"/>
          <w:lang w:eastAsia="bg-BG"/>
        </w:rPr>
        <w:t>Трябва да се избягва комбинацията на лизиноприл с алискирен - съдържащи лекарства (вж. точки 4.3 и 4.4 ).</w:t>
      </w:r>
    </w:p>
    <w:p w14:paraId="0FB3E376" w14:textId="77777777" w:rsidR="00FD3646" w:rsidRPr="00FD3646" w:rsidRDefault="00FD3646" w:rsidP="00FD3646">
      <w:pPr>
        <w:spacing w:line="240" w:lineRule="auto"/>
        <w:rPr>
          <w:rFonts w:eastAsia="Times New Roman" w:cs="Arial"/>
          <w:szCs w:val="20"/>
          <w:lang w:eastAsia="bg-BG"/>
        </w:rPr>
      </w:pPr>
      <w:r w:rsidRPr="00FD3646">
        <w:rPr>
          <w:rFonts w:eastAsia="Times New Roman" w:cs="Arial"/>
          <w:color w:val="000000"/>
          <w:szCs w:val="20"/>
          <w:lang w:eastAsia="bg-BG"/>
        </w:rPr>
        <w:t>Данни от клинични проучвания показват, че двойното блокиране на ренин-ангиотензин- алдостероновата система (РААС) чрез комбинираната употреба на АСЕ инхибитори, ангиотензин II- рецепторни блокери или алискирен се свързва с по-висока честота на нежелани събития, като например хипотония, хиперкалиемия и намаляване на бъбречната функция (включително остра бъбречна недостатъчност) в сравнение с употребата само на едно средство, действащо върху РААС ( вж. точки 4.3, 4.4 и 5.1).</w:t>
      </w:r>
    </w:p>
    <w:p w14:paraId="727C57D9" w14:textId="77777777" w:rsidR="00FD3646" w:rsidRPr="00FD3646" w:rsidRDefault="00FD3646" w:rsidP="00FD3646">
      <w:pPr>
        <w:spacing w:line="240" w:lineRule="auto"/>
        <w:rPr>
          <w:rFonts w:eastAsia="Times New Roman" w:cs="Arial"/>
          <w:i/>
          <w:iCs/>
          <w:color w:val="000000"/>
          <w:szCs w:val="20"/>
          <w:lang w:eastAsia="bg-BG"/>
        </w:rPr>
      </w:pPr>
    </w:p>
    <w:p w14:paraId="0329DB72" w14:textId="120F5D56" w:rsidR="00FD3646" w:rsidRPr="00FD3646" w:rsidRDefault="00FD3646" w:rsidP="00FD3646">
      <w:pPr>
        <w:spacing w:line="240" w:lineRule="auto"/>
        <w:rPr>
          <w:rFonts w:eastAsia="Times New Roman" w:cs="Arial"/>
          <w:szCs w:val="20"/>
          <w:lang w:eastAsia="bg-BG"/>
        </w:rPr>
      </w:pPr>
      <w:r w:rsidRPr="00FD3646">
        <w:rPr>
          <w:rFonts w:eastAsia="Times New Roman" w:cs="Arial"/>
          <w:i/>
          <w:iCs/>
          <w:color w:val="000000"/>
          <w:szCs w:val="20"/>
          <w:lang w:eastAsia="bg-BG"/>
        </w:rPr>
        <w:t>Лекарства, които могат да повишат риска от ангиоедем</w:t>
      </w:r>
    </w:p>
    <w:p w14:paraId="77D45304" w14:textId="77777777" w:rsidR="00FD3646" w:rsidRPr="00FD3646" w:rsidRDefault="00FD3646" w:rsidP="00FD3646">
      <w:pPr>
        <w:spacing w:line="240" w:lineRule="auto"/>
        <w:rPr>
          <w:rFonts w:eastAsia="Times New Roman" w:cs="Arial"/>
          <w:szCs w:val="20"/>
          <w:lang w:eastAsia="bg-BG"/>
        </w:rPr>
      </w:pPr>
      <w:r w:rsidRPr="00FD3646">
        <w:rPr>
          <w:rFonts w:eastAsia="Times New Roman" w:cs="Arial"/>
          <w:color w:val="000000"/>
          <w:szCs w:val="20"/>
          <w:lang w:eastAsia="bg-BG"/>
        </w:rPr>
        <w:t xml:space="preserve">Пациенти със съпътстващо лечение с </w:t>
      </w:r>
      <w:proofErr w:type="spellStart"/>
      <w:r w:rsidRPr="00FD3646">
        <w:rPr>
          <w:rFonts w:eastAsia="Times New Roman" w:cs="Arial"/>
          <w:color w:val="000000"/>
          <w:szCs w:val="20"/>
          <w:lang w:val="en-US"/>
        </w:rPr>
        <w:t>mTOR</w:t>
      </w:r>
      <w:proofErr w:type="spellEnd"/>
      <w:r w:rsidRPr="00FD3646">
        <w:rPr>
          <w:rFonts w:eastAsia="Times New Roman" w:cs="Arial"/>
          <w:color w:val="000000"/>
          <w:szCs w:val="20"/>
          <w:lang w:val="en-US"/>
        </w:rPr>
        <w:t xml:space="preserve"> </w:t>
      </w:r>
      <w:r w:rsidRPr="00FD3646">
        <w:rPr>
          <w:rFonts w:eastAsia="Times New Roman" w:cs="Arial"/>
          <w:color w:val="000000"/>
          <w:szCs w:val="20"/>
          <w:lang w:eastAsia="bg-BG"/>
        </w:rPr>
        <w:t xml:space="preserve">инхибитори (напр. темсиролимус, сиролимус, еверолимус) или инхибитори на неутралната ендопептидаза </w:t>
      </w:r>
      <w:r w:rsidRPr="00FD3646">
        <w:rPr>
          <w:rFonts w:eastAsia="Times New Roman" w:cs="Arial"/>
          <w:color w:val="000000"/>
          <w:szCs w:val="20"/>
          <w:lang w:val="en-US"/>
        </w:rPr>
        <w:t xml:space="preserve">(NEP) </w:t>
      </w:r>
      <w:r w:rsidRPr="00FD3646">
        <w:rPr>
          <w:rFonts w:eastAsia="Times New Roman" w:cs="Arial"/>
          <w:color w:val="000000"/>
          <w:szCs w:val="20"/>
          <w:lang w:eastAsia="bg-BG"/>
        </w:rPr>
        <w:t xml:space="preserve">(напр. </w:t>
      </w:r>
      <w:r w:rsidRPr="00FD3646">
        <w:rPr>
          <w:rFonts w:eastAsia="Times New Roman" w:cs="Arial"/>
          <w:color w:val="000000"/>
          <w:szCs w:val="20"/>
          <w:lang w:eastAsia="bg-BG"/>
        </w:rPr>
        <w:lastRenderedPageBreak/>
        <w:t>рацекадотрил) или тъканен плазминогенен активатор, може да са изложени на повишен риск от ангиоедем.</w:t>
      </w:r>
    </w:p>
    <w:p w14:paraId="09516153" w14:textId="77777777" w:rsidR="00FD3646" w:rsidRPr="00FD3646" w:rsidRDefault="00FD3646" w:rsidP="00FD3646">
      <w:pPr>
        <w:spacing w:line="240" w:lineRule="auto"/>
        <w:rPr>
          <w:rFonts w:eastAsia="Times New Roman" w:cs="Arial"/>
          <w:i/>
          <w:iCs/>
          <w:color w:val="000000"/>
          <w:szCs w:val="20"/>
          <w:lang w:eastAsia="bg-BG"/>
        </w:rPr>
      </w:pPr>
    </w:p>
    <w:p w14:paraId="2781BFE9" w14:textId="6F221375" w:rsidR="00FD3646" w:rsidRPr="00FD3646" w:rsidRDefault="00FD3646" w:rsidP="00FD3646">
      <w:pPr>
        <w:spacing w:line="240" w:lineRule="auto"/>
        <w:rPr>
          <w:rFonts w:eastAsia="Times New Roman" w:cs="Arial"/>
          <w:szCs w:val="20"/>
          <w:lang w:eastAsia="bg-BG"/>
        </w:rPr>
      </w:pPr>
      <w:r w:rsidRPr="00FD3646">
        <w:rPr>
          <w:rFonts w:eastAsia="Times New Roman" w:cs="Arial"/>
          <w:i/>
          <w:iCs/>
          <w:color w:val="000000"/>
          <w:szCs w:val="20"/>
          <w:lang w:eastAsia="bg-BG"/>
        </w:rPr>
        <w:t>Литий</w:t>
      </w:r>
    </w:p>
    <w:p w14:paraId="37AC1700" w14:textId="77777777" w:rsidR="00FD3646" w:rsidRPr="00FD3646" w:rsidRDefault="00FD3646" w:rsidP="00FD3646">
      <w:pPr>
        <w:spacing w:line="240" w:lineRule="auto"/>
        <w:rPr>
          <w:rFonts w:eastAsia="Times New Roman" w:cs="Arial"/>
          <w:szCs w:val="20"/>
          <w:lang w:eastAsia="bg-BG"/>
        </w:rPr>
      </w:pPr>
      <w:r w:rsidRPr="00FD3646">
        <w:rPr>
          <w:rFonts w:eastAsia="Times New Roman" w:cs="Arial"/>
          <w:color w:val="000000"/>
          <w:szCs w:val="20"/>
          <w:lang w:eastAsia="bg-BG"/>
        </w:rPr>
        <w:t>Обратимо повишаване на серумните концентрации на литий и токсичност се наблюдава по време на едновременния му прием с АСЕ инхибитори. АСЕ инхибиторите и диуретичните средства намаляват бъбречния клирънс на литий и увеличават риска от литиева интоксикация. Не се препоръчва комбинирането на лизиноприл и хидрохлоротиазид с литий, но ако такава терапия е необходима, се провежда често мониториране на серумното ниво на лития (вж. точка 4,4).</w:t>
      </w:r>
    </w:p>
    <w:p w14:paraId="538D1DE6" w14:textId="77777777" w:rsidR="00FD3646" w:rsidRPr="00FD3646" w:rsidRDefault="00FD3646" w:rsidP="00FD3646">
      <w:pPr>
        <w:spacing w:line="240" w:lineRule="auto"/>
        <w:rPr>
          <w:rFonts w:eastAsia="Times New Roman" w:cs="Arial"/>
          <w:i/>
          <w:iCs/>
          <w:color w:val="000000"/>
          <w:szCs w:val="20"/>
          <w:lang w:eastAsia="bg-BG"/>
        </w:rPr>
      </w:pPr>
    </w:p>
    <w:p w14:paraId="5FFB2E2B" w14:textId="27431519" w:rsidR="00FD3646" w:rsidRPr="00FD3646" w:rsidRDefault="00FD3646" w:rsidP="00FD3646">
      <w:pPr>
        <w:spacing w:line="240" w:lineRule="auto"/>
        <w:rPr>
          <w:rFonts w:eastAsia="Times New Roman" w:cs="Arial"/>
          <w:szCs w:val="20"/>
          <w:lang w:eastAsia="bg-BG"/>
        </w:rPr>
      </w:pPr>
      <w:r w:rsidRPr="00FD3646">
        <w:rPr>
          <w:rFonts w:eastAsia="Times New Roman" w:cs="Arial"/>
          <w:i/>
          <w:iCs/>
          <w:color w:val="000000"/>
          <w:szCs w:val="20"/>
          <w:lang w:eastAsia="bg-BG"/>
        </w:rPr>
        <w:t>Калиеви добавки, калий-съхраняващи диуретици или калий-съдържащи заместители на готварската сол и други лекарствени продукти, кото могат да повишат серумните нива на калий</w:t>
      </w:r>
    </w:p>
    <w:p w14:paraId="4227194A" w14:textId="2959B0AA" w:rsidR="00FD3646" w:rsidRPr="00FD3646" w:rsidRDefault="00FD3646" w:rsidP="00FD3646">
      <w:pPr>
        <w:spacing w:line="240" w:lineRule="auto"/>
        <w:rPr>
          <w:rFonts w:eastAsia="Times New Roman" w:cs="Arial"/>
          <w:szCs w:val="20"/>
          <w:lang w:eastAsia="bg-BG"/>
        </w:rPr>
      </w:pPr>
      <w:r w:rsidRPr="00FD3646">
        <w:rPr>
          <w:rFonts w:eastAsia="Times New Roman" w:cs="Arial"/>
          <w:color w:val="000000"/>
          <w:szCs w:val="20"/>
          <w:lang w:eastAsia="bg-BG"/>
        </w:rPr>
        <w:t>Калий губещият ефект на тиазидните диуретици обикновено е компенсиран от калий-съхраняващия ефект на лизиноприл. Употребата на калиеви добавки, калий-съхраняващи диуретици (напр. спиронолактон, триамтерен, амилорид), или калий-съдържащи заместители на готварската сол и други лекарствени продукти, които могат да повишат серумните нива на калий, особено при пациенти с увредена бъбречна функция или захарен диабет, може да доведе до значително повишаване на серумния калий. Ако заедно с тези продукти е назначена еднов</w:t>
      </w:r>
      <w:r>
        <w:rPr>
          <w:rFonts w:eastAsia="Times New Roman" w:cs="Arial"/>
          <w:color w:val="000000"/>
          <w:szCs w:val="20"/>
          <w:lang w:eastAsia="bg-BG"/>
        </w:rPr>
        <w:t xml:space="preserve">ременно и терапия с </w:t>
      </w:r>
      <w:r w:rsidRPr="00FD3646">
        <w:rPr>
          <w:rFonts w:eastAsia="Times New Roman" w:cs="Arial"/>
          <w:color w:val="000000"/>
          <w:szCs w:val="20"/>
          <w:lang w:eastAsia="bg-BG"/>
        </w:rPr>
        <w:t>лизиноприл/хидрохлоротиазид, те се прилагат внимателно и се изисква чест контрол на серумния калий (вж. точка 4.4).</w:t>
      </w:r>
      <w:bookmarkStart w:id="1" w:name="bookmark0"/>
      <w:bookmarkEnd w:id="1"/>
    </w:p>
    <w:p w14:paraId="7101F469" w14:textId="77777777" w:rsidR="00FD3646" w:rsidRPr="00FD3646" w:rsidRDefault="00FD3646" w:rsidP="00FD3646">
      <w:pPr>
        <w:spacing w:line="240" w:lineRule="auto"/>
        <w:rPr>
          <w:rFonts w:eastAsia="Times New Roman" w:cs="Arial"/>
          <w:szCs w:val="20"/>
          <w:lang w:eastAsia="bg-BG"/>
        </w:rPr>
      </w:pPr>
    </w:p>
    <w:p w14:paraId="74986C74" w14:textId="6917C101" w:rsidR="00FD3646" w:rsidRDefault="00FD3646" w:rsidP="00FD3646">
      <w:pPr>
        <w:rPr>
          <w:rFonts w:eastAsia="Times New Roman" w:cs="Arial"/>
          <w:i/>
          <w:iCs/>
          <w:color w:val="000000"/>
          <w:szCs w:val="20"/>
          <w:lang w:val="en-US"/>
        </w:rPr>
      </w:pPr>
      <w:r w:rsidRPr="00FD3646">
        <w:rPr>
          <w:rFonts w:eastAsia="Times New Roman" w:cs="Arial"/>
          <w:i/>
          <w:iCs/>
          <w:color w:val="000000"/>
          <w:szCs w:val="20"/>
          <w:lang w:eastAsia="bg-BG"/>
        </w:rPr>
        <w:t xml:space="preserve">Лекарства, асоциирани с появата на </w:t>
      </w:r>
      <w:proofErr w:type="spellStart"/>
      <w:r w:rsidRPr="00FD3646">
        <w:rPr>
          <w:rFonts w:eastAsia="Times New Roman" w:cs="Arial"/>
          <w:i/>
          <w:iCs/>
          <w:color w:val="000000"/>
          <w:szCs w:val="20"/>
          <w:lang w:val="en-US"/>
        </w:rPr>
        <w:t>torsades</w:t>
      </w:r>
      <w:proofErr w:type="spellEnd"/>
      <w:r w:rsidRPr="00FD3646">
        <w:rPr>
          <w:rFonts w:eastAsia="Times New Roman" w:cs="Arial"/>
          <w:i/>
          <w:iCs/>
          <w:color w:val="000000"/>
          <w:szCs w:val="20"/>
          <w:lang w:val="en-US"/>
        </w:rPr>
        <w:t xml:space="preserve"> </w:t>
      </w:r>
      <w:proofErr w:type="spellStart"/>
      <w:r w:rsidRPr="00FD3646">
        <w:rPr>
          <w:rFonts w:eastAsia="Times New Roman" w:cs="Arial"/>
          <w:i/>
          <w:iCs/>
          <w:color w:val="000000"/>
          <w:szCs w:val="20"/>
          <w:lang w:val="en-US"/>
        </w:rPr>
        <w:t>depointes</w:t>
      </w:r>
      <w:proofErr w:type="spellEnd"/>
      <w:r w:rsidRPr="00FD3646">
        <w:rPr>
          <w:rFonts w:eastAsia="Times New Roman" w:cs="Arial"/>
          <w:i/>
          <w:iCs/>
          <w:color w:val="000000"/>
          <w:szCs w:val="20"/>
          <w:lang w:val="en-US"/>
        </w:rPr>
        <w:t>:</w:t>
      </w:r>
    </w:p>
    <w:p w14:paraId="63A8FD36" w14:textId="77777777" w:rsidR="00FD3646" w:rsidRPr="00FD3646" w:rsidRDefault="00FD3646" w:rsidP="00FD3646">
      <w:pPr>
        <w:spacing w:line="240" w:lineRule="auto"/>
        <w:rPr>
          <w:rFonts w:eastAsia="Times New Roman" w:cs="Arial"/>
          <w:sz w:val="28"/>
          <w:szCs w:val="24"/>
          <w:lang w:eastAsia="bg-BG"/>
        </w:rPr>
      </w:pPr>
      <w:r w:rsidRPr="00FD3646">
        <w:rPr>
          <w:rFonts w:eastAsia="Times New Roman" w:cs="Arial"/>
          <w:color w:val="000000"/>
          <w:szCs w:val="20"/>
          <w:lang w:eastAsia="bg-BG"/>
        </w:rPr>
        <w:t xml:space="preserve">Поради риск от хипокалиемия се изисква повишено внимание при използването на хидрохлоротиазид едновременно с лекарства, чието приложение се асоцира с </w:t>
      </w:r>
      <w:proofErr w:type="spellStart"/>
      <w:r w:rsidRPr="00FD3646">
        <w:rPr>
          <w:rFonts w:eastAsia="Times New Roman" w:cs="Arial"/>
          <w:color w:val="000000"/>
          <w:szCs w:val="20"/>
          <w:lang w:val="en-US"/>
        </w:rPr>
        <w:t>torsades</w:t>
      </w:r>
      <w:proofErr w:type="spellEnd"/>
      <w:r w:rsidRPr="00FD3646">
        <w:rPr>
          <w:rFonts w:eastAsia="Times New Roman" w:cs="Arial"/>
          <w:color w:val="000000"/>
          <w:szCs w:val="20"/>
          <w:lang w:val="en-US"/>
        </w:rPr>
        <w:t xml:space="preserve"> de pointes, </w:t>
      </w:r>
      <w:r w:rsidRPr="00FD3646">
        <w:rPr>
          <w:rFonts w:eastAsia="Times New Roman" w:cs="Arial"/>
          <w:color w:val="000000"/>
          <w:szCs w:val="20"/>
          <w:lang w:eastAsia="bg-BG"/>
        </w:rPr>
        <w:t xml:space="preserve">като някои антиаритмици, антипсихотици и други лекарствени продуктим, за които е известно, че предизвикват </w:t>
      </w:r>
      <w:proofErr w:type="spellStart"/>
      <w:r w:rsidRPr="00FD3646">
        <w:rPr>
          <w:rFonts w:eastAsia="Times New Roman" w:cs="Arial"/>
          <w:i/>
          <w:iCs/>
          <w:color w:val="000000"/>
          <w:szCs w:val="20"/>
          <w:lang w:val="en-US"/>
        </w:rPr>
        <w:t>torsades</w:t>
      </w:r>
      <w:proofErr w:type="spellEnd"/>
      <w:r w:rsidRPr="00FD3646">
        <w:rPr>
          <w:rFonts w:eastAsia="Times New Roman" w:cs="Arial"/>
          <w:i/>
          <w:iCs/>
          <w:color w:val="000000"/>
          <w:szCs w:val="20"/>
          <w:lang w:val="en-US"/>
        </w:rPr>
        <w:t xml:space="preserve"> </w:t>
      </w:r>
      <w:proofErr w:type="spellStart"/>
      <w:r w:rsidRPr="00FD3646">
        <w:rPr>
          <w:rFonts w:eastAsia="Times New Roman" w:cs="Arial"/>
          <w:i/>
          <w:iCs/>
          <w:color w:val="000000"/>
          <w:szCs w:val="20"/>
          <w:lang w:val="en-US"/>
        </w:rPr>
        <w:t>depointes</w:t>
      </w:r>
      <w:proofErr w:type="spellEnd"/>
      <w:r w:rsidRPr="00FD3646">
        <w:rPr>
          <w:rFonts w:eastAsia="Times New Roman" w:cs="Arial"/>
          <w:i/>
          <w:iCs/>
          <w:color w:val="000000"/>
          <w:szCs w:val="20"/>
          <w:lang w:val="en-US"/>
        </w:rPr>
        <w:t>.</w:t>
      </w:r>
    </w:p>
    <w:p w14:paraId="4C269486" w14:textId="77777777" w:rsidR="00FD3646" w:rsidRPr="00FD3646" w:rsidRDefault="00FD3646" w:rsidP="00FD3646">
      <w:pPr>
        <w:spacing w:line="240" w:lineRule="auto"/>
        <w:rPr>
          <w:rFonts w:eastAsia="Times New Roman" w:cs="Arial"/>
          <w:i/>
          <w:iCs/>
          <w:color w:val="000000"/>
          <w:szCs w:val="20"/>
          <w:lang w:eastAsia="bg-BG"/>
        </w:rPr>
      </w:pPr>
    </w:p>
    <w:p w14:paraId="6506E924" w14:textId="65AD8079" w:rsidR="00FD3646" w:rsidRPr="00FD3646" w:rsidRDefault="00FD3646" w:rsidP="00FD3646">
      <w:pPr>
        <w:spacing w:line="240" w:lineRule="auto"/>
        <w:rPr>
          <w:rFonts w:eastAsia="Times New Roman" w:cs="Arial"/>
          <w:sz w:val="28"/>
          <w:szCs w:val="24"/>
          <w:lang w:eastAsia="bg-BG"/>
        </w:rPr>
      </w:pPr>
      <w:r w:rsidRPr="00FD3646">
        <w:rPr>
          <w:rFonts w:eastAsia="Times New Roman" w:cs="Arial"/>
          <w:i/>
          <w:iCs/>
          <w:color w:val="000000"/>
          <w:szCs w:val="20"/>
          <w:lang w:eastAsia="bg-BG"/>
        </w:rPr>
        <w:t>Трициклични антидепресанти/антипсихотици/анестетици:</w:t>
      </w:r>
    </w:p>
    <w:p w14:paraId="552AF2D4" w14:textId="77777777" w:rsidR="00FD3646" w:rsidRPr="00FD3646" w:rsidRDefault="00FD3646" w:rsidP="00FD3646">
      <w:pPr>
        <w:spacing w:line="240" w:lineRule="auto"/>
        <w:rPr>
          <w:rFonts w:eastAsia="Times New Roman" w:cs="Arial"/>
          <w:sz w:val="28"/>
          <w:szCs w:val="24"/>
          <w:lang w:eastAsia="bg-BG"/>
        </w:rPr>
      </w:pPr>
      <w:r w:rsidRPr="00FD3646">
        <w:rPr>
          <w:rFonts w:eastAsia="Times New Roman" w:cs="Arial"/>
          <w:color w:val="000000"/>
          <w:szCs w:val="20"/>
          <w:lang w:eastAsia="bg-BG"/>
        </w:rPr>
        <w:t>Едновременната употреба на анестетици, трициклични антидепресанти и антипсихотици заедно с АСЕ инхибитори може да има като резултат допълнително понижаване на кръвното налягане (вж. точка 4.4),</w:t>
      </w:r>
    </w:p>
    <w:p w14:paraId="0969DBF8" w14:textId="77777777" w:rsidR="00FD3646" w:rsidRPr="00FD3646" w:rsidRDefault="00FD3646" w:rsidP="00FD3646">
      <w:pPr>
        <w:spacing w:line="240" w:lineRule="auto"/>
        <w:rPr>
          <w:rFonts w:eastAsia="Times New Roman" w:cs="Arial"/>
          <w:i/>
          <w:iCs/>
          <w:color w:val="000000"/>
          <w:szCs w:val="20"/>
          <w:lang w:eastAsia="bg-BG"/>
        </w:rPr>
      </w:pPr>
    </w:p>
    <w:p w14:paraId="6BB2864E" w14:textId="7F1CA81A" w:rsidR="00FD3646" w:rsidRPr="00FD3646" w:rsidRDefault="00FD3646" w:rsidP="00FD3646">
      <w:pPr>
        <w:spacing w:line="240" w:lineRule="auto"/>
        <w:rPr>
          <w:rFonts w:eastAsia="Times New Roman" w:cs="Arial"/>
          <w:sz w:val="28"/>
          <w:szCs w:val="24"/>
          <w:lang w:eastAsia="bg-BG"/>
        </w:rPr>
      </w:pPr>
      <w:r w:rsidRPr="00FD3646">
        <w:rPr>
          <w:rFonts w:eastAsia="Times New Roman" w:cs="Arial"/>
          <w:i/>
          <w:iCs/>
          <w:color w:val="000000"/>
          <w:szCs w:val="20"/>
          <w:lang w:eastAsia="bg-BG"/>
        </w:rPr>
        <w:t xml:space="preserve">Нестероидни противовъзпалителни средства (НСПВС), включително ацетилсалицилова киселина: </w:t>
      </w:r>
      <w:r w:rsidRPr="00FD3646">
        <w:rPr>
          <w:rFonts w:eastAsia="Times New Roman" w:cs="Arial"/>
          <w:color w:val="000000"/>
          <w:szCs w:val="20"/>
          <w:lang w:eastAsia="bg-BG"/>
        </w:rPr>
        <w:t xml:space="preserve">Редовният прием на НСПВС (селективни СОХ-2 инхибитори, ацетилсалицилова киселина &gt; 3 </w:t>
      </w:r>
      <w:r w:rsidRPr="00FD3646">
        <w:rPr>
          <w:rFonts w:eastAsia="Times New Roman" w:cs="Arial"/>
          <w:color w:val="000000"/>
          <w:szCs w:val="20"/>
          <w:lang w:val="en-US"/>
        </w:rPr>
        <w:t>g</w:t>
      </w:r>
      <w:r w:rsidRPr="00FD3646">
        <w:rPr>
          <w:rFonts w:eastAsia="Times New Roman" w:cs="Arial"/>
          <w:color w:val="000000"/>
          <w:szCs w:val="20"/>
          <w:lang w:eastAsia="bg-BG"/>
        </w:rPr>
        <w:t>/дневно и неселективни НСПВС) може да намали антихипертензивния и диуретичен ефект на АСЕ инхибиторите и тиазидните диуретици. НСПВС и АСЕ инхибитори могат да окажат адитивен ефект, спрямо повишаване на серумния калий, което би могло да влоши бъбречната функция. Тези ефекти обикновено са обратими. Рядко би могло да се развие остра бъбречна недостатъчност, особено при пациенти с компрометирана бъбречна функция, както и при възрастни и дехидратирани пациенти.</w:t>
      </w:r>
    </w:p>
    <w:p w14:paraId="5266F3E2" w14:textId="77777777" w:rsidR="00FD3646" w:rsidRPr="00FD3646" w:rsidRDefault="00FD3646" w:rsidP="00FD3646">
      <w:pPr>
        <w:spacing w:line="240" w:lineRule="auto"/>
        <w:rPr>
          <w:rFonts w:eastAsia="Times New Roman" w:cs="Arial"/>
          <w:i/>
          <w:iCs/>
          <w:color w:val="000000"/>
          <w:szCs w:val="20"/>
          <w:lang w:eastAsia="bg-BG"/>
        </w:rPr>
      </w:pPr>
    </w:p>
    <w:p w14:paraId="3AD74FA1" w14:textId="3D286993" w:rsidR="00FD3646" w:rsidRPr="00FD3646" w:rsidRDefault="00FD3646" w:rsidP="00FD3646">
      <w:pPr>
        <w:spacing w:line="240" w:lineRule="auto"/>
        <w:rPr>
          <w:rFonts w:eastAsia="Times New Roman" w:cs="Arial"/>
          <w:sz w:val="28"/>
          <w:szCs w:val="24"/>
          <w:lang w:eastAsia="bg-BG"/>
        </w:rPr>
      </w:pPr>
      <w:r w:rsidRPr="00FD3646">
        <w:rPr>
          <w:rFonts w:eastAsia="Times New Roman" w:cs="Arial"/>
          <w:i/>
          <w:iCs/>
          <w:color w:val="000000"/>
          <w:szCs w:val="20"/>
          <w:lang w:eastAsia="bg-BG"/>
        </w:rPr>
        <w:t>Злато</w:t>
      </w:r>
    </w:p>
    <w:p w14:paraId="71169F8A" w14:textId="77777777" w:rsidR="00FD3646" w:rsidRPr="00FD3646" w:rsidRDefault="00FD3646" w:rsidP="00FD3646">
      <w:pPr>
        <w:spacing w:line="240" w:lineRule="auto"/>
        <w:rPr>
          <w:rFonts w:eastAsia="Times New Roman" w:cs="Arial"/>
          <w:sz w:val="28"/>
          <w:szCs w:val="24"/>
          <w:lang w:eastAsia="bg-BG"/>
        </w:rPr>
      </w:pPr>
      <w:r w:rsidRPr="00FD3646">
        <w:rPr>
          <w:rFonts w:eastAsia="Times New Roman" w:cs="Arial"/>
          <w:color w:val="000000"/>
          <w:szCs w:val="20"/>
          <w:lang w:eastAsia="bg-BG"/>
        </w:rPr>
        <w:t>Нитритоидни реакции (симптоми на вазодилатация, като зачервяване, гадене, замайване и хипотония, които понякога могат да бъдат тежки) са докладвани по-често при пациенти на лечение със злато в инжекционна форма (напр. натриев ауротиомалат) и съпътстваща терапия с АСЕ инхибитори.</w:t>
      </w:r>
    </w:p>
    <w:p w14:paraId="6D32E257" w14:textId="77777777" w:rsidR="00FD3646" w:rsidRPr="00FD3646" w:rsidRDefault="00FD3646" w:rsidP="00FD3646">
      <w:pPr>
        <w:spacing w:line="240" w:lineRule="auto"/>
        <w:rPr>
          <w:rFonts w:eastAsia="Times New Roman" w:cs="Arial"/>
          <w:i/>
          <w:iCs/>
          <w:color w:val="000000"/>
          <w:szCs w:val="20"/>
          <w:lang w:eastAsia="bg-BG"/>
        </w:rPr>
      </w:pPr>
    </w:p>
    <w:p w14:paraId="0BF358FD" w14:textId="52A709E1" w:rsidR="00FD3646" w:rsidRPr="00FD3646" w:rsidRDefault="00FD3646" w:rsidP="00FD3646">
      <w:pPr>
        <w:spacing w:line="240" w:lineRule="auto"/>
        <w:rPr>
          <w:rFonts w:eastAsia="Times New Roman" w:cs="Arial"/>
          <w:sz w:val="28"/>
          <w:szCs w:val="24"/>
          <w:lang w:eastAsia="bg-BG"/>
        </w:rPr>
      </w:pPr>
      <w:r w:rsidRPr="00FD3646">
        <w:rPr>
          <w:rFonts w:eastAsia="Times New Roman" w:cs="Arial"/>
          <w:i/>
          <w:iCs/>
          <w:color w:val="000000"/>
          <w:szCs w:val="20"/>
          <w:lang w:eastAsia="bg-BG"/>
        </w:rPr>
        <w:lastRenderedPageBreak/>
        <w:t>Симпатикомиметици</w:t>
      </w:r>
    </w:p>
    <w:p w14:paraId="11A98C19" w14:textId="77777777" w:rsidR="00FD3646" w:rsidRPr="00FD3646" w:rsidRDefault="00FD3646" w:rsidP="00FD3646">
      <w:pPr>
        <w:spacing w:line="240" w:lineRule="auto"/>
        <w:rPr>
          <w:rFonts w:eastAsia="Times New Roman" w:cs="Arial"/>
          <w:sz w:val="28"/>
          <w:szCs w:val="24"/>
          <w:lang w:eastAsia="bg-BG"/>
        </w:rPr>
      </w:pPr>
      <w:r w:rsidRPr="00FD3646">
        <w:rPr>
          <w:rFonts w:eastAsia="Times New Roman" w:cs="Arial"/>
          <w:color w:val="000000"/>
          <w:szCs w:val="20"/>
          <w:lang w:eastAsia="bg-BG"/>
        </w:rPr>
        <w:t>Симпатикомиметиците могат да редуцират антихипертензивния ефект на АСЕ инхибиторите. Тиазидните диуретици могат да доведат до понижен отговор към норадреналин, но не достатъчно, за да се изключи ефективността на пресорния агент за терапевтична употреба.</w:t>
      </w:r>
    </w:p>
    <w:p w14:paraId="38C53BFD" w14:textId="77777777" w:rsidR="00FD3646" w:rsidRPr="00FD3646" w:rsidRDefault="00FD3646" w:rsidP="00FD3646">
      <w:pPr>
        <w:spacing w:line="240" w:lineRule="auto"/>
        <w:rPr>
          <w:rFonts w:eastAsia="Times New Roman" w:cs="Arial"/>
          <w:i/>
          <w:iCs/>
          <w:color w:val="000000"/>
          <w:szCs w:val="20"/>
          <w:lang w:eastAsia="bg-BG"/>
        </w:rPr>
      </w:pPr>
    </w:p>
    <w:p w14:paraId="307058AD" w14:textId="54220922" w:rsidR="00FD3646" w:rsidRPr="00FD3646" w:rsidRDefault="00FD3646" w:rsidP="00FD3646">
      <w:pPr>
        <w:spacing w:line="240" w:lineRule="auto"/>
        <w:rPr>
          <w:rFonts w:eastAsia="Times New Roman" w:cs="Arial"/>
          <w:sz w:val="28"/>
          <w:szCs w:val="24"/>
          <w:lang w:eastAsia="bg-BG"/>
        </w:rPr>
      </w:pPr>
      <w:r w:rsidRPr="00FD3646">
        <w:rPr>
          <w:rFonts w:eastAsia="Times New Roman" w:cs="Arial"/>
          <w:i/>
          <w:iCs/>
          <w:color w:val="000000"/>
          <w:szCs w:val="20"/>
          <w:lang w:eastAsia="bg-BG"/>
        </w:rPr>
        <w:t>Антидиабетични средства:</w:t>
      </w:r>
    </w:p>
    <w:p w14:paraId="6106A429" w14:textId="77777777" w:rsidR="00FD3646" w:rsidRPr="00FD3646" w:rsidRDefault="00FD3646" w:rsidP="00FD3646">
      <w:pPr>
        <w:spacing w:line="240" w:lineRule="auto"/>
        <w:rPr>
          <w:rFonts w:eastAsia="Times New Roman" w:cs="Arial"/>
          <w:sz w:val="28"/>
          <w:szCs w:val="24"/>
          <w:lang w:eastAsia="bg-BG"/>
        </w:rPr>
      </w:pPr>
      <w:r w:rsidRPr="00FD3646">
        <w:rPr>
          <w:rFonts w:eastAsia="Times New Roman" w:cs="Arial"/>
          <w:color w:val="000000"/>
          <w:szCs w:val="20"/>
          <w:lang w:eastAsia="bg-BG"/>
        </w:rPr>
        <w:t>Лечението с тиазидни диуретици може да доведе до нарушения в глкжозния толеранс. Този ефект е по-изразен през първите седмици от комбинираната терапия и при пациенти с увредена бъбречна функция. Необходимостта от корекция на антидиабетичните лекарства, включително инсулин при пациенти с диабет може да бъде увеличена, намалена или да остане непроменена.</w:t>
      </w:r>
    </w:p>
    <w:p w14:paraId="56D4A564" w14:textId="77777777" w:rsidR="00FD3646" w:rsidRPr="00FD3646" w:rsidRDefault="00FD3646" w:rsidP="00FD3646">
      <w:pPr>
        <w:spacing w:line="240" w:lineRule="auto"/>
        <w:rPr>
          <w:rFonts w:eastAsia="Times New Roman" w:cs="Arial"/>
          <w:sz w:val="28"/>
          <w:szCs w:val="24"/>
          <w:lang w:eastAsia="bg-BG"/>
        </w:rPr>
      </w:pPr>
      <w:r w:rsidRPr="00FD3646">
        <w:rPr>
          <w:rFonts w:eastAsia="Times New Roman" w:cs="Arial"/>
          <w:color w:val="000000"/>
          <w:szCs w:val="20"/>
          <w:lang w:eastAsia="bg-BG"/>
        </w:rPr>
        <w:t>Хипергликимичният ефект на диазоксида може да се усили от тиазиди.</w:t>
      </w:r>
    </w:p>
    <w:p w14:paraId="3695885A" w14:textId="77777777" w:rsidR="00FD3646" w:rsidRPr="00FD3646" w:rsidRDefault="00FD3646" w:rsidP="00FD3646">
      <w:pPr>
        <w:spacing w:line="240" w:lineRule="auto"/>
        <w:rPr>
          <w:rFonts w:eastAsia="Times New Roman" w:cs="Arial"/>
          <w:i/>
          <w:iCs/>
          <w:color w:val="000000"/>
          <w:szCs w:val="20"/>
          <w:lang w:eastAsia="bg-BG"/>
        </w:rPr>
      </w:pPr>
    </w:p>
    <w:p w14:paraId="36D9C7C4" w14:textId="019B1C33" w:rsidR="00FD3646" w:rsidRPr="00FD3646" w:rsidRDefault="00FD3646" w:rsidP="00FD3646">
      <w:pPr>
        <w:spacing w:line="240" w:lineRule="auto"/>
        <w:rPr>
          <w:rFonts w:eastAsia="Times New Roman" w:cs="Arial"/>
          <w:sz w:val="28"/>
          <w:szCs w:val="24"/>
          <w:lang w:eastAsia="bg-BG"/>
        </w:rPr>
      </w:pPr>
      <w:r w:rsidRPr="00FD3646">
        <w:rPr>
          <w:rFonts w:eastAsia="Times New Roman" w:cs="Arial"/>
          <w:i/>
          <w:iCs/>
          <w:color w:val="000000"/>
          <w:szCs w:val="20"/>
          <w:lang w:eastAsia="bg-BG"/>
        </w:rPr>
        <w:t>Амфотерицин В (парентерален), карбеноксолон, кортикостероиди, кортикотропин (АСТН), стимулиращи лаксативи:</w:t>
      </w:r>
    </w:p>
    <w:p w14:paraId="5BD18D42" w14:textId="77777777" w:rsidR="00FD3646" w:rsidRPr="00FD3646" w:rsidRDefault="00FD3646" w:rsidP="00FD3646">
      <w:pPr>
        <w:spacing w:line="240" w:lineRule="auto"/>
        <w:rPr>
          <w:rFonts w:eastAsia="Times New Roman" w:cs="Arial"/>
          <w:sz w:val="28"/>
          <w:szCs w:val="24"/>
          <w:lang w:eastAsia="bg-BG"/>
        </w:rPr>
      </w:pPr>
      <w:r w:rsidRPr="00FD3646">
        <w:rPr>
          <w:rFonts w:eastAsia="Times New Roman" w:cs="Arial"/>
          <w:color w:val="000000"/>
          <w:szCs w:val="20"/>
          <w:lang w:eastAsia="bg-BG"/>
        </w:rPr>
        <w:t>Може да се очаква, че ефектът на изчерване на калий, в резултат от употребата на хидрохлоротиазид може да се потенцира от лекарства, които водят до загуба на калий и хипокалиемия (напр. други калиуретични диуретици, лаксативи, амфотерицин, карбеноксолон, салицилова киселина и найните производни).</w:t>
      </w:r>
    </w:p>
    <w:p w14:paraId="1124FBC4" w14:textId="77777777" w:rsidR="00FD3646" w:rsidRPr="00FD3646" w:rsidRDefault="00FD3646" w:rsidP="00FD3646">
      <w:pPr>
        <w:spacing w:line="240" w:lineRule="auto"/>
        <w:rPr>
          <w:rFonts w:eastAsia="Times New Roman" w:cs="Arial"/>
          <w:sz w:val="28"/>
          <w:szCs w:val="24"/>
          <w:lang w:eastAsia="bg-BG"/>
        </w:rPr>
      </w:pPr>
      <w:r w:rsidRPr="00FD3646">
        <w:rPr>
          <w:rFonts w:eastAsia="Times New Roman" w:cs="Arial"/>
          <w:color w:val="000000"/>
          <w:szCs w:val="20"/>
          <w:lang w:eastAsia="bg-BG"/>
        </w:rPr>
        <w:t>Рискът от развитие на хипокалиемия е по-голям при пациенти, които едновременно се лекуват със стероиди или адренокортикотропен хормон (АСТН).</w:t>
      </w:r>
    </w:p>
    <w:p w14:paraId="1160F7C9" w14:textId="77777777" w:rsidR="00FD3646" w:rsidRPr="00FD3646" w:rsidRDefault="00FD3646" w:rsidP="00FD3646">
      <w:pPr>
        <w:spacing w:line="240" w:lineRule="auto"/>
        <w:rPr>
          <w:rFonts w:eastAsia="Times New Roman" w:cs="Arial"/>
          <w:i/>
          <w:iCs/>
          <w:color w:val="000000"/>
          <w:szCs w:val="20"/>
          <w:lang w:eastAsia="bg-BG"/>
        </w:rPr>
      </w:pPr>
    </w:p>
    <w:p w14:paraId="52DB3910" w14:textId="219CA48A" w:rsidR="00FD3646" w:rsidRPr="00FD3646" w:rsidRDefault="00FD3646" w:rsidP="00FD3646">
      <w:pPr>
        <w:spacing w:line="240" w:lineRule="auto"/>
        <w:rPr>
          <w:rFonts w:eastAsia="Times New Roman" w:cs="Arial"/>
          <w:sz w:val="28"/>
          <w:szCs w:val="24"/>
          <w:lang w:eastAsia="bg-BG"/>
        </w:rPr>
      </w:pPr>
      <w:r w:rsidRPr="00FD3646">
        <w:rPr>
          <w:rFonts w:eastAsia="Times New Roman" w:cs="Arial"/>
          <w:i/>
          <w:iCs/>
          <w:color w:val="000000"/>
          <w:szCs w:val="20"/>
          <w:lang w:eastAsia="bg-BG"/>
        </w:rPr>
        <w:t>Калциеви соли:</w:t>
      </w:r>
    </w:p>
    <w:p w14:paraId="3F28F0C1" w14:textId="77777777" w:rsidR="00FD3646" w:rsidRPr="00FD3646" w:rsidRDefault="00FD3646" w:rsidP="00FD3646">
      <w:pPr>
        <w:spacing w:line="240" w:lineRule="auto"/>
        <w:rPr>
          <w:rFonts w:eastAsia="Times New Roman" w:cs="Arial"/>
          <w:sz w:val="28"/>
          <w:szCs w:val="24"/>
          <w:lang w:eastAsia="bg-BG"/>
        </w:rPr>
      </w:pPr>
      <w:r w:rsidRPr="00FD3646">
        <w:rPr>
          <w:rFonts w:eastAsia="Times New Roman" w:cs="Arial"/>
          <w:color w:val="000000"/>
          <w:szCs w:val="20"/>
          <w:lang w:eastAsia="bg-BG"/>
        </w:rPr>
        <w:t xml:space="preserve">Повишават серумните калциеви нива, като екскрецията може да се намали при използването им едновременно с тиазидни диуретици. Ако трябва да се предпишат калциеви добавки или витамин </w:t>
      </w:r>
      <w:r w:rsidRPr="00FD3646">
        <w:rPr>
          <w:rFonts w:eastAsia="Times New Roman" w:cs="Arial"/>
          <w:color w:val="000000"/>
          <w:szCs w:val="20"/>
          <w:lang w:val="en-US"/>
        </w:rPr>
        <w:t xml:space="preserve">D, </w:t>
      </w:r>
      <w:r w:rsidRPr="00FD3646">
        <w:rPr>
          <w:rFonts w:eastAsia="Times New Roman" w:cs="Arial"/>
          <w:color w:val="000000"/>
          <w:szCs w:val="20"/>
          <w:lang w:eastAsia="bg-BG"/>
        </w:rPr>
        <w:t>е необходимо редовно да се проследяват серумните нива на калция и съответно да се коригира дозата.</w:t>
      </w:r>
    </w:p>
    <w:p w14:paraId="4D36BAC6" w14:textId="77777777" w:rsidR="00FD3646" w:rsidRPr="00FD3646" w:rsidRDefault="00FD3646" w:rsidP="00FD3646">
      <w:pPr>
        <w:spacing w:line="240" w:lineRule="auto"/>
        <w:rPr>
          <w:rFonts w:eastAsia="Times New Roman" w:cs="Arial"/>
          <w:i/>
          <w:iCs/>
          <w:color w:val="000000"/>
          <w:szCs w:val="20"/>
          <w:lang w:eastAsia="bg-BG"/>
        </w:rPr>
      </w:pPr>
    </w:p>
    <w:p w14:paraId="20A90311" w14:textId="405D0FDF" w:rsidR="00FD3646" w:rsidRPr="00FD3646" w:rsidRDefault="00FD3646" w:rsidP="00FD3646">
      <w:pPr>
        <w:spacing w:line="240" w:lineRule="auto"/>
        <w:rPr>
          <w:rFonts w:eastAsia="Times New Roman" w:cs="Arial"/>
          <w:sz w:val="28"/>
          <w:szCs w:val="24"/>
          <w:lang w:eastAsia="bg-BG"/>
        </w:rPr>
      </w:pPr>
      <w:r w:rsidRPr="00FD3646">
        <w:rPr>
          <w:rFonts w:eastAsia="Times New Roman" w:cs="Arial"/>
          <w:i/>
          <w:iCs/>
          <w:color w:val="000000"/>
          <w:szCs w:val="20"/>
          <w:lang w:eastAsia="bg-BG"/>
        </w:rPr>
        <w:t>Сърдечни гликозиди:</w:t>
      </w:r>
    </w:p>
    <w:p w14:paraId="0EE76CAF" w14:textId="77777777" w:rsidR="00FD3646" w:rsidRPr="00FD3646" w:rsidRDefault="00FD3646" w:rsidP="00FD3646">
      <w:pPr>
        <w:spacing w:line="240" w:lineRule="auto"/>
        <w:rPr>
          <w:rFonts w:eastAsia="Times New Roman" w:cs="Arial"/>
          <w:sz w:val="28"/>
          <w:szCs w:val="24"/>
          <w:lang w:eastAsia="bg-BG"/>
        </w:rPr>
      </w:pPr>
      <w:r w:rsidRPr="00FD3646">
        <w:rPr>
          <w:rFonts w:eastAsia="Times New Roman" w:cs="Arial"/>
          <w:color w:val="000000"/>
          <w:szCs w:val="20"/>
          <w:lang w:eastAsia="bg-BG"/>
        </w:rPr>
        <w:t>Повишеният риск от дигиталисова токсичност се асоцира с тиазид-индуцирана хипокалиемия</w:t>
      </w:r>
    </w:p>
    <w:p w14:paraId="15E6FAC7" w14:textId="77777777" w:rsidR="00FD3646" w:rsidRPr="00FD3646" w:rsidRDefault="00FD3646" w:rsidP="00FD3646">
      <w:pPr>
        <w:spacing w:line="240" w:lineRule="auto"/>
        <w:rPr>
          <w:rFonts w:eastAsia="Times New Roman" w:cs="Arial"/>
          <w:i/>
          <w:iCs/>
          <w:color w:val="000000"/>
          <w:szCs w:val="20"/>
          <w:lang w:eastAsia="bg-BG"/>
        </w:rPr>
      </w:pPr>
    </w:p>
    <w:p w14:paraId="5F413051" w14:textId="47A812D3" w:rsidR="00FD3646" w:rsidRPr="00FD3646" w:rsidRDefault="00FD3646" w:rsidP="00FD3646">
      <w:pPr>
        <w:spacing w:line="240" w:lineRule="auto"/>
        <w:rPr>
          <w:rFonts w:eastAsia="Times New Roman" w:cs="Arial"/>
          <w:sz w:val="28"/>
          <w:szCs w:val="24"/>
          <w:lang w:eastAsia="bg-BG"/>
        </w:rPr>
      </w:pPr>
      <w:r w:rsidRPr="00FD3646">
        <w:rPr>
          <w:rFonts w:eastAsia="Times New Roman" w:cs="Arial"/>
          <w:i/>
          <w:iCs/>
          <w:color w:val="000000"/>
          <w:szCs w:val="20"/>
          <w:lang w:eastAsia="bg-BG"/>
        </w:rPr>
        <w:t>Холестирамин и колестипол</w:t>
      </w:r>
    </w:p>
    <w:p w14:paraId="4F542811" w14:textId="62E77CD9" w:rsidR="00FD3646" w:rsidRPr="00FD3646" w:rsidRDefault="00FD3646" w:rsidP="00FD3646">
      <w:pPr>
        <w:rPr>
          <w:rFonts w:cs="Arial"/>
          <w:sz w:val="24"/>
          <w:szCs w:val="20"/>
        </w:rPr>
      </w:pPr>
      <w:r w:rsidRPr="00FD3646">
        <w:rPr>
          <w:rFonts w:eastAsia="Times New Roman" w:cs="Arial"/>
          <w:color w:val="000000"/>
          <w:szCs w:val="20"/>
          <w:lang w:eastAsia="bg-BG"/>
        </w:rPr>
        <w:t>Може да се забави и да се намали абсорбцията на хидрохлоротиазида. Сулфонамидните диуретици трябва да се приемат един час преди или четири до шест часа след тези медикаменти.</w:t>
      </w:r>
    </w:p>
    <w:p w14:paraId="1C5DE712" w14:textId="70DB307D" w:rsidR="00FD3646" w:rsidRDefault="00FD3646" w:rsidP="00FD3646"/>
    <w:p w14:paraId="11AB6433" w14:textId="77777777" w:rsidR="00FD3646" w:rsidRPr="00FD3646" w:rsidRDefault="00FD3646" w:rsidP="00FD3646">
      <w:pPr>
        <w:spacing w:line="240" w:lineRule="auto"/>
        <w:rPr>
          <w:rFonts w:eastAsia="Times New Roman" w:cs="Arial"/>
          <w:sz w:val="28"/>
          <w:szCs w:val="24"/>
          <w:lang w:eastAsia="bg-BG"/>
        </w:rPr>
      </w:pPr>
      <w:r w:rsidRPr="00FD3646">
        <w:rPr>
          <w:rFonts w:eastAsia="Times New Roman" w:cs="Arial"/>
          <w:i/>
          <w:iCs/>
          <w:color w:val="000000"/>
          <w:szCs w:val="20"/>
          <w:lang w:eastAsia="bg-BG"/>
        </w:rPr>
        <w:t xml:space="preserve">Недеполяризиращи мускулни релаксанти(като тубокурарин хлорид) </w:t>
      </w:r>
      <w:r w:rsidRPr="00FD3646">
        <w:rPr>
          <w:rFonts w:eastAsia="Times New Roman" w:cs="Arial"/>
          <w:color w:val="000000"/>
          <w:szCs w:val="20"/>
          <w:lang w:eastAsia="bg-BG"/>
        </w:rPr>
        <w:t>Ефектът на тези медикаменти се потенцира от хидрохлоротиазида.</w:t>
      </w:r>
    </w:p>
    <w:p w14:paraId="10E4F928" w14:textId="77777777" w:rsidR="00FD3646" w:rsidRPr="00FD3646" w:rsidRDefault="00FD3646" w:rsidP="00FD3646">
      <w:pPr>
        <w:spacing w:line="240" w:lineRule="auto"/>
        <w:rPr>
          <w:rFonts w:eastAsia="Times New Roman" w:cs="Arial"/>
          <w:i/>
          <w:iCs/>
          <w:color w:val="000000"/>
          <w:szCs w:val="20"/>
          <w:lang w:eastAsia="bg-BG"/>
        </w:rPr>
      </w:pPr>
    </w:p>
    <w:p w14:paraId="772FA734" w14:textId="697D8F07" w:rsidR="00FD3646" w:rsidRPr="00FD3646" w:rsidRDefault="00FD3646" w:rsidP="00FD3646">
      <w:pPr>
        <w:spacing w:line="240" w:lineRule="auto"/>
        <w:rPr>
          <w:rFonts w:eastAsia="Times New Roman" w:cs="Arial"/>
          <w:sz w:val="28"/>
          <w:szCs w:val="24"/>
          <w:lang w:eastAsia="bg-BG"/>
        </w:rPr>
      </w:pPr>
      <w:r w:rsidRPr="00FD3646">
        <w:rPr>
          <w:rFonts w:eastAsia="Times New Roman" w:cs="Arial"/>
          <w:i/>
          <w:iCs/>
          <w:color w:val="000000"/>
          <w:szCs w:val="20"/>
          <w:lang w:eastAsia="bg-BG"/>
        </w:rPr>
        <w:t>Триметоприм</w:t>
      </w:r>
    </w:p>
    <w:p w14:paraId="7A2E7C4F" w14:textId="77777777" w:rsidR="00FD3646" w:rsidRPr="00FD3646" w:rsidRDefault="00FD3646" w:rsidP="00FD3646">
      <w:pPr>
        <w:spacing w:line="240" w:lineRule="auto"/>
        <w:rPr>
          <w:rFonts w:eastAsia="Times New Roman" w:cs="Arial"/>
          <w:sz w:val="28"/>
          <w:szCs w:val="24"/>
          <w:lang w:eastAsia="bg-BG"/>
        </w:rPr>
      </w:pPr>
      <w:r w:rsidRPr="00FD3646">
        <w:rPr>
          <w:rFonts w:eastAsia="Times New Roman" w:cs="Arial"/>
          <w:color w:val="000000"/>
          <w:szCs w:val="20"/>
          <w:lang w:eastAsia="bg-BG"/>
        </w:rPr>
        <w:t>Едновременната употреба на АСЕ инхибитори и тиазиди, заедно с триметоприм повишава риска от хиперкалиемия.</w:t>
      </w:r>
    </w:p>
    <w:p w14:paraId="4CBDF676" w14:textId="77777777" w:rsidR="00FD3646" w:rsidRPr="00FD3646" w:rsidRDefault="00FD3646" w:rsidP="00FD3646">
      <w:pPr>
        <w:spacing w:line="240" w:lineRule="auto"/>
        <w:rPr>
          <w:rFonts w:eastAsia="Times New Roman" w:cs="Arial"/>
          <w:i/>
          <w:iCs/>
          <w:color w:val="000000"/>
          <w:szCs w:val="20"/>
          <w:lang w:eastAsia="bg-BG"/>
        </w:rPr>
      </w:pPr>
    </w:p>
    <w:p w14:paraId="6463DDCE" w14:textId="3B371F71" w:rsidR="00FD3646" w:rsidRPr="00FD3646" w:rsidRDefault="00FD3646" w:rsidP="00FD3646">
      <w:pPr>
        <w:spacing w:line="240" w:lineRule="auto"/>
        <w:rPr>
          <w:rFonts w:eastAsia="Times New Roman" w:cs="Arial"/>
          <w:sz w:val="28"/>
          <w:szCs w:val="24"/>
          <w:lang w:eastAsia="bg-BG"/>
        </w:rPr>
      </w:pPr>
      <w:r w:rsidRPr="00FD3646">
        <w:rPr>
          <w:rFonts w:eastAsia="Times New Roman" w:cs="Arial"/>
          <w:i/>
          <w:iCs/>
          <w:color w:val="000000"/>
          <w:szCs w:val="20"/>
          <w:lang w:eastAsia="bg-BG"/>
        </w:rPr>
        <w:t>Соталол</w:t>
      </w:r>
    </w:p>
    <w:p w14:paraId="66411275" w14:textId="77777777" w:rsidR="00FD3646" w:rsidRPr="00FD3646" w:rsidRDefault="00FD3646" w:rsidP="00FD3646">
      <w:pPr>
        <w:spacing w:line="240" w:lineRule="auto"/>
        <w:rPr>
          <w:rFonts w:eastAsia="Times New Roman" w:cs="Arial"/>
          <w:sz w:val="28"/>
          <w:szCs w:val="24"/>
          <w:lang w:eastAsia="bg-BG"/>
        </w:rPr>
      </w:pPr>
      <w:r w:rsidRPr="00FD3646">
        <w:rPr>
          <w:rFonts w:eastAsia="Times New Roman" w:cs="Arial"/>
          <w:color w:val="000000"/>
          <w:szCs w:val="20"/>
          <w:lang w:eastAsia="bg-BG"/>
        </w:rPr>
        <w:t>Предизвиканата от тиазида хипокалиемия повишава риска от соталол индуцирана аритмия.</w:t>
      </w:r>
    </w:p>
    <w:p w14:paraId="0644EA2A" w14:textId="77777777" w:rsidR="00FD3646" w:rsidRPr="00FD3646" w:rsidRDefault="00FD3646" w:rsidP="00FD3646">
      <w:pPr>
        <w:spacing w:line="240" w:lineRule="auto"/>
        <w:rPr>
          <w:rFonts w:eastAsia="Times New Roman" w:cs="Arial"/>
          <w:i/>
          <w:iCs/>
          <w:color w:val="000000"/>
          <w:szCs w:val="20"/>
          <w:lang w:eastAsia="bg-BG"/>
        </w:rPr>
      </w:pPr>
    </w:p>
    <w:p w14:paraId="696DFE8C" w14:textId="2EA4E07D" w:rsidR="00FD3646" w:rsidRPr="00FD3646" w:rsidRDefault="00FD3646" w:rsidP="00FD3646">
      <w:pPr>
        <w:spacing w:line="240" w:lineRule="auto"/>
        <w:rPr>
          <w:rFonts w:eastAsia="Times New Roman" w:cs="Arial"/>
          <w:sz w:val="28"/>
          <w:szCs w:val="24"/>
          <w:lang w:eastAsia="bg-BG"/>
        </w:rPr>
      </w:pPr>
      <w:r w:rsidRPr="00FD3646">
        <w:rPr>
          <w:rFonts w:eastAsia="Times New Roman" w:cs="Arial"/>
          <w:i/>
          <w:iCs/>
          <w:color w:val="000000"/>
          <w:szCs w:val="20"/>
          <w:lang w:eastAsia="bg-BG"/>
        </w:rPr>
        <w:t>Алопуринол</w:t>
      </w:r>
    </w:p>
    <w:p w14:paraId="3BCB3E37" w14:textId="77777777" w:rsidR="00FD3646" w:rsidRPr="00FD3646" w:rsidRDefault="00FD3646" w:rsidP="00FD3646">
      <w:pPr>
        <w:spacing w:line="240" w:lineRule="auto"/>
        <w:rPr>
          <w:rFonts w:eastAsia="Times New Roman" w:cs="Arial"/>
          <w:sz w:val="28"/>
          <w:szCs w:val="24"/>
          <w:lang w:eastAsia="bg-BG"/>
        </w:rPr>
      </w:pPr>
      <w:r w:rsidRPr="00FD3646">
        <w:rPr>
          <w:rFonts w:eastAsia="Times New Roman" w:cs="Arial"/>
          <w:color w:val="000000"/>
          <w:szCs w:val="20"/>
          <w:lang w:eastAsia="bg-BG"/>
        </w:rPr>
        <w:lastRenderedPageBreak/>
        <w:t>Едновременната употреба на АСЕ инхибитор и алопуринол повишава риска от бъбречно увреждане и може да доведе до нарастване на риска от левкопения.</w:t>
      </w:r>
    </w:p>
    <w:p w14:paraId="2514244F" w14:textId="77777777" w:rsidR="00FD3646" w:rsidRPr="00FD3646" w:rsidRDefault="00FD3646" w:rsidP="00FD3646">
      <w:pPr>
        <w:spacing w:line="240" w:lineRule="auto"/>
        <w:rPr>
          <w:rFonts w:eastAsia="Times New Roman" w:cs="Arial"/>
          <w:i/>
          <w:iCs/>
          <w:color w:val="000000"/>
          <w:szCs w:val="20"/>
          <w:lang w:eastAsia="bg-BG"/>
        </w:rPr>
      </w:pPr>
    </w:p>
    <w:p w14:paraId="7F1E9965" w14:textId="1CD7FD11" w:rsidR="00FD3646" w:rsidRPr="00FD3646" w:rsidRDefault="00FD3646" w:rsidP="00FD3646">
      <w:pPr>
        <w:spacing w:line="240" w:lineRule="auto"/>
        <w:rPr>
          <w:rFonts w:eastAsia="Times New Roman" w:cs="Arial"/>
          <w:sz w:val="28"/>
          <w:szCs w:val="24"/>
          <w:lang w:eastAsia="bg-BG"/>
        </w:rPr>
      </w:pPr>
      <w:r w:rsidRPr="00FD3646">
        <w:rPr>
          <w:rFonts w:eastAsia="Times New Roman" w:cs="Arial"/>
          <w:i/>
          <w:iCs/>
          <w:color w:val="000000"/>
          <w:szCs w:val="20"/>
          <w:lang w:eastAsia="bg-BG"/>
        </w:rPr>
        <w:t>Циклоспорин</w:t>
      </w:r>
    </w:p>
    <w:p w14:paraId="53EFBA97" w14:textId="77777777" w:rsidR="00FD3646" w:rsidRPr="00FD3646" w:rsidRDefault="00FD3646" w:rsidP="00FD3646">
      <w:pPr>
        <w:spacing w:line="240" w:lineRule="auto"/>
        <w:rPr>
          <w:rFonts w:eastAsia="Times New Roman" w:cs="Arial"/>
          <w:sz w:val="28"/>
          <w:szCs w:val="24"/>
          <w:lang w:eastAsia="bg-BG"/>
        </w:rPr>
      </w:pPr>
      <w:r w:rsidRPr="00FD3646">
        <w:rPr>
          <w:rFonts w:eastAsia="Times New Roman" w:cs="Arial"/>
          <w:color w:val="000000"/>
          <w:szCs w:val="20"/>
          <w:lang w:eastAsia="bg-BG"/>
        </w:rPr>
        <w:t>Комбинацията АСЕ инхибитор и циклоспорин повишава риска от развитие на бъбречна недостатъчност и хиперкалиемия.</w:t>
      </w:r>
    </w:p>
    <w:p w14:paraId="2ED61949" w14:textId="77777777" w:rsidR="00FD3646" w:rsidRPr="00FD3646" w:rsidRDefault="00FD3646" w:rsidP="00FD3646">
      <w:pPr>
        <w:spacing w:line="240" w:lineRule="auto"/>
        <w:rPr>
          <w:rFonts w:eastAsia="Times New Roman" w:cs="Arial"/>
          <w:sz w:val="28"/>
          <w:szCs w:val="24"/>
          <w:lang w:eastAsia="bg-BG"/>
        </w:rPr>
      </w:pPr>
      <w:r w:rsidRPr="00FD3646">
        <w:rPr>
          <w:rFonts w:eastAsia="Times New Roman" w:cs="Arial"/>
          <w:color w:val="000000"/>
          <w:szCs w:val="20"/>
          <w:lang w:eastAsia="bg-BG"/>
        </w:rPr>
        <w:t>Едновременното лечение с циклоспорин може да увеличи риска от хиперурикемия и усложнения от подагра.</w:t>
      </w:r>
    </w:p>
    <w:p w14:paraId="7050C555" w14:textId="77777777" w:rsidR="00FD3646" w:rsidRPr="00FD3646" w:rsidRDefault="00FD3646" w:rsidP="00FD3646">
      <w:pPr>
        <w:spacing w:line="240" w:lineRule="auto"/>
        <w:rPr>
          <w:rFonts w:eastAsia="Times New Roman" w:cs="Arial"/>
          <w:i/>
          <w:iCs/>
          <w:color w:val="000000"/>
          <w:szCs w:val="20"/>
          <w:lang w:eastAsia="bg-BG"/>
        </w:rPr>
      </w:pPr>
    </w:p>
    <w:p w14:paraId="6694C49B" w14:textId="10C1A7D8" w:rsidR="00FD3646" w:rsidRPr="00FD3646" w:rsidRDefault="00FD3646" w:rsidP="00FD3646">
      <w:pPr>
        <w:spacing w:line="240" w:lineRule="auto"/>
        <w:rPr>
          <w:rFonts w:eastAsia="Times New Roman" w:cs="Arial"/>
          <w:sz w:val="28"/>
          <w:szCs w:val="24"/>
          <w:lang w:eastAsia="bg-BG"/>
        </w:rPr>
      </w:pPr>
      <w:r w:rsidRPr="00FD3646">
        <w:rPr>
          <w:rFonts w:eastAsia="Times New Roman" w:cs="Arial"/>
          <w:i/>
          <w:iCs/>
          <w:color w:val="000000"/>
          <w:szCs w:val="20"/>
          <w:lang w:eastAsia="bg-BG"/>
        </w:rPr>
        <w:t>Ловастатин</w:t>
      </w:r>
    </w:p>
    <w:p w14:paraId="74476C43" w14:textId="77777777" w:rsidR="00FD3646" w:rsidRPr="00FD3646" w:rsidRDefault="00FD3646" w:rsidP="00FD3646">
      <w:pPr>
        <w:spacing w:line="240" w:lineRule="auto"/>
        <w:rPr>
          <w:rFonts w:eastAsia="Times New Roman" w:cs="Arial"/>
          <w:sz w:val="28"/>
          <w:szCs w:val="24"/>
          <w:lang w:eastAsia="bg-BG"/>
        </w:rPr>
      </w:pPr>
      <w:r w:rsidRPr="00FD3646">
        <w:rPr>
          <w:rFonts w:eastAsia="Times New Roman" w:cs="Arial"/>
          <w:color w:val="000000"/>
          <w:szCs w:val="20"/>
          <w:lang w:eastAsia="bg-BG"/>
        </w:rPr>
        <w:t>Едновременната употреба на ловастатин и АСЕ инхибитори повишава риска от хиперкалиемия.</w:t>
      </w:r>
    </w:p>
    <w:p w14:paraId="1213E4CA" w14:textId="77777777" w:rsidR="00FD3646" w:rsidRPr="00FD3646" w:rsidRDefault="00FD3646" w:rsidP="00FD3646">
      <w:pPr>
        <w:spacing w:line="240" w:lineRule="auto"/>
        <w:rPr>
          <w:rFonts w:eastAsia="Times New Roman" w:cs="Arial"/>
          <w:i/>
          <w:iCs/>
          <w:color w:val="000000"/>
          <w:szCs w:val="20"/>
          <w:lang w:eastAsia="bg-BG"/>
        </w:rPr>
      </w:pPr>
    </w:p>
    <w:p w14:paraId="73112D23" w14:textId="65AF5319" w:rsidR="00FD3646" w:rsidRPr="00FD3646" w:rsidRDefault="00FD3646" w:rsidP="00FD3646">
      <w:pPr>
        <w:spacing w:line="240" w:lineRule="auto"/>
        <w:rPr>
          <w:rFonts w:eastAsia="Times New Roman" w:cs="Arial"/>
          <w:sz w:val="28"/>
          <w:szCs w:val="24"/>
          <w:lang w:eastAsia="bg-BG"/>
        </w:rPr>
      </w:pPr>
      <w:r w:rsidRPr="00FD3646">
        <w:rPr>
          <w:rFonts w:eastAsia="Times New Roman" w:cs="Arial"/>
          <w:i/>
          <w:iCs/>
          <w:color w:val="000000"/>
          <w:szCs w:val="20"/>
          <w:lang w:eastAsia="bg-BG"/>
        </w:rPr>
        <w:t>Цитостатици, имуносупресивни лекарствени продукти и прокаинамид,:</w:t>
      </w:r>
    </w:p>
    <w:p w14:paraId="74FDA002" w14:textId="77777777" w:rsidR="00FD3646" w:rsidRPr="00FD3646" w:rsidRDefault="00FD3646" w:rsidP="00FD3646">
      <w:pPr>
        <w:spacing w:line="240" w:lineRule="auto"/>
        <w:rPr>
          <w:rFonts w:eastAsia="Times New Roman" w:cs="Arial"/>
          <w:sz w:val="28"/>
          <w:szCs w:val="24"/>
          <w:lang w:eastAsia="bg-BG"/>
        </w:rPr>
      </w:pPr>
      <w:r w:rsidRPr="00FD3646">
        <w:rPr>
          <w:rFonts w:eastAsia="Times New Roman" w:cs="Arial"/>
          <w:color w:val="000000"/>
          <w:szCs w:val="20"/>
          <w:lang w:eastAsia="bg-BG"/>
        </w:rPr>
        <w:t>Едновременната им употреба е възможно да доведе до повишаване на риска от левкопения (вж. точка 4.4).</w:t>
      </w:r>
    </w:p>
    <w:p w14:paraId="586EFB60" w14:textId="77777777" w:rsidR="00FD3646" w:rsidRPr="00FD3646" w:rsidRDefault="00FD3646" w:rsidP="00FD3646">
      <w:pPr>
        <w:spacing w:line="240" w:lineRule="auto"/>
        <w:rPr>
          <w:rFonts w:eastAsia="Times New Roman" w:cs="Arial"/>
          <w:i/>
          <w:iCs/>
          <w:color w:val="000000"/>
          <w:szCs w:val="20"/>
          <w:lang w:eastAsia="bg-BG"/>
        </w:rPr>
      </w:pPr>
    </w:p>
    <w:p w14:paraId="40F05627" w14:textId="203CD2C8" w:rsidR="00FD3646" w:rsidRPr="00FD3646" w:rsidRDefault="00FD3646" w:rsidP="00FD3646">
      <w:pPr>
        <w:spacing w:line="240" w:lineRule="auto"/>
        <w:rPr>
          <w:rFonts w:eastAsia="Times New Roman" w:cs="Arial"/>
          <w:sz w:val="28"/>
          <w:szCs w:val="24"/>
          <w:lang w:eastAsia="bg-BG"/>
        </w:rPr>
      </w:pPr>
      <w:r w:rsidRPr="00FD3646">
        <w:rPr>
          <w:rFonts w:eastAsia="Times New Roman" w:cs="Arial"/>
          <w:i/>
          <w:iCs/>
          <w:color w:val="000000"/>
          <w:szCs w:val="20"/>
          <w:lang w:eastAsia="bg-BG"/>
        </w:rPr>
        <w:t>Ко-тримоксазол (триметоприм/сулфаметоксазол)</w:t>
      </w:r>
    </w:p>
    <w:p w14:paraId="5F25DF85" w14:textId="77777777" w:rsidR="00FD3646" w:rsidRPr="00FD3646" w:rsidRDefault="00FD3646" w:rsidP="00FD3646">
      <w:pPr>
        <w:spacing w:line="240" w:lineRule="auto"/>
        <w:rPr>
          <w:rFonts w:eastAsia="Times New Roman" w:cs="Arial"/>
          <w:sz w:val="28"/>
          <w:szCs w:val="24"/>
          <w:lang w:eastAsia="bg-BG"/>
        </w:rPr>
      </w:pPr>
      <w:r w:rsidRPr="00FD3646">
        <w:rPr>
          <w:rFonts w:eastAsia="Times New Roman" w:cs="Arial"/>
          <w:color w:val="000000"/>
          <w:szCs w:val="20"/>
          <w:lang w:eastAsia="bg-BG"/>
        </w:rPr>
        <w:t>Пациенти, получаващи съпътстващо ко-тримоксазол (триметоприм/сулфаметоксазол), може да бъдат изложени на повишен риск от хиперкалиемия (вж. точка 4.4)</w:t>
      </w:r>
    </w:p>
    <w:p w14:paraId="4D2DD249" w14:textId="77777777" w:rsidR="00FD3646" w:rsidRPr="00FD3646" w:rsidRDefault="00FD3646" w:rsidP="00FD3646">
      <w:pPr>
        <w:spacing w:line="240" w:lineRule="auto"/>
        <w:rPr>
          <w:rFonts w:eastAsia="Times New Roman" w:cs="Arial"/>
          <w:color w:val="000000"/>
          <w:szCs w:val="20"/>
          <w:lang w:eastAsia="bg-BG"/>
        </w:rPr>
      </w:pPr>
    </w:p>
    <w:p w14:paraId="4AFCEADA" w14:textId="1D868876" w:rsidR="00FD3646" w:rsidRPr="00FD3646" w:rsidRDefault="00FD3646" w:rsidP="00FD3646">
      <w:pPr>
        <w:spacing w:line="240" w:lineRule="auto"/>
        <w:rPr>
          <w:rFonts w:eastAsia="Times New Roman" w:cs="Arial"/>
          <w:sz w:val="28"/>
          <w:szCs w:val="24"/>
          <w:lang w:eastAsia="bg-BG"/>
        </w:rPr>
      </w:pPr>
      <w:r w:rsidRPr="00FD3646">
        <w:rPr>
          <w:rFonts w:eastAsia="Times New Roman" w:cs="Arial"/>
          <w:color w:val="000000"/>
          <w:szCs w:val="20"/>
          <w:lang w:eastAsia="bg-BG"/>
        </w:rPr>
        <w:t>Тиазидните диуретици могат да увеличат риска от нежелани реакции, причинени от амантадин.</w:t>
      </w:r>
    </w:p>
    <w:p w14:paraId="2549DBEB" w14:textId="77777777" w:rsidR="00FD3646" w:rsidRPr="00FD3646" w:rsidRDefault="00FD3646" w:rsidP="00FD3646">
      <w:pPr>
        <w:rPr>
          <w:rFonts w:eastAsia="Times New Roman" w:cs="Arial"/>
          <w:color w:val="000000"/>
          <w:szCs w:val="20"/>
          <w:lang w:eastAsia="bg-BG"/>
        </w:rPr>
      </w:pPr>
    </w:p>
    <w:p w14:paraId="23E0173C" w14:textId="71E915EE" w:rsidR="00FD3646" w:rsidRPr="00FD3646" w:rsidRDefault="00FD3646" w:rsidP="00FD3646">
      <w:pPr>
        <w:rPr>
          <w:rFonts w:eastAsia="Times New Roman" w:cs="Arial"/>
          <w:color w:val="000000"/>
          <w:szCs w:val="20"/>
          <w:lang w:eastAsia="bg-BG"/>
        </w:rPr>
      </w:pPr>
      <w:r w:rsidRPr="00FD3646">
        <w:rPr>
          <w:rFonts w:eastAsia="Times New Roman" w:cs="Arial"/>
          <w:color w:val="000000"/>
          <w:szCs w:val="20"/>
          <w:lang w:eastAsia="bg-BG"/>
        </w:rPr>
        <w:t>Постуралната хипотония може да се влоши от едновременния прием на алкохол, барбитурати или анестетици.</w:t>
      </w:r>
    </w:p>
    <w:p w14:paraId="15FB3C61" w14:textId="77777777" w:rsidR="00FD3646" w:rsidRPr="00FD3646" w:rsidRDefault="00FD3646" w:rsidP="00FD3646"/>
    <w:p w14:paraId="394A7584" w14:textId="2F415FD8" w:rsidR="004F498A" w:rsidRDefault="002C50EE" w:rsidP="004A448E">
      <w:pPr>
        <w:pStyle w:val="Heading2"/>
      </w:pPr>
      <w:r>
        <w:t>4.6. Фертилитет, бременност и кърмене</w:t>
      </w:r>
    </w:p>
    <w:p w14:paraId="7A06AF3E" w14:textId="6D7DCC31" w:rsidR="00FD3646" w:rsidRDefault="00FD3646" w:rsidP="00FD3646"/>
    <w:p w14:paraId="457B53F3" w14:textId="77777777" w:rsidR="00FD3646" w:rsidRPr="00615305" w:rsidRDefault="00FD3646" w:rsidP="00615305">
      <w:pPr>
        <w:pStyle w:val="Heading3"/>
        <w:rPr>
          <w:rFonts w:eastAsia="Times New Roman"/>
          <w:sz w:val="28"/>
          <w:u w:val="single"/>
          <w:lang w:eastAsia="bg-BG"/>
        </w:rPr>
      </w:pPr>
      <w:r w:rsidRPr="00615305">
        <w:rPr>
          <w:rFonts w:eastAsia="Times New Roman"/>
          <w:u w:val="single"/>
          <w:lang w:eastAsia="bg-BG"/>
        </w:rPr>
        <w:t>Бременност</w:t>
      </w:r>
    </w:p>
    <w:p w14:paraId="27505F34" w14:textId="77777777" w:rsidR="00FD3646" w:rsidRPr="00FD3646" w:rsidRDefault="00FD3646" w:rsidP="00FD3646">
      <w:pPr>
        <w:spacing w:line="240" w:lineRule="auto"/>
        <w:rPr>
          <w:rFonts w:eastAsia="Times New Roman" w:cs="Arial"/>
          <w:sz w:val="28"/>
          <w:szCs w:val="24"/>
          <w:lang w:eastAsia="bg-BG"/>
        </w:rPr>
      </w:pPr>
      <w:r w:rsidRPr="00FD3646">
        <w:rPr>
          <w:rFonts w:eastAsia="Times New Roman" w:cs="Arial"/>
          <w:b/>
          <w:bCs/>
          <w:color w:val="000000"/>
          <w:szCs w:val="20"/>
          <w:lang w:eastAsia="bg-BG"/>
        </w:rPr>
        <w:t>АСЕ -инхибитори</w:t>
      </w:r>
    </w:p>
    <w:p w14:paraId="22DAD218" w14:textId="77777777" w:rsidR="00FD3646" w:rsidRPr="00FD3646" w:rsidRDefault="00FD3646" w:rsidP="00FD3646">
      <w:pPr>
        <w:spacing w:line="240" w:lineRule="auto"/>
        <w:rPr>
          <w:rFonts w:eastAsia="Times New Roman" w:cs="Arial"/>
          <w:sz w:val="28"/>
          <w:szCs w:val="24"/>
          <w:lang w:eastAsia="bg-BG"/>
        </w:rPr>
      </w:pPr>
    </w:p>
    <w:p w14:paraId="16B408D1" w14:textId="7668859D" w:rsidR="00FD3646" w:rsidRPr="00FD3646" w:rsidRDefault="00FD3646" w:rsidP="00FD3646">
      <w:pPr>
        <w:spacing w:line="240" w:lineRule="auto"/>
        <w:rPr>
          <w:rFonts w:eastAsia="Times New Roman" w:cs="Arial"/>
          <w:sz w:val="28"/>
          <w:szCs w:val="24"/>
          <w:lang w:eastAsia="bg-BG"/>
        </w:rPr>
      </w:pPr>
      <w:r w:rsidRPr="00FD3646">
        <w:rPr>
          <w:rFonts w:eastAsia="Times New Roman" w:cs="Arial"/>
          <w:color w:val="000000"/>
          <w:szCs w:val="20"/>
          <w:lang w:eastAsia="bg-BG"/>
        </w:rPr>
        <w:t>Употребата на АСЕ инхибитори не се препоръчва през първия триместър на бременността (вж. точка 4.4). Употребата на АСЕ инхибитори по време на втория и третия триместьр на бременността е противопоказана (вж. точки 4.3 и 4.4).</w:t>
      </w:r>
    </w:p>
    <w:p w14:paraId="209EB635" w14:textId="77777777" w:rsidR="00FD3646" w:rsidRPr="00FD3646" w:rsidRDefault="00FD3646" w:rsidP="00FD3646">
      <w:pPr>
        <w:spacing w:line="240" w:lineRule="auto"/>
        <w:rPr>
          <w:rFonts w:eastAsia="Times New Roman" w:cs="Arial"/>
          <w:color w:val="000000"/>
          <w:szCs w:val="20"/>
          <w:lang w:eastAsia="bg-BG"/>
        </w:rPr>
      </w:pPr>
    </w:p>
    <w:p w14:paraId="13C2F2F3" w14:textId="251B3A77" w:rsidR="00FD3646" w:rsidRPr="00FD3646" w:rsidRDefault="00FD3646" w:rsidP="00FD3646">
      <w:pPr>
        <w:spacing w:line="240" w:lineRule="auto"/>
        <w:rPr>
          <w:rFonts w:eastAsia="Times New Roman" w:cs="Arial"/>
          <w:sz w:val="28"/>
          <w:szCs w:val="24"/>
          <w:lang w:eastAsia="bg-BG"/>
        </w:rPr>
      </w:pPr>
      <w:r w:rsidRPr="00FD3646">
        <w:rPr>
          <w:rFonts w:eastAsia="Times New Roman" w:cs="Arial"/>
          <w:color w:val="000000"/>
          <w:szCs w:val="20"/>
          <w:lang w:eastAsia="bg-BG"/>
        </w:rPr>
        <w:t>Епидемиологичните данни относно тератогенния риск вследствие приложението на АСЕ инхибитори по време на първия триместър на бременността не са убедителни, но все пак не може да се изключи известно повишение на този риск. При пациентките, при които продължаване на започнатото лечение с АСЕ инхибитор се смята за наложително е необходимо, при планиране на бременност да се смени антихипертензивната терапия с алтернативна, с установен профил на безопасност по време на бременност. Ако се установи бременност, лечението с АСЕ инхибитор трябва да се преустано</w:t>
      </w:r>
      <w:r w:rsidRPr="00FD3646">
        <w:rPr>
          <w:rFonts w:eastAsia="Times New Roman" w:cs="Arial"/>
          <w:color w:val="000000"/>
          <w:szCs w:val="20"/>
          <w:u w:val="single"/>
          <w:lang w:eastAsia="bg-BG"/>
        </w:rPr>
        <w:t>ви</w:t>
      </w:r>
      <w:r w:rsidRPr="00FD3646">
        <w:rPr>
          <w:rFonts w:eastAsia="Times New Roman" w:cs="Arial"/>
          <w:color w:val="000000"/>
          <w:szCs w:val="20"/>
          <w:lang w:eastAsia="bg-BG"/>
        </w:rPr>
        <w:t xml:space="preserve"> незабавно и ако е подходящо да се започне алтернативно лечение.</w:t>
      </w:r>
    </w:p>
    <w:p w14:paraId="179073DD" w14:textId="77777777" w:rsidR="00FD3646" w:rsidRPr="00FD3646" w:rsidRDefault="00FD3646" w:rsidP="00FD3646">
      <w:pPr>
        <w:rPr>
          <w:rFonts w:eastAsia="Times New Roman" w:cs="Arial"/>
          <w:color w:val="000000"/>
          <w:szCs w:val="20"/>
          <w:lang w:eastAsia="bg-BG"/>
        </w:rPr>
      </w:pPr>
    </w:p>
    <w:p w14:paraId="63A64D13" w14:textId="77777777" w:rsidR="00FD3646" w:rsidRPr="00FD3646" w:rsidRDefault="00FD3646" w:rsidP="00FD3646">
      <w:pPr>
        <w:rPr>
          <w:rFonts w:eastAsia="Times New Roman" w:cs="Arial"/>
          <w:sz w:val="28"/>
          <w:szCs w:val="24"/>
          <w:lang w:eastAsia="bg-BG"/>
        </w:rPr>
      </w:pPr>
      <w:r w:rsidRPr="00FD3646">
        <w:rPr>
          <w:rFonts w:eastAsia="Times New Roman" w:cs="Arial"/>
          <w:color w:val="000000"/>
          <w:szCs w:val="20"/>
          <w:lang w:eastAsia="bg-BG"/>
        </w:rPr>
        <w:t>Приложението на АСЕ инхибитори по време на втория и третия триместьр на бременността, е  свързано с фетотоксичност (понижена бъбречна функция, олигохидрамнион, хипоплазия на черепа)</w:t>
      </w:r>
      <w:r w:rsidRPr="00FD3646">
        <w:rPr>
          <w:rFonts w:eastAsia="Times New Roman" w:cs="Arial"/>
          <w:color w:val="000000"/>
          <w:szCs w:val="20"/>
          <w:lang w:val="en-US"/>
        </w:rPr>
        <w:t xml:space="preserve"> </w:t>
      </w:r>
      <w:r w:rsidRPr="00FD3646">
        <w:rPr>
          <w:rFonts w:eastAsia="Times New Roman" w:cs="Arial"/>
          <w:color w:val="000000"/>
          <w:szCs w:val="20"/>
          <w:lang w:eastAsia="bg-BG"/>
        </w:rPr>
        <w:t>и</w:t>
      </w:r>
      <w:r>
        <w:rPr>
          <w:rFonts w:eastAsia="Times New Roman" w:cs="Arial"/>
          <w:color w:val="000000"/>
          <w:szCs w:val="20"/>
          <w:lang w:val="en-US" w:eastAsia="bg-BG"/>
        </w:rPr>
        <w:t xml:space="preserve"> </w:t>
      </w:r>
      <w:r w:rsidRPr="00FD3646">
        <w:rPr>
          <w:rFonts w:eastAsia="Times New Roman" w:cs="Arial"/>
          <w:color w:val="000000"/>
          <w:szCs w:val="20"/>
          <w:lang w:eastAsia="bg-BG"/>
        </w:rPr>
        <w:t xml:space="preserve">неонатална токсичност (бъбречна </w:t>
      </w:r>
      <w:r w:rsidRPr="00FD3646">
        <w:rPr>
          <w:rFonts w:eastAsia="Times New Roman" w:cs="Arial"/>
          <w:color w:val="000000"/>
          <w:szCs w:val="20"/>
          <w:lang w:eastAsia="bg-BG"/>
        </w:rPr>
        <w:lastRenderedPageBreak/>
        <w:t>недостатъчност, хипотония, хиперкалиемия) (вж.също точка 5.3 Предклинични данни за безопасност).</w:t>
      </w:r>
    </w:p>
    <w:p w14:paraId="7DE7CC55" w14:textId="77777777" w:rsidR="00FD3646" w:rsidRPr="00FD3646" w:rsidRDefault="00FD3646" w:rsidP="00FD3646">
      <w:pPr>
        <w:spacing w:line="240" w:lineRule="auto"/>
        <w:rPr>
          <w:rFonts w:eastAsia="Times New Roman" w:cs="Arial"/>
          <w:sz w:val="28"/>
          <w:szCs w:val="24"/>
          <w:lang w:eastAsia="bg-BG"/>
        </w:rPr>
      </w:pPr>
      <w:r w:rsidRPr="00FD3646">
        <w:rPr>
          <w:rFonts w:eastAsia="Times New Roman" w:cs="Arial"/>
          <w:color w:val="000000"/>
          <w:szCs w:val="20"/>
          <w:lang w:eastAsia="bg-BG"/>
        </w:rPr>
        <w:t>Ако се установи експозиция на АСЕ инхибитори от началото на втория триместър на бременността, е препоръчително ултразвуково изследване за проследяване на бъбречната функция и черепа. Новородени, чиито майки са приемали АСЕ-инхибитори трябва стриктно да бъдат проследявани за поява на хипотония (вж. също точки 4.3 и 4.4).</w:t>
      </w:r>
    </w:p>
    <w:p w14:paraId="0438219F" w14:textId="77777777" w:rsidR="00FD3646" w:rsidRPr="00FD3646" w:rsidRDefault="00FD3646" w:rsidP="00FD3646">
      <w:pPr>
        <w:spacing w:line="240" w:lineRule="auto"/>
        <w:rPr>
          <w:rFonts w:eastAsia="Times New Roman" w:cs="Arial"/>
          <w:b/>
          <w:bCs/>
          <w:color w:val="000000"/>
          <w:szCs w:val="20"/>
          <w:lang w:eastAsia="bg-BG"/>
        </w:rPr>
      </w:pPr>
    </w:p>
    <w:p w14:paraId="4096D170" w14:textId="1CA86BB1" w:rsidR="00FD3646" w:rsidRPr="00FD3646" w:rsidRDefault="00FD3646" w:rsidP="00FD3646">
      <w:pPr>
        <w:spacing w:line="240" w:lineRule="auto"/>
        <w:rPr>
          <w:rFonts w:eastAsia="Times New Roman" w:cs="Arial"/>
          <w:sz w:val="28"/>
          <w:szCs w:val="24"/>
          <w:lang w:eastAsia="bg-BG"/>
        </w:rPr>
      </w:pPr>
      <w:r w:rsidRPr="00FD3646">
        <w:rPr>
          <w:rFonts w:eastAsia="Times New Roman" w:cs="Arial"/>
          <w:b/>
          <w:bCs/>
          <w:color w:val="000000"/>
          <w:szCs w:val="20"/>
          <w:lang w:eastAsia="bg-BG"/>
        </w:rPr>
        <w:t>Хидрохлоротиазид</w:t>
      </w:r>
    </w:p>
    <w:p w14:paraId="74ED9990" w14:textId="77777777" w:rsidR="00FD3646" w:rsidRPr="00FD3646" w:rsidRDefault="00FD3646" w:rsidP="00FD3646">
      <w:pPr>
        <w:spacing w:line="240" w:lineRule="auto"/>
        <w:rPr>
          <w:rFonts w:eastAsia="Times New Roman" w:cs="Arial"/>
          <w:sz w:val="28"/>
          <w:szCs w:val="24"/>
          <w:lang w:eastAsia="bg-BG"/>
        </w:rPr>
      </w:pPr>
      <w:r w:rsidRPr="00FD3646">
        <w:rPr>
          <w:rFonts w:eastAsia="Times New Roman" w:cs="Arial"/>
          <w:color w:val="000000"/>
          <w:szCs w:val="20"/>
          <w:lang w:eastAsia="bg-BG"/>
        </w:rPr>
        <w:t>Опитът с приложение на хидрохлоротиазид по време на бременност, особено през първия триместьр е ограничен. Изследванията върху животни са недостатъчни,</w:t>
      </w:r>
    </w:p>
    <w:p w14:paraId="4418BB38" w14:textId="77777777" w:rsidR="00FD3646" w:rsidRPr="00FD3646" w:rsidRDefault="00FD3646" w:rsidP="00FD3646">
      <w:pPr>
        <w:spacing w:line="240" w:lineRule="auto"/>
        <w:rPr>
          <w:rFonts w:eastAsia="Times New Roman" w:cs="Arial"/>
          <w:color w:val="000000"/>
          <w:szCs w:val="20"/>
          <w:lang w:eastAsia="bg-BG"/>
        </w:rPr>
      </w:pPr>
    </w:p>
    <w:p w14:paraId="5A292E62" w14:textId="786E8CB4" w:rsidR="00FD3646" w:rsidRPr="00FD3646" w:rsidRDefault="00FD3646" w:rsidP="00FD3646">
      <w:pPr>
        <w:spacing w:line="240" w:lineRule="auto"/>
        <w:rPr>
          <w:rFonts w:eastAsia="Times New Roman" w:cs="Arial"/>
          <w:sz w:val="28"/>
          <w:szCs w:val="24"/>
          <w:lang w:eastAsia="bg-BG"/>
        </w:rPr>
      </w:pPr>
      <w:r w:rsidRPr="00FD3646">
        <w:rPr>
          <w:rFonts w:eastAsia="Times New Roman" w:cs="Arial"/>
          <w:color w:val="000000"/>
          <w:szCs w:val="20"/>
          <w:lang w:eastAsia="bg-BG"/>
        </w:rPr>
        <w:t>Хидрохлоротиазид преминава през плацентата. Предвид фармакологичния механизъм на действие на хидрохлоротиазид, неговата употреба по време на 2-ри и 3-ти триместьр на бременността може да причини фето-плацентарна исхемия и да предизвика фетални и неонатални ефекти, като иктер, нарушение на електролитния баланс и тромбоцитопения.</w:t>
      </w:r>
    </w:p>
    <w:p w14:paraId="569EBF93" w14:textId="77777777" w:rsidR="00FD3646" w:rsidRPr="00FD3646" w:rsidRDefault="00FD3646" w:rsidP="00FD3646">
      <w:pPr>
        <w:spacing w:line="240" w:lineRule="auto"/>
        <w:rPr>
          <w:rFonts w:eastAsia="Times New Roman" w:cs="Arial"/>
          <w:color w:val="000000"/>
          <w:szCs w:val="20"/>
          <w:lang w:eastAsia="bg-BG"/>
        </w:rPr>
      </w:pPr>
    </w:p>
    <w:p w14:paraId="78E55637" w14:textId="03D3277E" w:rsidR="00FD3646" w:rsidRPr="00FD3646" w:rsidRDefault="00FD3646" w:rsidP="00FD3646">
      <w:pPr>
        <w:spacing w:line="240" w:lineRule="auto"/>
        <w:rPr>
          <w:rFonts w:eastAsia="Times New Roman" w:cs="Arial"/>
          <w:sz w:val="28"/>
          <w:szCs w:val="24"/>
          <w:lang w:eastAsia="bg-BG"/>
        </w:rPr>
      </w:pPr>
      <w:r w:rsidRPr="00FD3646">
        <w:rPr>
          <w:rFonts w:eastAsia="Times New Roman" w:cs="Arial"/>
          <w:color w:val="000000"/>
          <w:szCs w:val="20"/>
          <w:lang w:eastAsia="bg-BG"/>
        </w:rPr>
        <w:t>Хидрохлоротиазид не трябва да се използва за лечение на гестационен едем, гестационна хипертония, без да има положителен ефект по отношение на заболяването.</w:t>
      </w:r>
    </w:p>
    <w:p w14:paraId="5BAF061B" w14:textId="77777777" w:rsidR="00FD3646" w:rsidRPr="00FD3646" w:rsidRDefault="00FD3646" w:rsidP="00FD3646">
      <w:pPr>
        <w:spacing w:line="240" w:lineRule="auto"/>
        <w:rPr>
          <w:rFonts w:eastAsia="Times New Roman" w:cs="Arial"/>
          <w:color w:val="000000"/>
          <w:szCs w:val="20"/>
          <w:lang w:eastAsia="bg-BG"/>
        </w:rPr>
      </w:pPr>
    </w:p>
    <w:p w14:paraId="11297C69" w14:textId="23284A16" w:rsidR="00FD3646" w:rsidRPr="00FD3646" w:rsidRDefault="00FD3646" w:rsidP="00FD3646">
      <w:pPr>
        <w:spacing w:line="240" w:lineRule="auto"/>
        <w:rPr>
          <w:rFonts w:eastAsia="Times New Roman" w:cs="Arial"/>
          <w:sz w:val="28"/>
          <w:szCs w:val="24"/>
          <w:lang w:eastAsia="bg-BG"/>
        </w:rPr>
      </w:pPr>
      <w:r w:rsidRPr="00FD3646">
        <w:rPr>
          <w:rFonts w:eastAsia="Times New Roman" w:cs="Arial"/>
          <w:color w:val="000000"/>
          <w:szCs w:val="20"/>
          <w:lang w:eastAsia="bg-BG"/>
        </w:rPr>
        <w:t>Хидрохлоротиазид не трябва да се използва за лечение на есенциална хипертония при бременни жени, освн в редките случаи, когато не може да се приложи друго лечение.</w:t>
      </w:r>
    </w:p>
    <w:p w14:paraId="23A170A1" w14:textId="77777777" w:rsidR="00FD3646" w:rsidRPr="00FD3646" w:rsidRDefault="00FD3646" w:rsidP="00FD3646">
      <w:pPr>
        <w:spacing w:line="240" w:lineRule="auto"/>
        <w:rPr>
          <w:rFonts w:eastAsia="Times New Roman" w:cs="Arial"/>
          <w:color w:val="000000"/>
          <w:szCs w:val="20"/>
          <w:u w:val="single"/>
          <w:lang w:eastAsia="bg-BG"/>
        </w:rPr>
      </w:pPr>
    </w:p>
    <w:p w14:paraId="7F968881" w14:textId="648A2B06" w:rsidR="00FD3646" w:rsidRPr="00615305" w:rsidRDefault="00FD3646" w:rsidP="00615305">
      <w:pPr>
        <w:pStyle w:val="Heading3"/>
        <w:rPr>
          <w:rFonts w:eastAsia="Times New Roman"/>
          <w:sz w:val="28"/>
          <w:u w:val="single"/>
          <w:lang w:eastAsia="bg-BG"/>
        </w:rPr>
      </w:pPr>
      <w:r w:rsidRPr="00615305">
        <w:rPr>
          <w:rFonts w:eastAsia="Times New Roman"/>
          <w:u w:val="single"/>
          <w:lang w:eastAsia="bg-BG"/>
        </w:rPr>
        <w:t>Кърмене</w:t>
      </w:r>
    </w:p>
    <w:p w14:paraId="2B0D0D1B" w14:textId="77777777" w:rsidR="00FD3646" w:rsidRPr="00FD3646" w:rsidRDefault="00FD3646" w:rsidP="00FD3646">
      <w:pPr>
        <w:spacing w:line="240" w:lineRule="auto"/>
        <w:rPr>
          <w:rFonts w:eastAsia="Times New Roman" w:cs="Arial"/>
          <w:b/>
          <w:bCs/>
          <w:color w:val="000000"/>
          <w:szCs w:val="20"/>
          <w:lang w:eastAsia="bg-BG"/>
        </w:rPr>
      </w:pPr>
      <w:bookmarkStart w:id="2" w:name="bookmark2"/>
    </w:p>
    <w:p w14:paraId="4CFFBE30" w14:textId="036A961A" w:rsidR="00FD3646" w:rsidRPr="00FD3646" w:rsidRDefault="00FD3646" w:rsidP="00FD3646">
      <w:pPr>
        <w:spacing w:line="240" w:lineRule="auto"/>
        <w:rPr>
          <w:rFonts w:eastAsia="Times New Roman" w:cs="Arial"/>
          <w:sz w:val="28"/>
          <w:szCs w:val="24"/>
          <w:lang w:eastAsia="bg-BG"/>
        </w:rPr>
      </w:pPr>
      <w:r w:rsidRPr="00FD3646">
        <w:rPr>
          <w:rFonts w:eastAsia="Times New Roman" w:cs="Arial"/>
          <w:b/>
          <w:bCs/>
          <w:color w:val="000000"/>
          <w:szCs w:val="20"/>
          <w:lang w:eastAsia="bg-BG"/>
        </w:rPr>
        <w:t>АСЕ -инхибитори</w:t>
      </w:r>
      <w:bookmarkEnd w:id="2"/>
    </w:p>
    <w:p w14:paraId="1513987F" w14:textId="77777777" w:rsidR="00FD3646" w:rsidRPr="00FD3646" w:rsidRDefault="00FD3646" w:rsidP="00FD3646">
      <w:pPr>
        <w:spacing w:line="240" w:lineRule="auto"/>
        <w:rPr>
          <w:rFonts w:eastAsia="Times New Roman" w:cs="Arial"/>
          <w:color w:val="000000"/>
          <w:szCs w:val="20"/>
          <w:lang w:eastAsia="bg-BG"/>
        </w:rPr>
      </w:pPr>
    </w:p>
    <w:p w14:paraId="0A302510" w14:textId="2EBC9E59" w:rsidR="00FD3646" w:rsidRPr="00FD3646" w:rsidRDefault="00FD3646" w:rsidP="00FD3646">
      <w:pPr>
        <w:spacing w:line="240" w:lineRule="auto"/>
        <w:rPr>
          <w:rFonts w:eastAsia="Times New Roman" w:cs="Arial"/>
          <w:sz w:val="28"/>
          <w:szCs w:val="24"/>
          <w:lang w:eastAsia="bg-BG"/>
        </w:rPr>
      </w:pPr>
      <w:r w:rsidRPr="00FD3646">
        <w:rPr>
          <w:rFonts w:eastAsia="Times New Roman" w:cs="Arial"/>
          <w:color w:val="000000"/>
          <w:szCs w:val="20"/>
          <w:lang w:eastAsia="bg-BG"/>
        </w:rPr>
        <w:t>Тъй като няма информация относно употребата на лизиноприл/хидрохлоротиазид в периода на кърмене, Кордакер Плюс не се препоръчва за употреба в този период, като се предпочита използването на алтернативна терапия с по-добре установен профил на безопасност, особено при кърмене на новородено или преждевременно родено дете.</w:t>
      </w:r>
    </w:p>
    <w:p w14:paraId="196EC409" w14:textId="77777777" w:rsidR="00FD3646" w:rsidRPr="00FD3646" w:rsidRDefault="00FD3646" w:rsidP="00FD3646">
      <w:pPr>
        <w:spacing w:line="240" w:lineRule="auto"/>
        <w:rPr>
          <w:rFonts w:eastAsia="Times New Roman" w:cs="Arial"/>
          <w:b/>
          <w:bCs/>
          <w:color w:val="000000"/>
          <w:szCs w:val="20"/>
          <w:lang w:eastAsia="bg-BG"/>
        </w:rPr>
      </w:pPr>
      <w:bookmarkStart w:id="3" w:name="bookmark4"/>
    </w:p>
    <w:p w14:paraId="740A8052" w14:textId="2BCE03A6" w:rsidR="00FD3646" w:rsidRPr="00FD3646" w:rsidRDefault="00FD3646" w:rsidP="00FD3646">
      <w:pPr>
        <w:spacing w:line="240" w:lineRule="auto"/>
        <w:rPr>
          <w:rFonts w:eastAsia="Times New Roman" w:cs="Arial"/>
          <w:sz w:val="28"/>
          <w:szCs w:val="24"/>
          <w:lang w:eastAsia="bg-BG"/>
        </w:rPr>
      </w:pPr>
      <w:r w:rsidRPr="00FD3646">
        <w:rPr>
          <w:rFonts w:eastAsia="Times New Roman" w:cs="Arial"/>
          <w:b/>
          <w:bCs/>
          <w:color w:val="000000"/>
          <w:szCs w:val="20"/>
          <w:lang w:eastAsia="bg-BG"/>
        </w:rPr>
        <w:t>Хидрохлоротиазид</w:t>
      </w:r>
      <w:bookmarkEnd w:id="3"/>
    </w:p>
    <w:p w14:paraId="7FB7B10E" w14:textId="77777777" w:rsidR="00FD3646" w:rsidRPr="00FD3646" w:rsidRDefault="00FD3646" w:rsidP="00FD3646">
      <w:pPr>
        <w:rPr>
          <w:rFonts w:eastAsia="Times New Roman" w:cs="Arial"/>
          <w:color w:val="000000"/>
          <w:szCs w:val="20"/>
          <w:lang w:eastAsia="bg-BG"/>
        </w:rPr>
      </w:pPr>
    </w:p>
    <w:p w14:paraId="0E0F5895" w14:textId="1C0D33B4" w:rsidR="00FD3646" w:rsidRDefault="00FD3646" w:rsidP="00FD3646">
      <w:pPr>
        <w:rPr>
          <w:rFonts w:eastAsia="Times New Roman" w:cs="Arial"/>
          <w:color w:val="000000"/>
          <w:szCs w:val="20"/>
          <w:lang w:eastAsia="bg-BG"/>
        </w:rPr>
      </w:pPr>
      <w:r w:rsidRPr="00FD3646">
        <w:rPr>
          <w:rFonts w:eastAsia="Times New Roman" w:cs="Arial"/>
          <w:color w:val="000000"/>
          <w:szCs w:val="20"/>
          <w:lang w:eastAsia="bg-BG"/>
        </w:rPr>
        <w:t>Хидрохлоротиазид се екскретира в кърмата в малки количества. Тиазидите във високи дози, предизвикващи интензивна диуреза може да инхибират производството на мляко. Не се препоръчва употребата на лизиноприл / хидрохлоротиазид по време на кърмене. Ако се използва по време на кърмене, дозите трябва да се държат възможно най-ниски.</w:t>
      </w:r>
    </w:p>
    <w:p w14:paraId="41854B18" w14:textId="77777777" w:rsidR="00FD3646" w:rsidRPr="00FD3646" w:rsidRDefault="00FD3646" w:rsidP="00FD3646">
      <w:pPr>
        <w:rPr>
          <w:rFonts w:cs="Arial"/>
          <w:sz w:val="28"/>
          <w:lang w:val="en-US"/>
        </w:rPr>
      </w:pPr>
    </w:p>
    <w:p w14:paraId="31B1DA8C" w14:textId="77777777" w:rsidR="00FD3646" w:rsidRPr="00FD3646" w:rsidRDefault="00FD3646" w:rsidP="00FD3646"/>
    <w:p w14:paraId="064DF1DE" w14:textId="319EB53B" w:rsidR="00CF77F7" w:rsidRDefault="002C50EE" w:rsidP="004A448E">
      <w:pPr>
        <w:pStyle w:val="Heading2"/>
      </w:pPr>
      <w:r>
        <w:t>4.7. Ефекти върху способността за шофиране и работа с машини</w:t>
      </w:r>
    </w:p>
    <w:p w14:paraId="309B6649" w14:textId="54AFCDCB" w:rsidR="00FD3646" w:rsidRDefault="00FD3646" w:rsidP="00FD3646"/>
    <w:p w14:paraId="21C1ED08" w14:textId="77777777" w:rsidR="00FD3646" w:rsidRPr="00FD3646" w:rsidRDefault="00FD3646" w:rsidP="00FD3646">
      <w:pPr>
        <w:spacing w:line="240" w:lineRule="auto"/>
        <w:rPr>
          <w:rFonts w:eastAsia="Times New Roman" w:cs="Arial"/>
          <w:sz w:val="28"/>
          <w:szCs w:val="24"/>
          <w:lang w:eastAsia="bg-BG"/>
        </w:rPr>
      </w:pPr>
      <w:r w:rsidRPr="00FD3646">
        <w:rPr>
          <w:rFonts w:eastAsia="Times New Roman" w:cs="Arial"/>
          <w:color w:val="000000"/>
          <w:szCs w:val="20"/>
          <w:lang w:eastAsia="bg-BG"/>
        </w:rPr>
        <w:t>Както и при други антихипертензивни лекарствени продукти, комбинацията лизиноприл/хидрохлоротиазид може да има лек до умерен ефект по отношение на способността за шофиране и работа с машини. Това е по-вероятно при започване на терапията, при промяна на дозата или при едновременна употреба на алкохол, като зависи от индивидуалната чувствителност.</w:t>
      </w:r>
    </w:p>
    <w:p w14:paraId="2E66DF24" w14:textId="77777777" w:rsidR="00FD3646" w:rsidRPr="00FD3646" w:rsidRDefault="00FD3646" w:rsidP="00FD3646">
      <w:pPr>
        <w:rPr>
          <w:rFonts w:eastAsia="Times New Roman" w:cs="Arial"/>
          <w:color w:val="000000"/>
          <w:szCs w:val="20"/>
          <w:lang w:eastAsia="bg-BG"/>
        </w:rPr>
      </w:pPr>
    </w:p>
    <w:p w14:paraId="0E11CFC8" w14:textId="38C376C4" w:rsidR="00FD3646" w:rsidRDefault="00FD3646" w:rsidP="00FD3646">
      <w:pPr>
        <w:rPr>
          <w:rFonts w:eastAsia="Times New Roman" w:cs="Arial"/>
          <w:color w:val="000000"/>
          <w:szCs w:val="20"/>
          <w:lang w:eastAsia="bg-BG"/>
        </w:rPr>
      </w:pPr>
      <w:r w:rsidRPr="00FD3646">
        <w:rPr>
          <w:rFonts w:eastAsia="Times New Roman" w:cs="Arial"/>
          <w:color w:val="000000"/>
          <w:szCs w:val="20"/>
          <w:lang w:eastAsia="bg-BG"/>
        </w:rPr>
        <w:t>При шофиране или работа с машини трябва да се има предвид, че понякога могат да се наблюдават замайване или умора.</w:t>
      </w:r>
    </w:p>
    <w:p w14:paraId="317028CF" w14:textId="27769269" w:rsidR="00FD3646" w:rsidRPr="00FD3646" w:rsidRDefault="00FD3646" w:rsidP="00FD3646"/>
    <w:p w14:paraId="37A3FD9F" w14:textId="0ADB974C" w:rsidR="00CF77F7" w:rsidRDefault="002C50EE" w:rsidP="004A448E">
      <w:pPr>
        <w:pStyle w:val="Heading2"/>
      </w:pPr>
      <w:r>
        <w:t>4.8. Нежелани лекарствени реакции</w:t>
      </w:r>
    </w:p>
    <w:p w14:paraId="2547E739" w14:textId="527E3A6A" w:rsidR="00FD3646" w:rsidRDefault="00FD3646" w:rsidP="00FD3646"/>
    <w:p w14:paraId="38FF1290" w14:textId="77777777" w:rsidR="00FD3646" w:rsidRPr="00FD3646" w:rsidRDefault="00FD3646" w:rsidP="00FD3646">
      <w:pPr>
        <w:spacing w:line="240" w:lineRule="auto"/>
        <w:rPr>
          <w:rFonts w:eastAsia="Times New Roman" w:cs="Arial"/>
          <w:sz w:val="28"/>
          <w:szCs w:val="24"/>
          <w:lang w:eastAsia="bg-BG"/>
        </w:rPr>
      </w:pPr>
      <w:r w:rsidRPr="00FD3646">
        <w:rPr>
          <w:rFonts w:eastAsia="Times New Roman" w:cs="Arial"/>
          <w:color w:val="000000"/>
          <w:szCs w:val="20"/>
          <w:lang w:eastAsia="bg-BG"/>
        </w:rPr>
        <w:t>Следните нежелани реакции са наблюдавани и описани в хода на лечение с</w:t>
      </w:r>
    </w:p>
    <w:p w14:paraId="2C77EE7D" w14:textId="77777777" w:rsidR="00FD3646" w:rsidRPr="00FD3646" w:rsidRDefault="00FD3646" w:rsidP="00FD3646">
      <w:pPr>
        <w:spacing w:line="240" w:lineRule="auto"/>
        <w:rPr>
          <w:rFonts w:eastAsia="Times New Roman" w:cs="Arial"/>
          <w:sz w:val="28"/>
          <w:szCs w:val="24"/>
          <w:lang w:eastAsia="bg-BG"/>
        </w:rPr>
      </w:pPr>
      <w:r w:rsidRPr="00FD3646">
        <w:rPr>
          <w:rFonts w:eastAsia="Times New Roman" w:cs="Arial"/>
          <w:color w:val="000000"/>
          <w:szCs w:val="20"/>
          <w:lang w:eastAsia="bg-BG"/>
        </w:rPr>
        <w:t>лизиноприл/хидрохлоротиазид със съответната честота:</w:t>
      </w:r>
    </w:p>
    <w:p w14:paraId="1004F287" w14:textId="77777777" w:rsidR="00FD3646" w:rsidRPr="00FD3646" w:rsidRDefault="00FD3646" w:rsidP="00FD3646">
      <w:pPr>
        <w:spacing w:line="240" w:lineRule="auto"/>
        <w:rPr>
          <w:rFonts w:eastAsia="Times New Roman" w:cs="Arial"/>
          <w:sz w:val="28"/>
          <w:szCs w:val="24"/>
          <w:lang w:eastAsia="bg-BG"/>
        </w:rPr>
      </w:pPr>
      <w:r w:rsidRPr="00FD3646">
        <w:rPr>
          <w:rFonts w:eastAsia="Times New Roman" w:cs="Arial"/>
          <w:color w:val="000000"/>
          <w:szCs w:val="20"/>
          <w:lang w:eastAsia="bg-BG"/>
        </w:rPr>
        <w:t>много чести (≥1/10);</w:t>
      </w:r>
    </w:p>
    <w:p w14:paraId="28D8D29A" w14:textId="77777777" w:rsidR="00FD3646" w:rsidRPr="00FD3646" w:rsidRDefault="00FD3646" w:rsidP="00FD3646">
      <w:pPr>
        <w:spacing w:line="240" w:lineRule="auto"/>
        <w:rPr>
          <w:rFonts w:eastAsia="Times New Roman" w:cs="Arial"/>
          <w:sz w:val="28"/>
          <w:szCs w:val="24"/>
          <w:lang w:eastAsia="bg-BG"/>
        </w:rPr>
      </w:pPr>
      <w:r w:rsidRPr="00FD3646">
        <w:rPr>
          <w:rFonts w:eastAsia="Times New Roman" w:cs="Arial"/>
          <w:color w:val="000000"/>
          <w:szCs w:val="20"/>
          <w:lang w:eastAsia="bg-BG"/>
        </w:rPr>
        <w:t>чести (≥1/100</w:t>
      </w:r>
      <w:r w:rsidRPr="00FD3646">
        <w:rPr>
          <w:rFonts w:eastAsia="Times New Roman" w:cs="Arial"/>
          <w:color w:val="000000"/>
          <w:szCs w:val="20"/>
          <w:lang w:val="en-US"/>
        </w:rPr>
        <w:t xml:space="preserve"> </w:t>
      </w:r>
      <w:r w:rsidRPr="00FD3646">
        <w:rPr>
          <w:rFonts w:eastAsia="Times New Roman" w:cs="Arial"/>
          <w:color w:val="000000"/>
          <w:szCs w:val="20"/>
          <w:lang w:eastAsia="bg-BG"/>
        </w:rPr>
        <w:t>до &lt;1/10);</w:t>
      </w:r>
    </w:p>
    <w:p w14:paraId="21142235" w14:textId="77777777" w:rsidR="00FD3646" w:rsidRPr="00FD3646" w:rsidRDefault="00FD3646" w:rsidP="00FD3646">
      <w:pPr>
        <w:spacing w:line="240" w:lineRule="auto"/>
        <w:rPr>
          <w:rFonts w:eastAsia="Times New Roman" w:cs="Arial"/>
          <w:sz w:val="28"/>
          <w:szCs w:val="24"/>
          <w:lang w:eastAsia="bg-BG"/>
        </w:rPr>
      </w:pPr>
      <w:r w:rsidRPr="00FD3646">
        <w:rPr>
          <w:rFonts w:eastAsia="Times New Roman" w:cs="Arial"/>
          <w:color w:val="000000"/>
          <w:szCs w:val="20"/>
          <w:lang w:eastAsia="bg-BG"/>
        </w:rPr>
        <w:t>нечести (≥ 1/1000 до &lt; 1 /100);</w:t>
      </w:r>
      <w:r w:rsidRPr="00FD3646">
        <w:rPr>
          <w:rFonts w:eastAsia="Times New Roman" w:cs="Arial"/>
          <w:color w:val="000000"/>
          <w:szCs w:val="20"/>
          <w:lang w:eastAsia="bg-BG"/>
        </w:rPr>
        <w:tab/>
      </w:r>
    </w:p>
    <w:p w14:paraId="1C7110F1" w14:textId="77777777" w:rsidR="00FD3646" w:rsidRPr="00FD3646" w:rsidRDefault="00FD3646" w:rsidP="00FD3646">
      <w:pPr>
        <w:spacing w:line="240" w:lineRule="auto"/>
        <w:rPr>
          <w:rFonts w:eastAsia="Times New Roman" w:cs="Arial"/>
          <w:sz w:val="28"/>
          <w:szCs w:val="24"/>
          <w:lang w:eastAsia="bg-BG"/>
        </w:rPr>
      </w:pPr>
      <w:r w:rsidRPr="00FD3646">
        <w:rPr>
          <w:rFonts w:eastAsia="Times New Roman" w:cs="Arial"/>
          <w:color w:val="000000"/>
          <w:szCs w:val="20"/>
          <w:lang w:eastAsia="bg-BG"/>
        </w:rPr>
        <w:t>редки (≥1/10000 до &lt;1/1000);</w:t>
      </w:r>
    </w:p>
    <w:p w14:paraId="217E3C44" w14:textId="18FA9583" w:rsidR="00FD3646" w:rsidRDefault="00FD3646" w:rsidP="00FD3646">
      <w:pPr>
        <w:rPr>
          <w:rFonts w:eastAsia="Times New Roman" w:cs="Arial"/>
          <w:color w:val="000000"/>
          <w:szCs w:val="20"/>
          <w:lang w:eastAsia="bg-BG"/>
        </w:rPr>
      </w:pPr>
      <w:r w:rsidRPr="00FD3646">
        <w:rPr>
          <w:rFonts w:eastAsia="Times New Roman" w:cs="Arial"/>
          <w:color w:val="000000"/>
          <w:szCs w:val="20"/>
          <w:lang w:eastAsia="bg-BG"/>
        </w:rPr>
        <w:t>много редки (&lt;1/10000);</w:t>
      </w:r>
    </w:p>
    <w:p w14:paraId="60467E4E" w14:textId="77777777" w:rsidR="00FD3646" w:rsidRDefault="00FD3646" w:rsidP="00FD3646">
      <w:pPr>
        <w:rPr>
          <w:rFonts w:eastAsia="Times New Roman" w:cs="Arial"/>
          <w:color w:val="000000"/>
          <w:szCs w:val="20"/>
          <w:lang w:eastAsia="bg-BG"/>
        </w:rPr>
      </w:pPr>
    </w:p>
    <w:p w14:paraId="0E287D53" w14:textId="77777777" w:rsidR="00FD3646" w:rsidRPr="00FD3646" w:rsidRDefault="00FD3646" w:rsidP="00FD3646">
      <w:pPr>
        <w:spacing w:line="240" w:lineRule="auto"/>
        <w:rPr>
          <w:rFonts w:eastAsia="Times New Roman" w:cs="Arial"/>
          <w:sz w:val="28"/>
          <w:szCs w:val="24"/>
          <w:lang w:eastAsia="bg-BG"/>
        </w:rPr>
      </w:pPr>
      <w:r w:rsidRPr="00FD3646">
        <w:rPr>
          <w:rFonts w:eastAsia="Times New Roman" w:cs="Arial"/>
          <w:color w:val="000000"/>
          <w:szCs w:val="20"/>
          <w:lang w:eastAsia="bg-BG"/>
        </w:rPr>
        <w:t>с неизвестна честота(от наличните данни не може да се направи оценка).</w:t>
      </w:r>
    </w:p>
    <w:p w14:paraId="2089284D" w14:textId="77777777" w:rsidR="00FD3646" w:rsidRPr="00FD3646" w:rsidRDefault="00FD3646" w:rsidP="00FD3646">
      <w:pPr>
        <w:spacing w:line="240" w:lineRule="auto"/>
        <w:rPr>
          <w:rFonts w:eastAsia="Times New Roman" w:cs="Arial"/>
          <w:color w:val="000000"/>
          <w:szCs w:val="20"/>
          <w:lang w:eastAsia="bg-BG"/>
        </w:rPr>
      </w:pPr>
    </w:p>
    <w:p w14:paraId="425CA175" w14:textId="01151311" w:rsidR="00FD3646" w:rsidRPr="00FD3646" w:rsidRDefault="00FD3646" w:rsidP="00FD3646">
      <w:pPr>
        <w:spacing w:line="240" w:lineRule="auto"/>
        <w:rPr>
          <w:rFonts w:eastAsia="Times New Roman" w:cs="Arial"/>
          <w:sz w:val="28"/>
          <w:szCs w:val="24"/>
          <w:lang w:eastAsia="bg-BG"/>
        </w:rPr>
      </w:pPr>
      <w:r w:rsidRPr="00FD3646">
        <w:rPr>
          <w:rFonts w:eastAsia="Times New Roman" w:cs="Arial"/>
          <w:color w:val="000000"/>
          <w:szCs w:val="20"/>
          <w:lang w:eastAsia="bg-BG"/>
        </w:rPr>
        <w:t>Най-често съобщаваните нежелани лекарствени реакции са кашлица, замайване, хипотензия и главоболие, които могат да се наблюдават при 1 до 10 % от пациентите. В клинични изпитвания, наблюдаваните нежелани ефекти, обикновено са били леки и преходни, като в повечето случаи не изискват прекратяване на лечението.</w:t>
      </w:r>
    </w:p>
    <w:p w14:paraId="03D442D8" w14:textId="77777777" w:rsidR="00FD3646" w:rsidRPr="00FD3646" w:rsidRDefault="00FD3646" w:rsidP="00FD3646">
      <w:pPr>
        <w:spacing w:line="240" w:lineRule="auto"/>
        <w:rPr>
          <w:rFonts w:eastAsia="Times New Roman" w:cs="Arial"/>
          <w:b/>
          <w:bCs/>
          <w:color w:val="000000"/>
          <w:szCs w:val="20"/>
          <w:lang w:eastAsia="bg-BG"/>
        </w:rPr>
      </w:pPr>
    </w:p>
    <w:p w14:paraId="76AAEA34" w14:textId="3AE87B70" w:rsidR="00FD3646" w:rsidRPr="00FD3646" w:rsidRDefault="00FD3646" w:rsidP="00FD3646">
      <w:pPr>
        <w:spacing w:line="240" w:lineRule="auto"/>
        <w:rPr>
          <w:rFonts w:eastAsia="Times New Roman" w:cs="Arial"/>
          <w:sz w:val="28"/>
          <w:szCs w:val="24"/>
          <w:lang w:eastAsia="bg-BG"/>
        </w:rPr>
      </w:pPr>
      <w:r w:rsidRPr="00FD3646">
        <w:rPr>
          <w:rFonts w:eastAsia="Times New Roman" w:cs="Arial"/>
          <w:b/>
          <w:bCs/>
          <w:color w:val="000000"/>
          <w:szCs w:val="20"/>
          <w:lang w:eastAsia="bg-BG"/>
        </w:rPr>
        <w:t>Лизиноприл;</w:t>
      </w:r>
    </w:p>
    <w:p w14:paraId="40424D32" w14:textId="77777777" w:rsidR="00FD3646" w:rsidRPr="00FD3646" w:rsidRDefault="00FD3646" w:rsidP="00FD3646">
      <w:pPr>
        <w:spacing w:line="240" w:lineRule="auto"/>
        <w:rPr>
          <w:rFonts w:eastAsia="Times New Roman" w:cs="Arial"/>
          <w:i/>
          <w:iCs/>
          <w:color w:val="000000"/>
          <w:szCs w:val="20"/>
          <w:u w:val="single"/>
          <w:lang w:eastAsia="bg-BG"/>
        </w:rPr>
      </w:pPr>
    </w:p>
    <w:p w14:paraId="15E7D1E4" w14:textId="0B686DA0" w:rsidR="00FD3646" w:rsidRPr="00FD3646" w:rsidRDefault="00FD3646" w:rsidP="00FD3646">
      <w:pPr>
        <w:spacing w:line="240" w:lineRule="auto"/>
        <w:rPr>
          <w:rFonts w:eastAsia="Times New Roman" w:cs="Arial"/>
          <w:sz w:val="28"/>
          <w:szCs w:val="24"/>
          <w:lang w:eastAsia="bg-BG"/>
        </w:rPr>
      </w:pPr>
      <w:r w:rsidRPr="00FD3646">
        <w:rPr>
          <w:rFonts w:eastAsia="Times New Roman" w:cs="Arial"/>
          <w:i/>
          <w:iCs/>
          <w:color w:val="000000"/>
          <w:szCs w:val="20"/>
          <w:u w:val="single"/>
          <w:lang w:eastAsia="bg-BG"/>
        </w:rPr>
        <w:t>Нарушения на кръвта и лимфната система:</w:t>
      </w:r>
    </w:p>
    <w:p w14:paraId="796BDB2F" w14:textId="77777777" w:rsidR="00FD3646" w:rsidRPr="00FD3646" w:rsidRDefault="00FD3646" w:rsidP="00FD3646">
      <w:pPr>
        <w:spacing w:line="240" w:lineRule="auto"/>
        <w:rPr>
          <w:rFonts w:eastAsia="Times New Roman" w:cs="Arial"/>
          <w:sz w:val="28"/>
          <w:szCs w:val="24"/>
          <w:lang w:eastAsia="bg-BG"/>
        </w:rPr>
      </w:pPr>
      <w:r w:rsidRPr="00FD3646">
        <w:rPr>
          <w:rFonts w:eastAsia="Times New Roman" w:cs="Arial"/>
          <w:color w:val="000000"/>
          <w:szCs w:val="20"/>
          <w:lang w:eastAsia="bg-BG"/>
        </w:rPr>
        <w:t>Редки: понижение на хемоглобина и хематокрита.</w:t>
      </w:r>
    </w:p>
    <w:p w14:paraId="39C4A597" w14:textId="77777777" w:rsidR="00FD3646" w:rsidRPr="00FD3646" w:rsidRDefault="00FD3646" w:rsidP="00FD3646">
      <w:pPr>
        <w:spacing w:line="240" w:lineRule="auto"/>
        <w:rPr>
          <w:rFonts w:eastAsia="Times New Roman" w:cs="Arial"/>
          <w:sz w:val="28"/>
          <w:szCs w:val="24"/>
          <w:lang w:eastAsia="bg-BG"/>
        </w:rPr>
      </w:pPr>
      <w:r w:rsidRPr="00FD3646">
        <w:rPr>
          <w:rFonts w:eastAsia="Times New Roman" w:cs="Arial"/>
          <w:color w:val="000000"/>
          <w:szCs w:val="20"/>
          <w:lang w:eastAsia="bg-BG"/>
        </w:rPr>
        <w:t>Много редки: потискане на костно-мозъчната функция, анемия, тромбоцитопения, левкопения, неутропения, агранулоцитоза (вж. точка 4.4), хемолитична анемия, лимфаденопатия, автоимунни заболявания.</w:t>
      </w:r>
    </w:p>
    <w:p w14:paraId="4F18142A" w14:textId="77777777" w:rsidR="00FD3646" w:rsidRPr="00FD3646" w:rsidRDefault="00FD3646" w:rsidP="00FD3646">
      <w:pPr>
        <w:spacing w:line="240" w:lineRule="auto"/>
        <w:rPr>
          <w:rFonts w:eastAsia="Times New Roman" w:cs="Arial"/>
          <w:i/>
          <w:iCs/>
          <w:color w:val="000000"/>
          <w:szCs w:val="20"/>
          <w:u w:val="single"/>
          <w:lang w:eastAsia="bg-BG"/>
        </w:rPr>
      </w:pPr>
    </w:p>
    <w:p w14:paraId="48117416" w14:textId="4A98483C" w:rsidR="00FD3646" w:rsidRPr="00FD3646" w:rsidRDefault="00FD3646" w:rsidP="00FD3646">
      <w:pPr>
        <w:spacing w:line="240" w:lineRule="auto"/>
        <w:rPr>
          <w:rFonts w:eastAsia="Times New Roman" w:cs="Arial"/>
          <w:sz w:val="28"/>
          <w:szCs w:val="24"/>
          <w:lang w:eastAsia="bg-BG"/>
        </w:rPr>
      </w:pPr>
      <w:r w:rsidRPr="00FD3646">
        <w:rPr>
          <w:rFonts w:eastAsia="Times New Roman" w:cs="Arial"/>
          <w:i/>
          <w:iCs/>
          <w:color w:val="000000"/>
          <w:szCs w:val="20"/>
          <w:u w:val="single"/>
          <w:lang w:eastAsia="bg-BG"/>
        </w:rPr>
        <w:t>Нарушения на имунната система</w:t>
      </w:r>
    </w:p>
    <w:p w14:paraId="609F4EDA" w14:textId="77777777" w:rsidR="00FD3646" w:rsidRPr="00FD3646" w:rsidRDefault="00FD3646" w:rsidP="00FD3646">
      <w:pPr>
        <w:spacing w:line="240" w:lineRule="auto"/>
        <w:rPr>
          <w:rFonts w:eastAsia="Times New Roman" w:cs="Arial"/>
          <w:sz w:val="28"/>
          <w:szCs w:val="24"/>
          <w:lang w:eastAsia="bg-BG"/>
        </w:rPr>
      </w:pPr>
      <w:r w:rsidRPr="00FD3646">
        <w:rPr>
          <w:rFonts w:eastAsia="Times New Roman" w:cs="Arial"/>
          <w:color w:val="000000"/>
          <w:szCs w:val="20"/>
          <w:lang w:eastAsia="bg-BG"/>
        </w:rPr>
        <w:t>С неизвестна честота: анафилактична/анафилактоидна реакция.</w:t>
      </w:r>
    </w:p>
    <w:p w14:paraId="1861F0E6" w14:textId="77777777" w:rsidR="00FD3646" w:rsidRPr="00FD3646" w:rsidRDefault="00FD3646" w:rsidP="00FD3646">
      <w:pPr>
        <w:spacing w:line="240" w:lineRule="auto"/>
        <w:rPr>
          <w:rFonts w:eastAsia="Times New Roman" w:cs="Arial"/>
          <w:i/>
          <w:iCs/>
          <w:color w:val="000000"/>
          <w:szCs w:val="20"/>
          <w:u w:val="single"/>
          <w:lang w:eastAsia="bg-BG"/>
        </w:rPr>
      </w:pPr>
    </w:p>
    <w:p w14:paraId="5AA0D962" w14:textId="69CA7E73" w:rsidR="00FD3646" w:rsidRPr="00FD3646" w:rsidRDefault="00FD3646" w:rsidP="00FD3646">
      <w:pPr>
        <w:spacing w:line="240" w:lineRule="auto"/>
        <w:rPr>
          <w:rFonts w:eastAsia="Times New Roman" w:cs="Arial"/>
          <w:sz w:val="28"/>
          <w:szCs w:val="24"/>
          <w:lang w:eastAsia="bg-BG"/>
        </w:rPr>
      </w:pPr>
      <w:r w:rsidRPr="00FD3646">
        <w:rPr>
          <w:rFonts w:eastAsia="Times New Roman" w:cs="Arial"/>
          <w:i/>
          <w:iCs/>
          <w:color w:val="000000"/>
          <w:szCs w:val="20"/>
          <w:u w:val="single"/>
          <w:lang w:eastAsia="bg-BG"/>
        </w:rPr>
        <w:t>Нарушения на ендокринната система</w:t>
      </w:r>
    </w:p>
    <w:p w14:paraId="67C07CC9" w14:textId="77777777" w:rsidR="00FD3646" w:rsidRPr="00FD3646" w:rsidRDefault="00FD3646" w:rsidP="00FD3646">
      <w:pPr>
        <w:spacing w:line="240" w:lineRule="auto"/>
        <w:rPr>
          <w:rFonts w:eastAsia="Times New Roman" w:cs="Arial"/>
          <w:sz w:val="28"/>
          <w:szCs w:val="24"/>
          <w:lang w:eastAsia="bg-BG"/>
        </w:rPr>
      </w:pPr>
      <w:r w:rsidRPr="00FD3646">
        <w:rPr>
          <w:rFonts w:eastAsia="Times New Roman" w:cs="Arial"/>
          <w:color w:val="000000"/>
          <w:szCs w:val="20"/>
          <w:lang w:eastAsia="bg-BG"/>
        </w:rPr>
        <w:t xml:space="preserve">Редки: синдром на необичайна секреция на антидиуретичен хормон </w:t>
      </w:r>
      <w:r w:rsidRPr="00FD3646">
        <w:rPr>
          <w:rFonts w:eastAsia="Times New Roman" w:cs="Arial"/>
          <w:color w:val="000000"/>
          <w:szCs w:val="20"/>
          <w:lang w:val="en-US"/>
        </w:rPr>
        <w:t>(SIADH).</w:t>
      </w:r>
    </w:p>
    <w:p w14:paraId="00CD1AE2" w14:textId="77777777" w:rsidR="00FD3646" w:rsidRPr="00FD3646" w:rsidRDefault="00FD3646" w:rsidP="00FD3646">
      <w:pPr>
        <w:spacing w:line="240" w:lineRule="auto"/>
        <w:rPr>
          <w:rFonts w:eastAsia="Times New Roman" w:cs="Arial"/>
          <w:i/>
          <w:iCs/>
          <w:color w:val="000000"/>
          <w:szCs w:val="20"/>
          <w:u w:val="single"/>
          <w:lang w:eastAsia="bg-BG"/>
        </w:rPr>
      </w:pPr>
    </w:p>
    <w:p w14:paraId="5E801258" w14:textId="00636959" w:rsidR="00FD3646" w:rsidRPr="00FD3646" w:rsidRDefault="00FD3646" w:rsidP="00FD3646">
      <w:pPr>
        <w:spacing w:line="240" w:lineRule="auto"/>
        <w:rPr>
          <w:rFonts w:eastAsia="Times New Roman" w:cs="Arial"/>
          <w:sz w:val="28"/>
          <w:szCs w:val="24"/>
          <w:lang w:eastAsia="bg-BG"/>
        </w:rPr>
      </w:pPr>
      <w:r w:rsidRPr="00FD3646">
        <w:rPr>
          <w:rFonts w:eastAsia="Times New Roman" w:cs="Arial"/>
          <w:i/>
          <w:iCs/>
          <w:color w:val="000000"/>
          <w:szCs w:val="20"/>
          <w:u w:val="single"/>
          <w:lang w:eastAsia="bg-BG"/>
        </w:rPr>
        <w:t>Нарушения на метаболизма и храненето</w:t>
      </w:r>
    </w:p>
    <w:p w14:paraId="724CA650" w14:textId="77777777" w:rsidR="00FD3646" w:rsidRPr="00FD3646" w:rsidRDefault="00FD3646" w:rsidP="00FD3646">
      <w:pPr>
        <w:spacing w:line="240" w:lineRule="auto"/>
        <w:rPr>
          <w:rFonts w:eastAsia="Times New Roman" w:cs="Arial"/>
          <w:sz w:val="28"/>
          <w:szCs w:val="24"/>
          <w:lang w:eastAsia="bg-BG"/>
        </w:rPr>
      </w:pPr>
      <w:r w:rsidRPr="00FD3646">
        <w:rPr>
          <w:rFonts w:eastAsia="Times New Roman" w:cs="Arial"/>
          <w:color w:val="000000"/>
          <w:szCs w:val="20"/>
          <w:lang w:eastAsia="bg-BG"/>
        </w:rPr>
        <w:t>Много редки: хипогликемия.</w:t>
      </w:r>
    </w:p>
    <w:p w14:paraId="54C427DB" w14:textId="77777777" w:rsidR="00FD3646" w:rsidRPr="00FD3646" w:rsidRDefault="00FD3646" w:rsidP="00FD3646">
      <w:pPr>
        <w:spacing w:line="240" w:lineRule="auto"/>
        <w:rPr>
          <w:rFonts w:eastAsia="Times New Roman" w:cs="Arial"/>
          <w:i/>
          <w:iCs/>
          <w:color w:val="000000"/>
          <w:szCs w:val="20"/>
          <w:u w:val="single"/>
          <w:lang w:eastAsia="bg-BG"/>
        </w:rPr>
      </w:pPr>
    </w:p>
    <w:p w14:paraId="01953DEF" w14:textId="578CEF46" w:rsidR="00FD3646" w:rsidRPr="00FD3646" w:rsidRDefault="00FD3646" w:rsidP="00FD3646">
      <w:pPr>
        <w:spacing w:line="240" w:lineRule="auto"/>
        <w:rPr>
          <w:rFonts w:eastAsia="Times New Roman" w:cs="Arial"/>
          <w:sz w:val="28"/>
          <w:szCs w:val="24"/>
          <w:lang w:eastAsia="bg-BG"/>
        </w:rPr>
      </w:pPr>
      <w:r w:rsidRPr="00FD3646">
        <w:rPr>
          <w:rFonts w:eastAsia="Times New Roman" w:cs="Arial"/>
          <w:i/>
          <w:iCs/>
          <w:color w:val="000000"/>
          <w:szCs w:val="20"/>
          <w:u w:val="single"/>
          <w:lang w:eastAsia="bg-BG"/>
        </w:rPr>
        <w:t>Психични нарушения и нарушения на нервната система</w:t>
      </w:r>
    </w:p>
    <w:p w14:paraId="55759878" w14:textId="77777777" w:rsidR="00FD3646" w:rsidRPr="00FD3646" w:rsidRDefault="00FD3646" w:rsidP="00FD3646">
      <w:pPr>
        <w:spacing w:line="240" w:lineRule="auto"/>
        <w:rPr>
          <w:rFonts w:eastAsia="Times New Roman" w:cs="Arial"/>
          <w:sz w:val="28"/>
          <w:szCs w:val="24"/>
          <w:lang w:eastAsia="bg-BG"/>
        </w:rPr>
      </w:pPr>
      <w:r w:rsidRPr="00FD3646">
        <w:rPr>
          <w:rFonts w:eastAsia="Times New Roman" w:cs="Arial"/>
          <w:color w:val="000000"/>
          <w:szCs w:val="20"/>
          <w:lang w:eastAsia="bg-BG"/>
        </w:rPr>
        <w:t>Чести: замайване, главоболие, синкоп,</w:t>
      </w:r>
    </w:p>
    <w:p w14:paraId="1B67189A" w14:textId="77777777" w:rsidR="00FD3646" w:rsidRPr="00FD3646" w:rsidRDefault="00FD3646" w:rsidP="00FD3646">
      <w:pPr>
        <w:spacing w:line="240" w:lineRule="auto"/>
        <w:rPr>
          <w:rFonts w:eastAsia="Times New Roman" w:cs="Arial"/>
          <w:sz w:val="28"/>
          <w:szCs w:val="24"/>
          <w:lang w:eastAsia="bg-BG"/>
        </w:rPr>
      </w:pPr>
      <w:r w:rsidRPr="00FD3646">
        <w:rPr>
          <w:rFonts w:eastAsia="Times New Roman" w:cs="Arial"/>
          <w:color w:val="000000"/>
          <w:szCs w:val="20"/>
          <w:lang w:eastAsia="bg-BG"/>
        </w:rPr>
        <w:t>Нечести: парестезия, вертиго, нарушения на съня, нарушения във вкуса, симптоми на депресия, промени на настроението.</w:t>
      </w:r>
    </w:p>
    <w:p w14:paraId="5D278530" w14:textId="77777777" w:rsidR="00FD3646" w:rsidRPr="00FD3646" w:rsidRDefault="00FD3646" w:rsidP="00FD3646">
      <w:pPr>
        <w:spacing w:line="240" w:lineRule="auto"/>
        <w:rPr>
          <w:rFonts w:eastAsia="Times New Roman" w:cs="Arial"/>
          <w:sz w:val="28"/>
          <w:szCs w:val="24"/>
          <w:lang w:eastAsia="bg-BG"/>
        </w:rPr>
      </w:pPr>
      <w:r w:rsidRPr="00FD3646">
        <w:rPr>
          <w:rFonts w:eastAsia="Times New Roman" w:cs="Arial"/>
          <w:color w:val="000000"/>
          <w:szCs w:val="20"/>
          <w:lang w:eastAsia="bg-BG"/>
        </w:rPr>
        <w:t>Редки: нарушение на обонянието, обърканост.</w:t>
      </w:r>
    </w:p>
    <w:p w14:paraId="502D79F3" w14:textId="77777777" w:rsidR="00FD3646" w:rsidRPr="00FD3646" w:rsidRDefault="00FD3646" w:rsidP="00FD3646">
      <w:pPr>
        <w:spacing w:line="240" w:lineRule="auto"/>
        <w:rPr>
          <w:rFonts w:eastAsia="Times New Roman" w:cs="Arial"/>
          <w:sz w:val="28"/>
          <w:szCs w:val="24"/>
          <w:lang w:eastAsia="bg-BG"/>
        </w:rPr>
      </w:pPr>
      <w:r w:rsidRPr="00FD3646">
        <w:rPr>
          <w:rFonts w:eastAsia="Times New Roman" w:cs="Arial"/>
          <w:color w:val="000000"/>
          <w:szCs w:val="20"/>
          <w:lang w:eastAsia="bg-BG"/>
        </w:rPr>
        <w:t>С неизвестна честота: халюцинации.</w:t>
      </w:r>
    </w:p>
    <w:p w14:paraId="3DC84BDA" w14:textId="77777777" w:rsidR="00FD3646" w:rsidRPr="00FD3646" w:rsidRDefault="00FD3646" w:rsidP="00FD3646">
      <w:pPr>
        <w:spacing w:line="240" w:lineRule="auto"/>
        <w:rPr>
          <w:rFonts w:eastAsia="Times New Roman" w:cs="Arial"/>
          <w:i/>
          <w:iCs/>
          <w:color w:val="000000"/>
          <w:szCs w:val="20"/>
          <w:u w:val="single"/>
          <w:lang w:eastAsia="bg-BG"/>
        </w:rPr>
      </w:pPr>
    </w:p>
    <w:p w14:paraId="7BAC2E40" w14:textId="0439F067" w:rsidR="00FD3646" w:rsidRPr="00FD3646" w:rsidRDefault="00FD3646" w:rsidP="00FD3646">
      <w:pPr>
        <w:spacing w:line="240" w:lineRule="auto"/>
        <w:rPr>
          <w:rFonts w:eastAsia="Times New Roman" w:cs="Arial"/>
          <w:sz w:val="28"/>
          <w:szCs w:val="24"/>
          <w:lang w:eastAsia="bg-BG"/>
        </w:rPr>
      </w:pPr>
      <w:r w:rsidRPr="00FD3646">
        <w:rPr>
          <w:rFonts w:eastAsia="Times New Roman" w:cs="Arial"/>
          <w:i/>
          <w:iCs/>
          <w:color w:val="000000"/>
          <w:szCs w:val="20"/>
          <w:u w:val="single"/>
          <w:lang w:eastAsia="bg-BG"/>
        </w:rPr>
        <w:t>Сърдечни и съдови нарушения</w:t>
      </w:r>
    </w:p>
    <w:p w14:paraId="17773853" w14:textId="77777777" w:rsidR="00FD3646" w:rsidRPr="00FD3646" w:rsidRDefault="00FD3646" w:rsidP="00FD3646">
      <w:pPr>
        <w:spacing w:line="240" w:lineRule="auto"/>
        <w:rPr>
          <w:rFonts w:eastAsia="Times New Roman" w:cs="Arial"/>
          <w:sz w:val="28"/>
          <w:szCs w:val="24"/>
          <w:lang w:eastAsia="bg-BG"/>
        </w:rPr>
      </w:pPr>
      <w:r w:rsidRPr="00FD3646">
        <w:rPr>
          <w:rFonts w:eastAsia="Times New Roman" w:cs="Arial"/>
          <w:color w:val="000000"/>
          <w:szCs w:val="20"/>
          <w:lang w:eastAsia="bg-BG"/>
        </w:rPr>
        <w:t>Чести: ортостатични ефекти (включително ортостатична хипотония).</w:t>
      </w:r>
    </w:p>
    <w:p w14:paraId="53B8915B" w14:textId="77777777" w:rsidR="00FD3646" w:rsidRPr="00FD3646" w:rsidRDefault="00FD3646" w:rsidP="00FD3646">
      <w:pPr>
        <w:spacing w:line="240" w:lineRule="auto"/>
        <w:rPr>
          <w:rFonts w:eastAsia="Times New Roman" w:cs="Arial"/>
          <w:sz w:val="28"/>
          <w:szCs w:val="24"/>
          <w:lang w:eastAsia="bg-BG"/>
        </w:rPr>
      </w:pPr>
      <w:r w:rsidRPr="00FD3646">
        <w:rPr>
          <w:rFonts w:eastAsia="Times New Roman" w:cs="Arial"/>
          <w:color w:val="000000"/>
          <w:szCs w:val="20"/>
          <w:lang w:eastAsia="bg-BG"/>
        </w:rPr>
        <w:t xml:space="preserve">Нечести: миокарден инфаркт или мозъчно-съдови инциденти, вероятно вторични, поради елсцесивна хипотония при високо рискови пациенти (вж. точка 4.4), палпитации, тахикардия, синдром на </w:t>
      </w:r>
      <w:r w:rsidRPr="00FD3646">
        <w:rPr>
          <w:rFonts w:eastAsia="Times New Roman" w:cs="Arial"/>
          <w:color w:val="000000"/>
          <w:szCs w:val="20"/>
          <w:lang w:val="en-US"/>
        </w:rPr>
        <w:t>Raynaud.</w:t>
      </w:r>
    </w:p>
    <w:p w14:paraId="6AAD3BA7" w14:textId="77777777" w:rsidR="00FD3646" w:rsidRPr="00FD3646" w:rsidRDefault="00FD3646" w:rsidP="00FD3646">
      <w:pPr>
        <w:spacing w:line="240" w:lineRule="auto"/>
        <w:rPr>
          <w:rFonts w:eastAsia="Times New Roman" w:cs="Arial"/>
          <w:sz w:val="28"/>
          <w:szCs w:val="24"/>
          <w:lang w:eastAsia="bg-BG"/>
        </w:rPr>
      </w:pPr>
      <w:r w:rsidRPr="00FD3646">
        <w:rPr>
          <w:rFonts w:eastAsia="Times New Roman" w:cs="Arial"/>
          <w:color w:val="000000"/>
          <w:szCs w:val="20"/>
          <w:lang w:eastAsia="bg-BG"/>
        </w:rPr>
        <w:t>С неисвестна честота: зачервяване.</w:t>
      </w:r>
    </w:p>
    <w:p w14:paraId="1150D1F5" w14:textId="77777777" w:rsidR="00FD3646" w:rsidRPr="00FD3646" w:rsidRDefault="00FD3646" w:rsidP="00FD3646">
      <w:pPr>
        <w:spacing w:line="240" w:lineRule="auto"/>
        <w:rPr>
          <w:rFonts w:eastAsia="Times New Roman" w:cs="Arial"/>
          <w:i/>
          <w:iCs/>
          <w:color w:val="000000"/>
          <w:szCs w:val="20"/>
          <w:u w:val="single"/>
          <w:lang w:eastAsia="bg-BG"/>
        </w:rPr>
      </w:pPr>
    </w:p>
    <w:p w14:paraId="12D66F94" w14:textId="4812B905" w:rsidR="00FD3646" w:rsidRPr="00FD3646" w:rsidRDefault="00FD3646" w:rsidP="00FD3646">
      <w:pPr>
        <w:spacing w:line="240" w:lineRule="auto"/>
        <w:rPr>
          <w:rFonts w:eastAsia="Times New Roman" w:cs="Arial"/>
          <w:sz w:val="28"/>
          <w:szCs w:val="24"/>
          <w:lang w:eastAsia="bg-BG"/>
        </w:rPr>
      </w:pPr>
      <w:r w:rsidRPr="00FD3646">
        <w:rPr>
          <w:rFonts w:eastAsia="Times New Roman" w:cs="Arial"/>
          <w:i/>
          <w:iCs/>
          <w:color w:val="000000"/>
          <w:szCs w:val="20"/>
          <w:u w:val="single"/>
          <w:lang w:eastAsia="bg-BG"/>
        </w:rPr>
        <w:t>Респираторни гръдни и медиастинални нарушения</w:t>
      </w:r>
    </w:p>
    <w:p w14:paraId="4783488C" w14:textId="77777777" w:rsidR="00FD3646" w:rsidRPr="00FD3646" w:rsidRDefault="00FD3646" w:rsidP="00FD3646">
      <w:pPr>
        <w:spacing w:line="240" w:lineRule="auto"/>
        <w:rPr>
          <w:rFonts w:eastAsia="Times New Roman" w:cs="Arial"/>
          <w:sz w:val="28"/>
          <w:szCs w:val="24"/>
          <w:lang w:eastAsia="bg-BG"/>
        </w:rPr>
      </w:pPr>
      <w:r w:rsidRPr="00FD3646">
        <w:rPr>
          <w:rFonts w:eastAsia="Times New Roman" w:cs="Arial"/>
          <w:color w:val="000000"/>
          <w:szCs w:val="20"/>
          <w:lang w:eastAsia="bg-BG"/>
        </w:rPr>
        <w:lastRenderedPageBreak/>
        <w:t>Чести: кашлица (вж. точка 4.4).</w:t>
      </w:r>
    </w:p>
    <w:p w14:paraId="1282FD27" w14:textId="77777777" w:rsidR="00FD3646" w:rsidRPr="00FD3646" w:rsidRDefault="00FD3646" w:rsidP="00FD3646">
      <w:pPr>
        <w:spacing w:line="240" w:lineRule="auto"/>
        <w:rPr>
          <w:rFonts w:eastAsia="Times New Roman" w:cs="Arial"/>
          <w:sz w:val="28"/>
          <w:szCs w:val="24"/>
          <w:lang w:eastAsia="bg-BG"/>
        </w:rPr>
      </w:pPr>
      <w:r w:rsidRPr="00FD3646">
        <w:rPr>
          <w:rFonts w:eastAsia="Times New Roman" w:cs="Arial"/>
          <w:color w:val="000000"/>
          <w:szCs w:val="20"/>
          <w:lang w:eastAsia="bg-BG"/>
        </w:rPr>
        <w:t>Нечести: ринит.</w:t>
      </w:r>
    </w:p>
    <w:p w14:paraId="46366FEC" w14:textId="77777777" w:rsidR="00FD3646" w:rsidRPr="00FD3646" w:rsidRDefault="00FD3646" w:rsidP="00FD3646">
      <w:pPr>
        <w:spacing w:line="240" w:lineRule="auto"/>
        <w:rPr>
          <w:rFonts w:eastAsia="Times New Roman" w:cs="Arial"/>
          <w:sz w:val="28"/>
          <w:szCs w:val="24"/>
          <w:lang w:eastAsia="bg-BG"/>
        </w:rPr>
      </w:pPr>
      <w:r w:rsidRPr="00FD3646">
        <w:rPr>
          <w:rFonts w:eastAsia="Times New Roman" w:cs="Arial"/>
          <w:color w:val="000000"/>
          <w:szCs w:val="20"/>
          <w:lang w:eastAsia="bg-BG"/>
        </w:rPr>
        <w:t>Много редки: бронхоспазъм, синузит, алергичен алвеолит / еозинофилна пневмония.</w:t>
      </w:r>
    </w:p>
    <w:p w14:paraId="024B09F9" w14:textId="77777777" w:rsidR="00FD3646" w:rsidRPr="00FD3646" w:rsidRDefault="00FD3646" w:rsidP="00FD3646">
      <w:pPr>
        <w:spacing w:line="240" w:lineRule="auto"/>
        <w:rPr>
          <w:rFonts w:eastAsia="Times New Roman" w:cs="Arial"/>
          <w:i/>
          <w:iCs/>
          <w:color w:val="000000"/>
          <w:szCs w:val="20"/>
          <w:u w:val="single"/>
          <w:lang w:eastAsia="bg-BG"/>
        </w:rPr>
      </w:pPr>
    </w:p>
    <w:p w14:paraId="317097C3" w14:textId="64934F03" w:rsidR="00FD3646" w:rsidRPr="00FD3646" w:rsidRDefault="00FD3646" w:rsidP="00FD3646">
      <w:pPr>
        <w:spacing w:line="240" w:lineRule="auto"/>
        <w:rPr>
          <w:rFonts w:eastAsia="Times New Roman" w:cs="Arial"/>
          <w:sz w:val="28"/>
          <w:szCs w:val="24"/>
          <w:lang w:eastAsia="bg-BG"/>
        </w:rPr>
      </w:pPr>
      <w:r w:rsidRPr="00FD3646">
        <w:rPr>
          <w:rFonts w:eastAsia="Times New Roman" w:cs="Arial"/>
          <w:i/>
          <w:iCs/>
          <w:color w:val="000000"/>
          <w:szCs w:val="20"/>
          <w:u w:val="single"/>
          <w:lang w:eastAsia="bg-BG"/>
        </w:rPr>
        <w:t>Стомашно-чревни нарушения</w:t>
      </w:r>
    </w:p>
    <w:p w14:paraId="477AE450" w14:textId="77777777" w:rsidR="00FD3646" w:rsidRPr="00FD3646" w:rsidRDefault="00FD3646" w:rsidP="00FD3646">
      <w:pPr>
        <w:spacing w:line="240" w:lineRule="auto"/>
        <w:rPr>
          <w:rFonts w:eastAsia="Times New Roman" w:cs="Arial"/>
          <w:sz w:val="28"/>
          <w:szCs w:val="24"/>
          <w:lang w:eastAsia="bg-BG"/>
        </w:rPr>
      </w:pPr>
      <w:r w:rsidRPr="00FD3646">
        <w:rPr>
          <w:rFonts w:eastAsia="Times New Roman" w:cs="Arial"/>
          <w:color w:val="000000"/>
          <w:szCs w:val="20"/>
          <w:lang w:eastAsia="bg-BG"/>
        </w:rPr>
        <w:t>Чести: диария, повръщане.</w:t>
      </w:r>
    </w:p>
    <w:p w14:paraId="5095AE0C" w14:textId="77777777" w:rsidR="00FD3646" w:rsidRPr="00FD3646" w:rsidRDefault="00FD3646" w:rsidP="00FD3646">
      <w:pPr>
        <w:spacing w:line="240" w:lineRule="auto"/>
        <w:rPr>
          <w:rFonts w:eastAsia="Times New Roman" w:cs="Arial"/>
          <w:sz w:val="28"/>
          <w:szCs w:val="24"/>
          <w:lang w:eastAsia="bg-BG"/>
        </w:rPr>
      </w:pPr>
      <w:r w:rsidRPr="00FD3646">
        <w:rPr>
          <w:rFonts w:eastAsia="Times New Roman" w:cs="Arial"/>
          <w:color w:val="000000"/>
          <w:szCs w:val="20"/>
          <w:lang w:eastAsia="bg-BG"/>
        </w:rPr>
        <w:t>Нечести: гадене, абдоминална болка, нарушения на храносмилането.</w:t>
      </w:r>
    </w:p>
    <w:p w14:paraId="1942EC29" w14:textId="77777777" w:rsidR="00FD3646" w:rsidRPr="00FD3646" w:rsidRDefault="00FD3646" w:rsidP="00FD3646">
      <w:pPr>
        <w:spacing w:line="240" w:lineRule="auto"/>
        <w:rPr>
          <w:rFonts w:eastAsia="Times New Roman" w:cs="Arial"/>
          <w:sz w:val="28"/>
          <w:szCs w:val="24"/>
          <w:lang w:eastAsia="bg-BG"/>
        </w:rPr>
      </w:pPr>
      <w:r w:rsidRPr="00FD3646">
        <w:rPr>
          <w:rFonts w:eastAsia="Times New Roman" w:cs="Arial"/>
          <w:color w:val="000000"/>
          <w:szCs w:val="20"/>
          <w:lang w:eastAsia="bg-BG"/>
        </w:rPr>
        <w:t>Редки: сухота в устата.</w:t>
      </w:r>
    </w:p>
    <w:p w14:paraId="376AA6A7" w14:textId="77777777" w:rsidR="00FD3646" w:rsidRPr="00FD3646" w:rsidRDefault="00FD3646" w:rsidP="00FD3646">
      <w:pPr>
        <w:spacing w:line="240" w:lineRule="auto"/>
        <w:rPr>
          <w:rFonts w:eastAsia="Times New Roman" w:cs="Arial"/>
          <w:sz w:val="28"/>
          <w:szCs w:val="24"/>
          <w:lang w:eastAsia="bg-BG"/>
        </w:rPr>
      </w:pPr>
      <w:r w:rsidRPr="00FD3646">
        <w:rPr>
          <w:rFonts w:eastAsia="Times New Roman" w:cs="Arial"/>
          <w:color w:val="000000"/>
          <w:szCs w:val="20"/>
          <w:lang w:eastAsia="bg-BG"/>
        </w:rPr>
        <w:t>Много редки: панкреатит, интерстинален ангиоедем.</w:t>
      </w:r>
    </w:p>
    <w:p w14:paraId="5317A217" w14:textId="77777777" w:rsidR="00FD3646" w:rsidRPr="00FD3646" w:rsidRDefault="00FD3646" w:rsidP="00FD3646">
      <w:pPr>
        <w:spacing w:line="240" w:lineRule="auto"/>
        <w:rPr>
          <w:rFonts w:eastAsia="Times New Roman" w:cs="Arial"/>
          <w:i/>
          <w:iCs/>
          <w:color w:val="000000"/>
          <w:szCs w:val="20"/>
          <w:u w:val="single"/>
          <w:lang w:eastAsia="bg-BG"/>
        </w:rPr>
      </w:pPr>
    </w:p>
    <w:p w14:paraId="118832A2" w14:textId="13CA4DCE" w:rsidR="00FD3646" w:rsidRPr="00FD3646" w:rsidRDefault="00FD3646" w:rsidP="00FD3646">
      <w:pPr>
        <w:spacing w:line="240" w:lineRule="auto"/>
        <w:rPr>
          <w:rFonts w:eastAsia="Times New Roman" w:cs="Arial"/>
          <w:sz w:val="28"/>
          <w:szCs w:val="24"/>
          <w:lang w:eastAsia="bg-BG"/>
        </w:rPr>
      </w:pPr>
      <w:r w:rsidRPr="00FD3646">
        <w:rPr>
          <w:rFonts w:eastAsia="Times New Roman" w:cs="Arial"/>
          <w:i/>
          <w:iCs/>
          <w:color w:val="000000"/>
          <w:szCs w:val="20"/>
          <w:u w:val="single"/>
          <w:lang w:eastAsia="bg-BG"/>
        </w:rPr>
        <w:t>Хепато-бияиарни нарушения</w:t>
      </w:r>
    </w:p>
    <w:p w14:paraId="310B1BC9" w14:textId="77777777" w:rsidR="00FD3646" w:rsidRPr="00FD3646" w:rsidRDefault="00FD3646" w:rsidP="00FD3646">
      <w:pPr>
        <w:spacing w:line="240" w:lineRule="auto"/>
        <w:rPr>
          <w:rFonts w:eastAsia="Times New Roman" w:cs="Arial"/>
          <w:sz w:val="28"/>
          <w:szCs w:val="24"/>
          <w:lang w:eastAsia="bg-BG"/>
        </w:rPr>
      </w:pPr>
      <w:r w:rsidRPr="00FD3646">
        <w:rPr>
          <w:rFonts w:eastAsia="Times New Roman" w:cs="Arial"/>
          <w:color w:val="000000"/>
          <w:szCs w:val="20"/>
          <w:lang w:eastAsia="bg-BG"/>
        </w:rPr>
        <w:t>Нечести: повишение на чернодробните ензими и билирубина.</w:t>
      </w:r>
    </w:p>
    <w:p w14:paraId="1235CAEF" w14:textId="77777777" w:rsidR="00FD3646" w:rsidRPr="00FD3646" w:rsidRDefault="00FD3646" w:rsidP="00FD3646">
      <w:pPr>
        <w:spacing w:line="240" w:lineRule="auto"/>
        <w:rPr>
          <w:rFonts w:eastAsia="Times New Roman" w:cs="Arial"/>
          <w:sz w:val="28"/>
          <w:szCs w:val="24"/>
          <w:lang w:eastAsia="bg-BG"/>
        </w:rPr>
      </w:pPr>
      <w:r w:rsidRPr="00FD3646">
        <w:rPr>
          <w:rFonts w:eastAsia="Times New Roman" w:cs="Arial"/>
          <w:color w:val="000000"/>
          <w:szCs w:val="20"/>
          <w:lang w:eastAsia="bg-BG"/>
        </w:rPr>
        <w:t>Много редки: хепатит (хепатоцелуларен или холестатичен), жълтеница, чернодробна недостатъчност (вж. точка 4.4).*</w:t>
      </w:r>
    </w:p>
    <w:p w14:paraId="34B6EF4B" w14:textId="77777777" w:rsidR="00FD3646" w:rsidRPr="00FD3646" w:rsidRDefault="00FD3646" w:rsidP="00FD3646">
      <w:pPr>
        <w:spacing w:line="240" w:lineRule="auto"/>
        <w:rPr>
          <w:rFonts w:eastAsia="Times New Roman" w:cs="Arial"/>
          <w:sz w:val="28"/>
          <w:szCs w:val="24"/>
          <w:lang w:eastAsia="bg-BG"/>
        </w:rPr>
      </w:pPr>
    </w:p>
    <w:p w14:paraId="6906DA20" w14:textId="77777777" w:rsidR="00FD3646" w:rsidRPr="00FD3646" w:rsidRDefault="00FD3646" w:rsidP="00FD3646">
      <w:pPr>
        <w:spacing w:line="240" w:lineRule="auto"/>
        <w:rPr>
          <w:rFonts w:eastAsia="Times New Roman" w:cs="Arial"/>
          <w:sz w:val="28"/>
          <w:szCs w:val="24"/>
          <w:lang w:eastAsia="bg-BG"/>
        </w:rPr>
      </w:pPr>
      <w:r w:rsidRPr="00FD3646">
        <w:rPr>
          <w:rFonts w:eastAsia="Times New Roman" w:cs="Arial"/>
          <w:i/>
          <w:iCs/>
          <w:color w:val="000000"/>
          <w:szCs w:val="20"/>
          <w:u w:val="single"/>
          <w:lang w:eastAsia="bg-BG"/>
        </w:rPr>
        <w:t>Нарушения на кожата и подкожната тъкан</w:t>
      </w:r>
    </w:p>
    <w:p w14:paraId="1BDC186B" w14:textId="012B47C8" w:rsidR="00FD3646" w:rsidRDefault="00FD3646" w:rsidP="00FD3646">
      <w:pPr>
        <w:rPr>
          <w:rFonts w:eastAsia="Times New Roman" w:cs="Arial"/>
          <w:color w:val="000000"/>
          <w:szCs w:val="20"/>
          <w:lang w:eastAsia="bg-BG"/>
        </w:rPr>
      </w:pPr>
      <w:r>
        <w:rPr>
          <w:rFonts w:eastAsia="Times New Roman" w:cs="Arial"/>
          <w:color w:val="000000"/>
          <w:szCs w:val="20"/>
          <w:lang w:eastAsia="bg-BG"/>
        </w:rPr>
        <w:t>Нечести: обрив, сърбеж</w:t>
      </w:r>
    </w:p>
    <w:p w14:paraId="746D782E" w14:textId="26A86337" w:rsidR="00FD3646" w:rsidRDefault="00FD3646" w:rsidP="00FD3646">
      <w:pPr>
        <w:rPr>
          <w:rFonts w:eastAsia="Times New Roman" w:cs="Arial"/>
          <w:color w:val="000000"/>
          <w:szCs w:val="20"/>
          <w:lang w:eastAsia="bg-BG"/>
        </w:rPr>
      </w:pPr>
    </w:p>
    <w:p w14:paraId="796BDFBB" w14:textId="77777777" w:rsidR="00FD3646" w:rsidRPr="00FD3646" w:rsidRDefault="00FD3646" w:rsidP="00FD3646">
      <w:pPr>
        <w:spacing w:line="240" w:lineRule="auto"/>
        <w:rPr>
          <w:rFonts w:eastAsia="Times New Roman" w:cs="Arial"/>
          <w:sz w:val="28"/>
          <w:szCs w:val="24"/>
          <w:lang w:eastAsia="bg-BG"/>
        </w:rPr>
      </w:pPr>
      <w:r w:rsidRPr="00FD3646">
        <w:rPr>
          <w:rFonts w:eastAsia="Times New Roman" w:cs="Arial"/>
          <w:color w:val="000000"/>
          <w:szCs w:val="20"/>
          <w:lang w:eastAsia="bg-BG"/>
        </w:rPr>
        <w:t>Редки: свръхчувствителност/ангионевротичен едем на лицето, крайниците, устните, езика, глотиса и/или ларинкса (вж.точка 4.4), уртикария, алопеция, псориазис.</w:t>
      </w:r>
    </w:p>
    <w:p w14:paraId="3A72FF3F" w14:textId="77777777" w:rsidR="00FD3646" w:rsidRPr="00FD3646" w:rsidRDefault="00FD3646" w:rsidP="00FD3646">
      <w:pPr>
        <w:spacing w:line="240" w:lineRule="auto"/>
        <w:rPr>
          <w:rFonts w:eastAsia="Times New Roman" w:cs="Arial"/>
          <w:sz w:val="28"/>
          <w:szCs w:val="24"/>
          <w:lang w:eastAsia="bg-BG"/>
        </w:rPr>
      </w:pPr>
      <w:r w:rsidRPr="00FD3646">
        <w:rPr>
          <w:rFonts w:eastAsia="Times New Roman" w:cs="Arial"/>
          <w:color w:val="000000"/>
          <w:szCs w:val="20"/>
          <w:lang w:eastAsia="bg-BG"/>
        </w:rPr>
        <w:t xml:space="preserve">Много редки: диафореза, пемфигус, токсична епидермална некролиза, синдром на </w:t>
      </w:r>
      <w:r w:rsidRPr="00FD3646">
        <w:rPr>
          <w:rFonts w:eastAsia="Times New Roman" w:cs="Arial"/>
          <w:color w:val="000000"/>
          <w:szCs w:val="20"/>
          <w:lang w:val="en-US"/>
        </w:rPr>
        <w:t xml:space="preserve">Stevens-Jonson, </w:t>
      </w:r>
      <w:r w:rsidRPr="00FD3646">
        <w:rPr>
          <w:rFonts w:eastAsia="Times New Roman" w:cs="Arial"/>
          <w:color w:val="000000"/>
          <w:szCs w:val="20"/>
          <w:lang w:eastAsia="bg-BG"/>
        </w:rPr>
        <w:t>еритема мултиформе, кожна псевдолимфома.**</w:t>
      </w:r>
    </w:p>
    <w:p w14:paraId="316CF190" w14:textId="77777777" w:rsidR="00FD3646" w:rsidRPr="00FD3646" w:rsidRDefault="00FD3646" w:rsidP="00FD3646">
      <w:pPr>
        <w:spacing w:line="240" w:lineRule="auto"/>
        <w:rPr>
          <w:rFonts w:eastAsia="Times New Roman" w:cs="Arial"/>
          <w:i/>
          <w:iCs/>
          <w:color w:val="000000"/>
          <w:szCs w:val="20"/>
          <w:u w:val="single"/>
          <w:lang w:eastAsia="bg-BG"/>
        </w:rPr>
      </w:pPr>
    </w:p>
    <w:p w14:paraId="68B6E688" w14:textId="4C2B3A6B" w:rsidR="00FD3646" w:rsidRPr="00FD3646" w:rsidRDefault="00FD3646" w:rsidP="00FD3646">
      <w:pPr>
        <w:spacing w:line="240" w:lineRule="auto"/>
        <w:rPr>
          <w:rFonts w:eastAsia="Times New Roman" w:cs="Arial"/>
          <w:sz w:val="28"/>
          <w:szCs w:val="24"/>
          <w:lang w:eastAsia="bg-BG"/>
        </w:rPr>
      </w:pPr>
      <w:r w:rsidRPr="00FD3646">
        <w:rPr>
          <w:rFonts w:eastAsia="Times New Roman" w:cs="Arial"/>
          <w:i/>
          <w:iCs/>
          <w:color w:val="000000"/>
          <w:szCs w:val="20"/>
          <w:u w:val="single"/>
          <w:lang w:eastAsia="bg-BG"/>
        </w:rPr>
        <w:t xml:space="preserve">Нарушения на бъбреците и пикочните пътища </w:t>
      </w:r>
      <w:r w:rsidRPr="00FD3646">
        <w:rPr>
          <w:rFonts w:eastAsia="Times New Roman" w:cs="Arial"/>
          <w:color w:val="000000"/>
          <w:szCs w:val="20"/>
          <w:lang w:eastAsia="bg-BG"/>
        </w:rPr>
        <w:t>Чести: бъбречна дисфункция.</w:t>
      </w:r>
    </w:p>
    <w:p w14:paraId="4BB6D6A8" w14:textId="77777777" w:rsidR="00FD3646" w:rsidRPr="00FD3646" w:rsidRDefault="00FD3646" w:rsidP="00FD3646">
      <w:pPr>
        <w:spacing w:line="240" w:lineRule="auto"/>
        <w:rPr>
          <w:rFonts w:eastAsia="Times New Roman" w:cs="Arial"/>
          <w:sz w:val="28"/>
          <w:szCs w:val="24"/>
          <w:lang w:eastAsia="bg-BG"/>
        </w:rPr>
      </w:pPr>
      <w:r w:rsidRPr="00FD3646">
        <w:rPr>
          <w:rFonts w:eastAsia="Times New Roman" w:cs="Arial"/>
          <w:color w:val="000000"/>
          <w:szCs w:val="20"/>
          <w:lang w:eastAsia="bg-BG"/>
        </w:rPr>
        <w:t>Редки: уремия, остра бъбречна недостатъчност.</w:t>
      </w:r>
    </w:p>
    <w:p w14:paraId="4055D069" w14:textId="77777777" w:rsidR="00FD3646" w:rsidRPr="00FD3646" w:rsidRDefault="00FD3646" w:rsidP="00FD3646">
      <w:pPr>
        <w:spacing w:line="240" w:lineRule="auto"/>
        <w:rPr>
          <w:rFonts w:eastAsia="Times New Roman" w:cs="Arial"/>
          <w:sz w:val="28"/>
          <w:szCs w:val="24"/>
          <w:lang w:eastAsia="bg-BG"/>
        </w:rPr>
      </w:pPr>
      <w:r w:rsidRPr="00FD3646">
        <w:rPr>
          <w:rFonts w:eastAsia="Times New Roman" w:cs="Arial"/>
          <w:color w:val="000000"/>
          <w:szCs w:val="20"/>
          <w:lang w:eastAsia="bg-BG"/>
        </w:rPr>
        <w:t>Много редки: олигоурия/анурия.</w:t>
      </w:r>
    </w:p>
    <w:p w14:paraId="1F47AE5E" w14:textId="77777777" w:rsidR="00FD3646" w:rsidRPr="00FD3646" w:rsidRDefault="00FD3646" w:rsidP="00FD3646">
      <w:pPr>
        <w:spacing w:line="240" w:lineRule="auto"/>
        <w:rPr>
          <w:rFonts w:eastAsia="Times New Roman" w:cs="Arial"/>
          <w:i/>
          <w:iCs/>
          <w:color w:val="000000"/>
          <w:szCs w:val="20"/>
          <w:u w:val="single"/>
          <w:lang w:eastAsia="bg-BG"/>
        </w:rPr>
      </w:pPr>
    </w:p>
    <w:p w14:paraId="37291CC5" w14:textId="3B7C0139" w:rsidR="00FD3646" w:rsidRPr="00FD3646" w:rsidRDefault="00FD3646" w:rsidP="00FD3646">
      <w:pPr>
        <w:spacing w:line="240" w:lineRule="auto"/>
        <w:rPr>
          <w:rFonts w:eastAsia="Times New Roman" w:cs="Arial"/>
          <w:sz w:val="28"/>
          <w:szCs w:val="24"/>
          <w:lang w:eastAsia="bg-BG"/>
        </w:rPr>
      </w:pPr>
      <w:r w:rsidRPr="00FD3646">
        <w:rPr>
          <w:rFonts w:eastAsia="Times New Roman" w:cs="Arial"/>
          <w:i/>
          <w:iCs/>
          <w:color w:val="000000"/>
          <w:szCs w:val="20"/>
          <w:u w:val="single"/>
          <w:lang w:eastAsia="bg-BG"/>
        </w:rPr>
        <w:t>Нарушения на възпроизводителната система и гърдата</w:t>
      </w:r>
    </w:p>
    <w:p w14:paraId="3F417620" w14:textId="77777777" w:rsidR="00FD3646" w:rsidRPr="00FD3646" w:rsidRDefault="00FD3646" w:rsidP="00FD3646">
      <w:pPr>
        <w:spacing w:line="240" w:lineRule="auto"/>
        <w:rPr>
          <w:rFonts w:eastAsia="Times New Roman" w:cs="Arial"/>
          <w:sz w:val="28"/>
          <w:szCs w:val="24"/>
          <w:lang w:eastAsia="bg-BG"/>
        </w:rPr>
      </w:pPr>
      <w:r w:rsidRPr="00FD3646">
        <w:rPr>
          <w:rFonts w:eastAsia="Times New Roman" w:cs="Arial"/>
          <w:color w:val="000000"/>
          <w:szCs w:val="20"/>
          <w:lang w:eastAsia="bg-BG"/>
        </w:rPr>
        <w:t>Нечести: импотентност.</w:t>
      </w:r>
    </w:p>
    <w:p w14:paraId="4D5D8B2E" w14:textId="77777777" w:rsidR="00FD3646" w:rsidRPr="00FD3646" w:rsidRDefault="00FD3646" w:rsidP="00FD3646">
      <w:pPr>
        <w:spacing w:line="240" w:lineRule="auto"/>
        <w:rPr>
          <w:rFonts w:eastAsia="Times New Roman" w:cs="Arial"/>
          <w:sz w:val="28"/>
          <w:szCs w:val="24"/>
          <w:lang w:eastAsia="bg-BG"/>
        </w:rPr>
      </w:pPr>
      <w:r w:rsidRPr="00FD3646">
        <w:rPr>
          <w:rFonts w:eastAsia="Times New Roman" w:cs="Arial"/>
          <w:color w:val="000000"/>
          <w:szCs w:val="20"/>
          <w:lang w:eastAsia="bg-BG"/>
        </w:rPr>
        <w:t>Редки: гинекомастия.</w:t>
      </w:r>
    </w:p>
    <w:p w14:paraId="3C19FBC9" w14:textId="77777777" w:rsidR="00FD3646" w:rsidRPr="00FD3646" w:rsidRDefault="00FD3646" w:rsidP="00FD3646">
      <w:pPr>
        <w:spacing w:line="240" w:lineRule="auto"/>
        <w:rPr>
          <w:rFonts w:eastAsia="Times New Roman" w:cs="Arial"/>
          <w:i/>
          <w:iCs/>
          <w:color w:val="000000"/>
          <w:szCs w:val="20"/>
          <w:u w:val="single"/>
          <w:lang w:eastAsia="bg-BG"/>
        </w:rPr>
      </w:pPr>
    </w:p>
    <w:p w14:paraId="18B15096" w14:textId="1BF90AA4" w:rsidR="00FD3646" w:rsidRPr="00FD3646" w:rsidRDefault="00FD3646" w:rsidP="00FD3646">
      <w:pPr>
        <w:spacing w:line="240" w:lineRule="auto"/>
        <w:rPr>
          <w:rFonts w:eastAsia="Times New Roman" w:cs="Arial"/>
          <w:sz w:val="28"/>
          <w:szCs w:val="24"/>
          <w:lang w:eastAsia="bg-BG"/>
        </w:rPr>
      </w:pPr>
      <w:r w:rsidRPr="00FD3646">
        <w:rPr>
          <w:rFonts w:eastAsia="Times New Roman" w:cs="Arial"/>
          <w:i/>
          <w:iCs/>
          <w:color w:val="000000"/>
          <w:szCs w:val="20"/>
          <w:u w:val="single"/>
          <w:lang w:eastAsia="bg-BG"/>
        </w:rPr>
        <w:t>Общи нарушения</w:t>
      </w:r>
    </w:p>
    <w:p w14:paraId="656D3B0B" w14:textId="77777777" w:rsidR="00FD3646" w:rsidRPr="00FD3646" w:rsidRDefault="00FD3646" w:rsidP="00FD3646">
      <w:pPr>
        <w:spacing w:line="240" w:lineRule="auto"/>
        <w:rPr>
          <w:rFonts w:eastAsia="Times New Roman" w:cs="Arial"/>
          <w:sz w:val="28"/>
          <w:szCs w:val="24"/>
          <w:lang w:eastAsia="bg-BG"/>
        </w:rPr>
      </w:pPr>
      <w:r w:rsidRPr="00FD3646">
        <w:rPr>
          <w:rFonts w:eastAsia="Times New Roman" w:cs="Arial"/>
          <w:color w:val="000000"/>
          <w:szCs w:val="20"/>
          <w:lang w:eastAsia="bg-BG"/>
        </w:rPr>
        <w:t>Нечести: умора, астения.</w:t>
      </w:r>
    </w:p>
    <w:p w14:paraId="7F714787" w14:textId="77777777" w:rsidR="00FD3646" w:rsidRPr="00FD3646" w:rsidRDefault="00FD3646" w:rsidP="00FD3646">
      <w:pPr>
        <w:spacing w:line="240" w:lineRule="auto"/>
        <w:rPr>
          <w:rFonts w:eastAsia="Times New Roman" w:cs="Arial"/>
          <w:i/>
          <w:iCs/>
          <w:color w:val="000000"/>
          <w:szCs w:val="20"/>
          <w:u w:val="single"/>
          <w:lang w:eastAsia="bg-BG"/>
        </w:rPr>
      </w:pPr>
    </w:p>
    <w:p w14:paraId="2A7F09D0" w14:textId="4BDD2F6D" w:rsidR="00FD3646" w:rsidRPr="00FD3646" w:rsidRDefault="00FD3646" w:rsidP="00FD3646">
      <w:pPr>
        <w:spacing w:line="240" w:lineRule="auto"/>
        <w:rPr>
          <w:rFonts w:eastAsia="Times New Roman" w:cs="Arial"/>
          <w:sz w:val="28"/>
          <w:szCs w:val="24"/>
          <w:lang w:eastAsia="bg-BG"/>
        </w:rPr>
      </w:pPr>
      <w:r w:rsidRPr="00FD3646">
        <w:rPr>
          <w:rFonts w:eastAsia="Times New Roman" w:cs="Arial"/>
          <w:i/>
          <w:iCs/>
          <w:color w:val="000000"/>
          <w:szCs w:val="20"/>
          <w:u w:val="single"/>
          <w:lang w:eastAsia="bg-BG"/>
        </w:rPr>
        <w:t>Изследвания</w:t>
      </w:r>
    </w:p>
    <w:p w14:paraId="66A82ADB" w14:textId="77777777" w:rsidR="00FD3646" w:rsidRPr="00FD3646" w:rsidRDefault="00FD3646" w:rsidP="00FD3646">
      <w:pPr>
        <w:spacing w:line="240" w:lineRule="auto"/>
        <w:rPr>
          <w:rFonts w:eastAsia="Times New Roman" w:cs="Arial"/>
          <w:sz w:val="28"/>
          <w:szCs w:val="24"/>
          <w:lang w:eastAsia="bg-BG"/>
        </w:rPr>
      </w:pPr>
      <w:r w:rsidRPr="00FD3646">
        <w:rPr>
          <w:rFonts w:eastAsia="Times New Roman" w:cs="Arial"/>
          <w:color w:val="000000"/>
          <w:szCs w:val="20"/>
          <w:lang w:eastAsia="bg-BG"/>
        </w:rPr>
        <w:t>Нечести: повишаване стойностите на кръвната урея, повишаване стойностите на серумния креатинин, хиперкалиемия.</w:t>
      </w:r>
    </w:p>
    <w:p w14:paraId="5C80F989" w14:textId="77777777" w:rsidR="00FD3646" w:rsidRPr="00FD3646" w:rsidRDefault="00FD3646" w:rsidP="00FD3646">
      <w:pPr>
        <w:spacing w:line="240" w:lineRule="auto"/>
        <w:rPr>
          <w:rFonts w:eastAsia="Times New Roman" w:cs="Arial"/>
          <w:sz w:val="28"/>
          <w:szCs w:val="24"/>
          <w:lang w:eastAsia="bg-BG"/>
        </w:rPr>
      </w:pPr>
      <w:r w:rsidRPr="00FD3646">
        <w:rPr>
          <w:rFonts w:eastAsia="Times New Roman" w:cs="Arial"/>
          <w:color w:val="000000"/>
          <w:szCs w:val="20"/>
          <w:lang w:eastAsia="bg-BG"/>
        </w:rPr>
        <w:t>Редки: хипонатриемия.</w:t>
      </w:r>
    </w:p>
    <w:p w14:paraId="10128788" w14:textId="77777777" w:rsidR="00FD3646" w:rsidRPr="00FD3646" w:rsidRDefault="00FD3646" w:rsidP="00FD3646">
      <w:pPr>
        <w:spacing w:line="240" w:lineRule="auto"/>
        <w:rPr>
          <w:rFonts w:eastAsia="Times New Roman" w:cs="Arial"/>
          <w:color w:val="000000"/>
          <w:szCs w:val="20"/>
          <w:lang w:eastAsia="bg-BG"/>
        </w:rPr>
      </w:pPr>
    </w:p>
    <w:p w14:paraId="5AF1DEC6" w14:textId="37D20B91" w:rsidR="00FD3646" w:rsidRPr="00FD3646" w:rsidRDefault="00FD3646" w:rsidP="00FD3646">
      <w:pPr>
        <w:spacing w:line="240" w:lineRule="auto"/>
        <w:rPr>
          <w:rFonts w:eastAsia="Times New Roman" w:cs="Arial"/>
          <w:sz w:val="28"/>
          <w:szCs w:val="24"/>
          <w:lang w:eastAsia="bg-BG"/>
        </w:rPr>
      </w:pPr>
      <w:r w:rsidRPr="00FD3646">
        <w:rPr>
          <w:rFonts w:eastAsia="Times New Roman" w:cs="Arial"/>
          <w:color w:val="000000"/>
          <w:szCs w:val="20"/>
          <w:lang w:eastAsia="bg-BG"/>
        </w:rPr>
        <w:t>*Има съобщения за много редки случаи, при които лекарствено индуцираният хепатит е прогресирал до чернодробна недостатъчност. Пациентите, получаващи комбинацията лизиноприл/хидрохлоротиазид, при които се е появила жълтеница или изразено повишаване на чернодробните ензими, трябва да прекратят лечението и да бъдат под медицинско наблюдение.</w:t>
      </w:r>
    </w:p>
    <w:p w14:paraId="0BFC4240" w14:textId="77777777" w:rsidR="00FD3646" w:rsidRPr="00FD3646" w:rsidRDefault="00FD3646" w:rsidP="00FD3646">
      <w:pPr>
        <w:spacing w:line="240" w:lineRule="auto"/>
        <w:rPr>
          <w:rFonts w:eastAsia="Times New Roman" w:cs="Arial"/>
          <w:sz w:val="28"/>
          <w:szCs w:val="24"/>
          <w:lang w:eastAsia="bg-BG"/>
        </w:rPr>
      </w:pPr>
      <w:r w:rsidRPr="00FD3646">
        <w:rPr>
          <w:rFonts w:eastAsia="Times New Roman" w:cs="Arial"/>
          <w:color w:val="000000"/>
          <w:szCs w:val="20"/>
          <w:lang w:eastAsia="bg-BG"/>
        </w:rPr>
        <w:t xml:space="preserve">**Наблюдаване е появата на синдром, който може да включва следните симптоми: треска, васкулит, миалгия, артралгия/артрит, положителни </w:t>
      </w:r>
      <w:r w:rsidRPr="00FD3646">
        <w:rPr>
          <w:rFonts w:eastAsia="Times New Roman" w:cs="Arial"/>
          <w:color w:val="000000"/>
          <w:szCs w:val="20"/>
          <w:lang w:val="en-US"/>
        </w:rPr>
        <w:t xml:space="preserve">ANA, </w:t>
      </w:r>
      <w:r w:rsidRPr="00FD3646">
        <w:rPr>
          <w:rFonts w:eastAsia="Times New Roman" w:cs="Arial"/>
          <w:color w:val="000000"/>
          <w:szCs w:val="20"/>
          <w:lang w:eastAsia="bg-BG"/>
        </w:rPr>
        <w:t>ускорена утайка (СУЕ), еозинофилия, левкоцитоза, обрив, фотосенсибилизация, други кожни прояви.</w:t>
      </w:r>
    </w:p>
    <w:p w14:paraId="62CCA502" w14:textId="77777777" w:rsidR="00FD3646" w:rsidRPr="00FD3646" w:rsidRDefault="00FD3646" w:rsidP="00FD3646">
      <w:pPr>
        <w:spacing w:line="240" w:lineRule="auto"/>
        <w:rPr>
          <w:rFonts w:eastAsia="Times New Roman" w:cs="Arial"/>
          <w:b/>
          <w:bCs/>
          <w:color w:val="000000"/>
          <w:szCs w:val="20"/>
          <w:lang w:eastAsia="bg-BG"/>
        </w:rPr>
      </w:pPr>
    </w:p>
    <w:p w14:paraId="67864F70" w14:textId="31E61551" w:rsidR="00FD3646" w:rsidRPr="00FD3646" w:rsidRDefault="00FD3646" w:rsidP="00FD3646">
      <w:pPr>
        <w:spacing w:line="240" w:lineRule="auto"/>
        <w:rPr>
          <w:rFonts w:eastAsia="Times New Roman" w:cs="Arial"/>
          <w:sz w:val="28"/>
          <w:szCs w:val="24"/>
          <w:lang w:eastAsia="bg-BG"/>
        </w:rPr>
      </w:pPr>
      <w:r w:rsidRPr="00FD3646">
        <w:rPr>
          <w:rFonts w:eastAsia="Times New Roman" w:cs="Arial"/>
          <w:b/>
          <w:bCs/>
          <w:color w:val="000000"/>
          <w:szCs w:val="20"/>
          <w:lang w:eastAsia="bg-BG"/>
        </w:rPr>
        <w:t>Хидрохлоротиазид (неизвестна честота):</w:t>
      </w:r>
    </w:p>
    <w:p w14:paraId="26D23E6D" w14:textId="77777777" w:rsidR="00FD3646" w:rsidRPr="00FD3646" w:rsidRDefault="00FD3646" w:rsidP="00FD3646">
      <w:pPr>
        <w:spacing w:line="240" w:lineRule="auto"/>
        <w:rPr>
          <w:rFonts w:eastAsia="Times New Roman" w:cs="Arial"/>
          <w:i/>
          <w:iCs/>
          <w:color w:val="000000"/>
          <w:szCs w:val="20"/>
          <w:u w:val="single"/>
          <w:lang w:eastAsia="bg-BG"/>
        </w:rPr>
      </w:pPr>
    </w:p>
    <w:p w14:paraId="26A272C0" w14:textId="5FE31CBC" w:rsidR="00FD3646" w:rsidRPr="00FD3646" w:rsidRDefault="00FD3646" w:rsidP="00FD3646">
      <w:pPr>
        <w:spacing w:line="240" w:lineRule="auto"/>
        <w:rPr>
          <w:rFonts w:eastAsia="Times New Roman" w:cs="Arial"/>
          <w:sz w:val="28"/>
          <w:szCs w:val="24"/>
          <w:lang w:eastAsia="bg-BG"/>
        </w:rPr>
      </w:pPr>
      <w:r w:rsidRPr="00FD3646">
        <w:rPr>
          <w:rFonts w:eastAsia="Times New Roman" w:cs="Arial"/>
          <w:i/>
          <w:iCs/>
          <w:color w:val="000000"/>
          <w:szCs w:val="20"/>
          <w:u w:val="single"/>
          <w:lang w:eastAsia="bg-BG"/>
        </w:rPr>
        <w:lastRenderedPageBreak/>
        <w:t xml:space="preserve">Инфекции и инфестаиии </w:t>
      </w:r>
      <w:r w:rsidRPr="00FD3646">
        <w:rPr>
          <w:rFonts w:eastAsia="Times New Roman" w:cs="Arial"/>
          <w:color w:val="000000"/>
          <w:szCs w:val="20"/>
          <w:lang w:eastAsia="bg-BG"/>
        </w:rPr>
        <w:t>Сиалоаденит.</w:t>
      </w:r>
    </w:p>
    <w:p w14:paraId="41054ACA" w14:textId="77777777" w:rsidR="00FD3646" w:rsidRPr="00FD3646" w:rsidRDefault="00FD3646" w:rsidP="00FD3646">
      <w:pPr>
        <w:spacing w:line="240" w:lineRule="auto"/>
        <w:rPr>
          <w:rFonts w:eastAsia="Times New Roman" w:cs="Arial"/>
          <w:i/>
          <w:iCs/>
          <w:color w:val="000000"/>
          <w:szCs w:val="20"/>
          <w:u w:val="single"/>
          <w:lang w:eastAsia="bg-BG"/>
        </w:rPr>
      </w:pPr>
    </w:p>
    <w:p w14:paraId="3C1A976C" w14:textId="632FEF89" w:rsidR="00FD3646" w:rsidRPr="00FD3646" w:rsidRDefault="00FD3646" w:rsidP="00FD3646">
      <w:pPr>
        <w:spacing w:line="240" w:lineRule="auto"/>
        <w:rPr>
          <w:rFonts w:eastAsia="Times New Roman" w:cs="Arial"/>
          <w:color w:val="000000"/>
          <w:szCs w:val="20"/>
          <w:lang w:eastAsia="bg-BG"/>
        </w:rPr>
      </w:pPr>
      <w:r w:rsidRPr="00FD3646">
        <w:rPr>
          <w:rFonts w:eastAsia="Times New Roman" w:cs="Arial"/>
          <w:i/>
          <w:iCs/>
          <w:color w:val="000000"/>
          <w:szCs w:val="20"/>
          <w:u w:val="single"/>
          <w:lang w:eastAsia="bg-BG"/>
        </w:rPr>
        <w:t xml:space="preserve">Неоплазми - доброкачествени, злокачествени и неопределени (вкл. кисти и полипи) </w:t>
      </w:r>
      <w:r w:rsidRPr="00FD3646">
        <w:rPr>
          <w:rFonts w:eastAsia="Times New Roman" w:cs="Arial"/>
          <w:color w:val="000000"/>
          <w:szCs w:val="20"/>
          <w:lang w:eastAsia="bg-BG"/>
        </w:rPr>
        <w:t xml:space="preserve">Немеланомен рак на </w:t>
      </w:r>
    </w:p>
    <w:p w14:paraId="4118FB47" w14:textId="6AB1A52D" w:rsidR="00FD3646" w:rsidRPr="00FD3646" w:rsidRDefault="00FD3646" w:rsidP="00FD3646">
      <w:pPr>
        <w:spacing w:line="240" w:lineRule="auto"/>
        <w:rPr>
          <w:rFonts w:eastAsia="Times New Roman" w:cs="Arial"/>
          <w:sz w:val="28"/>
          <w:szCs w:val="24"/>
          <w:lang w:eastAsia="bg-BG"/>
        </w:rPr>
      </w:pPr>
      <w:r w:rsidRPr="00FD3646">
        <w:rPr>
          <w:rFonts w:eastAsia="Times New Roman" w:cs="Arial"/>
          <w:color w:val="000000"/>
          <w:szCs w:val="20"/>
          <w:lang w:eastAsia="bg-BG"/>
        </w:rPr>
        <w:t>кожата (базалноклетьчен карцином и сквамозноклетъчен карцином).</w:t>
      </w:r>
    </w:p>
    <w:p w14:paraId="08907700" w14:textId="77777777" w:rsidR="00FD3646" w:rsidRPr="00FD3646" w:rsidRDefault="00FD3646" w:rsidP="00FD3646">
      <w:pPr>
        <w:spacing w:line="240" w:lineRule="auto"/>
        <w:rPr>
          <w:rFonts w:eastAsia="Times New Roman" w:cs="Arial"/>
          <w:i/>
          <w:iCs/>
          <w:color w:val="000000"/>
          <w:szCs w:val="20"/>
          <w:u w:val="single"/>
          <w:lang w:eastAsia="bg-BG"/>
        </w:rPr>
      </w:pPr>
    </w:p>
    <w:p w14:paraId="766CB03A" w14:textId="0312F011" w:rsidR="00FD3646" w:rsidRPr="00FD3646" w:rsidRDefault="00FD3646" w:rsidP="00FD3646">
      <w:pPr>
        <w:spacing w:line="240" w:lineRule="auto"/>
        <w:rPr>
          <w:rFonts w:eastAsia="Times New Roman" w:cs="Arial"/>
          <w:sz w:val="28"/>
          <w:szCs w:val="24"/>
          <w:lang w:eastAsia="bg-BG"/>
        </w:rPr>
      </w:pPr>
      <w:r w:rsidRPr="00FD3646">
        <w:rPr>
          <w:rFonts w:eastAsia="Times New Roman" w:cs="Arial"/>
          <w:i/>
          <w:iCs/>
          <w:color w:val="000000"/>
          <w:szCs w:val="20"/>
          <w:u w:val="single"/>
          <w:lang w:eastAsia="bg-BG"/>
        </w:rPr>
        <w:t>Нарушения на кръвта и лимфната система</w:t>
      </w:r>
    </w:p>
    <w:p w14:paraId="42B18E51" w14:textId="77777777" w:rsidR="00FD3646" w:rsidRPr="00FD3646" w:rsidRDefault="00FD3646" w:rsidP="00FD3646">
      <w:pPr>
        <w:spacing w:line="240" w:lineRule="auto"/>
        <w:rPr>
          <w:rFonts w:eastAsia="Times New Roman" w:cs="Arial"/>
          <w:sz w:val="28"/>
          <w:szCs w:val="24"/>
          <w:lang w:eastAsia="bg-BG"/>
        </w:rPr>
      </w:pPr>
      <w:r w:rsidRPr="00FD3646">
        <w:rPr>
          <w:rFonts w:eastAsia="Times New Roman" w:cs="Arial"/>
          <w:color w:val="000000"/>
          <w:szCs w:val="20"/>
          <w:lang w:eastAsia="bg-BG"/>
        </w:rPr>
        <w:t>Левкопения, неутропения/агранулоцитоза, тромбоцитопения, апластична анемия, хемолитична анемия, костно-мозъчна депресия.</w:t>
      </w:r>
    </w:p>
    <w:p w14:paraId="79382245" w14:textId="77777777" w:rsidR="00FD3646" w:rsidRPr="00FD3646" w:rsidRDefault="00FD3646" w:rsidP="00FD3646">
      <w:pPr>
        <w:spacing w:line="240" w:lineRule="auto"/>
        <w:rPr>
          <w:rFonts w:eastAsia="Times New Roman" w:cs="Arial"/>
          <w:i/>
          <w:iCs/>
          <w:color w:val="000000"/>
          <w:szCs w:val="20"/>
          <w:u w:val="single"/>
          <w:lang w:eastAsia="bg-BG"/>
        </w:rPr>
      </w:pPr>
    </w:p>
    <w:p w14:paraId="30AD8CF9" w14:textId="2931DEAC" w:rsidR="00FD3646" w:rsidRPr="00FD3646" w:rsidRDefault="00FD3646" w:rsidP="00FD3646">
      <w:pPr>
        <w:spacing w:line="240" w:lineRule="auto"/>
        <w:rPr>
          <w:rFonts w:eastAsia="Times New Roman" w:cs="Arial"/>
          <w:sz w:val="28"/>
          <w:szCs w:val="24"/>
          <w:lang w:eastAsia="bg-BG"/>
        </w:rPr>
      </w:pPr>
      <w:r w:rsidRPr="00FD3646">
        <w:rPr>
          <w:rFonts w:eastAsia="Times New Roman" w:cs="Arial"/>
          <w:i/>
          <w:iCs/>
          <w:color w:val="000000"/>
          <w:szCs w:val="20"/>
          <w:u w:val="single"/>
          <w:lang w:eastAsia="bg-BG"/>
        </w:rPr>
        <w:t>Нарушения на метаболизма и храненето</w:t>
      </w:r>
    </w:p>
    <w:p w14:paraId="0D05F43E" w14:textId="77777777" w:rsidR="00FD3646" w:rsidRPr="00FD3646" w:rsidRDefault="00FD3646" w:rsidP="00FD3646">
      <w:pPr>
        <w:spacing w:line="240" w:lineRule="auto"/>
        <w:rPr>
          <w:rFonts w:eastAsia="Times New Roman" w:cs="Arial"/>
          <w:sz w:val="28"/>
          <w:szCs w:val="24"/>
          <w:lang w:eastAsia="bg-BG"/>
        </w:rPr>
      </w:pPr>
      <w:r w:rsidRPr="00FD3646">
        <w:rPr>
          <w:rFonts w:eastAsia="Times New Roman" w:cs="Arial"/>
          <w:color w:val="000000"/>
          <w:szCs w:val="20"/>
          <w:lang w:eastAsia="bg-BG"/>
        </w:rPr>
        <w:t>Анорексия, хипергликемия, глюкозурия, хиперурикемия, електролитни нарушения (включващи хипонатриемия, хипокалиемия, хипохлоремична алкалоза и хипомагнезиемия), повишаване на холестерола и триглицеридите, подагра.</w:t>
      </w:r>
    </w:p>
    <w:p w14:paraId="65C6A46A" w14:textId="77777777" w:rsidR="00FD3646" w:rsidRPr="00FD3646" w:rsidRDefault="00FD3646" w:rsidP="00FD3646">
      <w:pPr>
        <w:spacing w:line="240" w:lineRule="auto"/>
        <w:rPr>
          <w:rFonts w:eastAsia="Times New Roman" w:cs="Arial"/>
          <w:i/>
          <w:iCs/>
          <w:color w:val="000000"/>
          <w:szCs w:val="20"/>
          <w:u w:val="single"/>
          <w:lang w:eastAsia="bg-BG"/>
        </w:rPr>
      </w:pPr>
    </w:p>
    <w:p w14:paraId="3877A273" w14:textId="7987B20D" w:rsidR="00FD3646" w:rsidRPr="00FD3646" w:rsidRDefault="00FD3646" w:rsidP="00FD3646">
      <w:pPr>
        <w:spacing w:line="240" w:lineRule="auto"/>
        <w:rPr>
          <w:rFonts w:eastAsia="Times New Roman" w:cs="Arial"/>
          <w:sz w:val="28"/>
          <w:szCs w:val="24"/>
          <w:lang w:eastAsia="bg-BG"/>
        </w:rPr>
      </w:pPr>
      <w:r w:rsidRPr="00FD3646">
        <w:rPr>
          <w:rFonts w:eastAsia="Times New Roman" w:cs="Arial"/>
          <w:i/>
          <w:iCs/>
          <w:color w:val="000000"/>
          <w:szCs w:val="20"/>
          <w:u w:val="single"/>
          <w:lang w:eastAsia="bg-BG"/>
        </w:rPr>
        <w:t>Психични нарушения</w:t>
      </w:r>
    </w:p>
    <w:p w14:paraId="609FEAE5" w14:textId="77777777" w:rsidR="00FD3646" w:rsidRPr="00FD3646" w:rsidRDefault="00FD3646" w:rsidP="00FD3646">
      <w:pPr>
        <w:spacing w:line="240" w:lineRule="auto"/>
        <w:rPr>
          <w:rFonts w:eastAsia="Times New Roman" w:cs="Arial"/>
          <w:sz w:val="28"/>
          <w:szCs w:val="24"/>
          <w:lang w:eastAsia="bg-BG"/>
        </w:rPr>
      </w:pPr>
      <w:r w:rsidRPr="00FD3646">
        <w:rPr>
          <w:rFonts w:eastAsia="Times New Roman" w:cs="Arial"/>
          <w:color w:val="000000"/>
          <w:szCs w:val="20"/>
          <w:lang w:eastAsia="bg-BG"/>
        </w:rPr>
        <w:t>Безпокойство, депресия, нарушения на съня.</w:t>
      </w:r>
    </w:p>
    <w:p w14:paraId="29F7F8E5" w14:textId="77777777" w:rsidR="00FD3646" w:rsidRPr="00FD3646" w:rsidRDefault="00FD3646" w:rsidP="00FD3646">
      <w:pPr>
        <w:spacing w:line="240" w:lineRule="auto"/>
        <w:rPr>
          <w:rFonts w:eastAsia="Times New Roman" w:cs="Arial"/>
          <w:i/>
          <w:iCs/>
          <w:color w:val="000000"/>
          <w:szCs w:val="20"/>
          <w:u w:val="single"/>
          <w:lang w:eastAsia="bg-BG"/>
        </w:rPr>
      </w:pPr>
    </w:p>
    <w:p w14:paraId="72033A37" w14:textId="109E74EA" w:rsidR="00FD3646" w:rsidRPr="00FD3646" w:rsidRDefault="00FD3646" w:rsidP="00FD3646">
      <w:pPr>
        <w:spacing w:line="240" w:lineRule="auto"/>
        <w:rPr>
          <w:rFonts w:eastAsia="Times New Roman" w:cs="Arial"/>
          <w:sz w:val="28"/>
          <w:szCs w:val="24"/>
          <w:lang w:eastAsia="bg-BG"/>
        </w:rPr>
      </w:pPr>
      <w:r w:rsidRPr="00FD3646">
        <w:rPr>
          <w:rFonts w:eastAsia="Times New Roman" w:cs="Arial"/>
          <w:i/>
          <w:iCs/>
          <w:color w:val="000000"/>
          <w:szCs w:val="20"/>
          <w:u w:val="single"/>
          <w:lang w:eastAsia="bg-BG"/>
        </w:rPr>
        <w:t>Нарушения на нервната система</w:t>
      </w:r>
    </w:p>
    <w:p w14:paraId="00DD46D2" w14:textId="77777777" w:rsidR="00FD3646" w:rsidRPr="00FD3646" w:rsidRDefault="00FD3646" w:rsidP="00FD3646">
      <w:pPr>
        <w:spacing w:line="240" w:lineRule="auto"/>
        <w:rPr>
          <w:rFonts w:eastAsia="Times New Roman" w:cs="Arial"/>
          <w:sz w:val="28"/>
          <w:szCs w:val="24"/>
          <w:lang w:eastAsia="bg-BG"/>
        </w:rPr>
      </w:pPr>
      <w:r w:rsidRPr="00FD3646">
        <w:rPr>
          <w:rFonts w:eastAsia="Times New Roman" w:cs="Arial"/>
          <w:color w:val="000000"/>
          <w:szCs w:val="20"/>
          <w:lang w:eastAsia="bg-BG"/>
        </w:rPr>
        <w:t>Загуба на апетит, парестезии, замаяност.</w:t>
      </w:r>
    </w:p>
    <w:p w14:paraId="06DE384B" w14:textId="77777777" w:rsidR="00FD3646" w:rsidRPr="00FD3646" w:rsidRDefault="00FD3646" w:rsidP="00FD3646">
      <w:pPr>
        <w:spacing w:line="240" w:lineRule="auto"/>
        <w:rPr>
          <w:rFonts w:eastAsia="Times New Roman" w:cs="Arial"/>
          <w:i/>
          <w:iCs/>
          <w:color w:val="000000"/>
          <w:szCs w:val="20"/>
          <w:u w:val="single"/>
          <w:lang w:eastAsia="bg-BG"/>
        </w:rPr>
      </w:pPr>
    </w:p>
    <w:p w14:paraId="43F29D10" w14:textId="29143266" w:rsidR="00FD3646" w:rsidRPr="00FD3646" w:rsidRDefault="00FD3646" w:rsidP="00FD3646">
      <w:pPr>
        <w:spacing w:line="240" w:lineRule="auto"/>
        <w:rPr>
          <w:rFonts w:eastAsia="Times New Roman" w:cs="Arial"/>
          <w:sz w:val="28"/>
          <w:szCs w:val="24"/>
          <w:lang w:eastAsia="bg-BG"/>
        </w:rPr>
      </w:pPr>
      <w:r w:rsidRPr="00FD3646">
        <w:rPr>
          <w:rFonts w:eastAsia="Times New Roman" w:cs="Arial"/>
          <w:i/>
          <w:iCs/>
          <w:color w:val="000000"/>
          <w:szCs w:val="20"/>
          <w:u w:val="single"/>
          <w:lang w:eastAsia="bg-BG"/>
        </w:rPr>
        <w:t>Нарушения на очите</w:t>
      </w:r>
    </w:p>
    <w:p w14:paraId="24F30694" w14:textId="365C7C50" w:rsidR="00FD3646" w:rsidRDefault="00FD3646" w:rsidP="00FD3646">
      <w:pPr>
        <w:rPr>
          <w:rFonts w:eastAsia="Times New Roman" w:cs="Arial"/>
          <w:color w:val="000000"/>
          <w:szCs w:val="20"/>
          <w:lang w:eastAsia="bg-BG"/>
        </w:rPr>
      </w:pPr>
      <w:r w:rsidRPr="00FD3646">
        <w:rPr>
          <w:rFonts w:eastAsia="Times New Roman" w:cs="Arial"/>
          <w:color w:val="000000"/>
          <w:szCs w:val="20"/>
          <w:lang w:eastAsia="bg-BG"/>
        </w:rPr>
        <w:t>Ксантопсия, преходно замъглено виждане, хороидален излив, остра тесноъгьлна глаукома и остра миопия.</w:t>
      </w:r>
    </w:p>
    <w:p w14:paraId="1519DE2F" w14:textId="1C6D71BD" w:rsidR="00FD3646" w:rsidRDefault="00FD3646" w:rsidP="00FD3646">
      <w:pPr>
        <w:rPr>
          <w:rFonts w:eastAsia="Times New Roman" w:cs="Arial"/>
          <w:color w:val="000000"/>
          <w:szCs w:val="20"/>
          <w:lang w:eastAsia="bg-BG"/>
        </w:rPr>
      </w:pPr>
    </w:p>
    <w:p w14:paraId="70E295D1" w14:textId="77777777" w:rsidR="00FD3646" w:rsidRPr="00FD3646" w:rsidRDefault="00FD3646" w:rsidP="00FD3646">
      <w:pPr>
        <w:spacing w:line="240" w:lineRule="auto"/>
        <w:rPr>
          <w:rFonts w:eastAsia="Times New Roman" w:cs="Arial"/>
          <w:lang w:eastAsia="bg-BG"/>
        </w:rPr>
      </w:pPr>
      <w:r w:rsidRPr="00FD3646">
        <w:rPr>
          <w:rFonts w:eastAsia="Times New Roman" w:cs="Arial"/>
          <w:i/>
          <w:iCs/>
          <w:color w:val="000000"/>
          <w:u w:val="single"/>
          <w:lang w:eastAsia="bg-BG"/>
        </w:rPr>
        <w:t>Нарушения на ухото и лабиринта</w:t>
      </w:r>
    </w:p>
    <w:p w14:paraId="3F9A53BC" w14:textId="77777777" w:rsidR="00FD3646" w:rsidRPr="00FD3646" w:rsidRDefault="00FD3646" w:rsidP="00FD3646">
      <w:pPr>
        <w:spacing w:line="240" w:lineRule="auto"/>
        <w:rPr>
          <w:rFonts w:eastAsia="Times New Roman" w:cs="Arial"/>
          <w:lang w:eastAsia="bg-BG"/>
        </w:rPr>
      </w:pPr>
      <w:r w:rsidRPr="00FD3646">
        <w:rPr>
          <w:rFonts w:eastAsia="Times New Roman" w:cs="Arial"/>
          <w:color w:val="000000"/>
          <w:lang w:eastAsia="bg-BG"/>
        </w:rPr>
        <w:t>Вертиго.</w:t>
      </w:r>
    </w:p>
    <w:p w14:paraId="27BD1FD9" w14:textId="77777777" w:rsidR="00FD3646" w:rsidRPr="00FD3646" w:rsidRDefault="00FD3646" w:rsidP="00FD3646">
      <w:pPr>
        <w:spacing w:line="240" w:lineRule="auto"/>
        <w:rPr>
          <w:rFonts w:eastAsia="Times New Roman" w:cs="Arial"/>
          <w:i/>
          <w:iCs/>
          <w:color w:val="000000"/>
          <w:u w:val="single"/>
          <w:lang w:eastAsia="bg-BG"/>
        </w:rPr>
      </w:pPr>
    </w:p>
    <w:p w14:paraId="1E8B20DA" w14:textId="0E59D7EC" w:rsidR="00FD3646" w:rsidRPr="00FD3646" w:rsidRDefault="00FD3646" w:rsidP="00FD3646">
      <w:pPr>
        <w:spacing w:line="240" w:lineRule="auto"/>
        <w:rPr>
          <w:rFonts w:eastAsia="Times New Roman" w:cs="Arial"/>
          <w:lang w:eastAsia="bg-BG"/>
        </w:rPr>
      </w:pPr>
      <w:r w:rsidRPr="00FD3646">
        <w:rPr>
          <w:rFonts w:eastAsia="Times New Roman" w:cs="Arial"/>
          <w:i/>
          <w:iCs/>
          <w:color w:val="000000"/>
          <w:u w:val="single"/>
          <w:lang w:eastAsia="bg-BG"/>
        </w:rPr>
        <w:t>Сърдечни нарушения</w:t>
      </w:r>
    </w:p>
    <w:p w14:paraId="5A77FE98" w14:textId="77777777" w:rsidR="00FD3646" w:rsidRPr="00FD3646" w:rsidRDefault="00FD3646" w:rsidP="00FD3646">
      <w:pPr>
        <w:spacing w:line="240" w:lineRule="auto"/>
        <w:rPr>
          <w:rFonts w:eastAsia="Times New Roman" w:cs="Arial"/>
          <w:lang w:eastAsia="bg-BG"/>
        </w:rPr>
      </w:pPr>
      <w:r w:rsidRPr="00FD3646">
        <w:rPr>
          <w:rFonts w:eastAsia="Times New Roman" w:cs="Arial"/>
          <w:color w:val="000000"/>
          <w:lang w:eastAsia="bg-BG"/>
        </w:rPr>
        <w:t>Постурална хипотония.</w:t>
      </w:r>
    </w:p>
    <w:p w14:paraId="29E7E151" w14:textId="77777777" w:rsidR="00FD3646" w:rsidRPr="00FD3646" w:rsidRDefault="00FD3646" w:rsidP="00FD3646">
      <w:pPr>
        <w:spacing w:line="240" w:lineRule="auto"/>
        <w:rPr>
          <w:rFonts w:eastAsia="Times New Roman" w:cs="Arial"/>
          <w:i/>
          <w:iCs/>
          <w:color w:val="000000"/>
          <w:u w:val="single"/>
          <w:lang w:eastAsia="bg-BG"/>
        </w:rPr>
      </w:pPr>
    </w:p>
    <w:p w14:paraId="486EFE49" w14:textId="1D7B9AA1" w:rsidR="00FD3646" w:rsidRPr="00FD3646" w:rsidRDefault="00FD3646" w:rsidP="00FD3646">
      <w:pPr>
        <w:spacing w:line="240" w:lineRule="auto"/>
        <w:rPr>
          <w:rFonts w:eastAsia="Times New Roman" w:cs="Arial"/>
          <w:lang w:eastAsia="bg-BG"/>
        </w:rPr>
      </w:pPr>
      <w:r w:rsidRPr="00FD3646">
        <w:rPr>
          <w:rFonts w:eastAsia="Times New Roman" w:cs="Arial"/>
          <w:i/>
          <w:iCs/>
          <w:color w:val="000000"/>
          <w:u w:val="single"/>
          <w:lang w:eastAsia="bg-BG"/>
        </w:rPr>
        <w:t>Съдови нарушения</w:t>
      </w:r>
    </w:p>
    <w:p w14:paraId="651E1407" w14:textId="77777777" w:rsidR="00FD3646" w:rsidRPr="00FD3646" w:rsidRDefault="00FD3646" w:rsidP="00FD3646">
      <w:pPr>
        <w:spacing w:line="240" w:lineRule="auto"/>
        <w:rPr>
          <w:rFonts w:eastAsia="Times New Roman" w:cs="Arial"/>
          <w:lang w:eastAsia="bg-BG"/>
        </w:rPr>
      </w:pPr>
      <w:r w:rsidRPr="00FD3646">
        <w:rPr>
          <w:rFonts w:eastAsia="Times New Roman" w:cs="Arial"/>
          <w:color w:val="000000"/>
          <w:lang w:eastAsia="bg-BG"/>
        </w:rPr>
        <w:t>Некротизиращ ангиит (васкулит).</w:t>
      </w:r>
    </w:p>
    <w:p w14:paraId="1AA450E7" w14:textId="77777777" w:rsidR="00FD3646" w:rsidRPr="00FD3646" w:rsidRDefault="00FD3646" w:rsidP="00FD3646">
      <w:pPr>
        <w:spacing w:line="240" w:lineRule="auto"/>
        <w:rPr>
          <w:rFonts w:eastAsia="Times New Roman" w:cs="Arial"/>
          <w:i/>
          <w:iCs/>
          <w:color w:val="000000"/>
          <w:u w:val="single"/>
          <w:lang w:eastAsia="bg-BG"/>
        </w:rPr>
      </w:pPr>
    </w:p>
    <w:p w14:paraId="4DF344C2" w14:textId="3FBB9733" w:rsidR="00FD3646" w:rsidRPr="00FD3646" w:rsidRDefault="00FD3646" w:rsidP="00FD3646">
      <w:pPr>
        <w:spacing w:line="240" w:lineRule="auto"/>
        <w:rPr>
          <w:rFonts w:eastAsia="Times New Roman" w:cs="Arial"/>
          <w:lang w:eastAsia="bg-BG"/>
        </w:rPr>
      </w:pPr>
      <w:r w:rsidRPr="00FD3646">
        <w:rPr>
          <w:rFonts w:eastAsia="Times New Roman" w:cs="Arial"/>
          <w:i/>
          <w:iCs/>
          <w:color w:val="000000"/>
          <w:u w:val="single"/>
          <w:lang w:eastAsia="bg-BG"/>
        </w:rPr>
        <w:t>Респиратори, гръдни и медиастенални нарушения</w:t>
      </w:r>
    </w:p>
    <w:p w14:paraId="08A195C1" w14:textId="77777777" w:rsidR="00FD3646" w:rsidRPr="00FD3646" w:rsidRDefault="00FD3646" w:rsidP="00FD3646">
      <w:pPr>
        <w:spacing w:line="240" w:lineRule="auto"/>
        <w:rPr>
          <w:rFonts w:eastAsia="Times New Roman" w:cs="Arial"/>
          <w:lang w:eastAsia="bg-BG"/>
        </w:rPr>
      </w:pPr>
      <w:r w:rsidRPr="00FD3646">
        <w:rPr>
          <w:rFonts w:eastAsia="Times New Roman" w:cs="Arial"/>
          <w:color w:val="000000"/>
          <w:lang w:eastAsia="bg-BG"/>
        </w:rPr>
        <w:t>Респираторен дистрес (включващ пневмонит и белодробен едем).</w:t>
      </w:r>
    </w:p>
    <w:p w14:paraId="6CE66008" w14:textId="77777777" w:rsidR="00FD3646" w:rsidRPr="00FD3646" w:rsidRDefault="00FD3646" w:rsidP="00FD3646">
      <w:pPr>
        <w:spacing w:line="240" w:lineRule="auto"/>
        <w:rPr>
          <w:rFonts w:eastAsia="Times New Roman" w:cs="Arial"/>
          <w:i/>
          <w:iCs/>
          <w:color w:val="000000"/>
          <w:u w:val="single"/>
          <w:lang w:eastAsia="bg-BG"/>
        </w:rPr>
      </w:pPr>
    </w:p>
    <w:p w14:paraId="39FAC755" w14:textId="2CC06B70" w:rsidR="00FD3646" w:rsidRPr="00FD3646" w:rsidRDefault="00FD3646" w:rsidP="00FD3646">
      <w:pPr>
        <w:spacing w:line="240" w:lineRule="auto"/>
        <w:rPr>
          <w:rFonts w:eastAsia="Times New Roman" w:cs="Arial"/>
          <w:lang w:eastAsia="bg-BG"/>
        </w:rPr>
      </w:pPr>
      <w:r w:rsidRPr="00FD3646">
        <w:rPr>
          <w:rFonts w:eastAsia="Times New Roman" w:cs="Arial"/>
          <w:i/>
          <w:iCs/>
          <w:color w:val="000000"/>
          <w:u w:val="single"/>
          <w:lang w:eastAsia="bg-BG"/>
        </w:rPr>
        <w:t>Стомашно-чревни нарушения</w:t>
      </w:r>
    </w:p>
    <w:p w14:paraId="64BDE6E3" w14:textId="77777777" w:rsidR="00FD3646" w:rsidRPr="00FD3646" w:rsidRDefault="00FD3646" w:rsidP="00FD3646">
      <w:pPr>
        <w:spacing w:line="240" w:lineRule="auto"/>
        <w:rPr>
          <w:rFonts w:eastAsia="Times New Roman" w:cs="Arial"/>
          <w:lang w:eastAsia="bg-BG"/>
        </w:rPr>
      </w:pPr>
      <w:r w:rsidRPr="00FD3646">
        <w:rPr>
          <w:rFonts w:eastAsia="Times New Roman" w:cs="Arial"/>
          <w:color w:val="000000"/>
          <w:lang w:eastAsia="bg-BG"/>
        </w:rPr>
        <w:t>Стомашно възпаление, диария, констипация, панкреатит.</w:t>
      </w:r>
    </w:p>
    <w:p w14:paraId="3E3705D2" w14:textId="77777777" w:rsidR="00FD3646" w:rsidRPr="00FD3646" w:rsidRDefault="00FD3646" w:rsidP="00FD3646">
      <w:pPr>
        <w:spacing w:line="240" w:lineRule="auto"/>
        <w:rPr>
          <w:rFonts w:eastAsia="Times New Roman" w:cs="Arial"/>
          <w:i/>
          <w:iCs/>
          <w:color w:val="000000"/>
          <w:u w:val="single"/>
          <w:lang w:eastAsia="bg-BG"/>
        </w:rPr>
      </w:pPr>
    </w:p>
    <w:p w14:paraId="644F7897" w14:textId="5CFF0386" w:rsidR="00FD3646" w:rsidRPr="00FD3646" w:rsidRDefault="00FD3646" w:rsidP="00FD3646">
      <w:pPr>
        <w:spacing w:line="240" w:lineRule="auto"/>
        <w:rPr>
          <w:rFonts w:eastAsia="Times New Roman" w:cs="Arial"/>
          <w:lang w:eastAsia="bg-BG"/>
        </w:rPr>
      </w:pPr>
      <w:r w:rsidRPr="00FD3646">
        <w:rPr>
          <w:rFonts w:eastAsia="Times New Roman" w:cs="Arial"/>
          <w:i/>
          <w:iCs/>
          <w:color w:val="000000"/>
          <w:u w:val="single"/>
          <w:lang w:eastAsia="bg-BG"/>
        </w:rPr>
        <w:t>Хепато-билиарни нарушения</w:t>
      </w:r>
    </w:p>
    <w:p w14:paraId="57D228CC" w14:textId="77777777" w:rsidR="00FD3646" w:rsidRPr="00FD3646" w:rsidRDefault="00FD3646" w:rsidP="00FD3646">
      <w:pPr>
        <w:spacing w:line="240" w:lineRule="auto"/>
        <w:rPr>
          <w:rFonts w:eastAsia="Times New Roman" w:cs="Arial"/>
          <w:lang w:eastAsia="bg-BG"/>
        </w:rPr>
      </w:pPr>
      <w:r w:rsidRPr="00FD3646">
        <w:rPr>
          <w:rFonts w:eastAsia="Times New Roman" w:cs="Arial"/>
          <w:color w:val="000000"/>
          <w:lang w:eastAsia="bg-BG"/>
        </w:rPr>
        <w:t>Жълтеница (интрахепатална холестатична жълтеница).</w:t>
      </w:r>
    </w:p>
    <w:p w14:paraId="3E6FBADD" w14:textId="77777777" w:rsidR="00FD3646" w:rsidRPr="00FD3646" w:rsidRDefault="00FD3646" w:rsidP="00FD3646">
      <w:pPr>
        <w:spacing w:line="240" w:lineRule="auto"/>
        <w:rPr>
          <w:rFonts w:eastAsia="Times New Roman" w:cs="Arial"/>
          <w:i/>
          <w:iCs/>
          <w:color w:val="000000"/>
          <w:u w:val="single"/>
          <w:lang w:eastAsia="bg-BG"/>
        </w:rPr>
      </w:pPr>
    </w:p>
    <w:p w14:paraId="34740230" w14:textId="5FE71078" w:rsidR="00FD3646" w:rsidRPr="00FD3646" w:rsidRDefault="00FD3646" w:rsidP="00FD3646">
      <w:pPr>
        <w:spacing w:line="240" w:lineRule="auto"/>
        <w:rPr>
          <w:rFonts w:eastAsia="Times New Roman" w:cs="Arial"/>
          <w:lang w:eastAsia="bg-BG"/>
        </w:rPr>
      </w:pPr>
      <w:r w:rsidRPr="00FD3646">
        <w:rPr>
          <w:rFonts w:eastAsia="Times New Roman" w:cs="Arial"/>
          <w:i/>
          <w:iCs/>
          <w:color w:val="000000"/>
          <w:u w:val="single"/>
          <w:lang w:eastAsia="bg-BG"/>
        </w:rPr>
        <w:t>Нарушения на кожата и подкожната тъкан</w:t>
      </w:r>
    </w:p>
    <w:p w14:paraId="6184AA60" w14:textId="77777777" w:rsidR="00FD3646" w:rsidRPr="00FD3646" w:rsidRDefault="00FD3646" w:rsidP="00FD3646">
      <w:pPr>
        <w:spacing w:line="240" w:lineRule="auto"/>
        <w:rPr>
          <w:rFonts w:eastAsia="Times New Roman" w:cs="Arial"/>
          <w:lang w:eastAsia="bg-BG"/>
        </w:rPr>
      </w:pPr>
      <w:r w:rsidRPr="00FD3646">
        <w:rPr>
          <w:rFonts w:eastAsia="Times New Roman" w:cs="Arial"/>
          <w:color w:val="000000"/>
          <w:lang w:eastAsia="bg-BG"/>
        </w:rPr>
        <w:t>Реакции на фоточувствителност, обрив, системен лупус еритематодес, кожни лупус еритематодес подобни реакции, активиране на кожен лупус еритематодес, уртикария, анафилактични реакции, токсична епидермална некролиза.</w:t>
      </w:r>
    </w:p>
    <w:p w14:paraId="141BB0C2" w14:textId="77777777" w:rsidR="00FD3646" w:rsidRPr="00FD3646" w:rsidRDefault="00FD3646" w:rsidP="00FD3646">
      <w:pPr>
        <w:spacing w:line="240" w:lineRule="auto"/>
        <w:rPr>
          <w:rFonts w:eastAsia="Times New Roman" w:cs="Arial"/>
          <w:i/>
          <w:iCs/>
          <w:color w:val="000000"/>
          <w:u w:val="single"/>
          <w:lang w:eastAsia="bg-BG"/>
        </w:rPr>
      </w:pPr>
    </w:p>
    <w:p w14:paraId="398914E5" w14:textId="5F608002" w:rsidR="00FD3646" w:rsidRPr="00FD3646" w:rsidRDefault="00FD3646" w:rsidP="00FD3646">
      <w:pPr>
        <w:spacing w:line="240" w:lineRule="auto"/>
        <w:rPr>
          <w:rFonts w:eastAsia="Times New Roman" w:cs="Arial"/>
          <w:lang w:eastAsia="bg-BG"/>
        </w:rPr>
      </w:pPr>
      <w:r w:rsidRPr="00FD3646">
        <w:rPr>
          <w:rFonts w:eastAsia="Times New Roman" w:cs="Arial"/>
          <w:i/>
          <w:iCs/>
          <w:color w:val="000000"/>
          <w:u w:val="single"/>
          <w:lang w:eastAsia="bg-BG"/>
        </w:rPr>
        <w:t>Нарушения на мускулно-скелетната система и съединителната тъкан</w:t>
      </w:r>
    </w:p>
    <w:p w14:paraId="5AF35DDF" w14:textId="77777777" w:rsidR="00FD3646" w:rsidRPr="00FD3646" w:rsidRDefault="00FD3646" w:rsidP="00FD3646">
      <w:pPr>
        <w:spacing w:line="240" w:lineRule="auto"/>
        <w:rPr>
          <w:rFonts w:eastAsia="Times New Roman" w:cs="Arial"/>
          <w:lang w:eastAsia="bg-BG"/>
        </w:rPr>
      </w:pPr>
      <w:r w:rsidRPr="00FD3646">
        <w:rPr>
          <w:rFonts w:eastAsia="Times New Roman" w:cs="Arial"/>
          <w:color w:val="000000"/>
          <w:lang w:eastAsia="bg-BG"/>
        </w:rPr>
        <w:t>Мускулни спазми, мускулна слабост.</w:t>
      </w:r>
    </w:p>
    <w:p w14:paraId="3A1AA2DA" w14:textId="77777777" w:rsidR="00FD3646" w:rsidRPr="00FD3646" w:rsidRDefault="00FD3646" w:rsidP="00FD3646">
      <w:pPr>
        <w:spacing w:line="240" w:lineRule="auto"/>
        <w:rPr>
          <w:rFonts w:eastAsia="Times New Roman" w:cs="Arial"/>
          <w:i/>
          <w:iCs/>
          <w:color w:val="000000"/>
          <w:u w:val="single"/>
          <w:lang w:eastAsia="bg-BG"/>
        </w:rPr>
      </w:pPr>
    </w:p>
    <w:p w14:paraId="45651532" w14:textId="0558C8C3" w:rsidR="00FD3646" w:rsidRPr="00FD3646" w:rsidRDefault="00FD3646" w:rsidP="00FD3646">
      <w:pPr>
        <w:spacing w:line="240" w:lineRule="auto"/>
        <w:rPr>
          <w:rFonts w:eastAsia="Times New Roman" w:cs="Arial"/>
          <w:lang w:eastAsia="bg-BG"/>
        </w:rPr>
      </w:pPr>
      <w:r w:rsidRPr="00FD3646">
        <w:rPr>
          <w:rFonts w:eastAsia="Times New Roman" w:cs="Arial"/>
          <w:i/>
          <w:iCs/>
          <w:color w:val="000000"/>
          <w:u w:val="single"/>
          <w:lang w:eastAsia="bg-BG"/>
        </w:rPr>
        <w:lastRenderedPageBreak/>
        <w:t>Нарушения на бъбреиите и пикочните пътища</w:t>
      </w:r>
    </w:p>
    <w:p w14:paraId="50BBF21F" w14:textId="77777777" w:rsidR="00FD3646" w:rsidRPr="00FD3646" w:rsidRDefault="00FD3646" w:rsidP="00FD3646">
      <w:pPr>
        <w:spacing w:line="240" w:lineRule="auto"/>
        <w:rPr>
          <w:rFonts w:eastAsia="Times New Roman" w:cs="Arial"/>
          <w:lang w:eastAsia="bg-BG"/>
        </w:rPr>
      </w:pPr>
      <w:r w:rsidRPr="00FD3646">
        <w:rPr>
          <w:rFonts w:eastAsia="Times New Roman" w:cs="Arial"/>
          <w:color w:val="000000"/>
          <w:lang w:eastAsia="bg-BG"/>
        </w:rPr>
        <w:t>Нарушения на бъбречната функция, интерстициален нефрит.</w:t>
      </w:r>
    </w:p>
    <w:p w14:paraId="3B758825" w14:textId="77777777" w:rsidR="00FD3646" w:rsidRPr="00FD3646" w:rsidRDefault="00FD3646" w:rsidP="00FD3646">
      <w:pPr>
        <w:spacing w:line="240" w:lineRule="auto"/>
        <w:rPr>
          <w:rFonts w:eastAsia="Times New Roman" w:cs="Arial"/>
          <w:lang w:eastAsia="bg-BG"/>
        </w:rPr>
      </w:pPr>
    </w:p>
    <w:p w14:paraId="62FE0C42" w14:textId="55446222" w:rsidR="00FD3646" w:rsidRPr="00FD3646" w:rsidRDefault="00FD3646" w:rsidP="00FD3646">
      <w:pPr>
        <w:spacing w:line="240" w:lineRule="auto"/>
        <w:rPr>
          <w:rFonts w:eastAsia="Times New Roman" w:cs="Arial"/>
          <w:lang w:eastAsia="bg-BG"/>
        </w:rPr>
      </w:pPr>
      <w:r w:rsidRPr="00FD3646">
        <w:rPr>
          <w:rFonts w:eastAsia="Times New Roman" w:cs="Arial"/>
          <w:i/>
          <w:iCs/>
          <w:color w:val="000000"/>
          <w:u w:val="single"/>
          <w:lang w:eastAsia="bg-BG"/>
        </w:rPr>
        <w:t xml:space="preserve">Общи нарушения </w:t>
      </w:r>
    </w:p>
    <w:p w14:paraId="3C00E853" w14:textId="2AE66003" w:rsidR="00FD3646" w:rsidRPr="00FD3646" w:rsidRDefault="00FD3646" w:rsidP="00FD3646">
      <w:pPr>
        <w:spacing w:line="240" w:lineRule="auto"/>
        <w:rPr>
          <w:rFonts w:eastAsia="Times New Roman" w:cs="Arial"/>
          <w:lang w:eastAsia="bg-BG"/>
        </w:rPr>
      </w:pPr>
      <w:r w:rsidRPr="00FD3646">
        <w:rPr>
          <w:rFonts w:eastAsia="Times New Roman" w:cs="Arial"/>
          <w:color w:val="000000"/>
          <w:lang w:eastAsia="bg-BG"/>
        </w:rPr>
        <w:t>Треска, слабост.</w:t>
      </w:r>
    </w:p>
    <w:p w14:paraId="6A6DB8DD" w14:textId="77777777" w:rsidR="00FD3646" w:rsidRPr="00FD3646" w:rsidRDefault="00FD3646" w:rsidP="00FD3646">
      <w:pPr>
        <w:spacing w:line="240" w:lineRule="auto"/>
        <w:rPr>
          <w:rFonts w:eastAsia="Times New Roman" w:cs="Arial"/>
          <w:i/>
          <w:iCs/>
          <w:color w:val="000000"/>
          <w:lang w:eastAsia="bg-BG"/>
        </w:rPr>
      </w:pPr>
    </w:p>
    <w:p w14:paraId="09DD84BC" w14:textId="50691594" w:rsidR="00FD3646" w:rsidRPr="00FD3646" w:rsidRDefault="00FD3646" w:rsidP="00FD3646">
      <w:pPr>
        <w:spacing w:line="240" w:lineRule="auto"/>
        <w:rPr>
          <w:rFonts w:eastAsia="Times New Roman" w:cs="Arial"/>
          <w:lang w:eastAsia="bg-BG"/>
        </w:rPr>
      </w:pPr>
      <w:r w:rsidRPr="00FD3646">
        <w:rPr>
          <w:rFonts w:eastAsia="Times New Roman" w:cs="Arial"/>
          <w:i/>
          <w:iCs/>
          <w:color w:val="000000"/>
          <w:lang w:eastAsia="bg-BG"/>
        </w:rPr>
        <w:t>Описание на избрани нежелани реакции</w:t>
      </w:r>
    </w:p>
    <w:p w14:paraId="1239C5D7" w14:textId="77777777" w:rsidR="00FD3646" w:rsidRPr="00FD3646" w:rsidRDefault="00FD3646" w:rsidP="00FD3646">
      <w:pPr>
        <w:spacing w:line="240" w:lineRule="auto"/>
        <w:rPr>
          <w:rFonts w:eastAsia="Times New Roman" w:cs="Arial"/>
          <w:lang w:eastAsia="bg-BG"/>
        </w:rPr>
      </w:pPr>
      <w:r w:rsidRPr="00FD3646">
        <w:rPr>
          <w:rFonts w:eastAsia="Times New Roman" w:cs="Arial"/>
          <w:color w:val="000000"/>
          <w:lang w:eastAsia="bg-BG"/>
        </w:rPr>
        <w:t>Немеланомен рак на кожата: Въз основа на наличните данни от епидемиологични проучвания е наблюдавана зависима от кумулативната доза връзка между ХХТЗ и НМРК (вж. също точки 4.4 и 5.1).</w:t>
      </w:r>
    </w:p>
    <w:p w14:paraId="405D2534" w14:textId="77777777" w:rsidR="00FD3646" w:rsidRPr="00FD3646" w:rsidRDefault="00FD3646" w:rsidP="00FD3646">
      <w:pPr>
        <w:spacing w:line="240" w:lineRule="auto"/>
        <w:rPr>
          <w:rFonts w:eastAsia="Times New Roman" w:cs="Arial"/>
          <w:color w:val="000000"/>
          <w:lang w:eastAsia="bg-BG"/>
        </w:rPr>
      </w:pPr>
    </w:p>
    <w:p w14:paraId="4D677CA8" w14:textId="7A022BF4" w:rsidR="00FD3646" w:rsidRPr="00FD3646" w:rsidRDefault="00FD3646" w:rsidP="00FD3646">
      <w:pPr>
        <w:spacing w:line="240" w:lineRule="auto"/>
        <w:rPr>
          <w:rFonts w:eastAsia="Times New Roman" w:cs="Arial"/>
          <w:lang w:eastAsia="bg-BG"/>
        </w:rPr>
      </w:pPr>
      <w:r w:rsidRPr="00FD3646">
        <w:rPr>
          <w:rFonts w:eastAsia="Times New Roman" w:cs="Arial"/>
          <w:color w:val="000000"/>
          <w:lang w:eastAsia="bg-BG"/>
        </w:rPr>
        <w:t>За случаи на хороидален излив с дефект на зрителното поле се съобщава след употреба на тиазиди и тиазид-подобни диуретици.</w:t>
      </w:r>
    </w:p>
    <w:p w14:paraId="06A16DE9" w14:textId="77777777" w:rsidR="00FD3646" w:rsidRPr="00FD3646" w:rsidRDefault="00FD3646" w:rsidP="00FD3646">
      <w:pPr>
        <w:spacing w:line="240" w:lineRule="auto"/>
        <w:rPr>
          <w:rFonts w:eastAsia="Times New Roman" w:cs="Arial"/>
          <w:b/>
          <w:bCs/>
          <w:color w:val="000000"/>
          <w:u w:val="single"/>
          <w:lang w:eastAsia="bg-BG"/>
        </w:rPr>
      </w:pPr>
    </w:p>
    <w:p w14:paraId="162611AD" w14:textId="6067BBED" w:rsidR="00FD3646" w:rsidRPr="00FD3646" w:rsidRDefault="00FD3646" w:rsidP="00FD3646">
      <w:pPr>
        <w:spacing w:line="240" w:lineRule="auto"/>
        <w:rPr>
          <w:rFonts w:eastAsia="Times New Roman" w:cs="Arial"/>
          <w:lang w:eastAsia="bg-BG"/>
        </w:rPr>
      </w:pPr>
      <w:r w:rsidRPr="00FD3646">
        <w:rPr>
          <w:rFonts w:eastAsia="Times New Roman" w:cs="Arial"/>
          <w:b/>
          <w:bCs/>
          <w:color w:val="000000"/>
          <w:u w:val="single"/>
          <w:lang w:eastAsia="bg-BG"/>
        </w:rPr>
        <w:t>Съобщаване на подозирани нежелани реакции</w:t>
      </w:r>
    </w:p>
    <w:p w14:paraId="4D80C8C1" w14:textId="77777777" w:rsidR="00FD3646" w:rsidRPr="00FD3646" w:rsidRDefault="00FD3646" w:rsidP="00FD3646">
      <w:pPr>
        <w:spacing w:line="240" w:lineRule="auto"/>
        <w:rPr>
          <w:rFonts w:eastAsia="Times New Roman" w:cs="Arial"/>
          <w:lang w:eastAsia="bg-BG"/>
        </w:rPr>
      </w:pPr>
      <w:r w:rsidRPr="00FD3646">
        <w:rPr>
          <w:rFonts w:eastAsia="Times New Roman" w:cs="Arial"/>
          <w:color w:val="000000"/>
          <w:lang w:eastAsia="bg-BG"/>
        </w:rPr>
        <w:t>Съобщаването на подозирани нежелани лекарствени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национална система за съобщаване на Изпълнителна агенция по лекарствата.</w:t>
      </w:r>
    </w:p>
    <w:p w14:paraId="18547641" w14:textId="77777777" w:rsidR="00FD3646" w:rsidRPr="00FD3646" w:rsidRDefault="00FD3646" w:rsidP="00FD3646">
      <w:pPr>
        <w:spacing w:line="240" w:lineRule="auto"/>
        <w:rPr>
          <w:rFonts w:eastAsia="Times New Roman" w:cs="Arial"/>
          <w:b/>
          <w:bCs/>
          <w:color w:val="000000"/>
          <w:lang w:eastAsia="bg-BG"/>
        </w:rPr>
      </w:pPr>
    </w:p>
    <w:p w14:paraId="60A262B6" w14:textId="26F4CC75" w:rsidR="00FD3646" w:rsidRPr="00FD3646" w:rsidRDefault="00FD3646" w:rsidP="00FD3646">
      <w:pPr>
        <w:spacing w:line="240" w:lineRule="auto"/>
        <w:rPr>
          <w:rFonts w:eastAsia="Times New Roman" w:cs="Arial"/>
          <w:lang w:eastAsia="bg-BG"/>
        </w:rPr>
      </w:pPr>
      <w:r w:rsidRPr="00FD3646">
        <w:rPr>
          <w:rFonts w:eastAsia="Times New Roman" w:cs="Arial"/>
          <w:b/>
          <w:bCs/>
          <w:color w:val="000000"/>
          <w:lang w:eastAsia="bg-BG"/>
        </w:rPr>
        <w:t>Контакти:</w:t>
      </w:r>
    </w:p>
    <w:p w14:paraId="50B1CEB6" w14:textId="77777777" w:rsidR="00FD3646" w:rsidRPr="00FD3646" w:rsidRDefault="00FD3646" w:rsidP="00FD3646">
      <w:pPr>
        <w:spacing w:line="240" w:lineRule="auto"/>
        <w:rPr>
          <w:rFonts w:eastAsia="Times New Roman" w:cs="Arial"/>
          <w:lang w:eastAsia="bg-BG"/>
        </w:rPr>
      </w:pPr>
      <w:r w:rsidRPr="00FD3646">
        <w:rPr>
          <w:rFonts w:eastAsia="Times New Roman" w:cs="Arial"/>
          <w:color w:val="000000"/>
          <w:lang w:eastAsia="bg-BG"/>
        </w:rPr>
        <w:t>Изпълнителна агенция по лекарствата.</w:t>
      </w:r>
    </w:p>
    <w:p w14:paraId="5053F9DA" w14:textId="77777777" w:rsidR="00FD3646" w:rsidRPr="00FD3646" w:rsidRDefault="00FD3646" w:rsidP="00FD3646">
      <w:pPr>
        <w:spacing w:line="240" w:lineRule="auto"/>
        <w:rPr>
          <w:rFonts w:eastAsia="Times New Roman" w:cs="Arial"/>
          <w:lang w:eastAsia="bg-BG"/>
        </w:rPr>
      </w:pPr>
      <w:r w:rsidRPr="00FD3646">
        <w:rPr>
          <w:rFonts w:eastAsia="Times New Roman" w:cs="Arial"/>
          <w:color w:val="000000"/>
          <w:lang w:eastAsia="bg-BG"/>
        </w:rPr>
        <w:t>ул. „Дамян Груев” № 8</w:t>
      </w:r>
    </w:p>
    <w:p w14:paraId="40A502F3" w14:textId="77777777" w:rsidR="00FD3646" w:rsidRPr="00FD3646" w:rsidRDefault="00FD3646" w:rsidP="00FD3646">
      <w:pPr>
        <w:spacing w:line="240" w:lineRule="auto"/>
        <w:rPr>
          <w:rFonts w:eastAsia="Times New Roman" w:cs="Arial"/>
          <w:lang w:eastAsia="bg-BG"/>
        </w:rPr>
      </w:pPr>
      <w:r w:rsidRPr="00FD3646">
        <w:rPr>
          <w:rFonts w:eastAsia="Times New Roman" w:cs="Arial"/>
          <w:color w:val="000000"/>
          <w:lang w:eastAsia="bg-BG"/>
        </w:rPr>
        <w:t>1303 София</w:t>
      </w:r>
    </w:p>
    <w:p w14:paraId="2DB13022" w14:textId="156F0D8E" w:rsidR="00FD3646" w:rsidRPr="00FD3646" w:rsidRDefault="00FD3646" w:rsidP="00FD3646">
      <w:pPr>
        <w:rPr>
          <w:rFonts w:cs="Arial"/>
        </w:rPr>
      </w:pPr>
      <w:r w:rsidRPr="00FD3646">
        <w:rPr>
          <w:rFonts w:eastAsia="Times New Roman" w:cs="Arial"/>
          <w:color w:val="000000"/>
          <w:lang w:eastAsia="bg-BG"/>
        </w:rPr>
        <w:t xml:space="preserve">Тел.: +35 928903417 уебсайт: </w:t>
      </w:r>
      <w:r w:rsidRPr="00FD3646">
        <w:rPr>
          <w:rFonts w:eastAsia="Times New Roman" w:cs="Arial"/>
          <w:lang w:eastAsia="bg-BG"/>
        </w:rPr>
        <w:fldChar w:fldCharType="begin"/>
      </w:r>
      <w:r w:rsidRPr="00FD3646">
        <w:rPr>
          <w:rFonts w:eastAsia="Times New Roman" w:cs="Arial"/>
          <w:lang w:eastAsia="bg-BG"/>
        </w:rPr>
        <w:instrText xml:space="preserve"> HYPERLINK "http://www.bda.bg" </w:instrText>
      </w:r>
      <w:r w:rsidRPr="00FD3646">
        <w:rPr>
          <w:rFonts w:eastAsia="Times New Roman" w:cs="Arial"/>
          <w:lang w:eastAsia="bg-BG"/>
        </w:rPr>
      </w:r>
      <w:r w:rsidRPr="00FD3646">
        <w:rPr>
          <w:rFonts w:eastAsia="Times New Roman" w:cs="Arial"/>
          <w:lang w:eastAsia="bg-BG"/>
        </w:rPr>
        <w:fldChar w:fldCharType="separate"/>
      </w:r>
      <w:r w:rsidRPr="00FD3646">
        <w:rPr>
          <w:rFonts w:eastAsia="Times New Roman" w:cs="Arial"/>
          <w:color w:val="000000"/>
          <w:u w:val="single"/>
          <w:lang w:val="en-US"/>
        </w:rPr>
        <w:t>www.bda.bg</w:t>
      </w:r>
      <w:r w:rsidRPr="00FD3646">
        <w:rPr>
          <w:rFonts w:eastAsia="Times New Roman" w:cs="Arial"/>
          <w:lang w:eastAsia="bg-BG"/>
        </w:rPr>
        <w:fldChar w:fldCharType="end"/>
      </w:r>
    </w:p>
    <w:p w14:paraId="1F1DD028" w14:textId="77777777" w:rsidR="00FD3646" w:rsidRPr="00FD3646" w:rsidRDefault="00FD3646" w:rsidP="00FD3646"/>
    <w:p w14:paraId="0A023CE0" w14:textId="5C86C274" w:rsidR="00CF77F7" w:rsidRDefault="002C50EE" w:rsidP="004A448E">
      <w:pPr>
        <w:pStyle w:val="Heading2"/>
      </w:pPr>
      <w:r>
        <w:t>4.9. Предозиране</w:t>
      </w:r>
    </w:p>
    <w:p w14:paraId="284254F8" w14:textId="2467E13A" w:rsidR="00FD3646" w:rsidRPr="00FD3646" w:rsidRDefault="00FD3646" w:rsidP="00FD3646">
      <w:pPr>
        <w:spacing w:line="240" w:lineRule="auto"/>
        <w:rPr>
          <w:rFonts w:ascii="Times New Roman" w:eastAsia="Times New Roman" w:hAnsi="Times New Roman" w:cs="Times New Roman"/>
          <w:sz w:val="24"/>
          <w:szCs w:val="24"/>
          <w:lang w:eastAsia="bg-BG"/>
        </w:rPr>
      </w:pPr>
    </w:p>
    <w:p w14:paraId="0826B5C2" w14:textId="40384643" w:rsidR="00FD3646" w:rsidRPr="00615305" w:rsidRDefault="00FD3646" w:rsidP="00615305">
      <w:pPr>
        <w:pStyle w:val="Heading3"/>
        <w:rPr>
          <w:rFonts w:eastAsia="Times New Roman"/>
          <w:u w:val="single"/>
          <w:lang w:eastAsia="bg-BG"/>
        </w:rPr>
      </w:pPr>
      <w:r w:rsidRPr="00615305">
        <w:rPr>
          <w:rFonts w:eastAsia="Times New Roman"/>
          <w:u w:val="single"/>
          <w:lang w:eastAsia="bg-BG"/>
        </w:rPr>
        <w:t>Симптоми</w:t>
      </w:r>
    </w:p>
    <w:p w14:paraId="1FA4BCC4" w14:textId="77777777" w:rsidR="00FD3646" w:rsidRPr="00FD3646" w:rsidRDefault="00FD3646" w:rsidP="00FD3646">
      <w:pPr>
        <w:spacing w:line="240" w:lineRule="auto"/>
        <w:rPr>
          <w:rFonts w:eastAsia="Times New Roman" w:cs="Arial"/>
          <w:sz w:val="28"/>
          <w:szCs w:val="24"/>
          <w:lang w:eastAsia="bg-BG"/>
        </w:rPr>
      </w:pPr>
      <w:r w:rsidRPr="00FD3646">
        <w:rPr>
          <w:rFonts w:eastAsia="Times New Roman" w:cs="Arial"/>
          <w:color w:val="000000"/>
          <w:szCs w:val="20"/>
          <w:lang w:eastAsia="bg-BG"/>
        </w:rPr>
        <w:t>Има ограничено количество данни за предозиране при хора. Симптомите при предозиране с АСЕ инхибитори може да включват хипотония, циркулаторен шок, електролитен дисбаланс, бъбречна недостатъчност, хипервентилация, тахикардия, палпитации, брадикардия, замаяност, безпокойство, кашлица.</w:t>
      </w:r>
    </w:p>
    <w:p w14:paraId="0DEA7BAE" w14:textId="77777777" w:rsidR="00FD3646" w:rsidRPr="00FD3646" w:rsidRDefault="00FD3646" w:rsidP="00FD3646">
      <w:pPr>
        <w:spacing w:line="240" w:lineRule="auto"/>
        <w:rPr>
          <w:rFonts w:eastAsia="Times New Roman" w:cs="Arial"/>
          <w:sz w:val="28"/>
          <w:szCs w:val="24"/>
          <w:lang w:eastAsia="bg-BG"/>
        </w:rPr>
      </w:pPr>
      <w:r w:rsidRPr="00FD3646">
        <w:rPr>
          <w:rFonts w:eastAsia="Times New Roman" w:cs="Arial"/>
          <w:color w:val="000000"/>
          <w:szCs w:val="20"/>
          <w:lang w:eastAsia="bg-BG"/>
        </w:rPr>
        <w:t>Допълнителни симптоми от предозиране с хирохлоротиазид са усилване на диурезата, потискане на съзнанието до кома, конвулсии, пареза, сърдечна аритмия и бъбречна недостатъчност.</w:t>
      </w:r>
    </w:p>
    <w:p w14:paraId="5D682303" w14:textId="77777777" w:rsidR="00FD3646" w:rsidRPr="00FD3646" w:rsidRDefault="00FD3646" w:rsidP="00FD3646">
      <w:pPr>
        <w:spacing w:line="240" w:lineRule="auto"/>
        <w:rPr>
          <w:rFonts w:eastAsia="Times New Roman" w:cs="Arial"/>
          <w:color w:val="000000"/>
          <w:szCs w:val="20"/>
          <w:lang w:eastAsia="bg-BG"/>
        </w:rPr>
      </w:pPr>
    </w:p>
    <w:p w14:paraId="779778D5" w14:textId="57B888E2" w:rsidR="00FD3646" w:rsidRPr="00FD3646" w:rsidRDefault="00FD3646" w:rsidP="00FD3646">
      <w:pPr>
        <w:spacing w:line="240" w:lineRule="auto"/>
        <w:rPr>
          <w:rFonts w:eastAsia="Times New Roman" w:cs="Arial"/>
          <w:sz w:val="28"/>
          <w:szCs w:val="24"/>
          <w:lang w:eastAsia="bg-BG"/>
        </w:rPr>
      </w:pPr>
      <w:r w:rsidRPr="00FD3646">
        <w:rPr>
          <w:rFonts w:eastAsia="Times New Roman" w:cs="Arial"/>
          <w:color w:val="000000"/>
          <w:szCs w:val="20"/>
          <w:lang w:eastAsia="bg-BG"/>
        </w:rPr>
        <w:t>При едновременен прием на дигиталис, хипокалиемията може да бъде придружена от ритъм ни нарушения.</w:t>
      </w:r>
    </w:p>
    <w:p w14:paraId="3F40839D" w14:textId="77777777" w:rsidR="00FD3646" w:rsidRPr="00FD3646" w:rsidRDefault="00FD3646" w:rsidP="00FD3646">
      <w:pPr>
        <w:spacing w:line="240" w:lineRule="auto"/>
        <w:rPr>
          <w:rFonts w:eastAsia="Times New Roman" w:cs="Arial"/>
          <w:i/>
          <w:iCs/>
          <w:color w:val="000000"/>
          <w:szCs w:val="20"/>
          <w:lang w:eastAsia="bg-BG"/>
        </w:rPr>
      </w:pPr>
    </w:p>
    <w:p w14:paraId="09036D2E" w14:textId="7F140CEB" w:rsidR="00FD3646" w:rsidRPr="00615305" w:rsidRDefault="00FD3646" w:rsidP="00615305">
      <w:pPr>
        <w:pStyle w:val="Heading3"/>
        <w:rPr>
          <w:rFonts w:eastAsia="Times New Roman"/>
          <w:sz w:val="28"/>
          <w:u w:val="single"/>
          <w:lang w:eastAsia="bg-BG"/>
        </w:rPr>
      </w:pPr>
      <w:r w:rsidRPr="00615305">
        <w:rPr>
          <w:rFonts w:eastAsia="Times New Roman"/>
          <w:u w:val="single"/>
          <w:lang w:eastAsia="bg-BG"/>
        </w:rPr>
        <w:t>Лечение</w:t>
      </w:r>
    </w:p>
    <w:p w14:paraId="63804378" w14:textId="77777777" w:rsidR="00FD3646" w:rsidRPr="00FD3646" w:rsidRDefault="00FD3646" w:rsidP="00FD3646">
      <w:pPr>
        <w:spacing w:line="240" w:lineRule="auto"/>
        <w:rPr>
          <w:rFonts w:eastAsia="Times New Roman" w:cs="Arial"/>
          <w:sz w:val="28"/>
          <w:szCs w:val="24"/>
          <w:lang w:eastAsia="bg-BG"/>
        </w:rPr>
      </w:pPr>
      <w:r w:rsidRPr="00FD3646">
        <w:rPr>
          <w:rFonts w:eastAsia="Times New Roman" w:cs="Arial"/>
          <w:color w:val="000000"/>
          <w:szCs w:val="20"/>
          <w:lang w:eastAsia="bg-BG"/>
        </w:rPr>
        <w:t xml:space="preserve">Препоръчително лечение при предозиране е интравенозна инфузия на физиологичен разтвор. Ако настъпи хипотония, пациентът трябва да бъде поставен в легнало положение. При наличност се използва ангиотензин II инфузия, и/или интравенозно се прилагат катехоламини. Ако са налице гастроинтестинални нарушения се прилагат мерки за елиминиране на лизиноприл (предизвиква се повръщане, лаваж на стомаха, абсорбенти, натриев сулфат). Лизиноприл може да бъде отстранен от циркулацията посредством хемодиализа (вж. точка 4.4). Пейсмейкър терапия се налага при резистентна </w:t>
      </w:r>
      <w:r w:rsidRPr="00FD3646">
        <w:rPr>
          <w:rFonts w:eastAsia="Times New Roman" w:cs="Arial"/>
          <w:color w:val="000000"/>
          <w:szCs w:val="20"/>
          <w:lang w:eastAsia="bg-BG"/>
        </w:rPr>
        <w:lastRenderedPageBreak/>
        <w:t>брадикардия. Виталните белези, серумните електролити и концентрацията на креатинина се мониторират често.</w:t>
      </w:r>
    </w:p>
    <w:p w14:paraId="65989752" w14:textId="77777777" w:rsidR="00FD3646" w:rsidRPr="00FD3646" w:rsidRDefault="00FD3646" w:rsidP="00FD3646">
      <w:pPr>
        <w:rPr>
          <w:rFonts w:eastAsia="Times New Roman" w:cs="Arial"/>
          <w:color w:val="000000"/>
          <w:szCs w:val="20"/>
          <w:lang w:eastAsia="bg-BG"/>
        </w:rPr>
      </w:pPr>
    </w:p>
    <w:p w14:paraId="49EC4A29" w14:textId="2905FBC6" w:rsidR="00FD3646" w:rsidRPr="00FD3646" w:rsidRDefault="00FD3646" w:rsidP="00FD3646">
      <w:pPr>
        <w:rPr>
          <w:rFonts w:cs="Arial"/>
          <w:sz w:val="24"/>
        </w:rPr>
      </w:pPr>
      <w:r w:rsidRPr="00FD3646">
        <w:rPr>
          <w:rFonts w:eastAsia="Times New Roman" w:cs="Arial"/>
          <w:color w:val="000000"/>
          <w:szCs w:val="20"/>
          <w:lang w:eastAsia="bg-BG"/>
        </w:rPr>
        <w:t>Брадикардия или силно изразени вагусови реакции трябва да се третират с приложението на атропин.</w:t>
      </w:r>
    </w:p>
    <w:p w14:paraId="2FC9A586" w14:textId="77777777" w:rsidR="00FD3646" w:rsidRPr="00FD3646" w:rsidRDefault="00FD3646" w:rsidP="00FD3646"/>
    <w:p w14:paraId="02081B24" w14:textId="4E654527" w:rsidR="00395555" w:rsidRDefault="002C50EE" w:rsidP="008A6AF2">
      <w:pPr>
        <w:pStyle w:val="Heading1"/>
      </w:pPr>
      <w:r>
        <w:t>5. ФАРМАКОЛОГИЧНИ СВОЙСТВА</w:t>
      </w:r>
    </w:p>
    <w:p w14:paraId="1E1AC2C9" w14:textId="77777777" w:rsidR="00FD3646" w:rsidRPr="00FD3646" w:rsidRDefault="00FD3646" w:rsidP="00FD3646"/>
    <w:p w14:paraId="32B6DE66" w14:textId="03AF55CA" w:rsidR="00CF77F7" w:rsidRDefault="002C50EE" w:rsidP="004A448E">
      <w:pPr>
        <w:pStyle w:val="Heading2"/>
      </w:pPr>
      <w:r>
        <w:t>5.1. Фармакодинамични свойства</w:t>
      </w:r>
    </w:p>
    <w:p w14:paraId="787AE5C5" w14:textId="1DCDAA09" w:rsidR="00FD3646" w:rsidRDefault="00FD3646" w:rsidP="00FD3646"/>
    <w:p w14:paraId="2F60672F" w14:textId="77777777" w:rsidR="00FD3646" w:rsidRPr="00FD3646" w:rsidRDefault="00FD3646" w:rsidP="00FD3646">
      <w:pPr>
        <w:spacing w:line="240" w:lineRule="auto"/>
        <w:rPr>
          <w:rFonts w:eastAsia="Times New Roman" w:cs="Arial"/>
          <w:sz w:val="28"/>
          <w:szCs w:val="24"/>
          <w:lang w:eastAsia="bg-BG"/>
        </w:rPr>
      </w:pPr>
      <w:r w:rsidRPr="00FD3646">
        <w:rPr>
          <w:rFonts w:eastAsia="Times New Roman" w:cs="Arial"/>
          <w:color w:val="000000"/>
          <w:szCs w:val="20"/>
          <w:lang w:eastAsia="bg-BG"/>
        </w:rPr>
        <w:t>Фармакотерапевтична група: АСЕ инхибитори и диуретици, АТС код: С09ВА03</w:t>
      </w:r>
    </w:p>
    <w:p w14:paraId="023A471C" w14:textId="77777777" w:rsidR="00FD3646" w:rsidRPr="00615379" w:rsidRDefault="00FD3646" w:rsidP="00FD3646">
      <w:pPr>
        <w:spacing w:line="240" w:lineRule="auto"/>
        <w:rPr>
          <w:rFonts w:eastAsia="Times New Roman" w:cs="Arial"/>
          <w:color w:val="000000"/>
          <w:szCs w:val="20"/>
          <w:lang w:eastAsia="bg-BG"/>
        </w:rPr>
      </w:pPr>
    </w:p>
    <w:p w14:paraId="20635084" w14:textId="23B21772" w:rsidR="00FD3646" w:rsidRPr="00FD3646" w:rsidRDefault="00FD3646" w:rsidP="00FD3646">
      <w:pPr>
        <w:spacing w:line="240" w:lineRule="auto"/>
        <w:rPr>
          <w:rFonts w:eastAsia="Times New Roman" w:cs="Arial"/>
          <w:sz w:val="28"/>
          <w:szCs w:val="24"/>
          <w:lang w:eastAsia="bg-BG"/>
        </w:rPr>
      </w:pPr>
      <w:r w:rsidRPr="00FD3646">
        <w:rPr>
          <w:rFonts w:eastAsia="Times New Roman" w:cs="Arial"/>
          <w:color w:val="000000"/>
          <w:szCs w:val="20"/>
          <w:lang w:eastAsia="bg-BG"/>
        </w:rPr>
        <w:t>Кордакер Плюс е комбиниран антихипертензивен продукт съдържащ лизиноприл, инхибитор на ангиотензин конвертиращия ензим (АСЕ) и хидрохлоротиазид, тиазиден диуретик. Двете съставки имат самостоятелно действие, а в комбинация проявяват взаимно потенциращ се антихипертензивен ефект.</w:t>
      </w:r>
    </w:p>
    <w:p w14:paraId="0F5C2D17" w14:textId="77777777" w:rsidR="00FD3646" w:rsidRPr="00615379" w:rsidRDefault="00FD3646" w:rsidP="00FD3646">
      <w:pPr>
        <w:spacing w:line="240" w:lineRule="auto"/>
        <w:rPr>
          <w:rFonts w:eastAsia="Times New Roman" w:cs="Arial"/>
          <w:b/>
          <w:bCs/>
          <w:color w:val="000000"/>
          <w:szCs w:val="20"/>
          <w:lang w:eastAsia="bg-BG"/>
        </w:rPr>
      </w:pPr>
    </w:p>
    <w:p w14:paraId="1D1494A6" w14:textId="067D48BD" w:rsidR="00FD3646" w:rsidRPr="00FD3646" w:rsidRDefault="00FD3646" w:rsidP="00FD3646">
      <w:pPr>
        <w:spacing w:line="240" w:lineRule="auto"/>
        <w:rPr>
          <w:rFonts w:eastAsia="Times New Roman" w:cs="Arial"/>
          <w:sz w:val="28"/>
          <w:szCs w:val="24"/>
          <w:lang w:eastAsia="bg-BG"/>
        </w:rPr>
      </w:pPr>
      <w:r w:rsidRPr="00FD3646">
        <w:rPr>
          <w:rFonts w:eastAsia="Times New Roman" w:cs="Arial"/>
          <w:b/>
          <w:bCs/>
          <w:color w:val="000000"/>
          <w:szCs w:val="20"/>
          <w:lang w:eastAsia="bg-BG"/>
        </w:rPr>
        <w:t>Лизиноприл</w:t>
      </w:r>
    </w:p>
    <w:p w14:paraId="0687D2E4" w14:textId="77777777" w:rsidR="00FD3646" w:rsidRPr="00615379" w:rsidRDefault="00FD3646" w:rsidP="00FD3646">
      <w:pPr>
        <w:spacing w:line="240" w:lineRule="auto"/>
        <w:rPr>
          <w:rFonts w:eastAsia="Times New Roman" w:cs="Arial"/>
          <w:i/>
          <w:iCs/>
          <w:color w:val="000000"/>
          <w:szCs w:val="20"/>
          <w:lang w:eastAsia="bg-BG"/>
        </w:rPr>
      </w:pPr>
    </w:p>
    <w:p w14:paraId="39975CBA" w14:textId="5E3A8832" w:rsidR="00FD3646" w:rsidRPr="00FD3646" w:rsidRDefault="00FD3646" w:rsidP="00FD3646">
      <w:pPr>
        <w:spacing w:line="240" w:lineRule="auto"/>
        <w:rPr>
          <w:rFonts w:eastAsia="Times New Roman" w:cs="Arial"/>
          <w:sz w:val="28"/>
          <w:szCs w:val="24"/>
          <w:lang w:eastAsia="bg-BG"/>
        </w:rPr>
      </w:pPr>
      <w:r w:rsidRPr="00FD3646">
        <w:rPr>
          <w:rFonts w:eastAsia="Times New Roman" w:cs="Arial"/>
          <w:i/>
          <w:iCs/>
          <w:color w:val="000000"/>
          <w:szCs w:val="20"/>
          <w:lang w:eastAsia="bg-BG"/>
        </w:rPr>
        <w:t>Механизъм на действие</w:t>
      </w:r>
    </w:p>
    <w:p w14:paraId="7ECD1CCA" w14:textId="77777777" w:rsidR="00FD3646" w:rsidRPr="00FD3646" w:rsidRDefault="00FD3646" w:rsidP="00FD3646">
      <w:pPr>
        <w:spacing w:line="240" w:lineRule="auto"/>
        <w:rPr>
          <w:rFonts w:eastAsia="Times New Roman" w:cs="Arial"/>
          <w:sz w:val="28"/>
          <w:szCs w:val="24"/>
          <w:lang w:eastAsia="bg-BG"/>
        </w:rPr>
      </w:pPr>
      <w:r w:rsidRPr="00FD3646">
        <w:rPr>
          <w:rFonts w:eastAsia="Times New Roman" w:cs="Arial"/>
          <w:color w:val="000000"/>
          <w:szCs w:val="20"/>
          <w:lang w:eastAsia="bg-BG"/>
        </w:rPr>
        <w:t>Лизиноприл е пептидил дипептидазен инхибитор. Той блокира конвертиращия ензим (АСЕ), който катализира превръщането на ангиотензин I във вазоконстрикторния пептид ангиотензин 11. Ангиотензин II стимулира също и отделянето на алдостерон от надбъбречната кора. Инхибирането на АСЕ води до намаляване на концентрацията на ангиотензин II в плазмата, което от своя страна води до понижаване на вазопресорната активност и редукция на алдостероновата секреция. Последното може да причини повишаване на серумната концентрация на калия.</w:t>
      </w:r>
    </w:p>
    <w:p w14:paraId="62BAC05B" w14:textId="77777777" w:rsidR="00615379" w:rsidRPr="00615379" w:rsidRDefault="00615379" w:rsidP="00FD3646">
      <w:pPr>
        <w:spacing w:line="240" w:lineRule="auto"/>
        <w:rPr>
          <w:rFonts w:eastAsia="Times New Roman" w:cs="Arial"/>
          <w:i/>
          <w:iCs/>
          <w:color w:val="000000"/>
          <w:szCs w:val="20"/>
          <w:lang w:eastAsia="bg-BG"/>
        </w:rPr>
      </w:pPr>
    </w:p>
    <w:p w14:paraId="1DD66DB1" w14:textId="12B2718C" w:rsidR="00FD3646" w:rsidRPr="00FD3646" w:rsidRDefault="00FD3646" w:rsidP="00FD3646">
      <w:pPr>
        <w:spacing w:line="240" w:lineRule="auto"/>
        <w:rPr>
          <w:rFonts w:eastAsia="Times New Roman" w:cs="Arial"/>
          <w:sz w:val="28"/>
          <w:szCs w:val="24"/>
          <w:lang w:eastAsia="bg-BG"/>
        </w:rPr>
      </w:pPr>
      <w:r w:rsidRPr="00FD3646">
        <w:rPr>
          <w:rFonts w:eastAsia="Times New Roman" w:cs="Arial"/>
          <w:i/>
          <w:iCs/>
          <w:color w:val="000000"/>
          <w:szCs w:val="20"/>
          <w:lang w:eastAsia="bg-BG"/>
        </w:rPr>
        <w:t>Фармакодинамичен ефект</w:t>
      </w:r>
    </w:p>
    <w:p w14:paraId="463ADFF7" w14:textId="77777777" w:rsidR="00FD3646" w:rsidRPr="00FD3646" w:rsidRDefault="00FD3646" w:rsidP="00FD3646">
      <w:pPr>
        <w:spacing w:line="240" w:lineRule="auto"/>
        <w:rPr>
          <w:rFonts w:eastAsia="Times New Roman" w:cs="Arial"/>
          <w:sz w:val="28"/>
          <w:szCs w:val="24"/>
          <w:lang w:eastAsia="bg-BG"/>
        </w:rPr>
      </w:pPr>
      <w:r w:rsidRPr="00FD3646">
        <w:rPr>
          <w:rFonts w:eastAsia="Times New Roman" w:cs="Arial"/>
          <w:color w:val="000000"/>
          <w:szCs w:val="20"/>
          <w:lang w:eastAsia="bg-BG"/>
        </w:rPr>
        <w:t>Въпреки убеждението, че механизмът на понижаване на артериалното налягане от лизиноприл се дължи главно на блокиране на системата ренин-ангиотензин-алдостерон, лизиноприл има хипотензивен ефект и при ниско ренинови хипертоници, АСЕ е идентичен на киназа II ензим който разгражда брадикинина. Ролята на повишените нива на брадикинина, който е мощен вазопресорен пептид, в терапевтичните ефекти на лизиноприл не е напълно проучена и изисква допълнителни изследвания.</w:t>
      </w:r>
    </w:p>
    <w:p w14:paraId="0657D813" w14:textId="77777777" w:rsidR="00615379" w:rsidRPr="00615379" w:rsidRDefault="00615379" w:rsidP="00FD3646">
      <w:pPr>
        <w:spacing w:line="240" w:lineRule="auto"/>
        <w:rPr>
          <w:rFonts w:eastAsia="Times New Roman" w:cs="Arial"/>
          <w:i/>
          <w:iCs/>
          <w:color w:val="000000"/>
          <w:szCs w:val="20"/>
          <w:lang w:eastAsia="bg-BG"/>
        </w:rPr>
      </w:pPr>
    </w:p>
    <w:p w14:paraId="5BAED734" w14:textId="31723B40" w:rsidR="00FD3646" w:rsidRPr="00FD3646" w:rsidRDefault="00FD3646" w:rsidP="00FD3646">
      <w:pPr>
        <w:spacing w:line="240" w:lineRule="auto"/>
        <w:rPr>
          <w:rFonts w:eastAsia="Times New Roman" w:cs="Arial"/>
          <w:sz w:val="28"/>
          <w:szCs w:val="24"/>
          <w:lang w:eastAsia="bg-BG"/>
        </w:rPr>
      </w:pPr>
      <w:r w:rsidRPr="00FD3646">
        <w:rPr>
          <w:rFonts w:eastAsia="Times New Roman" w:cs="Arial"/>
          <w:i/>
          <w:iCs/>
          <w:color w:val="000000"/>
          <w:szCs w:val="20"/>
          <w:lang w:eastAsia="bg-BG"/>
        </w:rPr>
        <w:t>Клинична безопасност и ефикасност</w:t>
      </w:r>
    </w:p>
    <w:p w14:paraId="1A673DBD" w14:textId="77777777" w:rsidR="00615379" w:rsidRPr="00615379" w:rsidRDefault="00615379" w:rsidP="00FD3646">
      <w:pPr>
        <w:spacing w:line="240" w:lineRule="auto"/>
        <w:rPr>
          <w:rFonts w:eastAsia="Times New Roman" w:cs="Arial"/>
          <w:sz w:val="28"/>
          <w:szCs w:val="24"/>
          <w:lang w:eastAsia="bg-BG"/>
        </w:rPr>
      </w:pPr>
    </w:p>
    <w:p w14:paraId="141C851C" w14:textId="03060E82" w:rsidR="00FD3646" w:rsidRPr="00FD3646" w:rsidRDefault="00FD3646" w:rsidP="00FD3646">
      <w:pPr>
        <w:spacing w:line="240" w:lineRule="auto"/>
        <w:rPr>
          <w:rFonts w:eastAsia="Times New Roman" w:cs="Arial"/>
          <w:sz w:val="28"/>
          <w:szCs w:val="24"/>
          <w:lang w:eastAsia="bg-BG"/>
        </w:rPr>
      </w:pPr>
      <w:r w:rsidRPr="00FD3646">
        <w:rPr>
          <w:rFonts w:eastAsia="Times New Roman" w:cs="Arial"/>
          <w:i/>
          <w:iCs/>
          <w:color w:val="000000"/>
          <w:szCs w:val="20"/>
          <w:lang w:eastAsia="bg-BG"/>
        </w:rPr>
        <w:t>Агенти, действащи чрез ренин-ангиотензин системата (РАС)</w:t>
      </w:r>
    </w:p>
    <w:p w14:paraId="342EA30C" w14:textId="77777777" w:rsidR="00615379" w:rsidRPr="00615379" w:rsidRDefault="00FD3646" w:rsidP="00615379">
      <w:pPr>
        <w:rPr>
          <w:rFonts w:eastAsia="Times New Roman" w:cs="Arial"/>
          <w:sz w:val="28"/>
          <w:szCs w:val="24"/>
          <w:lang w:eastAsia="bg-BG"/>
        </w:rPr>
      </w:pPr>
      <w:r w:rsidRPr="00615379">
        <w:rPr>
          <w:rFonts w:eastAsia="Times New Roman" w:cs="Arial"/>
          <w:color w:val="000000"/>
          <w:szCs w:val="20"/>
          <w:lang w:eastAsia="bg-BG"/>
        </w:rPr>
        <w:t xml:space="preserve">Две големи рандомизирани контролирани проучвания - </w:t>
      </w:r>
      <w:r w:rsidRPr="00615379">
        <w:rPr>
          <w:rFonts w:eastAsia="Times New Roman" w:cs="Arial"/>
          <w:color w:val="000000"/>
          <w:szCs w:val="20"/>
          <w:lang w:val="en-US"/>
        </w:rPr>
        <w:t>ONTARGET (</w:t>
      </w:r>
      <w:proofErr w:type="spellStart"/>
      <w:r w:rsidRPr="00615379">
        <w:rPr>
          <w:rFonts w:eastAsia="Times New Roman" w:cs="Arial"/>
          <w:color w:val="000000"/>
          <w:szCs w:val="20"/>
          <w:lang w:val="en-US"/>
        </w:rPr>
        <w:t>ONgoing</w:t>
      </w:r>
      <w:proofErr w:type="spellEnd"/>
      <w:r w:rsidRPr="00615379">
        <w:rPr>
          <w:rFonts w:eastAsia="Times New Roman" w:cs="Arial"/>
          <w:color w:val="000000"/>
          <w:szCs w:val="20"/>
          <w:lang w:val="en-US"/>
        </w:rPr>
        <w:t xml:space="preserve"> </w:t>
      </w:r>
      <w:proofErr w:type="spellStart"/>
      <w:r w:rsidRPr="00615379">
        <w:rPr>
          <w:rFonts w:eastAsia="Times New Roman" w:cs="Arial"/>
          <w:color w:val="000000"/>
          <w:szCs w:val="20"/>
          <w:lang w:val="en-US"/>
        </w:rPr>
        <w:t>Telmisartan</w:t>
      </w:r>
      <w:proofErr w:type="spellEnd"/>
      <w:r w:rsidRPr="00615379">
        <w:rPr>
          <w:rFonts w:eastAsia="Times New Roman" w:cs="Arial"/>
          <w:color w:val="000000"/>
          <w:szCs w:val="20"/>
          <w:lang w:val="en-US"/>
        </w:rPr>
        <w:t xml:space="preserve"> Alone and in combination with Ramipril Global Endpoint Trial - </w:t>
      </w:r>
      <w:r w:rsidRPr="00615379">
        <w:rPr>
          <w:rFonts w:eastAsia="Times New Roman" w:cs="Arial"/>
          <w:color w:val="000000"/>
          <w:szCs w:val="20"/>
          <w:lang w:eastAsia="bg-BG"/>
        </w:rPr>
        <w:t>текущо глобално изпитване за крайни точки на</w:t>
      </w:r>
      <w:r w:rsidR="00615379" w:rsidRPr="00615379">
        <w:rPr>
          <w:rFonts w:eastAsia="Times New Roman" w:cs="Arial"/>
          <w:color w:val="000000"/>
          <w:sz w:val="24"/>
          <w:szCs w:val="20"/>
          <w:lang w:val="en-US" w:eastAsia="bg-BG"/>
        </w:rPr>
        <w:t xml:space="preserve"> </w:t>
      </w:r>
      <w:r w:rsidR="00615379" w:rsidRPr="00615379">
        <w:rPr>
          <w:rFonts w:eastAsia="Times New Roman" w:cs="Arial"/>
          <w:color w:val="000000"/>
          <w:szCs w:val="20"/>
          <w:lang w:eastAsia="bg-BG"/>
        </w:rPr>
        <w:t xml:space="preserve">телмисартан, самостоятелно и в комбинация с рамиприл) и </w:t>
      </w:r>
      <w:r w:rsidR="00615379" w:rsidRPr="00615379">
        <w:rPr>
          <w:rFonts w:eastAsia="Times New Roman" w:cs="Arial"/>
          <w:color w:val="000000"/>
          <w:szCs w:val="20"/>
          <w:lang w:val="en-US"/>
        </w:rPr>
        <w:t xml:space="preserve">VA NEPHRON-D </w:t>
      </w:r>
      <w:r w:rsidR="00615379" w:rsidRPr="00615379">
        <w:rPr>
          <w:rFonts w:eastAsia="Times New Roman" w:cs="Arial"/>
          <w:color w:val="000000"/>
          <w:szCs w:val="20"/>
          <w:lang w:eastAsia="bg-BG"/>
        </w:rPr>
        <w:t>(Клинично проучване свързано с развитие на нефропатия при диабет, проведено от Министерство по въпросите на ветераните) - проучват употребата на комбинацията от АСЕ инхибитор и ангиотензин II-рецепторен блокер.</w:t>
      </w:r>
    </w:p>
    <w:p w14:paraId="7C31D6E7" w14:textId="77777777" w:rsidR="00615379" w:rsidRPr="00615379" w:rsidRDefault="00615379" w:rsidP="00615379">
      <w:pPr>
        <w:spacing w:line="240" w:lineRule="auto"/>
        <w:rPr>
          <w:rFonts w:eastAsia="Times New Roman" w:cs="Arial"/>
          <w:sz w:val="28"/>
          <w:szCs w:val="24"/>
          <w:lang w:eastAsia="bg-BG"/>
        </w:rPr>
      </w:pPr>
      <w:r w:rsidRPr="00615379">
        <w:rPr>
          <w:rFonts w:eastAsia="Times New Roman" w:cs="Arial"/>
          <w:color w:val="000000"/>
          <w:szCs w:val="20"/>
          <w:lang w:val="en-US"/>
        </w:rPr>
        <w:t xml:space="preserve">ONTARGET </w:t>
      </w:r>
      <w:r w:rsidRPr="00615379">
        <w:rPr>
          <w:rFonts w:eastAsia="Times New Roman" w:cs="Arial"/>
          <w:color w:val="000000"/>
          <w:szCs w:val="20"/>
          <w:lang w:eastAsia="bg-BG"/>
        </w:rPr>
        <w:t xml:space="preserve">е проучване, проведено при пациенти с анамнеза за сърдечно-съдова или мозъчносъдова болест, или захарен диабет тип 2, придружени с данни за увреждане на </w:t>
      </w:r>
      <w:r w:rsidRPr="00615379">
        <w:rPr>
          <w:rFonts w:eastAsia="Times New Roman" w:cs="Arial"/>
          <w:color w:val="000000"/>
          <w:szCs w:val="20"/>
          <w:lang w:eastAsia="bg-BG"/>
        </w:rPr>
        <w:lastRenderedPageBreak/>
        <w:t xml:space="preserve">ефекторни органи. </w:t>
      </w:r>
      <w:r w:rsidRPr="00615379">
        <w:rPr>
          <w:rFonts w:eastAsia="Times New Roman" w:cs="Arial"/>
          <w:color w:val="000000"/>
          <w:szCs w:val="20"/>
          <w:lang w:val="en-US"/>
        </w:rPr>
        <w:t xml:space="preserve">VA NEPHRON-D </w:t>
      </w:r>
      <w:r w:rsidRPr="00615379">
        <w:rPr>
          <w:rFonts w:eastAsia="Times New Roman" w:cs="Arial"/>
          <w:color w:val="000000"/>
          <w:szCs w:val="20"/>
          <w:lang w:eastAsia="bg-BG"/>
        </w:rPr>
        <w:t>е проучване при пациенти със захарен диабет тип 2 и диабетна нефропатия.</w:t>
      </w:r>
    </w:p>
    <w:p w14:paraId="1F0E4A11" w14:textId="77777777" w:rsidR="00615379" w:rsidRPr="00615379" w:rsidRDefault="00615379" w:rsidP="00615379">
      <w:pPr>
        <w:spacing w:line="240" w:lineRule="auto"/>
        <w:rPr>
          <w:rFonts w:eastAsia="Times New Roman" w:cs="Arial"/>
          <w:sz w:val="28"/>
          <w:szCs w:val="24"/>
          <w:lang w:eastAsia="bg-BG"/>
        </w:rPr>
      </w:pPr>
      <w:r w:rsidRPr="00615379">
        <w:rPr>
          <w:rFonts w:eastAsia="Times New Roman" w:cs="Arial"/>
          <w:color w:val="000000"/>
          <w:szCs w:val="20"/>
          <w:lang w:eastAsia="bg-BG"/>
        </w:rPr>
        <w:t>Тези проучвания не показват значим благоприятен ефект върху бъбречните и/или сърдечно-съдовите последици и смъртността, като същевременно са наблюдавани повишен риск от хиперкалиемия, остро увреждане на бъбреците и/или хипотония в сравнение с монотерапията. Като се имат предвид сходните им фармакодинамични свойства, тези резултати са приложими и за други АСЕ инхибитори и ангиотензин II-рецепторни блокери, следователно не трябва да се използват едновременно при пациенти с диабетна нефропатия.</w:t>
      </w:r>
    </w:p>
    <w:p w14:paraId="10A3BE98" w14:textId="77777777" w:rsidR="00615379" w:rsidRPr="00615379" w:rsidRDefault="00615379" w:rsidP="00615379">
      <w:pPr>
        <w:spacing w:line="240" w:lineRule="auto"/>
        <w:rPr>
          <w:rFonts w:eastAsia="Times New Roman" w:cs="Arial"/>
          <w:color w:val="000000"/>
          <w:szCs w:val="20"/>
          <w:lang w:val="en-US"/>
        </w:rPr>
      </w:pPr>
    </w:p>
    <w:p w14:paraId="023C2241" w14:textId="13D9411D" w:rsidR="00615379" w:rsidRPr="00615379" w:rsidRDefault="00615379" w:rsidP="00615379">
      <w:pPr>
        <w:spacing w:line="240" w:lineRule="auto"/>
        <w:rPr>
          <w:rFonts w:eastAsia="Times New Roman" w:cs="Arial"/>
          <w:sz w:val="28"/>
          <w:szCs w:val="24"/>
          <w:lang w:eastAsia="bg-BG"/>
        </w:rPr>
      </w:pPr>
      <w:r w:rsidRPr="00615379">
        <w:rPr>
          <w:rFonts w:eastAsia="Times New Roman" w:cs="Arial"/>
          <w:color w:val="000000"/>
          <w:szCs w:val="20"/>
          <w:lang w:val="en-US"/>
        </w:rPr>
        <w:t xml:space="preserve">ALTITUDE </w:t>
      </w:r>
      <w:r w:rsidRPr="00615379">
        <w:rPr>
          <w:rFonts w:eastAsia="Times New Roman" w:cs="Arial"/>
          <w:color w:val="000000"/>
          <w:szCs w:val="20"/>
          <w:lang w:eastAsia="bg-BG"/>
        </w:rPr>
        <w:t>(Клинично проучване проведено с алискирен при пациенти със захарен диабет тип 2 с използване на сърдечно-съдови и бъбречни заболявания като крайни точки) е проучване, предназначено да изследва ползата от добавянето на алискирен към стандартната терапия с АСЕ инхибитор или ангиотензин II-рецепторен блокер при пациенти със захарен диабет тип 2 и хронично бъбречно заболяване, сърдечно-съдово заболяване или и двете. Проучването е прекратено преждевременно поради повишен риск от неблагоприятни последици. Както сърдечно-съдовата смърт, така и инсултът са по-чести в групата на алискирен, отколкото в групата на плацебо, а представляващите интерес нежелани събития и сериозни нежелани събития (хиперкалиемия, хипотония и бъбречна дисфункция) се съобщават по-често в групата на алискирен, отколкото в групата на плацебо.</w:t>
      </w:r>
    </w:p>
    <w:p w14:paraId="718F97BD" w14:textId="77777777" w:rsidR="00615379" w:rsidRPr="00615379" w:rsidRDefault="00615379" w:rsidP="00615379">
      <w:pPr>
        <w:spacing w:line="240" w:lineRule="auto"/>
        <w:rPr>
          <w:rFonts w:eastAsia="Times New Roman" w:cs="Arial"/>
          <w:b/>
          <w:bCs/>
          <w:color w:val="000000"/>
          <w:szCs w:val="20"/>
          <w:lang w:eastAsia="bg-BG"/>
        </w:rPr>
      </w:pPr>
    </w:p>
    <w:p w14:paraId="57FAD44E" w14:textId="74D38483" w:rsidR="00615379" w:rsidRPr="00615379" w:rsidRDefault="00615379" w:rsidP="00615379">
      <w:pPr>
        <w:spacing w:line="240" w:lineRule="auto"/>
        <w:rPr>
          <w:rFonts w:eastAsia="Times New Roman" w:cs="Arial"/>
          <w:sz w:val="28"/>
          <w:szCs w:val="24"/>
          <w:lang w:eastAsia="bg-BG"/>
        </w:rPr>
      </w:pPr>
      <w:r w:rsidRPr="00615379">
        <w:rPr>
          <w:rFonts w:eastAsia="Times New Roman" w:cs="Arial"/>
          <w:b/>
          <w:bCs/>
          <w:color w:val="000000"/>
          <w:szCs w:val="20"/>
          <w:lang w:eastAsia="bg-BG"/>
        </w:rPr>
        <w:t>Хидрохлоротиаздид</w:t>
      </w:r>
    </w:p>
    <w:p w14:paraId="6DC6A95C" w14:textId="77777777" w:rsidR="00615379" w:rsidRPr="00615379" w:rsidRDefault="00615379" w:rsidP="00615379">
      <w:pPr>
        <w:spacing w:line="240" w:lineRule="auto"/>
        <w:rPr>
          <w:rFonts w:eastAsia="Times New Roman" w:cs="Arial"/>
          <w:i/>
          <w:iCs/>
          <w:color w:val="000000"/>
          <w:szCs w:val="20"/>
          <w:lang w:eastAsia="bg-BG"/>
        </w:rPr>
      </w:pPr>
    </w:p>
    <w:p w14:paraId="4CAF931F" w14:textId="2CBD1B22" w:rsidR="00615379" w:rsidRPr="00615379" w:rsidRDefault="00615379" w:rsidP="00615379">
      <w:pPr>
        <w:spacing w:line="240" w:lineRule="auto"/>
        <w:rPr>
          <w:rFonts w:eastAsia="Times New Roman" w:cs="Arial"/>
          <w:sz w:val="28"/>
          <w:szCs w:val="24"/>
          <w:lang w:eastAsia="bg-BG"/>
        </w:rPr>
      </w:pPr>
      <w:r w:rsidRPr="00615379">
        <w:rPr>
          <w:rFonts w:eastAsia="Times New Roman" w:cs="Arial"/>
          <w:i/>
          <w:iCs/>
          <w:color w:val="000000"/>
          <w:szCs w:val="20"/>
          <w:lang w:eastAsia="bg-BG"/>
        </w:rPr>
        <w:t>Механизъм на действие</w:t>
      </w:r>
    </w:p>
    <w:p w14:paraId="06ABF47E" w14:textId="77777777" w:rsidR="00615379" w:rsidRPr="00615379" w:rsidRDefault="00615379" w:rsidP="00615379">
      <w:pPr>
        <w:spacing w:line="240" w:lineRule="auto"/>
        <w:rPr>
          <w:rFonts w:eastAsia="Times New Roman" w:cs="Arial"/>
          <w:sz w:val="28"/>
          <w:szCs w:val="24"/>
          <w:lang w:eastAsia="bg-BG"/>
        </w:rPr>
      </w:pPr>
      <w:r w:rsidRPr="00615379">
        <w:rPr>
          <w:rFonts w:eastAsia="Times New Roman" w:cs="Arial"/>
          <w:color w:val="000000"/>
          <w:szCs w:val="20"/>
          <w:lang w:eastAsia="bg-BG"/>
        </w:rPr>
        <w:t>Хидрохлоротиаздид е сулфонамиден диуретик с антихипертензивен ефект. Той действа на ниво дистални бъбречни тубули, като участва в реабсорбцията на електролити и повишава екскрецията на натриеви и хлорни йони в почти еквивалентни количества. Загубата на натрий се последва от загуба на калий и бикарбонати. Механизмът на антихипертензивно действие на тиазидните диуретици не е уточнен.</w:t>
      </w:r>
    </w:p>
    <w:p w14:paraId="609AE01D" w14:textId="77777777" w:rsidR="00615379" w:rsidRPr="00615379" w:rsidRDefault="00615379" w:rsidP="00615379">
      <w:pPr>
        <w:spacing w:line="240" w:lineRule="auto"/>
        <w:rPr>
          <w:rFonts w:eastAsia="Times New Roman" w:cs="Arial"/>
          <w:i/>
          <w:iCs/>
          <w:color w:val="000000"/>
          <w:szCs w:val="20"/>
          <w:lang w:eastAsia="bg-BG"/>
        </w:rPr>
      </w:pPr>
    </w:p>
    <w:p w14:paraId="0DCF2C4A" w14:textId="795C2F98" w:rsidR="00615379" w:rsidRPr="00615379" w:rsidRDefault="00615379" w:rsidP="00615379">
      <w:pPr>
        <w:spacing w:line="240" w:lineRule="auto"/>
        <w:rPr>
          <w:rFonts w:eastAsia="Times New Roman" w:cs="Arial"/>
          <w:sz w:val="28"/>
          <w:szCs w:val="24"/>
          <w:lang w:eastAsia="bg-BG"/>
        </w:rPr>
      </w:pPr>
      <w:r w:rsidRPr="00615379">
        <w:rPr>
          <w:rFonts w:eastAsia="Times New Roman" w:cs="Arial"/>
          <w:i/>
          <w:iCs/>
          <w:color w:val="000000"/>
          <w:szCs w:val="20"/>
          <w:lang w:eastAsia="bg-BG"/>
        </w:rPr>
        <w:t>Фармакодинамичен ефект</w:t>
      </w:r>
    </w:p>
    <w:p w14:paraId="5FE2D44B" w14:textId="77777777" w:rsidR="00615379" w:rsidRPr="00615379" w:rsidRDefault="00615379" w:rsidP="00615379">
      <w:pPr>
        <w:spacing w:line="240" w:lineRule="auto"/>
        <w:rPr>
          <w:rFonts w:eastAsia="Times New Roman" w:cs="Arial"/>
          <w:sz w:val="28"/>
          <w:szCs w:val="24"/>
          <w:lang w:eastAsia="bg-BG"/>
        </w:rPr>
      </w:pPr>
      <w:r w:rsidRPr="00615379">
        <w:rPr>
          <w:rFonts w:eastAsia="Times New Roman" w:cs="Arial"/>
          <w:color w:val="000000"/>
          <w:szCs w:val="20"/>
          <w:lang w:eastAsia="bg-BG"/>
        </w:rPr>
        <w:t>Те обичайно не повлияват нормалното артериално налягане.</w:t>
      </w:r>
    </w:p>
    <w:p w14:paraId="522A173B" w14:textId="77777777" w:rsidR="00615379" w:rsidRPr="00615379" w:rsidRDefault="00615379" w:rsidP="00615379">
      <w:pPr>
        <w:spacing w:line="240" w:lineRule="auto"/>
        <w:rPr>
          <w:rFonts w:eastAsia="Times New Roman" w:cs="Arial"/>
          <w:i/>
          <w:iCs/>
          <w:color w:val="000000"/>
          <w:szCs w:val="20"/>
          <w:lang w:eastAsia="bg-BG"/>
        </w:rPr>
      </w:pPr>
    </w:p>
    <w:p w14:paraId="1BF7310B" w14:textId="3094A927" w:rsidR="00615379" w:rsidRPr="00615379" w:rsidRDefault="00615379" w:rsidP="00615379">
      <w:pPr>
        <w:spacing w:line="240" w:lineRule="auto"/>
        <w:rPr>
          <w:rFonts w:eastAsia="Times New Roman" w:cs="Arial"/>
          <w:sz w:val="28"/>
          <w:szCs w:val="24"/>
          <w:lang w:eastAsia="bg-BG"/>
        </w:rPr>
      </w:pPr>
      <w:r w:rsidRPr="00615379">
        <w:rPr>
          <w:rFonts w:eastAsia="Times New Roman" w:cs="Arial"/>
          <w:i/>
          <w:iCs/>
          <w:color w:val="000000"/>
          <w:szCs w:val="20"/>
          <w:lang w:eastAsia="bg-BG"/>
        </w:rPr>
        <w:t>Немеланомен рак на кожата:</w:t>
      </w:r>
      <w:r w:rsidRPr="00615379">
        <w:rPr>
          <w:rFonts w:eastAsia="Times New Roman" w:cs="Arial"/>
          <w:color w:val="000000"/>
          <w:szCs w:val="20"/>
          <w:lang w:eastAsia="bg-BG"/>
        </w:rPr>
        <w:t xml:space="preserve"> Въз основа на наличните данни от епидемиологични проучвания е наблюдавана зависимост от кумулативната доза връзка между ХХТЗ и НМРК. Едно проучване включва популация, състояща се от 71 533 случаи на БКК и 8 629 случаи на СКК, и популация съответно 1 430 833 и 172 462 подходящи контроли. Високата употреба на ХХТЗ (кумулативно</w:t>
      </w:r>
    </w:p>
    <w:p w14:paraId="7600CB4C" w14:textId="752126C5" w:rsidR="00FD3646" w:rsidRPr="00615379" w:rsidRDefault="00615379" w:rsidP="00615379">
      <w:pPr>
        <w:rPr>
          <w:rFonts w:cs="Arial"/>
          <w:sz w:val="28"/>
          <w:lang w:val="en-US"/>
        </w:rPr>
      </w:pPr>
      <w:r w:rsidRPr="00615379">
        <w:rPr>
          <w:rFonts w:eastAsia="Times New Roman" w:cs="Arial"/>
          <w:color w:val="000000"/>
          <w:szCs w:val="20"/>
          <w:lang w:eastAsia="bg-BG"/>
        </w:rPr>
        <w:t xml:space="preserve">≥50 000 </w:t>
      </w:r>
      <w:r w:rsidRPr="00615379">
        <w:rPr>
          <w:rFonts w:eastAsia="Times New Roman" w:cs="Arial"/>
          <w:color w:val="000000"/>
          <w:szCs w:val="20"/>
          <w:lang w:val="en-US"/>
        </w:rPr>
        <w:t xml:space="preserve">mg) </w:t>
      </w:r>
      <w:r w:rsidRPr="00615379">
        <w:rPr>
          <w:rFonts w:eastAsia="Times New Roman" w:cs="Arial"/>
          <w:color w:val="000000"/>
          <w:szCs w:val="20"/>
          <w:lang w:eastAsia="bg-BG"/>
        </w:rPr>
        <w:t xml:space="preserve">е свързана с коригиран </w:t>
      </w:r>
      <w:r w:rsidRPr="00615379">
        <w:rPr>
          <w:rFonts w:eastAsia="Times New Roman" w:cs="Arial"/>
          <w:color w:val="000000"/>
          <w:szCs w:val="20"/>
          <w:lang w:val="en-US"/>
        </w:rPr>
        <w:t xml:space="preserve">OR </w:t>
      </w:r>
      <w:r w:rsidRPr="00615379">
        <w:rPr>
          <w:rFonts w:eastAsia="Times New Roman" w:cs="Arial"/>
          <w:color w:val="000000"/>
          <w:szCs w:val="20"/>
          <w:lang w:eastAsia="bg-BG"/>
        </w:rPr>
        <w:t xml:space="preserve">1,29 (95% ДИ: 1,23-1,35) за БКК и 3,98 (95% ДИ:3,68-4,31) за СКК. Наблюдавана е ясна връзка кумулативна доза-отговор както за БКК, така и за СКК. Друго проучване показва възможна връзка между рака на устните (СКК) и експозицията на ХХТЗ: за 633 случаи на рак на устните е подбрана популация от 63 067 подходящи контроли, като се използва стратегия за вземане на проби, определена от риска. Демонстрирана е връзка кумулативна доза- отговор с коригиран </w:t>
      </w:r>
      <w:r w:rsidRPr="00615379">
        <w:rPr>
          <w:rFonts w:eastAsia="Times New Roman" w:cs="Arial"/>
          <w:color w:val="000000"/>
          <w:szCs w:val="20"/>
          <w:lang w:val="en-US"/>
        </w:rPr>
        <w:t xml:space="preserve">OR </w:t>
      </w:r>
      <w:r w:rsidRPr="00615379">
        <w:rPr>
          <w:rFonts w:eastAsia="Times New Roman" w:cs="Arial"/>
          <w:color w:val="000000"/>
          <w:szCs w:val="20"/>
          <w:lang w:eastAsia="bg-BG"/>
        </w:rPr>
        <w:t xml:space="preserve">2,1 (95% ДИ: 1,7-2,6), нарастващ до </w:t>
      </w:r>
      <w:r w:rsidRPr="00615379">
        <w:rPr>
          <w:rFonts w:eastAsia="Times New Roman" w:cs="Arial"/>
          <w:color w:val="000000"/>
          <w:szCs w:val="20"/>
          <w:lang w:val="en-US"/>
        </w:rPr>
        <w:t xml:space="preserve">OR </w:t>
      </w:r>
      <w:r w:rsidRPr="00615379">
        <w:rPr>
          <w:rFonts w:eastAsia="Times New Roman" w:cs="Arial"/>
          <w:color w:val="000000"/>
          <w:szCs w:val="20"/>
          <w:lang w:eastAsia="bg-BG"/>
        </w:rPr>
        <w:t xml:space="preserve">3,9 (3,0-4,9) за висока употреба (~ 25 000 </w:t>
      </w:r>
      <w:r w:rsidRPr="00615379">
        <w:rPr>
          <w:rFonts w:eastAsia="Times New Roman" w:cs="Arial"/>
          <w:color w:val="000000"/>
          <w:szCs w:val="20"/>
          <w:lang w:val="en-US"/>
        </w:rPr>
        <w:t xml:space="preserve">mg) </w:t>
      </w:r>
      <w:r w:rsidRPr="00615379">
        <w:rPr>
          <w:rFonts w:eastAsia="Times New Roman" w:cs="Arial"/>
          <w:color w:val="000000"/>
          <w:szCs w:val="20"/>
          <w:lang w:eastAsia="bg-BG"/>
        </w:rPr>
        <w:t xml:space="preserve">и </w:t>
      </w:r>
      <w:r w:rsidRPr="00615379">
        <w:rPr>
          <w:rFonts w:eastAsia="Times New Roman" w:cs="Arial"/>
          <w:color w:val="000000"/>
          <w:szCs w:val="20"/>
          <w:lang w:val="en-US"/>
        </w:rPr>
        <w:t xml:space="preserve">OR </w:t>
      </w:r>
      <w:r w:rsidRPr="00615379">
        <w:rPr>
          <w:rFonts w:eastAsia="Times New Roman" w:cs="Arial"/>
          <w:color w:val="000000"/>
          <w:szCs w:val="20"/>
          <w:lang w:eastAsia="bg-BG"/>
        </w:rPr>
        <w:t xml:space="preserve">7,7 (5,7-10,5) за най-високата кумулативна доза (~ 100 000 </w:t>
      </w:r>
      <w:r w:rsidRPr="00615379">
        <w:rPr>
          <w:rFonts w:eastAsia="Times New Roman" w:cs="Arial"/>
          <w:color w:val="000000"/>
          <w:szCs w:val="20"/>
          <w:lang w:val="en-US"/>
        </w:rPr>
        <w:t xml:space="preserve">mg) </w:t>
      </w:r>
      <w:r w:rsidRPr="00615379">
        <w:rPr>
          <w:rFonts w:eastAsia="Times New Roman" w:cs="Arial"/>
          <w:color w:val="000000"/>
          <w:szCs w:val="20"/>
          <w:lang w:eastAsia="bg-BG"/>
        </w:rPr>
        <w:t>(вж. също точка 4.4).</w:t>
      </w:r>
    </w:p>
    <w:p w14:paraId="1F882065" w14:textId="00B3D726" w:rsidR="00615379" w:rsidRPr="00FD3646" w:rsidRDefault="00615379" w:rsidP="00615379"/>
    <w:p w14:paraId="35F84B81" w14:textId="737FA462" w:rsidR="00CF77F7" w:rsidRDefault="002C50EE" w:rsidP="004A448E">
      <w:pPr>
        <w:pStyle w:val="Heading2"/>
      </w:pPr>
      <w:r>
        <w:t>5.2. Фармакокинетични свойства</w:t>
      </w:r>
    </w:p>
    <w:p w14:paraId="02D24156" w14:textId="57212BED" w:rsidR="00615379" w:rsidRDefault="00615379" w:rsidP="00615379"/>
    <w:p w14:paraId="23C212B8" w14:textId="77777777" w:rsidR="00615379" w:rsidRPr="00615379" w:rsidRDefault="00615379" w:rsidP="00615379">
      <w:pPr>
        <w:spacing w:line="240" w:lineRule="auto"/>
        <w:rPr>
          <w:rFonts w:eastAsia="Times New Roman" w:cs="Arial"/>
          <w:sz w:val="28"/>
          <w:szCs w:val="24"/>
          <w:lang w:eastAsia="bg-BG"/>
        </w:rPr>
      </w:pPr>
      <w:r w:rsidRPr="00615379">
        <w:rPr>
          <w:rFonts w:eastAsia="Times New Roman" w:cs="Arial"/>
          <w:color w:val="000000"/>
          <w:szCs w:val="20"/>
          <w:lang w:eastAsia="bg-BG"/>
        </w:rPr>
        <w:lastRenderedPageBreak/>
        <w:t>Едновременното приложение на лизиноприл и хидрохлоротиазид има малък или никакъв ефект върху бионаличността на отделните съставки. Установена е биоеквивалентност между к</w:t>
      </w:r>
      <w:r w:rsidRPr="00615379">
        <w:rPr>
          <w:rFonts w:eastAsia="Times New Roman" w:cs="Arial"/>
          <w:color w:val="000000"/>
          <w:szCs w:val="20"/>
          <w:lang w:val="en-US"/>
        </w:rPr>
        <w:t>o</w:t>
      </w:r>
      <w:r w:rsidRPr="00615379">
        <w:rPr>
          <w:rFonts w:eastAsia="Times New Roman" w:cs="Arial"/>
          <w:color w:val="000000"/>
          <w:szCs w:val="20"/>
          <w:lang w:eastAsia="bg-BG"/>
        </w:rPr>
        <w:t>мбинираната таблетка и двете и съставки, приемани едновременно.</w:t>
      </w:r>
    </w:p>
    <w:p w14:paraId="6754E167" w14:textId="77777777" w:rsidR="00615379" w:rsidRPr="00615379" w:rsidRDefault="00615379" w:rsidP="00615379">
      <w:pPr>
        <w:spacing w:line="240" w:lineRule="auto"/>
        <w:rPr>
          <w:rFonts w:eastAsia="Times New Roman" w:cs="Arial"/>
          <w:sz w:val="28"/>
          <w:szCs w:val="24"/>
          <w:lang w:eastAsia="bg-BG"/>
        </w:rPr>
      </w:pPr>
    </w:p>
    <w:p w14:paraId="3E580DFA" w14:textId="77777777" w:rsidR="00615379" w:rsidRPr="00615379" w:rsidRDefault="00615379" w:rsidP="00615379">
      <w:pPr>
        <w:rPr>
          <w:rFonts w:eastAsia="Times New Roman" w:cs="Arial"/>
          <w:i/>
          <w:iCs/>
          <w:color w:val="000000"/>
          <w:szCs w:val="20"/>
          <w:lang w:eastAsia="bg-BG"/>
        </w:rPr>
      </w:pPr>
      <w:r w:rsidRPr="00615379">
        <w:rPr>
          <w:rFonts w:eastAsia="Times New Roman" w:cs="Arial"/>
          <w:i/>
          <w:iCs/>
          <w:color w:val="000000"/>
          <w:szCs w:val="20"/>
          <w:lang w:eastAsia="bg-BG"/>
        </w:rPr>
        <w:t>Лизиноприл:</w:t>
      </w:r>
    </w:p>
    <w:p w14:paraId="531CF654" w14:textId="77777777" w:rsidR="00615379" w:rsidRDefault="00615379" w:rsidP="00615379"/>
    <w:p w14:paraId="1922CB6F" w14:textId="77777777" w:rsidR="00615379" w:rsidRPr="00615305" w:rsidRDefault="00615379" w:rsidP="00615305">
      <w:pPr>
        <w:pStyle w:val="Heading3"/>
        <w:rPr>
          <w:rFonts w:eastAsia="Times New Roman"/>
          <w:sz w:val="28"/>
          <w:u w:val="single"/>
          <w:lang w:eastAsia="bg-BG"/>
        </w:rPr>
      </w:pPr>
      <w:r w:rsidRPr="00615305">
        <w:rPr>
          <w:rFonts w:eastAsia="Times New Roman"/>
          <w:u w:val="single"/>
          <w:lang w:eastAsia="bg-BG"/>
        </w:rPr>
        <w:t>Абсорбция:</w:t>
      </w:r>
    </w:p>
    <w:p w14:paraId="66E32FC6" w14:textId="77777777" w:rsidR="00615379" w:rsidRPr="00615379" w:rsidRDefault="00615379" w:rsidP="00615379">
      <w:pPr>
        <w:spacing w:line="240" w:lineRule="auto"/>
        <w:rPr>
          <w:rFonts w:eastAsia="Times New Roman" w:cs="Arial"/>
          <w:sz w:val="28"/>
          <w:szCs w:val="24"/>
          <w:lang w:eastAsia="bg-BG"/>
        </w:rPr>
      </w:pPr>
      <w:r w:rsidRPr="00615379">
        <w:rPr>
          <w:rFonts w:eastAsia="Times New Roman" w:cs="Arial"/>
          <w:color w:val="000000"/>
          <w:szCs w:val="20"/>
          <w:lang w:eastAsia="bg-BG"/>
        </w:rPr>
        <w:t>След перорален приеем на лизиноприл, пикови серумни концентрации се наблюдават в рамките на 7 часа, въпреки че се наблюдава тенденции на малко забавяне в необходимото време за достигане на пикови серумни концентрации при пациенти с остър миокарден инфарт.</w:t>
      </w:r>
    </w:p>
    <w:p w14:paraId="34AC9F97" w14:textId="77777777" w:rsidR="00615379" w:rsidRPr="00615379" w:rsidRDefault="00615379" w:rsidP="00615379">
      <w:pPr>
        <w:spacing w:line="240" w:lineRule="auto"/>
        <w:rPr>
          <w:rFonts w:eastAsia="Times New Roman" w:cs="Arial"/>
          <w:sz w:val="28"/>
          <w:szCs w:val="24"/>
          <w:lang w:eastAsia="bg-BG"/>
        </w:rPr>
      </w:pPr>
      <w:r w:rsidRPr="00615379">
        <w:rPr>
          <w:rFonts w:eastAsia="Times New Roman" w:cs="Arial"/>
          <w:color w:val="000000"/>
          <w:szCs w:val="20"/>
          <w:lang w:eastAsia="bg-BG"/>
        </w:rPr>
        <w:t xml:space="preserve">Въз основа на определянето на уринната екскреция, средната степен на абсорбция на лизиноприл е около 25 % с интериндивидуални вариации (6-60%) при всички тестувани дози (5-80 </w:t>
      </w:r>
      <w:r w:rsidRPr="00615379">
        <w:rPr>
          <w:rFonts w:eastAsia="Times New Roman" w:cs="Arial"/>
          <w:color w:val="000000"/>
          <w:szCs w:val="20"/>
          <w:lang w:val="en-US"/>
        </w:rPr>
        <w:t>mg).</w:t>
      </w:r>
    </w:p>
    <w:p w14:paraId="5D732378" w14:textId="77777777" w:rsidR="00615379" w:rsidRPr="00615379" w:rsidRDefault="00615379" w:rsidP="00615379">
      <w:pPr>
        <w:spacing w:line="240" w:lineRule="auto"/>
        <w:rPr>
          <w:rFonts w:eastAsia="Times New Roman" w:cs="Arial"/>
          <w:sz w:val="28"/>
          <w:szCs w:val="24"/>
          <w:lang w:eastAsia="bg-BG"/>
        </w:rPr>
      </w:pPr>
      <w:r w:rsidRPr="00615379">
        <w:rPr>
          <w:rFonts w:eastAsia="Times New Roman" w:cs="Arial"/>
          <w:color w:val="000000"/>
          <w:szCs w:val="20"/>
          <w:lang w:eastAsia="bg-BG"/>
        </w:rPr>
        <w:t>Абсолютната бионаличност се понижава с около 16 % при пациенти със сърдечна недостатъчност. Абсорбцията на лизиноприл не се повлиява от наличието на храна в гастроинтестиналния тракт.</w:t>
      </w:r>
    </w:p>
    <w:p w14:paraId="2524949A" w14:textId="77777777" w:rsidR="00615379" w:rsidRPr="00615379" w:rsidRDefault="00615379" w:rsidP="00615379">
      <w:pPr>
        <w:spacing w:line="240" w:lineRule="auto"/>
        <w:rPr>
          <w:rFonts w:eastAsia="Times New Roman" w:cs="Arial"/>
          <w:color w:val="000000"/>
          <w:szCs w:val="20"/>
          <w:u w:val="single"/>
          <w:lang w:eastAsia="bg-BG"/>
        </w:rPr>
      </w:pPr>
    </w:p>
    <w:p w14:paraId="0765A1E7" w14:textId="77777777" w:rsidR="00615379" w:rsidRPr="00615305" w:rsidRDefault="00615379" w:rsidP="00615305">
      <w:pPr>
        <w:pStyle w:val="Heading3"/>
        <w:rPr>
          <w:rFonts w:eastAsia="Times New Roman"/>
          <w:sz w:val="28"/>
          <w:u w:val="single"/>
          <w:lang w:eastAsia="bg-BG"/>
        </w:rPr>
      </w:pPr>
      <w:r w:rsidRPr="00615305">
        <w:rPr>
          <w:rFonts w:eastAsia="Times New Roman"/>
          <w:u w:val="single"/>
          <w:lang w:eastAsia="bg-BG"/>
        </w:rPr>
        <w:t>Разпределение:</w:t>
      </w:r>
    </w:p>
    <w:p w14:paraId="6100D91B" w14:textId="77777777" w:rsidR="00615379" w:rsidRPr="00615379" w:rsidRDefault="00615379" w:rsidP="00615379">
      <w:pPr>
        <w:spacing w:line="240" w:lineRule="auto"/>
        <w:rPr>
          <w:rFonts w:eastAsia="Times New Roman" w:cs="Arial"/>
          <w:sz w:val="28"/>
          <w:szCs w:val="24"/>
          <w:lang w:eastAsia="bg-BG"/>
        </w:rPr>
      </w:pPr>
      <w:r w:rsidRPr="00615379">
        <w:rPr>
          <w:rFonts w:eastAsia="Times New Roman" w:cs="Arial"/>
          <w:color w:val="000000"/>
          <w:szCs w:val="20"/>
          <w:lang w:eastAsia="bg-BG"/>
        </w:rPr>
        <w:t>Лизиноприл не се свързва с другите серумни протеини, освен с циркулиращия ангиотензин- конвертиращ ензим (АСЕ).</w:t>
      </w:r>
    </w:p>
    <w:p w14:paraId="7895D7DE" w14:textId="77777777" w:rsidR="00615379" w:rsidRPr="00615379" w:rsidRDefault="00615379" w:rsidP="00615379">
      <w:pPr>
        <w:spacing w:line="240" w:lineRule="auto"/>
        <w:rPr>
          <w:rFonts w:eastAsia="Times New Roman" w:cs="Arial"/>
          <w:color w:val="000000"/>
          <w:szCs w:val="20"/>
          <w:lang w:eastAsia="bg-BG"/>
        </w:rPr>
      </w:pPr>
    </w:p>
    <w:p w14:paraId="2787518B" w14:textId="77777777" w:rsidR="00615379" w:rsidRPr="00615379" w:rsidRDefault="00615379" w:rsidP="00615379">
      <w:pPr>
        <w:spacing w:line="240" w:lineRule="auto"/>
        <w:rPr>
          <w:rFonts w:eastAsia="Times New Roman" w:cs="Arial"/>
          <w:sz w:val="28"/>
          <w:szCs w:val="24"/>
          <w:lang w:eastAsia="bg-BG"/>
        </w:rPr>
      </w:pPr>
      <w:r w:rsidRPr="00615379">
        <w:rPr>
          <w:rFonts w:eastAsia="Times New Roman" w:cs="Arial"/>
          <w:color w:val="000000"/>
          <w:szCs w:val="20"/>
          <w:lang w:eastAsia="bg-BG"/>
        </w:rPr>
        <w:t>Проучвания върху плъхове са показали, че лизиноприл преминава кръвно-мозъчната бариера в малка степен.</w:t>
      </w:r>
    </w:p>
    <w:p w14:paraId="0D4FF892" w14:textId="77777777" w:rsidR="00615379" w:rsidRPr="00615379" w:rsidRDefault="00615379" w:rsidP="00615379">
      <w:pPr>
        <w:spacing w:line="240" w:lineRule="auto"/>
        <w:rPr>
          <w:rFonts w:eastAsia="Times New Roman" w:cs="Arial"/>
          <w:color w:val="000000"/>
          <w:szCs w:val="20"/>
          <w:u w:val="single"/>
          <w:lang w:eastAsia="bg-BG"/>
        </w:rPr>
      </w:pPr>
    </w:p>
    <w:p w14:paraId="4FFFBFEC" w14:textId="77777777" w:rsidR="00615379" w:rsidRPr="00615305" w:rsidRDefault="00615379" w:rsidP="00615305">
      <w:pPr>
        <w:pStyle w:val="Heading3"/>
        <w:rPr>
          <w:rFonts w:eastAsia="Times New Roman"/>
          <w:sz w:val="28"/>
          <w:u w:val="single"/>
          <w:lang w:eastAsia="bg-BG"/>
        </w:rPr>
      </w:pPr>
      <w:bookmarkStart w:id="4" w:name="_GoBack"/>
      <w:r w:rsidRPr="00615305">
        <w:rPr>
          <w:rFonts w:eastAsia="Times New Roman"/>
          <w:u w:val="single"/>
          <w:lang w:eastAsia="bg-BG"/>
        </w:rPr>
        <w:t>Елиминиране:</w:t>
      </w:r>
    </w:p>
    <w:bookmarkEnd w:id="4"/>
    <w:p w14:paraId="21729422" w14:textId="77777777" w:rsidR="00615379" w:rsidRPr="00615379" w:rsidRDefault="00615379" w:rsidP="00615379">
      <w:pPr>
        <w:spacing w:line="240" w:lineRule="auto"/>
        <w:rPr>
          <w:rFonts w:eastAsia="Times New Roman" w:cs="Arial"/>
          <w:sz w:val="28"/>
          <w:szCs w:val="24"/>
          <w:lang w:eastAsia="bg-BG"/>
        </w:rPr>
      </w:pPr>
      <w:r w:rsidRPr="00615379">
        <w:rPr>
          <w:rFonts w:eastAsia="Times New Roman" w:cs="Arial"/>
          <w:color w:val="000000"/>
          <w:szCs w:val="20"/>
          <w:lang w:eastAsia="bg-BG"/>
        </w:rPr>
        <w:t>Лизиноприл не се метаболизира и се екскретира напълно непроменен в урината.</w:t>
      </w:r>
    </w:p>
    <w:p w14:paraId="43A99632" w14:textId="77777777" w:rsidR="00615379" w:rsidRPr="00615379" w:rsidRDefault="00615379" w:rsidP="00615379">
      <w:pPr>
        <w:spacing w:line="240" w:lineRule="auto"/>
        <w:rPr>
          <w:rFonts w:eastAsia="Times New Roman" w:cs="Arial"/>
          <w:color w:val="000000"/>
          <w:szCs w:val="20"/>
          <w:lang w:eastAsia="bg-BG"/>
        </w:rPr>
      </w:pPr>
    </w:p>
    <w:p w14:paraId="5BF3DEB2" w14:textId="77777777" w:rsidR="00615379" w:rsidRPr="00615379" w:rsidRDefault="00615379" w:rsidP="00615379">
      <w:pPr>
        <w:spacing w:line="240" w:lineRule="auto"/>
        <w:rPr>
          <w:rFonts w:eastAsia="Times New Roman" w:cs="Arial"/>
          <w:sz w:val="28"/>
          <w:szCs w:val="24"/>
          <w:lang w:eastAsia="bg-BG"/>
        </w:rPr>
      </w:pPr>
      <w:r w:rsidRPr="00615379">
        <w:rPr>
          <w:rFonts w:eastAsia="Times New Roman" w:cs="Arial"/>
          <w:color w:val="000000"/>
          <w:szCs w:val="20"/>
          <w:lang w:eastAsia="bg-BG"/>
        </w:rPr>
        <w:t>При многократен прием лизиноприл има ефективен плазмен полуживот от около 12,6 часа.</w:t>
      </w:r>
    </w:p>
    <w:p w14:paraId="35B32709" w14:textId="77777777" w:rsidR="00615379" w:rsidRPr="00615379" w:rsidRDefault="00615379" w:rsidP="00615379">
      <w:pPr>
        <w:spacing w:line="240" w:lineRule="auto"/>
        <w:rPr>
          <w:rFonts w:eastAsia="Times New Roman" w:cs="Arial"/>
          <w:sz w:val="28"/>
          <w:szCs w:val="24"/>
          <w:lang w:eastAsia="bg-BG"/>
        </w:rPr>
      </w:pPr>
      <w:r w:rsidRPr="00615379">
        <w:rPr>
          <w:rFonts w:eastAsia="Times New Roman" w:cs="Arial"/>
          <w:color w:val="000000"/>
          <w:szCs w:val="20"/>
          <w:lang w:eastAsia="bg-BG"/>
        </w:rPr>
        <w:t xml:space="preserve">Клирънсът на лизиноприл при здрави индивиди е приблизително 50 </w:t>
      </w:r>
      <w:r w:rsidRPr="00615379">
        <w:rPr>
          <w:rFonts w:eastAsia="Times New Roman" w:cs="Arial"/>
          <w:color w:val="000000"/>
          <w:szCs w:val="20"/>
          <w:lang w:val="en-US"/>
        </w:rPr>
        <w:t>ml/min.</w:t>
      </w:r>
    </w:p>
    <w:p w14:paraId="34ED4BFA" w14:textId="77777777" w:rsidR="00615379" w:rsidRPr="00615379" w:rsidRDefault="00615379" w:rsidP="00615379">
      <w:pPr>
        <w:spacing w:line="240" w:lineRule="auto"/>
        <w:rPr>
          <w:rFonts w:eastAsia="Times New Roman" w:cs="Arial"/>
          <w:sz w:val="28"/>
          <w:szCs w:val="24"/>
          <w:lang w:eastAsia="bg-BG"/>
        </w:rPr>
      </w:pPr>
      <w:r w:rsidRPr="00615379">
        <w:rPr>
          <w:rFonts w:eastAsia="Times New Roman" w:cs="Arial"/>
          <w:color w:val="000000"/>
          <w:szCs w:val="20"/>
          <w:lang w:eastAsia="bg-BG"/>
        </w:rPr>
        <w:t>Намаляващите серумни концентрации показват продължителна крайна фаза, което обаче не води до кумулация. Тази фаза е резултат на здравото свързване с АСЕ и не е дозово зависима.</w:t>
      </w:r>
    </w:p>
    <w:p w14:paraId="0E888925" w14:textId="77777777" w:rsidR="00615379" w:rsidRPr="00615379" w:rsidRDefault="00615379" w:rsidP="00615379">
      <w:pPr>
        <w:spacing w:line="240" w:lineRule="auto"/>
        <w:rPr>
          <w:rFonts w:eastAsia="Times New Roman" w:cs="Arial"/>
          <w:color w:val="000000"/>
          <w:szCs w:val="20"/>
          <w:u w:val="single"/>
          <w:lang w:eastAsia="bg-BG"/>
        </w:rPr>
      </w:pPr>
    </w:p>
    <w:p w14:paraId="27020352" w14:textId="77777777" w:rsidR="00615379" w:rsidRPr="00615379" w:rsidRDefault="00615379" w:rsidP="00615379">
      <w:pPr>
        <w:spacing w:line="240" w:lineRule="auto"/>
        <w:rPr>
          <w:rFonts w:eastAsia="Times New Roman" w:cs="Arial"/>
          <w:sz w:val="28"/>
          <w:szCs w:val="24"/>
          <w:lang w:eastAsia="bg-BG"/>
        </w:rPr>
      </w:pPr>
      <w:r w:rsidRPr="00615379">
        <w:rPr>
          <w:rFonts w:eastAsia="Times New Roman" w:cs="Arial"/>
          <w:color w:val="000000"/>
          <w:szCs w:val="20"/>
          <w:u w:val="single"/>
          <w:lang w:eastAsia="bg-BG"/>
        </w:rPr>
        <w:t>Чернодробно увреждане:</w:t>
      </w:r>
    </w:p>
    <w:p w14:paraId="13462115" w14:textId="77777777" w:rsidR="00615379" w:rsidRPr="00615379" w:rsidRDefault="00615379" w:rsidP="00615379">
      <w:pPr>
        <w:spacing w:line="240" w:lineRule="auto"/>
        <w:rPr>
          <w:rFonts w:eastAsia="Times New Roman" w:cs="Arial"/>
          <w:sz w:val="28"/>
          <w:szCs w:val="24"/>
          <w:lang w:eastAsia="bg-BG"/>
        </w:rPr>
      </w:pPr>
      <w:r w:rsidRPr="00615379">
        <w:rPr>
          <w:rFonts w:eastAsia="Times New Roman" w:cs="Arial"/>
          <w:color w:val="000000"/>
          <w:szCs w:val="20"/>
          <w:lang w:eastAsia="bg-BG"/>
        </w:rPr>
        <w:t>Нарушената чернодробна функция при пациенти с цироза се изразява в намаляване на абсорбцията на лизиноприл (с около 30 %, което е определено при уринна екскреция) и с повишаване на експозицията (с около 50 %) в сравнение със здрави индивиди поради понижен клирънс.</w:t>
      </w:r>
    </w:p>
    <w:p w14:paraId="046FD044" w14:textId="77777777" w:rsidR="00615379" w:rsidRPr="00615379" w:rsidRDefault="00615379" w:rsidP="00615379">
      <w:pPr>
        <w:spacing w:line="240" w:lineRule="auto"/>
        <w:rPr>
          <w:rFonts w:eastAsia="Times New Roman" w:cs="Arial"/>
          <w:color w:val="000000"/>
          <w:szCs w:val="20"/>
          <w:u w:val="single"/>
          <w:lang w:eastAsia="bg-BG"/>
        </w:rPr>
      </w:pPr>
    </w:p>
    <w:p w14:paraId="50956591" w14:textId="77777777" w:rsidR="00615379" w:rsidRPr="00615379" w:rsidRDefault="00615379" w:rsidP="00615379">
      <w:pPr>
        <w:spacing w:line="240" w:lineRule="auto"/>
        <w:rPr>
          <w:rFonts w:eastAsia="Times New Roman" w:cs="Arial"/>
          <w:sz w:val="28"/>
          <w:szCs w:val="24"/>
          <w:lang w:eastAsia="bg-BG"/>
        </w:rPr>
      </w:pPr>
      <w:r w:rsidRPr="00615379">
        <w:rPr>
          <w:rFonts w:eastAsia="Times New Roman" w:cs="Arial"/>
          <w:color w:val="000000"/>
          <w:szCs w:val="20"/>
          <w:u w:val="single"/>
          <w:lang w:eastAsia="bg-BG"/>
        </w:rPr>
        <w:t>Бъбречно увреждане:</w:t>
      </w:r>
    </w:p>
    <w:p w14:paraId="0E66539B" w14:textId="77777777" w:rsidR="00615379" w:rsidRPr="00615379" w:rsidRDefault="00615379" w:rsidP="00615379">
      <w:pPr>
        <w:rPr>
          <w:rFonts w:cs="Arial"/>
          <w:sz w:val="24"/>
        </w:rPr>
      </w:pPr>
      <w:r w:rsidRPr="00615379">
        <w:rPr>
          <w:rFonts w:eastAsia="Times New Roman" w:cs="Arial"/>
          <w:color w:val="000000"/>
          <w:szCs w:val="20"/>
          <w:lang w:eastAsia="bg-BG"/>
        </w:rPr>
        <w:t xml:space="preserve">Нарушената бъбречна функция води до понижаване на елиминирането на лизиноприл, който се екскретира чрез бъбреците, като това понижаване става клинично значимо, когато степента на глумерулна филтрация стане под 30 </w:t>
      </w:r>
      <w:r w:rsidRPr="00615379">
        <w:rPr>
          <w:rFonts w:eastAsia="Times New Roman" w:cs="Arial"/>
          <w:color w:val="000000"/>
          <w:szCs w:val="20"/>
          <w:lang w:val="en-US"/>
        </w:rPr>
        <w:t>ml/min.</w:t>
      </w:r>
    </w:p>
    <w:p w14:paraId="06A21251" w14:textId="77777777" w:rsidR="00615379" w:rsidRDefault="00615379" w:rsidP="00615379"/>
    <w:tbl>
      <w:tblPr>
        <w:tblStyle w:val="TableGrid"/>
        <w:tblW w:w="0" w:type="auto"/>
        <w:tblLook w:val="04A0" w:firstRow="1" w:lastRow="0" w:firstColumn="1" w:lastColumn="0" w:noHBand="0" w:noVBand="1"/>
      </w:tblPr>
      <w:tblGrid>
        <w:gridCol w:w="1619"/>
        <w:gridCol w:w="1583"/>
        <w:gridCol w:w="1583"/>
        <w:gridCol w:w="1583"/>
        <w:gridCol w:w="1584"/>
        <w:gridCol w:w="1584"/>
      </w:tblGrid>
      <w:tr w:rsidR="00615379" w14:paraId="386954D6" w14:textId="77777777" w:rsidTr="00615379">
        <w:tc>
          <w:tcPr>
            <w:tcW w:w="9536" w:type="dxa"/>
            <w:gridSpan w:val="6"/>
          </w:tcPr>
          <w:p w14:paraId="12A558F6" w14:textId="77777777" w:rsidR="00615379" w:rsidRPr="00615379" w:rsidRDefault="00615379" w:rsidP="00615379">
            <w:pPr>
              <w:spacing w:line="240" w:lineRule="auto"/>
              <w:rPr>
                <w:rFonts w:eastAsia="Times New Roman" w:cs="Arial"/>
                <w:sz w:val="28"/>
                <w:szCs w:val="24"/>
                <w:lang w:eastAsia="bg-BG"/>
              </w:rPr>
            </w:pPr>
            <w:r w:rsidRPr="00615379">
              <w:rPr>
                <w:rFonts w:eastAsia="Times New Roman" w:cs="Arial"/>
                <w:b/>
                <w:bCs/>
                <w:color w:val="000000"/>
                <w:szCs w:val="20"/>
                <w:lang w:eastAsia="bg-BG"/>
              </w:rPr>
              <w:t xml:space="preserve">Таблица 1: Фармакокинетични параметри на лизиноприл при различни групи пациенти с бъбречно увреждане след многократен прием на доза от 5 </w:t>
            </w:r>
            <w:r w:rsidRPr="00615379">
              <w:rPr>
                <w:rFonts w:eastAsia="Times New Roman" w:cs="Arial"/>
                <w:b/>
                <w:bCs/>
                <w:color w:val="000000"/>
                <w:szCs w:val="20"/>
                <w:lang w:val="en-US"/>
              </w:rPr>
              <w:t>mg</w:t>
            </w:r>
          </w:p>
          <w:p w14:paraId="6C529D4C" w14:textId="77777777" w:rsidR="00615379" w:rsidRDefault="00615379" w:rsidP="00615379"/>
        </w:tc>
      </w:tr>
      <w:tr w:rsidR="00615379" w14:paraId="62A6E33A" w14:textId="77777777" w:rsidTr="00615379">
        <w:tc>
          <w:tcPr>
            <w:tcW w:w="1619" w:type="dxa"/>
          </w:tcPr>
          <w:p w14:paraId="3BE862B2" w14:textId="77777777" w:rsidR="00615379" w:rsidRPr="00615379" w:rsidRDefault="00615379" w:rsidP="00615379">
            <w:r w:rsidRPr="00615379">
              <w:rPr>
                <w:b/>
                <w:bCs/>
                <w:szCs w:val="20"/>
                <w:lang w:eastAsia="bg-BG"/>
              </w:rPr>
              <w:lastRenderedPageBreak/>
              <w:t>Бъбречна функция, измерена чрез креатининов клирънс</w:t>
            </w:r>
          </w:p>
        </w:tc>
        <w:tc>
          <w:tcPr>
            <w:tcW w:w="1583" w:type="dxa"/>
          </w:tcPr>
          <w:p w14:paraId="5D1F0F0B" w14:textId="77777777" w:rsidR="00615379" w:rsidRPr="00615379" w:rsidRDefault="00615379" w:rsidP="00615379">
            <w:r w:rsidRPr="00615379">
              <w:rPr>
                <w:b/>
                <w:bCs/>
                <w:szCs w:val="20"/>
              </w:rPr>
              <w:t>n</w:t>
            </w:r>
          </w:p>
        </w:tc>
        <w:tc>
          <w:tcPr>
            <w:tcW w:w="1583" w:type="dxa"/>
          </w:tcPr>
          <w:p w14:paraId="0B9104AC" w14:textId="77777777" w:rsidR="00615379" w:rsidRPr="00615379" w:rsidRDefault="00615379" w:rsidP="00615379">
            <w:r w:rsidRPr="00615379">
              <w:rPr>
                <w:b/>
                <w:bCs/>
                <w:szCs w:val="20"/>
              </w:rPr>
              <w:t>C max (ng/ml)</w:t>
            </w:r>
          </w:p>
        </w:tc>
        <w:tc>
          <w:tcPr>
            <w:tcW w:w="1583" w:type="dxa"/>
          </w:tcPr>
          <w:p w14:paraId="556CEEA2" w14:textId="77777777" w:rsidR="00615379" w:rsidRPr="00615379" w:rsidRDefault="00615379" w:rsidP="00615379">
            <w:r w:rsidRPr="00615379">
              <w:rPr>
                <w:b/>
                <w:bCs/>
                <w:szCs w:val="20"/>
              </w:rPr>
              <w:t>Tmax (hours)</w:t>
            </w:r>
          </w:p>
        </w:tc>
        <w:tc>
          <w:tcPr>
            <w:tcW w:w="1584" w:type="dxa"/>
          </w:tcPr>
          <w:p w14:paraId="4F0BA6E0" w14:textId="77777777" w:rsidR="00615379" w:rsidRPr="00615379" w:rsidRDefault="00615379" w:rsidP="00615379">
            <w:r w:rsidRPr="00615379">
              <w:rPr>
                <w:b/>
                <w:bCs/>
                <w:szCs w:val="20"/>
              </w:rPr>
              <w:t>AUC (0-24 h) (ng/h/mi)</w:t>
            </w:r>
          </w:p>
        </w:tc>
        <w:tc>
          <w:tcPr>
            <w:tcW w:w="1584" w:type="dxa"/>
          </w:tcPr>
          <w:p w14:paraId="0D0DBA0B" w14:textId="77777777" w:rsidR="00615379" w:rsidRPr="00615379" w:rsidRDefault="00615379" w:rsidP="00615379">
            <w:r w:rsidRPr="00615379">
              <w:rPr>
                <w:b/>
                <w:bCs/>
                <w:szCs w:val="20"/>
              </w:rPr>
              <w:t>T</w:t>
            </w:r>
            <w:r w:rsidRPr="00615379">
              <w:rPr>
                <w:b/>
                <w:bCs/>
                <w:szCs w:val="20"/>
                <w:lang w:eastAsia="bg-BG"/>
              </w:rPr>
              <w:t xml:space="preserve"> </w:t>
            </w:r>
            <w:r w:rsidRPr="00615379">
              <w:rPr>
                <w:b/>
                <w:bCs/>
                <w:szCs w:val="20"/>
                <w:vertAlign w:val="superscript"/>
                <w:lang w:eastAsia="bg-BG"/>
              </w:rPr>
              <w:t>1/2</w:t>
            </w:r>
            <w:r w:rsidRPr="00615379">
              <w:rPr>
                <w:b/>
                <w:bCs/>
                <w:szCs w:val="20"/>
                <w:lang w:eastAsia="bg-BG"/>
              </w:rPr>
              <w:t xml:space="preserve"> </w:t>
            </w:r>
            <w:r w:rsidRPr="00615379">
              <w:rPr>
                <w:b/>
                <w:bCs/>
                <w:szCs w:val="20"/>
              </w:rPr>
              <w:t>(h)</w:t>
            </w:r>
          </w:p>
        </w:tc>
      </w:tr>
      <w:tr w:rsidR="00615379" w14:paraId="52CA33F3" w14:textId="77777777" w:rsidTr="00615379">
        <w:tc>
          <w:tcPr>
            <w:tcW w:w="1619" w:type="dxa"/>
          </w:tcPr>
          <w:p w14:paraId="376820DB" w14:textId="77777777" w:rsidR="00615379" w:rsidRPr="00615379" w:rsidRDefault="00615379" w:rsidP="00615379">
            <w:r w:rsidRPr="00615379">
              <w:rPr>
                <w:szCs w:val="20"/>
                <w:lang w:eastAsia="bg-BG"/>
              </w:rPr>
              <w:t xml:space="preserve">&gt;80 </w:t>
            </w:r>
            <w:r w:rsidRPr="00615379">
              <w:rPr>
                <w:szCs w:val="20"/>
              </w:rPr>
              <w:t>ml/min</w:t>
            </w:r>
          </w:p>
        </w:tc>
        <w:tc>
          <w:tcPr>
            <w:tcW w:w="1583" w:type="dxa"/>
          </w:tcPr>
          <w:p w14:paraId="30C143E8" w14:textId="77777777" w:rsidR="00615379" w:rsidRPr="00615379" w:rsidRDefault="00615379" w:rsidP="00615379">
            <w:r w:rsidRPr="00615379">
              <w:rPr>
                <w:szCs w:val="20"/>
              </w:rPr>
              <w:t>6</w:t>
            </w:r>
          </w:p>
        </w:tc>
        <w:tc>
          <w:tcPr>
            <w:tcW w:w="1583" w:type="dxa"/>
          </w:tcPr>
          <w:p w14:paraId="0156E6AA" w14:textId="77777777" w:rsidR="00615379" w:rsidRPr="00615379" w:rsidRDefault="00615379" w:rsidP="00615379">
            <w:r w:rsidRPr="00615379">
              <w:rPr>
                <w:szCs w:val="20"/>
              </w:rPr>
              <w:t>40,3</w:t>
            </w:r>
          </w:p>
        </w:tc>
        <w:tc>
          <w:tcPr>
            <w:tcW w:w="1583" w:type="dxa"/>
          </w:tcPr>
          <w:p w14:paraId="7DDBB0E4" w14:textId="77777777" w:rsidR="00615379" w:rsidRPr="00615379" w:rsidRDefault="00615379" w:rsidP="00615379">
            <w:r w:rsidRPr="00615379">
              <w:rPr>
                <w:b/>
                <w:bCs/>
                <w:szCs w:val="20"/>
              </w:rPr>
              <w:t>6</w:t>
            </w:r>
          </w:p>
        </w:tc>
        <w:tc>
          <w:tcPr>
            <w:tcW w:w="1584" w:type="dxa"/>
          </w:tcPr>
          <w:p w14:paraId="701E1050" w14:textId="77777777" w:rsidR="00615379" w:rsidRPr="00615379" w:rsidRDefault="00615379" w:rsidP="00615379">
            <w:r w:rsidRPr="00615379">
              <w:rPr>
                <w:szCs w:val="20"/>
              </w:rPr>
              <w:t>492 +/-172</w:t>
            </w:r>
          </w:p>
        </w:tc>
        <w:tc>
          <w:tcPr>
            <w:tcW w:w="1584" w:type="dxa"/>
          </w:tcPr>
          <w:p w14:paraId="4C64D19C" w14:textId="77777777" w:rsidR="00615379" w:rsidRPr="00615379" w:rsidRDefault="00615379" w:rsidP="00615379">
            <w:r w:rsidRPr="00615379">
              <w:rPr>
                <w:szCs w:val="20"/>
                <w:lang w:eastAsia="bg-BG"/>
              </w:rPr>
              <w:t>6,0+/-</w:t>
            </w:r>
            <w:r w:rsidRPr="00615379">
              <w:rPr>
                <w:szCs w:val="20"/>
              </w:rPr>
              <w:t>1,1</w:t>
            </w:r>
          </w:p>
        </w:tc>
      </w:tr>
      <w:tr w:rsidR="00615379" w14:paraId="6F60F962" w14:textId="77777777" w:rsidTr="00615379">
        <w:tc>
          <w:tcPr>
            <w:tcW w:w="1619" w:type="dxa"/>
          </w:tcPr>
          <w:p w14:paraId="3237C8CB" w14:textId="77777777" w:rsidR="00615379" w:rsidRPr="00615379" w:rsidRDefault="00615379" w:rsidP="00615379">
            <w:r w:rsidRPr="00615379">
              <w:rPr>
                <w:szCs w:val="20"/>
                <w:lang w:eastAsia="bg-BG"/>
              </w:rPr>
              <w:t xml:space="preserve">30-80 </w:t>
            </w:r>
            <w:r w:rsidRPr="00615379">
              <w:rPr>
                <w:szCs w:val="20"/>
              </w:rPr>
              <w:t>ml/min</w:t>
            </w:r>
          </w:p>
        </w:tc>
        <w:tc>
          <w:tcPr>
            <w:tcW w:w="1583" w:type="dxa"/>
          </w:tcPr>
          <w:p w14:paraId="211EF395" w14:textId="77777777" w:rsidR="00615379" w:rsidRPr="00615379" w:rsidRDefault="00615379" w:rsidP="00615379">
            <w:r w:rsidRPr="00615379">
              <w:rPr>
                <w:szCs w:val="20"/>
              </w:rPr>
              <w:t>6</w:t>
            </w:r>
          </w:p>
        </w:tc>
        <w:tc>
          <w:tcPr>
            <w:tcW w:w="1583" w:type="dxa"/>
          </w:tcPr>
          <w:p w14:paraId="3B735AD2" w14:textId="77777777" w:rsidR="00615379" w:rsidRPr="00615379" w:rsidRDefault="00615379" w:rsidP="00615379">
            <w:r w:rsidRPr="00615379">
              <w:rPr>
                <w:szCs w:val="20"/>
              </w:rPr>
              <w:t>36,6</w:t>
            </w:r>
          </w:p>
        </w:tc>
        <w:tc>
          <w:tcPr>
            <w:tcW w:w="1583" w:type="dxa"/>
          </w:tcPr>
          <w:p w14:paraId="536FECE6" w14:textId="77777777" w:rsidR="00615379" w:rsidRPr="00615379" w:rsidRDefault="00615379" w:rsidP="00615379">
            <w:r w:rsidRPr="00615379">
              <w:rPr>
                <w:b/>
                <w:bCs/>
                <w:szCs w:val="20"/>
              </w:rPr>
              <w:t>8</w:t>
            </w:r>
          </w:p>
        </w:tc>
        <w:tc>
          <w:tcPr>
            <w:tcW w:w="1584" w:type="dxa"/>
          </w:tcPr>
          <w:p w14:paraId="07E01FC1" w14:textId="77777777" w:rsidR="00615379" w:rsidRPr="00615379" w:rsidRDefault="00615379" w:rsidP="00615379">
            <w:r w:rsidRPr="00615379">
              <w:rPr>
                <w:szCs w:val="20"/>
              </w:rPr>
              <w:t>555+7-364</w:t>
            </w:r>
          </w:p>
        </w:tc>
        <w:tc>
          <w:tcPr>
            <w:tcW w:w="1584" w:type="dxa"/>
          </w:tcPr>
          <w:p w14:paraId="3C2EEDAE" w14:textId="77777777" w:rsidR="00615379" w:rsidRPr="00615379" w:rsidRDefault="00615379" w:rsidP="00615379">
            <w:r w:rsidRPr="00615379">
              <w:rPr>
                <w:szCs w:val="20"/>
              </w:rPr>
              <w:t>11,8+/-1,9</w:t>
            </w:r>
          </w:p>
        </w:tc>
      </w:tr>
      <w:tr w:rsidR="00615379" w14:paraId="4AF1A1BE" w14:textId="77777777" w:rsidTr="00615379">
        <w:tc>
          <w:tcPr>
            <w:tcW w:w="1619" w:type="dxa"/>
          </w:tcPr>
          <w:p w14:paraId="764C283F" w14:textId="77777777" w:rsidR="00615379" w:rsidRPr="00615379" w:rsidRDefault="00615379" w:rsidP="00615379">
            <w:r w:rsidRPr="00615379">
              <w:rPr>
                <w:szCs w:val="20"/>
                <w:lang w:eastAsia="bg-BG"/>
              </w:rPr>
              <w:t xml:space="preserve">5-30 </w:t>
            </w:r>
            <w:r w:rsidRPr="00615379">
              <w:rPr>
                <w:szCs w:val="20"/>
              </w:rPr>
              <w:t>ml/min</w:t>
            </w:r>
          </w:p>
        </w:tc>
        <w:tc>
          <w:tcPr>
            <w:tcW w:w="1583" w:type="dxa"/>
          </w:tcPr>
          <w:p w14:paraId="62B0FEA2" w14:textId="77777777" w:rsidR="00615379" w:rsidRPr="00615379" w:rsidRDefault="00615379" w:rsidP="00615379">
            <w:r w:rsidRPr="00615379">
              <w:rPr>
                <w:szCs w:val="20"/>
              </w:rPr>
              <w:t>6</w:t>
            </w:r>
          </w:p>
        </w:tc>
        <w:tc>
          <w:tcPr>
            <w:tcW w:w="1583" w:type="dxa"/>
          </w:tcPr>
          <w:p w14:paraId="3B256F88" w14:textId="77777777" w:rsidR="00615379" w:rsidRPr="00615379" w:rsidRDefault="00615379" w:rsidP="00615379">
            <w:r w:rsidRPr="00615379">
              <w:rPr>
                <w:szCs w:val="20"/>
              </w:rPr>
              <w:t>106,7</w:t>
            </w:r>
          </w:p>
        </w:tc>
        <w:tc>
          <w:tcPr>
            <w:tcW w:w="1583" w:type="dxa"/>
          </w:tcPr>
          <w:p w14:paraId="263496B7" w14:textId="77777777" w:rsidR="00615379" w:rsidRPr="00615379" w:rsidRDefault="00615379" w:rsidP="00615379">
            <w:r w:rsidRPr="00615379">
              <w:rPr>
                <w:szCs w:val="20"/>
              </w:rPr>
              <w:t>8</w:t>
            </w:r>
          </w:p>
        </w:tc>
        <w:tc>
          <w:tcPr>
            <w:tcW w:w="1584" w:type="dxa"/>
          </w:tcPr>
          <w:p w14:paraId="4A86A9F2" w14:textId="77777777" w:rsidR="00615379" w:rsidRPr="00615379" w:rsidRDefault="00615379" w:rsidP="00615379">
            <w:r w:rsidRPr="00615379">
              <w:rPr>
                <w:szCs w:val="20"/>
              </w:rPr>
              <w:t>2228+/-938</w:t>
            </w:r>
          </w:p>
        </w:tc>
        <w:tc>
          <w:tcPr>
            <w:tcW w:w="1584" w:type="dxa"/>
          </w:tcPr>
          <w:p w14:paraId="2B327CFC" w14:textId="77777777" w:rsidR="00615379" w:rsidRPr="00615379" w:rsidRDefault="00615379" w:rsidP="00615379">
            <w:r w:rsidRPr="00615379">
              <w:rPr>
                <w:szCs w:val="20"/>
              </w:rPr>
              <w:t>19,5+/-5,2</w:t>
            </w:r>
          </w:p>
        </w:tc>
      </w:tr>
    </w:tbl>
    <w:p w14:paraId="32D6D9D4" w14:textId="77777777" w:rsidR="00615379" w:rsidRPr="00615379" w:rsidRDefault="00615379" w:rsidP="00615379">
      <w:pPr>
        <w:spacing w:line="240" w:lineRule="auto"/>
        <w:rPr>
          <w:rFonts w:eastAsia="Times New Roman" w:cs="Arial"/>
          <w:sz w:val="28"/>
          <w:szCs w:val="24"/>
          <w:lang w:eastAsia="bg-BG"/>
        </w:rPr>
      </w:pPr>
      <w:r w:rsidRPr="00615379">
        <w:rPr>
          <w:rFonts w:eastAsia="Times New Roman" w:cs="Arial"/>
          <w:color w:val="000000"/>
          <w:szCs w:val="20"/>
          <w:lang w:eastAsia="bg-BG"/>
        </w:rPr>
        <w:t xml:space="preserve">При креатининов клирънс между 30-80 </w:t>
      </w:r>
      <w:r w:rsidRPr="00615379">
        <w:rPr>
          <w:rFonts w:eastAsia="Times New Roman" w:cs="Arial"/>
          <w:color w:val="000000"/>
          <w:szCs w:val="20"/>
          <w:lang w:val="en-US"/>
        </w:rPr>
        <w:t xml:space="preserve">ml/min, </w:t>
      </w:r>
      <w:r w:rsidRPr="00615379">
        <w:rPr>
          <w:rFonts w:eastAsia="Times New Roman" w:cs="Arial"/>
          <w:color w:val="000000"/>
          <w:szCs w:val="20"/>
          <w:lang w:eastAsia="bg-BG"/>
        </w:rPr>
        <w:t xml:space="preserve">средната стойност на </w:t>
      </w:r>
      <w:r w:rsidRPr="00615379">
        <w:rPr>
          <w:rFonts w:eastAsia="Times New Roman" w:cs="Arial"/>
          <w:color w:val="000000"/>
          <w:szCs w:val="20"/>
          <w:lang w:val="en-US"/>
        </w:rPr>
        <w:t xml:space="preserve">AUC </w:t>
      </w:r>
      <w:r w:rsidRPr="00615379">
        <w:rPr>
          <w:rFonts w:eastAsia="Times New Roman" w:cs="Arial"/>
          <w:color w:val="000000"/>
          <w:szCs w:val="20"/>
          <w:lang w:eastAsia="bg-BG"/>
        </w:rPr>
        <w:t xml:space="preserve">се увеличава само с 13%, докато 4-5 кратно увеличение в средната стойност на </w:t>
      </w:r>
      <w:r w:rsidRPr="00615379">
        <w:rPr>
          <w:rFonts w:eastAsia="Times New Roman" w:cs="Arial"/>
          <w:color w:val="000000"/>
          <w:szCs w:val="20"/>
          <w:lang w:val="en-US"/>
        </w:rPr>
        <w:t xml:space="preserve">AUC </w:t>
      </w:r>
      <w:r w:rsidRPr="00615379">
        <w:rPr>
          <w:rFonts w:eastAsia="Times New Roman" w:cs="Arial"/>
          <w:color w:val="000000"/>
          <w:szCs w:val="20"/>
          <w:lang w:eastAsia="bg-BG"/>
        </w:rPr>
        <w:t xml:space="preserve">е наблюдавана при креатининов клирънс между 5-30 </w:t>
      </w:r>
      <w:r w:rsidRPr="00615379">
        <w:rPr>
          <w:rFonts w:eastAsia="Times New Roman" w:cs="Arial"/>
          <w:color w:val="000000"/>
          <w:szCs w:val="20"/>
          <w:lang w:val="en-US"/>
        </w:rPr>
        <w:t>ml/min.</w:t>
      </w:r>
    </w:p>
    <w:p w14:paraId="776F71C1" w14:textId="77777777" w:rsidR="00615379" w:rsidRPr="00615379" w:rsidRDefault="00615379" w:rsidP="00615379">
      <w:pPr>
        <w:spacing w:line="240" w:lineRule="auto"/>
        <w:rPr>
          <w:rFonts w:eastAsia="Times New Roman" w:cs="Arial"/>
          <w:color w:val="000000"/>
          <w:szCs w:val="20"/>
          <w:lang w:eastAsia="bg-BG"/>
        </w:rPr>
      </w:pPr>
    </w:p>
    <w:p w14:paraId="096BEDDB" w14:textId="77777777" w:rsidR="00615379" w:rsidRPr="00615379" w:rsidRDefault="00615379" w:rsidP="00615379">
      <w:pPr>
        <w:spacing w:line="240" w:lineRule="auto"/>
        <w:rPr>
          <w:rFonts w:eastAsia="Times New Roman" w:cs="Arial"/>
          <w:sz w:val="28"/>
          <w:szCs w:val="24"/>
          <w:lang w:eastAsia="bg-BG"/>
        </w:rPr>
      </w:pPr>
      <w:r w:rsidRPr="00615379">
        <w:rPr>
          <w:rFonts w:eastAsia="Times New Roman" w:cs="Arial"/>
          <w:color w:val="000000"/>
          <w:szCs w:val="20"/>
          <w:lang w:eastAsia="bg-BG"/>
        </w:rPr>
        <w:t xml:space="preserve">Лизиноприл се елиминира чрез диализа. По време на четири часова хемодиализа, плазмените концентрации на лизиноприл намаляват средно с 60%, с диализен клирънс между 40 и 55 </w:t>
      </w:r>
      <w:r w:rsidRPr="00615379">
        <w:rPr>
          <w:rFonts w:eastAsia="Times New Roman" w:cs="Arial"/>
          <w:color w:val="000000"/>
          <w:szCs w:val="20"/>
          <w:lang w:val="en-US"/>
        </w:rPr>
        <w:t>ml/min.</w:t>
      </w:r>
    </w:p>
    <w:p w14:paraId="0C909E0A" w14:textId="77777777" w:rsidR="00615379" w:rsidRPr="00615379" w:rsidRDefault="00615379" w:rsidP="00615379">
      <w:pPr>
        <w:spacing w:line="240" w:lineRule="auto"/>
        <w:rPr>
          <w:rFonts w:eastAsia="Times New Roman" w:cs="Arial"/>
          <w:color w:val="000000"/>
          <w:szCs w:val="20"/>
          <w:u w:val="single"/>
          <w:lang w:eastAsia="bg-BG"/>
        </w:rPr>
      </w:pPr>
    </w:p>
    <w:p w14:paraId="230B90F2" w14:textId="77777777" w:rsidR="00615379" w:rsidRPr="00615379" w:rsidRDefault="00615379" w:rsidP="00615379">
      <w:pPr>
        <w:spacing w:line="240" w:lineRule="auto"/>
        <w:rPr>
          <w:rFonts w:eastAsia="Times New Roman" w:cs="Arial"/>
          <w:sz w:val="28"/>
          <w:szCs w:val="24"/>
          <w:lang w:eastAsia="bg-BG"/>
        </w:rPr>
      </w:pPr>
      <w:r w:rsidRPr="00615379">
        <w:rPr>
          <w:rFonts w:eastAsia="Times New Roman" w:cs="Arial"/>
          <w:color w:val="000000"/>
          <w:szCs w:val="20"/>
          <w:u w:val="single"/>
          <w:lang w:eastAsia="bg-BG"/>
        </w:rPr>
        <w:t>Сърдечна недостатъчност:</w:t>
      </w:r>
    </w:p>
    <w:p w14:paraId="0DC446F2" w14:textId="77777777" w:rsidR="00615379" w:rsidRPr="00615379" w:rsidRDefault="00615379" w:rsidP="00615379">
      <w:pPr>
        <w:spacing w:line="240" w:lineRule="auto"/>
        <w:rPr>
          <w:rFonts w:eastAsia="Times New Roman" w:cs="Arial"/>
          <w:sz w:val="28"/>
          <w:szCs w:val="24"/>
          <w:lang w:eastAsia="bg-BG"/>
        </w:rPr>
      </w:pPr>
      <w:r w:rsidRPr="00615379">
        <w:rPr>
          <w:rFonts w:eastAsia="Times New Roman" w:cs="Arial"/>
          <w:color w:val="000000"/>
          <w:szCs w:val="20"/>
          <w:lang w:eastAsia="bg-BG"/>
        </w:rPr>
        <w:t>Пациенти със сърдечна недостатъчност са с по-висока експозиция на лизиноприл, в</w:t>
      </w:r>
      <w:r w:rsidRPr="00615379">
        <w:rPr>
          <w:rFonts w:eastAsia="Times New Roman" w:cs="Arial"/>
          <w:color w:val="000000"/>
          <w:szCs w:val="20"/>
          <w:lang w:val="en-US"/>
        </w:rPr>
        <w:t xml:space="preserve"> </w:t>
      </w:r>
      <w:r w:rsidRPr="00615379">
        <w:rPr>
          <w:rFonts w:eastAsia="Times New Roman" w:cs="Arial"/>
          <w:color w:val="000000"/>
          <w:szCs w:val="20"/>
          <w:lang w:eastAsia="bg-BG"/>
        </w:rPr>
        <w:t>сравнение със</w:t>
      </w:r>
    </w:p>
    <w:p w14:paraId="3DE259C7" w14:textId="77777777" w:rsidR="00615379" w:rsidRPr="00615379" w:rsidRDefault="00615379" w:rsidP="00615379">
      <w:pPr>
        <w:spacing w:line="240" w:lineRule="auto"/>
        <w:rPr>
          <w:rFonts w:eastAsia="Times New Roman" w:cs="Arial"/>
          <w:sz w:val="28"/>
          <w:szCs w:val="24"/>
          <w:lang w:eastAsia="bg-BG"/>
        </w:rPr>
      </w:pPr>
      <w:r w:rsidRPr="00615379">
        <w:rPr>
          <w:rFonts w:eastAsia="Times New Roman" w:cs="Arial"/>
          <w:color w:val="000000"/>
          <w:szCs w:val="20"/>
          <w:lang w:eastAsia="bg-BG"/>
        </w:rPr>
        <w:t xml:space="preserve">здрави индивиди (повишение в </w:t>
      </w:r>
      <w:r w:rsidRPr="00615379">
        <w:rPr>
          <w:rFonts w:eastAsia="Times New Roman" w:cs="Arial"/>
          <w:color w:val="000000"/>
          <w:szCs w:val="20"/>
          <w:lang w:val="en-US"/>
        </w:rPr>
        <w:t xml:space="preserve">AUC </w:t>
      </w:r>
      <w:r w:rsidRPr="00615379">
        <w:rPr>
          <w:rFonts w:eastAsia="Times New Roman" w:cs="Arial"/>
          <w:color w:val="000000"/>
          <w:szCs w:val="20"/>
          <w:lang w:eastAsia="bg-BG"/>
        </w:rPr>
        <w:t>със средно 125%), но само въз основа на екскрецията на лизиноприл в урината. При такива пациенти абсорбцията е понижена с около 16 %, в сравнение със</w:t>
      </w:r>
    </w:p>
    <w:p w14:paraId="2F9AF30C" w14:textId="77777777" w:rsidR="00615379" w:rsidRPr="00615379" w:rsidRDefault="00615379" w:rsidP="00615379">
      <w:pPr>
        <w:rPr>
          <w:rFonts w:eastAsia="Times New Roman" w:cs="Arial"/>
          <w:color w:val="000000"/>
          <w:szCs w:val="20"/>
          <w:lang w:eastAsia="bg-BG"/>
        </w:rPr>
      </w:pPr>
      <w:r w:rsidRPr="00615379">
        <w:rPr>
          <w:rFonts w:eastAsia="Times New Roman" w:cs="Arial"/>
          <w:color w:val="000000"/>
          <w:szCs w:val="20"/>
          <w:lang w:eastAsia="bg-BG"/>
        </w:rPr>
        <w:t>здрави индивиди.</w:t>
      </w:r>
    </w:p>
    <w:p w14:paraId="2E9EF8F8" w14:textId="33E958FE" w:rsidR="00615379" w:rsidRDefault="00615379" w:rsidP="00615379"/>
    <w:p w14:paraId="7847ABE4" w14:textId="77777777" w:rsidR="00615305" w:rsidRPr="00615305" w:rsidRDefault="00615305" w:rsidP="00615305">
      <w:pPr>
        <w:spacing w:line="240" w:lineRule="auto"/>
        <w:rPr>
          <w:rFonts w:eastAsia="Times New Roman" w:cs="Arial"/>
          <w:sz w:val="28"/>
          <w:szCs w:val="24"/>
          <w:lang w:eastAsia="bg-BG"/>
        </w:rPr>
      </w:pPr>
      <w:r w:rsidRPr="00615305">
        <w:rPr>
          <w:rFonts w:eastAsia="Times New Roman" w:cs="Arial"/>
          <w:color w:val="000000"/>
          <w:szCs w:val="20"/>
          <w:u w:val="single"/>
          <w:lang w:eastAsia="bg-BG"/>
        </w:rPr>
        <w:t>Пациенти в старческа възраст:</w:t>
      </w:r>
    </w:p>
    <w:p w14:paraId="709A3FEA" w14:textId="77777777" w:rsidR="00615305" w:rsidRPr="00615305" w:rsidRDefault="00615305" w:rsidP="00615305">
      <w:pPr>
        <w:spacing w:line="240" w:lineRule="auto"/>
        <w:rPr>
          <w:rFonts w:eastAsia="Times New Roman" w:cs="Arial"/>
          <w:sz w:val="28"/>
          <w:szCs w:val="24"/>
          <w:lang w:eastAsia="bg-BG"/>
        </w:rPr>
      </w:pPr>
      <w:r w:rsidRPr="00615305">
        <w:rPr>
          <w:rFonts w:eastAsia="Times New Roman" w:cs="Arial"/>
          <w:color w:val="000000"/>
          <w:szCs w:val="20"/>
          <w:lang w:eastAsia="bg-BG"/>
        </w:rPr>
        <w:t xml:space="preserve">Пациенти в старческа възраст имат по-високи нива в кръвта и по-високи стойности на площта под кривата </w:t>
      </w:r>
      <w:r w:rsidRPr="00615305">
        <w:rPr>
          <w:rFonts w:eastAsia="Times New Roman" w:cs="Arial"/>
          <w:color w:val="000000"/>
          <w:szCs w:val="20"/>
          <w:lang w:val="en-US"/>
        </w:rPr>
        <w:t xml:space="preserve">(AUC) </w:t>
      </w:r>
      <w:r w:rsidRPr="00615305">
        <w:rPr>
          <w:rFonts w:eastAsia="Times New Roman" w:cs="Arial"/>
          <w:color w:val="000000"/>
          <w:szCs w:val="20"/>
          <w:lang w:eastAsia="bg-BG"/>
        </w:rPr>
        <w:t>(с около 60 % по-високи), отколкото по-младите пациенти.</w:t>
      </w:r>
    </w:p>
    <w:p w14:paraId="3292CA5A" w14:textId="77777777" w:rsidR="00615305" w:rsidRPr="00615305" w:rsidRDefault="00615305" w:rsidP="00615305">
      <w:pPr>
        <w:spacing w:line="240" w:lineRule="auto"/>
        <w:rPr>
          <w:rFonts w:eastAsia="Times New Roman" w:cs="Arial"/>
          <w:i/>
          <w:iCs/>
          <w:color w:val="000000"/>
          <w:szCs w:val="20"/>
          <w:lang w:eastAsia="bg-BG"/>
        </w:rPr>
      </w:pPr>
    </w:p>
    <w:p w14:paraId="6892D809" w14:textId="7BE2458A" w:rsidR="00615305" w:rsidRPr="00615305" w:rsidRDefault="00615305" w:rsidP="00615305">
      <w:pPr>
        <w:spacing w:line="240" w:lineRule="auto"/>
        <w:rPr>
          <w:rFonts w:eastAsia="Times New Roman" w:cs="Arial"/>
          <w:sz w:val="28"/>
          <w:szCs w:val="24"/>
          <w:lang w:eastAsia="bg-BG"/>
        </w:rPr>
      </w:pPr>
      <w:r w:rsidRPr="00615305">
        <w:rPr>
          <w:rFonts w:eastAsia="Times New Roman" w:cs="Arial"/>
          <w:i/>
          <w:iCs/>
          <w:color w:val="000000"/>
          <w:szCs w:val="20"/>
          <w:lang w:eastAsia="bg-BG"/>
        </w:rPr>
        <w:t>Хидрохлоротиазид</w:t>
      </w:r>
    </w:p>
    <w:p w14:paraId="6476BDFD" w14:textId="77777777" w:rsidR="00615305" w:rsidRPr="00615305" w:rsidRDefault="00615305" w:rsidP="00615305">
      <w:pPr>
        <w:spacing w:line="240" w:lineRule="auto"/>
        <w:rPr>
          <w:rFonts w:eastAsia="Times New Roman" w:cs="Arial"/>
          <w:sz w:val="28"/>
          <w:szCs w:val="24"/>
          <w:lang w:eastAsia="bg-BG"/>
        </w:rPr>
      </w:pPr>
      <w:r w:rsidRPr="00615305">
        <w:rPr>
          <w:rFonts w:eastAsia="Times New Roman" w:cs="Arial"/>
          <w:color w:val="000000"/>
          <w:szCs w:val="20"/>
          <w:lang w:eastAsia="bg-BG"/>
        </w:rPr>
        <w:t>Плазменият полуживот на хидрохлоротиазид варира мехду 5,6 и 14,8 часа при наблюдавани плазмени нива за поне 24 часа.</w:t>
      </w:r>
    </w:p>
    <w:p w14:paraId="23EDD311" w14:textId="77777777" w:rsidR="00615305" w:rsidRPr="00615305" w:rsidRDefault="00615305" w:rsidP="00615305">
      <w:pPr>
        <w:spacing w:line="240" w:lineRule="auto"/>
        <w:rPr>
          <w:rFonts w:eastAsia="Times New Roman" w:cs="Arial"/>
          <w:color w:val="000000"/>
          <w:szCs w:val="20"/>
          <w:lang w:eastAsia="bg-BG"/>
        </w:rPr>
      </w:pPr>
    </w:p>
    <w:p w14:paraId="3A638241" w14:textId="4469A50E" w:rsidR="00615305" w:rsidRPr="00615305" w:rsidRDefault="00615305" w:rsidP="00615305">
      <w:pPr>
        <w:spacing w:line="240" w:lineRule="auto"/>
        <w:rPr>
          <w:rFonts w:eastAsia="Times New Roman" w:cs="Arial"/>
          <w:sz w:val="28"/>
          <w:szCs w:val="24"/>
          <w:lang w:eastAsia="bg-BG"/>
        </w:rPr>
      </w:pPr>
      <w:r w:rsidRPr="00615305">
        <w:rPr>
          <w:rFonts w:eastAsia="Times New Roman" w:cs="Arial"/>
          <w:color w:val="000000"/>
          <w:szCs w:val="20"/>
          <w:lang w:eastAsia="bg-BG"/>
        </w:rPr>
        <w:t>Приблизително 61 % от дозата се елиминира непроменена за 24 часа.</w:t>
      </w:r>
    </w:p>
    <w:p w14:paraId="6FD2698E" w14:textId="77777777" w:rsidR="00615305" w:rsidRPr="00615305" w:rsidRDefault="00615305" w:rsidP="00615305">
      <w:pPr>
        <w:spacing w:line="240" w:lineRule="auto"/>
        <w:rPr>
          <w:rFonts w:eastAsia="Times New Roman" w:cs="Arial"/>
          <w:color w:val="000000"/>
          <w:szCs w:val="20"/>
          <w:lang w:eastAsia="bg-BG"/>
        </w:rPr>
      </w:pPr>
    </w:p>
    <w:p w14:paraId="1688CE4F" w14:textId="75C709DD" w:rsidR="00615305" w:rsidRPr="00615305" w:rsidRDefault="00615305" w:rsidP="00615305">
      <w:pPr>
        <w:spacing w:line="240" w:lineRule="auto"/>
        <w:rPr>
          <w:rFonts w:eastAsia="Times New Roman" w:cs="Arial"/>
          <w:sz w:val="28"/>
          <w:szCs w:val="24"/>
          <w:lang w:eastAsia="bg-BG"/>
        </w:rPr>
      </w:pPr>
      <w:r w:rsidRPr="00615305">
        <w:rPr>
          <w:rFonts w:eastAsia="Times New Roman" w:cs="Arial"/>
          <w:color w:val="000000"/>
          <w:szCs w:val="20"/>
          <w:lang w:eastAsia="bg-BG"/>
        </w:rPr>
        <w:t>След перорално приложение началото на диуретичното действие се регистрира на втория час, а максималната плазмена концентрация се постига на 4 час и продължителността на действие е 6-12 часа.</w:t>
      </w:r>
    </w:p>
    <w:p w14:paraId="0502743E" w14:textId="77777777" w:rsidR="00615305" w:rsidRPr="00615305" w:rsidRDefault="00615305" w:rsidP="00615305">
      <w:pPr>
        <w:rPr>
          <w:rFonts w:eastAsia="Times New Roman" w:cs="Arial"/>
          <w:color w:val="000000"/>
          <w:szCs w:val="20"/>
          <w:lang w:eastAsia="bg-BG"/>
        </w:rPr>
      </w:pPr>
    </w:p>
    <w:p w14:paraId="1A07C977" w14:textId="4A321569" w:rsidR="00615305" w:rsidRPr="00615305" w:rsidRDefault="00615305" w:rsidP="00615305">
      <w:pPr>
        <w:rPr>
          <w:rFonts w:eastAsia="Times New Roman" w:cs="Arial"/>
          <w:color w:val="000000"/>
          <w:szCs w:val="20"/>
          <w:lang w:eastAsia="bg-BG"/>
        </w:rPr>
      </w:pPr>
      <w:r w:rsidRPr="00615305">
        <w:rPr>
          <w:rFonts w:eastAsia="Times New Roman" w:cs="Arial"/>
          <w:color w:val="000000"/>
          <w:szCs w:val="20"/>
          <w:lang w:eastAsia="bg-BG"/>
        </w:rPr>
        <w:t>Хидрохлоротиазид преминава плацентарната, но не и кръвно-мозъчната бариера.</w:t>
      </w:r>
    </w:p>
    <w:p w14:paraId="7E6C4165" w14:textId="77777777" w:rsidR="00615305" w:rsidRPr="00615379" w:rsidRDefault="00615305" w:rsidP="00615305"/>
    <w:p w14:paraId="648E39DA" w14:textId="0E518767" w:rsidR="00CF77F7" w:rsidRDefault="002C50EE" w:rsidP="004A448E">
      <w:pPr>
        <w:pStyle w:val="Heading2"/>
      </w:pPr>
      <w:r>
        <w:t>5.3. Предклинични данни за безопасност</w:t>
      </w:r>
    </w:p>
    <w:p w14:paraId="68C42F8B" w14:textId="0E069081" w:rsidR="00615379" w:rsidRDefault="00615379" w:rsidP="00615379"/>
    <w:p w14:paraId="2CE253B2" w14:textId="5FEC3F7D" w:rsidR="00615305" w:rsidRPr="00615305" w:rsidRDefault="00615305" w:rsidP="00615379">
      <w:pPr>
        <w:rPr>
          <w:sz w:val="24"/>
        </w:rPr>
      </w:pPr>
      <w:r w:rsidRPr="00615305">
        <w:rPr>
          <w:szCs w:val="20"/>
        </w:rPr>
        <w:t>Лизиноприл и хидрохлоротиазид са лекарствени продукти с добре установен клиничен профил, като поотделно, така и в комбинация. Цялата необходима информация за лекуващия лекар е представена в кратката характеристика на продукта.</w:t>
      </w:r>
    </w:p>
    <w:p w14:paraId="205FFC62" w14:textId="77777777" w:rsidR="00615379" w:rsidRPr="00615379" w:rsidRDefault="00615379" w:rsidP="00615379"/>
    <w:p w14:paraId="6A7820AB" w14:textId="054C83A4" w:rsidR="008A6AF2" w:rsidRDefault="002C50EE" w:rsidP="00395555">
      <w:pPr>
        <w:pStyle w:val="Heading1"/>
      </w:pPr>
      <w:r>
        <w:lastRenderedPageBreak/>
        <w:t>7. ПРИТЕЖАТЕЛ НА РАЗРЕШЕНИЕТО ЗА УПОТРЕБА</w:t>
      </w:r>
    </w:p>
    <w:p w14:paraId="6362ED43" w14:textId="65351681" w:rsidR="00615305" w:rsidRDefault="00615305" w:rsidP="00615305"/>
    <w:p w14:paraId="7167AB23" w14:textId="77777777" w:rsidR="00615305" w:rsidRPr="00615305" w:rsidRDefault="00615305" w:rsidP="00615305">
      <w:pPr>
        <w:spacing w:line="240" w:lineRule="auto"/>
        <w:rPr>
          <w:rFonts w:eastAsia="Times New Roman" w:cs="Arial"/>
          <w:lang w:eastAsia="bg-BG"/>
        </w:rPr>
      </w:pPr>
      <w:r w:rsidRPr="00615305">
        <w:rPr>
          <w:rFonts w:eastAsia="Times New Roman" w:cs="Arial"/>
          <w:color w:val="000000"/>
          <w:lang w:eastAsia="bg-BG"/>
        </w:rPr>
        <w:t>„Чайкафарма Висококачествените Лекарства” АД</w:t>
      </w:r>
    </w:p>
    <w:p w14:paraId="311D49B0" w14:textId="77777777" w:rsidR="00615305" w:rsidRPr="00615305" w:rsidRDefault="00615305" w:rsidP="00615305">
      <w:pPr>
        <w:spacing w:line="240" w:lineRule="auto"/>
        <w:rPr>
          <w:rFonts w:eastAsia="Times New Roman" w:cs="Arial"/>
          <w:lang w:eastAsia="bg-BG"/>
        </w:rPr>
      </w:pPr>
      <w:r w:rsidRPr="00615305">
        <w:rPr>
          <w:rFonts w:eastAsia="Times New Roman" w:cs="Arial"/>
          <w:color w:val="000000"/>
          <w:lang w:eastAsia="bg-BG"/>
        </w:rPr>
        <w:t>бул. „Г.М.Димитров”№1, гр. София 1172, България</w:t>
      </w:r>
    </w:p>
    <w:p w14:paraId="4BA0B509" w14:textId="77777777" w:rsidR="00615305" w:rsidRPr="00615305" w:rsidRDefault="00615305" w:rsidP="00615305">
      <w:pPr>
        <w:spacing w:line="240" w:lineRule="auto"/>
        <w:rPr>
          <w:rFonts w:eastAsia="Times New Roman" w:cs="Arial"/>
          <w:lang w:eastAsia="bg-BG"/>
        </w:rPr>
      </w:pPr>
      <w:r w:rsidRPr="00615305">
        <w:rPr>
          <w:rFonts w:eastAsia="Times New Roman" w:cs="Arial"/>
          <w:color w:val="000000"/>
          <w:lang w:eastAsia="bg-BG"/>
        </w:rPr>
        <w:t>тел.: 02/ 962 54 54</w:t>
      </w:r>
    </w:p>
    <w:p w14:paraId="6F4DFAC6" w14:textId="77777777" w:rsidR="00615305" w:rsidRPr="00615305" w:rsidRDefault="00615305" w:rsidP="00615305">
      <w:pPr>
        <w:spacing w:line="240" w:lineRule="auto"/>
        <w:rPr>
          <w:rFonts w:eastAsia="Times New Roman" w:cs="Arial"/>
          <w:lang w:eastAsia="bg-BG"/>
        </w:rPr>
      </w:pPr>
      <w:r w:rsidRPr="00615305">
        <w:rPr>
          <w:rFonts w:eastAsia="Times New Roman" w:cs="Arial"/>
          <w:color w:val="000000"/>
          <w:lang w:eastAsia="bg-BG"/>
        </w:rPr>
        <w:t>факс: 02/ 960 37 03</w:t>
      </w:r>
    </w:p>
    <w:p w14:paraId="40AD33AC" w14:textId="4AA0B334" w:rsidR="00615305" w:rsidRPr="00615305" w:rsidRDefault="00615305" w:rsidP="00615305">
      <w:pPr>
        <w:rPr>
          <w:rFonts w:eastAsia="Times New Roman" w:cs="Arial"/>
          <w:lang w:eastAsia="bg-BG"/>
        </w:rPr>
      </w:pPr>
      <w:proofErr w:type="gramStart"/>
      <w:r w:rsidRPr="00615305">
        <w:rPr>
          <w:rFonts w:eastAsia="Times New Roman" w:cs="Arial"/>
          <w:color w:val="000000"/>
          <w:lang w:val="en-US"/>
        </w:rPr>
        <w:t>e-mail</w:t>
      </w:r>
      <w:proofErr w:type="gramEnd"/>
      <w:r w:rsidRPr="00615305">
        <w:rPr>
          <w:rFonts w:eastAsia="Times New Roman" w:cs="Arial"/>
          <w:color w:val="000000"/>
          <w:lang w:val="en-US"/>
        </w:rPr>
        <w:t xml:space="preserve">: </w:t>
      </w:r>
      <w:hyperlink r:id="rId5" w:history="1">
        <w:r w:rsidRPr="00615305">
          <w:rPr>
            <w:rFonts w:eastAsia="Times New Roman" w:cs="Arial"/>
            <w:color w:val="000000"/>
            <w:lang w:val="en-US"/>
          </w:rPr>
          <w:t>info@tchaikapharma.com</w:t>
        </w:r>
      </w:hyperlink>
    </w:p>
    <w:p w14:paraId="1207A211" w14:textId="77777777" w:rsidR="00615305" w:rsidRPr="00615305" w:rsidRDefault="00615305" w:rsidP="00615305"/>
    <w:p w14:paraId="7BA1BA64" w14:textId="49E1274A" w:rsidR="00CF77F7" w:rsidRDefault="002C50EE" w:rsidP="004A448E">
      <w:pPr>
        <w:pStyle w:val="Heading1"/>
      </w:pPr>
      <w:r>
        <w:t>8. НОМЕР НА РАЗРЕШЕНИЕТО ЗА УПОТРЕБА</w:t>
      </w:r>
    </w:p>
    <w:p w14:paraId="5DAD15CD" w14:textId="542A4418" w:rsidR="00615305" w:rsidRDefault="00615305" w:rsidP="00615305"/>
    <w:p w14:paraId="37F00593" w14:textId="77777777" w:rsidR="00615305" w:rsidRPr="00615305" w:rsidRDefault="00615305" w:rsidP="00615305">
      <w:pPr>
        <w:spacing w:line="240" w:lineRule="auto"/>
        <w:rPr>
          <w:rFonts w:eastAsia="Times New Roman" w:cs="Arial"/>
          <w:lang w:eastAsia="bg-BG"/>
        </w:rPr>
      </w:pPr>
      <w:r w:rsidRPr="00615305">
        <w:rPr>
          <w:rFonts w:eastAsia="Times New Roman" w:cs="Arial"/>
          <w:color w:val="000000"/>
          <w:lang w:eastAsia="bg-BG"/>
        </w:rPr>
        <w:t xml:space="preserve">Регистрационен №: 20150094 (10 </w:t>
      </w:r>
      <w:r w:rsidRPr="00615305">
        <w:rPr>
          <w:rFonts w:eastAsia="Times New Roman" w:cs="Arial"/>
          <w:color w:val="000000"/>
          <w:lang w:val="en-US"/>
        </w:rPr>
        <w:t>mg/12.5 mg)</w:t>
      </w:r>
    </w:p>
    <w:p w14:paraId="748338C3" w14:textId="0E12B744" w:rsidR="00615305" w:rsidRPr="00615305" w:rsidRDefault="00615305" w:rsidP="00615305">
      <w:pPr>
        <w:rPr>
          <w:rFonts w:cs="Arial"/>
        </w:rPr>
      </w:pPr>
      <w:r w:rsidRPr="00615305">
        <w:rPr>
          <w:rFonts w:eastAsia="Times New Roman" w:cs="Arial"/>
          <w:color w:val="000000"/>
          <w:lang w:eastAsia="bg-BG"/>
        </w:rPr>
        <w:t xml:space="preserve">Регистрационен №: 20150095 (20 </w:t>
      </w:r>
      <w:r w:rsidRPr="00615305">
        <w:rPr>
          <w:rFonts w:eastAsia="Times New Roman" w:cs="Arial"/>
          <w:color w:val="000000"/>
          <w:lang w:val="en-US"/>
        </w:rPr>
        <w:t>mg/12.5 mg)</w:t>
      </w:r>
    </w:p>
    <w:p w14:paraId="60CCE9A8" w14:textId="77777777" w:rsidR="00615305" w:rsidRPr="00615305" w:rsidRDefault="00615305" w:rsidP="00615305"/>
    <w:p w14:paraId="2CCB5832" w14:textId="7F0D5D87" w:rsidR="007C605B" w:rsidRDefault="002C50EE" w:rsidP="007C605B">
      <w:pPr>
        <w:pStyle w:val="Heading1"/>
      </w:pPr>
      <w:r>
        <w:t>9. ДАТА НА ПЪРВО РАЗРЕШАВАНЕ/ПОДНОВЯВАНЕ НА РАЗРЕШЕНИЕТО ЗА УПОТРЕБА</w:t>
      </w:r>
    </w:p>
    <w:p w14:paraId="3EC9FC3A" w14:textId="65DE2465" w:rsidR="00615305" w:rsidRDefault="00615305" w:rsidP="00615305"/>
    <w:p w14:paraId="59D118FF" w14:textId="77777777" w:rsidR="00615305" w:rsidRPr="00615305" w:rsidRDefault="00615305" w:rsidP="00615305">
      <w:pPr>
        <w:spacing w:line="240" w:lineRule="auto"/>
        <w:rPr>
          <w:rFonts w:eastAsia="Times New Roman" w:cs="Arial"/>
          <w:sz w:val="28"/>
          <w:szCs w:val="24"/>
          <w:lang w:eastAsia="bg-BG"/>
        </w:rPr>
      </w:pPr>
      <w:r w:rsidRPr="00615305">
        <w:rPr>
          <w:rFonts w:eastAsia="Times New Roman" w:cs="Arial"/>
          <w:color w:val="000000"/>
          <w:szCs w:val="20"/>
          <w:lang w:eastAsia="bg-BG"/>
        </w:rPr>
        <w:t>Дата на първо разрешаване за употреба: 25.03.2015</w:t>
      </w:r>
    </w:p>
    <w:p w14:paraId="1627230A" w14:textId="45B8DDC1" w:rsidR="00615305" w:rsidRPr="00615305" w:rsidRDefault="00615305" w:rsidP="00615305">
      <w:pPr>
        <w:rPr>
          <w:rFonts w:cs="Arial"/>
          <w:sz w:val="24"/>
        </w:rPr>
      </w:pPr>
      <w:r w:rsidRPr="00615305">
        <w:rPr>
          <w:rFonts w:eastAsia="Times New Roman" w:cs="Arial"/>
          <w:color w:val="000000"/>
          <w:szCs w:val="20"/>
          <w:lang w:eastAsia="bg-BG"/>
        </w:rPr>
        <w:t>Дата на последно подновяване: 09.02.2020</w:t>
      </w:r>
    </w:p>
    <w:p w14:paraId="751D1AA5" w14:textId="77777777" w:rsidR="00615305" w:rsidRPr="00615305" w:rsidRDefault="00615305" w:rsidP="00615305"/>
    <w:p w14:paraId="0E9D0119" w14:textId="0245C6D7" w:rsidR="002C50EE" w:rsidRDefault="002C50EE" w:rsidP="002C50EE">
      <w:pPr>
        <w:pStyle w:val="Heading1"/>
      </w:pPr>
      <w:r>
        <w:t>10. ДАТА НА АКТУАЛИЗИРАНЕ НА ТЕКСТА</w:t>
      </w:r>
    </w:p>
    <w:bookmarkEnd w:id="0"/>
    <w:p w14:paraId="43FB38A2" w14:textId="2B055F61" w:rsidR="007C605B" w:rsidRDefault="007C605B" w:rsidP="00CF77F7"/>
    <w:p w14:paraId="0828E82E" w14:textId="0A92BF92" w:rsidR="00615305" w:rsidRPr="00615305" w:rsidRDefault="00615305" w:rsidP="00CF77F7">
      <w:pPr>
        <w:rPr>
          <w:rFonts w:cs="Arial"/>
        </w:rPr>
      </w:pPr>
      <w:r w:rsidRPr="00615305">
        <w:rPr>
          <w:rFonts w:cs="Arial"/>
        </w:rPr>
        <w:t>Юни, 2020</w:t>
      </w:r>
    </w:p>
    <w:sectPr w:rsidR="00615305" w:rsidRPr="006153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0"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5"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0"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6"/>
  </w:num>
  <w:num w:numId="2">
    <w:abstractNumId w:val="0"/>
  </w:num>
  <w:num w:numId="3">
    <w:abstractNumId w:val="12"/>
  </w:num>
  <w:num w:numId="4">
    <w:abstractNumId w:val="3"/>
  </w:num>
  <w:num w:numId="5">
    <w:abstractNumId w:val="1"/>
  </w:num>
  <w:num w:numId="6">
    <w:abstractNumId w:val="15"/>
  </w:num>
  <w:num w:numId="7">
    <w:abstractNumId w:val="10"/>
  </w:num>
  <w:num w:numId="8">
    <w:abstractNumId w:val="14"/>
  </w:num>
  <w:num w:numId="9">
    <w:abstractNumId w:val="2"/>
  </w:num>
  <w:num w:numId="10">
    <w:abstractNumId w:val="4"/>
  </w:num>
  <w:num w:numId="11">
    <w:abstractNumId w:val="29"/>
  </w:num>
  <w:num w:numId="12">
    <w:abstractNumId w:val="13"/>
  </w:num>
  <w:num w:numId="13">
    <w:abstractNumId w:val="18"/>
  </w:num>
  <w:num w:numId="14">
    <w:abstractNumId w:val="11"/>
  </w:num>
  <w:num w:numId="15">
    <w:abstractNumId w:val="28"/>
  </w:num>
  <w:num w:numId="16">
    <w:abstractNumId w:val="9"/>
  </w:num>
  <w:num w:numId="17">
    <w:abstractNumId w:val="23"/>
  </w:num>
  <w:num w:numId="18">
    <w:abstractNumId w:val="7"/>
  </w:num>
  <w:num w:numId="19">
    <w:abstractNumId w:val="25"/>
  </w:num>
  <w:num w:numId="20">
    <w:abstractNumId w:val="22"/>
  </w:num>
  <w:num w:numId="21">
    <w:abstractNumId w:val="16"/>
  </w:num>
  <w:num w:numId="22">
    <w:abstractNumId w:val="24"/>
  </w:num>
  <w:num w:numId="23">
    <w:abstractNumId w:val="17"/>
  </w:num>
  <w:num w:numId="24">
    <w:abstractNumId w:val="8"/>
  </w:num>
  <w:num w:numId="25">
    <w:abstractNumId w:val="21"/>
  </w:num>
  <w:num w:numId="26">
    <w:abstractNumId w:val="20"/>
  </w:num>
  <w:num w:numId="27">
    <w:abstractNumId w:val="30"/>
  </w:num>
  <w:num w:numId="28">
    <w:abstractNumId w:val="6"/>
  </w:num>
  <w:num w:numId="29">
    <w:abstractNumId w:val="19"/>
  </w:num>
  <w:num w:numId="30">
    <w:abstractNumId w:val="33"/>
  </w:num>
  <w:num w:numId="31">
    <w:abstractNumId w:val="5"/>
  </w:num>
  <w:num w:numId="32">
    <w:abstractNumId w:val="32"/>
  </w:num>
  <w:num w:numId="33">
    <w:abstractNumId w:val="27"/>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B3C38"/>
    <w:rsid w:val="002B4DBB"/>
    <w:rsid w:val="002C50EE"/>
    <w:rsid w:val="00340A0A"/>
    <w:rsid w:val="003765DC"/>
    <w:rsid w:val="00395555"/>
    <w:rsid w:val="003E3126"/>
    <w:rsid w:val="00426E5F"/>
    <w:rsid w:val="004A448E"/>
    <w:rsid w:val="004D4D6B"/>
    <w:rsid w:val="004F1CE7"/>
    <w:rsid w:val="004F498A"/>
    <w:rsid w:val="00517A5B"/>
    <w:rsid w:val="00593A00"/>
    <w:rsid w:val="005A66D9"/>
    <w:rsid w:val="00605BCA"/>
    <w:rsid w:val="00615305"/>
    <w:rsid w:val="00615379"/>
    <w:rsid w:val="006158A1"/>
    <w:rsid w:val="00617B1F"/>
    <w:rsid w:val="00672487"/>
    <w:rsid w:val="00672600"/>
    <w:rsid w:val="00681D4A"/>
    <w:rsid w:val="00685882"/>
    <w:rsid w:val="0075649D"/>
    <w:rsid w:val="007C605B"/>
    <w:rsid w:val="008134C8"/>
    <w:rsid w:val="00814073"/>
    <w:rsid w:val="00826F0D"/>
    <w:rsid w:val="00893B92"/>
    <w:rsid w:val="008A6AF2"/>
    <w:rsid w:val="008C70A2"/>
    <w:rsid w:val="009773E4"/>
    <w:rsid w:val="009B171C"/>
    <w:rsid w:val="009F1313"/>
    <w:rsid w:val="00A20351"/>
    <w:rsid w:val="00A65A81"/>
    <w:rsid w:val="00AA23EC"/>
    <w:rsid w:val="00AC63CE"/>
    <w:rsid w:val="00AE2107"/>
    <w:rsid w:val="00B275A8"/>
    <w:rsid w:val="00BF2600"/>
    <w:rsid w:val="00C0049F"/>
    <w:rsid w:val="00C07B84"/>
    <w:rsid w:val="00C33464"/>
    <w:rsid w:val="00C40420"/>
    <w:rsid w:val="00C809A7"/>
    <w:rsid w:val="00C83063"/>
    <w:rsid w:val="00C87E90"/>
    <w:rsid w:val="00CA1B57"/>
    <w:rsid w:val="00CF77F7"/>
    <w:rsid w:val="00D86297"/>
    <w:rsid w:val="00DA16C8"/>
    <w:rsid w:val="00DD466D"/>
    <w:rsid w:val="00EB6364"/>
    <w:rsid w:val="00F37B64"/>
    <w:rsid w:val="00FD3646"/>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tchaikapharma.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6381</Words>
  <Characters>36373</Characters>
  <Application>Microsoft Office Word</Application>
  <DocSecurity>0</DocSecurity>
  <Lines>303</Lines>
  <Paragraphs>85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42669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Потребител на Windows</cp:lastModifiedBy>
  <cp:revision>2</cp:revision>
  <dcterms:created xsi:type="dcterms:W3CDTF">2022-06-28T13:10:00Z</dcterms:created>
  <dcterms:modified xsi:type="dcterms:W3CDTF">2022-06-28T13:10:00Z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