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496D169D" w:rsidR="009F77A4" w:rsidRDefault="00DD466D" w:rsidP="00387A66">
      <w:pPr>
        <w:pStyle w:val="Heading1"/>
      </w:pPr>
      <w:r>
        <w:t>1.ИМЕ НА ЛЕКАРСТВЕНИЯ ПРОДУКТ</w:t>
      </w:r>
    </w:p>
    <w:p w14:paraId="790951C2" w14:textId="75927FAD" w:rsidR="0029327E" w:rsidRDefault="0029327E" w:rsidP="0029327E"/>
    <w:p w14:paraId="621BDB29" w14:textId="77777777" w:rsidR="0029327E" w:rsidRPr="0029327E" w:rsidRDefault="0029327E" w:rsidP="0029327E">
      <w:pPr>
        <w:rPr>
          <w:rFonts w:ascii="Times New Roman" w:hAnsi="Times New Roman" w:cs="Times New Roman"/>
          <w:sz w:val="24"/>
          <w:szCs w:val="24"/>
          <w:lang w:eastAsia="bg-BG"/>
        </w:rPr>
      </w:pPr>
      <w:r w:rsidRPr="0029327E">
        <w:rPr>
          <w:lang w:eastAsia="bg-BG"/>
        </w:rPr>
        <w:t xml:space="preserve">Кордафлекс 20 </w:t>
      </w:r>
      <w:r w:rsidRPr="0029327E">
        <w:rPr>
          <w:lang w:val="en-US"/>
        </w:rPr>
        <w:t xml:space="preserve">mg </w:t>
      </w:r>
      <w:r w:rsidRPr="0029327E">
        <w:rPr>
          <w:lang w:eastAsia="bg-BG"/>
        </w:rPr>
        <w:t>таблетки с удължено освобождаване</w:t>
      </w:r>
      <w:r w:rsidRPr="0029327E">
        <w:rPr>
          <w:lang w:eastAsia="bg-BG"/>
        </w:rPr>
        <w:tab/>
      </w:r>
    </w:p>
    <w:p w14:paraId="103907F6" w14:textId="61B3A449" w:rsidR="0029327E" w:rsidRPr="0029327E" w:rsidRDefault="0029327E" w:rsidP="0029327E">
      <w:proofErr w:type="spellStart"/>
      <w:r w:rsidRPr="0029327E">
        <w:rPr>
          <w:lang w:val="en-US"/>
        </w:rPr>
        <w:t>Cordaflex</w:t>
      </w:r>
      <w:proofErr w:type="spellEnd"/>
      <w:r w:rsidRPr="0029327E">
        <w:rPr>
          <w:lang w:val="en-US"/>
        </w:rPr>
        <w:t xml:space="preserve"> </w:t>
      </w:r>
      <w:r w:rsidRPr="0029327E">
        <w:rPr>
          <w:lang w:eastAsia="bg-BG"/>
        </w:rPr>
        <w:t xml:space="preserve">20 </w:t>
      </w:r>
      <w:r w:rsidRPr="0029327E">
        <w:rPr>
          <w:lang w:val="en-US"/>
        </w:rPr>
        <w:t>mg prolonged-release tablets</w:t>
      </w:r>
    </w:p>
    <w:p w14:paraId="0DF202EC" w14:textId="40A5005F" w:rsidR="00F53FB7" w:rsidRDefault="00DD466D" w:rsidP="00A93499">
      <w:pPr>
        <w:pStyle w:val="Heading1"/>
      </w:pPr>
      <w:r>
        <w:t>2. КАЧЕСТВЕН И КОЛИЧЕСТВЕН СЪСТАВ</w:t>
      </w:r>
    </w:p>
    <w:p w14:paraId="150C0366" w14:textId="08EB2418" w:rsidR="0029327E" w:rsidRDefault="0029327E" w:rsidP="0029327E"/>
    <w:p w14:paraId="29396DA0" w14:textId="77777777" w:rsidR="0029327E" w:rsidRPr="0029327E" w:rsidRDefault="0029327E" w:rsidP="0029327E">
      <w:pPr>
        <w:rPr>
          <w:rFonts w:ascii="Times New Roman" w:hAnsi="Times New Roman" w:cs="Times New Roman"/>
          <w:sz w:val="24"/>
          <w:szCs w:val="24"/>
          <w:lang w:eastAsia="bg-BG"/>
        </w:rPr>
      </w:pPr>
      <w:r w:rsidRPr="0029327E">
        <w:rPr>
          <w:lang w:eastAsia="bg-BG"/>
        </w:rPr>
        <w:t xml:space="preserve">Всяка таблетка с удължено освобождаване съдържа_20 </w:t>
      </w:r>
      <w:r w:rsidRPr="0029327E">
        <w:rPr>
          <w:lang w:val="en-US"/>
        </w:rPr>
        <w:t xml:space="preserve">mg </w:t>
      </w:r>
      <w:r w:rsidRPr="0029327E">
        <w:rPr>
          <w:lang w:eastAsia="bg-BG"/>
        </w:rPr>
        <w:t xml:space="preserve">нифедипин </w:t>
      </w:r>
      <w:r w:rsidRPr="0029327E">
        <w:rPr>
          <w:i/>
          <w:iCs/>
          <w:lang w:val="en-US"/>
        </w:rPr>
        <w:t>(nifedipine).</w:t>
      </w:r>
    </w:p>
    <w:p w14:paraId="6304E4BA" w14:textId="77777777" w:rsidR="0029327E" w:rsidRDefault="0029327E" w:rsidP="0029327E">
      <w:pPr>
        <w:rPr>
          <w:u w:val="single"/>
          <w:lang w:eastAsia="bg-BG"/>
        </w:rPr>
      </w:pPr>
    </w:p>
    <w:p w14:paraId="1B2F561D" w14:textId="5D034F45" w:rsidR="0029327E" w:rsidRPr="0029327E" w:rsidRDefault="0029327E" w:rsidP="0029327E">
      <w:pPr>
        <w:rPr>
          <w:rFonts w:ascii="Times New Roman" w:hAnsi="Times New Roman" w:cs="Times New Roman"/>
          <w:sz w:val="24"/>
          <w:szCs w:val="24"/>
          <w:lang w:eastAsia="bg-BG"/>
        </w:rPr>
      </w:pPr>
      <w:r w:rsidRPr="0029327E">
        <w:rPr>
          <w:u w:val="single"/>
          <w:lang w:eastAsia="bg-BG"/>
        </w:rPr>
        <w:t>Помощни вещества с известно действие</w:t>
      </w:r>
    </w:p>
    <w:p w14:paraId="3FD45D7F" w14:textId="020758DA" w:rsidR="0029327E" w:rsidRPr="0029327E" w:rsidRDefault="0029327E" w:rsidP="0029327E">
      <w:r w:rsidRPr="0029327E">
        <w:rPr>
          <w:lang w:eastAsia="bg-BG"/>
        </w:rPr>
        <w:t xml:space="preserve">Всяка таблетка с удължено освобождаване съдържа 30 </w:t>
      </w:r>
      <w:r w:rsidRPr="0029327E">
        <w:rPr>
          <w:lang w:val="en-US"/>
        </w:rPr>
        <w:t xml:space="preserve">mg </w:t>
      </w:r>
      <w:r w:rsidRPr="0029327E">
        <w:rPr>
          <w:lang w:eastAsia="bg-BG"/>
        </w:rPr>
        <w:t>лактоза монохидрат</w:t>
      </w:r>
    </w:p>
    <w:p w14:paraId="4CABB9ED" w14:textId="50370785" w:rsidR="00F53FB7" w:rsidRDefault="00DD466D" w:rsidP="00A93499">
      <w:pPr>
        <w:pStyle w:val="Heading1"/>
      </w:pPr>
      <w:r>
        <w:t>3. ЛЕКАРСТВЕНА ФОРМА</w:t>
      </w:r>
    </w:p>
    <w:p w14:paraId="6A286848" w14:textId="2B3592BC" w:rsidR="0029327E" w:rsidRDefault="0029327E" w:rsidP="0029327E"/>
    <w:p w14:paraId="52845BB6" w14:textId="77777777" w:rsidR="0029327E" w:rsidRPr="0029327E" w:rsidRDefault="0029327E" w:rsidP="0029327E">
      <w:pPr>
        <w:rPr>
          <w:rFonts w:ascii="Times New Roman" w:hAnsi="Times New Roman" w:cs="Times New Roman"/>
          <w:sz w:val="24"/>
          <w:szCs w:val="24"/>
          <w:lang w:eastAsia="bg-BG"/>
        </w:rPr>
      </w:pPr>
      <w:r w:rsidRPr="0029327E">
        <w:rPr>
          <w:lang w:eastAsia="bg-BG"/>
        </w:rPr>
        <w:t>Таблетка с удължено освобождаване.</w:t>
      </w:r>
    </w:p>
    <w:p w14:paraId="1FFD298B" w14:textId="77777777" w:rsidR="0029327E" w:rsidRDefault="0029327E" w:rsidP="0029327E">
      <w:pPr>
        <w:rPr>
          <w:lang w:eastAsia="bg-BG"/>
        </w:rPr>
      </w:pPr>
    </w:p>
    <w:p w14:paraId="414B0473" w14:textId="56308F7A" w:rsidR="0029327E" w:rsidRPr="0029327E" w:rsidRDefault="0029327E" w:rsidP="0029327E">
      <w:r w:rsidRPr="0029327E">
        <w:rPr>
          <w:lang w:eastAsia="bg-BG"/>
        </w:rPr>
        <w:t>Бледоморави, кръгли, двойно изпъкнали таблетки с удължено освобождаване, с матово или леко блестящо покритие, без никакви физически дефекти и механични примеси.</w:t>
      </w:r>
    </w:p>
    <w:p w14:paraId="490FC2C4" w14:textId="6899DE43" w:rsidR="002C50EE" w:rsidRDefault="002C50EE" w:rsidP="002C50EE">
      <w:pPr>
        <w:pStyle w:val="Heading1"/>
      </w:pPr>
      <w:r>
        <w:t>4. КЛИНИЧНИ ДАННИ</w:t>
      </w:r>
    </w:p>
    <w:p w14:paraId="461901E4" w14:textId="4C0ECC40" w:rsidR="009F77A4" w:rsidRDefault="002C50EE" w:rsidP="00387A66">
      <w:pPr>
        <w:pStyle w:val="Heading2"/>
      </w:pPr>
      <w:r>
        <w:t>4.1. Терапевтични показания</w:t>
      </w:r>
    </w:p>
    <w:p w14:paraId="6EBE95A1" w14:textId="207F2E49" w:rsidR="0029327E" w:rsidRDefault="0029327E" w:rsidP="0029327E"/>
    <w:p w14:paraId="545A90B7" w14:textId="77777777" w:rsidR="0029327E" w:rsidRPr="0029327E" w:rsidRDefault="0029327E" w:rsidP="0029327E">
      <w:pPr>
        <w:pStyle w:val="ListParagraph"/>
        <w:numPr>
          <w:ilvl w:val="0"/>
          <w:numId w:val="40"/>
        </w:numPr>
        <w:spacing w:line="240" w:lineRule="auto"/>
        <w:rPr>
          <w:rFonts w:eastAsia="Times New Roman" w:cs="Arial"/>
          <w:color w:val="000000"/>
          <w:lang w:eastAsia="bg-BG"/>
        </w:rPr>
      </w:pPr>
      <w:r w:rsidRPr="0029327E">
        <w:rPr>
          <w:rFonts w:eastAsia="Times New Roman" w:cs="Arial"/>
          <w:color w:val="000000"/>
          <w:lang w:eastAsia="bg-BG"/>
        </w:rPr>
        <w:t xml:space="preserve">Профилактика на стабилна стенокардия и вазоспастична стенокардия (тип </w:t>
      </w:r>
      <w:proofErr w:type="spellStart"/>
      <w:r w:rsidRPr="0029327E">
        <w:rPr>
          <w:rFonts w:eastAsia="Times New Roman" w:cs="Arial"/>
          <w:color w:val="000000"/>
          <w:lang w:val="en-US"/>
        </w:rPr>
        <w:t>Printzmetal</w:t>
      </w:r>
      <w:proofErr w:type="spellEnd"/>
      <w:r w:rsidRPr="0029327E">
        <w:rPr>
          <w:rFonts w:eastAsia="Times New Roman" w:cs="Arial"/>
          <w:color w:val="000000"/>
          <w:lang w:val="en-US"/>
        </w:rPr>
        <w:t>);</w:t>
      </w:r>
    </w:p>
    <w:p w14:paraId="4A1F7678" w14:textId="06121FC8" w:rsidR="0029327E" w:rsidRDefault="0029327E" w:rsidP="0029327E">
      <w:pPr>
        <w:pStyle w:val="ListParagraph"/>
        <w:numPr>
          <w:ilvl w:val="0"/>
          <w:numId w:val="40"/>
        </w:numPr>
        <w:spacing w:line="240" w:lineRule="auto"/>
        <w:rPr>
          <w:rFonts w:eastAsia="Times New Roman" w:cs="Arial"/>
          <w:color w:val="000000"/>
          <w:lang w:eastAsia="bg-BG"/>
        </w:rPr>
      </w:pPr>
      <w:r w:rsidRPr="0029327E">
        <w:rPr>
          <w:rFonts w:eastAsia="Times New Roman" w:cs="Arial"/>
          <w:color w:val="000000"/>
          <w:lang w:eastAsia="bg-BG"/>
        </w:rPr>
        <w:t>Лечение на всички форми на хипертонична болест.</w:t>
      </w:r>
    </w:p>
    <w:p w14:paraId="0059E3E6" w14:textId="77777777" w:rsidR="0029327E" w:rsidRPr="0029327E" w:rsidRDefault="0029327E" w:rsidP="0029327E">
      <w:pPr>
        <w:spacing w:line="240" w:lineRule="auto"/>
        <w:rPr>
          <w:rFonts w:eastAsia="Times New Roman" w:cs="Arial"/>
          <w:color w:val="000000"/>
          <w:lang w:eastAsia="bg-BG"/>
        </w:rPr>
      </w:pPr>
    </w:p>
    <w:p w14:paraId="31744E5A" w14:textId="06EF267F" w:rsidR="009F77A4" w:rsidRDefault="002C50EE" w:rsidP="00387A66">
      <w:pPr>
        <w:pStyle w:val="Heading2"/>
      </w:pPr>
      <w:r>
        <w:t>4.2. Дозировка и начин на приложение</w:t>
      </w:r>
    </w:p>
    <w:p w14:paraId="1FA4886A" w14:textId="5FA982A4" w:rsidR="0029327E" w:rsidRDefault="0029327E" w:rsidP="0029327E"/>
    <w:p w14:paraId="167F80AB" w14:textId="77777777" w:rsidR="0029327E" w:rsidRPr="0029327E" w:rsidRDefault="0029327E" w:rsidP="0029327E">
      <w:pPr>
        <w:pStyle w:val="Heading3"/>
        <w:rPr>
          <w:rFonts w:eastAsia="Times New Roman"/>
          <w:u w:val="single"/>
          <w:lang w:eastAsia="bg-BG"/>
        </w:rPr>
      </w:pPr>
      <w:r w:rsidRPr="0029327E">
        <w:rPr>
          <w:rFonts w:eastAsia="Times New Roman"/>
          <w:u w:val="single"/>
          <w:lang w:eastAsia="bg-BG"/>
        </w:rPr>
        <w:t>Дозировка</w:t>
      </w:r>
    </w:p>
    <w:p w14:paraId="3477D6BF"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Препоръчителната начална доза при лечението с Кордафлекс е 2 х 1 таблетка с удължено освобождаване (2 х 20 </w:t>
      </w:r>
      <w:r w:rsidRPr="0029327E">
        <w:rPr>
          <w:rFonts w:eastAsia="Times New Roman" w:cs="Arial"/>
          <w:color w:val="000000"/>
          <w:lang w:val="en-US"/>
        </w:rPr>
        <w:t xml:space="preserve">mg). </w:t>
      </w:r>
      <w:r w:rsidRPr="0029327E">
        <w:rPr>
          <w:rFonts w:eastAsia="Times New Roman" w:cs="Arial"/>
          <w:color w:val="000000"/>
          <w:lang w:eastAsia="bg-BG"/>
        </w:rPr>
        <w:t xml:space="preserve">Ако е необходимо, дневната доза може да бъде увеличена на 2 х 2 таблетки с удължено освобождаване. Максималната дневна доза от нифедипин е 80 </w:t>
      </w:r>
      <w:r w:rsidRPr="0029327E">
        <w:rPr>
          <w:rFonts w:eastAsia="Times New Roman" w:cs="Arial"/>
          <w:color w:val="000000"/>
          <w:lang w:val="en-US"/>
        </w:rPr>
        <w:t>mg.</w:t>
      </w:r>
    </w:p>
    <w:p w14:paraId="30670F84" w14:textId="77777777" w:rsidR="0029327E" w:rsidRPr="0029327E" w:rsidRDefault="0029327E" w:rsidP="0029327E">
      <w:pPr>
        <w:spacing w:line="240" w:lineRule="auto"/>
        <w:rPr>
          <w:rFonts w:eastAsia="Times New Roman" w:cs="Arial"/>
          <w:i/>
          <w:iCs/>
          <w:color w:val="000000"/>
          <w:lang w:eastAsia="bg-BG"/>
        </w:rPr>
      </w:pPr>
    </w:p>
    <w:p w14:paraId="747620D2" w14:textId="10D40240" w:rsidR="0029327E" w:rsidRPr="0029327E" w:rsidRDefault="0029327E" w:rsidP="0029327E">
      <w:pPr>
        <w:spacing w:line="240" w:lineRule="auto"/>
        <w:rPr>
          <w:rFonts w:eastAsia="Times New Roman" w:cs="Arial"/>
          <w:lang w:eastAsia="bg-BG"/>
        </w:rPr>
      </w:pPr>
      <w:r w:rsidRPr="0029327E">
        <w:rPr>
          <w:rFonts w:eastAsia="Times New Roman" w:cs="Arial"/>
          <w:i/>
          <w:iCs/>
          <w:color w:val="000000"/>
          <w:lang w:eastAsia="bg-BG"/>
        </w:rPr>
        <w:t>Педиатрична популация</w:t>
      </w:r>
    </w:p>
    <w:p w14:paraId="72D60468"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е установена безопасността и ефикасността на нифедипин при деца и юноши на възраст под 18 години.</w:t>
      </w:r>
    </w:p>
    <w:p w14:paraId="17740E2F"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Съществуващите данни за употребата на нифедипин при хипертония са посочени в т.5.1.</w:t>
      </w:r>
    </w:p>
    <w:p w14:paraId="1596252C" w14:textId="77777777" w:rsidR="0029327E" w:rsidRPr="0029327E" w:rsidRDefault="0029327E" w:rsidP="0029327E">
      <w:pPr>
        <w:spacing w:line="240" w:lineRule="auto"/>
        <w:rPr>
          <w:rFonts w:eastAsia="Times New Roman" w:cs="Arial"/>
          <w:i/>
          <w:iCs/>
          <w:color w:val="000000"/>
          <w:lang w:eastAsia="bg-BG"/>
        </w:rPr>
      </w:pPr>
    </w:p>
    <w:p w14:paraId="5A50D30D" w14:textId="7CCB129E" w:rsidR="0029327E" w:rsidRPr="0029327E" w:rsidRDefault="0029327E" w:rsidP="0029327E">
      <w:pPr>
        <w:spacing w:line="240" w:lineRule="auto"/>
        <w:rPr>
          <w:rFonts w:eastAsia="Times New Roman" w:cs="Arial"/>
          <w:lang w:eastAsia="bg-BG"/>
        </w:rPr>
      </w:pPr>
      <w:r w:rsidRPr="0029327E">
        <w:rPr>
          <w:rFonts w:eastAsia="Times New Roman" w:cs="Arial"/>
          <w:i/>
          <w:iCs/>
          <w:color w:val="000000"/>
          <w:lang w:eastAsia="bg-BG"/>
        </w:rPr>
        <w:t>Чернодробно увреждане</w:t>
      </w:r>
    </w:p>
    <w:p w14:paraId="69BD797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Нифедипин се метаболизира главно в черния дроб. Затова е необходимо дозата да бъде назначена според състоянието на чернодробната функция на пациента.</w:t>
      </w:r>
    </w:p>
    <w:p w14:paraId="3612058E" w14:textId="77777777" w:rsidR="0029327E" w:rsidRPr="0029327E" w:rsidRDefault="0029327E" w:rsidP="0029327E">
      <w:pPr>
        <w:spacing w:line="240" w:lineRule="auto"/>
        <w:rPr>
          <w:rFonts w:eastAsia="Times New Roman" w:cs="Arial"/>
          <w:i/>
          <w:iCs/>
          <w:color w:val="000000"/>
          <w:lang w:eastAsia="bg-BG"/>
        </w:rPr>
      </w:pPr>
    </w:p>
    <w:p w14:paraId="24EA42C5" w14:textId="3C1CC082" w:rsidR="0029327E" w:rsidRPr="0029327E" w:rsidRDefault="0029327E" w:rsidP="0029327E">
      <w:pPr>
        <w:spacing w:line="240" w:lineRule="auto"/>
        <w:rPr>
          <w:rFonts w:eastAsia="Times New Roman" w:cs="Arial"/>
          <w:lang w:eastAsia="bg-BG"/>
        </w:rPr>
      </w:pPr>
      <w:r w:rsidRPr="0029327E">
        <w:rPr>
          <w:rFonts w:eastAsia="Times New Roman" w:cs="Arial"/>
          <w:i/>
          <w:iCs/>
          <w:color w:val="000000"/>
          <w:lang w:eastAsia="bg-BG"/>
        </w:rPr>
        <w:lastRenderedPageBreak/>
        <w:t>Бъбречно увреждане</w:t>
      </w:r>
    </w:p>
    <w:p w14:paraId="4A10464C"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е необходимо намаляване на дозата на нифедипин при увредена бъбречна функция.</w:t>
      </w:r>
    </w:p>
    <w:p w14:paraId="055404DC" w14:textId="77777777" w:rsidR="0029327E" w:rsidRPr="0029327E" w:rsidRDefault="0029327E" w:rsidP="0029327E">
      <w:pPr>
        <w:rPr>
          <w:rFonts w:eastAsia="Times New Roman" w:cs="Arial"/>
          <w:i/>
          <w:iCs/>
          <w:color w:val="000000"/>
          <w:lang w:eastAsia="bg-BG"/>
        </w:rPr>
      </w:pPr>
    </w:p>
    <w:p w14:paraId="0505ABFE" w14:textId="034B131D" w:rsidR="0029327E" w:rsidRPr="0029327E" w:rsidRDefault="0029327E" w:rsidP="0029327E">
      <w:pPr>
        <w:rPr>
          <w:rFonts w:eastAsia="Times New Roman" w:cs="Arial"/>
          <w:i/>
          <w:iCs/>
          <w:color w:val="000000"/>
          <w:lang w:eastAsia="bg-BG"/>
        </w:rPr>
      </w:pPr>
      <w:r w:rsidRPr="0029327E">
        <w:rPr>
          <w:rFonts w:eastAsia="Times New Roman" w:cs="Arial"/>
          <w:i/>
          <w:iCs/>
          <w:color w:val="000000"/>
          <w:lang w:eastAsia="bg-BG"/>
        </w:rPr>
        <w:t>Пациенти с тежки мозъчно-съдови заболявания</w:t>
      </w:r>
    </w:p>
    <w:p w14:paraId="43D0088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При пациенти, страдащи от тежка форма на мозъчно-съдова болест трябва да се прилагат по-ниски дози (форма с по-ниска концентрация на активното вещество).</w:t>
      </w:r>
    </w:p>
    <w:p w14:paraId="560F70C1" w14:textId="77777777" w:rsidR="0029327E" w:rsidRPr="0029327E" w:rsidRDefault="0029327E" w:rsidP="0029327E">
      <w:pPr>
        <w:spacing w:line="240" w:lineRule="auto"/>
        <w:rPr>
          <w:rFonts w:eastAsia="Times New Roman" w:cs="Arial"/>
          <w:i/>
          <w:iCs/>
          <w:color w:val="000000"/>
          <w:lang w:eastAsia="bg-BG"/>
        </w:rPr>
      </w:pPr>
    </w:p>
    <w:p w14:paraId="1EE48794" w14:textId="590CAB2B" w:rsidR="0029327E" w:rsidRPr="0029327E" w:rsidRDefault="0029327E" w:rsidP="0029327E">
      <w:pPr>
        <w:spacing w:line="240" w:lineRule="auto"/>
        <w:rPr>
          <w:rFonts w:eastAsia="Times New Roman" w:cs="Arial"/>
          <w:lang w:eastAsia="bg-BG"/>
        </w:rPr>
      </w:pPr>
      <w:r w:rsidRPr="0029327E">
        <w:rPr>
          <w:rFonts w:eastAsia="Times New Roman" w:cs="Arial"/>
          <w:i/>
          <w:iCs/>
          <w:color w:val="000000"/>
          <w:lang w:eastAsia="bg-BG"/>
        </w:rPr>
        <w:t>Пациенти в старческа възраст (&gt;65 години)</w:t>
      </w:r>
    </w:p>
    <w:p w14:paraId="4031EC64"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Фармакокинетиката на нифедипин може да бъде променена при пациенти в старческа възраст, така че с по-ниски дози нифедипин да се постигне желаният терапевтичен ефект.</w:t>
      </w:r>
    </w:p>
    <w:p w14:paraId="66FB7D8E" w14:textId="77777777" w:rsidR="0029327E" w:rsidRPr="0029327E" w:rsidRDefault="0029327E" w:rsidP="0029327E">
      <w:pPr>
        <w:spacing w:line="240" w:lineRule="auto"/>
        <w:rPr>
          <w:rFonts w:eastAsia="Times New Roman" w:cs="Arial"/>
          <w:color w:val="000000"/>
          <w:u w:val="single"/>
          <w:lang w:eastAsia="bg-BG"/>
        </w:rPr>
      </w:pPr>
    </w:p>
    <w:p w14:paraId="564697F0" w14:textId="670286D5" w:rsidR="0029327E" w:rsidRPr="0029327E" w:rsidRDefault="0029327E" w:rsidP="0029327E">
      <w:pPr>
        <w:pStyle w:val="Heading3"/>
        <w:rPr>
          <w:rFonts w:eastAsia="Times New Roman"/>
          <w:u w:val="single"/>
          <w:lang w:eastAsia="bg-BG"/>
        </w:rPr>
      </w:pPr>
      <w:r w:rsidRPr="0029327E">
        <w:rPr>
          <w:rFonts w:eastAsia="Times New Roman"/>
          <w:u w:val="single"/>
          <w:lang w:eastAsia="bg-BG"/>
        </w:rPr>
        <w:t>Начин на приложение</w:t>
      </w:r>
    </w:p>
    <w:p w14:paraId="6D3FA355"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За перорално приложение.</w:t>
      </w:r>
    </w:p>
    <w:p w14:paraId="3D69E938"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Препоръчва се дневната доза да се приема на два пъти, през 12 часа.</w:t>
      </w:r>
    </w:p>
    <w:p w14:paraId="2324CE34"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Таблетките с удължено освобождаване трябва да се приемат цели, без да се дъвчат, с малко количество вода. Преустановяването на приема на това лекарство трябва да става постепенно, особено при употреба на високи дози.</w:t>
      </w:r>
    </w:p>
    <w:p w14:paraId="235B3E58" w14:textId="77777777" w:rsidR="0029327E" w:rsidRPr="0029327E" w:rsidRDefault="0029327E" w:rsidP="0029327E"/>
    <w:p w14:paraId="5D9E65DA" w14:textId="22126DF5" w:rsidR="009F77A4" w:rsidRDefault="002C50EE" w:rsidP="00387A66">
      <w:pPr>
        <w:pStyle w:val="Heading2"/>
      </w:pPr>
      <w:r>
        <w:t>4.3. Противопоказания</w:t>
      </w:r>
    </w:p>
    <w:p w14:paraId="3811213A" w14:textId="04348404" w:rsidR="0029327E" w:rsidRDefault="0029327E" w:rsidP="0029327E"/>
    <w:p w14:paraId="659FC375" w14:textId="77777777" w:rsidR="0029327E" w:rsidRPr="0029327E" w:rsidRDefault="0029327E" w:rsidP="0029327E">
      <w:pPr>
        <w:pStyle w:val="ListParagraph"/>
        <w:numPr>
          <w:ilvl w:val="0"/>
          <w:numId w:val="41"/>
        </w:numPr>
        <w:spacing w:line="240" w:lineRule="auto"/>
        <w:rPr>
          <w:rFonts w:eastAsia="Times New Roman" w:cs="Arial"/>
          <w:sz w:val="32"/>
          <w:szCs w:val="32"/>
          <w:lang w:eastAsia="bg-BG"/>
        </w:rPr>
      </w:pPr>
      <w:r w:rsidRPr="0029327E">
        <w:rPr>
          <w:rFonts w:eastAsia="Times New Roman" w:cs="Arial"/>
          <w:color w:val="000000"/>
          <w:lang w:eastAsia="bg-BG"/>
        </w:rPr>
        <w:t>Свръхчувствителност към активното вещество (и към други дихидропиридинови производни) или към някое от помощните вещества, изброени в точка 6.1;</w:t>
      </w:r>
    </w:p>
    <w:p w14:paraId="3850386B" w14:textId="77777777" w:rsidR="0029327E" w:rsidRPr="0029327E" w:rsidRDefault="0029327E" w:rsidP="0029327E">
      <w:pPr>
        <w:pStyle w:val="ListParagraph"/>
        <w:numPr>
          <w:ilvl w:val="0"/>
          <w:numId w:val="41"/>
        </w:numPr>
        <w:spacing w:line="240" w:lineRule="auto"/>
        <w:rPr>
          <w:rFonts w:eastAsia="Times New Roman" w:cs="Arial"/>
          <w:sz w:val="32"/>
          <w:szCs w:val="32"/>
          <w:lang w:eastAsia="bg-BG"/>
        </w:rPr>
      </w:pPr>
      <w:r w:rsidRPr="0029327E">
        <w:rPr>
          <w:rFonts w:eastAsia="Times New Roman" w:cs="Arial"/>
          <w:color w:val="000000"/>
          <w:lang w:eastAsia="bg-BG"/>
        </w:rPr>
        <w:t>Сърдечно-съдов шок, нестабилна циркулация</w:t>
      </w:r>
    </w:p>
    <w:p w14:paraId="4C5071C1" w14:textId="5A16D0AC" w:rsidR="0029327E" w:rsidRPr="0029327E" w:rsidRDefault="0029327E" w:rsidP="0029327E">
      <w:pPr>
        <w:pStyle w:val="ListParagraph"/>
        <w:numPr>
          <w:ilvl w:val="0"/>
          <w:numId w:val="41"/>
        </w:numPr>
        <w:spacing w:line="240" w:lineRule="auto"/>
        <w:rPr>
          <w:rFonts w:eastAsia="Times New Roman" w:cs="Arial"/>
          <w:sz w:val="32"/>
          <w:szCs w:val="32"/>
          <w:lang w:eastAsia="bg-BG"/>
        </w:rPr>
      </w:pPr>
      <w:r w:rsidRPr="0029327E">
        <w:rPr>
          <w:rFonts w:eastAsia="Times New Roman" w:cs="Arial"/>
          <w:color w:val="000000"/>
          <w:lang w:eastAsia="bg-BG"/>
        </w:rPr>
        <w:t xml:space="preserve">Нифедипин не трябва да се прилага в комбинация с рифампицин, тъй като не могат да се получат ефективни плазмени нива на нифедипин поради ензимната индукция </w:t>
      </w:r>
      <w:r w:rsidRPr="0029327E">
        <w:rPr>
          <w:rFonts w:eastAsia="Times New Roman" w:cs="Arial"/>
          <w:i/>
          <w:iCs/>
          <w:color w:val="000000"/>
          <w:lang w:eastAsia="bg-BG"/>
        </w:rPr>
        <w:t>(вж. точка 4.5).</w:t>
      </w:r>
    </w:p>
    <w:p w14:paraId="6DB94E0A" w14:textId="77777777" w:rsidR="0029327E" w:rsidRPr="0029327E" w:rsidRDefault="0029327E" w:rsidP="0029327E"/>
    <w:p w14:paraId="1C27CE53" w14:textId="377D428B" w:rsidR="009F77A4" w:rsidRDefault="002C50EE" w:rsidP="00387A66">
      <w:pPr>
        <w:pStyle w:val="Heading2"/>
      </w:pPr>
      <w:r>
        <w:t>4.4. Специални предупреждения и предпазни мерки при употреба</w:t>
      </w:r>
    </w:p>
    <w:p w14:paraId="5B6E9C0C" w14:textId="3D655220" w:rsidR="0029327E" w:rsidRDefault="0029327E" w:rsidP="0029327E"/>
    <w:p w14:paraId="25D0873A"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 xml:space="preserve">Повишено внимание е необходимо при пациентите с много ниско артериално налягане (тежка форма на хипотония със стойност на систолично налягане под 90 </w:t>
      </w:r>
      <w:r w:rsidRPr="0029327E">
        <w:rPr>
          <w:rFonts w:eastAsia="Times New Roman" w:cs="Arial"/>
          <w:color w:val="000000"/>
          <w:lang w:val="en-US"/>
        </w:rPr>
        <w:t xml:space="preserve">mmHg), </w:t>
      </w:r>
      <w:r w:rsidRPr="0029327E">
        <w:rPr>
          <w:rFonts w:eastAsia="Times New Roman" w:cs="Arial"/>
          <w:color w:val="000000"/>
          <w:lang w:eastAsia="bg-BG"/>
        </w:rPr>
        <w:t>в случаи на изразена сърдечна недостатъчност и тежка аортна стеноза.</w:t>
      </w:r>
    </w:p>
    <w:p w14:paraId="146155B2" w14:textId="77777777" w:rsidR="0029327E" w:rsidRPr="0029327E" w:rsidRDefault="0029327E" w:rsidP="0029327E">
      <w:pPr>
        <w:spacing w:line="240" w:lineRule="auto"/>
        <w:rPr>
          <w:rFonts w:eastAsia="Times New Roman" w:cs="Arial"/>
          <w:color w:val="000000"/>
          <w:lang w:eastAsia="bg-BG"/>
        </w:rPr>
      </w:pPr>
    </w:p>
    <w:p w14:paraId="4BE08161" w14:textId="6547F3D0"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Нифедипин не трябва да се използва по време на бременността, освен ако лечението с него е наложително с оглед клиничното състояние на жената. Нифедипин трябва да се използва при жени с тежка форма на хипертония, които не се повлияват от стандартно лечение (вж. точка 4.6).</w:t>
      </w:r>
    </w:p>
    <w:p w14:paraId="1995DF31" w14:textId="77777777" w:rsidR="0029327E" w:rsidRPr="0029327E" w:rsidRDefault="0029327E" w:rsidP="0029327E">
      <w:pPr>
        <w:spacing w:line="240" w:lineRule="auto"/>
        <w:rPr>
          <w:rFonts w:eastAsia="Times New Roman" w:cs="Arial"/>
          <w:color w:val="000000"/>
          <w:lang w:eastAsia="bg-BG"/>
        </w:rPr>
      </w:pPr>
    </w:p>
    <w:p w14:paraId="7ED040C0" w14:textId="75214D0D"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Употребата на нифедипин не се препоръчва през периода на кърмене, тъй като има съобщения, че попада в кърмата и не са известни ефектите след орална резорбция на малки количества от нифедипин (вж. точка 4.6).</w:t>
      </w:r>
    </w:p>
    <w:p w14:paraId="07CC516B" w14:textId="77777777" w:rsidR="0029327E" w:rsidRPr="0029327E" w:rsidRDefault="0029327E" w:rsidP="0029327E">
      <w:pPr>
        <w:spacing w:line="240" w:lineRule="auto"/>
        <w:rPr>
          <w:rFonts w:eastAsia="Times New Roman" w:cs="Arial"/>
          <w:color w:val="000000"/>
          <w:lang w:eastAsia="bg-BG"/>
        </w:rPr>
      </w:pPr>
    </w:p>
    <w:p w14:paraId="1650EFC7" w14:textId="25A00AD5"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Внимателно проследяване на артериалното налягане е необходимо и когато нифедипин се използва заедно с интравенозно прилаган магнезиев сулфат, поради възможността за прекомерен спад на артериалното налягане, което може да навреди на майката и на фетуса.</w:t>
      </w:r>
    </w:p>
    <w:p w14:paraId="1E4391A9" w14:textId="77777777" w:rsidR="0029327E" w:rsidRPr="0029327E" w:rsidRDefault="0029327E" w:rsidP="0029327E">
      <w:pPr>
        <w:spacing w:line="240" w:lineRule="auto"/>
        <w:rPr>
          <w:rFonts w:eastAsia="Times New Roman" w:cs="Arial"/>
          <w:color w:val="000000"/>
          <w:lang w:eastAsia="bg-BG"/>
        </w:rPr>
      </w:pPr>
    </w:p>
    <w:p w14:paraId="3A0B59AB" w14:textId="445C26A6"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lastRenderedPageBreak/>
        <w:t>При пациентите с нарушена чернодробна функция може да е необходимо внимателно проследяване, а в по-тежките случаи - намаляване на дозата.</w:t>
      </w:r>
    </w:p>
    <w:p w14:paraId="5A282FD7" w14:textId="77777777" w:rsidR="0029327E" w:rsidRPr="0029327E" w:rsidRDefault="0029327E" w:rsidP="0029327E">
      <w:pPr>
        <w:spacing w:line="240" w:lineRule="auto"/>
        <w:rPr>
          <w:rFonts w:eastAsia="Times New Roman" w:cs="Arial"/>
          <w:color w:val="000000"/>
          <w:lang w:eastAsia="bg-BG"/>
        </w:rPr>
      </w:pPr>
    </w:p>
    <w:p w14:paraId="75E74B09" w14:textId="45369613" w:rsidR="0029327E" w:rsidRPr="0029327E" w:rsidRDefault="0029327E" w:rsidP="0029327E">
      <w:pPr>
        <w:spacing w:line="240" w:lineRule="auto"/>
        <w:rPr>
          <w:rFonts w:eastAsia="Times New Roman" w:cs="Arial"/>
          <w:color w:val="000000"/>
          <w:lang w:eastAsia="bg-BG"/>
        </w:rPr>
      </w:pPr>
      <w:r w:rsidRPr="0029327E">
        <w:rPr>
          <w:rFonts w:eastAsia="Times New Roman" w:cs="Arial"/>
          <w:color w:val="000000"/>
          <w:lang w:eastAsia="bg-BG"/>
        </w:rPr>
        <w:t xml:space="preserve">Нифедипин се метаболизира чрез системата цитохром Р4503А4. Лекарствата, за които е известно, че </w:t>
      </w:r>
    </w:p>
    <w:p w14:paraId="607BCDAF" w14:textId="2137D4B1"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инхибират или индуцират тази ензимна система, могат да променят метаболизма при първо преминаване или елиминирането на нифедипин (вж. точка 4.5).</w:t>
      </w:r>
    </w:p>
    <w:p w14:paraId="33D4215E" w14:textId="77777777" w:rsidR="0029327E" w:rsidRPr="0029327E" w:rsidRDefault="0029327E" w:rsidP="0029327E">
      <w:pPr>
        <w:spacing w:line="240" w:lineRule="auto"/>
        <w:rPr>
          <w:rFonts w:eastAsia="Times New Roman" w:cs="Arial"/>
          <w:color w:val="000000"/>
          <w:lang w:eastAsia="bg-BG"/>
        </w:rPr>
      </w:pPr>
    </w:p>
    <w:p w14:paraId="5DF67363" w14:textId="77777777" w:rsidR="0029327E" w:rsidRPr="0029327E" w:rsidRDefault="0029327E" w:rsidP="0029327E">
      <w:pPr>
        <w:spacing w:line="240" w:lineRule="auto"/>
        <w:rPr>
          <w:rFonts w:eastAsia="Times New Roman" w:cs="Arial"/>
          <w:color w:val="000000"/>
          <w:lang w:eastAsia="bg-BG"/>
        </w:rPr>
      </w:pPr>
      <w:r w:rsidRPr="0029327E">
        <w:rPr>
          <w:rFonts w:eastAsia="Times New Roman" w:cs="Arial"/>
          <w:color w:val="000000"/>
          <w:lang w:eastAsia="bg-BG"/>
        </w:rPr>
        <w:t xml:space="preserve">Лекарства, които инхибират системата цитохром Р450 ЗА4 и поради това могат да предизвикат повишаване на плазмените концентрации на нифедипин са, например </w:t>
      </w:r>
    </w:p>
    <w:p w14:paraId="4F5964DA"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макролидни антибиотици (напр. еритромицин);</w:t>
      </w:r>
    </w:p>
    <w:p w14:paraId="26AD504D"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 xml:space="preserve">протеазни инхибитори за лечение на </w:t>
      </w:r>
      <w:r w:rsidRPr="0029327E">
        <w:rPr>
          <w:rFonts w:eastAsia="Times New Roman" w:cs="Arial"/>
          <w:color w:val="000000"/>
          <w:lang w:val="en-US"/>
        </w:rPr>
        <w:t xml:space="preserve">HIV </w:t>
      </w:r>
      <w:r w:rsidRPr="0029327E">
        <w:rPr>
          <w:rFonts w:eastAsia="Times New Roman" w:cs="Arial"/>
          <w:color w:val="000000"/>
          <w:lang w:eastAsia="bg-BG"/>
        </w:rPr>
        <w:t>(напр. ритонавир);</w:t>
      </w:r>
    </w:p>
    <w:p w14:paraId="1228D7E5"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 xml:space="preserve">азолови противогьбични средства (напр. кетоконазол); </w:t>
      </w:r>
    </w:p>
    <w:p w14:paraId="7EB14E2C"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антидепресантиге нефазодон и флуоксетин;</w:t>
      </w:r>
    </w:p>
    <w:p w14:paraId="5B68CA64"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хинупристин/ далфопристин;</w:t>
      </w:r>
    </w:p>
    <w:p w14:paraId="701FE6FC" w14:textId="77777777"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 xml:space="preserve">валпроева киселина; </w:t>
      </w:r>
    </w:p>
    <w:p w14:paraId="2AA9AA6D" w14:textId="5E2943EE" w:rsidR="0029327E" w:rsidRPr="0029327E" w:rsidRDefault="0029327E" w:rsidP="0029327E">
      <w:pPr>
        <w:pStyle w:val="ListParagraph"/>
        <w:numPr>
          <w:ilvl w:val="0"/>
          <w:numId w:val="42"/>
        </w:numPr>
        <w:spacing w:line="240" w:lineRule="auto"/>
        <w:rPr>
          <w:rFonts w:eastAsia="Times New Roman" w:cs="Arial"/>
          <w:sz w:val="32"/>
          <w:szCs w:val="32"/>
          <w:lang w:eastAsia="bg-BG"/>
        </w:rPr>
      </w:pPr>
      <w:r w:rsidRPr="0029327E">
        <w:rPr>
          <w:rFonts w:eastAsia="Times New Roman" w:cs="Arial"/>
          <w:color w:val="000000"/>
          <w:lang w:eastAsia="bg-BG"/>
        </w:rPr>
        <w:t>циметидин.</w:t>
      </w:r>
    </w:p>
    <w:p w14:paraId="361B1C6D" w14:textId="77777777" w:rsidR="0029327E" w:rsidRPr="0029327E" w:rsidRDefault="0029327E" w:rsidP="0029327E">
      <w:pPr>
        <w:spacing w:line="240" w:lineRule="auto"/>
        <w:rPr>
          <w:rFonts w:eastAsia="Times New Roman" w:cs="Arial"/>
          <w:color w:val="000000"/>
          <w:lang w:eastAsia="bg-BG"/>
        </w:rPr>
      </w:pPr>
    </w:p>
    <w:p w14:paraId="49FBE3E0" w14:textId="12ED5679"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При едновременно приложение на тези лекарства артериалното налягане трябва да бъде наблюдавано и, при необходимост, да се има предвид намаляване на дозата на нифедипин (вж. точка 4.5).</w:t>
      </w:r>
    </w:p>
    <w:p w14:paraId="2A4264E8" w14:textId="77777777" w:rsidR="0029327E" w:rsidRPr="0029327E" w:rsidRDefault="0029327E" w:rsidP="0029327E">
      <w:pPr>
        <w:spacing w:line="240" w:lineRule="auto"/>
        <w:rPr>
          <w:rFonts w:eastAsia="Times New Roman" w:cs="Arial"/>
          <w:color w:val="000000"/>
          <w:lang w:eastAsia="bg-BG"/>
        </w:rPr>
      </w:pPr>
    </w:p>
    <w:p w14:paraId="5F61DEC4" w14:textId="491E4B7A"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За информация относно употребата при специални популации, вижте точка 4.2.</w:t>
      </w:r>
    </w:p>
    <w:p w14:paraId="5A05C999" w14:textId="77777777" w:rsidR="0029327E" w:rsidRPr="0029327E" w:rsidRDefault="0029327E" w:rsidP="0029327E">
      <w:pPr>
        <w:spacing w:line="240" w:lineRule="auto"/>
        <w:rPr>
          <w:rFonts w:eastAsia="Times New Roman" w:cs="Arial"/>
          <w:color w:val="000000"/>
          <w:lang w:eastAsia="bg-BG"/>
        </w:rPr>
      </w:pPr>
    </w:p>
    <w:p w14:paraId="48ABEF9A" w14:textId="5025ED19"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При хиповолемични състояния антихипертензивният ефект на това лекарство се увеличава.</w:t>
      </w:r>
    </w:p>
    <w:p w14:paraId="32A7309F" w14:textId="77777777" w:rsidR="0029327E" w:rsidRPr="0029327E" w:rsidRDefault="0029327E" w:rsidP="0029327E">
      <w:pPr>
        <w:spacing w:line="240" w:lineRule="auto"/>
        <w:rPr>
          <w:rFonts w:eastAsia="Times New Roman" w:cs="Arial"/>
          <w:color w:val="000000"/>
          <w:lang w:eastAsia="bg-BG"/>
        </w:rPr>
      </w:pPr>
    </w:p>
    <w:p w14:paraId="0713BE17" w14:textId="2B13D38A"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При едновременно приложение на нифедипин и бета-блокери се изисква стриктно наблюдение на пациентите поради възможността за възникване на значително понижаване на артериалното налягане; в някои случаи дори може да се наблюдава развитие на сърдечна недостатъчност.</w:t>
      </w:r>
    </w:p>
    <w:p w14:paraId="6B9A5CF8" w14:textId="77777777" w:rsidR="0029327E" w:rsidRPr="0029327E" w:rsidRDefault="0029327E" w:rsidP="0029327E">
      <w:pPr>
        <w:spacing w:line="240" w:lineRule="auto"/>
        <w:rPr>
          <w:rFonts w:eastAsia="Times New Roman" w:cs="Arial"/>
          <w:color w:val="000000"/>
          <w:lang w:eastAsia="bg-BG"/>
        </w:rPr>
      </w:pPr>
    </w:p>
    <w:p w14:paraId="1B70355A" w14:textId="53011548"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При бъбречни заболявания не се налага намаляване на дозата. Намаленото белодробно артериално налягане, а също и хиповолемията след диализа могат да доведат до усилване ефекта на лекарството, поради което се препоръчват по-ниски дози.</w:t>
      </w:r>
    </w:p>
    <w:p w14:paraId="042A5941" w14:textId="77777777" w:rsidR="0029327E" w:rsidRPr="0029327E" w:rsidRDefault="0029327E" w:rsidP="0029327E">
      <w:pPr>
        <w:spacing w:line="240" w:lineRule="auto"/>
        <w:rPr>
          <w:rFonts w:eastAsia="Times New Roman" w:cs="Arial"/>
          <w:color w:val="000000"/>
          <w:lang w:eastAsia="bg-BG"/>
        </w:rPr>
      </w:pPr>
    </w:p>
    <w:p w14:paraId="3ABB6BA1" w14:textId="1BED92ED"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При пациенти със захарен диабет е необходим стриктен медицински контрол по време на лечението с нифедипин.</w:t>
      </w:r>
    </w:p>
    <w:p w14:paraId="380345BE" w14:textId="77777777" w:rsidR="0029327E" w:rsidRPr="0029327E" w:rsidRDefault="0029327E" w:rsidP="0029327E">
      <w:pPr>
        <w:spacing w:line="240" w:lineRule="auto"/>
        <w:rPr>
          <w:rFonts w:eastAsia="Times New Roman" w:cs="Arial"/>
          <w:color w:val="000000"/>
          <w:lang w:eastAsia="bg-BG"/>
        </w:rPr>
      </w:pPr>
    </w:p>
    <w:p w14:paraId="431CC03A" w14:textId="67AECD35"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Кордафлекс съдържа лактоза и натрий</w:t>
      </w:r>
    </w:p>
    <w:p w14:paraId="41074883"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 xml:space="preserve">Всяка таблетка с удължено освобождаване съдържа 30 </w:t>
      </w:r>
      <w:r w:rsidRPr="0029327E">
        <w:rPr>
          <w:rFonts w:eastAsia="Times New Roman" w:cs="Arial"/>
          <w:color w:val="000000"/>
          <w:lang w:val="en-US"/>
        </w:rPr>
        <w:t xml:space="preserve">mg </w:t>
      </w:r>
      <w:r w:rsidRPr="0029327E">
        <w:rPr>
          <w:rFonts w:eastAsia="Times New Roman" w:cs="Arial"/>
          <w:color w:val="000000"/>
          <w:lang w:eastAsia="bg-BG"/>
        </w:rPr>
        <w:t>лактоза.</w:t>
      </w:r>
    </w:p>
    <w:p w14:paraId="4F75A274"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Пациентите с редки наследствени проблеми на галактозна непоносимост, тотална лактазна недостатъчност или глюкозо-галактозен малабсорбционен синдром не трябва да приемат това лекарство.</w:t>
      </w:r>
    </w:p>
    <w:p w14:paraId="799FD54F" w14:textId="77777777" w:rsidR="0029327E" w:rsidRPr="0029327E" w:rsidRDefault="0029327E" w:rsidP="0029327E">
      <w:pPr>
        <w:spacing w:line="240" w:lineRule="auto"/>
        <w:rPr>
          <w:rFonts w:eastAsia="Times New Roman" w:cs="Arial"/>
          <w:color w:val="000000"/>
          <w:lang w:eastAsia="bg-BG"/>
        </w:rPr>
      </w:pPr>
    </w:p>
    <w:p w14:paraId="6EE62650" w14:textId="70975B8B"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 xml:space="preserve">Това лекарство съдържа по-малко от 1 </w:t>
      </w:r>
      <w:r w:rsidRPr="0029327E">
        <w:rPr>
          <w:rFonts w:eastAsia="Times New Roman" w:cs="Arial"/>
          <w:color w:val="000000"/>
          <w:lang w:val="en-US"/>
        </w:rPr>
        <w:t xml:space="preserve">mmol </w:t>
      </w:r>
      <w:r w:rsidRPr="0029327E">
        <w:rPr>
          <w:rFonts w:eastAsia="Times New Roman" w:cs="Arial"/>
          <w:color w:val="000000"/>
          <w:lang w:eastAsia="bg-BG"/>
        </w:rPr>
        <w:t xml:space="preserve">натрий (23 </w:t>
      </w:r>
      <w:r w:rsidRPr="0029327E">
        <w:rPr>
          <w:rFonts w:eastAsia="Times New Roman" w:cs="Arial"/>
          <w:color w:val="000000"/>
          <w:lang w:val="en-US"/>
        </w:rPr>
        <w:t xml:space="preserve">mg) </w:t>
      </w:r>
      <w:r w:rsidRPr="0029327E">
        <w:rPr>
          <w:rFonts w:eastAsia="Times New Roman" w:cs="Arial"/>
          <w:color w:val="000000"/>
          <w:lang w:eastAsia="bg-BG"/>
        </w:rPr>
        <w:t>на таблетка, т.е. по същество не съдържа натрий.</w:t>
      </w:r>
    </w:p>
    <w:p w14:paraId="49705FD8" w14:textId="77777777" w:rsidR="0029327E" w:rsidRPr="0029327E" w:rsidRDefault="0029327E" w:rsidP="0029327E"/>
    <w:p w14:paraId="1DA47448" w14:textId="5F51AD7F" w:rsidR="009F77A4" w:rsidRDefault="002C50EE" w:rsidP="00387A66">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B79B834" w14:textId="679C7F46" w:rsidR="0029327E" w:rsidRDefault="0029327E" w:rsidP="0029327E"/>
    <w:p w14:paraId="6FDABA5C"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Лекарства, които влияят на нифедипин</w:t>
      </w:r>
    </w:p>
    <w:p w14:paraId="352C41ED"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Нифедипин се метаболизира чрез системата цитохром Р450 ЗА4, която се намира в чревната лигавица и в черния дроб. Лекарствата, за които е известно, че инхибират или индуцират тази ензимна система, могат да променят метаболизма при първо преминаване (след перорален прием) или елиминирането на нифедипин (вж. точка 4.4).</w:t>
      </w:r>
    </w:p>
    <w:p w14:paraId="719CD8BC" w14:textId="77777777" w:rsidR="0029327E" w:rsidRPr="0029327E" w:rsidRDefault="0029327E" w:rsidP="0029327E">
      <w:pPr>
        <w:spacing w:line="240" w:lineRule="auto"/>
        <w:rPr>
          <w:rFonts w:eastAsia="Times New Roman" w:cs="Arial"/>
          <w:color w:val="000000"/>
          <w:lang w:eastAsia="bg-BG"/>
        </w:rPr>
      </w:pPr>
    </w:p>
    <w:p w14:paraId="7DE9E727" w14:textId="128ACB10"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Степента и продължителността на взаимодействие трябва да се имат предвид при прилагане на нифедипин заедно със следните лекарства:</w:t>
      </w:r>
    </w:p>
    <w:p w14:paraId="3C857C52" w14:textId="77777777" w:rsidR="0029327E" w:rsidRPr="0029327E" w:rsidRDefault="0029327E" w:rsidP="0029327E">
      <w:pPr>
        <w:spacing w:line="240" w:lineRule="auto"/>
        <w:rPr>
          <w:rFonts w:eastAsia="Times New Roman" w:cs="Arial"/>
          <w:color w:val="000000"/>
          <w:lang w:eastAsia="bg-BG"/>
        </w:rPr>
      </w:pPr>
    </w:p>
    <w:p w14:paraId="1155BD01" w14:textId="29339FC8"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Рифампицин</w:t>
      </w:r>
    </w:p>
    <w:p w14:paraId="21409054"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Рифампицин е силен индуктор на системата цитохром Р450 ЗА4. При едновременно приложение с рифампицин бионаличността на нифедипин се понижава значително и оттам намалява ефективността му. Поради това е противопоказана употребата на нифедипин в комбинация с рифампицин (вж. точка 4.3).</w:t>
      </w:r>
    </w:p>
    <w:p w14:paraId="426BB553" w14:textId="77777777" w:rsidR="0029327E" w:rsidRPr="0029327E" w:rsidRDefault="0029327E" w:rsidP="0029327E">
      <w:pPr>
        <w:spacing w:line="240" w:lineRule="auto"/>
        <w:rPr>
          <w:rFonts w:eastAsia="Times New Roman" w:cs="Arial"/>
          <w:color w:val="000000"/>
          <w:lang w:eastAsia="bg-BG"/>
        </w:rPr>
      </w:pPr>
    </w:p>
    <w:p w14:paraId="44EDAC80" w14:textId="67FF2643"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При едновременно приложение със следните слаби или умерени инхибитори на системата на цитохром Р450 3А4 е необходимо да се проследява артериалното налягане и, при необходимост, да се обмисли намаляване на дозата на нифедипин (вж. точка 4.2).</w:t>
      </w:r>
    </w:p>
    <w:p w14:paraId="6CCEC865" w14:textId="77777777" w:rsidR="0029327E" w:rsidRPr="0029327E" w:rsidRDefault="0029327E" w:rsidP="0029327E">
      <w:pPr>
        <w:rPr>
          <w:rFonts w:eastAsia="Times New Roman" w:cs="Arial"/>
          <w:color w:val="000000"/>
          <w:lang w:eastAsia="bg-BG"/>
        </w:rPr>
      </w:pPr>
    </w:p>
    <w:p w14:paraId="79CB9F35" w14:textId="53EACF04"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Макролидни антибиотици (напр. еритромицин)</w:t>
      </w:r>
    </w:p>
    <w:p w14:paraId="72149DE6" w14:textId="1BFA6B68" w:rsidR="0029327E" w:rsidRPr="0029327E" w:rsidRDefault="0029327E" w:rsidP="0029327E">
      <w:pPr>
        <w:rPr>
          <w:rFonts w:eastAsia="Times New Roman" w:cs="Arial"/>
          <w:color w:val="000000"/>
          <w:lang w:eastAsia="bg-BG"/>
        </w:rPr>
      </w:pPr>
    </w:p>
    <w:p w14:paraId="1A62EAC1"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са провеждани проучвания на взаимодействието между нифедипин и макролидни антибиотици. За някои макролидни антибиотици е известно, че инхибират метаболизма на други лекарства, опосредстван от цитохром Р450 ЗА4. Поради това не може да бъде изключено възможно повишаване на плазмените концентрации на нифедипин при едновременно приложение с тези лекарства (вж. точка 4.4).</w:t>
      </w:r>
    </w:p>
    <w:p w14:paraId="1DA39850" w14:textId="77777777" w:rsidR="0029327E" w:rsidRPr="0029327E" w:rsidRDefault="0029327E" w:rsidP="0029327E">
      <w:pPr>
        <w:spacing w:line="240" w:lineRule="auto"/>
        <w:rPr>
          <w:rFonts w:eastAsia="Times New Roman" w:cs="Arial"/>
          <w:color w:val="000000"/>
          <w:lang w:eastAsia="bg-BG"/>
        </w:rPr>
      </w:pPr>
    </w:p>
    <w:p w14:paraId="5FD4BFB5" w14:textId="5578FD8B"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Азитромицин, въпреки структурната си свързаност с класа на макролидните антибиотици, няма инхибират ефект спрямо </w:t>
      </w:r>
      <w:r w:rsidRPr="0029327E">
        <w:rPr>
          <w:rFonts w:eastAsia="Times New Roman" w:cs="Arial"/>
          <w:color w:val="000000"/>
          <w:lang w:val="en-US"/>
        </w:rPr>
        <w:t>CYP3A4.</w:t>
      </w:r>
    </w:p>
    <w:p w14:paraId="12BE3DFB" w14:textId="77777777" w:rsidR="0029327E" w:rsidRPr="0029327E" w:rsidRDefault="0029327E" w:rsidP="0029327E">
      <w:pPr>
        <w:spacing w:line="240" w:lineRule="auto"/>
        <w:rPr>
          <w:rFonts w:eastAsia="Times New Roman" w:cs="Arial"/>
          <w:color w:val="000000"/>
          <w:lang w:eastAsia="bg-BG"/>
        </w:rPr>
      </w:pPr>
    </w:p>
    <w:p w14:paraId="7FCB7B89" w14:textId="2816EE3C"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Протеазни инхибитори за лечение на </w:t>
      </w:r>
      <w:r w:rsidRPr="0029327E">
        <w:rPr>
          <w:rFonts w:eastAsia="Times New Roman" w:cs="Arial"/>
          <w:color w:val="000000"/>
          <w:lang w:val="en-US"/>
        </w:rPr>
        <w:t xml:space="preserve">HIV </w:t>
      </w:r>
      <w:r w:rsidRPr="0029327E">
        <w:rPr>
          <w:rFonts w:eastAsia="Times New Roman" w:cs="Arial"/>
          <w:color w:val="000000"/>
          <w:lang w:eastAsia="bg-BG"/>
        </w:rPr>
        <w:t>(напр. ритонавир)</w:t>
      </w:r>
    </w:p>
    <w:p w14:paraId="3C4F2F7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Не е провеждано клинично проучване на потенциала за лекарствени взаимодействия между нифедипин и някои инхибитори на </w:t>
      </w:r>
      <w:r w:rsidRPr="0029327E">
        <w:rPr>
          <w:rFonts w:eastAsia="Times New Roman" w:cs="Arial"/>
          <w:color w:val="000000"/>
          <w:lang w:val="en-US"/>
        </w:rPr>
        <w:t>HIV</w:t>
      </w:r>
      <w:r w:rsidRPr="0029327E">
        <w:rPr>
          <w:rFonts w:eastAsia="Times New Roman" w:cs="Arial"/>
          <w:color w:val="000000"/>
          <w:lang w:eastAsia="bg-BG"/>
        </w:rPr>
        <w:t>-протеазата. За лекарствата от този клас е известно, че инхибират системата цитохром Р450 ЗА4. Освен това при лекарствата от този клас е наблюдавано, че инхибират при ин витро условия метаболизма на нифедипин, опосредстван от цитохром Р450 ЗА4. При едновременното приложение с нифедипин, не може да бъде изключено съществено повишение на плазмените концентрации на нифедипин поради намаления метаболизъм при първо преминаване и понижения клирънс (вж. точка 4.4).</w:t>
      </w:r>
    </w:p>
    <w:p w14:paraId="20B165B5" w14:textId="77777777" w:rsidR="0029327E" w:rsidRPr="0029327E" w:rsidRDefault="0029327E" w:rsidP="0029327E">
      <w:pPr>
        <w:spacing w:line="240" w:lineRule="auto"/>
        <w:rPr>
          <w:rFonts w:eastAsia="Times New Roman" w:cs="Arial"/>
          <w:color w:val="000000"/>
          <w:lang w:eastAsia="bg-BG"/>
        </w:rPr>
      </w:pPr>
    </w:p>
    <w:p w14:paraId="44DD4D23" w14:textId="275C72EB"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Азолови противогьбични средства (напр. кетоконазол)</w:t>
      </w:r>
    </w:p>
    <w:p w14:paraId="78E50E2E"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Все още не е провеждано официално проучване за изследване на потенциала за взаимодействие между нифедипин и някои азолови противогьбични средства. За лекарствата от този клас е известно, че инхибират системата на цитохром Р450 3А4. При комбинирано перорално приложение с нифедипин, не може да бъде изключено съществено повишение на системната бионаличност на нифедипин поради намаления метаболизъм при първо преминаване (вж. точка 4.4).</w:t>
      </w:r>
    </w:p>
    <w:p w14:paraId="637E71A6" w14:textId="77777777" w:rsidR="0029327E" w:rsidRPr="0029327E" w:rsidRDefault="0029327E" w:rsidP="0029327E">
      <w:pPr>
        <w:spacing w:line="240" w:lineRule="auto"/>
        <w:rPr>
          <w:rFonts w:eastAsia="Times New Roman" w:cs="Arial"/>
          <w:color w:val="000000"/>
          <w:lang w:eastAsia="bg-BG"/>
        </w:rPr>
      </w:pPr>
    </w:p>
    <w:p w14:paraId="065DEC15" w14:textId="50979D68"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Флуоксетин</w:t>
      </w:r>
    </w:p>
    <w:p w14:paraId="5C368E5C"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е провеждано клинично проучване за изследване на потенциала за лекарствени взаимодействия между нифедипин и флуоксетин. Наблюдавано е, че флуоксетин инхибира при ин витро условия метаболизма на нифедипин, опосредстван от цитохром Р450 ЗА4. Поради това не може да бъде изключено повишение на плазмените концентрации на нифедипин при едновременно приложение на двете лекарства (вж. точка 4.4).</w:t>
      </w:r>
    </w:p>
    <w:p w14:paraId="5D3B2CE1" w14:textId="77777777" w:rsidR="0029327E" w:rsidRPr="0029327E" w:rsidRDefault="0029327E" w:rsidP="0029327E">
      <w:pPr>
        <w:spacing w:line="240" w:lineRule="auto"/>
        <w:rPr>
          <w:rFonts w:eastAsia="Times New Roman" w:cs="Arial"/>
          <w:color w:val="000000"/>
          <w:lang w:eastAsia="bg-BG"/>
        </w:rPr>
      </w:pPr>
    </w:p>
    <w:p w14:paraId="34004A1F" w14:textId="04DAE9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Нефазодон</w:t>
      </w:r>
    </w:p>
    <w:p w14:paraId="0A2853E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е провеждано клинично проучване за изследване на потенциала за лекарствени взаимодействия между нифедипин и нефазодон. Наблюдавано е, че нефазодон инхибира метаболизма на други лекарства, опосредстван от цитохром Р450 ЗА4. Поради това не може да бъде изключено повишение на плазмените концентрации на нифедипин при едновременно приложение на двете лекарства (вж. точка 4.4).</w:t>
      </w:r>
    </w:p>
    <w:p w14:paraId="200E8431" w14:textId="77777777" w:rsidR="0029327E" w:rsidRPr="0029327E" w:rsidRDefault="0029327E" w:rsidP="0029327E">
      <w:pPr>
        <w:spacing w:line="240" w:lineRule="auto"/>
        <w:rPr>
          <w:rFonts w:eastAsia="Times New Roman" w:cs="Arial"/>
          <w:color w:val="000000"/>
          <w:lang w:eastAsia="bg-BG"/>
        </w:rPr>
      </w:pPr>
    </w:p>
    <w:p w14:paraId="48280AE1" w14:textId="4235ABD9"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Хинупристин/далфопристин</w:t>
      </w:r>
    </w:p>
    <w:p w14:paraId="43362F88"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Едновременното приложение на хинупристин/далфопристин и нифедипин може да доведе до повишение на плазмените концентрации на нифедипин (вж. точка 4.4).</w:t>
      </w:r>
    </w:p>
    <w:p w14:paraId="4D3F3168" w14:textId="77777777" w:rsidR="0029327E" w:rsidRPr="0029327E" w:rsidRDefault="0029327E" w:rsidP="0029327E">
      <w:pPr>
        <w:spacing w:line="240" w:lineRule="auto"/>
        <w:rPr>
          <w:rFonts w:eastAsia="Times New Roman" w:cs="Arial"/>
          <w:color w:val="000000"/>
          <w:lang w:eastAsia="bg-BG"/>
        </w:rPr>
      </w:pPr>
    </w:p>
    <w:p w14:paraId="10CA4D6D" w14:textId="67F215E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Валпроева киселина</w:t>
      </w:r>
    </w:p>
    <w:p w14:paraId="3C08F9F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Не е провеждано официално клинично проучване за изследване на потенциала на лекарствено взаимодействие между нифедипин и валпроева киселина. Тъй като е наблюдавано, че валпроевата киселина повишава плазмените концентрации на структурно подобния калциев антагонист нимодипин чрез ензимна инхибиция, не може да се изключи повишаване на плазмените концентрации и оттам повишаване на ефикасността на нифедипин (вж. точка 4.4).</w:t>
      </w:r>
    </w:p>
    <w:p w14:paraId="0CE24D3A" w14:textId="77777777" w:rsidR="0029327E" w:rsidRPr="0029327E" w:rsidRDefault="0029327E" w:rsidP="0029327E">
      <w:pPr>
        <w:rPr>
          <w:rFonts w:eastAsia="Times New Roman" w:cs="Arial"/>
          <w:color w:val="000000"/>
          <w:lang w:eastAsia="bg-BG"/>
        </w:rPr>
      </w:pPr>
    </w:p>
    <w:p w14:paraId="70F72927" w14:textId="60B95A19"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Циметидин</w:t>
      </w:r>
    </w:p>
    <w:p w14:paraId="33109E9C"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Поради инхибирането на системата цитохром Р450 ЗА4, циметидин повишава плазмените концентрации на нифедипин и може да усили антихипертензивния ефект (вж. точка 4.4).</w:t>
      </w:r>
    </w:p>
    <w:p w14:paraId="00497758" w14:textId="77777777" w:rsidR="0029327E" w:rsidRPr="0029327E" w:rsidRDefault="0029327E" w:rsidP="0029327E">
      <w:pPr>
        <w:spacing w:line="240" w:lineRule="auto"/>
        <w:rPr>
          <w:rFonts w:eastAsia="Times New Roman" w:cs="Arial"/>
          <w:color w:val="000000"/>
          <w:u w:val="single"/>
          <w:lang w:eastAsia="bg-BG"/>
        </w:rPr>
      </w:pPr>
    </w:p>
    <w:p w14:paraId="1FA19786" w14:textId="59E6A4B4"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Други проучвания</w:t>
      </w:r>
    </w:p>
    <w:p w14:paraId="09D517B2" w14:textId="77777777" w:rsidR="0029327E" w:rsidRPr="0029327E" w:rsidRDefault="0029327E" w:rsidP="0029327E">
      <w:pPr>
        <w:spacing w:line="240" w:lineRule="auto"/>
        <w:rPr>
          <w:rFonts w:eastAsia="Times New Roman" w:cs="Arial"/>
          <w:color w:val="000000"/>
          <w:lang w:eastAsia="bg-BG"/>
        </w:rPr>
      </w:pPr>
    </w:p>
    <w:p w14:paraId="153EA2C9" w14:textId="1D74184E"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Цизаприд</w:t>
      </w:r>
    </w:p>
    <w:p w14:paraId="1EF7A7DA"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Едновременното приложение на цизаприд и нифедипин може да доведе до повишаване на плазмената концентрация на нифедипин.</w:t>
      </w:r>
    </w:p>
    <w:p w14:paraId="04E71A60" w14:textId="77777777" w:rsidR="0029327E" w:rsidRPr="0029327E" w:rsidRDefault="0029327E" w:rsidP="0029327E">
      <w:pPr>
        <w:spacing w:line="240" w:lineRule="auto"/>
        <w:rPr>
          <w:rFonts w:eastAsia="Times New Roman" w:cs="Arial"/>
          <w:color w:val="000000"/>
          <w:lang w:eastAsia="bg-BG"/>
        </w:rPr>
      </w:pPr>
    </w:p>
    <w:p w14:paraId="1DEF1DD4" w14:textId="4EFAC1BC"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Антиепилептични лекарства, като фенитоин, карбамазепин и фенобарбитон, индуциращи системата цитохром Р450 ЗА4</w:t>
      </w:r>
    </w:p>
    <w:p w14:paraId="79581A5D"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Фенитоин индуцира системата цитохром Р450 ЗА4. При едновременно приложение с фенитоин, бионаличността на нифедипин се понижава и по този начин отслабва неговата ефикасност. Когато двете лекарства се прилагат едновременно, клиничният отговор към нифедипин трябва да се проследява и ако е необходимо, да се повиши дозата на нифедипин. Ако дозата на нифедипин е повишена при едновременно приложение на двете лекарства, дозата на нифедипин трябва да се намали, когато лечението с фенитоин се преустановява.</w:t>
      </w:r>
    </w:p>
    <w:p w14:paraId="542E9525" w14:textId="77777777" w:rsidR="0029327E" w:rsidRPr="0029327E" w:rsidRDefault="0029327E" w:rsidP="0029327E">
      <w:pPr>
        <w:spacing w:line="240" w:lineRule="auto"/>
        <w:rPr>
          <w:rFonts w:eastAsia="Times New Roman" w:cs="Arial"/>
          <w:color w:val="000000"/>
          <w:lang w:eastAsia="bg-BG"/>
        </w:rPr>
      </w:pPr>
    </w:p>
    <w:p w14:paraId="43F86582" w14:textId="30EB7685"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Не са провеждани официални клинични проучвания за изследване на потенциала на лекарствено взаимодействие между нифедипин и карбамазепин или фенобарбитон. Тъй </w:t>
      </w:r>
      <w:r w:rsidRPr="0029327E">
        <w:rPr>
          <w:rFonts w:eastAsia="Times New Roman" w:cs="Arial"/>
          <w:color w:val="000000"/>
          <w:lang w:eastAsia="bg-BG"/>
        </w:rPr>
        <w:lastRenderedPageBreak/>
        <w:t>като е наблюдавано, че двете лекарства намаляват плазмените концентрации на структурно подобния блокер на калциевите канали нимодипин чрез ензимна индукция, не може да се изключи понижаване на плазмените концентрации и оттам понижаване ефикасността на нифедипин.</w:t>
      </w:r>
    </w:p>
    <w:p w14:paraId="5688A519" w14:textId="77777777" w:rsidR="0029327E" w:rsidRPr="0029327E" w:rsidRDefault="0029327E" w:rsidP="0029327E">
      <w:pPr>
        <w:spacing w:line="240" w:lineRule="auto"/>
        <w:rPr>
          <w:rFonts w:eastAsia="Times New Roman" w:cs="Arial"/>
          <w:color w:val="000000"/>
          <w:u w:val="single"/>
          <w:lang w:eastAsia="bg-BG"/>
        </w:rPr>
      </w:pPr>
    </w:p>
    <w:p w14:paraId="2B5B12A8" w14:textId="1A1C9B90"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Ефекти на нифедипин върху други лекарства</w:t>
      </w:r>
    </w:p>
    <w:p w14:paraId="57A51497" w14:textId="77777777" w:rsidR="0029327E" w:rsidRPr="0029327E" w:rsidRDefault="0029327E" w:rsidP="0029327E">
      <w:pPr>
        <w:spacing w:line="240" w:lineRule="auto"/>
        <w:rPr>
          <w:rFonts w:eastAsia="Times New Roman" w:cs="Arial"/>
          <w:color w:val="000000"/>
          <w:lang w:eastAsia="bg-BG"/>
        </w:rPr>
      </w:pPr>
    </w:p>
    <w:p w14:paraId="5FE7761F" w14:textId="53329C5A"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Лекарства за понижаване на артериалното налягане</w:t>
      </w:r>
    </w:p>
    <w:p w14:paraId="4DAB5ADA"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Нифедипин може да усили понижаващото артериалното налягане действие на прилагани едновременно с него антихипертензивни лекарства, като:</w:t>
      </w:r>
    </w:p>
    <w:p w14:paraId="115D7024"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диуретици,</w:t>
      </w:r>
    </w:p>
    <w:p w14:paraId="3AD33194"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бета-блокери </w:t>
      </w:r>
    </w:p>
    <w:p w14:paraId="546A4A08"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АСЕ инхибитори </w:t>
      </w:r>
    </w:p>
    <w:p w14:paraId="7B66E3F4"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антагонисти на рецепторите на ангиотензин 1 </w:t>
      </w:r>
      <w:r w:rsidRPr="0029327E">
        <w:rPr>
          <w:rFonts w:eastAsia="Times New Roman" w:cs="Arial"/>
          <w:color w:val="000000"/>
          <w:lang w:val="en-US"/>
        </w:rPr>
        <w:t xml:space="preserve">(AT1) </w:t>
      </w:r>
    </w:p>
    <w:p w14:paraId="0A89A247"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други калциеви антагонисти </w:t>
      </w:r>
    </w:p>
    <w:p w14:paraId="27E9EF7A"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алфа-адренергични блокери </w:t>
      </w:r>
    </w:p>
    <w:p w14:paraId="4AC9CC93" w14:textId="77777777"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 xml:space="preserve">инхибитори на </w:t>
      </w:r>
      <w:r w:rsidRPr="0029327E">
        <w:rPr>
          <w:rFonts w:eastAsia="Times New Roman" w:cs="Arial"/>
          <w:color w:val="000000"/>
          <w:lang w:val="en-US"/>
        </w:rPr>
        <w:t>PDE5</w:t>
      </w:r>
    </w:p>
    <w:p w14:paraId="61426F91" w14:textId="12D32F49" w:rsidR="0029327E" w:rsidRPr="0029327E" w:rsidRDefault="0029327E" w:rsidP="0029327E">
      <w:pPr>
        <w:pStyle w:val="ListParagraph"/>
        <w:numPr>
          <w:ilvl w:val="0"/>
          <w:numId w:val="2"/>
        </w:numPr>
        <w:spacing w:line="240" w:lineRule="auto"/>
        <w:rPr>
          <w:rFonts w:eastAsia="Times New Roman" w:cs="Arial"/>
          <w:color w:val="000000"/>
          <w:lang w:eastAsia="bg-BG"/>
        </w:rPr>
      </w:pPr>
      <w:r w:rsidRPr="0029327E">
        <w:rPr>
          <w:rFonts w:eastAsia="Times New Roman" w:cs="Arial"/>
          <w:color w:val="000000"/>
          <w:lang w:eastAsia="bg-BG"/>
        </w:rPr>
        <w:t>алфа-метилдопа</w:t>
      </w:r>
    </w:p>
    <w:p w14:paraId="4CBEF706"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Когато нифедипин се прилага едновременно с бета-блокери, пациентът трябва да бъде стриктно наблюдаван, тъй като е известно, че в отделни случаи може да се влоши сърдечната недостатъчност.</w:t>
      </w:r>
    </w:p>
    <w:p w14:paraId="0CC79E9A" w14:textId="77777777" w:rsidR="0029327E" w:rsidRPr="0029327E" w:rsidRDefault="0029327E" w:rsidP="0029327E">
      <w:pPr>
        <w:spacing w:line="240" w:lineRule="auto"/>
        <w:rPr>
          <w:rFonts w:eastAsia="Times New Roman" w:cs="Arial"/>
          <w:color w:val="000000"/>
          <w:lang w:eastAsia="bg-BG"/>
        </w:rPr>
      </w:pPr>
    </w:p>
    <w:p w14:paraId="551789DB" w14:textId="3ABA0110"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Дигоксин</w:t>
      </w:r>
    </w:p>
    <w:p w14:paraId="031066E3"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Едновременното приложение на нифедипин и дигоксин може да доведе до намаляване на клирънса на дигоксин и оттам до повишаване на плазмените му концентрации. Следователно като предпазна мярка пациентът трябва да се провери за признаци на предозиране с дигоксин и, ако е необходимо, дозата на глюкозида да бъде намалена, като се вземе предвид плазмената му концентрация.</w:t>
      </w:r>
    </w:p>
    <w:p w14:paraId="13F59828" w14:textId="77777777" w:rsidR="0029327E" w:rsidRPr="0029327E" w:rsidRDefault="0029327E" w:rsidP="0029327E">
      <w:pPr>
        <w:spacing w:line="240" w:lineRule="auto"/>
        <w:rPr>
          <w:rFonts w:eastAsia="Times New Roman" w:cs="Arial"/>
          <w:color w:val="000000"/>
          <w:lang w:eastAsia="bg-BG"/>
        </w:rPr>
      </w:pPr>
    </w:p>
    <w:p w14:paraId="2747BB27" w14:textId="611C40FA"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Хинидин</w:t>
      </w:r>
    </w:p>
    <w:p w14:paraId="4A265FD7" w14:textId="77777777" w:rsidR="0029327E" w:rsidRPr="0029327E" w:rsidRDefault="0029327E" w:rsidP="0029327E">
      <w:pPr>
        <w:rPr>
          <w:rFonts w:eastAsia="Times New Roman" w:cs="Arial"/>
          <w:lang w:eastAsia="bg-BG"/>
        </w:rPr>
      </w:pPr>
      <w:r w:rsidRPr="0029327E">
        <w:rPr>
          <w:rFonts w:eastAsia="Times New Roman" w:cs="Arial"/>
          <w:color w:val="000000"/>
          <w:lang w:eastAsia="bg-BG"/>
        </w:rPr>
        <w:t>Когато нифедипин и хинидин се прилагат едновременно, концентрацията на хинидин се намалява или, след прекъсване на нифедипин, в отделни случаи е наблюдавано значително повишаване на плазмената концентрация на хинидин. Поради това, когато нифедипин се включва допълнително или се спира употребата му, се препоръчва проследяване на плазмената концентрация на хинидин, и ако е необходимо, се коригира</w:t>
      </w:r>
      <w:r w:rsidRPr="0029327E">
        <w:rPr>
          <w:rFonts w:eastAsia="Times New Roman" w:cs="Arial"/>
          <w:color w:val="000000"/>
          <w:lang w:eastAsia="bg-BG"/>
        </w:rPr>
        <w:t xml:space="preserve"> </w:t>
      </w:r>
      <w:r w:rsidRPr="0029327E">
        <w:rPr>
          <w:rFonts w:eastAsia="Times New Roman" w:cs="Arial"/>
          <w:color w:val="000000"/>
          <w:lang w:eastAsia="bg-BG"/>
        </w:rPr>
        <w:t>дозата на хинидин. Някои автори съобщават за повишени плазмени концентрации на нифедипин при едновременно приложение на двете лекарства, докато други автори не установяват промяна във фармакокинетиката на нифедипин.</w:t>
      </w:r>
    </w:p>
    <w:p w14:paraId="3D379372"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Следователно артериалното налягане трябва внимателно да се наблюдава, ако се добави хинидин към текущо лечение с нифедипин. Ако е необходимо, дозата на нифедипин трябва да се намали.</w:t>
      </w:r>
    </w:p>
    <w:p w14:paraId="3615B249" w14:textId="77777777" w:rsidR="0029327E" w:rsidRPr="0029327E" w:rsidRDefault="0029327E" w:rsidP="0029327E">
      <w:pPr>
        <w:spacing w:line="240" w:lineRule="auto"/>
        <w:rPr>
          <w:rFonts w:eastAsia="Times New Roman" w:cs="Arial"/>
          <w:color w:val="000000"/>
          <w:lang w:eastAsia="bg-BG"/>
        </w:rPr>
      </w:pPr>
    </w:p>
    <w:p w14:paraId="18205C2D" w14:textId="65F6548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Такролимус</w:t>
      </w:r>
    </w:p>
    <w:p w14:paraId="2C7CE312"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Наблюдавано е, че такролимус се метаболизира чрез системата цитохром Р450 ЗА4. Публикуваните съвременни данни показват, че дозата на такролимус, приложена едновременно с нифедипин, може да се намали в отделни случаи. При едновременно приложение на двете лекарства, плазмените концентрации на такролимус трябва да се проследяват и, ако е необходимо, дозата на такролимус се намаляват.</w:t>
      </w:r>
    </w:p>
    <w:p w14:paraId="4084A941" w14:textId="77777777" w:rsidR="0029327E" w:rsidRPr="0029327E" w:rsidRDefault="0029327E" w:rsidP="0029327E">
      <w:pPr>
        <w:spacing w:line="240" w:lineRule="auto"/>
        <w:rPr>
          <w:rFonts w:eastAsia="Times New Roman" w:cs="Arial"/>
          <w:color w:val="000000"/>
          <w:u w:val="single"/>
          <w:lang w:eastAsia="bg-BG"/>
        </w:rPr>
      </w:pPr>
    </w:p>
    <w:p w14:paraId="4E1FF045" w14:textId="79655BEE"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Взаимодействие между лекарството и храна</w:t>
      </w:r>
    </w:p>
    <w:p w14:paraId="020B0AC2" w14:textId="77777777" w:rsidR="0029327E" w:rsidRPr="0029327E" w:rsidRDefault="0029327E" w:rsidP="0029327E">
      <w:pPr>
        <w:spacing w:line="240" w:lineRule="auto"/>
        <w:rPr>
          <w:rFonts w:eastAsia="Times New Roman" w:cs="Arial"/>
          <w:color w:val="000000"/>
          <w:lang w:eastAsia="bg-BG"/>
        </w:rPr>
      </w:pPr>
    </w:p>
    <w:p w14:paraId="3A5172E4" w14:textId="76A70F83"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Сок от грейпфрут</w:t>
      </w:r>
    </w:p>
    <w:p w14:paraId="61B156EA" w14:textId="3C5DFCC1"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Сокът от грейпфрут инхибира системата цитохром Р450 ЗА4. Приложението на нифедипин заедно със сок от грейпфрут може да доведе до повишени плазмени концентрации на нифедипин и удължено време на действие, дължащи се на понижен метаболизъм при първото преминаване. Вследствие на това ефектът на понижаване на кръвното налягане може да бъде засилен. След редовен прием на сок от грейпфрут този ефект може да продължи най-малко 3 дни след последния прием на сок от грейпфрут. Поради това консумацията на грейпфрут / сок от грейпфрут трябва да се избягва докато се приема нифедипин (вж. точка 4.2).</w:t>
      </w:r>
    </w:p>
    <w:p w14:paraId="607E31C8" w14:textId="77777777" w:rsidR="0029327E" w:rsidRPr="0029327E" w:rsidRDefault="0029327E" w:rsidP="0029327E">
      <w:pPr>
        <w:spacing w:line="240" w:lineRule="auto"/>
        <w:rPr>
          <w:rFonts w:eastAsia="Times New Roman" w:cs="Arial"/>
          <w:color w:val="000000"/>
          <w:u w:val="single"/>
          <w:lang w:eastAsia="bg-BG"/>
        </w:rPr>
      </w:pPr>
    </w:p>
    <w:p w14:paraId="6B6030C9" w14:textId="7CA852D2"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Други форми на взаимодействие</w:t>
      </w:r>
    </w:p>
    <w:p w14:paraId="41C25B7B" w14:textId="6448C15C"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Нифедипин може да доведе до недействително повишени стойности на ванилманделовата киселина в урината, отчетени със спектрофотометрия. Резултатите при измерването с ВЕТХ обаче не се повлияват.</w:t>
      </w:r>
    </w:p>
    <w:p w14:paraId="562EE25A" w14:textId="77777777" w:rsidR="0029327E" w:rsidRPr="0029327E" w:rsidRDefault="0029327E" w:rsidP="0029327E"/>
    <w:p w14:paraId="48846BBA" w14:textId="24A15C49" w:rsidR="009F77A4" w:rsidRDefault="002C50EE" w:rsidP="00387A66">
      <w:pPr>
        <w:pStyle w:val="Heading2"/>
      </w:pPr>
      <w:r>
        <w:t>4.6. Фертилитет, бременност и кърмене</w:t>
      </w:r>
    </w:p>
    <w:p w14:paraId="5D5E34A2" w14:textId="02161C13" w:rsidR="0029327E" w:rsidRDefault="0029327E" w:rsidP="0029327E"/>
    <w:p w14:paraId="782BC444" w14:textId="77777777" w:rsidR="0029327E" w:rsidRPr="0029327E" w:rsidRDefault="0029327E" w:rsidP="0029327E">
      <w:pPr>
        <w:pStyle w:val="Heading3"/>
        <w:rPr>
          <w:rFonts w:eastAsia="Times New Roman"/>
          <w:sz w:val="32"/>
          <w:szCs w:val="32"/>
          <w:u w:val="single"/>
          <w:lang w:eastAsia="bg-BG"/>
        </w:rPr>
      </w:pPr>
      <w:r w:rsidRPr="0029327E">
        <w:rPr>
          <w:rFonts w:eastAsia="Times New Roman"/>
          <w:u w:val="single"/>
          <w:lang w:eastAsia="bg-BG"/>
        </w:rPr>
        <w:t>Бременност</w:t>
      </w:r>
    </w:p>
    <w:p w14:paraId="42155B2A"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Нифедипин не трябва да се прилага по време на бременност, освен ако лечението е наложително с оглед клиничното състояние на жената. Нифедипин трябва да се използва при жени с тежка форма на хипертония, които не се повлияват от стандартно лечение (вж. точка 4.4).</w:t>
      </w:r>
    </w:p>
    <w:p w14:paraId="3062C393" w14:textId="77777777" w:rsidR="0029327E" w:rsidRPr="0029327E" w:rsidRDefault="0029327E" w:rsidP="0029327E">
      <w:pPr>
        <w:spacing w:line="240" w:lineRule="auto"/>
        <w:rPr>
          <w:rFonts w:eastAsia="Times New Roman" w:cs="Arial"/>
          <w:color w:val="000000"/>
          <w:lang w:eastAsia="bg-BG"/>
        </w:rPr>
      </w:pPr>
    </w:p>
    <w:p w14:paraId="48573AD7" w14:textId="0799BFE1"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Не са провеждани подходящи и добре контролирани проучвания при бременни жени.</w:t>
      </w:r>
    </w:p>
    <w:p w14:paraId="08A15496" w14:textId="77777777" w:rsidR="0029327E" w:rsidRPr="0029327E" w:rsidRDefault="0029327E" w:rsidP="0029327E">
      <w:pPr>
        <w:spacing w:line="240" w:lineRule="auto"/>
        <w:rPr>
          <w:rFonts w:eastAsia="Times New Roman" w:cs="Arial"/>
          <w:color w:val="000000"/>
          <w:lang w:eastAsia="bg-BG"/>
        </w:rPr>
      </w:pPr>
    </w:p>
    <w:p w14:paraId="5579291D" w14:textId="57F5B804"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Съществуващата информация не е достатъчна, за да се изключат нежелани ефекти от лекарството върху фетуса и новороденото.</w:t>
      </w:r>
    </w:p>
    <w:p w14:paraId="3F1F5434" w14:textId="77777777" w:rsidR="0029327E" w:rsidRPr="0029327E" w:rsidRDefault="0029327E" w:rsidP="0029327E">
      <w:pPr>
        <w:spacing w:line="240" w:lineRule="auto"/>
        <w:rPr>
          <w:rFonts w:eastAsia="Times New Roman" w:cs="Arial"/>
          <w:color w:val="000000"/>
          <w:lang w:eastAsia="bg-BG"/>
        </w:rPr>
      </w:pPr>
    </w:p>
    <w:p w14:paraId="242B23AA" w14:textId="3036BDE2"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В проучвания при животни е наблюдавано, че нифедипин има ембриотоксичен, фетотоксичен и тератогенен ефект (вж. точка 5.3).</w:t>
      </w:r>
    </w:p>
    <w:p w14:paraId="10C465BA" w14:textId="77777777" w:rsidR="0029327E" w:rsidRPr="0029327E" w:rsidRDefault="0029327E" w:rsidP="0029327E">
      <w:pPr>
        <w:spacing w:line="240" w:lineRule="auto"/>
        <w:rPr>
          <w:rFonts w:eastAsia="Times New Roman" w:cs="Arial"/>
          <w:color w:val="000000"/>
          <w:lang w:eastAsia="bg-BG"/>
        </w:rPr>
      </w:pPr>
    </w:p>
    <w:p w14:paraId="2603FA57" w14:textId="177C25D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Съществуващите клинични данни не показват конкретен риск в предродовата фаза, въпреки съобщенията за повишена честота на перинатална асфиксия, раждане чрез Цезарово сечение, както и преждевременно раждане и забавяне на вътрематочното развитие. Не е известно дали съобщените случаи се дължат на съществуващата хипертония, нейното лечение или на конкретен ефект на лекарството.</w:t>
      </w:r>
    </w:p>
    <w:p w14:paraId="5E1645AF" w14:textId="77777777" w:rsidR="0029327E" w:rsidRPr="0029327E" w:rsidRDefault="0029327E" w:rsidP="0029327E">
      <w:pPr>
        <w:rPr>
          <w:rFonts w:eastAsia="Times New Roman" w:cs="Arial"/>
          <w:color w:val="000000"/>
          <w:lang w:eastAsia="bg-BG"/>
        </w:rPr>
      </w:pPr>
    </w:p>
    <w:p w14:paraId="253FA3A0" w14:textId="597F4206"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Наблюдаван е остър белодробен оток когато калциеви блокери, измежду които нифедипин, са прилагани като токолитични средства през бременността (виж т. 4.8 особено при многоплодна бременност (близнаци или повече), интравенозно и/или едновременно приложение на бета-2 агонисти.</w:t>
      </w:r>
    </w:p>
    <w:p w14:paraId="0214B587" w14:textId="6F84AB3F" w:rsidR="0029327E" w:rsidRPr="0029327E" w:rsidRDefault="0029327E" w:rsidP="0029327E">
      <w:pPr>
        <w:rPr>
          <w:rFonts w:eastAsia="Times New Roman" w:cs="Arial"/>
          <w:color w:val="000000"/>
          <w:lang w:eastAsia="bg-BG"/>
        </w:rPr>
      </w:pPr>
    </w:p>
    <w:p w14:paraId="0680D1EA" w14:textId="77777777" w:rsidR="0029327E" w:rsidRPr="0029327E" w:rsidRDefault="0029327E" w:rsidP="0029327E">
      <w:pPr>
        <w:pStyle w:val="Heading3"/>
        <w:rPr>
          <w:rFonts w:eastAsia="Times New Roman"/>
          <w:sz w:val="32"/>
          <w:szCs w:val="32"/>
          <w:u w:val="single"/>
          <w:lang w:eastAsia="bg-BG"/>
        </w:rPr>
      </w:pPr>
      <w:r w:rsidRPr="0029327E">
        <w:rPr>
          <w:rFonts w:eastAsia="Times New Roman"/>
          <w:u w:val="single"/>
          <w:lang w:eastAsia="bg-BG"/>
        </w:rPr>
        <w:t>Кърмене</w:t>
      </w:r>
    </w:p>
    <w:p w14:paraId="1701B6CE"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 xml:space="preserve">Нифедипин се екскретира в кърмата. Концентрацията му в кърмата е почти сходна с тази в кръвния серум на майката. При лекарствените форми с незабавно освобождаване се препоръчва отлагане на кърменето или изцеждането на кърмата с 3-4 часа след </w:t>
      </w:r>
      <w:r w:rsidRPr="0029327E">
        <w:rPr>
          <w:rFonts w:eastAsia="Times New Roman" w:cs="Arial"/>
          <w:color w:val="000000"/>
          <w:lang w:eastAsia="bg-BG"/>
        </w:rPr>
        <w:lastRenderedPageBreak/>
        <w:t>приложение на лекарството, за да се намали експозицията на нифедипин от страна на бебето (вж. точка 4.4).</w:t>
      </w:r>
    </w:p>
    <w:p w14:paraId="76561967" w14:textId="77777777" w:rsidR="0029327E" w:rsidRPr="0029327E" w:rsidRDefault="0029327E" w:rsidP="0029327E">
      <w:pPr>
        <w:spacing w:line="240" w:lineRule="auto"/>
        <w:rPr>
          <w:rFonts w:eastAsia="Times New Roman" w:cs="Arial"/>
          <w:color w:val="000000"/>
          <w:u w:val="single"/>
          <w:lang w:eastAsia="bg-BG"/>
        </w:rPr>
      </w:pPr>
    </w:p>
    <w:p w14:paraId="37CECA8A" w14:textId="1C0B3DFF" w:rsidR="0029327E" w:rsidRPr="0029327E" w:rsidRDefault="0029327E" w:rsidP="0029327E">
      <w:pPr>
        <w:pStyle w:val="Heading3"/>
        <w:rPr>
          <w:rFonts w:eastAsia="Times New Roman"/>
          <w:sz w:val="32"/>
          <w:szCs w:val="32"/>
          <w:u w:val="single"/>
          <w:lang w:eastAsia="bg-BG"/>
        </w:rPr>
      </w:pPr>
      <w:r w:rsidRPr="0029327E">
        <w:rPr>
          <w:rFonts w:eastAsia="Times New Roman"/>
          <w:u w:val="single"/>
          <w:lang w:eastAsia="bg-BG"/>
        </w:rPr>
        <w:t>Фертилитет</w:t>
      </w:r>
    </w:p>
    <w:p w14:paraId="133CD179"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В отделни случаи на оплождане ин витро калциеви антагонисти, като нифедипин, са били свързани с обратими биохимични промени в областта на главичката на сперматозоида, което може да предизвика влошаване функцията на семенната течност. При мъже с неколкократни неуспешни опити за оплождане ин витро и ако няма друго обяснение, като възможна причина за това могат да се приемат калциевите антагонисти, като нифедипин.</w:t>
      </w:r>
    </w:p>
    <w:p w14:paraId="4FAA7A5D" w14:textId="77777777" w:rsidR="0029327E" w:rsidRPr="0029327E" w:rsidRDefault="0029327E" w:rsidP="0029327E"/>
    <w:p w14:paraId="321AAB00" w14:textId="74884138" w:rsidR="009F77A4" w:rsidRDefault="002C50EE" w:rsidP="00387A66">
      <w:pPr>
        <w:pStyle w:val="Heading2"/>
      </w:pPr>
      <w:r>
        <w:t>4.7. Ефекти върху способността за шофиране и работа с машини</w:t>
      </w:r>
    </w:p>
    <w:p w14:paraId="2A3AF722" w14:textId="33279B82" w:rsidR="0029327E" w:rsidRDefault="0029327E" w:rsidP="0029327E"/>
    <w:p w14:paraId="1185A0FF" w14:textId="7AA79B66" w:rsidR="0029327E" w:rsidRDefault="0029327E" w:rsidP="0029327E">
      <w:r>
        <w:t>Реакциите към лекарството, които варират по сила при отделните индивиди, могат да нарушат способността за шофиране или работа с машини. Това се отнася особено за началото на лечението, при промяна на лечението и в комбинация с алкохол.</w:t>
      </w:r>
    </w:p>
    <w:p w14:paraId="0B0190EB" w14:textId="77777777" w:rsidR="0029327E" w:rsidRPr="0029327E" w:rsidRDefault="0029327E" w:rsidP="0029327E"/>
    <w:p w14:paraId="136C86B8" w14:textId="7921F4B4" w:rsidR="009F77A4" w:rsidRDefault="002C50EE" w:rsidP="00387A66">
      <w:pPr>
        <w:pStyle w:val="Heading2"/>
      </w:pPr>
      <w:r>
        <w:t>4.8. Нежелани лекарствени реакции</w:t>
      </w:r>
    </w:p>
    <w:p w14:paraId="26B5950E" w14:textId="1F23F0B6" w:rsidR="0029327E" w:rsidRDefault="0029327E" w:rsidP="0029327E"/>
    <w:p w14:paraId="76054A6B"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 xml:space="preserve">По-долу са посочени нежеланите лекарствени реакции (НЛР) от плацебо-контролирани проучвания с нифедипин, класифицирани според категориите за честота по </w:t>
      </w:r>
      <w:r w:rsidRPr="0029327E">
        <w:rPr>
          <w:rFonts w:eastAsia="Times New Roman" w:cs="Arial"/>
          <w:color w:val="000000"/>
          <w:lang w:val="en-US"/>
        </w:rPr>
        <w:t xml:space="preserve">CIOMS </w:t>
      </w:r>
      <w:r w:rsidRPr="0029327E">
        <w:rPr>
          <w:rFonts w:eastAsia="Times New Roman" w:cs="Arial"/>
          <w:color w:val="000000"/>
          <w:lang w:eastAsia="bg-BG"/>
        </w:rPr>
        <w:t xml:space="preserve">Ш (база данни от клиничните изпитвания: нифедипин, </w:t>
      </w:r>
      <w:r w:rsidRPr="0029327E">
        <w:rPr>
          <w:rFonts w:eastAsia="Times New Roman" w:cs="Arial"/>
          <w:color w:val="000000"/>
          <w:lang w:val="en-US"/>
        </w:rPr>
        <w:t>n</w:t>
      </w:r>
      <w:r w:rsidRPr="0029327E">
        <w:rPr>
          <w:rFonts w:eastAsia="Times New Roman" w:cs="Arial"/>
          <w:color w:val="000000"/>
          <w:lang w:eastAsia="bg-BG"/>
        </w:rPr>
        <w:t xml:space="preserve">=2 661; плацебо, </w:t>
      </w:r>
      <w:r w:rsidRPr="0029327E">
        <w:rPr>
          <w:rFonts w:eastAsia="Times New Roman" w:cs="Arial"/>
          <w:color w:val="000000"/>
          <w:lang w:val="en-US"/>
        </w:rPr>
        <w:t>n</w:t>
      </w:r>
      <w:r w:rsidRPr="0029327E">
        <w:rPr>
          <w:rFonts w:eastAsia="Times New Roman" w:cs="Arial"/>
          <w:color w:val="000000"/>
          <w:lang w:eastAsia="bg-BG"/>
        </w:rPr>
        <w:t xml:space="preserve">=1 486; статус: към 22 февруари 2006 г., и проучването </w:t>
      </w:r>
      <w:r w:rsidRPr="0029327E">
        <w:rPr>
          <w:rFonts w:eastAsia="Times New Roman" w:cs="Arial"/>
          <w:color w:val="000000"/>
          <w:lang w:val="en-US"/>
        </w:rPr>
        <w:t xml:space="preserve">ACTION: </w:t>
      </w:r>
      <w:r w:rsidRPr="0029327E">
        <w:rPr>
          <w:rFonts w:eastAsia="Times New Roman" w:cs="Arial"/>
          <w:color w:val="000000"/>
          <w:lang w:eastAsia="bg-BG"/>
        </w:rPr>
        <w:t>нифедипин, п=3 825; плацебо, п=3 840):</w:t>
      </w:r>
    </w:p>
    <w:p w14:paraId="4404DFD6"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НЛР в категорията „чести“ са наблюдавани с честота под 3%, с изключение на оток (9,9%) и главоболие (3,9%).</w:t>
      </w:r>
    </w:p>
    <w:p w14:paraId="13CAD078" w14:textId="77777777" w:rsidR="0029327E" w:rsidRPr="0029327E" w:rsidRDefault="0029327E" w:rsidP="0029327E">
      <w:pPr>
        <w:rPr>
          <w:rFonts w:eastAsia="Times New Roman" w:cs="Arial"/>
          <w:color w:val="000000"/>
          <w:lang w:eastAsia="bg-BG"/>
        </w:rPr>
      </w:pPr>
    </w:p>
    <w:p w14:paraId="40D6398E" w14:textId="66AC467C"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НЛР, съобщени при продукти, съдържащи нифедипин, са посочени според честотата си в таблицата по-долу. В рамките на всяка категория нежеланите реакции са представени в низходящ ред според тежестта им. Според честотата си НЛР са определени като чести (≥1/100 до 1 &lt;10), нечести (≥1/1 000 до &lt;1/100) и редки (≥1/10 000 до 1/1 000). НЛР, установени само при текущото наблюдение през периода след пускане на пазара и чиято честота не може да бъде определена, са посочени в категорията „с неизвестна честота“.</w:t>
      </w:r>
    </w:p>
    <w:p w14:paraId="7A18FA68" w14:textId="4DA22604" w:rsidR="0029327E" w:rsidRDefault="0029327E" w:rsidP="0029327E"/>
    <w:tbl>
      <w:tblPr>
        <w:tblStyle w:val="TableGrid"/>
        <w:tblW w:w="0" w:type="auto"/>
        <w:tblLook w:val="04A0" w:firstRow="1" w:lastRow="0" w:firstColumn="1" w:lastColumn="0" w:noHBand="0" w:noVBand="1"/>
      </w:tblPr>
      <w:tblGrid>
        <w:gridCol w:w="2306"/>
        <w:gridCol w:w="1811"/>
        <w:gridCol w:w="1847"/>
        <w:gridCol w:w="1432"/>
        <w:gridCol w:w="1954"/>
      </w:tblGrid>
      <w:tr w:rsidR="0029327E" w14:paraId="5097AB7F" w14:textId="77777777" w:rsidTr="0029327E">
        <w:tc>
          <w:tcPr>
            <w:tcW w:w="2364" w:type="dxa"/>
          </w:tcPr>
          <w:p w14:paraId="749BC5BC" w14:textId="77777777" w:rsidR="0029327E" w:rsidRPr="0029327E" w:rsidRDefault="0029327E" w:rsidP="0029327E">
            <w:pPr>
              <w:rPr>
                <w:rFonts w:cs="Arial"/>
                <w:b/>
                <w:bCs/>
              </w:rPr>
            </w:pPr>
            <w:r w:rsidRPr="0029327E">
              <w:rPr>
                <w:rFonts w:cs="Arial"/>
                <w:b/>
                <w:bCs/>
              </w:rPr>
              <w:t>Системо-органен клас</w:t>
            </w:r>
          </w:p>
          <w:p w14:paraId="05042AEC" w14:textId="16FDAB38" w:rsidR="0029327E" w:rsidRPr="0029327E" w:rsidRDefault="0029327E" w:rsidP="0029327E">
            <w:pPr>
              <w:rPr>
                <w:rFonts w:cs="Arial"/>
                <w:b/>
                <w:bCs/>
              </w:rPr>
            </w:pPr>
            <w:r w:rsidRPr="0029327E">
              <w:rPr>
                <w:rFonts w:cs="Arial"/>
                <w:b/>
                <w:bCs/>
              </w:rPr>
              <w:t xml:space="preserve">(по </w:t>
            </w:r>
            <w:r w:rsidRPr="0029327E">
              <w:rPr>
                <w:rFonts w:cs="Arial"/>
                <w:b/>
                <w:bCs/>
                <w:lang w:val="en-US"/>
              </w:rPr>
              <w:t>MedDRA)</w:t>
            </w:r>
          </w:p>
        </w:tc>
        <w:tc>
          <w:tcPr>
            <w:tcW w:w="1854" w:type="dxa"/>
          </w:tcPr>
          <w:p w14:paraId="0BEF64D2" w14:textId="1C9E48CE" w:rsidR="0029327E" w:rsidRPr="0029327E" w:rsidRDefault="0029327E" w:rsidP="0029327E">
            <w:pPr>
              <w:rPr>
                <w:rFonts w:cs="Arial"/>
                <w:b/>
                <w:bCs/>
              </w:rPr>
            </w:pPr>
            <w:r w:rsidRPr="0029327E">
              <w:rPr>
                <w:rFonts w:cs="Arial"/>
                <w:b/>
                <w:bCs/>
              </w:rPr>
              <w:t>Чести</w:t>
            </w:r>
          </w:p>
        </w:tc>
        <w:tc>
          <w:tcPr>
            <w:tcW w:w="1891" w:type="dxa"/>
          </w:tcPr>
          <w:p w14:paraId="79FB91E5" w14:textId="7F5BC8EB" w:rsidR="0029327E" w:rsidRPr="0029327E" w:rsidRDefault="0029327E" w:rsidP="0029327E">
            <w:pPr>
              <w:rPr>
                <w:rFonts w:cs="Arial"/>
                <w:b/>
                <w:bCs/>
              </w:rPr>
            </w:pPr>
            <w:r w:rsidRPr="0029327E">
              <w:rPr>
                <w:rFonts w:cs="Arial"/>
                <w:b/>
                <w:bCs/>
              </w:rPr>
              <w:t>Нечести</w:t>
            </w:r>
          </w:p>
        </w:tc>
        <w:tc>
          <w:tcPr>
            <w:tcW w:w="1465" w:type="dxa"/>
          </w:tcPr>
          <w:p w14:paraId="4318F494" w14:textId="7F37E783" w:rsidR="0029327E" w:rsidRPr="0029327E" w:rsidRDefault="0029327E" w:rsidP="0029327E">
            <w:pPr>
              <w:rPr>
                <w:rFonts w:cs="Arial"/>
                <w:b/>
                <w:bCs/>
              </w:rPr>
            </w:pPr>
            <w:r w:rsidRPr="0029327E">
              <w:rPr>
                <w:rFonts w:cs="Arial"/>
                <w:b/>
                <w:bCs/>
              </w:rPr>
              <w:t>Редки</w:t>
            </w:r>
          </w:p>
        </w:tc>
        <w:tc>
          <w:tcPr>
            <w:tcW w:w="2002" w:type="dxa"/>
          </w:tcPr>
          <w:p w14:paraId="2F6BAB4E" w14:textId="1EB98E71" w:rsidR="0029327E" w:rsidRPr="0029327E" w:rsidRDefault="0029327E" w:rsidP="0029327E">
            <w:pPr>
              <w:rPr>
                <w:rFonts w:cs="Arial"/>
                <w:b/>
                <w:bCs/>
              </w:rPr>
            </w:pPr>
            <w:r w:rsidRPr="0029327E">
              <w:rPr>
                <w:rFonts w:cs="Arial"/>
                <w:b/>
                <w:bCs/>
              </w:rPr>
              <w:t>С неизвестна честота</w:t>
            </w:r>
          </w:p>
        </w:tc>
      </w:tr>
      <w:tr w:rsidR="0029327E" w14:paraId="6BFB626D" w14:textId="77777777" w:rsidTr="0029327E">
        <w:tc>
          <w:tcPr>
            <w:tcW w:w="2364" w:type="dxa"/>
          </w:tcPr>
          <w:p w14:paraId="659B1102" w14:textId="4F9A56A6" w:rsidR="0029327E" w:rsidRPr="0029327E" w:rsidRDefault="0029327E" w:rsidP="0029327E">
            <w:pPr>
              <w:rPr>
                <w:rFonts w:cs="Arial"/>
              </w:rPr>
            </w:pPr>
            <w:r w:rsidRPr="0029327E">
              <w:rPr>
                <w:rFonts w:cs="Arial"/>
              </w:rPr>
              <w:t xml:space="preserve">Нарушения на кръвта </w:t>
            </w:r>
            <w:r w:rsidRPr="0029327E">
              <w:rPr>
                <w:rFonts w:cs="Arial"/>
                <w:i/>
                <w:iCs/>
              </w:rPr>
              <w:t>и</w:t>
            </w:r>
            <w:r w:rsidRPr="0029327E">
              <w:rPr>
                <w:rFonts w:cs="Arial"/>
              </w:rPr>
              <w:t xml:space="preserve"> лимфната система</w:t>
            </w:r>
          </w:p>
        </w:tc>
        <w:tc>
          <w:tcPr>
            <w:tcW w:w="1854" w:type="dxa"/>
          </w:tcPr>
          <w:p w14:paraId="08E86CD2" w14:textId="77777777" w:rsidR="0029327E" w:rsidRPr="0029327E" w:rsidRDefault="0029327E" w:rsidP="0029327E">
            <w:pPr>
              <w:rPr>
                <w:rFonts w:cs="Arial"/>
              </w:rPr>
            </w:pPr>
          </w:p>
        </w:tc>
        <w:tc>
          <w:tcPr>
            <w:tcW w:w="1891" w:type="dxa"/>
          </w:tcPr>
          <w:p w14:paraId="57A367C4" w14:textId="77777777" w:rsidR="0029327E" w:rsidRPr="0029327E" w:rsidRDefault="0029327E" w:rsidP="0029327E">
            <w:pPr>
              <w:rPr>
                <w:rFonts w:cs="Arial"/>
              </w:rPr>
            </w:pPr>
          </w:p>
        </w:tc>
        <w:tc>
          <w:tcPr>
            <w:tcW w:w="1465" w:type="dxa"/>
          </w:tcPr>
          <w:p w14:paraId="32D09BE0" w14:textId="77777777" w:rsidR="0029327E" w:rsidRPr="0029327E" w:rsidRDefault="0029327E" w:rsidP="0029327E">
            <w:pPr>
              <w:rPr>
                <w:rFonts w:cs="Arial"/>
              </w:rPr>
            </w:pPr>
          </w:p>
        </w:tc>
        <w:tc>
          <w:tcPr>
            <w:tcW w:w="2002" w:type="dxa"/>
          </w:tcPr>
          <w:p w14:paraId="07F8B9C5" w14:textId="6EFAF0B9" w:rsidR="0029327E" w:rsidRPr="0029327E" w:rsidRDefault="0029327E" w:rsidP="0029327E">
            <w:pPr>
              <w:rPr>
                <w:rFonts w:cs="Arial"/>
              </w:rPr>
            </w:pPr>
            <w:r w:rsidRPr="0029327E">
              <w:rPr>
                <w:rFonts w:cs="Arial"/>
              </w:rPr>
              <w:t>Агранулоцитоза Левкопения</w:t>
            </w:r>
          </w:p>
        </w:tc>
      </w:tr>
      <w:tr w:rsidR="0029327E" w14:paraId="719136BF" w14:textId="77777777" w:rsidTr="0029327E">
        <w:tc>
          <w:tcPr>
            <w:tcW w:w="2364" w:type="dxa"/>
          </w:tcPr>
          <w:p w14:paraId="25FBE1B7" w14:textId="2BF1E1EB" w:rsidR="0029327E" w:rsidRPr="0029327E" w:rsidRDefault="0029327E" w:rsidP="0029327E">
            <w:pPr>
              <w:rPr>
                <w:rFonts w:cs="Arial"/>
              </w:rPr>
            </w:pPr>
            <w:r w:rsidRPr="0029327E">
              <w:rPr>
                <w:rFonts w:cs="Arial"/>
              </w:rPr>
              <w:t>Нарушения на имунната система</w:t>
            </w:r>
          </w:p>
        </w:tc>
        <w:tc>
          <w:tcPr>
            <w:tcW w:w="1854" w:type="dxa"/>
          </w:tcPr>
          <w:p w14:paraId="4B0EF588" w14:textId="77777777" w:rsidR="0029327E" w:rsidRPr="0029327E" w:rsidRDefault="0029327E" w:rsidP="0029327E">
            <w:pPr>
              <w:rPr>
                <w:rFonts w:cs="Arial"/>
              </w:rPr>
            </w:pPr>
          </w:p>
        </w:tc>
        <w:tc>
          <w:tcPr>
            <w:tcW w:w="1891" w:type="dxa"/>
          </w:tcPr>
          <w:p w14:paraId="7974BFD2" w14:textId="77777777" w:rsidR="0029327E" w:rsidRPr="0029327E" w:rsidRDefault="0029327E" w:rsidP="0029327E">
            <w:pPr>
              <w:rPr>
                <w:rFonts w:cs="Arial"/>
              </w:rPr>
            </w:pPr>
            <w:r w:rsidRPr="0029327E">
              <w:rPr>
                <w:rFonts w:cs="Arial"/>
              </w:rPr>
              <w:t>Алергична реакция,</w:t>
            </w:r>
          </w:p>
          <w:p w14:paraId="17EE4A42" w14:textId="0EEFD81F" w:rsidR="0029327E" w:rsidRPr="0029327E" w:rsidRDefault="0029327E" w:rsidP="0029327E">
            <w:pPr>
              <w:rPr>
                <w:rFonts w:cs="Arial"/>
              </w:rPr>
            </w:pPr>
            <w:r w:rsidRPr="0029327E">
              <w:rPr>
                <w:rFonts w:cs="Arial"/>
              </w:rPr>
              <w:t>алергичен оток/ ангионевротичен оток (в т.ч. оток на ларинкса</w:t>
            </w:r>
            <w:r w:rsidRPr="0029327E">
              <w:rPr>
                <w:rFonts w:cs="Arial"/>
                <w:vertAlign w:val="superscript"/>
              </w:rPr>
              <w:t>1</w:t>
            </w:r>
            <w:r w:rsidRPr="0029327E">
              <w:rPr>
                <w:rFonts w:cs="Arial"/>
              </w:rPr>
              <w:t>)</w:t>
            </w:r>
          </w:p>
        </w:tc>
        <w:tc>
          <w:tcPr>
            <w:tcW w:w="1465" w:type="dxa"/>
          </w:tcPr>
          <w:p w14:paraId="2BA39660" w14:textId="2242E86B" w:rsidR="0029327E" w:rsidRPr="0029327E" w:rsidRDefault="0029327E" w:rsidP="0029327E">
            <w:pPr>
              <w:rPr>
                <w:rFonts w:cs="Arial"/>
              </w:rPr>
            </w:pPr>
            <w:r w:rsidRPr="0029327E">
              <w:rPr>
                <w:rFonts w:cs="Arial"/>
              </w:rPr>
              <w:t>Сърбеж Уртикария Обрив</w:t>
            </w:r>
          </w:p>
        </w:tc>
        <w:tc>
          <w:tcPr>
            <w:tcW w:w="2002" w:type="dxa"/>
          </w:tcPr>
          <w:p w14:paraId="3DCCB6E5" w14:textId="7BDB0B76" w:rsidR="0029327E" w:rsidRPr="0029327E" w:rsidRDefault="0029327E" w:rsidP="0029327E">
            <w:pPr>
              <w:rPr>
                <w:rFonts w:cs="Arial"/>
              </w:rPr>
            </w:pPr>
            <w:r w:rsidRPr="0029327E">
              <w:rPr>
                <w:rFonts w:cs="Arial"/>
              </w:rPr>
              <w:t>Анафилактична/ анафилактоидна реакция</w:t>
            </w:r>
          </w:p>
        </w:tc>
      </w:tr>
      <w:tr w:rsidR="0029327E" w14:paraId="604E4305" w14:textId="77777777" w:rsidTr="0029327E">
        <w:tc>
          <w:tcPr>
            <w:tcW w:w="2364" w:type="dxa"/>
          </w:tcPr>
          <w:p w14:paraId="6AEE2922" w14:textId="1D53AFB8" w:rsidR="0029327E" w:rsidRPr="0029327E" w:rsidRDefault="0029327E" w:rsidP="0029327E">
            <w:pPr>
              <w:rPr>
                <w:rFonts w:cs="Arial"/>
              </w:rPr>
            </w:pPr>
            <w:r w:rsidRPr="0029327E">
              <w:rPr>
                <w:rFonts w:cs="Arial"/>
              </w:rPr>
              <w:t>Психични нарушения</w:t>
            </w:r>
          </w:p>
        </w:tc>
        <w:tc>
          <w:tcPr>
            <w:tcW w:w="1854" w:type="dxa"/>
          </w:tcPr>
          <w:p w14:paraId="4DACDEFC" w14:textId="77777777" w:rsidR="0029327E" w:rsidRPr="0029327E" w:rsidRDefault="0029327E" w:rsidP="0029327E">
            <w:pPr>
              <w:rPr>
                <w:rFonts w:cs="Arial"/>
              </w:rPr>
            </w:pPr>
          </w:p>
        </w:tc>
        <w:tc>
          <w:tcPr>
            <w:tcW w:w="1891" w:type="dxa"/>
          </w:tcPr>
          <w:p w14:paraId="7BF33718" w14:textId="2E88F771" w:rsidR="0029327E" w:rsidRPr="0029327E" w:rsidRDefault="0029327E" w:rsidP="0029327E">
            <w:pPr>
              <w:rPr>
                <w:rFonts w:cs="Arial"/>
              </w:rPr>
            </w:pPr>
            <w:r w:rsidRPr="0029327E">
              <w:rPr>
                <w:rFonts w:cs="Arial"/>
              </w:rPr>
              <w:t xml:space="preserve">Реакции на тревожност </w:t>
            </w:r>
            <w:r w:rsidRPr="0029327E">
              <w:rPr>
                <w:rFonts w:cs="Arial"/>
              </w:rPr>
              <w:lastRenderedPageBreak/>
              <w:t>Нарушения на съня</w:t>
            </w:r>
          </w:p>
        </w:tc>
        <w:tc>
          <w:tcPr>
            <w:tcW w:w="1465" w:type="dxa"/>
          </w:tcPr>
          <w:p w14:paraId="3C9593D9" w14:textId="77777777" w:rsidR="0029327E" w:rsidRPr="0029327E" w:rsidRDefault="0029327E" w:rsidP="0029327E">
            <w:pPr>
              <w:rPr>
                <w:rFonts w:cs="Arial"/>
              </w:rPr>
            </w:pPr>
          </w:p>
        </w:tc>
        <w:tc>
          <w:tcPr>
            <w:tcW w:w="2002" w:type="dxa"/>
          </w:tcPr>
          <w:p w14:paraId="5155B6AF" w14:textId="77777777" w:rsidR="0029327E" w:rsidRPr="0029327E" w:rsidRDefault="0029327E" w:rsidP="0029327E">
            <w:pPr>
              <w:rPr>
                <w:rFonts w:cs="Arial"/>
              </w:rPr>
            </w:pPr>
          </w:p>
        </w:tc>
      </w:tr>
      <w:tr w:rsidR="0029327E" w14:paraId="3BBA5FE5" w14:textId="77777777" w:rsidTr="0029327E">
        <w:tc>
          <w:tcPr>
            <w:tcW w:w="2364" w:type="dxa"/>
            <w:vAlign w:val="bottom"/>
          </w:tcPr>
          <w:p w14:paraId="356E02CA" w14:textId="459A28B9" w:rsidR="0029327E" w:rsidRPr="0029327E" w:rsidRDefault="0029327E" w:rsidP="0029327E">
            <w:pPr>
              <w:rPr>
                <w:rFonts w:cs="Arial"/>
              </w:rPr>
            </w:pPr>
            <w:r w:rsidRPr="0029327E">
              <w:rPr>
                <w:rFonts w:cs="Arial"/>
              </w:rPr>
              <w:t>Нарушения на метаболизма и храненето</w:t>
            </w:r>
          </w:p>
        </w:tc>
        <w:tc>
          <w:tcPr>
            <w:tcW w:w="1854" w:type="dxa"/>
          </w:tcPr>
          <w:p w14:paraId="586DCF68" w14:textId="77777777" w:rsidR="0029327E" w:rsidRPr="0029327E" w:rsidRDefault="0029327E" w:rsidP="0029327E">
            <w:pPr>
              <w:rPr>
                <w:rFonts w:cs="Arial"/>
              </w:rPr>
            </w:pPr>
          </w:p>
        </w:tc>
        <w:tc>
          <w:tcPr>
            <w:tcW w:w="1891" w:type="dxa"/>
          </w:tcPr>
          <w:p w14:paraId="07BAA253" w14:textId="77777777" w:rsidR="0029327E" w:rsidRPr="0029327E" w:rsidRDefault="0029327E" w:rsidP="0029327E">
            <w:pPr>
              <w:rPr>
                <w:rFonts w:cs="Arial"/>
              </w:rPr>
            </w:pPr>
          </w:p>
        </w:tc>
        <w:tc>
          <w:tcPr>
            <w:tcW w:w="1465" w:type="dxa"/>
          </w:tcPr>
          <w:p w14:paraId="1DF1FFF4" w14:textId="77777777" w:rsidR="0029327E" w:rsidRPr="0029327E" w:rsidRDefault="0029327E" w:rsidP="0029327E">
            <w:pPr>
              <w:rPr>
                <w:rFonts w:cs="Arial"/>
              </w:rPr>
            </w:pPr>
          </w:p>
        </w:tc>
        <w:tc>
          <w:tcPr>
            <w:tcW w:w="2002" w:type="dxa"/>
          </w:tcPr>
          <w:p w14:paraId="67F4F726" w14:textId="461925FC" w:rsidR="0029327E" w:rsidRPr="0029327E" w:rsidRDefault="0029327E" w:rsidP="0029327E">
            <w:pPr>
              <w:rPr>
                <w:rFonts w:cs="Arial"/>
              </w:rPr>
            </w:pPr>
            <w:r w:rsidRPr="0029327E">
              <w:rPr>
                <w:rFonts w:cs="Arial"/>
              </w:rPr>
              <w:t>Хипергликемия</w:t>
            </w:r>
          </w:p>
        </w:tc>
      </w:tr>
      <w:tr w:rsidR="0029327E" w14:paraId="170C92D2" w14:textId="77777777" w:rsidTr="0029327E">
        <w:tc>
          <w:tcPr>
            <w:tcW w:w="2364" w:type="dxa"/>
          </w:tcPr>
          <w:p w14:paraId="77FDAE07" w14:textId="4DD31A26" w:rsidR="0029327E" w:rsidRPr="0029327E" w:rsidRDefault="0029327E" w:rsidP="0029327E">
            <w:pPr>
              <w:rPr>
                <w:rFonts w:cs="Arial"/>
              </w:rPr>
            </w:pPr>
            <w:r w:rsidRPr="0029327E">
              <w:rPr>
                <w:rFonts w:cs="Arial"/>
              </w:rPr>
              <w:t>Нарушения на нервната система</w:t>
            </w:r>
          </w:p>
        </w:tc>
        <w:tc>
          <w:tcPr>
            <w:tcW w:w="1854" w:type="dxa"/>
          </w:tcPr>
          <w:p w14:paraId="5A0A3A94" w14:textId="369F0955" w:rsidR="0029327E" w:rsidRPr="0029327E" w:rsidRDefault="0029327E" w:rsidP="0029327E">
            <w:pPr>
              <w:rPr>
                <w:rFonts w:cs="Arial"/>
              </w:rPr>
            </w:pPr>
            <w:r w:rsidRPr="0029327E">
              <w:rPr>
                <w:rFonts w:cs="Arial"/>
              </w:rPr>
              <w:t>Главоболие</w:t>
            </w:r>
          </w:p>
        </w:tc>
        <w:tc>
          <w:tcPr>
            <w:tcW w:w="1891" w:type="dxa"/>
            <w:vAlign w:val="bottom"/>
          </w:tcPr>
          <w:p w14:paraId="5576194E" w14:textId="0E35E071" w:rsidR="0029327E" w:rsidRPr="0029327E" w:rsidRDefault="0029327E" w:rsidP="0029327E">
            <w:pPr>
              <w:rPr>
                <w:rFonts w:cs="Arial"/>
              </w:rPr>
            </w:pPr>
            <w:r w:rsidRPr="0029327E">
              <w:rPr>
                <w:rFonts w:cs="Arial"/>
              </w:rPr>
              <w:t>Вертиго Мигрена Замяност Тремор</w:t>
            </w:r>
          </w:p>
        </w:tc>
        <w:tc>
          <w:tcPr>
            <w:tcW w:w="1465" w:type="dxa"/>
          </w:tcPr>
          <w:p w14:paraId="2EB5A180" w14:textId="43F00B5E" w:rsidR="0029327E" w:rsidRPr="0029327E" w:rsidRDefault="0029327E" w:rsidP="0029327E">
            <w:pPr>
              <w:rPr>
                <w:rFonts w:cs="Arial"/>
              </w:rPr>
            </w:pPr>
            <w:r w:rsidRPr="0029327E">
              <w:rPr>
                <w:rFonts w:cs="Arial"/>
              </w:rPr>
              <w:t>Парестезия/ дизестезия</w:t>
            </w:r>
          </w:p>
        </w:tc>
        <w:tc>
          <w:tcPr>
            <w:tcW w:w="2002" w:type="dxa"/>
          </w:tcPr>
          <w:p w14:paraId="6AF0F774" w14:textId="77777777" w:rsidR="0029327E" w:rsidRPr="0029327E" w:rsidRDefault="0029327E" w:rsidP="0029327E">
            <w:pPr>
              <w:rPr>
                <w:rFonts w:cs="Arial"/>
              </w:rPr>
            </w:pPr>
            <w:r w:rsidRPr="0029327E">
              <w:rPr>
                <w:rFonts w:cs="Arial"/>
              </w:rPr>
              <w:t>Хипоестезия</w:t>
            </w:r>
          </w:p>
          <w:p w14:paraId="09016F04" w14:textId="395202F8" w:rsidR="0029327E" w:rsidRPr="0029327E" w:rsidRDefault="0029327E" w:rsidP="0029327E">
            <w:pPr>
              <w:rPr>
                <w:rFonts w:cs="Arial"/>
              </w:rPr>
            </w:pPr>
            <w:r w:rsidRPr="0029327E">
              <w:rPr>
                <w:rFonts w:cs="Arial"/>
              </w:rPr>
              <w:t>Сънливост</w:t>
            </w:r>
          </w:p>
        </w:tc>
      </w:tr>
      <w:tr w:rsidR="0029327E" w14:paraId="4976AB75" w14:textId="77777777" w:rsidTr="0029327E">
        <w:tc>
          <w:tcPr>
            <w:tcW w:w="2364" w:type="dxa"/>
          </w:tcPr>
          <w:p w14:paraId="586935C3" w14:textId="1A48B83E" w:rsidR="0029327E" w:rsidRPr="0029327E" w:rsidRDefault="0029327E" w:rsidP="0029327E">
            <w:pPr>
              <w:rPr>
                <w:rFonts w:cs="Arial"/>
              </w:rPr>
            </w:pPr>
            <w:r w:rsidRPr="0029327E">
              <w:rPr>
                <w:rFonts w:cs="Arial"/>
              </w:rPr>
              <w:t>Нарушения на очите</w:t>
            </w:r>
          </w:p>
        </w:tc>
        <w:tc>
          <w:tcPr>
            <w:tcW w:w="1854" w:type="dxa"/>
          </w:tcPr>
          <w:p w14:paraId="574071E0" w14:textId="77777777" w:rsidR="0029327E" w:rsidRPr="0029327E" w:rsidRDefault="0029327E" w:rsidP="0029327E">
            <w:pPr>
              <w:rPr>
                <w:rFonts w:cs="Arial"/>
              </w:rPr>
            </w:pPr>
          </w:p>
        </w:tc>
        <w:tc>
          <w:tcPr>
            <w:tcW w:w="1891" w:type="dxa"/>
            <w:vAlign w:val="bottom"/>
          </w:tcPr>
          <w:p w14:paraId="5E5D77C3" w14:textId="72D0D552" w:rsidR="0029327E" w:rsidRPr="0029327E" w:rsidRDefault="0029327E" w:rsidP="0029327E">
            <w:pPr>
              <w:rPr>
                <w:rFonts w:cs="Arial"/>
              </w:rPr>
            </w:pPr>
            <w:r w:rsidRPr="0029327E">
              <w:rPr>
                <w:rFonts w:cs="Arial"/>
              </w:rPr>
              <w:t>Зрителни нарушения</w:t>
            </w:r>
          </w:p>
        </w:tc>
        <w:tc>
          <w:tcPr>
            <w:tcW w:w="1465" w:type="dxa"/>
          </w:tcPr>
          <w:p w14:paraId="42C8686E" w14:textId="77777777" w:rsidR="0029327E" w:rsidRPr="0029327E" w:rsidRDefault="0029327E" w:rsidP="0029327E">
            <w:pPr>
              <w:rPr>
                <w:rFonts w:cs="Arial"/>
              </w:rPr>
            </w:pPr>
          </w:p>
        </w:tc>
        <w:tc>
          <w:tcPr>
            <w:tcW w:w="2002" w:type="dxa"/>
          </w:tcPr>
          <w:p w14:paraId="1D5B0FB7" w14:textId="5094B0D6" w:rsidR="0029327E" w:rsidRPr="0029327E" w:rsidRDefault="0029327E" w:rsidP="0029327E">
            <w:pPr>
              <w:rPr>
                <w:rFonts w:cs="Arial"/>
              </w:rPr>
            </w:pPr>
            <w:r w:rsidRPr="0029327E">
              <w:rPr>
                <w:rFonts w:cs="Arial"/>
              </w:rPr>
              <w:t>Болка в очите</w:t>
            </w:r>
          </w:p>
        </w:tc>
      </w:tr>
      <w:tr w:rsidR="0029327E" w14:paraId="7C98E4AD" w14:textId="77777777" w:rsidTr="0029327E">
        <w:tc>
          <w:tcPr>
            <w:tcW w:w="2364" w:type="dxa"/>
          </w:tcPr>
          <w:p w14:paraId="689C8862" w14:textId="7350D9EE" w:rsidR="0029327E" w:rsidRPr="0029327E" w:rsidRDefault="0029327E" w:rsidP="0029327E">
            <w:pPr>
              <w:rPr>
                <w:rFonts w:cs="Arial"/>
              </w:rPr>
            </w:pPr>
            <w:r w:rsidRPr="0029327E">
              <w:rPr>
                <w:rFonts w:cs="Arial"/>
              </w:rPr>
              <w:t>Сърдечни нарушения</w:t>
            </w:r>
          </w:p>
        </w:tc>
        <w:tc>
          <w:tcPr>
            <w:tcW w:w="1854" w:type="dxa"/>
          </w:tcPr>
          <w:p w14:paraId="5829127C" w14:textId="77777777" w:rsidR="0029327E" w:rsidRPr="0029327E" w:rsidRDefault="0029327E" w:rsidP="0029327E">
            <w:pPr>
              <w:rPr>
                <w:rFonts w:cs="Arial"/>
              </w:rPr>
            </w:pPr>
          </w:p>
        </w:tc>
        <w:tc>
          <w:tcPr>
            <w:tcW w:w="1891" w:type="dxa"/>
          </w:tcPr>
          <w:p w14:paraId="3AB6F4B1" w14:textId="7FC577A4" w:rsidR="0029327E" w:rsidRPr="0029327E" w:rsidRDefault="0029327E" w:rsidP="0029327E">
            <w:pPr>
              <w:rPr>
                <w:rFonts w:cs="Arial"/>
              </w:rPr>
            </w:pPr>
            <w:r w:rsidRPr="0029327E">
              <w:rPr>
                <w:rFonts w:cs="Arial"/>
              </w:rPr>
              <w:t>Тахикардия Палпитации</w:t>
            </w:r>
          </w:p>
        </w:tc>
        <w:tc>
          <w:tcPr>
            <w:tcW w:w="1465" w:type="dxa"/>
          </w:tcPr>
          <w:p w14:paraId="17D5F562" w14:textId="77777777" w:rsidR="0029327E" w:rsidRPr="0029327E" w:rsidRDefault="0029327E" w:rsidP="0029327E">
            <w:pPr>
              <w:rPr>
                <w:rFonts w:cs="Arial"/>
              </w:rPr>
            </w:pPr>
          </w:p>
        </w:tc>
        <w:tc>
          <w:tcPr>
            <w:tcW w:w="2002" w:type="dxa"/>
            <w:vAlign w:val="bottom"/>
          </w:tcPr>
          <w:p w14:paraId="0633643B" w14:textId="558BDC44" w:rsidR="0029327E" w:rsidRPr="0029327E" w:rsidRDefault="0029327E" w:rsidP="0029327E">
            <w:pPr>
              <w:rPr>
                <w:rFonts w:cs="Arial"/>
              </w:rPr>
            </w:pPr>
            <w:r w:rsidRPr="0029327E">
              <w:rPr>
                <w:rFonts w:cs="Arial"/>
              </w:rPr>
              <w:t>Болка в гръдния кош (стенокар</w:t>
            </w:r>
            <w:r w:rsidRPr="0029327E">
              <w:rPr>
                <w:rFonts w:cs="Arial"/>
              </w:rPr>
              <w:softHyphen/>
              <w:t>дия)</w:t>
            </w:r>
          </w:p>
        </w:tc>
      </w:tr>
      <w:tr w:rsidR="0029327E" w14:paraId="12C9C044" w14:textId="77777777" w:rsidTr="0029327E">
        <w:tc>
          <w:tcPr>
            <w:tcW w:w="2364" w:type="dxa"/>
          </w:tcPr>
          <w:p w14:paraId="1089B85D" w14:textId="718E091F" w:rsidR="0029327E" w:rsidRPr="0029327E" w:rsidRDefault="0029327E" w:rsidP="0029327E">
            <w:pPr>
              <w:rPr>
                <w:rFonts w:cs="Arial"/>
              </w:rPr>
            </w:pPr>
            <w:r w:rsidRPr="0029327E">
              <w:rPr>
                <w:rFonts w:cs="Arial"/>
              </w:rPr>
              <w:t>Съдови нарушения</w:t>
            </w:r>
          </w:p>
        </w:tc>
        <w:tc>
          <w:tcPr>
            <w:tcW w:w="1854" w:type="dxa"/>
            <w:vAlign w:val="bottom"/>
          </w:tcPr>
          <w:p w14:paraId="0E727079" w14:textId="7100E418" w:rsidR="0029327E" w:rsidRPr="0029327E" w:rsidRDefault="0029327E" w:rsidP="0029327E">
            <w:pPr>
              <w:rPr>
                <w:rFonts w:cs="Arial"/>
              </w:rPr>
            </w:pPr>
            <w:r w:rsidRPr="0029327E">
              <w:rPr>
                <w:rFonts w:cs="Arial"/>
              </w:rPr>
              <w:t>Оток (в т.ч. периферен) Вазодилатация</w:t>
            </w:r>
          </w:p>
        </w:tc>
        <w:tc>
          <w:tcPr>
            <w:tcW w:w="1891" w:type="dxa"/>
          </w:tcPr>
          <w:p w14:paraId="4A3B540B" w14:textId="77777777" w:rsidR="0029327E" w:rsidRPr="0029327E" w:rsidRDefault="0029327E" w:rsidP="0029327E">
            <w:pPr>
              <w:rPr>
                <w:rFonts w:cs="Arial"/>
              </w:rPr>
            </w:pPr>
            <w:r w:rsidRPr="0029327E">
              <w:rPr>
                <w:rFonts w:cs="Arial"/>
              </w:rPr>
              <w:t>Хипотония</w:t>
            </w:r>
          </w:p>
          <w:p w14:paraId="57519DA2" w14:textId="6114166A" w:rsidR="0029327E" w:rsidRPr="0029327E" w:rsidRDefault="0029327E" w:rsidP="0029327E">
            <w:pPr>
              <w:rPr>
                <w:rFonts w:cs="Arial"/>
              </w:rPr>
            </w:pPr>
            <w:r w:rsidRPr="0029327E">
              <w:rPr>
                <w:rFonts w:cs="Arial"/>
              </w:rPr>
              <w:t>Синкоп</w:t>
            </w:r>
          </w:p>
        </w:tc>
        <w:tc>
          <w:tcPr>
            <w:tcW w:w="1465" w:type="dxa"/>
          </w:tcPr>
          <w:p w14:paraId="71193B39" w14:textId="77777777" w:rsidR="0029327E" w:rsidRPr="0029327E" w:rsidRDefault="0029327E" w:rsidP="0029327E">
            <w:pPr>
              <w:rPr>
                <w:rFonts w:cs="Arial"/>
              </w:rPr>
            </w:pPr>
          </w:p>
        </w:tc>
        <w:tc>
          <w:tcPr>
            <w:tcW w:w="2002" w:type="dxa"/>
          </w:tcPr>
          <w:p w14:paraId="7001DEB5" w14:textId="77777777" w:rsidR="0029327E" w:rsidRPr="0029327E" w:rsidRDefault="0029327E" w:rsidP="0029327E">
            <w:pPr>
              <w:rPr>
                <w:rFonts w:cs="Arial"/>
              </w:rPr>
            </w:pPr>
          </w:p>
        </w:tc>
      </w:tr>
      <w:tr w:rsidR="0029327E" w14:paraId="44E4A457" w14:textId="77777777" w:rsidTr="0029327E">
        <w:tc>
          <w:tcPr>
            <w:tcW w:w="2364" w:type="dxa"/>
            <w:vAlign w:val="bottom"/>
          </w:tcPr>
          <w:p w14:paraId="60E1A394" w14:textId="5AACDA57" w:rsidR="0029327E" w:rsidRPr="0029327E" w:rsidRDefault="0029327E" w:rsidP="0029327E">
            <w:pPr>
              <w:rPr>
                <w:rFonts w:cs="Arial"/>
              </w:rPr>
            </w:pPr>
            <w:r w:rsidRPr="0029327E">
              <w:rPr>
                <w:rFonts w:cs="Arial"/>
              </w:rPr>
              <w:t>Респираторни, гръдни и медиастинални нарушения</w:t>
            </w:r>
          </w:p>
        </w:tc>
        <w:tc>
          <w:tcPr>
            <w:tcW w:w="1854" w:type="dxa"/>
          </w:tcPr>
          <w:p w14:paraId="4B4D4B6B" w14:textId="77777777" w:rsidR="0029327E" w:rsidRPr="0029327E" w:rsidRDefault="0029327E" w:rsidP="0029327E">
            <w:pPr>
              <w:rPr>
                <w:rFonts w:cs="Arial"/>
              </w:rPr>
            </w:pPr>
          </w:p>
        </w:tc>
        <w:tc>
          <w:tcPr>
            <w:tcW w:w="1891" w:type="dxa"/>
            <w:vAlign w:val="bottom"/>
          </w:tcPr>
          <w:p w14:paraId="6F531BDD" w14:textId="344122C8" w:rsidR="0029327E" w:rsidRPr="0029327E" w:rsidRDefault="0029327E" w:rsidP="0029327E">
            <w:pPr>
              <w:rPr>
                <w:rFonts w:cs="Arial"/>
              </w:rPr>
            </w:pPr>
            <w:r w:rsidRPr="0029327E">
              <w:rPr>
                <w:rFonts w:cs="Arial"/>
              </w:rPr>
              <w:t>Кръвотечение от носа Назална конгестия</w:t>
            </w:r>
          </w:p>
        </w:tc>
        <w:tc>
          <w:tcPr>
            <w:tcW w:w="1465" w:type="dxa"/>
          </w:tcPr>
          <w:p w14:paraId="6260DEE0" w14:textId="77777777" w:rsidR="0029327E" w:rsidRPr="0029327E" w:rsidRDefault="0029327E" w:rsidP="0029327E">
            <w:pPr>
              <w:rPr>
                <w:rFonts w:cs="Arial"/>
              </w:rPr>
            </w:pPr>
          </w:p>
        </w:tc>
        <w:tc>
          <w:tcPr>
            <w:tcW w:w="2002" w:type="dxa"/>
          </w:tcPr>
          <w:p w14:paraId="39531F4D" w14:textId="41E03111" w:rsidR="0029327E" w:rsidRPr="0029327E" w:rsidRDefault="0029327E" w:rsidP="0029327E">
            <w:pPr>
              <w:rPr>
                <w:rFonts w:cs="Arial"/>
              </w:rPr>
            </w:pPr>
            <w:r w:rsidRPr="0029327E">
              <w:rPr>
                <w:rFonts w:cs="Arial"/>
              </w:rPr>
              <w:t>Диспнея, Белодробен оток*</w:t>
            </w:r>
          </w:p>
        </w:tc>
      </w:tr>
      <w:tr w:rsidR="0029327E" w14:paraId="3A138D76" w14:textId="77777777" w:rsidTr="0029327E">
        <w:tc>
          <w:tcPr>
            <w:tcW w:w="2364" w:type="dxa"/>
          </w:tcPr>
          <w:p w14:paraId="12816F81" w14:textId="50C72DEB" w:rsidR="0029327E" w:rsidRPr="0029327E" w:rsidRDefault="0029327E" w:rsidP="0029327E">
            <w:pPr>
              <w:rPr>
                <w:rFonts w:cs="Arial"/>
              </w:rPr>
            </w:pPr>
            <w:r w:rsidRPr="0029327E">
              <w:rPr>
                <w:rFonts w:cs="Arial"/>
              </w:rPr>
              <w:t>Стомашно-чревни нарушения</w:t>
            </w:r>
          </w:p>
        </w:tc>
        <w:tc>
          <w:tcPr>
            <w:tcW w:w="1854" w:type="dxa"/>
          </w:tcPr>
          <w:p w14:paraId="0A9F6FCC" w14:textId="04397AEC" w:rsidR="0029327E" w:rsidRPr="0029327E" w:rsidRDefault="0029327E" w:rsidP="0029327E">
            <w:pPr>
              <w:rPr>
                <w:rFonts w:cs="Arial"/>
              </w:rPr>
            </w:pPr>
            <w:r w:rsidRPr="0029327E">
              <w:rPr>
                <w:rFonts w:cs="Arial"/>
              </w:rPr>
              <w:t>Констипация</w:t>
            </w:r>
          </w:p>
        </w:tc>
        <w:tc>
          <w:tcPr>
            <w:tcW w:w="1891" w:type="dxa"/>
          </w:tcPr>
          <w:p w14:paraId="2190A6F9" w14:textId="2C2D6E73" w:rsidR="0029327E" w:rsidRPr="0029327E" w:rsidRDefault="0029327E" w:rsidP="0029327E">
            <w:pPr>
              <w:rPr>
                <w:rFonts w:cs="Arial"/>
              </w:rPr>
            </w:pPr>
            <w:r w:rsidRPr="0029327E">
              <w:rPr>
                <w:rFonts w:cs="Arial"/>
              </w:rPr>
              <w:t>Болка в стомаха и корема Гадене Диспепсия Метеоризъм Сухота в устата</w:t>
            </w:r>
          </w:p>
        </w:tc>
        <w:tc>
          <w:tcPr>
            <w:tcW w:w="1465" w:type="dxa"/>
          </w:tcPr>
          <w:p w14:paraId="45626B55" w14:textId="65F30CE3" w:rsidR="0029327E" w:rsidRPr="0029327E" w:rsidRDefault="0029327E" w:rsidP="0029327E">
            <w:pPr>
              <w:rPr>
                <w:rFonts w:cs="Arial"/>
              </w:rPr>
            </w:pPr>
            <w:r w:rsidRPr="0029327E">
              <w:rPr>
                <w:rFonts w:cs="Arial"/>
              </w:rPr>
              <w:t>Гингивална хиперплазия</w:t>
            </w:r>
          </w:p>
        </w:tc>
        <w:tc>
          <w:tcPr>
            <w:tcW w:w="2002" w:type="dxa"/>
          </w:tcPr>
          <w:p w14:paraId="6BBC83A7" w14:textId="38425BDF" w:rsidR="0029327E" w:rsidRPr="0029327E" w:rsidRDefault="0029327E" w:rsidP="0029327E">
            <w:pPr>
              <w:rPr>
                <w:rFonts w:cs="Arial"/>
              </w:rPr>
            </w:pPr>
            <w:r w:rsidRPr="0029327E">
              <w:rPr>
                <w:rFonts w:cs="Arial"/>
              </w:rPr>
              <w:t>Повръщане Гастроезофагеал- на сфинктерна недостатъчност</w:t>
            </w:r>
          </w:p>
        </w:tc>
      </w:tr>
      <w:tr w:rsidR="0029327E" w14:paraId="361D4133" w14:textId="77777777" w:rsidTr="0029327E">
        <w:tc>
          <w:tcPr>
            <w:tcW w:w="2364" w:type="dxa"/>
          </w:tcPr>
          <w:p w14:paraId="1B26C202" w14:textId="64CB5A11" w:rsidR="0029327E" w:rsidRPr="0029327E" w:rsidRDefault="0029327E" w:rsidP="0029327E">
            <w:pPr>
              <w:rPr>
                <w:rFonts w:cs="Arial"/>
              </w:rPr>
            </w:pPr>
            <w:r w:rsidRPr="0029327E">
              <w:rPr>
                <w:rFonts w:cs="Arial"/>
              </w:rPr>
              <w:t>Хепатобилиарни нарушения</w:t>
            </w:r>
          </w:p>
        </w:tc>
        <w:tc>
          <w:tcPr>
            <w:tcW w:w="1854" w:type="dxa"/>
          </w:tcPr>
          <w:p w14:paraId="38ED8DE9" w14:textId="77777777" w:rsidR="0029327E" w:rsidRPr="0029327E" w:rsidRDefault="0029327E" w:rsidP="0029327E">
            <w:pPr>
              <w:rPr>
                <w:rFonts w:cs="Arial"/>
              </w:rPr>
            </w:pPr>
          </w:p>
        </w:tc>
        <w:tc>
          <w:tcPr>
            <w:tcW w:w="1891" w:type="dxa"/>
            <w:vAlign w:val="bottom"/>
          </w:tcPr>
          <w:p w14:paraId="0C69EC8E" w14:textId="684B3922" w:rsidR="0029327E" w:rsidRPr="0029327E" w:rsidRDefault="0029327E" w:rsidP="0029327E">
            <w:pPr>
              <w:rPr>
                <w:rFonts w:cs="Arial"/>
              </w:rPr>
            </w:pPr>
            <w:r w:rsidRPr="0029327E">
              <w:rPr>
                <w:rFonts w:cs="Arial"/>
              </w:rPr>
              <w:t>Преходно повишение на чернодробните ензими</w:t>
            </w:r>
          </w:p>
        </w:tc>
        <w:tc>
          <w:tcPr>
            <w:tcW w:w="1465" w:type="dxa"/>
          </w:tcPr>
          <w:p w14:paraId="56A4ACF2" w14:textId="77777777" w:rsidR="0029327E" w:rsidRPr="0029327E" w:rsidRDefault="0029327E" w:rsidP="0029327E">
            <w:pPr>
              <w:rPr>
                <w:rFonts w:cs="Arial"/>
              </w:rPr>
            </w:pPr>
          </w:p>
        </w:tc>
        <w:tc>
          <w:tcPr>
            <w:tcW w:w="2002" w:type="dxa"/>
          </w:tcPr>
          <w:p w14:paraId="068BA3F2" w14:textId="28DBA9F7" w:rsidR="0029327E" w:rsidRPr="0029327E" w:rsidRDefault="0029327E" w:rsidP="0029327E">
            <w:pPr>
              <w:rPr>
                <w:rFonts w:cs="Arial"/>
              </w:rPr>
            </w:pPr>
            <w:r w:rsidRPr="0029327E">
              <w:rPr>
                <w:rFonts w:cs="Arial"/>
              </w:rPr>
              <w:t>Жълтеница</w:t>
            </w:r>
          </w:p>
        </w:tc>
      </w:tr>
      <w:tr w:rsidR="0029327E" w14:paraId="21AA36C8" w14:textId="77777777" w:rsidTr="0029327E">
        <w:tc>
          <w:tcPr>
            <w:tcW w:w="2364" w:type="dxa"/>
          </w:tcPr>
          <w:p w14:paraId="1B5B038B" w14:textId="0E142FB1" w:rsidR="0029327E" w:rsidRPr="0029327E" w:rsidRDefault="0029327E" w:rsidP="0029327E">
            <w:pPr>
              <w:rPr>
                <w:rFonts w:cs="Arial"/>
              </w:rPr>
            </w:pPr>
            <w:r w:rsidRPr="0029327E">
              <w:rPr>
                <w:rFonts w:cs="Arial"/>
              </w:rPr>
              <w:t>Нарушения на кожата и подкожната тъкан</w:t>
            </w:r>
          </w:p>
        </w:tc>
        <w:tc>
          <w:tcPr>
            <w:tcW w:w="1854" w:type="dxa"/>
          </w:tcPr>
          <w:p w14:paraId="0DA39FF3" w14:textId="77777777" w:rsidR="0029327E" w:rsidRPr="0029327E" w:rsidRDefault="0029327E" w:rsidP="0029327E">
            <w:pPr>
              <w:rPr>
                <w:rFonts w:cs="Arial"/>
              </w:rPr>
            </w:pPr>
          </w:p>
        </w:tc>
        <w:tc>
          <w:tcPr>
            <w:tcW w:w="1891" w:type="dxa"/>
          </w:tcPr>
          <w:p w14:paraId="593BE672" w14:textId="37764D4D" w:rsidR="0029327E" w:rsidRPr="0029327E" w:rsidRDefault="0029327E" w:rsidP="0029327E">
            <w:pPr>
              <w:rPr>
                <w:rFonts w:cs="Arial"/>
              </w:rPr>
            </w:pPr>
            <w:r w:rsidRPr="0029327E">
              <w:rPr>
                <w:rFonts w:cs="Arial"/>
              </w:rPr>
              <w:t>Еритем</w:t>
            </w:r>
          </w:p>
        </w:tc>
        <w:tc>
          <w:tcPr>
            <w:tcW w:w="1465" w:type="dxa"/>
          </w:tcPr>
          <w:p w14:paraId="6A0493F4" w14:textId="77777777" w:rsidR="0029327E" w:rsidRPr="0029327E" w:rsidRDefault="0029327E" w:rsidP="0029327E">
            <w:pPr>
              <w:rPr>
                <w:rFonts w:cs="Arial"/>
              </w:rPr>
            </w:pPr>
          </w:p>
        </w:tc>
        <w:tc>
          <w:tcPr>
            <w:tcW w:w="2002" w:type="dxa"/>
            <w:vAlign w:val="bottom"/>
          </w:tcPr>
          <w:p w14:paraId="4CACF119" w14:textId="50805F0F" w:rsidR="0029327E" w:rsidRPr="0029327E" w:rsidRDefault="0029327E" w:rsidP="0029327E">
            <w:pPr>
              <w:rPr>
                <w:rFonts w:cs="Arial"/>
              </w:rPr>
            </w:pPr>
            <w:r w:rsidRPr="0029327E">
              <w:rPr>
                <w:rFonts w:cs="Arial"/>
              </w:rPr>
              <w:t>Токсична епидермална некролиза Алергична реакция поради чувствителност към светлина Изразена пурпура</w:t>
            </w:r>
          </w:p>
        </w:tc>
      </w:tr>
      <w:tr w:rsidR="0029327E" w14:paraId="25195F0C" w14:textId="77777777" w:rsidTr="0029327E">
        <w:tc>
          <w:tcPr>
            <w:tcW w:w="2364" w:type="dxa"/>
            <w:vAlign w:val="bottom"/>
          </w:tcPr>
          <w:p w14:paraId="1A04634F" w14:textId="67CBA55A" w:rsidR="0029327E" w:rsidRPr="0029327E" w:rsidRDefault="0029327E" w:rsidP="0029327E">
            <w:pPr>
              <w:rPr>
                <w:rFonts w:cs="Arial"/>
              </w:rPr>
            </w:pPr>
            <w:r w:rsidRPr="0029327E">
              <w:rPr>
                <w:rFonts w:cs="Arial"/>
              </w:rPr>
              <w:t>Нарушения на мускулно- скелетната система и съединителната тъкан</w:t>
            </w:r>
          </w:p>
        </w:tc>
        <w:tc>
          <w:tcPr>
            <w:tcW w:w="1854" w:type="dxa"/>
          </w:tcPr>
          <w:p w14:paraId="3562A092" w14:textId="77777777" w:rsidR="0029327E" w:rsidRPr="0029327E" w:rsidRDefault="0029327E" w:rsidP="0029327E">
            <w:pPr>
              <w:rPr>
                <w:rFonts w:cs="Arial"/>
              </w:rPr>
            </w:pPr>
          </w:p>
        </w:tc>
        <w:tc>
          <w:tcPr>
            <w:tcW w:w="1891" w:type="dxa"/>
          </w:tcPr>
          <w:p w14:paraId="23B6D6D6" w14:textId="0A9364E9" w:rsidR="0029327E" w:rsidRPr="0029327E" w:rsidRDefault="0029327E" w:rsidP="0029327E">
            <w:pPr>
              <w:rPr>
                <w:rFonts w:cs="Arial"/>
              </w:rPr>
            </w:pPr>
            <w:r w:rsidRPr="0029327E">
              <w:rPr>
                <w:rFonts w:cs="Arial"/>
              </w:rPr>
              <w:t>Мускулни крампи Подуване на ставите</w:t>
            </w:r>
          </w:p>
        </w:tc>
        <w:tc>
          <w:tcPr>
            <w:tcW w:w="1465" w:type="dxa"/>
          </w:tcPr>
          <w:p w14:paraId="385C8265" w14:textId="77777777" w:rsidR="0029327E" w:rsidRPr="0029327E" w:rsidRDefault="0029327E" w:rsidP="0029327E">
            <w:pPr>
              <w:rPr>
                <w:rFonts w:cs="Arial"/>
              </w:rPr>
            </w:pPr>
          </w:p>
        </w:tc>
        <w:tc>
          <w:tcPr>
            <w:tcW w:w="2002" w:type="dxa"/>
          </w:tcPr>
          <w:p w14:paraId="50032E70" w14:textId="5392F1BF" w:rsidR="0029327E" w:rsidRPr="0029327E" w:rsidRDefault="0029327E" w:rsidP="0029327E">
            <w:pPr>
              <w:rPr>
                <w:rFonts w:cs="Arial"/>
              </w:rPr>
            </w:pPr>
            <w:r w:rsidRPr="0029327E">
              <w:rPr>
                <w:rFonts w:cs="Arial"/>
              </w:rPr>
              <w:t>Артралгия Миалгия</w:t>
            </w:r>
          </w:p>
        </w:tc>
      </w:tr>
      <w:tr w:rsidR="0029327E" w14:paraId="496AAADE" w14:textId="77777777" w:rsidTr="0029327E">
        <w:tc>
          <w:tcPr>
            <w:tcW w:w="2364" w:type="dxa"/>
            <w:vAlign w:val="bottom"/>
          </w:tcPr>
          <w:p w14:paraId="59601976" w14:textId="47510194" w:rsidR="0029327E" w:rsidRPr="0029327E" w:rsidRDefault="0029327E" w:rsidP="0029327E">
            <w:pPr>
              <w:rPr>
                <w:rFonts w:cs="Arial"/>
              </w:rPr>
            </w:pPr>
            <w:r w:rsidRPr="0029327E">
              <w:rPr>
                <w:rFonts w:cs="Arial"/>
              </w:rPr>
              <w:t xml:space="preserve">Нарушения на бъбреците и </w:t>
            </w:r>
            <w:r w:rsidRPr="0029327E">
              <w:rPr>
                <w:rFonts w:cs="Arial"/>
              </w:rPr>
              <w:lastRenderedPageBreak/>
              <w:t>пикочните пътища</w:t>
            </w:r>
          </w:p>
        </w:tc>
        <w:tc>
          <w:tcPr>
            <w:tcW w:w="1854" w:type="dxa"/>
          </w:tcPr>
          <w:p w14:paraId="56BDB65B" w14:textId="77777777" w:rsidR="0029327E" w:rsidRPr="0029327E" w:rsidRDefault="0029327E" w:rsidP="0029327E">
            <w:pPr>
              <w:rPr>
                <w:rFonts w:cs="Arial"/>
              </w:rPr>
            </w:pPr>
          </w:p>
        </w:tc>
        <w:tc>
          <w:tcPr>
            <w:tcW w:w="1891" w:type="dxa"/>
          </w:tcPr>
          <w:p w14:paraId="09B678C4" w14:textId="77777777" w:rsidR="0029327E" w:rsidRPr="0029327E" w:rsidRDefault="0029327E" w:rsidP="0029327E">
            <w:pPr>
              <w:rPr>
                <w:rFonts w:cs="Arial"/>
              </w:rPr>
            </w:pPr>
            <w:r w:rsidRPr="0029327E">
              <w:rPr>
                <w:rFonts w:cs="Arial"/>
              </w:rPr>
              <w:t>Полиурия</w:t>
            </w:r>
          </w:p>
          <w:p w14:paraId="4709AFE1" w14:textId="38439D31" w:rsidR="0029327E" w:rsidRPr="0029327E" w:rsidRDefault="0029327E" w:rsidP="0029327E">
            <w:pPr>
              <w:rPr>
                <w:rFonts w:cs="Arial"/>
              </w:rPr>
            </w:pPr>
            <w:r w:rsidRPr="0029327E">
              <w:rPr>
                <w:rFonts w:cs="Arial"/>
              </w:rPr>
              <w:t>Дизурия</w:t>
            </w:r>
          </w:p>
        </w:tc>
        <w:tc>
          <w:tcPr>
            <w:tcW w:w="1465" w:type="dxa"/>
          </w:tcPr>
          <w:p w14:paraId="59AD1704" w14:textId="77777777" w:rsidR="0029327E" w:rsidRPr="0029327E" w:rsidRDefault="0029327E" w:rsidP="0029327E">
            <w:pPr>
              <w:rPr>
                <w:rFonts w:cs="Arial"/>
              </w:rPr>
            </w:pPr>
          </w:p>
        </w:tc>
        <w:tc>
          <w:tcPr>
            <w:tcW w:w="2002" w:type="dxa"/>
          </w:tcPr>
          <w:p w14:paraId="6058CAD8" w14:textId="77777777" w:rsidR="0029327E" w:rsidRPr="0029327E" w:rsidRDefault="0029327E" w:rsidP="0029327E">
            <w:pPr>
              <w:rPr>
                <w:rFonts w:cs="Arial"/>
              </w:rPr>
            </w:pPr>
          </w:p>
        </w:tc>
      </w:tr>
      <w:tr w:rsidR="0029327E" w14:paraId="54912C18" w14:textId="77777777" w:rsidTr="0029327E">
        <w:tc>
          <w:tcPr>
            <w:tcW w:w="2364" w:type="dxa"/>
            <w:vAlign w:val="bottom"/>
          </w:tcPr>
          <w:p w14:paraId="1C29DDCB" w14:textId="14F23E2A" w:rsidR="0029327E" w:rsidRPr="0029327E" w:rsidRDefault="0029327E" w:rsidP="0029327E">
            <w:pPr>
              <w:rPr>
                <w:rFonts w:cs="Arial"/>
              </w:rPr>
            </w:pPr>
            <w:r w:rsidRPr="0029327E">
              <w:rPr>
                <w:rFonts w:cs="Arial"/>
              </w:rPr>
              <w:t>Нарушения на възпроизводителната система и гърдата</w:t>
            </w:r>
          </w:p>
        </w:tc>
        <w:tc>
          <w:tcPr>
            <w:tcW w:w="1854" w:type="dxa"/>
          </w:tcPr>
          <w:p w14:paraId="0D2E71BE" w14:textId="77777777" w:rsidR="0029327E" w:rsidRPr="0029327E" w:rsidRDefault="0029327E" w:rsidP="0029327E">
            <w:pPr>
              <w:rPr>
                <w:rFonts w:cs="Arial"/>
              </w:rPr>
            </w:pPr>
          </w:p>
        </w:tc>
        <w:tc>
          <w:tcPr>
            <w:tcW w:w="1891" w:type="dxa"/>
          </w:tcPr>
          <w:p w14:paraId="49CE33F4" w14:textId="2C47912C" w:rsidR="0029327E" w:rsidRPr="0029327E" w:rsidRDefault="0029327E" w:rsidP="0029327E">
            <w:pPr>
              <w:rPr>
                <w:rFonts w:cs="Arial"/>
              </w:rPr>
            </w:pPr>
            <w:r w:rsidRPr="0029327E">
              <w:rPr>
                <w:rFonts w:cs="Arial"/>
              </w:rPr>
              <w:t>Еректилна дисфункция</w:t>
            </w:r>
          </w:p>
        </w:tc>
        <w:tc>
          <w:tcPr>
            <w:tcW w:w="1465" w:type="dxa"/>
          </w:tcPr>
          <w:p w14:paraId="06ABFEBF" w14:textId="77777777" w:rsidR="0029327E" w:rsidRPr="0029327E" w:rsidRDefault="0029327E" w:rsidP="0029327E">
            <w:pPr>
              <w:rPr>
                <w:rFonts w:cs="Arial"/>
              </w:rPr>
            </w:pPr>
          </w:p>
        </w:tc>
        <w:tc>
          <w:tcPr>
            <w:tcW w:w="2002" w:type="dxa"/>
          </w:tcPr>
          <w:p w14:paraId="0F589678" w14:textId="77777777" w:rsidR="0029327E" w:rsidRPr="0029327E" w:rsidRDefault="0029327E" w:rsidP="0029327E">
            <w:pPr>
              <w:rPr>
                <w:rFonts w:cs="Arial"/>
              </w:rPr>
            </w:pPr>
          </w:p>
        </w:tc>
      </w:tr>
      <w:tr w:rsidR="0029327E" w14:paraId="64EB4CFE" w14:textId="77777777" w:rsidTr="0029327E">
        <w:tc>
          <w:tcPr>
            <w:tcW w:w="2364" w:type="dxa"/>
          </w:tcPr>
          <w:p w14:paraId="60557EE4" w14:textId="50991C80" w:rsidR="0029327E" w:rsidRPr="0029327E" w:rsidRDefault="0029327E" w:rsidP="0029327E">
            <w:pPr>
              <w:rPr>
                <w:rFonts w:cs="Arial"/>
              </w:rPr>
            </w:pPr>
            <w:r w:rsidRPr="0029327E">
              <w:rPr>
                <w:rFonts w:cs="Arial"/>
              </w:rPr>
              <w:t>Общи нарушения и ефекти на мястото на приложение</w:t>
            </w:r>
          </w:p>
        </w:tc>
        <w:tc>
          <w:tcPr>
            <w:tcW w:w="1854" w:type="dxa"/>
          </w:tcPr>
          <w:p w14:paraId="4AF1D96D" w14:textId="1CE73A56" w:rsidR="0029327E" w:rsidRPr="0029327E" w:rsidRDefault="0029327E" w:rsidP="0029327E">
            <w:pPr>
              <w:rPr>
                <w:rFonts w:cs="Arial"/>
              </w:rPr>
            </w:pPr>
            <w:r w:rsidRPr="0029327E">
              <w:rPr>
                <w:rFonts w:cs="Arial"/>
              </w:rPr>
              <w:t>Общо неразположение</w:t>
            </w:r>
          </w:p>
        </w:tc>
        <w:tc>
          <w:tcPr>
            <w:tcW w:w="1891" w:type="dxa"/>
          </w:tcPr>
          <w:p w14:paraId="6DB5B4EE" w14:textId="77777777" w:rsidR="0029327E" w:rsidRPr="0029327E" w:rsidRDefault="0029327E" w:rsidP="0029327E">
            <w:pPr>
              <w:rPr>
                <w:rFonts w:cs="Arial"/>
              </w:rPr>
            </w:pPr>
            <w:r w:rsidRPr="0029327E">
              <w:rPr>
                <w:rFonts w:cs="Arial"/>
              </w:rPr>
              <w:t>Неопределена болка</w:t>
            </w:r>
          </w:p>
          <w:p w14:paraId="3B2F1A51" w14:textId="6EEAF76F" w:rsidR="0029327E" w:rsidRPr="0029327E" w:rsidRDefault="0029327E" w:rsidP="0029327E">
            <w:pPr>
              <w:rPr>
                <w:rFonts w:cs="Arial"/>
              </w:rPr>
            </w:pPr>
            <w:r w:rsidRPr="0029327E">
              <w:rPr>
                <w:rFonts w:cs="Arial"/>
              </w:rPr>
              <w:t>Студени тръпки</w:t>
            </w:r>
          </w:p>
        </w:tc>
        <w:tc>
          <w:tcPr>
            <w:tcW w:w="1465" w:type="dxa"/>
            <w:vAlign w:val="bottom"/>
          </w:tcPr>
          <w:p w14:paraId="19116899" w14:textId="77777777" w:rsidR="0029327E" w:rsidRPr="0029327E" w:rsidRDefault="0029327E" w:rsidP="0029327E">
            <w:pPr>
              <w:rPr>
                <w:rFonts w:cs="Arial"/>
              </w:rPr>
            </w:pPr>
          </w:p>
        </w:tc>
        <w:tc>
          <w:tcPr>
            <w:tcW w:w="2002" w:type="dxa"/>
          </w:tcPr>
          <w:p w14:paraId="4BE680E2" w14:textId="77777777" w:rsidR="0029327E" w:rsidRPr="0029327E" w:rsidRDefault="0029327E" w:rsidP="0029327E">
            <w:pPr>
              <w:rPr>
                <w:rFonts w:cs="Arial"/>
              </w:rPr>
            </w:pPr>
          </w:p>
        </w:tc>
      </w:tr>
    </w:tbl>
    <w:p w14:paraId="787DB7D7"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vertAlign w:val="superscript"/>
          <w:lang w:eastAsia="bg-BG"/>
        </w:rPr>
        <w:t>1</w:t>
      </w:r>
      <w:r w:rsidRPr="0029327E">
        <w:rPr>
          <w:rFonts w:eastAsia="Times New Roman" w:cs="Arial"/>
          <w:color w:val="000000"/>
          <w:lang w:eastAsia="bg-BG"/>
        </w:rPr>
        <w:t>Може да доведе до живото-застрашаващо състояние.</w:t>
      </w:r>
    </w:p>
    <w:p w14:paraId="0A02A24D" w14:textId="75A6DB8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*Докладвани са случаи когато е прилаган като токолитично средство през бременността (виж т. 4.6).</w:t>
      </w:r>
    </w:p>
    <w:p w14:paraId="22192CBB"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При пациенти на диализа със злокачествена хипертония и хиповолемия може да има значителен спад на артериалното налягане в резултат на вазодилатация.</w:t>
      </w:r>
    </w:p>
    <w:p w14:paraId="28A2938B" w14:textId="77777777" w:rsidR="0029327E" w:rsidRPr="0029327E" w:rsidRDefault="0029327E" w:rsidP="0029327E">
      <w:pPr>
        <w:spacing w:line="240" w:lineRule="auto"/>
        <w:rPr>
          <w:rFonts w:eastAsia="Times New Roman" w:cs="Arial"/>
          <w:color w:val="000000"/>
          <w:u w:val="single"/>
          <w:lang w:eastAsia="bg-BG"/>
        </w:rPr>
      </w:pPr>
    </w:p>
    <w:p w14:paraId="3AD5C3B9" w14:textId="2C392DE6" w:rsidR="0029327E" w:rsidRPr="0029327E" w:rsidRDefault="0029327E" w:rsidP="0029327E">
      <w:pPr>
        <w:spacing w:line="240" w:lineRule="auto"/>
        <w:rPr>
          <w:rFonts w:eastAsia="Times New Roman" w:cs="Arial"/>
          <w:lang w:eastAsia="bg-BG"/>
        </w:rPr>
      </w:pPr>
      <w:r w:rsidRPr="0029327E">
        <w:rPr>
          <w:rFonts w:eastAsia="Times New Roman" w:cs="Arial"/>
          <w:color w:val="000000"/>
          <w:u w:val="single"/>
          <w:lang w:eastAsia="bg-BG"/>
        </w:rPr>
        <w:t>Съобщаването на подозирани нежелани реакции</w:t>
      </w:r>
    </w:p>
    <w:p w14:paraId="35C2561E"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пслза/риск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29327E">
        <w:rPr>
          <w:rFonts w:eastAsia="Times New Roman" w:cs="Arial"/>
          <w:lang w:eastAsia="bg-BG"/>
        </w:rPr>
        <w:fldChar w:fldCharType="begin"/>
      </w:r>
      <w:r w:rsidRPr="0029327E">
        <w:rPr>
          <w:rFonts w:eastAsia="Times New Roman" w:cs="Arial"/>
          <w:lang w:eastAsia="bg-BG"/>
        </w:rPr>
        <w:instrText xml:space="preserve"> HYPERLINK "http://www.bda.bg" </w:instrText>
      </w:r>
      <w:r w:rsidRPr="0029327E">
        <w:rPr>
          <w:rFonts w:eastAsia="Times New Roman" w:cs="Arial"/>
          <w:lang w:eastAsia="bg-BG"/>
        </w:rPr>
      </w:r>
      <w:r w:rsidRPr="0029327E">
        <w:rPr>
          <w:rFonts w:eastAsia="Times New Roman" w:cs="Arial"/>
          <w:lang w:eastAsia="bg-BG"/>
        </w:rPr>
        <w:fldChar w:fldCharType="separate"/>
      </w:r>
      <w:r w:rsidRPr="0029327E">
        <w:rPr>
          <w:rFonts w:eastAsia="Times New Roman" w:cs="Arial"/>
          <w:color w:val="000000"/>
          <w:u w:val="single"/>
          <w:lang w:val="en-US"/>
        </w:rPr>
        <w:t>www.bda.bg</w:t>
      </w:r>
      <w:r w:rsidRPr="0029327E">
        <w:rPr>
          <w:rFonts w:eastAsia="Times New Roman" w:cs="Arial"/>
          <w:lang w:eastAsia="bg-BG"/>
        </w:rPr>
        <w:fldChar w:fldCharType="end"/>
      </w:r>
      <w:r w:rsidRPr="0029327E">
        <w:rPr>
          <w:rFonts w:eastAsia="Times New Roman" w:cs="Arial"/>
          <w:color w:val="000000"/>
          <w:lang w:val="en-US"/>
        </w:rPr>
        <w:t>.</w:t>
      </w:r>
    </w:p>
    <w:p w14:paraId="60994B1B" w14:textId="77777777" w:rsidR="0029327E" w:rsidRPr="0029327E" w:rsidRDefault="0029327E" w:rsidP="0029327E"/>
    <w:p w14:paraId="378A0F20" w14:textId="1D40C7DA" w:rsidR="001D095A" w:rsidRDefault="002C50EE" w:rsidP="00340E8D">
      <w:pPr>
        <w:pStyle w:val="Heading2"/>
      </w:pPr>
      <w:r>
        <w:t>4.9. Предозиране</w:t>
      </w:r>
    </w:p>
    <w:p w14:paraId="593FA8C5" w14:textId="7A3A7EB4" w:rsidR="0029327E" w:rsidRDefault="0029327E" w:rsidP="0029327E"/>
    <w:p w14:paraId="407FFF48" w14:textId="77777777" w:rsidR="0029327E" w:rsidRPr="0029327E" w:rsidRDefault="0029327E" w:rsidP="0029327E">
      <w:pPr>
        <w:spacing w:line="240" w:lineRule="auto"/>
        <w:rPr>
          <w:rFonts w:eastAsia="Times New Roman" w:cs="Arial"/>
          <w:u w:val="single"/>
          <w:lang w:eastAsia="bg-BG"/>
        </w:rPr>
      </w:pPr>
      <w:bookmarkStart w:id="1" w:name="bookmark0"/>
      <w:r w:rsidRPr="0029327E">
        <w:rPr>
          <w:rFonts w:eastAsia="Times New Roman" w:cs="Arial"/>
          <w:color w:val="000000"/>
          <w:u w:val="single"/>
          <w:lang w:eastAsia="bg-BG"/>
        </w:rPr>
        <w:t>Симптоми</w:t>
      </w:r>
      <w:bookmarkEnd w:id="1"/>
    </w:p>
    <w:p w14:paraId="09714247"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Следните симптоми са наблюдавани в случаи на тежка интоксикация с нифедипин:</w:t>
      </w:r>
    </w:p>
    <w:p w14:paraId="074F0A30" w14:textId="77777777" w:rsidR="0029327E" w:rsidRPr="0029327E" w:rsidRDefault="0029327E" w:rsidP="0029327E">
      <w:pPr>
        <w:spacing w:line="240" w:lineRule="auto"/>
        <w:rPr>
          <w:rFonts w:eastAsia="Times New Roman" w:cs="Arial"/>
          <w:color w:val="000000"/>
          <w:lang w:eastAsia="bg-BG"/>
        </w:rPr>
      </w:pPr>
    </w:p>
    <w:p w14:paraId="59085E74" w14:textId="037FDF05"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Нарушения в съзнанието до степен на кома, спад в артериалното налягане, тахикарднчни/брадикардични нарушения на сърдечния ритъм, хипергликемия,</w:t>
      </w:r>
    </w:p>
    <w:p w14:paraId="311C7EFA" w14:textId="7777777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метаболитна ацидоза, хипоксия, кардиогенен шок с белодробен оток.</w:t>
      </w:r>
    </w:p>
    <w:p w14:paraId="57D5481A" w14:textId="77777777" w:rsidR="0029327E" w:rsidRPr="0029327E" w:rsidRDefault="0029327E" w:rsidP="0029327E">
      <w:pPr>
        <w:spacing w:line="240" w:lineRule="auto"/>
        <w:rPr>
          <w:rFonts w:eastAsia="Times New Roman" w:cs="Arial"/>
          <w:color w:val="000000"/>
          <w:lang w:eastAsia="bg-BG"/>
        </w:rPr>
      </w:pPr>
    </w:p>
    <w:p w14:paraId="157FFB04" w14:textId="4365E4AB" w:rsidR="0029327E" w:rsidRPr="0029327E" w:rsidRDefault="0029327E" w:rsidP="0029327E">
      <w:pPr>
        <w:spacing w:line="240" w:lineRule="auto"/>
        <w:rPr>
          <w:rFonts w:eastAsia="Times New Roman" w:cs="Arial"/>
          <w:color w:val="000000"/>
          <w:u w:val="single"/>
          <w:lang w:eastAsia="bg-BG"/>
        </w:rPr>
      </w:pPr>
      <w:r w:rsidRPr="0029327E">
        <w:rPr>
          <w:rFonts w:eastAsia="Times New Roman" w:cs="Arial"/>
          <w:color w:val="000000"/>
          <w:u w:val="single"/>
          <w:lang w:eastAsia="bg-BG"/>
        </w:rPr>
        <w:t>Поведение при предозиране</w:t>
      </w:r>
    </w:p>
    <w:p w14:paraId="70E84BD8" w14:textId="77777777" w:rsidR="0029327E" w:rsidRPr="0029327E" w:rsidRDefault="0029327E" w:rsidP="0029327E">
      <w:pPr>
        <w:spacing w:line="240" w:lineRule="auto"/>
        <w:rPr>
          <w:rFonts w:eastAsia="Times New Roman" w:cs="Arial"/>
          <w:color w:val="000000"/>
          <w:lang w:eastAsia="bg-BG"/>
        </w:rPr>
      </w:pPr>
      <w:r w:rsidRPr="0029327E">
        <w:rPr>
          <w:rFonts w:eastAsia="Times New Roman" w:cs="Arial"/>
          <w:color w:val="000000"/>
          <w:lang w:eastAsia="bg-BG"/>
        </w:rPr>
        <w:t xml:space="preserve">Приоритет в лечението е отстраняването на активното вещество и възстановяването на стабилното </w:t>
      </w:r>
    </w:p>
    <w:p w14:paraId="2D4019CF" w14:textId="37025E4C"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състояние на сърдечно-съдовата система.</w:t>
      </w:r>
    </w:p>
    <w:p w14:paraId="4EDF3DAF" w14:textId="77777777" w:rsidR="0029327E" w:rsidRPr="0029327E" w:rsidRDefault="0029327E" w:rsidP="0029327E">
      <w:pPr>
        <w:spacing w:line="240" w:lineRule="auto"/>
        <w:rPr>
          <w:rFonts w:eastAsia="Times New Roman" w:cs="Arial"/>
          <w:color w:val="000000"/>
          <w:lang w:eastAsia="bg-BG"/>
        </w:rPr>
      </w:pPr>
    </w:p>
    <w:p w14:paraId="0F2ADDA3" w14:textId="1AB28D30"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След перорално приложение е показана стомашна промивка, ако е необходимо, в комбинация с промивка на тънките черва.</w:t>
      </w:r>
    </w:p>
    <w:p w14:paraId="044E2D3F" w14:textId="77777777" w:rsidR="0029327E" w:rsidRPr="0029327E" w:rsidRDefault="0029327E" w:rsidP="0029327E">
      <w:pPr>
        <w:spacing w:line="240" w:lineRule="auto"/>
        <w:rPr>
          <w:rFonts w:eastAsia="Times New Roman" w:cs="Arial"/>
          <w:color w:val="000000"/>
          <w:lang w:eastAsia="bg-BG"/>
        </w:rPr>
      </w:pPr>
    </w:p>
    <w:p w14:paraId="7A857BF8" w14:textId="654E34D8"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 xml:space="preserve">Особено в случаи на интоксикация с лекарствени форми на нифедипин със </w:t>
      </w:r>
      <w:r w:rsidRPr="0029327E">
        <w:rPr>
          <w:rFonts w:eastAsia="Times New Roman" w:cs="Arial"/>
          <w:strike/>
          <w:color w:val="000000"/>
          <w:lang w:eastAsia="bg-BG"/>
        </w:rPr>
        <w:t xml:space="preserve">забавено </w:t>
      </w:r>
      <w:r w:rsidRPr="0029327E">
        <w:rPr>
          <w:rFonts w:eastAsia="Times New Roman" w:cs="Arial"/>
          <w:color w:val="000000"/>
          <w:lang w:eastAsia="bg-BG"/>
        </w:rPr>
        <w:t>освобождаване, елиминирането трябва да бъде възможно най-пълно, включително от тънките черва, за да предотврати последваща неизбежна абсорбция на активната съставка.</w:t>
      </w:r>
    </w:p>
    <w:p w14:paraId="66299530" w14:textId="77777777" w:rsidR="0029327E" w:rsidRPr="0029327E" w:rsidRDefault="0029327E" w:rsidP="0029327E">
      <w:pPr>
        <w:spacing w:line="240" w:lineRule="auto"/>
        <w:rPr>
          <w:rFonts w:eastAsia="Times New Roman" w:cs="Arial"/>
          <w:color w:val="000000"/>
          <w:lang w:eastAsia="bg-BG"/>
        </w:rPr>
      </w:pPr>
    </w:p>
    <w:p w14:paraId="6DF1DD6A" w14:textId="462A7725"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Хемодиализата не дава резултат, тъй като нифедипин не подлежи на диализа, но се препоръчва плазмафереза (значително свързване с протеините, относително малък обем на разпределение).</w:t>
      </w:r>
    </w:p>
    <w:p w14:paraId="04DB5597" w14:textId="77777777" w:rsidR="0029327E" w:rsidRPr="0029327E" w:rsidRDefault="0029327E" w:rsidP="0029327E">
      <w:pPr>
        <w:spacing w:line="240" w:lineRule="auto"/>
        <w:rPr>
          <w:rFonts w:eastAsia="Times New Roman" w:cs="Arial"/>
          <w:color w:val="000000"/>
          <w:lang w:eastAsia="bg-BG"/>
        </w:rPr>
      </w:pPr>
    </w:p>
    <w:p w14:paraId="72C82351" w14:textId="644D4EF7"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Брадикардичните ритъмни нарушения могат да се третират симптоматично с бета- симпатикомиметици, а в случай на живото-застрашаващи браднкардични нарушения на сърдечния ритъм се препоръчва временно поставяне на пейсмейкър.</w:t>
      </w:r>
    </w:p>
    <w:p w14:paraId="5FD09EDE" w14:textId="77777777" w:rsidR="0029327E" w:rsidRPr="0029327E" w:rsidRDefault="0029327E" w:rsidP="0029327E">
      <w:pPr>
        <w:spacing w:line="240" w:lineRule="auto"/>
        <w:rPr>
          <w:rFonts w:eastAsia="Times New Roman" w:cs="Arial"/>
          <w:color w:val="000000"/>
          <w:lang w:eastAsia="bg-BG"/>
        </w:rPr>
      </w:pPr>
    </w:p>
    <w:p w14:paraId="02FFC55A" w14:textId="6D6F3EFF" w:rsidR="0029327E" w:rsidRPr="0029327E" w:rsidRDefault="0029327E" w:rsidP="0029327E">
      <w:pPr>
        <w:spacing w:line="240" w:lineRule="auto"/>
        <w:rPr>
          <w:rFonts w:eastAsia="Times New Roman" w:cs="Arial"/>
          <w:lang w:eastAsia="bg-BG"/>
        </w:rPr>
      </w:pPr>
      <w:r w:rsidRPr="0029327E">
        <w:rPr>
          <w:rFonts w:eastAsia="Times New Roman" w:cs="Arial"/>
          <w:color w:val="000000"/>
          <w:lang w:eastAsia="bg-BG"/>
        </w:rPr>
        <w:t>Хипотонията в резултат на кардногенен шок и артериална вазодилатация може да се</w:t>
      </w:r>
      <w:r w:rsidRPr="0029327E">
        <w:rPr>
          <w:rFonts w:eastAsia="Times New Roman" w:cs="Arial"/>
          <w:color w:val="000000"/>
          <w:u w:val="single"/>
          <w:lang w:eastAsia="bg-BG"/>
        </w:rPr>
        <w:t xml:space="preserve"> </w:t>
      </w:r>
      <w:r w:rsidRPr="0029327E">
        <w:rPr>
          <w:rFonts w:eastAsia="Times New Roman" w:cs="Arial"/>
          <w:color w:val="000000"/>
          <w:lang w:eastAsia="bg-BG"/>
        </w:rPr>
        <w:t xml:space="preserve">лекува с калций (10-20 </w:t>
      </w:r>
      <w:r w:rsidRPr="0029327E">
        <w:rPr>
          <w:rFonts w:eastAsia="Times New Roman" w:cs="Arial"/>
          <w:color w:val="000000"/>
          <w:lang w:val="en-US"/>
        </w:rPr>
        <w:t xml:space="preserve">ml </w:t>
      </w:r>
      <w:r w:rsidRPr="0029327E">
        <w:rPr>
          <w:rFonts w:eastAsia="Times New Roman" w:cs="Arial"/>
          <w:color w:val="000000"/>
          <w:lang w:eastAsia="bg-BG"/>
        </w:rPr>
        <w:t>калциев глюконат 10%, приложен бавно итравенозно с повторение на дозата, ако е необходимо). В резултат на това, нивото на серумния клаций може да достигне горната граница на нормалните стойности до леко повишени нива. Ако кръвното налягане не се повиши достатъчно с калций, допълнително са прилагат вазоспастични симпатикомиметици, като допамин или норадреналин. Дозировката на тези лекарства се определя единствено от постигнатия ефект.</w:t>
      </w:r>
    </w:p>
    <w:p w14:paraId="311BCA3C" w14:textId="616B8995" w:rsidR="0029327E" w:rsidRPr="0029327E" w:rsidRDefault="0029327E" w:rsidP="0029327E">
      <w:pPr>
        <w:rPr>
          <w:rFonts w:cs="Arial"/>
        </w:rPr>
      </w:pPr>
    </w:p>
    <w:p w14:paraId="7589F849" w14:textId="4FD50DBB" w:rsidR="0029327E" w:rsidRPr="0029327E" w:rsidRDefault="0029327E" w:rsidP="0029327E">
      <w:pPr>
        <w:rPr>
          <w:rFonts w:cs="Arial"/>
        </w:rPr>
      </w:pPr>
      <w:r w:rsidRPr="0029327E">
        <w:rPr>
          <w:rFonts w:cs="Arial"/>
        </w:rPr>
        <w:t>Допълнителни течности или обемни заместители трябва да се прилагат с повишено внимание, тъй като има опасност от претоварване на сърцето.</w:t>
      </w:r>
    </w:p>
    <w:p w14:paraId="02081B24" w14:textId="36FE76F4" w:rsidR="00395555" w:rsidRPr="00395555" w:rsidRDefault="002C50EE" w:rsidP="008A6AF2">
      <w:pPr>
        <w:pStyle w:val="Heading1"/>
      </w:pPr>
      <w:r>
        <w:t>5. ФАРМАКОЛОГИЧНИ СВОЙСТВА</w:t>
      </w:r>
    </w:p>
    <w:p w14:paraId="7F6CC5E1" w14:textId="1DA3160B" w:rsidR="00F62E44" w:rsidRDefault="002C50EE" w:rsidP="00387A66">
      <w:pPr>
        <w:pStyle w:val="Heading2"/>
      </w:pPr>
      <w:r>
        <w:t>5.1. Фармакодинамични свойства</w:t>
      </w:r>
    </w:p>
    <w:p w14:paraId="14917200" w14:textId="2ACF20D9" w:rsidR="0029327E" w:rsidRDefault="0029327E" w:rsidP="0029327E"/>
    <w:p w14:paraId="3BDE9B3E"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Фармакотерапевтична група: Селективни калциеви антагонисти с предимно съдово действие, дихидропиридинови производни.</w:t>
      </w:r>
    </w:p>
    <w:p w14:paraId="65F66FB0" w14:textId="2F8EFE86"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АТС код: С08СА05</w:t>
      </w:r>
    </w:p>
    <w:p w14:paraId="1AB83EF2" w14:textId="77777777" w:rsidR="0029327E" w:rsidRPr="0029327E" w:rsidRDefault="0029327E" w:rsidP="0029327E">
      <w:pPr>
        <w:spacing w:line="240" w:lineRule="auto"/>
        <w:rPr>
          <w:rFonts w:eastAsia="Times New Roman" w:cs="Arial"/>
          <w:color w:val="000000"/>
          <w:lang w:eastAsia="bg-BG"/>
        </w:rPr>
      </w:pPr>
    </w:p>
    <w:p w14:paraId="3A27AECB" w14:textId="44C37DA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Активното вещество нифедипин е калциев антагонист, който принадлежи към групата на дихидропиридините и поради вазодилататорния си ефект оказва антистенокардно и антихипертензивно въздействие. Той потиска навлизането на калциеви йони в гладко- мускулните клетки на артериите и миокарда и намалява вътреклетъчната калциева концентрация, чрез което релаксира периферните и коронарните артерии.</w:t>
      </w:r>
    </w:p>
    <w:p w14:paraId="1F698541"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В терапевтични дози има незначителен ефект върху клетките на миокарда.</w:t>
      </w:r>
    </w:p>
    <w:p w14:paraId="2E29CA7B"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Периферното съдово съпротивление се намалява при вазодилатация, и оттам работата на сърцето, кислородните му потребности и следнатоварването му са намалени.</w:t>
      </w:r>
    </w:p>
    <w:p w14:paraId="1449AF8C"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Нифедипин разширява както интактните, така и атеросклеротичните коронарни съдове, с което предпазва миокарда от съдови спазми и подобрява снабдяването на исхемичния миокард с кислород. При нормотензивни индивиди нифедипин не оказва или оказва незначително въздействие върху кръвното налягане.</w:t>
      </w:r>
    </w:p>
    <w:p w14:paraId="0400EB5D" w14:textId="77777777" w:rsidR="0029327E" w:rsidRPr="0029327E" w:rsidRDefault="0029327E" w:rsidP="0029327E">
      <w:pPr>
        <w:spacing w:line="240" w:lineRule="auto"/>
        <w:rPr>
          <w:rFonts w:eastAsia="Times New Roman" w:cs="Arial"/>
          <w:color w:val="000000"/>
          <w:lang w:eastAsia="bg-BG"/>
        </w:rPr>
      </w:pPr>
    </w:p>
    <w:p w14:paraId="69E03FAF" w14:textId="29538423"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Коронарната вазодилатация и предотвратяването на коронарния съдов спазъм подобряват снабдяването с кислород на миокарда.</w:t>
      </w:r>
    </w:p>
    <w:p w14:paraId="110500CE" w14:textId="77777777" w:rsidR="0029327E" w:rsidRPr="0029327E" w:rsidRDefault="0029327E" w:rsidP="0029327E">
      <w:pPr>
        <w:spacing w:line="240" w:lineRule="auto"/>
        <w:rPr>
          <w:rFonts w:eastAsia="Times New Roman" w:cs="Arial"/>
          <w:color w:val="000000"/>
          <w:u w:val="single"/>
          <w:lang w:eastAsia="bg-BG"/>
        </w:rPr>
      </w:pPr>
    </w:p>
    <w:p w14:paraId="5AF814C2" w14:textId="32520E8D"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u w:val="single"/>
          <w:lang w:eastAsia="bg-BG"/>
        </w:rPr>
        <w:t>Педиатрична популация</w:t>
      </w:r>
    </w:p>
    <w:p w14:paraId="7A413DCD"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Има ограничени данни относно сравнение между нифедипин с други антихипертензивни средства при остра хипертония и хронична хипертония с различни форми, при различни дози. Антихипертоничното действие на нифедипин е доказано, но въпреки това все още не са установени препоръчителни дози, дългосрочната безопасност и ефектите върху сърдечно-съдовата система. Липсват дозови форми за употреба при педиатрични пациенти.</w:t>
      </w:r>
    </w:p>
    <w:p w14:paraId="672BFD2C" w14:textId="77777777" w:rsidR="0029327E" w:rsidRPr="0029327E" w:rsidRDefault="0029327E" w:rsidP="0029327E"/>
    <w:p w14:paraId="544FFDAF" w14:textId="1F888F8F" w:rsidR="00F62E44" w:rsidRDefault="002C50EE" w:rsidP="00387A66">
      <w:pPr>
        <w:pStyle w:val="Heading2"/>
      </w:pPr>
      <w:r>
        <w:t>5.2. Фармакокинетични свойства</w:t>
      </w:r>
    </w:p>
    <w:p w14:paraId="54F8311F" w14:textId="508159BD" w:rsidR="0029327E" w:rsidRDefault="0029327E" w:rsidP="0029327E"/>
    <w:p w14:paraId="615D47F9"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u w:val="single"/>
          <w:lang w:eastAsia="bg-BG"/>
        </w:rPr>
        <w:t>Абсорбция</w:t>
      </w:r>
    </w:p>
    <w:p w14:paraId="529EFAD7"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Стомашно чревната резорбция на нифедипин е почти пълна, като абсолютната бионаличност варира между 40 и 70%. Нифедипин претърпява екстензивен метаболизъм при първо преминаване (40-60%).</w:t>
      </w:r>
    </w:p>
    <w:p w14:paraId="3809ECB6"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lastRenderedPageBreak/>
        <w:t xml:space="preserve">Приемането на една таблетка с удължено освобождаване от 20 </w:t>
      </w:r>
      <w:r w:rsidRPr="0029327E">
        <w:rPr>
          <w:rFonts w:eastAsia="Times New Roman" w:cs="Arial"/>
          <w:color w:val="000000"/>
          <w:lang w:val="en-US"/>
        </w:rPr>
        <w:t xml:space="preserve">mg </w:t>
      </w:r>
      <w:r w:rsidRPr="0029327E">
        <w:rPr>
          <w:rFonts w:eastAsia="Times New Roman" w:cs="Arial"/>
          <w:color w:val="000000"/>
          <w:lang w:eastAsia="bg-BG"/>
        </w:rPr>
        <w:t>води до ефективно терапевтично плазмено ниво 1 час след приложението. Постоянно плазмено ниво(ретардно плато) се поддържа между 1,5 и 6-ия час след приема и то намалява впоследствие постепенно в продължение на следващите 30 - 36 часа.</w:t>
      </w:r>
    </w:p>
    <w:p w14:paraId="68C8E4B0" w14:textId="77777777" w:rsidR="0029327E" w:rsidRPr="0029327E" w:rsidRDefault="0029327E" w:rsidP="0029327E">
      <w:pPr>
        <w:spacing w:line="240" w:lineRule="auto"/>
        <w:rPr>
          <w:rFonts w:eastAsia="Times New Roman" w:cs="Arial"/>
          <w:color w:val="000000"/>
          <w:u w:val="single"/>
          <w:lang w:eastAsia="bg-BG"/>
        </w:rPr>
      </w:pPr>
    </w:p>
    <w:p w14:paraId="6FCADD74" w14:textId="4912941C"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u w:val="single"/>
          <w:lang w:eastAsia="bg-BG"/>
        </w:rPr>
        <w:t>Разпределение</w:t>
      </w:r>
    </w:p>
    <w:p w14:paraId="549E9517"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Свързването с плазмените протеини (албумин) е 94-97%.</w:t>
      </w:r>
    </w:p>
    <w:p w14:paraId="62CA6733"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lang w:eastAsia="bg-BG"/>
        </w:rPr>
        <w:t>Активното вещество преминава през плацентата и се екскретира в кърмата. По-малко от</w:t>
      </w:r>
      <w:r w:rsidRPr="0029327E">
        <w:rPr>
          <w:rFonts w:eastAsia="Times New Roman" w:cs="Arial"/>
          <w:color w:val="000000"/>
          <w:u w:val="single"/>
          <w:lang w:eastAsia="bg-BG"/>
        </w:rPr>
        <w:t xml:space="preserve"> </w:t>
      </w:r>
      <w:r w:rsidRPr="0029327E">
        <w:rPr>
          <w:rFonts w:eastAsia="Times New Roman" w:cs="Arial"/>
          <w:color w:val="000000"/>
          <w:lang w:eastAsia="bg-BG"/>
        </w:rPr>
        <w:t>5% от приетата доза може да премине през кръвно-мозъчната бариера.</w:t>
      </w:r>
    </w:p>
    <w:p w14:paraId="0239400E" w14:textId="77777777" w:rsidR="0029327E" w:rsidRPr="0029327E" w:rsidRDefault="0029327E" w:rsidP="0029327E">
      <w:pPr>
        <w:spacing w:line="240" w:lineRule="auto"/>
        <w:rPr>
          <w:rFonts w:eastAsia="Times New Roman" w:cs="Arial"/>
          <w:color w:val="000000"/>
          <w:u w:val="single"/>
          <w:lang w:eastAsia="bg-BG"/>
        </w:rPr>
      </w:pPr>
    </w:p>
    <w:p w14:paraId="09E5F330" w14:textId="7DFA3110"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u w:val="single"/>
          <w:lang w:eastAsia="bg-BG"/>
        </w:rPr>
        <w:t>Метаболизъм</w:t>
      </w:r>
    </w:p>
    <w:p w14:paraId="0D5C7B95" w14:textId="695B1BB2" w:rsidR="0029327E" w:rsidRPr="0029327E" w:rsidRDefault="0029327E" w:rsidP="0029327E">
      <w:pPr>
        <w:rPr>
          <w:rFonts w:eastAsia="Times New Roman" w:cs="Arial"/>
          <w:color w:val="000000"/>
          <w:lang w:eastAsia="bg-BG"/>
        </w:rPr>
      </w:pPr>
      <w:r w:rsidRPr="0029327E">
        <w:rPr>
          <w:rFonts w:eastAsia="Times New Roman" w:cs="Arial"/>
          <w:color w:val="000000"/>
          <w:lang w:eastAsia="bg-BG"/>
        </w:rPr>
        <w:t>Метаболизирането на нифедипин води до образуване на три фармакологични неактивни метаболита.</w:t>
      </w:r>
    </w:p>
    <w:p w14:paraId="674267DC" w14:textId="79975EDA" w:rsidR="0029327E" w:rsidRPr="0029327E" w:rsidRDefault="0029327E" w:rsidP="0029327E">
      <w:pPr>
        <w:rPr>
          <w:rFonts w:eastAsia="Times New Roman" w:cs="Arial"/>
          <w:color w:val="000000"/>
          <w:lang w:eastAsia="bg-BG"/>
        </w:rPr>
      </w:pPr>
    </w:p>
    <w:p w14:paraId="18A44AEF" w14:textId="77777777" w:rsidR="0029327E" w:rsidRPr="0029327E" w:rsidRDefault="0029327E" w:rsidP="0029327E">
      <w:pPr>
        <w:spacing w:line="240" w:lineRule="auto"/>
        <w:rPr>
          <w:rFonts w:eastAsia="Times New Roman" w:cs="Arial"/>
          <w:sz w:val="32"/>
          <w:szCs w:val="32"/>
          <w:lang w:eastAsia="bg-BG"/>
        </w:rPr>
      </w:pPr>
      <w:r w:rsidRPr="0029327E">
        <w:rPr>
          <w:rFonts w:eastAsia="Times New Roman" w:cs="Arial"/>
          <w:color w:val="000000"/>
          <w:u w:val="single"/>
          <w:lang w:eastAsia="bg-BG"/>
        </w:rPr>
        <w:t>Елиминиране</w:t>
      </w:r>
    </w:p>
    <w:p w14:paraId="71DB5FB4" w14:textId="77777777" w:rsidR="0029327E" w:rsidRPr="0029327E" w:rsidRDefault="0029327E" w:rsidP="0029327E">
      <w:pPr>
        <w:spacing w:line="240" w:lineRule="auto"/>
        <w:rPr>
          <w:rFonts w:ascii="Times New Roman" w:eastAsia="Times New Roman" w:hAnsi="Times New Roman" w:cs="Times New Roman"/>
          <w:sz w:val="24"/>
          <w:szCs w:val="24"/>
          <w:lang w:eastAsia="bg-BG"/>
        </w:rPr>
      </w:pPr>
      <w:r w:rsidRPr="0029327E">
        <w:rPr>
          <w:rFonts w:eastAsia="Times New Roman" w:cs="Arial"/>
          <w:color w:val="000000"/>
          <w:lang w:eastAsia="bg-BG"/>
        </w:rPr>
        <w:t>60-80% от приложената доза се екскретира именно под формата на тези 3 метаболита в урината. Останалата част се елиминира чрез жлъчката и изпражненията.</w:t>
      </w:r>
    </w:p>
    <w:p w14:paraId="3F1EBBAB" w14:textId="77777777" w:rsidR="0029327E" w:rsidRPr="0029327E" w:rsidRDefault="0029327E" w:rsidP="0029327E"/>
    <w:p w14:paraId="6925FEB0" w14:textId="51A26065" w:rsidR="00F62E44" w:rsidRDefault="002C50EE" w:rsidP="00387A66">
      <w:pPr>
        <w:pStyle w:val="Heading2"/>
      </w:pPr>
      <w:r>
        <w:t>5.3. Предклинични данни за безопасност</w:t>
      </w:r>
    </w:p>
    <w:p w14:paraId="5D58D4E3" w14:textId="33EBEC45" w:rsidR="0029327E" w:rsidRDefault="0029327E" w:rsidP="0029327E"/>
    <w:p w14:paraId="6672499D" w14:textId="77777777" w:rsidR="0029327E" w:rsidRPr="0029327E" w:rsidRDefault="0029327E" w:rsidP="0029327E">
      <w:pPr>
        <w:rPr>
          <w:rFonts w:ascii="Times New Roman" w:hAnsi="Times New Roman" w:cs="Times New Roman"/>
          <w:sz w:val="24"/>
          <w:szCs w:val="24"/>
          <w:lang w:eastAsia="bg-BG"/>
        </w:rPr>
      </w:pPr>
      <w:r w:rsidRPr="0029327E">
        <w:rPr>
          <w:lang w:eastAsia="bg-BG"/>
        </w:rPr>
        <w:t>В едно 2-годишно проучване за карциногенност при плъхове нифедипин не е показал такъв ефект.</w:t>
      </w:r>
    </w:p>
    <w:p w14:paraId="497EEDAB" w14:textId="77777777" w:rsidR="0029327E" w:rsidRPr="0029327E" w:rsidRDefault="0029327E" w:rsidP="0029327E">
      <w:pPr>
        <w:rPr>
          <w:rFonts w:ascii="Times New Roman" w:hAnsi="Times New Roman" w:cs="Times New Roman"/>
          <w:sz w:val="24"/>
          <w:szCs w:val="24"/>
          <w:lang w:eastAsia="bg-BG"/>
        </w:rPr>
      </w:pPr>
      <w:r w:rsidRPr="0029327E">
        <w:rPr>
          <w:lang w:val="en-US"/>
        </w:rPr>
        <w:t xml:space="preserve">In vitro </w:t>
      </w:r>
      <w:r w:rsidRPr="0029327E">
        <w:rPr>
          <w:lang w:eastAsia="bg-BG"/>
        </w:rPr>
        <w:t xml:space="preserve">и </w:t>
      </w:r>
      <w:r w:rsidRPr="0029327E">
        <w:rPr>
          <w:lang w:val="en-US"/>
        </w:rPr>
        <w:t xml:space="preserve">in vivo </w:t>
      </w:r>
      <w:r w:rsidRPr="0029327E">
        <w:rPr>
          <w:lang w:eastAsia="bg-BG"/>
        </w:rPr>
        <w:t>проучванията не са показали мутагенност на нифедипин.</w:t>
      </w:r>
    </w:p>
    <w:p w14:paraId="7CD3EACE" w14:textId="25708699" w:rsidR="0029327E" w:rsidRPr="0029327E" w:rsidRDefault="0029327E" w:rsidP="0029327E">
      <w:r w:rsidRPr="0029327E">
        <w:rPr>
          <w:lang w:eastAsia="bg-BG"/>
        </w:rPr>
        <w:t>В предклинични проучвания нифедипин е показал тератогенен, ембриотоксичен и фетотоксичен потенциал при дози, много по-високи от терапевтичните дози при хора.</w:t>
      </w:r>
    </w:p>
    <w:p w14:paraId="357049A8" w14:textId="32B67CAB" w:rsidR="00BB22B4" w:rsidRDefault="002C50EE" w:rsidP="00471F10">
      <w:pPr>
        <w:pStyle w:val="Heading1"/>
      </w:pPr>
      <w:r>
        <w:t>7. ПРИТЕЖАТЕЛ НА РАЗРЕШЕНИЕТО ЗА УПОТРЕБА</w:t>
      </w:r>
    </w:p>
    <w:p w14:paraId="1DD979E6" w14:textId="3B2634DC" w:rsidR="0029327E" w:rsidRDefault="0029327E" w:rsidP="0029327E"/>
    <w:p w14:paraId="161F65FF" w14:textId="77777777" w:rsidR="0029327E" w:rsidRPr="0029327E" w:rsidRDefault="0029327E" w:rsidP="0029327E">
      <w:pPr>
        <w:rPr>
          <w:rFonts w:ascii="Times New Roman" w:hAnsi="Times New Roman" w:cs="Times New Roman"/>
          <w:sz w:val="24"/>
          <w:szCs w:val="24"/>
          <w:lang w:val="en-US" w:eastAsia="bg-BG"/>
        </w:rPr>
      </w:pPr>
      <w:r w:rsidRPr="0029327E">
        <w:rPr>
          <w:lang w:val="en-US"/>
        </w:rPr>
        <w:t>Egis Pharmaceuticals PLC</w:t>
      </w:r>
    </w:p>
    <w:p w14:paraId="4D98AA9F" w14:textId="77777777" w:rsidR="0029327E" w:rsidRPr="0029327E" w:rsidRDefault="0029327E" w:rsidP="0029327E">
      <w:pPr>
        <w:rPr>
          <w:rFonts w:ascii="Times New Roman" w:hAnsi="Times New Roman" w:cs="Times New Roman"/>
          <w:sz w:val="24"/>
          <w:szCs w:val="24"/>
          <w:lang w:val="en-US" w:eastAsia="bg-BG"/>
        </w:rPr>
      </w:pPr>
      <w:r w:rsidRPr="0029327E">
        <w:rPr>
          <w:lang w:eastAsia="bg-BG"/>
        </w:rPr>
        <w:t xml:space="preserve">1106 </w:t>
      </w:r>
      <w:r w:rsidRPr="0029327E">
        <w:rPr>
          <w:lang w:val="en-US"/>
        </w:rPr>
        <w:t xml:space="preserve">Budapest, </w:t>
      </w:r>
      <w:proofErr w:type="spellStart"/>
      <w:r w:rsidRPr="0029327E">
        <w:rPr>
          <w:lang w:val="en-US"/>
        </w:rPr>
        <w:t>Kereszturi</w:t>
      </w:r>
      <w:proofErr w:type="spellEnd"/>
      <w:r w:rsidRPr="0029327E">
        <w:rPr>
          <w:lang w:val="en-US"/>
        </w:rPr>
        <w:t xml:space="preserve"> </w:t>
      </w:r>
      <w:proofErr w:type="spellStart"/>
      <w:r w:rsidRPr="0029327E">
        <w:rPr>
          <w:lang w:val="en-US"/>
        </w:rPr>
        <w:t>ut</w:t>
      </w:r>
      <w:proofErr w:type="spellEnd"/>
      <w:r w:rsidRPr="0029327E">
        <w:rPr>
          <w:lang w:val="en-US"/>
        </w:rPr>
        <w:t xml:space="preserve"> 30-38.</w:t>
      </w:r>
    </w:p>
    <w:p w14:paraId="43C6C0A0" w14:textId="74D67E6F" w:rsidR="0029327E" w:rsidRPr="0029327E" w:rsidRDefault="0029327E" w:rsidP="0029327E">
      <w:r w:rsidRPr="0029327E">
        <w:rPr>
          <w:lang w:eastAsia="bg-BG"/>
        </w:rPr>
        <w:t>Унгария</w:t>
      </w:r>
    </w:p>
    <w:p w14:paraId="0A53321D" w14:textId="2D4DCA36" w:rsidR="00EE6C97" w:rsidRDefault="00936AD0" w:rsidP="00A93499">
      <w:pPr>
        <w:pStyle w:val="Heading1"/>
      </w:pPr>
      <w:r>
        <w:t>8.</w:t>
      </w:r>
      <w:r w:rsidR="002C50EE">
        <w:t>НОМЕР НА РАЗРЕШЕНИЕТО ЗА УПОТРЕБА</w:t>
      </w:r>
    </w:p>
    <w:p w14:paraId="1C535629" w14:textId="441D1386" w:rsidR="0029327E" w:rsidRDefault="0029327E" w:rsidP="0029327E"/>
    <w:p w14:paraId="2A82D119" w14:textId="58D9B9F6" w:rsidR="0029327E" w:rsidRPr="0029327E" w:rsidRDefault="00205263" w:rsidP="00205263">
      <w:r>
        <w:t xml:space="preserve">Кордафлекс 20 </w:t>
      </w:r>
      <w:r>
        <w:rPr>
          <w:lang w:val="en-US"/>
        </w:rPr>
        <w:t xml:space="preserve">mg </w:t>
      </w:r>
      <w:r>
        <w:t xml:space="preserve">таблетки с удължено освобождаване: </w:t>
      </w:r>
      <w:r>
        <w:rPr>
          <w:lang w:val="en-US"/>
        </w:rPr>
        <w:t xml:space="preserve">Per. №: </w:t>
      </w:r>
      <w:r>
        <w:t>970 0552</w:t>
      </w:r>
    </w:p>
    <w:p w14:paraId="7C2688F5" w14:textId="6D610EDF" w:rsidR="00F62E44" w:rsidRDefault="00F62E44" w:rsidP="00F62E44"/>
    <w:p w14:paraId="00481C21" w14:textId="0D70085F" w:rsidR="00F62E44" w:rsidRDefault="002C50EE" w:rsidP="00387A66">
      <w:pPr>
        <w:pStyle w:val="Heading1"/>
      </w:pPr>
      <w:r>
        <w:t>9. ДАТА НА ПЪРВО РАЗРЕШАВАНЕ/ПОДНОВЯВАНЕ НА РАЗРЕШЕНИЕТО ЗА УПОТРЕБА</w:t>
      </w:r>
    </w:p>
    <w:p w14:paraId="1DFDD764" w14:textId="2E3CD79E" w:rsidR="00205263" w:rsidRDefault="00205263" w:rsidP="00205263"/>
    <w:p w14:paraId="0F859C28" w14:textId="77777777" w:rsidR="00205263" w:rsidRPr="00205263" w:rsidRDefault="00205263" w:rsidP="00205263">
      <w:pPr>
        <w:rPr>
          <w:rFonts w:ascii="Times New Roman" w:hAnsi="Times New Roman" w:cs="Times New Roman"/>
          <w:sz w:val="24"/>
          <w:szCs w:val="24"/>
          <w:lang w:eastAsia="bg-BG"/>
        </w:rPr>
      </w:pPr>
      <w:r w:rsidRPr="00205263">
        <w:rPr>
          <w:lang w:eastAsia="bg-BG"/>
        </w:rPr>
        <w:t>Дата на първо разрешение за употреба: 30 октомври 1997 г.</w:t>
      </w:r>
    </w:p>
    <w:p w14:paraId="6F289C64" w14:textId="13C4620E" w:rsidR="00205263" w:rsidRPr="00205263" w:rsidRDefault="00205263" w:rsidP="00205263">
      <w:r w:rsidRPr="00205263">
        <w:rPr>
          <w:lang w:eastAsia="bg-BG"/>
        </w:rPr>
        <w:t>Дата на последно подновяване: 10.11.2008 г.</w:t>
      </w:r>
    </w:p>
    <w:p w14:paraId="43FB38A2" w14:textId="03E833FD" w:rsidR="007C605B" w:rsidRDefault="002C50EE" w:rsidP="005726E3">
      <w:pPr>
        <w:pStyle w:val="Heading1"/>
      </w:pPr>
      <w:r>
        <w:t>10. ДАТА НА АКТУАЛИЗИРАНЕ НА ТЕКСТА</w:t>
      </w:r>
      <w:bookmarkEnd w:id="0"/>
    </w:p>
    <w:p w14:paraId="7E1F2F8C" w14:textId="19A27983" w:rsidR="00205263" w:rsidRPr="00205263" w:rsidRDefault="00205263" w:rsidP="00205263">
      <w:r>
        <w:t>Февруари, 2021 г.</w:t>
      </w:r>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C34053"/>
    <w:multiLevelType w:val="hybridMultilevel"/>
    <w:tmpl w:val="08B8D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25137"/>
    <w:multiLevelType w:val="hybridMultilevel"/>
    <w:tmpl w:val="134E1198"/>
    <w:lvl w:ilvl="0" w:tplc="361AE322">
      <w:start w:val="4"/>
      <w:numFmt w:val="bullet"/>
      <w:lvlText w:val="-"/>
      <w:lvlJc w:val="left"/>
      <w:pPr>
        <w:ind w:left="720" w:hanging="360"/>
      </w:pPr>
      <w:rPr>
        <w:rFonts w:ascii="Cambria" w:eastAsia="Times New Roman" w:hAnsi="Cambria" w:cs="Cambria" w:hint="default"/>
        <w:b/>
        <w:color w:val="000000"/>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A4A29"/>
    <w:multiLevelType w:val="hybridMultilevel"/>
    <w:tmpl w:val="B1743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5"/>
  </w:num>
  <w:num w:numId="12" w16cid:durableId="1434934028">
    <w:abstractNumId w:val="17"/>
  </w:num>
  <w:num w:numId="13" w16cid:durableId="479157895">
    <w:abstractNumId w:val="23"/>
  </w:num>
  <w:num w:numId="14" w16cid:durableId="1670476636">
    <w:abstractNumId w:val="15"/>
  </w:num>
  <w:num w:numId="15" w16cid:durableId="1000155783">
    <w:abstractNumId w:val="34"/>
  </w:num>
  <w:num w:numId="16" w16cid:durableId="2056420707">
    <w:abstractNumId w:val="12"/>
  </w:num>
  <w:num w:numId="17" w16cid:durableId="1787119182">
    <w:abstractNumId w:val="29"/>
  </w:num>
  <w:num w:numId="18" w16cid:durableId="722945139">
    <w:abstractNumId w:val="9"/>
  </w:num>
  <w:num w:numId="19" w16cid:durableId="1678728408">
    <w:abstractNumId w:val="31"/>
  </w:num>
  <w:num w:numId="20" w16cid:durableId="1970816657">
    <w:abstractNumId w:val="28"/>
  </w:num>
  <w:num w:numId="21" w16cid:durableId="1531146514">
    <w:abstractNumId w:val="21"/>
  </w:num>
  <w:num w:numId="22" w16cid:durableId="1276465">
    <w:abstractNumId w:val="30"/>
  </w:num>
  <w:num w:numId="23" w16cid:durableId="1624310558">
    <w:abstractNumId w:val="22"/>
  </w:num>
  <w:num w:numId="24" w16cid:durableId="1692877547">
    <w:abstractNumId w:val="10"/>
  </w:num>
  <w:num w:numId="25" w16cid:durableId="50930855">
    <w:abstractNumId w:val="27"/>
  </w:num>
  <w:num w:numId="26" w16cid:durableId="176701536">
    <w:abstractNumId w:val="26"/>
  </w:num>
  <w:num w:numId="27" w16cid:durableId="2050564750">
    <w:abstractNumId w:val="36"/>
  </w:num>
  <w:num w:numId="28" w16cid:durableId="1820733422">
    <w:abstractNumId w:val="6"/>
  </w:num>
  <w:num w:numId="29" w16cid:durableId="973678124">
    <w:abstractNumId w:val="25"/>
  </w:num>
  <w:num w:numId="30" w16cid:durableId="154884452">
    <w:abstractNumId w:val="41"/>
  </w:num>
  <w:num w:numId="31" w16cid:durableId="1053964910">
    <w:abstractNumId w:val="5"/>
  </w:num>
  <w:num w:numId="32" w16cid:durableId="2073575793">
    <w:abstractNumId w:val="39"/>
  </w:num>
  <w:num w:numId="33" w16cid:durableId="1566643170">
    <w:abstractNumId w:val="33"/>
  </w:num>
  <w:num w:numId="34" w16cid:durableId="2060787732">
    <w:abstractNumId w:val="37"/>
  </w:num>
  <w:num w:numId="35" w16cid:durableId="34161354">
    <w:abstractNumId w:val="8"/>
  </w:num>
  <w:num w:numId="36" w16cid:durableId="1976908676">
    <w:abstractNumId w:val="11"/>
  </w:num>
  <w:num w:numId="37" w16cid:durableId="758528303">
    <w:abstractNumId w:val="18"/>
  </w:num>
  <w:num w:numId="38" w16cid:durableId="178396561">
    <w:abstractNumId w:val="40"/>
  </w:num>
  <w:num w:numId="39" w16cid:durableId="934825996">
    <w:abstractNumId w:val="14"/>
  </w:num>
  <w:num w:numId="40" w16cid:durableId="1464469290">
    <w:abstractNumId w:val="38"/>
  </w:num>
  <w:num w:numId="41" w16cid:durableId="1455489364">
    <w:abstractNumId w:val="7"/>
  </w:num>
  <w:num w:numId="42" w16cid:durableId="1717925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05263"/>
    <w:rsid w:val="0029327E"/>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3841</Words>
  <Characters>21896</Characters>
  <Application>Microsoft Office Word</Application>
  <DocSecurity>0</DocSecurity>
  <Lines>182</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2023-03-04T22:16:00Z</dcterms:created>
  <dcterms:modified xsi:type="dcterms:W3CDTF">2023-03-04T22:16:00Z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